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A0FA0" w14:textId="1D475F65" w:rsidR="00FD0715" w:rsidRDefault="00FD0715">
      <w:pPr>
        <w:spacing w:after="240" w:line="240" w:lineRule="auto"/>
        <w:jc w:val="both"/>
        <w:rPr>
          <w:rFonts w:ascii="Times New Roman" w:eastAsia="Times New Roman" w:hAnsi="Times New Roman" w:cs="Times New Roman"/>
          <w:b/>
          <w:sz w:val="28"/>
          <w:szCs w:val="28"/>
        </w:rPr>
      </w:pPr>
      <w:r w:rsidRPr="00FD0715">
        <w:rPr>
          <w:rFonts w:ascii="Times New Roman" w:eastAsia="Times New Roman" w:hAnsi="Times New Roman" w:cs="Times New Roman"/>
          <w:b/>
          <w:bCs/>
          <w:i/>
          <w:iCs/>
          <w:sz w:val="28"/>
          <w:szCs w:val="28"/>
          <w:u w:val="single"/>
          <w:lang w:val="en-US"/>
        </w:rPr>
        <w:t>Original Research Article</w:t>
      </w:r>
    </w:p>
    <w:p w14:paraId="0AD9FEE5" w14:textId="18A6D084" w:rsidR="004E0D8A" w:rsidRDefault="009C0D87">
      <w:pPr>
        <w:spacing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Diversity and seasonal occurrence of insect pest complex in litchi ecosystem from two different </w:t>
      </w:r>
      <w:proofErr w:type="spellStart"/>
      <w:r>
        <w:rPr>
          <w:rFonts w:ascii="Times New Roman" w:eastAsia="Times New Roman" w:hAnsi="Times New Roman" w:cs="Times New Roman"/>
          <w:b/>
          <w:sz w:val="28"/>
          <w:szCs w:val="28"/>
        </w:rPr>
        <w:t>agro</w:t>
      </w:r>
      <w:proofErr w:type="spellEnd"/>
      <w:r>
        <w:rPr>
          <w:rFonts w:ascii="Times New Roman" w:eastAsia="Times New Roman" w:hAnsi="Times New Roman" w:cs="Times New Roman"/>
          <w:b/>
          <w:sz w:val="28"/>
          <w:szCs w:val="28"/>
        </w:rPr>
        <w:t>-climatic sub-regions of Eastern Himalayan Zone of India</w:t>
      </w:r>
    </w:p>
    <w:p w14:paraId="11E54909" w14:textId="77777777" w:rsidR="002F1F3D" w:rsidRDefault="002F1F3D">
      <w:pPr>
        <w:spacing w:line="240" w:lineRule="auto"/>
        <w:jc w:val="both"/>
        <w:rPr>
          <w:rFonts w:ascii="Times New Roman" w:eastAsia="Times New Roman" w:hAnsi="Times New Roman" w:cs="Times New Roman"/>
          <w:sz w:val="24"/>
          <w:szCs w:val="24"/>
        </w:rPr>
      </w:pPr>
    </w:p>
    <w:p w14:paraId="5CF456EB"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4B76325"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was conducted to find out the diversity and seasonal occurrence of different insect pests in litchi orchards of two different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sub-regions,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sub-region II and sub-region V of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Zone II (Eastern Himalayan Region) of the country during March, 2022 to February 2024. The study has documented a total of 16 species of insect pests under 16 different families infesting litchi plants from these two sub-regions of Zone II. Among</w:t>
      </w:r>
      <w:r>
        <w:rPr>
          <w:rFonts w:ascii="Times New Roman" w:eastAsia="Times New Roman" w:hAnsi="Times New Roman" w:cs="Times New Roman"/>
          <w:sz w:val="24"/>
          <w:szCs w:val="24"/>
        </w:rPr>
        <w:t xml:space="preserve"> them, six were Coleopteran pests, two were Hemipteran, and six were Lepidopteran pests, and one pest from each of the </w:t>
      </w:r>
      <w:proofErr w:type="spellStart"/>
      <w:r>
        <w:rPr>
          <w:rFonts w:ascii="Times New Roman" w:eastAsia="Times New Roman" w:hAnsi="Times New Roman" w:cs="Times New Roman"/>
          <w:sz w:val="24"/>
          <w:szCs w:val="24"/>
        </w:rPr>
        <w:t>Diptera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Sarcoptiformes</w:t>
      </w:r>
      <w:proofErr w:type="spellEnd"/>
      <w:r>
        <w:rPr>
          <w:rFonts w:ascii="Times New Roman" w:eastAsia="Times New Roman" w:hAnsi="Times New Roman" w:cs="Times New Roman"/>
          <w:sz w:val="24"/>
          <w:szCs w:val="24"/>
        </w:rPr>
        <w:t xml:space="preserve"> orders was in the species assemblage. The cumulative population of different leaf- and stem-infesting insect p</w:t>
      </w:r>
      <w:r>
        <w:rPr>
          <w:rFonts w:ascii="Times New Roman" w:eastAsia="Times New Roman" w:hAnsi="Times New Roman" w:cs="Times New Roman"/>
          <w:sz w:val="24"/>
          <w:szCs w:val="24"/>
        </w:rPr>
        <w:t>ests was 1763 individuals/120 sweeps in sub-region II, which was drastically higher than that of sub-region V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total population of 581 individuals/120 sweeps). However, the sub-region V was characterized by a greater diversity and richness in the spe</w:t>
      </w:r>
      <w:r>
        <w:rPr>
          <w:rFonts w:ascii="Times New Roman" w:eastAsia="Times New Roman" w:hAnsi="Times New Roman" w:cs="Times New Roman"/>
          <w:sz w:val="24"/>
          <w:szCs w:val="24"/>
        </w:rPr>
        <w:t>cies community than the sub-region II. Furthermore, in sub-region V, the species are more evenly distributed in the community, with less dominance by a single or few species as compared to sub-region II. The incidence pattern of different insect pests sugg</w:t>
      </w:r>
      <w:r>
        <w:rPr>
          <w:rFonts w:ascii="Times New Roman" w:eastAsia="Times New Roman" w:hAnsi="Times New Roman" w:cs="Times New Roman"/>
          <w:sz w:val="24"/>
          <w:szCs w:val="24"/>
        </w:rPr>
        <w:t>ested higher insect pest incidence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in sub-region V and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in sub-region II. These outcomes provide valuable insights in order to adopt appr</w:t>
      </w:r>
      <w:r>
        <w:rPr>
          <w:rFonts w:ascii="Times New Roman" w:eastAsia="Times New Roman" w:hAnsi="Times New Roman" w:cs="Times New Roman"/>
          <w:sz w:val="24"/>
          <w:szCs w:val="24"/>
        </w:rPr>
        <w:t>opriate pest management schedules, typically during the most critical period of pest incidence.</w:t>
      </w:r>
    </w:p>
    <w:p w14:paraId="2A6339E4" w14:textId="77777777"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Diversity, incidence, </w:t>
      </w:r>
      <w:r>
        <w:rPr>
          <w:rFonts w:ascii="Times New Roman" w:eastAsia="Times New Roman" w:hAnsi="Times New Roman" w:cs="Times New Roman"/>
          <w:i/>
          <w:sz w:val="24"/>
          <w:szCs w:val="24"/>
        </w:rPr>
        <w:t>Litchi chinensis</w:t>
      </w:r>
      <w:r>
        <w:rPr>
          <w:rFonts w:ascii="Times New Roman" w:eastAsia="Times New Roman" w:hAnsi="Times New Roman" w:cs="Times New Roman"/>
          <w:sz w:val="24"/>
          <w:szCs w:val="24"/>
        </w:rPr>
        <w:t>, population</w:t>
      </w:r>
    </w:p>
    <w:p w14:paraId="3BB0A330"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2714D98"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Originating in the mountainous areas of central and western China, litchi (</w:t>
      </w:r>
      <w:r>
        <w:rPr>
          <w:rFonts w:ascii="Times New Roman" w:eastAsia="Times New Roman" w:hAnsi="Times New Roman" w:cs="Times New Roman"/>
          <w:i/>
          <w:sz w:val="24"/>
          <w:szCs w:val="24"/>
        </w:rPr>
        <w:t xml:space="preserve">Litchi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hinensis</w:t>
      </w:r>
      <w:r>
        <w:rPr>
          <w:rFonts w:ascii="Times New Roman" w:eastAsia="Times New Roman" w:hAnsi="Times New Roman" w:cs="Times New Roman"/>
          <w:sz w:val="24"/>
          <w:szCs w:val="24"/>
        </w:rPr>
        <w:t>Sonn</w:t>
      </w:r>
      <w:proofErr w:type="spellEnd"/>
      <w:r>
        <w:rPr>
          <w:rFonts w:ascii="Times New Roman" w:eastAsia="Times New Roman" w:hAnsi="Times New Roman" w:cs="Times New Roman"/>
          <w:sz w:val="24"/>
          <w:szCs w:val="24"/>
        </w:rPr>
        <w:t xml:space="preserve">.), a perennial fruit crop belonging to the </w:t>
      </w:r>
      <w:proofErr w:type="spellStart"/>
      <w:r>
        <w:rPr>
          <w:rFonts w:ascii="Times New Roman" w:eastAsia="Times New Roman" w:hAnsi="Times New Roman" w:cs="Times New Roman"/>
          <w:sz w:val="24"/>
          <w:szCs w:val="24"/>
        </w:rPr>
        <w:t>Sapindaceae</w:t>
      </w:r>
      <w:proofErr w:type="spellEnd"/>
      <w:r>
        <w:rPr>
          <w:rFonts w:ascii="Times New Roman" w:eastAsia="Times New Roman" w:hAnsi="Times New Roman" w:cs="Times New Roman"/>
          <w:sz w:val="24"/>
          <w:szCs w:val="24"/>
        </w:rPr>
        <w:t xml:space="preserve"> family, was brought to India by the end of the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(Dalui and Sarkar, 2021). From an Indian perspective, this crop is of enormous importance, as the country holds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position in </w:t>
      </w:r>
      <w:r>
        <w:rPr>
          <w:rFonts w:ascii="Times New Roman" w:eastAsia="Times New Roman" w:hAnsi="Times New Roman" w:cs="Times New Roman"/>
          <w:sz w:val="24"/>
          <w:szCs w:val="24"/>
        </w:rPr>
        <w:t>litchi production after China (</w:t>
      </w:r>
      <w:proofErr w:type="spellStart"/>
      <w:r>
        <w:rPr>
          <w:rFonts w:ascii="Times New Roman" w:eastAsia="Times New Roman" w:hAnsi="Times New Roman" w:cs="Times New Roman"/>
          <w:sz w:val="24"/>
          <w:szCs w:val="24"/>
        </w:rPr>
        <w:t>Rangare</w:t>
      </w:r>
      <w:proofErr w:type="spellEnd"/>
      <w:r>
        <w:rPr>
          <w:rFonts w:ascii="Times New Roman" w:eastAsia="Times New Roman" w:hAnsi="Times New Roman" w:cs="Times New Roman"/>
          <w:sz w:val="24"/>
          <w:szCs w:val="24"/>
        </w:rPr>
        <w:t xml:space="preserve"> et al., 2022). Although India and China contribute 91% of the world’s litchi production (</w:t>
      </w:r>
      <w:proofErr w:type="spellStart"/>
      <w:r>
        <w:rPr>
          <w:rFonts w:ascii="Times New Roman" w:eastAsia="Times New Roman" w:hAnsi="Times New Roman" w:cs="Times New Roman"/>
          <w:sz w:val="24"/>
          <w:szCs w:val="24"/>
        </w:rPr>
        <w:t>Rangare</w:t>
      </w:r>
      <w:proofErr w:type="spellEnd"/>
      <w:r>
        <w:rPr>
          <w:rFonts w:ascii="Times New Roman" w:eastAsia="Times New Roman" w:hAnsi="Times New Roman" w:cs="Times New Roman"/>
          <w:sz w:val="24"/>
          <w:szCs w:val="24"/>
        </w:rPr>
        <w:t xml:space="preserve"> et al., 2022), this crop is also grown in countries like Australia, Hong Kong, Indonesia, </w:t>
      </w:r>
      <w:proofErr w:type="spellStart"/>
      <w:r>
        <w:rPr>
          <w:rFonts w:ascii="Times New Roman" w:eastAsia="Times New Roman" w:hAnsi="Times New Roman" w:cs="Times New Roman"/>
          <w:sz w:val="24"/>
          <w:szCs w:val="24"/>
        </w:rPr>
        <w:t>Mauritius,Malaysia</w:t>
      </w:r>
      <w:proofErr w:type="spellEnd"/>
      <w:r>
        <w:rPr>
          <w:rFonts w:ascii="Times New Roman" w:eastAsia="Times New Roman" w:hAnsi="Times New Roman" w:cs="Times New Roman"/>
          <w:sz w:val="24"/>
          <w:szCs w:val="24"/>
        </w:rPr>
        <w:t>, South Afri</w:t>
      </w:r>
      <w:r>
        <w:rPr>
          <w:rFonts w:ascii="Times New Roman" w:eastAsia="Times New Roman" w:hAnsi="Times New Roman" w:cs="Times New Roman"/>
          <w:sz w:val="24"/>
          <w:szCs w:val="24"/>
        </w:rPr>
        <w:t>ca, Thailand, and Taiwan (Kumar et al., 2014a; Dalui and Sarkar, 2021).In India, litchi is the sixth most valuable fruit crop, yet it ranks seventh in terms of area and ninth in terms of production (</w:t>
      </w:r>
      <w:proofErr w:type="spellStart"/>
      <w:r>
        <w:rPr>
          <w:rFonts w:ascii="Times New Roman" w:eastAsia="Times New Roman" w:hAnsi="Times New Roman" w:cs="Times New Roman"/>
          <w:sz w:val="24"/>
          <w:szCs w:val="24"/>
        </w:rPr>
        <w:t>Rangare</w:t>
      </w:r>
      <w:proofErr w:type="spellEnd"/>
      <w:r>
        <w:rPr>
          <w:rFonts w:ascii="Times New Roman" w:eastAsia="Times New Roman" w:hAnsi="Times New Roman" w:cs="Times New Roman"/>
          <w:sz w:val="24"/>
          <w:szCs w:val="24"/>
        </w:rPr>
        <w:t xml:space="preserve"> et al., 2022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t xml:space="preserve"> Litchi</w:t>
      </w:r>
      <w:r>
        <w:rPr>
          <w:rFonts w:ascii="Times New Roman" w:eastAsia="Times New Roman" w:hAnsi="Times New Roman" w:cs="Times New Roman"/>
          <w:sz w:val="24"/>
          <w:szCs w:val="24"/>
        </w:rPr>
        <w:t xml:space="preserve"> has a growing popularity be</w:t>
      </w:r>
      <w:r>
        <w:rPr>
          <w:rFonts w:ascii="Times New Roman" w:eastAsia="Times New Roman" w:hAnsi="Times New Roman" w:cs="Times New Roman"/>
          <w:sz w:val="24"/>
          <w:szCs w:val="24"/>
        </w:rPr>
        <w:t xml:space="preserve">cause of its unique </w:t>
      </w:r>
      <w:proofErr w:type="spellStart"/>
      <w:r>
        <w:rPr>
          <w:rFonts w:ascii="Times New Roman" w:eastAsia="Times New Roman" w:hAnsi="Times New Roman" w:cs="Times New Roman"/>
          <w:sz w:val="24"/>
          <w:szCs w:val="24"/>
        </w:rPr>
        <w:t>flavor</w:t>
      </w:r>
      <w:proofErr w:type="spellEnd"/>
      <w:r>
        <w:rPr>
          <w:rFonts w:ascii="Times New Roman" w:eastAsia="Times New Roman" w:hAnsi="Times New Roman" w:cs="Times New Roman"/>
          <w:sz w:val="24"/>
          <w:szCs w:val="24"/>
        </w:rPr>
        <w:t>, deliciousness, higher nutritional content, and juicy aril that provides a cooling effect in the sweltering summer months (Chauhan et al., 2008) and hence is considered as the 'Queen of the Fruits' (Regmi, 2022). Such growing dem</w:t>
      </w:r>
      <w:r>
        <w:rPr>
          <w:rFonts w:ascii="Times New Roman" w:eastAsia="Times New Roman" w:hAnsi="Times New Roman" w:cs="Times New Roman"/>
          <w:sz w:val="24"/>
          <w:szCs w:val="24"/>
        </w:rPr>
        <w:t>and, high economic return, and export potential make the cultivation of litchi a gaining traction (Regmi, 2022).</w:t>
      </w:r>
    </w:p>
    <w:p w14:paraId="4FBA7BF0"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enormous contribution of litchi towards the horticultural sector of the country is highly threatened due to a number of biotic and</w:t>
      </w:r>
      <w:r>
        <w:rPr>
          <w:rFonts w:ascii="Times New Roman" w:eastAsia="Times New Roman" w:hAnsi="Times New Roman" w:cs="Times New Roman"/>
          <w:sz w:val="24"/>
          <w:szCs w:val="24"/>
        </w:rPr>
        <w:t xml:space="preserve"> abiotic stressors that affect its production (</w:t>
      </w:r>
      <w:r>
        <w:rPr>
          <w:rFonts w:ascii="Times New Roman" w:eastAsia="Times New Roman" w:hAnsi="Times New Roman" w:cs="Times New Roman"/>
          <w:sz w:val="24"/>
          <w:szCs w:val="24"/>
          <w:highlight w:val="white"/>
        </w:rPr>
        <w:t xml:space="preserve">Srivastava et al., </w:t>
      </w:r>
      <w:proofErr w:type="gramStart"/>
      <w:r>
        <w:rPr>
          <w:rFonts w:ascii="Times New Roman" w:eastAsia="Times New Roman" w:hAnsi="Times New Roman" w:cs="Times New Roman"/>
          <w:sz w:val="24"/>
          <w:szCs w:val="24"/>
          <w:highlight w:val="white"/>
        </w:rPr>
        <w:t>2015;</w:t>
      </w:r>
      <w:r>
        <w:rPr>
          <w:rFonts w:ascii="Times New Roman" w:eastAsia="Times New Roman" w:hAnsi="Times New Roman" w:cs="Times New Roman"/>
          <w:sz w:val="24"/>
          <w:szCs w:val="24"/>
        </w:rPr>
        <w:t>Malik</w:t>
      </w:r>
      <w:proofErr w:type="gramEnd"/>
      <w:r>
        <w:rPr>
          <w:rFonts w:ascii="Times New Roman" w:eastAsia="Times New Roman" w:hAnsi="Times New Roman" w:cs="Times New Roman"/>
          <w:sz w:val="24"/>
          <w:szCs w:val="24"/>
        </w:rPr>
        <w:t xml:space="preserve"> and Deveshwar, 2022). Among them, the occurrence of different insect pests can cause significant yield loss in litchi orchards. Litchi plants used to face a variety of insect atta</w:t>
      </w:r>
      <w:r>
        <w:rPr>
          <w:rFonts w:ascii="Times New Roman" w:eastAsia="Times New Roman" w:hAnsi="Times New Roman" w:cs="Times New Roman"/>
          <w:sz w:val="24"/>
          <w:szCs w:val="24"/>
        </w:rPr>
        <w:t xml:space="preserve">cks throughout their growth period. Usually, the plant starts blooming in February, </w:t>
      </w:r>
      <w:r>
        <w:rPr>
          <w:rFonts w:ascii="Times New Roman" w:eastAsia="Times New Roman" w:hAnsi="Times New Roman" w:cs="Times New Roman"/>
          <w:sz w:val="24"/>
          <w:szCs w:val="24"/>
        </w:rPr>
        <w:lastRenderedPageBreak/>
        <w:t>and fruits get mature during April-May (Yadav et al., 2011). At that time, the crop becomes more susceptible to the attack of different fruit-feeding insects, including fru</w:t>
      </w:r>
      <w:r>
        <w:rPr>
          <w:rFonts w:ascii="Times New Roman" w:eastAsia="Times New Roman" w:hAnsi="Times New Roman" w:cs="Times New Roman"/>
          <w:sz w:val="24"/>
          <w:szCs w:val="24"/>
        </w:rPr>
        <w:t>it borer, fruit fly, nut borer, etc. (</w:t>
      </w:r>
      <w:r>
        <w:rPr>
          <w:rFonts w:ascii="Times New Roman" w:eastAsia="Times New Roman" w:hAnsi="Times New Roman" w:cs="Times New Roman"/>
          <w:b/>
          <w:sz w:val="24"/>
          <w:szCs w:val="24"/>
        </w:rPr>
        <w:t>Kumar et al., 2024</w:t>
      </w:r>
      <w:r>
        <w:rPr>
          <w:rFonts w:ascii="Times New Roman" w:eastAsia="Times New Roman" w:hAnsi="Times New Roman" w:cs="Times New Roman"/>
          <w:sz w:val="24"/>
          <w:szCs w:val="24"/>
        </w:rPr>
        <w:t>). In addition to that, litchi plants used to face infestation by a wide range of leaf- and stem-feeding insects, including stem borer, leaf folder, bark eating caterpillar, grey weevil, red weevil, l</w:t>
      </w:r>
      <w:r>
        <w:rPr>
          <w:rFonts w:ascii="Times New Roman" w:eastAsia="Times New Roman" w:hAnsi="Times New Roman" w:cs="Times New Roman"/>
          <w:sz w:val="24"/>
          <w:szCs w:val="24"/>
        </w:rPr>
        <w:t>itchi mite, phytophagous beetles, bagworm, etc., almost throughout the season (Srivastava et al., 2016). Infestation by these insect pests can cause severe yield loss and also reduce the quality and marketability of the fruits.</w:t>
      </w:r>
    </w:p>
    <w:p w14:paraId="4031771D"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Litchi is also considered an</w:t>
      </w:r>
      <w:r>
        <w:rPr>
          <w:rFonts w:ascii="Times New Roman" w:eastAsia="Times New Roman" w:hAnsi="Times New Roman" w:cs="Times New Roman"/>
          <w:sz w:val="24"/>
          <w:szCs w:val="24"/>
        </w:rPr>
        <w:t xml:space="preserve"> important fruit crop in eastern and northeastern parts of the country, including states like Bihar, West Bengal, Assam, Arunachal Pradesh, Tripura, Meghalaya, etc. In these states, this crop plays a very crucial role for the socio-economic upliftment of t</w:t>
      </w:r>
      <w:r>
        <w:rPr>
          <w:rFonts w:ascii="Times New Roman" w:eastAsia="Times New Roman" w:hAnsi="Times New Roman" w:cs="Times New Roman"/>
          <w:sz w:val="24"/>
          <w:szCs w:val="24"/>
        </w:rPr>
        <w:t>he rural people. Despite the importance of litchi in the country's economic growth and the fact that a large area of litchi is under cultivation in India, research literature on insect pest complexes on litchi plants from the country is limited. That’s why</w:t>
      </w:r>
      <w:r>
        <w:rPr>
          <w:rFonts w:ascii="Times New Roman" w:eastAsia="Times New Roman" w:hAnsi="Times New Roman" w:cs="Times New Roman"/>
          <w:sz w:val="24"/>
          <w:szCs w:val="24"/>
        </w:rPr>
        <w:t xml:space="preserve"> the present study was conducted in order to determine the diversity and seasonal occurrence of different insect pests of litchi in two different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sub-regions of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Zone II (Eastern Himalayan Region) of the country.</w:t>
      </w:r>
    </w:p>
    <w:p w14:paraId="44B3649C"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MATERIALS AND</w:t>
      </w:r>
      <w:r>
        <w:rPr>
          <w:rFonts w:ascii="Times New Roman" w:eastAsia="Times New Roman" w:hAnsi="Times New Roman" w:cs="Times New Roman"/>
          <w:b/>
          <w:sz w:val="24"/>
          <w:szCs w:val="24"/>
        </w:rPr>
        <w:t xml:space="preserve"> METHODS</w:t>
      </w:r>
    </w:p>
    <w:p w14:paraId="31277CAE"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Study area</w:t>
      </w:r>
    </w:p>
    <w:p w14:paraId="52E6E80A" w14:textId="20C92F6F"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in sub-region II and sub-region V of the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Zone II (Eastern Himalayan Region) of India. Sub-region II includes parts of the Arunachal Pradesh and Bhutan Himalayas, which are distinguished by their</w:t>
      </w:r>
      <w:r>
        <w:rPr>
          <w:rFonts w:ascii="Times New Roman" w:eastAsia="Times New Roman" w:hAnsi="Times New Roman" w:cs="Times New Roman"/>
          <w:sz w:val="24"/>
          <w:szCs w:val="24"/>
        </w:rPr>
        <w:t xml:space="preserve"> rich biodiversity, deep forests, and abundant rainfall.</w:t>
      </w:r>
      <w:r w:rsidR="009F2F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sub-region has an annual temperature of 25.5ºC and receives about 119.04 </w:t>
      </w:r>
      <w:proofErr w:type="spellStart"/>
      <w:r>
        <w:rPr>
          <w:rFonts w:ascii="Times New Roman" w:eastAsia="Times New Roman" w:hAnsi="Times New Roman" w:cs="Times New Roman"/>
          <w:sz w:val="24"/>
          <w:szCs w:val="24"/>
        </w:rPr>
        <w:t>millimeters</w:t>
      </w:r>
      <w:proofErr w:type="spellEnd"/>
      <w:r>
        <w:rPr>
          <w:rFonts w:ascii="Times New Roman" w:eastAsia="Times New Roman" w:hAnsi="Times New Roman" w:cs="Times New Roman"/>
          <w:sz w:val="24"/>
          <w:szCs w:val="24"/>
        </w:rPr>
        <w:t xml:space="preserve"> of precipitation annually. In sub-region II, the study was conducted at the Instructional Farm of the College</w:t>
      </w:r>
      <w:r>
        <w:rPr>
          <w:rFonts w:ascii="Times New Roman" w:eastAsia="Times New Roman" w:hAnsi="Times New Roman" w:cs="Times New Roman"/>
          <w:sz w:val="24"/>
          <w:szCs w:val="24"/>
        </w:rPr>
        <w:t xml:space="preserve"> of Horticulture and Forestry, Central Agricultural University (CAU), </w:t>
      </w:r>
      <w:proofErr w:type="spellStart"/>
      <w:r>
        <w:rPr>
          <w:rFonts w:ascii="Times New Roman" w:eastAsia="Times New Roman" w:hAnsi="Times New Roman" w:cs="Times New Roman"/>
          <w:sz w:val="24"/>
          <w:szCs w:val="24"/>
        </w:rPr>
        <w:t>Pasighat</w:t>
      </w:r>
      <w:proofErr w:type="spellEnd"/>
      <w:r>
        <w:rPr>
          <w:rFonts w:ascii="Times New Roman" w:eastAsia="Times New Roman" w:hAnsi="Times New Roman" w:cs="Times New Roman"/>
          <w:sz w:val="24"/>
          <w:szCs w:val="24"/>
        </w:rPr>
        <w:t>, Arunachal Pradesh.</w:t>
      </w:r>
    </w:p>
    <w:p w14:paraId="7F60B6BF" w14:textId="29B228C3"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the sub-Himalayan tract of West Bengal, which comes under sub-region V, has a </w:t>
      </w:r>
      <w:proofErr w:type="spellStart"/>
      <w:r>
        <w:rPr>
          <w:rFonts w:ascii="Times New Roman" w:eastAsia="Times New Roman" w:hAnsi="Times New Roman" w:cs="Times New Roman"/>
          <w:sz w:val="24"/>
          <w:szCs w:val="24"/>
        </w:rPr>
        <w:t>perhumid</w:t>
      </w:r>
      <w:proofErr w:type="spellEnd"/>
      <w:r>
        <w:rPr>
          <w:rFonts w:ascii="Times New Roman" w:eastAsia="Times New Roman" w:hAnsi="Times New Roman" w:cs="Times New Roman"/>
          <w:sz w:val="24"/>
          <w:szCs w:val="24"/>
        </w:rPr>
        <w:t xml:space="preserve"> climate with temperatures ranging between 10°C and 38°C w</w:t>
      </w:r>
      <w:r>
        <w:rPr>
          <w:rFonts w:ascii="Times New Roman" w:eastAsia="Times New Roman" w:hAnsi="Times New Roman" w:cs="Times New Roman"/>
          <w:sz w:val="24"/>
          <w:szCs w:val="24"/>
        </w:rPr>
        <w:t>ith an average of around 3000 mm of rainfall annually, which usually falls between June and September as a result of the southwest monsoon. After that, there is a brief winter with little to no rainfall and reduced sunlight from December to February. In th</w:t>
      </w:r>
      <w:r>
        <w:rPr>
          <w:rFonts w:ascii="Times New Roman" w:eastAsia="Times New Roman" w:hAnsi="Times New Roman" w:cs="Times New Roman"/>
          <w:sz w:val="24"/>
          <w:szCs w:val="24"/>
        </w:rPr>
        <w:t xml:space="preserve">e sub-region V, the study was conducted at the Horticultural Instructional Farm of Uttar </w:t>
      </w:r>
      <w:proofErr w:type="spellStart"/>
      <w:r>
        <w:rPr>
          <w:rFonts w:ascii="Times New Roman" w:eastAsia="Times New Roman" w:hAnsi="Times New Roman" w:cs="Times New Roman"/>
          <w:sz w:val="24"/>
          <w:szCs w:val="24"/>
        </w:rPr>
        <w:t>Banga</w:t>
      </w:r>
      <w:proofErr w:type="spellEnd"/>
      <w:r w:rsidR="009F2F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Krishi</w:t>
      </w:r>
      <w:r w:rsidR="009F2F2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Viswavidyalaya</w:t>
      </w:r>
      <w:proofErr w:type="spellEnd"/>
      <w:r>
        <w:rPr>
          <w:rFonts w:ascii="Times New Roman" w:eastAsia="Times New Roman" w:hAnsi="Times New Roman" w:cs="Times New Roman"/>
          <w:sz w:val="24"/>
          <w:szCs w:val="24"/>
        </w:rPr>
        <w:t xml:space="preserve"> (UBKV), </w:t>
      </w:r>
      <w:proofErr w:type="spellStart"/>
      <w:r>
        <w:rPr>
          <w:rFonts w:ascii="Times New Roman" w:eastAsia="Times New Roman" w:hAnsi="Times New Roman" w:cs="Times New Roman"/>
          <w:sz w:val="24"/>
          <w:szCs w:val="24"/>
        </w:rPr>
        <w:t>Pundibari</w:t>
      </w:r>
      <w:proofErr w:type="spellEnd"/>
      <w:r>
        <w:rPr>
          <w:rFonts w:ascii="Times New Roman" w:eastAsia="Times New Roman" w:hAnsi="Times New Roman" w:cs="Times New Roman"/>
          <w:sz w:val="24"/>
          <w:szCs w:val="24"/>
        </w:rPr>
        <w:t>, West Bengal, India.</w:t>
      </w:r>
    </w:p>
    <w:p w14:paraId="3C4FCBE7"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Collection, preservation and identification of insect pests</w:t>
      </w:r>
    </w:p>
    <w:p w14:paraId="5C4E22F9"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adults of different insect pests were collected through aerial sweeping. The captured insects were collected in vials and brought back to the laboratory for identification. The larvae of different internal feeders, like stem borers, fruit borers, nut b</w:t>
      </w:r>
      <w:r>
        <w:rPr>
          <w:rFonts w:ascii="Times New Roman" w:eastAsia="Times New Roman" w:hAnsi="Times New Roman" w:cs="Times New Roman"/>
          <w:sz w:val="24"/>
          <w:szCs w:val="24"/>
        </w:rPr>
        <w:t xml:space="preserve">orers, fruit fly, bark eating caterpillar, etc., were collected and reared in the laboratory for adult emergence. In the laboratory, the specimens were pinned, dried, and identified under a stereo-zoom microscope by using proper taxonomic literatures. The </w:t>
      </w:r>
      <w:r>
        <w:rPr>
          <w:rFonts w:ascii="Times New Roman" w:eastAsia="Times New Roman" w:hAnsi="Times New Roman" w:cs="Times New Roman"/>
          <w:sz w:val="24"/>
          <w:szCs w:val="24"/>
        </w:rPr>
        <w:t xml:space="preserve">specimens were also sent to the Zoological Survey of India, Kolkata, for confirmation of their identity. </w:t>
      </w:r>
    </w:p>
    <w:p w14:paraId="3CA0A44A"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Field study and observation recording</w:t>
      </w:r>
    </w:p>
    <w:p w14:paraId="79CB920E"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 was conducted in a fixed plot during March, 2022 to February, 2024 with a randomly selected 1</w:t>
      </w:r>
      <w:r>
        <w:rPr>
          <w:rFonts w:ascii="Times New Roman" w:eastAsia="Times New Roman" w:hAnsi="Times New Roman" w:cs="Times New Roman"/>
          <w:sz w:val="24"/>
          <w:szCs w:val="24"/>
        </w:rPr>
        <w:t xml:space="preserve">0 number of litchi trees of 8–12 years old. The experimental trees were maintained completely under natural conditions and kept free from insecticidal applications. Four twigs (from 30 to 50 cm from the shoot tip) from each direction in an individual tree </w:t>
      </w:r>
      <w:r>
        <w:rPr>
          <w:rFonts w:ascii="Times New Roman" w:eastAsia="Times New Roman" w:hAnsi="Times New Roman" w:cs="Times New Roman"/>
          <w:sz w:val="24"/>
          <w:szCs w:val="24"/>
        </w:rPr>
        <w:t xml:space="preserve">at a height of 1.5 to 2 m above ground level were tagged for observation. The observations were </w:t>
      </w:r>
      <w:r>
        <w:rPr>
          <w:rFonts w:ascii="Times New Roman" w:eastAsia="Times New Roman" w:hAnsi="Times New Roman" w:cs="Times New Roman"/>
          <w:sz w:val="24"/>
          <w:szCs w:val="24"/>
        </w:rPr>
        <w:lastRenderedPageBreak/>
        <w:t xml:space="preserve">taken at fortnightly intervals for major pests on each tree’s leaf, stem, and fruit during the period of investigation. </w:t>
      </w:r>
    </w:p>
    <w:p w14:paraId="11AF27DD"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record the leaf infestation, samplin</w:t>
      </w:r>
      <w:r>
        <w:rPr>
          <w:rFonts w:ascii="Times New Roman" w:eastAsia="Times New Roman" w:hAnsi="Times New Roman" w:cs="Times New Roman"/>
          <w:sz w:val="24"/>
          <w:szCs w:val="24"/>
        </w:rPr>
        <w:t>g was done in the</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morning or evening with a sweep net depending on the activity of the pests by sweeping and hand picking. Ten sweeps were randomly made from all four directions of the tree, and their population was recorded as the number of individuals/10</w:t>
      </w:r>
      <w:r>
        <w:rPr>
          <w:rFonts w:ascii="Times New Roman" w:eastAsia="Times New Roman" w:hAnsi="Times New Roman" w:cs="Times New Roman"/>
          <w:sz w:val="24"/>
          <w:szCs w:val="24"/>
        </w:rPr>
        <w:t xml:space="preserve"> sweeps. For fruit-infesting insects, 100 fruits from each tree were randomly collected at the time of harvest from all directions (East, West, North, and South) and different elevations of the tree. Each fruit was cut open to check for the presence of lar</w:t>
      </w:r>
      <w:r>
        <w:rPr>
          <w:rFonts w:ascii="Times New Roman" w:eastAsia="Times New Roman" w:hAnsi="Times New Roman" w:cs="Times New Roman"/>
          <w:sz w:val="24"/>
          <w:szCs w:val="24"/>
        </w:rPr>
        <w:t>vae, and their population was recorded as the number of individuals/100 fruits.</w:t>
      </w:r>
    </w:p>
    <w:p w14:paraId="0798F7AB"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Diversity indices</w:t>
      </w:r>
    </w:p>
    <w:p w14:paraId="12621F4F" w14:textId="77777777" w:rsidR="004E0D8A" w:rsidRDefault="009C0D8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cumulative population of different insect pests in litchi, the following ecological indices (Table 1) for species diversity, evenness, richne</w:t>
      </w:r>
      <w:r>
        <w:rPr>
          <w:rFonts w:ascii="Times New Roman" w:eastAsia="Times New Roman" w:hAnsi="Times New Roman" w:cs="Times New Roman"/>
          <w:sz w:val="24"/>
          <w:szCs w:val="24"/>
        </w:rPr>
        <w:t>ss, and dominance were computed for each sub-region.</w:t>
      </w:r>
    </w:p>
    <w:p w14:paraId="5957D86A" w14:textId="32D28BD8" w:rsidR="004E0D8A" w:rsidRDefault="009C0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sz w:val="24"/>
          <w:szCs w:val="24"/>
        </w:rPr>
        <w:t>Different ecological indices for species diversity, richness, evenness, and dominance</w:t>
      </w:r>
      <w:r w:rsidR="009F2F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in the study</w:t>
      </w:r>
    </w:p>
    <w:tbl>
      <w:tblPr>
        <w:tblStyle w:val="a"/>
        <w:tblW w:w="924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38"/>
        <w:gridCol w:w="2275"/>
        <w:gridCol w:w="2845"/>
        <w:gridCol w:w="2484"/>
      </w:tblGrid>
      <w:tr w:rsidR="004E0D8A" w14:paraId="3AEE1CC9" w14:textId="77777777">
        <w:trPr>
          <w:trHeight w:val="20"/>
        </w:trPr>
        <w:tc>
          <w:tcPr>
            <w:tcW w:w="3913" w:type="dxa"/>
            <w:gridSpan w:val="2"/>
            <w:tcBorders>
              <w:top w:val="single" w:sz="4" w:space="0" w:color="000000"/>
              <w:bottom w:val="single" w:sz="4" w:space="0" w:color="000000"/>
            </w:tcBorders>
          </w:tcPr>
          <w:p w14:paraId="1A1635A0" w14:textId="77777777"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Indices</w:t>
            </w:r>
          </w:p>
        </w:tc>
        <w:tc>
          <w:tcPr>
            <w:tcW w:w="2845" w:type="dxa"/>
            <w:tcBorders>
              <w:top w:val="single" w:sz="4" w:space="0" w:color="000000"/>
              <w:bottom w:val="single" w:sz="4" w:space="0" w:color="000000"/>
            </w:tcBorders>
          </w:tcPr>
          <w:p w14:paraId="6113E9CE" w14:textId="77777777"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Equation</w:t>
            </w:r>
          </w:p>
        </w:tc>
        <w:tc>
          <w:tcPr>
            <w:tcW w:w="2484" w:type="dxa"/>
            <w:tcBorders>
              <w:top w:val="single" w:sz="4" w:space="0" w:color="000000"/>
              <w:bottom w:val="single" w:sz="4" w:space="0" w:color="000000"/>
            </w:tcBorders>
          </w:tcPr>
          <w:p w14:paraId="53FD63E5" w14:textId="77777777"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Reference</w:t>
            </w:r>
          </w:p>
        </w:tc>
      </w:tr>
      <w:tr w:rsidR="004E0D8A" w14:paraId="2A490AF6" w14:textId="77777777">
        <w:trPr>
          <w:trHeight w:val="20"/>
        </w:trPr>
        <w:tc>
          <w:tcPr>
            <w:tcW w:w="1638" w:type="dxa"/>
            <w:vMerge w:val="restart"/>
            <w:tcBorders>
              <w:top w:val="single" w:sz="4" w:space="0" w:color="000000"/>
            </w:tcBorders>
          </w:tcPr>
          <w:p w14:paraId="5BD327A1"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Diversity indices</w:t>
            </w:r>
          </w:p>
        </w:tc>
        <w:tc>
          <w:tcPr>
            <w:tcW w:w="2275" w:type="dxa"/>
            <w:tcBorders>
              <w:top w:val="single" w:sz="4" w:space="0" w:color="000000"/>
            </w:tcBorders>
          </w:tcPr>
          <w:p w14:paraId="4EA438CF"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Shannon index </w:t>
            </w:r>
          </w:p>
        </w:tc>
        <w:tc>
          <w:tcPr>
            <w:tcW w:w="2845" w:type="dxa"/>
            <w:tcBorders>
              <w:top w:val="single" w:sz="4" w:space="0" w:color="000000"/>
            </w:tcBorders>
          </w:tcPr>
          <w:p w14:paraId="0D243791" w14:textId="77777777" w:rsidR="004E0D8A" w:rsidRDefault="009C0D87">
            <m:oMathPara>
              <m:oMath>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sub>
                  <m:sup>
                    <m:r>
                      <w:rPr>
                        <w:rFonts w:ascii="Cambria Math" w:eastAsia="Cambria Math" w:hAnsi="Cambria Math" w:cs="Cambria Math"/>
                        <w:color w:val="000000"/>
                      </w:rPr>
                      <m:t>n</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m:t>
                    </m:r>
                  </m:sub>
                </m:sSub>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m:t>
                    </m:r>
                  </m:sub>
                </m:sSub>
                <m:r>
                  <w:rPr>
                    <w:rFonts w:ascii="Cambria Math" w:hAnsi="Cambria Math"/>
                  </w:rPr>
                  <m:t xml:space="preserve"> </m:t>
                </m:r>
              </m:oMath>
            </m:oMathPara>
          </w:p>
        </w:tc>
        <w:tc>
          <w:tcPr>
            <w:tcW w:w="2484" w:type="dxa"/>
            <w:tcBorders>
              <w:top w:val="single" w:sz="4" w:space="0" w:color="000000"/>
            </w:tcBorders>
          </w:tcPr>
          <w:p w14:paraId="41746B66" w14:textId="77777777"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000000"/>
              </w:rPr>
              <w:t>Shannon, 1948</w:t>
            </w:r>
          </w:p>
        </w:tc>
      </w:tr>
      <w:tr w:rsidR="004E0D8A" w14:paraId="4755618F" w14:textId="77777777">
        <w:trPr>
          <w:trHeight w:val="20"/>
        </w:trPr>
        <w:tc>
          <w:tcPr>
            <w:tcW w:w="1638" w:type="dxa"/>
            <w:vMerge/>
            <w:tcBorders>
              <w:top w:val="single" w:sz="4" w:space="0" w:color="000000"/>
            </w:tcBorders>
          </w:tcPr>
          <w:p w14:paraId="4F365037"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14:paraId="71B02771"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Brillouin index</w:t>
            </w:r>
          </w:p>
        </w:tc>
        <w:tc>
          <w:tcPr>
            <w:tcW w:w="2845" w:type="dxa"/>
          </w:tcPr>
          <w:p w14:paraId="0DE6159C" w14:textId="77777777" w:rsidR="004E0D8A" w:rsidRDefault="009C0D87">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rPr>
                      <m:t>ln</m:t>
                    </m:r>
                    <m:r>
                      <w:rPr>
                        <w:rFonts w:ascii="Cambria Math" w:hAnsi="Cambria Math"/>
                      </w:rPr>
                      <m:t xml:space="preserve"> </m:t>
                    </m:r>
                    <m:r>
                      <w:rPr>
                        <w:rFonts w:ascii="Cambria Math" w:eastAsia="Cambria Math" w:hAnsi="Cambria Math" w:cs="Cambria Math"/>
                        <w:color w:val="000000"/>
                      </w:rPr>
                      <m:t>N</m:t>
                    </m:r>
                    <m:r>
                      <w:rPr>
                        <w:rFonts w:ascii="Cambria Math" w:eastAsia="Cambria Math" w:hAnsi="Cambria Math" w:cs="Cambria Math"/>
                        <w:color w:val="040C28"/>
                      </w:rPr>
                      <m:t>!-</m:t>
                    </m:r>
                    <m:nary>
                      <m:naryPr>
                        <m:chr m:val="∑"/>
                        <m:ctrlPr>
                          <w:rPr>
                            <w:rFonts w:ascii="Cambria Math" w:eastAsia="Cambria Math" w:hAnsi="Cambria Math" w:cs="Cambria Math"/>
                            <w:color w:val="040C28"/>
                          </w:rPr>
                        </m:ctrlPr>
                      </m:naryPr>
                      <m:sub>
                        <m:r>
                          <w:rPr>
                            <w:rFonts w:ascii="Cambria Math" w:eastAsia="Cambria Math" w:hAnsi="Cambria Math" w:cs="Cambria Math"/>
                            <w:color w:val="040C28"/>
                          </w:rPr>
                          <m:t>i</m:t>
                        </m:r>
                        <m:r>
                          <w:rPr>
                            <w:rFonts w:ascii="Cambria Math" w:eastAsia="Cambria Math" w:hAnsi="Cambria Math" w:cs="Cambria Math"/>
                            <w:color w:val="040C28"/>
                          </w:rPr>
                          <m:t>=1</m:t>
                        </m:r>
                      </m:sub>
                      <m:sup>
                        <m:r>
                          <w:rPr>
                            <w:rFonts w:ascii="Cambria Math" w:eastAsia="Cambria Math" w:hAnsi="Cambria Math" w:cs="Cambria Math"/>
                            <w:color w:val="040C28"/>
                          </w:rPr>
                          <m:t>s</m:t>
                        </m:r>
                      </m:sup>
                      <m:e/>
                    </m:nary>
                    <m:box>
                      <m:boxPr>
                        <m:opEmu m:val="1"/>
                        <m:ctrlPr>
                          <w:rPr>
                            <w:rFonts w:ascii="Cambria Math" w:eastAsia="Cambria Math" w:hAnsi="Cambria Math" w:cs="Cambria Math"/>
                            <w:color w:val="040C28"/>
                          </w:rPr>
                        </m:ctrlPr>
                      </m:boxPr>
                      <m:e>
                        <m:r>
                          <w:rPr>
                            <w:rFonts w:ascii="Cambria Math" w:eastAsia="Cambria Math" w:hAnsi="Cambria Math" w:cs="Cambria Math"/>
                            <w:color w:val="040C28"/>
                          </w:rPr>
                          <m:t>ln</m:t>
                        </m:r>
                      </m:e>
                    </m:box>
                    <m:r>
                      <w:rPr>
                        <w:rFonts w:ascii="Cambria Math" w:eastAsia="Cambria Math" w:hAnsi="Cambria Math" w:cs="Cambria Math"/>
                        <w:color w:val="040C28"/>
                      </w:rPr>
                      <m:t>ln</m:t>
                    </m:r>
                    <m:r>
                      <w:rPr>
                        <w:rFonts w:ascii="Cambria Math" w:hAnsi="Cambria Math"/>
                      </w:rPr>
                      <m:t xml:space="preserve"> </m:t>
                    </m:r>
                    <m:sSub>
                      <m:sSubPr>
                        <m:ctrlPr>
                          <w:rPr>
                            <w:rFonts w:ascii="Cambria Math" w:eastAsia="Cambria Math" w:hAnsi="Cambria Math" w:cs="Cambria Math"/>
                            <w:color w:val="040C28"/>
                          </w:rPr>
                        </m:ctrlPr>
                      </m:sSubPr>
                      <m:e>
                        <m:r>
                          <w:rPr>
                            <w:rFonts w:ascii="Cambria Math" w:eastAsia="Cambria Math" w:hAnsi="Cambria Math" w:cs="Cambria Math"/>
                            <w:color w:val="040C28"/>
                          </w:rPr>
                          <m:t>n</m:t>
                        </m:r>
                      </m:e>
                      <m:sub>
                        <m:r>
                          <w:rPr>
                            <w:rFonts w:ascii="Cambria Math" w:eastAsia="Cambria Math" w:hAnsi="Cambria Math" w:cs="Cambria Math"/>
                            <w:color w:val="040C28"/>
                          </w:rPr>
                          <m:t>i</m:t>
                        </m:r>
                      </m:sub>
                    </m:sSub>
                    <m:r>
                      <w:rPr>
                        <w:rFonts w:ascii="Cambria Math" w:eastAsia="Cambria Math" w:hAnsi="Cambria Math" w:cs="Cambria Math"/>
                        <w:color w:val="040C28"/>
                      </w:rPr>
                      <m:t>!</m:t>
                    </m:r>
                    <m:r>
                      <w:rPr>
                        <w:rFonts w:ascii="Cambria Math" w:hAnsi="Cambria Math"/>
                      </w:rPr>
                      <m:t xml:space="preserve">  </m:t>
                    </m:r>
                  </m:num>
                  <m:den>
                    <m:r>
                      <w:rPr>
                        <w:rFonts w:ascii="Cambria Math" w:eastAsia="Cambria Math" w:hAnsi="Cambria Math" w:cs="Cambria Math"/>
                        <w:color w:val="000000"/>
                      </w:rPr>
                      <m:t>N</m:t>
                    </m:r>
                  </m:den>
                </m:f>
              </m:oMath>
            </m:oMathPara>
          </w:p>
        </w:tc>
        <w:tc>
          <w:tcPr>
            <w:tcW w:w="2484" w:type="dxa"/>
          </w:tcPr>
          <w:p w14:paraId="4ED7C961" w14:textId="77777777" w:rsidR="004E0D8A" w:rsidRDefault="009C0D87">
            <w:pPr>
              <w:jc w:val="both"/>
              <w:rPr>
                <w:rFonts w:ascii="Times New Roman" w:eastAsia="Times New Roman" w:hAnsi="Times New Roman" w:cs="Times New Roman"/>
                <w:color w:val="010100"/>
              </w:rPr>
            </w:pPr>
            <w:r>
              <w:rPr>
                <w:rFonts w:ascii="Times New Roman" w:eastAsia="Times New Roman" w:hAnsi="Times New Roman" w:cs="Times New Roman"/>
                <w:color w:val="010100"/>
              </w:rPr>
              <w:t>Peet, 1975</w:t>
            </w:r>
          </w:p>
        </w:tc>
      </w:tr>
      <w:tr w:rsidR="004E0D8A" w14:paraId="56B62288" w14:textId="77777777">
        <w:trPr>
          <w:trHeight w:val="20"/>
        </w:trPr>
        <w:tc>
          <w:tcPr>
            <w:tcW w:w="1638" w:type="dxa"/>
            <w:vMerge w:val="restart"/>
          </w:tcPr>
          <w:p w14:paraId="318C8431"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Richness indices</w:t>
            </w:r>
          </w:p>
        </w:tc>
        <w:tc>
          <w:tcPr>
            <w:tcW w:w="2275" w:type="dxa"/>
          </w:tcPr>
          <w:p w14:paraId="76B80C16" w14:textId="77777777" w:rsidR="004E0D8A" w:rsidRDefault="009C0D87">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Margalef</w:t>
            </w:r>
            <w:proofErr w:type="spellEnd"/>
            <w:r>
              <w:rPr>
                <w:rFonts w:ascii="Times New Roman" w:eastAsia="Times New Roman" w:hAnsi="Times New Roman" w:cs="Times New Roman"/>
                <w:color w:val="000000"/>
              </w:rPr>
              <w:t xml:space="preserve"> index</w:t>
            </w:r>
          </w:p>
        </w:tc>
        <w:tc>
          <w:tcPr>
            <w:tcW w:w="2845" w:type="dxa"/>
          </w:tcPr>
          <w:p w14:paraId="0DB4A25A" w14:textId="77777777" w:rsidR="004E0D8A" w:rsidRDefault="009C0D87">
            <m:oMathPara>
              <m:oMath>
                <m:f>
                  <m:fPr>
                    <m:ctrlPr>
                      <w:rPr>
                        <w:rFonts w:ascii="Cambria Math" w:hAnsi="Cambria Math"/>
                      </w:rPr>
                    </m:ctrlPr>
                  </m:fPr>
                  <m:num>
                    <m:r>
                      <w:rPr>
                        <w:rFonts w:ascii="Cambria Math" w:eastAsia="Cambria Math" w:hAnsi="Cambria Math" w:cs="Cambria Math"/>
                        <w:color w:val="000000"/>
                      </w:rPr>
                      <m:t>S</m:t>
                    </m:r>
                    <m:r>
                      <w:rPr>
                        <w:rFonts w:ascii="Cambria Math" w:eastAsia="Cambria Math" w:hAnsi="Cambria Math" w:cs="Cambria Math"/>
                        <w:color w:val="000000"/>
                      </w:rPr>
                      <m:t>-</m:t>
                    </m:r>
                    <m:r>
                      <w:rPr>
                        <w:rFonts w:ascii="Cambria Math" w:eastAsia="Cambria Math" w:hAnsi="Cambria Math" w:cs="Cambria Math"/>
                        <w:color w:val="000000"/>
                      </w:rPr>
                      <m:t>1</m:t>
                    </m:r>
                  </m:num>
                  <m:den>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rPr>
                      <m:t xml:space="preserve"> </m:t>
                    </m:r>
                    <m:r>
                      <w:rPr>
                        <w:rFonts w:ascii="Cambria Math" w:eastAsia="Cambria Math" w:hAnsi="Cambria Math" w:cs="Cambria Math"/>
                        <w:color w:val="000000"/>
                      </w:rPr>
                      <m:t>N</m:t>
                    </m:r>
                    <m:r>
                      <w:rPr>
                        <w:rFonts w:ascii="Cambria Math" w:hAnsi="Cambria Math"/>
                      </w:rPr>
                      <m:t xml:space="preserve"> </m:t>
                    </m:r>
                  </m:den>
                </m:f>
              </m:oMath>
            </m:oMathPara>
          </w:p>
        </w:tc>
        <w:tc>
          <w:tcPr>
            <w:tcW w:w="2484" w:type="dxa"/>
          </w:tcPr>
          <w:p w14:paraId="65C521FF" w14:textId="77777777" w:rsidR="004E0D8A" w:rsidRDefault="009C0D87">
            <w:pPr>
              <w:jc w:val="both"/>
              <w:rPr>
                <w:rFonts w:ascii="Times New Roman" w:eastAsia="Times New Roman" w:hAnsi="Times New Roman" w:cs="Times New Roman"/>
              </w:rPr>
            </w:pPr>
            <w:proofErr w:type="spellStart"/>
            <w:r>
              <w:rPr>
                <w:rFonts w:ascii="Times New Roman" w:eastAsia="Times New Roman" w:hAnsi="Times New Roman" w:cs="Times New Roman"/>
                <w:color w:val="222222"/>
                <w:highlight w:val="white"/>
              </w:rPr>
              <w:t>Margalef</w:t>
            </w:r>
            <w:proofErr w:type="spellEnd"/>
            <w:r>
              <w:rPr>
                <w:rFonts w:ascii="Times New Roman" w:eastAsia="Times New Roman" w:hAnsi="Times New Roman" w:cs="Times New Roman"/>
                <w:color w:val="222222"/>
                <w:highlight w:val="white"/>
              </w:rPr>
              <w:t>, 1958</w:t>
            </w:r>
          </w:p>
        </w:tc>
      </w:tr>
      <w:tr w:rsidR="004E0D8A" w14:paraId="70F777A8" w14:textId="77777777">
        <w:trPr>
          <w:trHeight w:val="20"/>
        </w:trPr>
        <w:tc>
          <w:tcPr>
            <w:tcW w:w="1638" w:type="dxa"/>
            <w:vMerge/>
          </w:tcPr>
          <w:p w14:paraId="24578EA7"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14:paraId="4E086EF0" w14:textId="77777777" w:rsidR="004E0D8A" w:rsidRDefault="009C0D87">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Menhinick</w:t>
            </w:r>
            <w:proofErr w:type="spellEnd"/>
            <w:r>
              <w:rPr>
                <w:rFonts w:ascii="Times New Roman" w:eastAsia="Times New Roman" w:hAnsi="Times New Roman" w:cs="Times New Roman"/>
                <w:color w:val="000000"/>
              </w:rPr>
              <w:t xml:space="preserve"> index </w:t>
            </w:r>
          </w:p>
        </w:tc>
        <w:tc>
          <w:tcPr>
            <w:tcW w:w="2845" w:type="dxa"/>
          </w:tcPr>
          <w:p w14:paraId="3494D7F6" w14:textId="77777777" w:rsidR="004E0D8A" w:rsidRDefault="009C0D87">
            <w:pP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S</m:t>
                    </m:r>
                  </m:num>
                  <m:den>
                    <m:rad>
                      <m:radPr>
                        <m:degHide m:val="1"/>
                        <m:ctrlPr>
                          <w:rPr>
                            <w:rFonts w:ascii="Cambria Math" w:eastAsia="Cambria Math" w:hAnsi="Cambria Math" w:cs="Cambria Math"/>
                          </w:rPr>
                        </m:ctrlPr>
                      </m:radPr>
                      <m:deg/>
                      <m:e>
                        <m:r>
                          <w:rPr>
                            <w:rFonts w:ascii="Cambria Math" w:eastAsia="Cambria Math" w:hAnsi="Cambria Math" w:cs="Cambria Math"/>
                          </w:rPr>
                          <m:t>N</m:t>
                        </m:r>
                      </m:e>
                    </m:rad>
                  </m:den>
                </m:f>
              </m:oMath>
            </m:oMathPara>
          </w:p>
        </w:tc>
        <w:tc>
          <w:tcPr>
            <w:tcW w:w="2484" w:type="dxa"/>
          </w:tcPr>
          <w:p w14:paraId="4D2DCBFD" w14:textId="77777777" w:rsidR="004E0D8A" w:rsidRDefault="009C0D87">
            <w:pPr>
              <w:jc w:val="both"/>
              <w:rPr>
                <w:rFonts w:ascii="Times New Roman" w:eastAsia="Times New Roman" w:hAnsi="Times New Roman" w:cs="Times New Roman"/>
              </w:rPr>
            </w:pPr>
            <w:proofErr w:type="spellStart"/>
            <w:r>
              <w:rPr>
                <w:rFonts w:ascii="Times New Roman" w:eastAsia="Times New Roman" w:hAnsi="Times New Roman" w:cs="Times New Roman"/>
                <w:color w:val="222222"/>
                <w:highlight w:val="white"/>
              </w:rPr>
              <w:t>Menhinick</w:t>
            </w:r>
            <w:proofErr w:type="spellEnd"/>
            <w:r>
              <w:rPr>
                <w:rFonts w:ascii="Times New Roman" w:eastAsia="Times New Roman" w:hAnsi="Times New Roman" w:cs="Times New Roman"/>
                <w:color w:val="222222"/>
                <w:highlight w:val="white"/>
              </w:rPr>
              <w:t>, 1964</w:t>
            </w:r>
          </w:p>
        </w:tc>
      </w:tr>
      <w:tr w:rsidR="004E0D8A" w14:paraId="007EF303" w14:textId="77777777">
        <w:trPr>
          <w:trHeight w:val="20"/>
        </w:trPr>
        <w:tc>
          <w:tcPr>
            <w:tcW w:w="1638" w:type="dxa"/>
            <w:vMerge w:val="restart"/>
          </w:tcPr>
          <w:p w14:paraId="60B6648F"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Evenness indices</w:t>
            </w:r>
          </w:p>
        </w:tc>
        <w:tc>
          <w:tcPr>
            <w:tcW w:w="2275" w:type="dxa"/>
          </w:tcPr>
          <w:p w14:paraId="503CBDF4"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Sheldon index </w:t>
            </w:r>
          </w:p>
        </w:tc>
        <w:tc>
          <w:tcPr>
            <w:tcW w:w="2845" w:type="dxa"/>
          </w:tcPr>
          <w:p w14:paraId="45502B15" w14:textId="77777777" w:rsidR="004E0D8A" w:rsidRDefault="009C0D87">
            <w:pPr>
              <w:rPr>
                <w:rFonts w:ascii="Cambria Math" w:eastAsia="Cambria Math" w:hAnsi="Cambria Math" w:cs="Cambria Math"/>
              </w:rPr>
            </w:pPr>
            <m:oMathPara>
              <m:oMath>
                <m:f>
                  <m:fPr>
                    <m:ctrlPr>
                      <w:rPr>
                        <w:rFonts w:ascii="Cambria Math" w:eastAsia="Cambria Math" w:hAnsi="Cambria Math" w:cs="Cambria Math"/>
                      </w:rPr>
                    </m:ctrlPr>
                  </m:fPr>
                  <m:num>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H</m:t>
                            </m:r>
                          </m:sup>
                        </m:sSup>
                      </m:e>
                      <m:sup>
                        <m:r>
                          <w:rPr>
                            <w:rFonts w:ascii="Cambria Math" w:eastAsia="Cambria Math" w:hAnsi="Cambria Math" w:cs="Cambria Math"/>
                          </w:rPr>
                          <m:t>'</m:t>
                        </m:r>
                      </m:sup>
                    </m:sSup>
                  </m:num>
                  <m:den>
                    <m:r>
                      <w:rPr>
                        <w:rFonts w:ascii="Cambria Math" w:eastAsia="Cambria Math" w:hAnsi="Cambria Math" w:cs="Cambria Math"/>
                      </w:rPr>
                      <m:t>S</m:t>
                    </m:r>
                  </m:den>
                </m:f>
              </m:oMath>
            </m:oMathPara>
          </w:p>
        </w:tc>
        <w:tc>
          <w:tcPr>
            <w:tcW w:w="2484" w:type="dxa"/>
          </w:tcPr>
          <w:p w14:paraId="2F919E9E" w14:textId="77777777"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000000"/>
              </w:rPr>
              <w:t>Sheldon, 1969</w:t>
            </w:r>
          </w:p>
        </w:tc>
      </w:tr>
      <w:tr w:rsidR="004E0D8A" w14:paraId="2B88706D" w14:textId="77777777">
        <w:trPr>
          <w:trHeight w:val="20"/>
        </w:trPr>
        <w:tc>
          <w:tcPr>
            <w:tcW w:w="1638" w:type="dxa"/>
            <w:vMerge/>
          </w:tcPr>
          <w:p w14:paraId="213D64E0"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14:paraId="4B53B45A" w14:textId="77777777" w:rsidR="004E0D8A" w:rsidRDefault="009C0D87">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Heip</w:t>
            </w:r>
            <w:proofErr w:type="spellEnd"/>
            <w:r>
              <w:rPr>
                <w:rFonts w:ascii="Times New Roman" w:eastAsia="Times New Roman" w:hAnsi="Times New Roman" w:cs="Times New Roman"/>
                <w:color w:val="000000"/>
              </w:rPr>
              <w:t xml:space="preserve"> index </w:t>
            </w:r>
          </w:p>
        </w:tc>
        <w:tc>
          <w:tcPr>
            <w:tcW w:w="2845" w:type="dxa"/>
          </w:tcPr>
          <w:p w14:paraId="653AB0E7" w14:textId="77777777" w:rsidR="004E0D8A" w:rsidRDefault="009C0D87">
            <w:pPr>
              <w:rPr>
                <w:rFonts w:ascii="Cambria Math" w:eastAsia="Cambria Math" w:hAnsi="Cambria Math" w:cs="Cambria Math"/>
              </w:rPr>
            </w:pPr>
            <m:oMathPara>
              <m:oMath>
                <m:f>
                  <m:fPr>
                    <m:ctrlPr>
                      <w:rPr>
                        <w:rFonts w:ascii="Cambria Math" w:eastAsia="Cambria Math" w:hAnsi="Cambria Math" w:cs="Cambria Math"/>
                      </w:rPr>
                    </m:ctrlPr>
                  </m:fPr>
                  <m:num>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H</m:t>
                            </m:r>
                          </m:sup>
                        </m:sSup>
                      </m:e>
                      <m:sup>
                        <m:r>
                          <w:rPr>
                            <w:rFonts w:ascii="Cambria Math" w:eastAsia="Cambria Math" w:hAnsi="Cambria Math" w:cs="Cambria Math"/>
                          </w:rPr>
                          <m:t>'</m:t>
                        </m:r>
                      </m:sup>
                    </m:sSup>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1</m:t>
                    </m:r>
                  </m:den>
                </m:f>
              </m:oMath>
            </m:oMathPara>
          </w:p>
        </w:tc>
        <w:tc>
          <w:tcPr>
            <w:tcW w:w="2484" w:type="dxa"/>
          </w:tcPr>
          <w:p w14:paraId="17A18C1A" w14:textId="77777777" w:rsidR="004E0D8A" w:rsidRDefault="009C0D87">
            <w:pPr>
              <w:jc w:val="both"/>
              <w:rPr>
                <w:rFonts w:ascii="Times New Roman" w:eastAsia="Times New Roman" w:hAnsi="Times New Roman" w:cs="Times New Roman"/>
              </w:rPr>
            </w:pPr>
            <w:proofErr w:type="spellStart"/>
            <w:r>
              <w:rPr>
                <w:rFonts w:ascii="Times New Roman" w:eastAsia="Times New Roman" w:hAnsi="Times New Roman" w:cs="Times New Roman"/>
              </w:rPr>
              <w:t>Heip</w:t>
            </w:r>
            <w:proofErr w:type="spellEnd"/>
            <w:r>
              <w:rPr>
                <w:rFonts w:ascii="Times New Roman" w:eastAsia="Times New Roman" w:hAnsi="Times New Roman" w:cs="Times New Roman"/>
              </w:rPr>
              <w:t>, 1974</w:t>
            </w:r>
          </w:p>
        </w:tc>
      </w:tr>
      <w:tr w:rsidR="004E0D8A" w14:paraId="4CFDD52D" w14:textId="77777777">
        <w:trPr>
          <w:trHeight w:val="20"/>
        </w:trPr>
        <w:tc>
          <w:tcPr>
            <w:tcW w:w="1638" w:type="dxa"/>
            <w:vMerge/>
          </w:tcPr>
          <w:p w14:paraId="2C4DDB2B"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14:paraId="41DDC4BB" w14:textId="77777777" w:rsidR="004E0D8A" w:rsidRDefault="009C0D87">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Pielou</w:t>
            </w:r>
            <w:proofErr w:type="spellEnd"/>
            <w:r>
              <w:rPr>
                <w:rFonts w:ascii="Times New Roman" w:eastAsia="Times New Roman" w:hAnsi="Times New Roman" w:cs="Times New Roman"/>
                <w:color w:val="000000"/>
              </w:rPr>
              <w:t xml:space="preserve"> index </w:t>
            </w:r>
          </w:p>
        </w:tc>
        <w:tc>
          <w:tcPr>
            <w:tcW w:w="2845" w:type="dxa"/>
          </w:tcPr>
          <w:p w14:paraId="73D1180A" w14:textId="77777777" w:rsidR="004E0D8A" w:rsidRDefault="009C0D87">
            <m:oMathPara>
              <m:oMath>
                <m:f>
                  <m:fPr>
                    <m:ctrlPr>
                      <w:rPr>
                        <w:rFonts w:ascii="Cambria Math" w:hAnsi="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m:t>
                        </m:r>
                      </m:sup>
                    </m:sSup>
                  </m:num>
                  <m:den>
                    <m:box>
                      <m:boxPr>
                        <m:opEmu m:val="1"/>
                        <m:ctrlPr>
                          <w:rPr>
                            <w:rFonts w:ascii="Cambria Math" w:eastAsia="Cambria Math" w:hAnsi="Cambria Math" w:cs="Cambria Math"/>
                          </w:rPr>
                        </m:ctrlPr>
                      </m:boxPr>
                      <m:e>
                        <m:r>
                          <w:rPr>
                            <w:rFonts w:ascii="Cambria Math" w:eastAsia="Cambria Math" w:hAnsi="Cambria Math" w:cs="Cambria Math"/>
                          </w:rPr>
                          <m:t>ln</m:t>
                        </m:r>
                      </m:e>
                    </m:box>
                    <m:r>
                      <w:rPr>
                        <w:rFonts w:ascii="Cambria Math" w:eastAsia="Cambria Math" w:hAnsi="Cambria Math" w:cs="Cambria Math"/>
                      </w:rPr>
                      <m:t>ln</m:t>
                    </m:r>
                    <m:r>
                      <w:rPr>
                        <w:rFonts w:ascii="Cambria Math" w:hAnsi="Cambria Math"/>
                      </w:rPr>
                      <m:t xml:space="preserve"> </m:t>
                    </m:r>
                    <m:r>
                      <w:rPr>
                        <w:rFonts w:ascii="Cambria Math" w:eastAsia="Cambria Math" w:hAnsi="Cambria Math" w:cs="Cambria Math"/>
                      </w:rPr>
                      <m:t>S</m:t>
                    </m:r>
                    <m:r>
                      <w:rPr>
                        <w:rFonts w:ascii="Cambria Math" w:hAnsi="Cambria Math"/>
                      </w:rPr>
                      <m:t xml:space="preserve"> </m:t>
                    </m:r>
                  </m:den>
                </m:f>
              </m:oMath>
            </m:oMathPara>
          </w:p>
        </w:tc>
        <w:tc>
          <w:tcPr>
            <w:tcW w:w="2484" w:type="dxa"/>
          </w:tcPr>
          <w:p w14:paraId="37943D3B" w14:textId="77777777" w:rsidR="004E0D8A" w:rsidRDefault="009C0D87">
            <w:pPr>
              <w:jc w:val="both"/>
              <w:rPr>
                <w:rFonts w:ascii="Times New Roman" w:eastAsia="Times New Roman" w:hAnsi="Times New Roman" w:cs="Times New Roman"/>
              </w:rPr>
            </w:pPr>
            <w:r>
              <w:rPr>
                <w:rFonts w:ascii="Times New Roman" w:eastAsia="Times New Roman" w:hAnsi="Times New Roman" w:cs="Times New Roman"/>
                <w:highlight w:val="white"/>
              </w:rPr>
              <w:t>Pielou, 1966</w:t>
            </w:r>
          </w:p>
        </w:tc>
      </w:tr>
      <w:tr w:rsidR="004E0D8A" w14:paraId="7714AA3E" w14:textId="77777777">
        <w:trPr>
          <w:trHeight w:val="20"/>
        </w:trPr>
        <w:tc>
          <w:tcPr>
            <w:tcW w:w="1638" w:type="dxa"/>
            <w:vMerge w:val="restart"/>
          </w:tcPr>
          <w:p w14:paraId="40E809E5"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Dominance Indices</w:t>
            </w:r>
          </w:p>
        </w:tc>
        <w:tc>
          <w:tcPr>
            <w:tcW w:w="2275" w:type="dxa"/>
          </w:tcPr>
          <w:p w14:paraId="20D07B46"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Berger-Parker index</w:t>
            </w:r>
          </w:p>
        </w:tc>
        <w:tc>
          <w:tcPr>
            <w:tcW w:w="2845" w:type="dxa"/>
          </w:tcPr>
          <w:p w14:paraId="7915E12D" w14:textId="77777777" w:rsidR="004E0D8A" w:rsidRDefault="009C0D87">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max</m:t>
                        </m:r>
                      </m:sub>
                    </m:sSub>
                  </m:num>
                  <m:den>
                    <m:r>
                      <w:rPr>
                        <w:rFonts w:ascii="Cambria Math" w:eastAsia="Cambria Math" w:hAnsi="Cambria Math" w:cs="Cambria Math"/>
                        <w:color w:val="000000"/>
                      </w:rPr>
                      <m:t>N</m:t>
                    </m:r>
                  </m:den>
                </m:f>
              </m:oMath>
            </m:oMathPara>
          </w:p>
        </w:tc>
        <w:tc>
          <w:tcPr>
            <w:tcW w:w="2484" w:type="dxa"/>
          </w:tcPr>
          <w:p w14:paraId="576C76C1"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Berger and Parker, 1970</w:t>
            </w:r>
          </w:p>
        </w:tc>
      </w:tr>
      <w:tr w:rsidR="004E0D8A" w14:paraId="5E23EC7B" w14:textId="77777777">
        <w:trPr>
          <w:trHeight w:val="20"/>
        </w:trPr>
        <w:tc>
          <w:tcPr>
            <w:tcW w:w="1638" w:type="dxa"/>
            <w:vMerge/>
          </w:tcPr>
          <w:p w14:paraId="6ED40E72"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75" w:type="dxa"/>
          </w:tcPr>
          <w:p w14:paraId="583B2A6B"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Simpson index</w:t>
            </w:r>
          </w:p>
        </w:tc>
        <w:tc>
          <w:tcPr>
            <w:tcW w:w="2845" w:type="dxa"/>
          </w:tcPr>
          <w:p w14:paraId="70D72036" w14:textId="77777777" w:rsidR="004E0D8A" w:rsidRDefault="009C0D87">
            <w:pPr>
              <w:rPr>
                <w:rFonts w:ascii="Cambria Math" w:eastAsia="Cambria Math" w:hAnsi="Cambria Math" w:cs="Cambria Math"/>
              </w:rPr>
            </w:pPr>
            <m:oMathPara>
              <m:oMath>
                <m:nary>
                  <m:naryPr>
                    <m:chr m:val="∑"/>
                    <m:ctrlPr>
                      <w:rPr>
                        <w:rFonts w:ascii="Cambria Math" w:hAnsi="Cambria Math"/>
                      </w:rPr>
                    </m:ctrlPr>
                  </m:naryPr>
                  <m:sub/>
                  <m:sup/>
                  <m:e/>
                </m:nary>
                <m:sSup>
                  <m:sSupPr>
                    <m:ctrlPr>
                      <w:rPr>
                        <w:rFonts w:ascii="Cambria Math" w:eastAsia="Cambria Math" w:hAnsi="Cambria Math" w:cs="Cambria Math"/>
                      </w:rPr>
                    </m:ctrlPr>
                  </m:sSupPr>
                  <m:e>
                    <m:sSub>
                      <m:sSubPr>
                        <m:ctrlPr>
                          <w:rPr>
                            <w:rFonts w:ascii="Cambria Math" w:eastAsia="Cambria Math" w:hAnsi="Cambria Math" w:cs="Cambria Math"/>
                            <w:vertAlign w:val="subscript"/>
                          </w:rPr>
                        </m:ctrlPr>
                      </m:sSubPr>
                      <m:e>
                        <m:r>
                          <w:rPr>
                            <w:rFonts w:ascii="Cambria Math" w:eastAsia="Cambria Math" w:hAnsi="Cambria Math" w:cs="Cambria Math"/>
                            <w:vertAlign w:val="subscript"/>
                          </w:rPr>
                          <m:t>p</m:t>
                        </m:r>
                      </m:e>
                      <m:sub>
                        <m:r>
                          <w:rPr>
                            <w:rFonts w:ascii="Cambria Math" w:eastAsia="Cambria Math" w:hAnsi="Cambria Math" w:cs="Cambria Math"/>
                            <w:vertAlign w:val="subscript"/>
                          </w:rPr>
                          <m:t>i</m:t>
                        </m:r>
                      </m:sub>
                    </m:sSub>
                  </m:e>
                  <m:sup>
                    <m:r>
                      <w:rPr>
                        <w:rFonts w:ascii="Cambria Math" w:eastAsia="Cambria Math" w:hAnsi="Cambria Math" w:cs="Cambria Math"/>
                      </w:rPr>
                      <m:t>2</m:t>
                    </m:r>
                  </m:sup>
                </m:sSup>
              </m:oMath>
            </m:oMathPara>
          </w:p>
        </w:tc>
        <w:tc>
          <w:tcPr>
            <w:tcW w:w="2484" w:type="dxa"/>
          </w:tcPr>
          <w:p w14:paraId="07FBB38D" w14:textId="77777777" w:rsidR="004E0D8A" w:rsidRDefault="009C0D87">
            <w:pPr>
              <w:jc w:val="both"/>
              <w:rPr>
                <w:rFonts w:ascii="Times New Roman" w:eastAsia="Times New Roman" w:hAnsi="Times New Roman" w:cs="Times New Roman"/>
              </w:rPr>
            </w:pPr>
            <w:r>
              <w:rPr>
                <w:rFonts w:ascii="Times New Roman" w:eastAsia="Times New Roman" w:hAnsi="Times New Roman" w:cs="Times New Roman"/>
              </w:rPr>
              <w:t>Simpson, 1949</w:t>
            </w:r>
          </w:p>
        </w:tc>
      </w:tr>
      <w:tr w:rsidR="004E0D8A" w14:paraId="7A0A58C2" w14:textId="77777777">
        <w:trPr>
          <w:trHeight w:val="20"/>
        </w:trPr>
        <w:tc>
          <w:tcPr>
            <w:tcW w:w="1638" w:type="dxa"/>
            <w:vMerge/>
          </w:tcPr>
          <w:p w14:paraId="233416BB"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Borders>
              <w:bottom w:val="single" w:sz="4" w:space="0" w:color="000000"/>
            </w:tcBorders>
          </w:tcPr>
          <w:p w14:paraId="2058DAED" w14:textId="77777777"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McIntosh index </w:t>
            </w:r>
          </w:p>
        </w:tc>
        <w:tc>
          <w:tcPr>
            <w:tcW w:w="2845" w:type="dxa"/>
            <w:tcBorders>
              <w:bottom w:val="single" w:sz="4" w:space="0" w:color="000000"/>
            </w:tcBorders>
          </w:tcPr>
          <w:p w14:paraId="0BD38B85" w14:textId="77777777" w:rsidR="004E0D8A" w:rsidRDefault="009C0D87">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N</m:t>
                    </m:r>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r>
                          <w:rPr>
                            <w:rFonts w:ascii="Cambria Math" w:eastAsia="Cambria Math" w:hAnsi="Cambria Math" w:cs="Cambria Math"/>
                            <w:color w:val="000000"/>
                          </w:rPr>
                          <m:t>=1</m:t>
                        </m:r>
                      </m:sub>
                      <m:sup>
                        <m:r>
                          <w:rPr>
                            <w:rFonts w:ascii="Cambria Math" w:eastAsia="Cambria Math" w:hAnsi="Cambria Math" w:cs="Cambria Math"/>
                            <w:color w:val="000000"/>
                          </w:rPr>
                          <m:t>S</m:t>
                        </m:r>
                      </m:sup>
                      <m:e/>
                    </m:nary>
                    <m:sSup>
                      <m:sSupPr>
                        <m:ctrlPr>
                          <w:rPr>
                            <w:rFonts w:ascii="Cambria Math" w:eastAsia="Cambria Math" w:hAnsi="Cambria Math" w:cs="Cambria Math"/>
                            <w:color w:val="000000"/>
                          </w:rPr>
                        </m:ctrlPr>
                      </m:sSupPr>
                      <m:e>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i</m:t>
                            </m:r>
                          </m:sub>
                        </m:sSub>
                      </m:e>
                      <m:sup>
                        <m:r>
                          <w:rPr>
                            <w:rFonts w:ascii="Cambria Math" w:eastAsia="Cambria Math" w:hAnsi="Cambria Math" w:cs="Cambria Math"/>
                            <w:color w:val="000000"/>
                          </w:rPr>
                          <m:t>2</m:t>
                        </m:r>
                      </m:sup>
                    </m:sSup>
                  </m:num>
                  <m:den>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N</m:t>
                        </m:r>
                      </m:e>
                    </m:rad>
                    <m:r>
                      <w:rPr>
                        <w:rFonts w:ascii="Cambria Math" w:eastAsia="Cambria Math" w:hAnsi="Cambria Math" w:cs="Cambria Math"/>
                        <w:color w:val="000000"/>
                      </w:rPr>
                      <m:t>)</m:t>
                    </m:r>
                  </m:den>
                </m:f>
              </m:oMath>
            </m:oMathPara>
          </w:p>
        </w:tc>
        <w:tc>
          <w:tcPr>
            <w:tcW w:w="2484" w:type="dxa"/>
            <w:tcBorders>
              <w:bottom w:val="single" w:sz="4" w:space="0" w:color="000000"/>
            </w:tcBorders>
          </w:tcPr>
          <w:p w14:paraId="4D9C237D" w14:textId="77777777"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222222"/>
                <w:highlight w:val="white"/>
              </w:rPr>
              <w:t>McIntosh, 1967</w:t>
            </w:r>
          </w:p>
        </w:tc>
      </w:tr>
    </w:tbl>
    <w:p w14:paraId="79FC0F52" w14:textId="77777777" w:rsidR="004E0D8A" w:rsidRDefault="009C0D87">
      <w:pPr>
        <w:spacing w:line="240" w:lineRule="auto"/>
        <w:jc w:val="both"/>
        <w:rPr>
          <w:rFonts w:ascii="Times New Roman" w:eastAsia="Times New Roman" w:hAnsi="Times New Roman" w:cs="Times New Roman"/>
          <w:sz w:val="32"/>
          <w:szCs w:val="32"/>
        </w:rPr>
      </w:pPr>
      <w:r>
        <w:rPr>
          <w:rFonts w:ascii="Times New Roman" w:eastAsia="Times New Roman" w:hAnsi="Times New Roman" w:cs="Times New Roman"/>
          <w:color w:val="010100"/>
          <w:sz w:val="24"/>
          <w:szCs w:val="24"/>
        </w:rPr>
        <w:t xml:space="preserve">Note: N = total no. of individuals; </w:t>
      </w:r>
      <w:proofErr w:type="spellStart"/>
      <w:r>
        <w:rPr>
          <w:rFonts w:ascii="Times New Roman" w:eastAsia="Times New Roman" w:hAnsi="Times New Roman" w:cs="Times New Roman"/>
          <w:color w:val="010100"/>
          <w:sz w:val="24"/>
          <w:szCs w:val="24"/>
        </w:rPr>
        <w:t>n</w:t>
      </w:r>
      <w:r>
        <w:rPr>
          <w:rFonts w:ascii="Times New Roman" w:eastAsia="Times New Roman" w:hAnsi="Times New Roman" w:cs="Times New Roman"/>
          <w:color w:val="010100"/>
          <w:sz w:val="24"/>
          <w:szCs w:val="24"/>
          <w:vertAlign w:val="subscript"/>
        </w:rPr>
        <w:t>i</w:t>
      </w:r>
      <w:proofErr w:type="spellEnd"/>
      <w:r>
        <w:rPr>
          <w:rFonts w:ascii="Times New Roman" w:eastAsia="Times New Roman" w:hAnsi="Times New Roman" w:cs="Times New Roman"/>
          <w:color w:val="010100"/>
          <w:sz w:val="24"/>
          <w:szCs w:val="24"/>
        </w:rPr>
        <w:t xml:space="preserve"> = no. of individuals of </w:t>
      </w:r>
      <w:proofErr w:type="spellStart"/>
      <w:r>
        <w:rPr>
          <w:rFonts w:ascii="Times New Roman" w:eastAsia="Times New Roman" w:hAnsi="Times New Roman" w:cs="Times New Roman"/>
          <w:color w:val="010100"/>
          <w:sz w:val="24"/>
          <w:szCs w:val="24"/>
        </w:rPr>
        <w:t>i</w:t>
      </w:r>
      <w:r>
        <w:rPr>
          <w:rFonts w:ascii="Times New Roman" w:eastAsia="Times New Roman" w:hAnsi="Times New Roman" w:cs="Times New Roman"/>
          <w:color w:val="010100"/>
          <w:sz w:val="24"/>
          <w:szCs w:val="24"/>
          <w:vertAlign w:val="superscript"/>
        </w:rPr>
        <w:t>th</w:t>
      </w:r>
      <w:proofErr w:type="spellEnd"/>
      <w:r>
        <w:rPr>
          <w:rFonts w:ascii="Times New Roman" w:eastAsia="Times New Roman" w:hAnsi="Times New Roman" w:cs="Times New Roman"/>
          <w:color w:val="010100"/>
          <w:sz w:val="24"/>
          <w:szCs w:val="24"/>
        </w:rPr>
        <w:t xml:space="preserve"> species; S = </w:t>
      </w:r>
      <w:r>
        <w:rPr>
          <w:rFonts w:ascii="Times New Roman" w:eastAsia="Times New Roman" w:hAnsi="Times New Roman" w:cs="Times New Roman"/>
          <w:sz w:val="24"/>
          <w:szCs w:val="24"/>
        </w:rPr>
        <w:t xml:space="preserve">total no. of species; </w:t>
      </w:r>
      <w:proofErr w:type="spellStart"/>
      <w:r>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vertAlign w:val="subscript"/>
        </w:rPr>
        <w:t>max</w:t>
      </w:r>
      <w:proofErr w:type="spellEnd"/>
      <w:r>
        <w:rPr>
          <w:rFonts w:ascii="Times New Roman" w:eastAsia="Times New Roman" w:hAnsi="Times New Roman" w:cs="Times New Roman"/>
          <w:sz w:val="24"/>
          <w:szCs w:val="24"/>
          <w:highlight w:val="white"/>
        </w:rPr>
        <w:t xml:space="preserve"> = no. of individuals of most abundant species;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proportion of species in a community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/N)</w:t>
      </w:r>
    </w:p>
    <w:p w14:paraId="55E4BEF0"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 AND DISCUSSION</w:t>
      </w:r>
    </w:p>
    <w:p w14:paraId="437DEAA8"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Diversity of insect </w:t>
      </w:r>
      <w:r>
        <w:rPr>
          <w:rFonts w:ascii="Times New Roman" w:eastAsia="Times New Roman" w:hAnsi="Times New Roman" w:cs="Times New Roman"/>
          <w:b/>
          <w:sz w:val="24"/>
          <w:szCs w:val="24"/>
        </w:rPr>
        <w:t>pest complex</w:t>
      </w:r>
    </w:p>
    <w:p w14:paraId="50A01755"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has documented a total of 16 species of insect pests under 16 different families infesting litchi plants from these two sub-regions of Zone II. This insect pest complex included six Coleopteran, two Hemipteran, and six Lepidopteran p</w:t>
      </w:r>
      <w:r>
        <w:rPr>
          <w:rFonts w:ascii="Times New Roman" w:eastAsia="Times New Roman" w:hAnsi="Times New Roman" w:cs="Times New Roman"/>
          <w:sz w:val="24"/>
          <w:szCs w:val="24"/>
        </w:rPr>
        <w:t xml:space="preserve">ests, and one pest from each of the </w:t>
      </w:r>
      <w:proofErr w:type="spellStart"/>
      <w:r>
        <w:rPr>
          <w:rFonts w:ascii="Times New Roman" w:eastAsia="Times New Roman" w:hAnsi="Times New Roman" w:cs="Times New Roman"/>
          <w:sz w:val="24"/>
          <w:szCs w:val="24"/>
        </w:rPr>
        <w:t>Diptera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Sarcoptiformes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Acari</w:t>
      </w:r>
      <w:proofErr w:type="spellEnd"/>
      <w:r>
        <w:rPr>
          <w:rFonts w:ascii="Times New Roman" w:eastAsia="Times New Roman" w:hAnsi="Times New Roman" w:cs="Times New Roman"/>
          <w:sz w:val="24"/>
          <w:szCs w:val="24"/>
        </w:rPr>
        <w:t xml:space="preserve">) orders (Table 2). Furthermore, there was also little variation in qualitative species composition between sub-region II and sub-region V. The occurrence of these insect pests in litchi </w:t>
      </w:r>
      <w:r>
        <w:rPr>
          <w:rFonts w:ascii="Times New Roman" w:eastAsia="Times New Roman" w:hAnsi="Times New Roman" w:cs="Times New Roman"/>
          <w:sz w:val="24"/>
          <w:szCs w:val="24"/>
        </w:rPr>
        <w:t xml:space="preserve">orchards has also been reported from different parts of </w:t>
      </w:r>
      <w:r>
        <w:rPr>
          <w:rFonts w:ascii="Times New Roman" w:eastAsia="Times New Roman" w:hAnsi="Times New Roman" w:cs="Times New Roman"/>
          <w:sz w:val="24"/>
          <w:szCs w:val="24"/>
        </w:rPr>
        <w:lastRenderedPageBreak/>
        <w:t xml:space="preserve">India, causing mild to serious damage to the plants (Hameed et al., 1992, 2001; Singh et al., 2001; Kumar et al., 2011; Choudhary et al., 2013; Kumar et al., 2013; </w:t>
      </w:r>
      <w:r>
        <w:rPr>
          <w:rFonts w:ascii="Times New Roman" w:eastAsia="Times New Roman" w:hAnsi="Times New Roman" w:cs="Times New Roman"/>
          <w:color w:val="000000"/>
          <w:sz w:val="24"/>
          <w:szCs w:val="24"/>
        </w:rPr>
        <w:t>Kar et al., 2023</w:t>
      </w:r>
      <w:r>
        <w:rPr>
          <w:rFonts w:ascii="Times New Roman" w:eastAsia="Times New Roman" w:hAnsi="Times New Roman" w:cs="Times New Roman"/>
          <w:sz w:val="24"/>
          <w:szCs w:val="24"/>
        </w:rPr>
        <w:t>).</w:t>
      </w:r>
    </w:p>
    <w:p w14:paraId="28ABEBBA" w14:textId="77777777" w:rsidR="004E0D8A" w:rsidRDefault="009C0D8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Diversit</w:t>
      </w:r>
      <w:r>
        <w:rPr>
          <w:rFonts w:ascii="Times New Roman" w:eastAsia="Times New Roman" w:hAnsi="Times New Roman" w:cs="Times New Roman"/>
          <w:b/>
          <w:sz w:val="24"/>
          <w:szCs w:val="24"/>
        </w:rPr>
        <w:t xml:space="preserve">y of insect pests observed during the period of study (2022-24) </w:t>
      </w:r>
    </w:p>
    <w:tbl>
      <w:tblPr>
        <w:tblStyle w:val="a0"/>
        <w:tblW w:w="9242"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1744"/>
        <w:gridCol w:w="1737"/>
        <w:gridCol w:w="2410"/>
        <w:gridCol w:w="3351"/>
      </w:tblGrid>
      <w:tr w:rsidR="004E0D8A" w14:paraId="2D28F3D6" w14:textId="77777777">
        <w:tc>
          <w:tcPr>
            <w:tcW w:w="1744" w:type="dxa"/>
            <w:tcBorders>
              <w:top w:val="single" w:sz="4" w:space="0" w:color="000000"/>
              <w:bottom w:val="single" w:sz="4" w:space="0" w:color="000000"/>
            </w:tcBorders>
          </w:tcPr>
          <w:p w14:paraId="667EFBDC" w14:textId="77777777" w:rsidR="004E0D8A" w:rsidRDefault="009C0D87">
            <w:pPr>
              <w:rPr>
                <w:rFonts w:ascii="Times New Roman" w:eastAsia="Times New Roman" w:hAnsi="Times New Roman" w:cs="Times New Roman"/>
                <w:b/>
              </w:rPr>
            </w:pPr>
            <w:r>
              <w:rPr>
                <w:rFonts w:ascii="Times New Roman" w:eastAsia="Times New Roman" w:hAnsi="Times New Roman" w:cs="Times New Roman"/>
                <w:b/>
              </w:rPr>
              <w:t>Order</w:t>
            </w:r>
          </w:p>
        </w:tc>
        <w:tc>
          <w:tcPr>
            <w:tcW w:w="1737" w:type="dxa"/>
            <w:tcBorders>
              <w:top w:val="single" w:sz="4" w:space="0" w:color="000000"/>
              <w:bottom w:val="single" w:sz="4" w:space="0" w:color="000000"/>
            </w:tcBorders>
          </w:tcPr>
          <w:p w14:paraId="30911717" w14:textId="77777777" w:rsidR="004E0D8A" w:rsidRDefault="009C0D87">
            <w:pPr>
              <w:rPr>
                <w:rFonts w:ascii="Times New Roman" w:eastAsia="Times New Roman" w:hAnsi="Times New Roman" w:cs="Times New Roman"/>
                <w:b/>
              </w:rPr>
            </w:pPr>
            <w:r>
              <w:rPr>
                <w:rFonts w:ascii="Times New Roman" w:eastAsia="Times New Roman" w:hAnsi="Times New Roman" w:cs="Times New Roman"/>
                <w:b/>
              </w:rPr>
              <w:t>Family</w:t>
            </w:r>
          </w:p>
        </w:tc>
        <w:tc>
          <w:tcPr>
            <w:tcW w:w="2410" w:type="dxa"/>
            <w:tcBorders>
              <w:top w:val="single" w:sz="4" w:space="0" w:color="000000"/>
              <w:bottom w:val="single" w:sz="4" w:space="0" w:color="000000"/>
            </w:tcBorders>
          </w:tcPr>
          <w:p w14:paraId="492FA3F9" w14:textId="77777777" w:rsidR="004E0D8A" w:rsidRDefault="009C0D87">
            <w:pPr>
              <w:rPr>
                <w:rFonts w:ascii="Times New Roman" w:eastAsia="Times New Roman" w:hAnsi="Times New Roman" w:cs="Times New Roman"/>
                <w:b/>
              </w:rPr>
            </w:pPr>
            <w:r>
              <w:rPr>
                <w:rFonts w:ascii="Times New Roman" w:eastAsia="Times New Roman" w:hAnsi="Times New Roman" w:cs="Times New Roman"/>
                <w:b/>
              </w:rPr>
              <w:t>Common name</w:t>
            </w:r>
          </w:p>
        </w:tc>
        <w:tc>
          <w:tcPr>
            <w:tcW w:w="3351" w:type="dxa"/>
            <w:tcBorders>
              <w:top w:val="single" w:sz="4" w:space="0" w:color="000000"/>
              <w:bottom w:val="single" w:sz="4" w:space="0" w:color="000000"/>
            </w:tcBorders>
          </w:tcPr>
          <w:p w14:paraId="43B26066" w14:textId="77777777" w:rsidR="004E0D8A" w:rsidRDefault="009C0D87">
            <w:pPr>
              <w:rPr>
                <w:rFonts w:ascii="Times New Roman" w:eastAsia="Times New Roman" w:hAnsi="Times New Roman" w:cs="Times New Roman"/>
                <w:b/>
              </w:rPr>
            </w:pPr>
            <w:r>
              <w:rPr>
                <w:rFonts w:ascii="Times New Roman" w:eastAsia="Times New Roman" w:hAnsi="Times New Roman" w:cs="Times New Roman"/>
                <w:b/>
              </w:rPr>
              <w:t>Scientific name</w:t>
            </w:r>
          </w:p>
        </w:tc>
      </w:tr>
      <w:tr w:rsidR="004E0D8A" w14:paraId="40DC8190" w14:textId="77777777">
        <w:tc>
          <w:tcPr>
            <w:tcW w:w="1744" w:type="dxa"/>
            <w:vMerge w:val="restart"/>
            <w:tcBorders>
              <w:top w:val="single" w:sz="4" w:space="0" w:color="000000"/>
            </w:tcBorders>
          </w:tcPr>
          <w:p w14:paraId="171F16DC" w14:textId="77777777" w:rsidR="004E0D8A" w:rsidRDefault="009C0D87">
            <w:r>
              <w:rPr>
                <w:rFonts w:ascii="Times New Roman" w:eastAsia="Times New Roman" w:hAnsi="Times New Roman" w:cs="Times New Roman"/>
              </w:rPr>
              <w:t>Coleoptera</w:t>
            </w:r>
          </w:p>
          <w:p w14:paraId="1EBCBFA7" w14:textId="77777777" w:rsidR="004E0D8A" w:rsidRDefault="004E0D8A"/>
        </w:tc>
        <w:tc>
          <w:tcPr>
            <w:tcW w:w="1737" w:type="dxa"/>
            <w:tcBorders>
              <w:top w:val="single" w:sz="4" w:space="0" w:color="000000"/>
            </w:tcBorders>
          </w:tcPr>
          <w:p w14:paraId="4A113951"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Curculionidae</w:t>
            </w:r>
          </w:p>
        </w:tc>
        <w:tc>
          <w:tcPr>
            <w:tcW w:w="2410" w:type="dxa"/>
            <w:tcBorders>
              <w:top w:val="single" w:sz="4" w:space="0" w:color="000000"/>
            </w:tcBorders>
          </w:tcPr>
          <w:p w14:paraId="11D0B57D"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Grey weevil</w:t>
            </w:r>
          </w:p>
        </w:tc>
        <w:tc>
          <w:tcPr>
            <w:tcW w:w="3351" w:type="dxa"/>
            <w:tcBorders>
              <w:top w:val="single" w:sz="4" w:space="0" w:color="000000"/>
            </w:tcBorders>
          </w:tcPr>
          <w:p w14:paraId="0ECF46D1"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Myllocerus</w:t>
            </w:r>
            <w:proofErr w:type="spellEnd"/>
            <w:r>
              <w:rPr>
                <w:rFonts w:ascii="Times New Roman" w:eastAsia="Times New Roman" w:hAnsi="Times New Roman" w:cs="Times New Roman"/>
              </w:rPr>
              <w:t xml:space="preserve"> sp.</w:t>
            </w:r>
          </w:p>
        </w:tc>
      </w:tr>
      <w:tr w:rsidR="004E0D8A" w14:paraId="58B3D4AD" w14:textId="77777777">
        <w:tc>
          <w:tcPr>
            <w:tcW w:w="1744" w:type="dxa"/>
            <w:vMerge/>
            <w:tcBorders>
              <w:top w:val="single" w:sz="4" w:space="0" w:color="000000"/>
            </w:tcBorders>
          </w:tcPr>
          <w:p w14:paraId="66634FA5"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0AF36115"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Attelabidae</w:t>
            </w:r>
            <w:proofErr w:type="spellEnd"/>
          </w:p>
        </w:tc>
        <w:tc>
          <w:tcPr>
            <w:tcW w:w="2410" w:type="dxa"/>
          </w:tcPr>
          <w:p w14:paraId="35E02AF0"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Red weevil</w:t>
            </w:r>
          </w:p>
        </w:tc>
        <w:tc>
          <w:tcPr>
            <w:tcW w:w="3351" w:type="dxa"/>
          </w:tcPr>
          <w:p w14:paraId="73DBF786"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Apoderus</w:t>
            </w:r>
            <w:proofErr w:type="spellEnd"/>
            <w:r>
              <w:rPr>
                <w:rFonts w:ascii="Times New Roman" w:eastAsia="Times New Roman" w:hAnsi="Times New Roman" w:cs="Times New Roman"/>
              </w:rPr>
              <w:t xml:space="preserve"> sp.</w:t>
            </w:r>
          </w:p>
        </w:tc>
      </w:tr>
      <w:tr w:rsidR="004E0D8A" w14:paraId="564AF29D" w14:textId="77777777">
        <w:tc>
          <w:tcPr>
            <w:tcW w:w="1744" w:type="dxa"/>
            <w:vMerge/>
            <w:tcBorders>
              <w:top w:val="single" w:sz="4" w:space="0" w:color="000000"/>
            </w:tcBorders>
          </w:tcPr>
          <w:p w14:paraId="05F2DA93"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50B7F831"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Chrysomelidae</w:t>
            </w:r>
            <w:proofErr w:type="spellEnd"/>
          </w:p>
        </w:tc>
        <w:tc>
          <w:tcPr>
            <w:tcW w:w="2410" w:type="dxa"/>
          </w:tcPr>
          <w:p w14:paraId="3CB951E2"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Flea beetles</w:t>
            </w:r>
          </w:p>
        </w:tc>
        <w:tc>
          <w:tcPr>
            <w:tcW w:w="3351" w:type="dxa"/>
          </w:tcPr>
          <w:p w14:paraId="2C871C07"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Altica</w:t>
            </w:r>
            <w:proofErr w:type="spellEnd"/>
            <w:r>
              <w:rPr>
                <w:rFonts w:ascii="Times New Roman" w:eastAsia="Times New Roman" w:hAnsi="Times New Roman" w:cs="Times New Roman"/>
              </w:rPr>
              <w:t xml:space="preserve"> sp.</w:t>
            </w:r>
          </w:p>
        </w:tc>
      </w:tr>
      <w:tr w:rsidR="004E0D8A" w14:paraId="59992179" w14:textId="77777777">
        <w:tc>
          <w:tcPr>
            <w:tcW w:w="1744" w:type="dxa"/>
            <w:vMerge/>
            <w:tcBorders>
              <w:top w:val="single" w:sz="4" w:space="0" w:color="000000"/>
            </w:tcBorders>
          </w:tcPr>
          <w:p w14:paraId="144A421C"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7FD6F42D"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Scarabaeidae</w:t>
            </w:r>
            <w:proofErr w:type="spellEnd"/>
          </w:p>
        </w:tc>
        <w:tc>
          <w:tcPr>
            <w:tcW w:w="2410" w:type="dxa"/>
          </w:tcPr>
          <w:p w14:paraId="7462518A"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Metallic Beetle</w:t>
            </w:r>
          </w:p>
        </w:tc>
        <w:tc>
          <w:tcPr>
            <w:tcW w:w="3351" w:type="dxa"/>
          </w:tcPr>
          <w:p w14:paraId="7ADF0A40" w14:textId="77777777" w:rsidR="004E0D8A" w:rsidRDefault="009C0D87">
            <w:pPr>
              <w:rPr>
                <w:rFonts w:ascii="Times New Roman" w:eastAsia="Times New Roman" w:hAnsi="Times New Roman" w:cs="Times New Roman"/>
              </w:rPr>
            </w:pPr>
            <w:r>
              <w:rPr>
                <w:rFonts w:ascii="Times New Roman" w:eastAsia="Times New Roman" w:hAnsi="Times New Roman" w:cs="Times New Roman"/>
                <w:i/>
              </w:rPr>
              <w:t>Popillia</w:t>
            </w:r>
            <w:r>
              <w:rPr>
                <w:rFonts w:ascii="Times New Roman" w:eastAsia="Times New Roman" w:hAnsi="Times New Roman" w:cs="Times New Roman"/>
              </w:rPr>
              <w:t xml:space="preserve"> sp.</w:t>
            </w:r>
          </w:p>
        </w:tc>
      </w:tr>
      <w:tr w:rsidR="004E0D8A" w14:paraId="5E0C8AB4" w14:textId="77777777">
        <w:tc>
          <w:tcPr>
            <w:tcW w:w="1744" w:type="dxa"/>
            <w:vMerge/>
            <w:tcBorders>
              <w:top w:val="single" w:sz="4" w:space="0" w:color="000000"/>
            </w:tcBorders>
          </w:tcPr>
          <w:p w14:paraId="62A61245"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1817CFD0"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Tenebrionidae</w:t>
            </w:r>
          </w:p>
        </w:tc>
        <w:tc>
          <w:tcPr>
            <w:tcW w:w="2410" w:type="dxa"/>
          </w:tcPr>
          <w:p w14:paraId="648C23DF"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Shoulder beetle</w:t>
            </w:r>
          </w:p>
        </w:tc>
        <w:tc>
          <w:tcPr>
            <w:tcW w:w="3351" w:type="dxa"/>
          </w:tcPr>
          <w:p w14:paraId="6F48FC86"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Lagria</w:t>
            </w:r>
            <w:proofErr w:type="spellEnd"/>
            <w:r>
              <w:rPr>
                <w:rFonts w:ascii="Times New Roman" w:eastAsia="Times New Roman" w:hAnsi="Times New Roman" w:cs="Times New Roman"/>
              </w:rPr>
              <w:t xml:space="preserve"> sp.</w:t>
            </w:r>
          </w:p>
        </w:tc>
      </w:tr>
      <w:tr w:rsidR="004E0D8A" w14:paraId="4135392A" w14:textId="77777777">
        <w:tc>
          <w:tcPr>
            <w:tcW w:w="1744" w:type="dxa"/>
            <w:vMerge/>
            <w:tcBorders>
              <w:top w:val="single" w:sz="4" w:space="0" w:color="000000"/>
            </w:tcBorders>
          </w:tcPr>
          <w:p w14:paraId="2231F622"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71BC288D"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Cerambycidae</w:t>
            </w:r>
            <w:proofErr w:type="spellEnd"/>
          </w:p>
        </w:tc>
        <w:tc>
          <w:tcPr>
            <w:tcW w:w="2410" w:type="dxa"/>
          </w:tcPr>
          <w:p w14:paraId="5A6C9DE2"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Litchi stem borer</w:t>
            </w:r>
          </w:p>
        </w:tc>
        <w:tc>
          <w:tcPr>
            <w:tcW w:w="3351" w:type="dxa"/>
          </w:tcPr>
          <w:p w14:paraId="13F1E043" w14:textId="77777777" w:rsidR="004E0D8A" w:rsidRDefault="009C0D87">
            <w:pPr>
              <w:rPr>
                <w:rFonts w:ascii="Times New Roman" w:eastAsia="Times New Roman" w:hAnsi="Times New Roman" w:cs="Times New Roman"/>
                <w:i/>
              </w:rPr>
            </w:pPr>
            <w:proofErr w:type="spellStart"/>
            <w:proofErr w:type="gramStart"/>
            <w:r>
              <w:rPr>
                <w:rFonts w:ascii="Times New Roman" w:eastAsia="Times New Roman" w:hAnsi="Times New Roman" w:cs="Times New Roman"/>
                <w:i/>
              </w:rPr>
              <w:t>Aristobiareticulator</w:t>
            </w:r>
            <w:proofErr w:type="spellEnd"/>
            <w:r>
              <w:rPr>
                <w:rFonts w:ascii="Times New Roman" w:eastAsia="Times New Roman" w:hAnsi="Times New Roman" w:cs="Times New Roman"/>
              </w:rPr>
              <w:t>(</w:t>
            </w:r>
            <w:proofErr w:type="spellStart"/>
            <w:proofErr w:type="gramEnd"/>
            <w:r>
              <w:rPr>
                <w:rFonts w:ascii="Times New Roman" w:eastAsia="Times New Roman" w:hAnsi="Times New Roman" w:cs="Times New Roman"/>
              </w:rPr>
              <w:t>Fabricius</w:t>
            </w:r>
            <w:proofErr w:type="spellEnd"/>
            <w:r>
              <w:rPr>
                <w:rFonts w:ascii="Times New Roman" w:eastAsia="Times New Roman" w:hAnsi="Times New Roman" w:cs="Times New Roman"/>
              </w:rPr>
              <w:t>)</w:t>
            </w:r>
          </w:p>
        </w:tc>
      </w:tr>
      <w:tr w:rsidR="004E0D8A" w14:paraId="4C497058" w14:textId="77777777">
        <w:tc>
          <w:tcPr>
            <w:tcW w:w="1744" w:type="dxa"/>
            <w:vMerge w:val="restart"/>
          </w:tcPr>
          <w:p w14:paraId="31DEDD65"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Hemiptera</w:t>
            </w:r>
          </w:p>
        </w:tc>
        <w:tc>
          <w:tcPr>
            <w:tcW w:w="1737" w:type="dxa"/>
          </w:tcPr>
          <w:p w14:paraId="4DE03D10"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Alydidae</w:t>
            </w:r>
            <w:proofErr w:type="spellEnd"/>
          </w:p>
        </w:tc>
        <w:tc>
          <w:tcPr>
            <w:tcW w:w="2410" w:type="dxa"/>
          </w:tcPr>
          <w:p w14:paraId="2E9372B1"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Gundhi</w:t>
            </w:r>
            <w:proofErr w:type="spellEnd"/>
            <w:r>
              <w:rPr>
                <w:rFonts w:ascii="Times New Roman" w:eastAsia="Times New Roman" w:hAnsi="Times New Roman" w:cs="Times New Roman"/>
              </w:rPr>
              <w:t xml:space="preserve"> bug</w:t>
            </w:r>
          </w:p>
        </w:tc>
        <w:tc>
          <w:tcPr>
            <w:tcW w:w="3351" w:type="dxa"/>
          </w:tcPr>
          <w:p w14:paraId="69A3CF02" w14:textId="77777777" w:rsidR="004E0D8A" w:rsidRDefault="009C0D87">
            <w:pPr>
              <w:rPr>
                <w:rFonts w:ascii="Times New Roman" w:eastAsia="Times New Roman" w:hAnsi="Times New Roman" w:cs="Times New Roman"/>
              </w:rPr>
            </w:pPr>
            <w:proofErr w:type="spellStart"/>
            <w:proofErr w:type="gramStart"/>
            <w:r>
              <w:rPr>
                <w:rFonts w:ascii="Times New Roman" w:eastAsia="Times New Roman" w:hAnsi="Times New Roman" w:cs="Times New Roman"/>
                <w:i/>
              </w:rPr>
              <w:t>Leptocorisaoratoria</w:t>
            </w:r>
            <w:proofErr w:type="spellEnd"/>
            <w:r>
              <w:rPr>
                <w:rFonts w:ascii="Times New Roman" w:eastAsia="Times New Roman" w:hAnsi="Times New Roman" w:cs="Times New Roman"/>
              </w:rPr>
              <w:t>(</w:t>
            </w:r>
            <w:proofErr w:type="spellStart"/>
            <w:proofErr w:type="gramEnd"/>
            <w:r>
              <w:rPr>
                <w:rFonts w:ascii="Times New Roman" w:eastAsia="Times New Roman" w:hAnsi="Times New Roman" w:cs="Times New Roman"/>
              </w:rPr>
              <w:t>Fabricius</w:t>
            </w:r>
            <w:proofErr w:type="spellEnd"/>
            <w:r>
              <w:rPr>
                <w:rFonts w:ascii="Times New Roman" w:eastAsia="Times New Roman" w:hAnsi="Times New Roman" w:cs="Times New Roman"/>
              </w:rPr>
              <w:t>)</w:t>
            </w:r>
          </w:p>
        </w:tc>
      </w:tr>
      <w:tr w:rsidR="004E0D8A" w14:paraId="0607CFCE" w14:textId="77777777">
        <w:tc>
          <w:tcPr>
            <w:tcW w:w="1744" w:type="dxa"/>
            <w:vMerge/>
          </w:tcPr>
          <w:p w14:paraId="3867BA09"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7E58AB7B"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Tessaratomidae</w:t>
            </w:r>
            <w:proofErr w:type="spellEnd"/>
          </w:p>
        </w:tc>
        <w:tc>
          <w:tcPr>
            <w:tcW w:w="2410" w:type="dxa"/>
          </w:tcPr>
          <w:p w14:paraId="2AB78113"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Litchi stink bug</w:t>
            </w:r>
          </w:p>
        </w:tc>
        <w:tc>
          <w:tcPr>
            <w:tcW w:w="3351" w:type="dxa"/>
          </w:tcPr>
          <w:p w14:paraId="5CDF8540" w14:textId="77777777" w:rsidR="004E0D8A" w:rsidRDefault="009C0D87">
            <w:pPr>
              <w:rPr>
                <w:rFonts w:ascii="Times New Roman" w:eastAsia="Times New Roman" w:hAnsi="Times New Roman" w:cs="Times New Roman"/>
              </w:rPr>
            </w:pPr>
            <w:proofErr w:type="spellStart"/>
            <w:proofErr w:type="gramStart"/>
            <w:r>
              <w:rPr>
                <w:rFonts w:ascii="Times New Roman" w:eastAsia="Times New Roman" w:hAnsi="Times New Roman" w:cs="Times New Roman"/>
                <w:i/>
              </w:rPr>
              <w:t>Tessaratomapapillosa</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Drury)</w:t>
            </w:r>
          </w:p>
        </w:tc>
      </w:tr>
      <w:tr w:rsidR="004E0D8A" w14:paraId="28CF5C54" w14:textId="77777777">
        <w:tc>
          <w:tcPr>
            <w:tcW w:w="1744" w:type="dxa"/>
            <w:vMerge w:val="restart"/>
          </w:tcPr>
          <w:p w14:paraId="74BBC65C"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Lepidoptera</w:t>
            </w:r>
          </w:p>
        </w:tc>
        <w:tc>
          <w:tcPr>
            <w:tcW w:w="1737" w:type="dxa"/>
          </w:tcPr>
          <w:p w14:paraId="62B59DEC"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Tortricidae</w:t>
            </w:r>
            <w:proofErr w:type="spellEnd"/>
          </w:p>
        </w:tc>
        <w:tc>
          <w:tcPr>
            <w:tcW w:w="2410" w:type="dxa"/>
          </w:tcPr>
          <w:p w14:paraId="6C785327"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Leaf folder/ roller</w:t>
            </w:r>
          </w:p>
        </w:tc>
        <w:tc>
          <w:tcPr>
            <w:tcW w:w="3351" w:type="dxa"/>
          </w:tcPr>
          <w:p w14:paraId="5F1AF900"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Duduaaprobola</w:t>
            </w:r>
            <w:r>
              <w:rPr>
                <w:rFonts w:ascii="Times New Roman" w:eastAsia="Times New Roman" w:hAnsi="Times New Roman" w:cs="Times New Roman"/>
              </w:rPr>
              <w:t>Meyrick</w:t>
            </w:r>
            <w:proofErr w:type="spellEnd"/>
          </w:p>
        </w:tc>
      </w:tr>
      <w:tr w:rsidR="004E0D8A" w14:paraId="7836E147" w14:textId="77777777">
        <w:tc>
          <w:tcPr>
            <w:tcW w:w="1744" w:type="dxa"/>
            <w:vMerge/>
          </w:tcPr>
          <w:p w14:paraId="3615C880"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7CB9A300"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Cossidae</w:t>
            </w:r>
            <w:proofErr w:type="spellEnd"/>
          </w:p>
        </w:tc>
        <w:tc>
          <w:tcPr>
            <w:tcW w:w="2410" w:type="dxa"/>
          </w:tcPr>
          <w:p w14:paraId="78AF224B"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Bark-eating caterpillar</w:t>
            </w:r>
          </w:p>
        </w:tc>
        <w:tc>
          <w:tcPr>
            <w:tcW w:w="3351" w:type="dxa"/>
          </w:tcPr>
          <w:p w14:paraId="71C39BA4"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Indarbela</w:t>
            </w:r>
            <w:proofErr w:type="spellEnd"/>
            <w:r>
              <w:rPr>
                <w:rFonts w:ascii="Times New Roman" w:eastAsia="Times New Roman" w:hAnsi="Times New Roman" w:cs="Times New Roman"/>
              </w:rPr>
              <w:t xml:space="preserve"> sp.</w:t>
            </w:r>
          </w:p>
        </w:tc>
      </w:tr>
      <w:tr w:rsidR="004E0D8A" w14:paraId="32DD1F7F" w14:textId="77777777">
        <w:tc>
          <w:tcPr>
            <w:tcW w:w="1744" w:type="dxa"/>
            <w:vMerge/>
          </w:tcPr>
          <w:p w14:paraId="6C6D66FD"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3C14DE0A"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Psychidae</w:t>
            </w:r>
          </w:p>
        </w:tc>
        <w:tc>
          <w:tcPr>
            <w:tcW w:w="2410" w:type="dxa"/>
          </w:tcPr>
          <w:p w14:paraId="0796EF4B"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Bagworm</w:t>
            </w:r>
          </w:p>
        </w:tc>
        <w:tc>
          <w:tcPr>
            <w:tcW w:w="3351" w:type="dxa"/>
          </w:tcPr>
          <w:p w14:paraId="4466B290"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i/>
              </w:rPr>
              <w:t>Eumetacrameri</w:t>
            </w:r>
            <w:r>
              <w:rPr>
                <w:rFonts w:ascii="Times New Roman" w:eastAsia="Times New Roman" w:hAnsi="Times New Roman" w:cs="Times New Roman"/>
              </w:rPr>
              <w:t>Westwood</w:t>
            </w:r>
            <w:proofErr w:type="spellEnd"/>
          </w:p>
        </w:tc>
      </w:tr>
      <w:tr w:rsidR="004E0D8A" w14:paraId="5A7551AE" w14:textId="77777777">
        <w:tc>
          <w:tcPr>
            <w:tcW w:w="1744" w:type="dxa"/>
            <w:vMerge/>
          </w:tcPr>
          <w:p w14:paraId="680E152A"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37" w:type="dxa"/>
          </w:tcPr>
          <w:p w14:paraId="7F4ED7C7"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Geometridae</w:t>
            </w:r>
            <w:proofErr w:type="spellEnd"/>
          </w:p>
        </w:tc>
        <w:tc>
          <w:tcPr>
            <w:tcW w:w="2410" w:type="dxa"/>
          </w:tcPr>
          <w:p w14:paraId="0EB8E03C"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Semilooper</w:t>
            </w:r>
          </w:p>
        </w:tc>
        <w:tc>
          <w:tcPr>
            <w:tcW w:w="3351" w:type="dxa"/>
          </w:tcPr>
          <w:p w14:paraId="657F29D9" w14:textId="77777777" w:rsidR="004E0D8A" w:rsidRDefault="009C0D87">
            <w:pPr>
              <w:rPr>
                <w:rFonts w:ascii="Times New Roman" w:eastAsia="Times New Roman" w:hAnsi="Times New Roman" w:cs="Times New Roman"/>
                <w:i/>
              </w:rPr>
            </w:pPr>
            <w:proofErr w:type="spellStart"/>
            <w:proofErr w:type="gramStart"/>
            <w:r>
              <w:rPr>
                <w:rFonts w:ascii="Times New Roman" w:eastAsia="Times New Roman" w:hAnsi="Times New Roman" w:cs="Times New Roman"/>
                <w:i/>
              </w:rPr>
              <w:t>Perixeraillepidaria</w:t>
            </w:r>
            <w:proofErr w:type="spellEnd"/>
            <w:r>
              <w:rPr>
                <w:rFonts w:ascii="Times New Roman" w:eastAsia="Times New Roman" w:hAnsi="Times New Roman" w:cs="Times New Roman"/>
              </w:rPr>
              <w:t>(</w:t>
            </w:r>
            <w:proofErr w:type="spellStart"/>
            <w:proofErr w:type="gramEnd"/>
            <w:r>
              <w:rPr>
                <w:rFonts w:ascii="Times New Roman" w:eastAsia="Times New Roman" w:hAnsi="Times New Roman" w:cs="Times New Roman"/>
              </w:rPr>
              <w:t>Guenee</w:t>
            </w:r>
            <w:proofErr w:type="spellEnd"/>
            <w:r>
              <w:rPr>
                <w:rFonts w:ascii="Times New Roman" w:eastAsia="Times New Roman" w:hAnsi="Times New Roman" w:cs="Times New Roman"/>
              </w:rPr>
              <w:t>)</w:t>
            </w:r>
          </w:p>
        </w:tc>
      </w:tr>
      <w:tr w:rsidR="004E0D8A" w14:paraId="4738CAE5" w14:textId="77777777">
        <w:tc>
          <w:tcPr>
            <w:tcW w:w="1744" w:type="dxa"/>
            <w:vMerge/>
          </w:tcPr>
          <w:p w14:paraId="61CB76F8"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i/>
              </w:rPr>
            </w:pPr>
          </w:p>
        </w:tc>
        <w:tc>
          <w:tcPr>
            <w:tcW w:w="1737" w:type="dxa"/>
          </w:tcPr>
          <w:p w14:paraId="55A00479"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Gracillariidae</w:t>
            </w:r>
            <w:proofErr w:type="spellEnd"/>
          </w:p>
        </w:tc>
        <w:tc>
          <w:tcPr>
            <w:tcW w:w="2410" w:type="dxa"/>
          </w:tcPr>
          <w:p w14:paraId="76D883E0"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Fruit borer</w:t>
            </w:r>
          </w:p>
        </w:tc>
        <w:tc>
          <w:tcPr>
            <w:tcW w:w="3351" w:type="dxa"/>
          </w:tcPr>
          <w:p w14:paraId="6B48141F" w14:textId="77777777" w:rsidR="004E0D8A" w:rsidRDefault="009C0D87">
            <w:pPr>
              <w:rPr>
                <w:rFonts w:ascii="Times New Roman" w:eastAsia="Times New Roman" w:hAnsi="Times New Roman" w:cs="Times New Roman"/>
                <w:i/>
              </w:rPr>
            </w:pPr>
            <w:proofErr w:type="spellStart"/>
            <w:r>
              <w:rPr>
                <w:rFonts w:ascii="Times New Roman" w:eastAsia="Times New Roman" w:hAnsi="Times New Roman" w:cs="Times New Roman"/>
                <w:i/>
              </w:rPr>
              <w:t>Conopomorphasinensis</w:t>
            </w:r>
            <w:proofErr w:type="spellEnd"/>
            <w:r>
              <w:rPr>
                <w:rFonts w:ascii="Times New Roman" w:eastAsia="Times New Roman" w:hAnsi="Times New Roman" w:cs="Times New Roman"/>
              </w:rPr>
              <w:t xml:space="preserve"> Bradley  </w:t>
            </w:r>
          </w:p>
        </w:tc>
      </w:tr>
      <w:tr w:rsidR="004E0D8A" w14:paraId="2207B1B7" w14:textId="77777777">
        <w:tc>
          <w:tcPr>
            <w:tcW w:w="1744" w:type="dxa"/>
            <w:vMerge/>
          </w:tcPr>
          <w:p w14:paraId="68CC80BD"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i/>
              </w:rPr>
            </w:pPr>
          </w:p>
        </w:tc>
        <w:tc>
          <w:tcPr>
            <w:tcW w:w="1737" w:type="dxa"/>
          </w:tcPr>
          <w:p w14:paraId="0873D2CB"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Blastobasidae</w:t>
            </w:r>
            <w:proofErr w:type="spellEnd"/>
          </w:p>
        </w:tc>
        <w:tc>
          <w:tcPr>
            <w:tcW w:w="2410" w:type="dxa"/>
          </w:tcPr>
          <w:p w14:paraId="5E6A5A16"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Litchi nut borer</w:t>
            </w:r>
          </w:p>
        </w:tc>
        <w:tc>
          <w:tcPr>
            <w:tcW w:w="3351" w:type="dxa"/>
          </w:tcPr>
          <w:p w14:paraId="310EDB81" w14:textId="77777777" w:rsidR="004E0D8A" w:rsidRDefault="009C0D87">
            <w:pPr>
              <w:rPr>
                <w:rFonts w:ascii="Times New Roman" w:eastAsia="Times New Roman" w:hAnsi="Times New Roman" w:cs="Times New Roman"/>
                <w:i/>
              </w:rPr>
            </w:pPr>
            <w:proofErr w:type="spellStart"/>
            <w:r>
              <w:rPr>
                <w:rFonts w:ascii="Times New Roman" w:eastAsia="Times New Roman" w:hAnsi="Times New Roman" w:cs="Times New Roman"/>
                <w:i/>
              </w:rPr>
              <w:t>Blastobasis</w:t>
            </w:r>
            <w:r>
              <w:rPr>
                <w:rFonts w:ascii="Times New Roman" w:eastAsia="Times New Roman" w:hAnsi="Times New Roman" w:cs="Times New Roman"/>
              </w:rPr>
              <w:t>sp</w:t>
            </w:r>
            <w:proofErr w:type="spellEnd"/>
            <w:r>
              <w:rPr>
                <w:rFonts w:ascii="Times New Roman" w:eastAsia="Times New Roman" w:hAnsi="Times New Roman" w:cs="Times New Roman"/>
              </w:rPr>
              <w:t>.</w:t>
            </w:r>
          </w:p>
        </w:tc>
      </w:tr>
      <w:tr w:rsidR="004E0D8A" w14:paraId="7244F39D" w14:textId="77777777">
        <w:tc>
          <w:tcPr>
            <w:tcW w:w="1744" w:type="dxa"/>
          </w:tcPr>
          <w:p w14:paraId="1C3988C2"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Diptera</w:t>
            </w:r>
          </w:p>
        </w:tc>
        <w:tc>
          <w:tcPr>
            <w:tcW w:w="1737" w:type="dxa"/>
          </w:tcPr>
          <w:p w14:paraId="664034B2"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Tephritidae</w:t>
            </w:r>
            <w:proofErr w:type="spellEnd"/>
          </w:p>
        </w:tc>
        <w:tc>
          <w:tcPr>
            <w:tcW w:w="2410" w:type="dxa"/>
          </w:tcPr>
          <w:p w14:paraId="48326FAC"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Fruit fly</w:t>
            </w:r>
          </w:p>
        </w:tc>
        <w:tc>
          <w:tcPr>
            <w:tcW w:w="3351" w:type="dxa"/>
          </w:tcPr>
          <w:p w14:paraId="51F2FF9C" w14:textId="77777777" w:rsidR="004E0D8A" w:rsidRDefault="009C0D87">
            <w:pPr>
              <w:jc w:val="both"/>
              <w:rPr>
                <w:rFonts w:ascii="Times New Roman" w:eastAsia="Times New Roman" w:hAnsi="Times New Roman" w:cs="Times New Roman"/>
              </w:rPr>
            </w:pPr>
            <w:proofErr w:type="spellStart"/>
            <w:r>
              <w:rPr>
                <w:rFonts w:ascii="Times New Roman" w:eastAsia="Times New Roman" w:hAnsi="Times New Roman" w:cs="Times New Roman"/>
                <w:i/>
              </w:rPr>
              <w:t>Bactroceratau</w:t>
            </w:r>
            <w:proofErr w:type="spellEnd"/>
            <w:r>
              <w:rPr>
                <w:rFonts w:ascii="Times New Roman" w:eastAsia="Times New Roman" w:hAnsi="Times New Roman" w:cs="Times New Roman"/>
              </w:rPr>
              <w:t xml:space="preserve"> Walker </w:t>
            </w:r>
          </w:p>
        </w:tc>
      </w:tr>
      <w:tr w:rsidR="004E0D8A" w14:paraId="7CF6A4E2" w14:textId="77777777">
        <w:tc>
          <w:tcPr>
            <w:tcW w:w="1744" w:type="dxa"/>
            <w:tcBorders>
              <w:bottom w:val="single" w:sz="4" w:space="0" w:color="000000"/>
            </w:tcBorders>
          </w:tcPr>
          <w:p w14:paraId="5A42B61C"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Sarcoptiformes</w:t>
            </w:r>
            <w:proofErr w:type="spellEnd"/>
          </w:p>
        </w:tc>
        <w:tc>
          <w:tcPr>
            <w:tcW w:w="1737" w:type="dxa"/>
            <w:tcBorders>
              <w:bottom w:val="single" w:sz="4" w:space="0" w:color="000000"/>
            </w:tcBorders>
          </w:tcPr>
          <w:p w14:paraId="4C51358D" w14:textId="77777777" w:rsidR="004E0D8A" w:rsidRDefault="009C0D87">
            <w:pPr>
              <w:rPr>
                <w:rFonts w:ascii="Times New Roman" w:eastAsia="Times New Roman" w:hAnsi="Times New Roman" w:cs="Times New Roman"/>
              </w:rPr>
            </w:pPr>
            <w:proofErr w:type="spellStart"/>
            <w:r>
              <w:rPr>
                <w:rFonts w:ascii="Times New Roman" w:eastAsia="Times New Roman" w:hAnsi="Times New Roman" w:cs="Times New Roman"/>
              </w:rPr>
              <w:t>Eriophyidae</w:t>
            </w:r>
            <w:proofErr w:type="spellEnd"/>
          </w:p>
        </w:tc>
        <w:tc>
          <w:tcPr>
            <w:tcW w:w="2410" w:type="dxa"/>
            <w:tcBorders>
              <w:bottom w:val="single" w:sz="4" w:space="0" w:color="000000"/>
            </w:tcBorders>
          </w:tcPr>
          <w:p w14:paraId="628032D8"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Mite</w:t>
            </w:r>
          </w:p>
        </w:tc>
        <w:tc>
          <w:tcPr>
            <w:tcW w:w="3351" w:type="dxa"/>
            <w:tcBorders>
              <w:bottom w:val="single" w:sz="4" w:space="0" w:color="000000"/>
            </w:tcBorders>
          </w:tcPr>
          <w:p w14:paraId="6B2B7364" w14:textId="77777777" w:rsidR="004E0D8A" w:rsidRDefault="009C0D87">
            <w:pPr>
              <w:jc w:val="both"/>
              <w:rPr>
                <w:rFonts w:ascii="Times New Roman" w:eastAsia="Times New Roman" w:hAnsi="Times New Roman" w:cs="Times New Roman"/>
                <w:i/>
              </w:rPr>
            </w:pPr>
            <w:proofErr w:type="spellStart"/>
            <w:r>
              <w:rPr>
                <w:rFonts w:ascii="Times New Roman" w:eastAsia="Times New Roman" w:hAnsi="Times New Roman" w:cs="Times New Roman"/>
                <w:i/>
              </w:rPr>
              <w:t>Aceria</w:t>
            </w:r>
            <w:proofErr w:type="spellEnd"/>
            <w:r>
              <w:rPr>
                <w:rFonts w:ascii="Times New Roman" w:eastAsia="Times New Roman" w:hAnsi="Times New Roman" w:cs="Times New Roman"/>
                <w:i/>
              </w:rPr>
              <w:t xml:space="preserve"> </w:t>
            </w:r>
            <w:proofErr w:type="gramStart"/>
            <w:r>
              <w:rPr>
                <w:rFonts w:ascii="Times New Roman" w:eastAsia="Times New Roman" w:hAnsi="Times New Roman" w:cs="Times New Roman"/>
                <w:i/>
              </w:rPr>
              <w:t>litchi</w:t>
            </w:r>
            <w:r>
              <w:rPr>
                <w:rFonts w:ascii="Times New Roman" w:eastAsia="Times New Roman" w:hAnsi="Times New Roman" w:cs="Times New Roman"/>
              </w:rPr>
              <w:t>(</w:t>
            </w:r>
            <w:proofErr w:type="spellStart"/>
            <w:proofErr w:type="gramEnd"/>
            <w:r>
              <w:rPr>
                <w:rFonts w:ascii="Times New Roman" w:eastAsia="Times New Roman" w:hAnsi="Times New Roman" w:cs="Times New Roman"/>
              </w:rPr>
              <w:t>Keifer</w:t>
            </w:r>
            <w:proofErr w:type="spellEnd"/>
            <w:r>
              <w:rPr>
                <w:rFonts w:ascii="Times New Roman" w:eastAsia="Times New Roman" w:hAnsi="Times New Roman" w:cs="Times New Roman"/>
              </w:rPr>
              <w:t>)</w:t>
            </w:r>
          </w:p>
        </w:tc>
      </w:tr>
    </w:tbl>
    <w:p w14:paraId="1D205F20" w14:textId="77777777" w:rsidR="004E0D8A" w:rsidRDefault="004E0D8A">
      <w:pPr>
        <w:spacing w:after="0" w:line="240" w:lineRule="auto"/>
        <w:jc w:val="both"/>
        <w:rPr>
          <w:rFonts w:ascii="Times New Roman" w:eastAsia="Times New Roman" w:hAnsi="Times New Roman" w:cs="Times New Roman"/>
          <w:b/>
          <w:sz w:val="12"/>
          <w:szCs w:val="12"/>
        </w:rPr>
      </w:pPr>
    </w:p>
    <w:p w14:paraId="7DEE0D30"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Seasonal occurrence of leaf- and stem-infesting insect pests in litchi </w:t>
      </w:r>
    </w:p>
    <w:p w14:paraId="307CDDFA" w14:textId="77777777" w:rsidR="004E0D8A" w:rsidRDefault="009C0D8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suggests a great variation in the occurrence of different insect pests in two sub-regions. Sub-region II was characterized by a very high incidence of different leaf- and</w:t>
      </w:r>
      <w:r>
        <w:rPr>
          <w:rFonts w:ascii="Times New Roman" w:eastAsia="Times New Roman" w:hAnsi="Times New Roman" w:cs="Times New Roman"/>
          <w:sz w:val="24"/>
          <w:szCs w:val="24"/>
        </w:rPr>
        <w:t xml:space="preserve"> stem-infesting insect pests, with a total population of 1763 individuals/120 sweeps, which was drastically higher than that of sub-region V (i.e., total population of 581 individuals/120 sweeps). </w:t>
      </w:r>
    </w:p>
    <w:p w14:paraId="415C9D42"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Seasonal occurrence of leaf- and stem-infesting </w:t>
      </w:r>
      <w:r>
        <w:rPr>
          <w:rFonts w:ascii="Times New Roman" w:eastAsia="Times New Roman" w:hAnsi="Times New Roman" w:cs="Times New Roman"/>
          <w:b/>
          <w:sz w:val="24"/>
          <w:szCs w:val="24"/>
        </w:rPr>
        <w:t>insect pests in sub-region V</w:t>
      </w:r>
    </w:p>
    <w:p w14:paraId="1909B3DD" w14:textId="77777777"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sub-region V, the incidence of different leaf- and stem-infesting insect pests was much higher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with the population peaking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This per</w:t>
      </w:r>
      <w:r>
        <w:rPr>
          <w:rFonts w:ascii="Times New Roman" w:eastAsia="Times New Roman" w:hAnsi="Times New Roman" w:cs="Times New Roman"/>
          <w:sz w:val="24"/>
          <w:szCs w:val="24"/>
        </w:rPr>
        <w:t>iod is characterized by the flowering and fruiting season of litchi in this region, making these crop growth stages highly susceptible to the insect pest attack in this sub-region. Thereafter, there was a steady decline, as a very small population of insec</w:t>
      </w:r>
      <w:r>
        <w:rPr>
          <w:rFonts w:ascii="Times New Roman" w:eastAsia="Times New Roman" w:hAnsi="Times New Roman" w:cs="Times New Roman"/>
          <w:sz w:val="24"/>
          <w:szCs w:val="24"/>
        </w:rPr>
        <w:t>t pests was noted from the in-between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July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February. Furthermore, the occurrence of different insect pests also greatly varies throughout the season. During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the flea beetle used to domina</w:t>
      </w:r>
      <w:r>
        <w:rPr>
          <w:rFonts w:ascii="Times New Roman" w:eastAsia="Times New Roman" w:hAnsi="Times New Roman" w:cs="Times New Roman"/>
          <w:sz w:val="24"/>
          <w:szCs w:val="24"/>
        </w:rPr>
        <w:t>te the insect pest complex (with a population of 33 individuals/10 sweeps), and its population started declining with the passing date, with no individuals recorded from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June onwards. In contrast, the population of grey weevil followed</w:t>
      </w:r>
      <w:r>
        <w:rPr>
          <w:rFonts w:ascii="Times New Roman" w:eastAsia="Times New Roman" w:hAnsi="Times New Roman" w:cs="Times New Roman"/>
          <w:sz w:val="24"/>
          <w:szCs w:val="24"/>
        </w:rPr>
        <w:t xml:space="preserve"> an opposite trend, as its population was very low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(with a population of 4 individuals/10 sweeps) but gradually increased with time and peaked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(with a population of 55 individuals/10 sweeps), and a</w:t>
      </w:r>
      <w:r>
        <w:rPr>
          <w:rFonts w:ascii="Times New Roman" w:eastAsia="Times New Roman" w:hAnsi="Times New Roman" w:cs="Times New Roman"/>
          <w:sz w:val="24"/>
          <w:szCs w:val="24"/>
        </w:rPr>
        <w:t>gain the population declined thereafter. Considering the other insect pests of sub-region V, their population used to follow a declining trend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fortnight of March onwards, whereas the occurrence of leaf rollers followed a trend similar to the gr</w:t>
      </w:r>
      <w:r>
        <w:rPr>
          <w:rFonts w:ascii="Times New Roman" w:eastAsia="Times New Roman" w:hAnsi="Times New Roman" w:cs="Times New Roman"/>
          <w:sz w:val="24"/>
          <w:szCs w:val="24"/>
        </w:rPr>
        <w:t>ey weevil, with a peak population in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April (with a population of 22 individuals/10 sweeps) (Fig.1).</w:t>
      </w:r>
    </w:p>
    <w:p w14:paraId="2445D252"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E1E3677" wp14:editId="681C67F7">
            <wp:extent cx="5731510" cy="30901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510" cy="3090182"/>
                    </a:xfrm>
                    <a:prstGeom prst="rect">
                      <a:avLst/>
                    </a:prstGeom>
                    <a:ln/>
                  </pic:spPr>
                </pic:pic>
              </a:graphicData>
            </a:graphic>
          </wp:inline>
        </w:drawing>
      </w:r>
    </w:p>
    <w:p w14:paraId="25A24DA3" w14:textId="77777777"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Insect-pest populations of litchi leaf and stem in sub-region V 2022-24</w:t>
      </w:r>
    </w:p>
    <w:p w14:paraId="5E892261"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 Seasonal occurrence of leaf- and stem-infesting</w:t>
      </w:r>
      <w:r>
        <w:rPr>
          <w:rFonts w:ascii="Times New Roman" w:eastAsia="Times New Roman" w:hAnsi="Times New Roman" w:cs="Times New Roman"/>
          <w:b/>
          <w:sz w:val="24"/>
          <w:szCs w:val="24"/>
        </w:rPr>
        <w:t xml:space="preserve"> insect pests in sub-region II</w:t>
      </w:r>
    </w:p>
    <w:p w14:paraId="4DF8DDF8" w14:textId="77777777"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Unlike sub-region V, in sub-region II, the highest population of different insect pests was recorded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Thereafter, the population started declining and became almost n</w:t>
      </w:r>
      <w:r>
        <w:rPr>
          <w:rFonts w:ascii="Times New Roman" w:eastAsia="Times New Roman" w:hAnsi="Times New Roman" w:cs="Times New Roman"/>
          <w:sz w:val="24"/>
          <w:szCs w:val="24"/>
        </w:rPr>
        <w:t>egligible in winter months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during January-February). However, there was a small peak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October, which was due to a sudden increase in the grey weevil population. Like sub-region V, in sub-region II, the grey weevil was also the</w:t>
      </w:r>
      <w:r>
        <w:rPr>
          <w:rFonts w:ascii="Times New Roman" w:eastAsia="Times New Roman" w:hAnsi="Times New Roman" w:cs="Times New Roman"/>
          <w:sz w:val="24"/>
          <w:szCs w:val="24"/>
        </w:rPr>
        <w:t xml:space="preserve"> most dominant pest in the species assemblage. The grey weevil population was highest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(with a population of 382 individuals/10 sweeps) and declined thereafter. In contrast, the second most abundant insect of this sub-region, </w:t>
      </w:r>
      <w:r>
        <w:rPr>
          <w:rFonts w:ascii="Times New Roman" w:eastAsia="Times New Roman" w:hAnsi="Times New Roman" w:cs="Times New Roman"/>
          <w:i/>
          <w:sz w:val="24"/>
          <w:szCs w:val="24"/>
        </w:rPr>
        <w:t>i.e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the litchi bug, had an increment in population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onwards and had the peak population in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June (with a population of 97 individuals/10 sweeps). Furthermore, the litchi stem borer was found to be present in </w:t>
      </w:r>
      <w:r>
        <w:rPr>
          <w:rFonts w:ascii="Times New Roman" w:eastAsia="Times New Roman" w:hAnsi="Times New Roman" w:cs="Times New Roman"/>
          <w:sz w:val="24"/>
          <w:szCs w:val="24"/>
        </w:rPr>
        <w:t>the field for a very short period, from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July to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September. In sub-region II, two pests, i.e., leaf roller and litchi bug, were found in litchi plants almost throughout the season (Figure 2).</w:t>
      </w:r>
    </w:p>
    <w:p w14:paraId="5F686129"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4CD6EEF" wp14:editId="7825987E">
            <wp:extent cx="5731510" cy="31216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510" cy="3121660"/>
                    </a:xfrm>
                    <a:prstGeom prst="rect">
                      <a:avLst/>
                    </a:prstGeom>
                    <a:ln/>
                  </pic:spPr>
                </pic:pic>
              </a:graphicData>
            </a:graphic>
          </wp:inline>
        </w:drawing>
      </w:r>
    </w:p>
    <w:p w14:paraId="42645B94" w14:textId="77777777"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2. Insect-pest </w:t>
      </w:r>
      <w:r>
        <w:rPr>
          <w:rFonts w:ascii="Times New Roman" w:eastAsia="Times New Roman" w:hAnsi="Times New Roman" w:cs="Times New Roman"/>
          <w:b/>
          <w:sz w:val="24"/>
          <w:szCs w:val="24"/>
        </w:rPr>
        <w:t>populations of Litchi leaf and stem in Sub-region II 2022-24</w:t>
      </w:r>
    </w:p>
    <w:p w14:paraId="1F1A1602"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Seasonal occurrence of fruit-infesting insect pests in litchi</w:t>
      </w:r>
    </w:p>
    <w:p w14:paraId="46CB0B04" w14:textId="77777777"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has documented only three insect pests that used to infest litchi fruits. These fruit-infesting pest complexes were fir</w:t>
      </w:r>
      <w:r>
        <w:rPr>
          <w:rFonts w:ascii="Times New Roman" w:eastAsia="Times New Roman" w:hAnsi="Times New Roman" w:cs="Times New Roman"/>
          <w:sz w:val="24"/>
          <w:szCs w:val="24"/>
        </w:rPr>
        <w:t>st observed during March, with fruit initiation. Unlike the population of leaf- and stem-infesting insects, the cumulative population of fruit-infesting insects was a bit higher in sub-region V than sub-region II. Among them, the population was highest for</w:t>
      </w:r>
      <w:r>
        <w:rPr>
          <w:rFonts w:ascii="Times New Roman" w:eastAsia="Times New Roman" w:hAnsi="Times New Roman" w:cs="Times New Roman"/>
          <w:sz w:val="24"/>
          <w:szCs w:val="24"/>
        </w:rPr>
        <w:t xml:space="preserve"> the litchi fruit borer in both sub-regions. Furthermore, its population was quite higher in sub-region II than sub-region V, whereas fruit fly and nut borer had a greater population in sub-region V than sub-region II (Fig.3).</w:t>
      </w:r>
    </w:p>
    <w:p w14:paraId="76726C72"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5581986" wp14:editId="2FD81E58">
            <wp:extent cx="5731510" cy="23651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2365111"/>
                    </a:xfrm>
                    <a:prstGeom prst="rect">
                      <a:avLst/>
                    </a:prstGeom>
                    <a:ln/>
                  </pic:spPr>
                </pic:pic>
              </a:graphicData>
            </a:graphic>
          </wp:inline>
        </w:drawing>
      </w:r>
    </w:p>
    <w:p w14:paraId="1EB74302" w14:textId="77777777"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 Insect-pest populat</w:t>
      </w:r>
      <w:r>
        <w:rPr>
          <w:rFonts w:ascii="Times New Roman" w:eastAsia="Times New Roman" w:hAnsi="Times New Roman" w:cs="Times New Roman"/>
          <w:b/>
          <w:sz w:val="24"/>
          <w:szCs w:val="24"/>
        </w:rPr>
        <w:t xml:space="preserve">ions of Litchi fruit </w:t>
      </w:r>
    </w:p>
    <w:p w14:paraId="77926549" w14:textId="77777777" w:rsidR="004E0D8A" w:rsidRDefault="009C0D87">
      <w:pPr>
        <w:spacing w:line="240" w:lineRule="auto"/>
        <w:ind w:firstLine="720"/>
        <w:jc w:val="both"/>
        <w:rPr>
          <w:rFonts w:ascii="Times New Roman" w:eastAsia="Times New Roman" w:hAnsi="Times New Roman" w:cs="Times New Roman"/>
          <w:sz w:val="24"/>
          <w:szCs w:val="24"/>
        </w:rPr>
      </w:pPr>
      <w:bookmarkStart w:id="0" w:name="_pzrmrfkksh1" w:colFirst="0" w:colLast="0"/>
      <w:bookmarkEnd w:id="0"/>
      <w:r>
        <w:rPr>
          <w:rFonts w:ascii="Times New Roman" w:eastAsia="Times New Roman" w:hAnsi="Times New Roman" w:cs="Times New Roman"/>
          <w:sz w:val="24"/>
          <w:szCs w:val="24"/>
        </w:rPr>
        <w:t>From flowering to fruiting, this is the typical time period when the crop is highly vulnerable to different insect pest attacks. Our study showed variation in the seasonal occurrence of different insect pests, which was sometimes in c</w:t>
      </w:r>
      <w:r>
        <w:rPr>
          <w:rFonts w:ascii="Times New Roman" w:eastAsia="Times New Roman" w:hAnsi="Times New Roman" w:cs="Times New Roman"/>
          <w:sz w:val="24"/>
          <w:szCs w:val="24"/>
        </w:rPr>
        <w:t>orroboration with or sometimes a bit different from previously published literatures. The pattern of grey weevil population fluctuation, with a greater population from April‒July, was also reported by other researchers (Atwal, 1976; Mazumder et al., 2014).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Furthermore</w:t>
      </w:r>
      <w:proofErr w:type="gramEnd"/>
      <w:r>
        <w:rPr>
          <w:rFonts w:ascii="Times New Roman" w:eastAsia="Times New Roman" w:hAnsi="Times New Roman" w:cs="Times New Roman"/>
          <w:sz w:val="24"/>
          <w:szCs w:val="24"/>
        </w:rPr>
        <w:t xml:space="preserve"> the complete absence of this weevil during December‒January was also recorded by Srivastava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Kumar et al. (2014b) have noticed a low red weevil population during December-January, when the temperature was low, </w:t>
      </w:r>
      <w:r>
        <w:rPr>
          <w:rFonts w:ascii="Times New Roman" w:eastAsia="Times New Roman" w:hAnsi="Times New Roman" w:cs="Times New Roman"/>
          <w:sz w:val="24"/>
          <w:szCs w:val="24"/>
        </w:rPr>
        <w:lastRenderedPageBreak/>
        <w:t>and a high populati</w:t>
      </w:r>
      <w:r>
        <w:rPr>
          <w:rFonts w:ascii="Times New Roman" w:eastAsia="Times New Roman" w:hAnsi="Times New Roman" w:cs="Times New Roman"/>
          <w:sz w:val="24"/>
          <w:szCs w:val="24"/>
        </w:rPr>
        <w:t xml:space="preserve">on during May-June, when the temperature was high enough in Bihar, which was pretty similar to our outcomes. Although three species of litchi leaf roller have been reported from West Bengal, among them, </w:t>
      </w:r>
      <w:proofErr w:type="spellStart"/>
      <w:r>
        <w:rPr>
          <w:rFonts w:ascii="Times New Roman" w:eastAsia="Times New Roman" w:hAnsi="Times New Roman" w:cs="Times New Roman"/>
          <w:i/>
          <w:sz w:val="24"/>
          <w:szCs w:val="24"/>
        </w:rPr>
        <w:t>Duduaaprobola</w:t>
      </w:r>
      <w:proofErr w:type="spellEnd"/>
      <w:r>
        <w:rPr>
          <w:rFonts w:ascii="Times New Roman" w:eastAsia="Times New Roman" w:hAnsi="Times New Roman" w:cs="Times New Roman"/>
          <w:sz w:val="24"/>
          <w:szCs w:val="24"/>
        </w:rPr>
        <w:t xml:space="preserve"> was the predominant one (Kar et al., 20</w:t>
      </w:r>
      <w:r>
        <w:rPr>
          <w:rFonts w:ascii="Times New Roman" w:eastAsia="Times New Roman" w:hAnsi="Times New Roman" w:cs="Times New Roman"/>
          <w:sz w:val="24"/>
          <w:szCs w:val="24"/>
        </w:rPr>
        <w:t xml:space="preserve">23). According to Kar et al. (2023), this pest started infesting the plant from the </w:t>
      </w:r>
      <w:r>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standard week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xml:space="preserve"> the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week of July) and </w:t>
      </w:r>
      <w:r>
        <w:rPr>
          <w:rFonts w:ascii="Times New Roman" w:eastAsia="Times New Roman" w:hAnsi="Times New Roman" w:cs="Times New Roman"/>
          <w:sz w:val="24"/>
          <w:szCs w:val="24"/>
        </w:rPr>
        <w:t>remained</w:t>
      </w:r>
      <w:r>
        <w:rPr>
          <w:rFonts w:ascii="Times New Roman" w:eastAsia="Times New Roman" w:hAnsi="Times New Roman" w:cs="Times New Roman"/>
          <w:color w:val="000000"/>
          <w:sz w:val="24"/>
          <w:szCs w:val="24"/>
        </w:rPr>
        <w:t xml:space="preserve"> active up to the 41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standard week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the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week of October), which was almost similar to its seasonal i</w:t>
      </w:r>
      <w:r>
        <w:rPr>
          <w:rFonts w:ascii="Times New Roman" w:eastAsia="Times New Roman" w:hAnsi="Times New Roman" w:cs="Times New Roman"/>
          <w:color w:val="000000"/>
          <w:sz w:val="24"/>
          <w:szCs w:val="24"/>
        </w:rPr>
        <w:t xml:space="preserve">ncidence pattern in our sub-region II. </w:t>
      </w:r>
      <w:r>
        <w:rPr>
          <w:rFonts w:ascii="Times New Roman" w:eastAsia="Times New Roman" w:hAnsi="Times New Roman" w:cs="Times New Roman"/>
          <w:sz w:val="24"/>
          <w:szCs w:val="24"/>
        </w:rPr>
        <w:t>Further,</w:t>
      </w:r>
      <w:r>
        <w:rPr>
          <w:rFonts w:ascii="Times New Roman" w:eastAsia="Times New Roman" w:hAnsi="Times New Roman" w:cs="Times New Roman"/>
          <w:color w:val="000000"/>
          <w:sz w:val="24"/>
          <w:szCs w:val="24"/>
        </w:rPr>
        <w:t xml:space="preserve"> our finding on litchi leaf roller incidence is also in line with the findings of </w:t>
      </w:r>
      <w:r>
        <w:rPr>
          <w:rFonts w:ascii="Times New Roman" w:eastAsia="Times New Roman" w:hAnsi="Times New Roman" w:cs="Times New Roman"/>
          <w:sz w:val="24"/>
          <w:szCs w:val="24"/>
        </w:rPr>
        <w:t>Chakraborty and Samanta (2005).</w:t>
      </w:r>
    </w:p>
    <w:p w14:paraId="46449F40" w14:textId="77777777" w:rsidR="004E0D8A" w:rsidRDefault="009C0D8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litchi stem borer, </w:t>
      </w:r>
      <w:proofErr w:type="spellStart"/>
      <w:r>
        <w:rPr>
          <w:rFonts w:ascii="Times New Roman" w:eastAsia="Times New Roman" w:hAnsi="Times New Roman" w:cs="Times New Roman"/>
          <w:i/>
          <w:sz w:val="24"/>
          <w:szCs w:val="24"/>
        </w:rPr>
        <w:t>Aristobiareticulator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is an invasive pest of litchi</w:t>
      </w:r>
      <w:r>
        <w:rPr>
          <w:rFonts w:ascii="Times New Roman" w:eastAsia="Times New Roman" w:hAnsi="Times New Roman" w:cs="Times New Roman"/>
          <w:sz w:val="20"/>
          <w:szCs w:val="20"/>
        </w:rPr>
        <w:t xml:space="preserve"> and </w:t>
      </w:r>
      <w:r>
        <w:rPr>
          <w:rFonts w:ascii="Times New Roman" w:eastAsia="Times New Roman" w:hAnsi="Times New Roman" w:cs="Times New Roman"/>
          <w:sz w:val="24"/>
          <w:szCs w:val="24"/>
        </w:rPr>
        <w:t>usually found in</w:t>
      </w:r>
      <w:r>
        <w:rPr>
          <w:rFonts w:ascii="Times New Roman" w:eastAsia="Times New Roman" w:hAnsi="Times New Roman" w:cs="Times New Roman"/>
          <w:sz w:val="24"/>
          <w:szCs w:val="24"/>
        </w:rPr>
        <w:t xml:space="preserve"> the north-eastern part of India, including Assam, Manipur, Meghalaya, Sikkim, Tripura (</w:t>
      </w:r>
      <w:proofErr w:type="spellStart"/>
      <w:r>
        <w:rPr>
          <w:rFonts w:ascii="Times New Roman" w:eastAsia="Times New Roman" w:hAnsi="Times New Roman" w:cs="Times New Roman"/>
          <w:sz w:val="24"/>
          <w:szCs w:val="24"/>
        </w:rPr>
        <w:t>Firake</w:t>
      </w:r>
      <w:proofErr w:type="spellEnd"/>
      <w:r>
        <w:rPr>
          <w:rFonts w:ascii="Times New Roman" w:eastAsia="Times New Roman" w:hAnsi="Times New Roman" w:cs="Times New Roman"/>
          <w:sz w:val="24"/>
          <w:szCs w:val="24"/>
        </w:rPr>
        <w:t xml:space="preserve"> et al., 2013; Agarwala and Bhattacharjee, 2015), Arunachal Pradesh (Kumawat et al., 2017; </w:t>
      </w:r>
      <w:proofErr w:type="spellStart"/>
      <w:r>
        <w:rPr>
          <w:rFonts w:ascii="Times New Roman" w:eastAsia="Times New Roman" w:hAnsi="Times New Roman" w:cs="Times New Roman"/>
          <w:sz w:val="24"/>
          <w:szCs w:val="24"/>
        </w:rPr>
        <w:t>Kumawat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Wangchu</w:t>
      </w:r>
      <w:proofErr w:type="spellEnd"/>
      <w:r>
        <w:rPr>
          <w:rFonts w:ascii="Times New Roman" w:eastAsia="Times New Roman" w:hAnsi="Times New Roman" w:cs="Times New Roman"/>
          <w:sz w:val="24"/>
          <w:szCs w:val="24"/>
        </w:rPr>
        <w:t>, 2021), Mizoram, and Nagaland (</w:t>
      </w:r>
      <w:proofErr w:type="spellStart"/>
      <w:r>
        <w:rPr>
          <w:rFonts w:ascii="Times New Roman" w:eastAsia="Times New Roman" w:hAnsi="Times New Roman" w:cs="Times New Roman"/>
          <w:sz w:val="24"/>
          <w:szCs w:val="24"/>
        </w:rPr>
        <w:t>Mozhui</w:t>
      </w:r>
      <w:proofErr w:type="spellEnd"/>
      <w:r>
        <w:rPr>
          <w:rFonts w:ascii="Times New Roman" w:eastAsia="Times New Roman" w:hAnsi="Times New Roman" w:cs="Times New Roman"/>
          <w:sz w:val="24"/>
          <w:szCs w:val="24"/>
        </w:rPr>
        <w:t xml:space="preserve"> et al., 2020)</w:t>
      </w:r>
      <w:r>
        <w:rPr>
          <w:rFonts w:ascii="Times New Roman" w:eastAsia="Times New Roman" w:hAnsi="Times New Roman" w:cs="Times New Roman"/>
          <w:sz w:val="24"/>
          <w:szCs w:val="24"/>
        </w:rPr>
        <w:t xml:space="preserve"> and Nagaland (Reddy et al., 2025). In our study also, this pest was found only in sub-region II of Zone II at the north-eastern part of the country. According to different studies, this pest used to attack the plants from mid-June to August, causing damag</w:t>
      </w:r>
      <w:r>
        <w:rPr>
          <w:rFonts w:ascii="Times New Roman" w:eastAsia="Times New Roman" w:hAnsi="Times New Roman" w:cs="Times New Roman"/>
          <w:sz w:val="24"/>
          <w:szCs w:val="24"/>
        </w:rPr>
        <w:t>e to young as well as old litchi trees (Kumawat et al., 2017; Reddy et al., 2025), which was also observed in the pest population pattern of sub-region II. In the case of the litchi bug, the adults used to hibernate during extreme winter (Kumar et al., 200</w:t>
      </w:r>
      <w:r>
        <w:rPr>
          <w:rFonts w:ascii="Times New Roman" w:eastAsia="Times New Roman" w:hAnsi="Times New Roman" w:cs="Times New Roman"/>
          <w:sz w:val="24"/>
          <w:szCs w:val="24"/>
        </w:rPr>
        <w:t xml:space="preserve">8), which might be the reason for the low population of this pest during October‒February in our sub-region II. Then a greater population was noticed during March‒September, which was in agreement with the findings of Deng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1999) and Kumar et al. (20</w:t>
      </w:r>
      <w:r>
        <w:rPr>
          <w:rFonts w:ascii="Times New Roman" w:eastAsia="Times New Roman" w:hAnsi="Times New Roman" w:cs="Times New Roman"/>
          <w:sz w:val="24"/>
          <w:szCs w:val="24"/>
        </w:rPr>
        <w:t>08).</w:t>
      </w:r>
    </w:p>
    <w:p w14:paraId="519E2C4C" w14:textId="77777777" w:rsidR="004E0D8A" w:rsidRDefault="009C0D8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Usually, three species of litchi fruit borers, </w:t>
      </w:r>
      <w:r>
        <w:rPr>
          <w:rFonts w:ascii="Times New Roman" w:eastAsia="Times New Roman" w:hAnsi="Times New Roman" w:cs="Times New Roman"/>
          <w:i/>
          <w:sz w:val="24"/>
          <w:szCs w:val="24"/>
        </w:rPr>
        <w:t>viz</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Conopomorphasinensis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cramerella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litchiensis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are found in India (Reddy et al., 2016). However, we have found only one of them from our studied regions. According to a previous study from</w:t>
      </w:r>
      <w:r>
        <w:rPr>
          <w:rFonts w:ascii="Times New Roman" w:eastAsia="Times New Roman" w:hAnsi="Times New Roman" w:cs="Times New Roman"/>
          <w:sz w:val="24"/>
          <w:szCs w:val="24"/>
        </w:rPr>
        <w:t xml:space="preserve"> West Bengal (Dalui and Sarkar, 2021),the infestation of </w:t>
      </w:r>
      <w:r>
        <w:rPr>
          <w:rFonts w:ascii="Times New Roman" w:eastAsia="Times New Roman" w:hAnsi="Times New Roman" w:cs="Times New Roman"/>
          <w:i/>
          <w:sz w:val="24"/>
          <w:szCs w:val="24"/>
        </w:rPr>
        <w:t>C. sinensis</w:t>
      </w:r>
      <w:r>
        <w:rPr>
          <w:rFonts w:ascii="Times New Roman" w:eastAsia="Times New Roman" w:hAnsi="Times New Roman" w:cs="Times New Roman"/>
          <w:sz w:val="24"/>
          <w:szCs w:val="24"/>
        </w:rPr>
        <w:t xml:space="preserve"> used to begin at the last week of March, and infestation gradually increased and reached its peak during the first week of May, which was in line with our </w:t>
      </w:r>
      <w:proofErr w:type="spellStart"/>
      <w:r>
        <w:rPr>
          <w:rFonts w:ascii="Times New Roman" w:eastAsia="Times New Roman" w:hAnsi="Times New Roman" w:cs="Times New Roman"/>
          <w:sz w:val="24"/>
          <w:szCs w:val="24"/>
        </w:rPr>
        <w:t>outcomes.The</w:t>
      </w:r>
      <w:proofErr w:type="spellEnd"/>
      <w:r>
        <w:rPr>
          <w:rFonts w:ascii="Times New Roman" w:eastAsia="Times New Roman" w:hAnsi="Times New Roman" w:cs="Times New Roman"/>
          <w:sz w:val="24"/>
          <w:szCs w:val="24"/>
        </w:rPr>
        <w:t xml:space="preserve"> higher incidence of</w:t>
      </w:r>
      <w:r>
        <w:rPr>
          <w:rFonts w:ascii="Times New Roman" w:eastAsia="Times New Roman" w:hAnsi="Times New Roman" w:cs="Times New Roman"/>
          <w:sz w:val="24"/>
          <w:szCs w:val="24"/>
        </w:rPr>
        <w:t xml:space="preserve"> litchi fruit and shoot borer from the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standard week (i.e., March‒June) was also reported by Kumar et al. (2024).</w:t>
      </w:r>
    </w:p>
    <w:p w14:paraId="3C16357A"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Comparative ecological indices of insect pests in sub-region II and sub-region V</w:t>
      </w:r>
    </w:p>
    <w:p w14:paraId="3B0E694E"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(Table 3), we have observed gr</w:t>
      </w:r>
      <w:r>
        <w:rPr>
          <w:rFonts w:ascii="Times New Roman" w:eastAsia="Times New Roman" w:hAnsi="Times New Roman" w:cs="Times New Roman"/>
          <w:sz w:val="24"/>
          <w:szCs w:val="24"/>
        </w:rPr>
        <w:t xml:space="preserve">eater values for </w:t>
      </w:r>
      <w:r>
        <w:rPr>
          <w:rFonts w:ascii="Times New Roman" w:eastAsia="Times New Roman" w:hAnsi="Times New Roman" w:cs="Times New Roman"/>
          <w:color w:val="000000"/>
          <w:sz w:val="24"/>
          <w:szCs w:val="24"/>
        </w:rPr>
        <w:t xml:space="preserve">Shannon and Brillouin diversity indices in sub-region V (i.e., 2.139 and 1.835, respectively) than sub-region II (i.e., 1.348 and 1.525, respectively), indicating a greater species diversity in sub-region V. Likewise,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Margalef</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Menh</w:t>
      </w:r>
      <w:r>
        <w:rPr>
          <w:rFonts w:ascii="Times New Roman" w:eastAsia="Times New Roman" w:hAnsi="Times New Roman" w:cs="Times New Roman"/>
          <w:color w:val="000000"/>
          <w:sz w:val="24"/>
          <w:szCs w:val="24"/>
        </w:rPr>
        <w:t>inick</w:t>
      </w:r>
      <w:proofErr w:type="spellEnd"/>
      <w:r>
        <w:rPr>
          <w:rFonts w:ascii="Times New Roman" w:eastAsia="Times New Roman" w:hAnsi="Times New Roman" w:cs="Times New Roman"/>
          <w:color w:val="000000"/>
          <w:sz w:val="24"/>
          <w:szCs w:val="24"/>
        </w:rPr>
        <w:t xml:space="preserve"> richness indices were also </w:t>
      </w:r>
      <w:r>
        <w:rPr>
          <w:rFonts w:ascii="Times New Roman" w:eastAsia="Times New Roman" w:hAnsi="Times New Roman" w:cs="Times New Roman"/>
          <w:sz w:val="24"/>
          <w:szCs w:val="24"/>
        </w:rPr>
        <w:t>depicted as</w:t>
      </w:r>
      <w:r>
        <w:rPr>
          <w:rFonts w:ascii="Times New Roman" w:eastAsia="Times New Roman" w:hAnsi="Times New Roman" w:cs="Times New Roman"/>
          <w:color w:val="000000"/>
          <w:sz w:val="24"/>
          <w:szCs w:val="24"/>
        </w:rPr>
        <w:t xml:space="preserve"> greater values in sub-region V (1.532 and 0.421, respectively) than sub-region II (i.e., 1.329 and 0.255, respectively), suggesting a rich insect pest composition in </w:t>
      </w:r>
      <w:r>
        <w:rPr>
          <w:rFonts w:ascii="Times New Roman" w:eastAsia="Times New Roman" w:hAnsi="Times New Roman" w:cs="Times New Roman"/>
          <w:sz w:val="24"/>
          <w:szCs w:val="24"/>
        </w:rPr>
        <w:t>the litchi</w:t>
      </w:r>
      <w:r>
        <w:rPr>
          <w:rFonts w:ascii="Times New Roman" w:eastAsia="Times New Roman" w:hAnsi="Times New Roman" w:cs="Times New Roman"/>
          <w:color w:val="000000"/>
          <w:sz w:val="24"/>
          <w:szCs w:val="24"/>
        </w:rPr>
        <w:t xml:space="preserve"> ecosystem in sub-region V.</w:t>
      </w:r>
      <w:r>
        <w:rPr>
          <w:rFonts w:ascii="Times New Roman" w:eastAsia="Times New Roman" w:hAnsi="Times New Roman" w:cs="Times New Roman"/>
          <w:sz w:val="24"/>
          <w:szCs w:val="24"/>
        </w:rPr>
        <w:t xml:space="preserve"> In addi</w:t>
      </w:r>
      <w:r>
        <w:rPr>
          <w:rFonts w:ascii="Times New Roman" w:eastAsia="Times New Roman" w:hAnsi="Times New Roman" w:cs="Times New Roman"/>
          <w:sz w:val="24"/>
          <w:szCs w:val="24"/>
        </w:rPr>
        <w:t xml:space="preserve">tion to that, the insect pest assemblage of sub-region V is not only diverse and rich, but the higher values (tending to 1) of different evenness indices (Sheldon, </w:t>
      </w:r>
      <w:proofErr w:type="spellStart"/>
      <w:r>
        <w:rPr>
          <w:rFonts w:ascii="Times New Roman" w:eastAsia="Times New Roman" w:hAnsi="Times New Roman" w:cs="Times New Roman"/>
          <w:sz w:val="24"/>
          <w:szCs w:val="24"/>
        </w:rPr>
        <w:t>Heip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Pielou</w:t>
      </w:r>
      <w:proofErr w:type="spellEnd"/>
      <w:r>
        <w:rPr>
          <w:rFonts w:ascii="Times New Roman" w:eastAsia="Times New Roman" w:hAnsi="Times New Roman" w:cs="Times New Roman"/>
          <w:sz w:val="24"/>
          <w:szCs w:val="24"/>
        </w:rPr>
        <w:t xml:space="preserve"> index) suggested an evenly distributed species composition in sub-region V.</w:t>
      </w:r>
      <w:r>
        <w:rPr>
          <w:rFonts w:ascii="Times New Roman" w:eastAsia="Times New Roman" w:hAnsi="Times New Roman" w:cs="Times New Roman"/>
          <w:sz w:val="24"/>
          <w:szCs w:val="24"/>
        </w:rPr>
        <w:t xml:space="preserve"> Whereas, in the sub-region II, the values are tending towards 0, suggesting a less evenly distributed species composition</w:t>
      </w:r>
      <w:r>
        <w:rPr>
          <w:rFonts w:ascii="Times New Roman" w:eastAsia="Times New Roman" w:hAnsi="Times New Roman" w:cs="Times New Roman"/>
          <w:color w:val="222222"/>
          <w:sz w:val="24"/>
          <w:szCs w:val="24"/>
          <w:highlight w:val="white"/>
        </w:rPr>
        <w:t xml:space="preserve">. This is also justified by the dominance indices (Simpson, </w:t>
      </w:r>
      <w:r>
        <w:rPr>
          <w:rFonts w:ascii="Times New Roman" w:eastAsia="Times New Roman" w:hAnsi="Times New Roman" w:cs="Times New Roman"/>
          <w:color w:val="000000"/>
          <w:sz w:val="24"/>
          <w:szCs w:val="24"/>
        </w:rPr>
        <w:t xml:space="preserve">Berger-Parker, and </w:t>
      </w:r>
      <w:r>
        <w:rPr>
          <w:rFonts w:ascii="Times New Roman" w:eastAsia="Times New Roman" w:hAnsi="Times New Roman" w:cs="Times New Roman"/>
          <w:color w:val="222222"/>
          <w:sz w:val="24"/>
          <w:szCs w:val="24"/>
          <w:highlight w:val="white"/>
        </w:rPr>
        <w:t xml:space="preserve">McIntosh index). The greater values of the Simpson and </w:t>
      </w:r>
      <w:r>
        <w:rPr>
          <w:rFonts w:ascii="Times New Roman" w:eastAsia="Times New Roman" w:hAnsi="Times New Roman" w:cs="Times New Roman"/>
          <w:color w:val="000000"/>
          <w:sz w:val="24"/>
          <w:szCs w:val="24"/>
        </w:rPr>
        <w:t xml:space="preserve">Berger-Parker dominance indices and lower value of </w:t>
      </w:r>
      <w:r>
        <w:rPr>
          <w:rFonts w:ascii="Times New Roman" w:eastAsia="Times New Roman" w:hAnsi="Times New Roman" w:cs="Times New Roman"/>
          <w:sz w:val="24"/>
          <w:szCs w:val="24"/>
        </w:rPr>
        <w:t>the McIntosh</w:t>
      </w:r>
      <w:r>
        <w:rPr>
          <w:rFonts w:ascii="Times New Roman" w:eastAsia="Times New Roman" w:hAnsi="Times New Roman" w:cs="Times New Roman"/>
          <w:color w:val="000000"/>
          <w:sz w:val="24"/>
          <w:szCs w:val="24"/>
        </w:rPr>
        <w:t xml:space="preserve"> index in sub-region II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a clear indication that the region had a greater dominance by a single or few species in the species assemblage (</w:t>
      </w:r>
      <w:proofErr w:type="spellStart"/>
      <w:r>
        <w:rPr>
          <w:rFonts w:ascii="Times New Roman" w:eastAsia="Times New Roman" w:hAnsi="Times New Roman" w:cs="Times New Roman"/>
          <w:color w:val="000000"/>
          <w:sz w:val="24"/>
          <w:szCs w:val="24"/>
        </w:rPr>
        <w:t>Heip</w:t>
      </w:r>
      <w:proofErr w:type="spellEnd"/>
      <w:r>
        <w:rPr>
          <w:rFonts w:ascii="Times New Roman" w:eastAsia="Times New Roman" w:hAnsi="Times New Roman" w:cs="Times New Roman"/>
          <w:color w:val="000000"/>
          <w:sz w:val="24"/>
          <w:szCs w:val="24"/>
        </w:rPr>
        <w:t xml:space="preserve">, 1974; </w:t>
      </w:r>
      <w:proofErr w:type="spellStart"/>
      <w:r>
        <w:rPr>
          <w:rFonts w:ascii="Times New Roman" w:eastAsia="Times New Roman" w:hAnsi="Times New Roman" w:cs="Times New Roman"/>
          <w:color w:val="222222"/>
          <w:sz w:val="24"/>
          <w:szCs w:val="24"/>
          <w:highlight w:val="white"/>
        </w:rPr>
        <w:t>Kanieski</w:t>
      </w:r>
      <w:proofErr w:type="spellEnd"/>
      <w:r>
        <w:rPr>
          <w:rFonts w:ascii="Times New Roman" w:eastAsia="Times New Roman" w:hAnsi="Times New Roman" w:cs="Times New Roman"/>
          <w:color w:val="222222"/>
          <w:sz w:val="24"/>
          <w:szCs w:val="24"/>
          <w:highlight w:val="white"/>
        </w:rPr>
        <w:t xml:space="preserve"> et al., 2018</w:t>
      </w:r>
      <w:r>
        <w:rPr>
          <w:rFonts w:ascii="Times New Roman" w:eastAsia="Times New Roman" w:hAnsi="Times New Roman" w:cs="Times New Roman"/>
          <w:color w:val="000000"/>
          <w:sz w:val="24"/>
          <w:szCs w:val="24"/>
        </w:rPr>
        <w:t xml:space="preserve">). This </w:t>
      </w:r>
      <w:r>
        <w:rPr>
          <w:rFonts w:ascii="Times New Roman" w:eastAsia="Times New Roman" w:hAnsi="Times New Roman" w:cs="Times New Roman"/>
          <w:sz w:val="24"/>
          <w:szCs w:val="24"/>
        </w:rPr>
        <w:t>can be</w:t>
      </w:r>
      <w:r>
        <w:rPr>
          <w:rFonts w:ascii="Times New Roman" w:eastAsia="Times New Roman" w:hAnsi="Times New Roman" w:cs="Times New Roman"/>
          <w:color w:val="000000"/>
          <w:sz w:val="24"/>
          <w:szCs w:val="24"/>
        </w:rPr>
        <w:t xml:space="preserve"> furt</w:t>
      </w:r>
      <w:r>
        <w:rPr>
          <w:rFonts w:ascii="Times New Roman" w:eastAsia="Times New Roman" w:hAnsi="Times New Roman" w:cs="Times New Roman"/>
          <w:color w:val="000000"/>
          <w:sz w:val="24"/>
          <w:szCs w:val="24"/>
        </w:rPr>
        <w:t xml:space="preserve">her justified by the individual population of different insect pests in both sub-regions, as stated above. </w:t>
      </w:r>
      <w:r>
        <w:rPr>
          <w:rFonts w:ascii="Times New Roman" w:eastAsia="Times New Roman" w:hAnsi="Times New Roman" w:cs="Times New Roman"/>
          <w:sz w:val="24"/>
          <w:szCs w:val="24"/>
        </w:rPr>
        <w:t>Although, the species composition of the sub-region V has a bit greater population of grey weevils, but in comparison to sub-region II, this variatio</w:t>
      </w:r>
      <w:r>
        <w:rPr>
          <w:rFonts w:ascii="Times New Roman" w:eastAsia="Times New Roman" w:hAnsi="Times New Roman" w:cs="Times New Roman"/>
          <w:sz w:val="24"/>
          <w:szCs w:val="24"/>
        </w:rPr>
        <w:t xml:space="preserve">n is low enough. Moreover, in sub-region II, the greater dominance by the grey weevil and litchi bug in the </w:t>
      </w:r>
      <w:r>
        <w:rPr>
          <w:rFonts w:ascii="Times New Roman" w:eastAsia="Times New Roman" w:hAnsi="Times New Roman" w:cs="Times New Roman"/>
          <w:sz w:val="24"/>
          <w:szCs w:val="24"/>
        </w:rPr>
        <w:lastRenderedPageBreak/>
        <w:t>species composition is mainly responsible for obtaining lower evenness and higher dominance in its species composition.</w:t>
      </w:r>
    </w:p>
    <w:p w14:paraId="32EAA2F6"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Different indices o</w:t>
      </w:r>
      <w:r>
        <w:rPr>
          <w:rFonts w:ascii="Times New Roman" w:eastAsia="Times New Roman" w:hAnsi="Times New Roman" w:cs="Times New Roman"/>
          <w:b/>
          <w:sz w:val="24"/>
          <w:szCs w:val="24"/>
        </w:rPr>
        <w:t>f insect-pests of the Litchi ecosystem in 2022-24</w:t>
      </w:r>
    </w:p>
    <w:tbl>
      <w:tblPr>
        <w:tblStyle w:val="a1"/>
        <w:tblW w:w="9039"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1242"/>
        <w:gridCol w:w="2030"/>
        <w:gridCol w:w="714"/>
        <w:gridCol w:w="770"/>
        <w:gridCol w:w="1077"/>
        <w:gridCol w:w="1764"/>
        <w:gridCol w:w="714"/>
        <w:gridCol w:w="728"/>
      </w:tblGrid>
      <w:tr w:rsidR="004E0D8A" w14:paraId="1A4E4792" w14:textId="77777777">
        <w:trPr>
          <w:trHeight w:val="374"/>
        </w:trPr>
        <w:tc>
          <w:tcPr>
            <w:tcW w:w="3272" w:type="dxa"/>
            <w:gridSpan w:val="2"/>
            <w:vMerge w:val="restart"/>
            <w:tcBorders>
              <w:top w:val="single" w:sz="4" w:space="0" w:color="000000"/>
              <w:bottom w:val="single" w:sz="4" w:space="0" w:color="000000"/>
            </w:tcBorders>
            <w:vAlign w:val="center"/>
          </w:tcPr>
          <w:p w14:paraId="6E7A9819" w14:textId="77777777" w:rsidR="004E0D8A" w:rsidRDefault="009C0D87">
            <w:pPr>
              <w:jc w:val="center"/>
              <w:rPr>
                <w:rFonts w:ascii="Times New Roman" w:eastAsia="Times New Roman" w:hAnsi="Times New Roman" w:cs="Times New Roman"/>
              </w:rPr>
            </w:pPr>
            <w:r>
              <w:rPr>
                <w:rFonts w:ascii="Times New Roman" w:eastAsia="Times New Roman" w:hAnsi="Times New Roman" w:cs="Times New Roman"/>
                <w:b/>
              </w:rPr>
              <w:t>Indices</w:t>
            </w:r>
          </w:p>
        </w:tc>
        <w:tc>
          <w:tcPr>
            <w:tcW w:w="1484" w:type="dxa"/>
            <w:gridSpan w:val="2"/>
            <w:tcBorders>
              <w:top w:val="single" w:sz="4" w:space="0" w:color="000000"/>
              <w:bottom w:val="single" w:sz="4" w:space="0" w:color="000000"/>
            </w:tcBorders>
            <w:vAlign w:val="center"/>
          </w:tcPr>
          <w:p w14:paraId="7029E406"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 xml:space="preserve">Sub-region </w:t>
            </w:r>
          </w:p>
        </w:tc>
        <w:tc>
          <w:tcPr>
            <w:tcW w:w="2841" w:type="dxa"/>
            <w:gridSpan w:val="2"/>
            <w:vMerge w:val="restart"/>
            <w:tcBorders>
              <w:top w:val="single" w:sz="4" w:space="0" w:color="000000"/>
            </w:tcBorders>
            <w:vAlign w:val="center"/>
          </w:tcPr>
          <w:p w14:paraId="121DBE95"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Indices</w:t>
            </w:r>
          </w:p>
        </w:tc>
        <w:tc>
          <w:tcPr>
            <w:tcW w:w="1442" w:type="dxa"/>
            <w:gridSpan w:val="2"/>
            <w:tcBorders>
              <w:top w:val="single" w:sz="4" w:space="0" w:color="000000"/>
              <w:bottom w:val="single" w:sz="4" w:space="0" w:color="000000"/>
            </w:tcBorders>
            <w:vAlign w:val="center"/>
          </w:tcPr>
          <w:p w14:paraId="1A250C1C"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 xml:space="preserve">Sub-region </w:t>
            </w:r>
          </w:p>
        </w:tc>
      </w:tr>
      <w:tr w:rsidR="004E0D8A" w14:paraId="3B7426F3" w14:textId="77777777">
        <w:trPr>
          <w:trHeight w:val="373"/>
        </w:trPr>
        <w:tc>
          <w:tcPr>
            <w:tcW w:w="3272" w:type="dxa"/>
            <w:gridSpan w:val="2"/>
            <w:vMerge/>
            <w:tcBorders>
              <w:top w:val="single" w:sz="4" w:space="0" w:color="000000"/>
              <w:bottom w:val="single" w:sz="4" w:space="0" w:color="000000"/>
            </w:tcBorders>
            <w:vAlign w:val="center"/>
          </w:tcPr>
          <w:p w14:paraId="481C64C2"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14" w:type="dxa"/>
            <w:tcBorders>
              <w:top w:val="single" w:sz="4" w:space="0" w:color="000000"/>
              <w:bottom w:val="single" w:sz="4" w:space="0" w:color="000000"/>
            </w:tcBorders>
            <w:vAlign w:val="center"/>
          </w:tcPr>
          <w:p w14:paraId="04525393"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770" w:type="dxa"/>
            <w:tcBorders>
              <w:top w:val="single" w:sz="4" w:space="0" w:color="000000"/>
              <w:bottom w:val="single" w:sz="4" w:space="0" w:color="000000"/>
            </w:tcBorders>
            <w:vAlign w:val="center"/>
          </w:tcPr>
          <w:p w14:paraId="655CF3DC"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2841" w:type="dxa"/>
            <w:gridSpan w:val="2"/>
            <w:vMerge/>
            <w:tcBorders>
              <w:top w:val="single" w:sz="4" w:space="0" w:color="000000"/>
            </w:tcBorders>
            <w:vAlign w:val="center"/>
          </w:tcPr>
          <w:p w14:paraId="3A04275F"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14" w:type="dxa"/>
            <w:tcBorders>
              <w:top w:val="single" w:sz="4" w:space="0" w:color="000000"/>
              <w:bottom w:val="single" w:sz="4" w:space="0" w:color="000000"/>
            </w:tcBorders>
            <w:vAlign w:val="center"/>
          </w:tcPr>
          <w:p w14:paraId="4C67494B"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728" w:type="dxa"/>
            <w:tcBorders>
              <w:top w:val="single" w:sz="4" w:space="0" w:color="000000"/>
              <w:bottom w:val="single" w:sz="4" w:space="0" w:color="000000"/>
            </w:tcBorders>
            <w:vAlign w:val="center"/>
          </w:tcPr>
          <w:p w14:paraId="31739DA9" w14:textId="77777777"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V</w:t>
            </w:r>
          </w:p>
        </w:tc>
      </w:tr>
      <w:tr w:rsidR="004E0D8A" w14:paraId="7B923F24" w14:textId="77777777">
        <w:tc>
          <w:tcPr>
            <w:tcW w:w="1242" w:type="dxa"/>
            <w:vMerge w:val="restart"/>
            <w:tcBorders>
              <w:top w:val="single" w:sz="4" w:space="0" w:color="000000"/>
            </w:tcBorders>
          </w:tcPr>
          <w:p w14:paraId="720707D9"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 xml:space="preserve">Diversity </w:t>
            </w:r>
          </w:p>
        </w:tc>
        <w:tc>
          <w:tcPr>
            <w:tcW w:w="2030" w:type="dxa"/>
            <w:tcBorders>
              <w:top w:val="single" w:sz="4" w:space="0" w:color="000000"/>
            </w:tcBorders>
            <w:vAlign w:val="center"/>
          </w:tcPr>
          <w:p w14:paraId="12C50C4A" w14:textId="77777777" w:rsidR="004E0D8A" w:rsidRDefault="009C0D87">
            <w:pPr>
              <w:pBdr>
                <w:top w:val="nil"/>
                <w:left w:val="nil"/>
                <w:bottom w:val="nil"/>
                <w:right w:val="nil"/>
                <w:between w:val="nil"/>
              </w:pBdr>
              <w:rPr>
                <w:rFonts w:ascii="Times New Roman" w:eastAsia="Times New Roman" w:hAnsi="Times New Roman" w:cs="Times New Roman"/>
                <w:color w:val="943734"/>
              </w:rPr>
            </w:pPr>
            <w:r>
              <w:rPr>
                <w:rFonts w:ascii="Times New Roman" w:eastAsia="Times New Roman" w:hAnsi="Times New Roman" w:cs="Times New Roman"/>
                <w:color w:val="000000"/>
              </w:rPr>
              <w:t>Shannon index</w:t>
            </w:r>
          </w:p>
        </w:tc>
        <w:tc>
          <w:tcPr>
            <w:tcW w:w="714" w:type="dxa"/>
            <w:tcBorders>
              <w:top w:val="single" w:sz="4" w:space="0" w:color="000000"/>
            </w:tcBorders>
            <w:vAlign w:val="center"/>
          </w:tcPr>
          <w:p w14:paraId="2C75417C" w14:textId="77777777"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1.348</w:t>
            </w:r>
          </w:p>
        </w:tc>
        <w:tc>
          <w:tcPr>
            <w:tcW w:w="770" w:type="dxa"/>
            <w:tcBorders>
              <w:top w:val="single" w:sz="4" w:space="0" w:color="000000"/>
            </w:tcBorders>
            <w:vAlign w:val="center"/>
          </w:tcPr>
          <w:p w14:paraId="295DFA48" w14:textId="77777777"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2.139</w:t>
            </w:r>
          </w:p>
        </w:tc>
        <w:tc>
          <w:tcPr>
            <w:tcW w:w="1077" w:type="dxa"/>
            <w:vMerge w:val="restart"/>
            <w:tcBorders>
              <w:top w:val="single" w:sz="4" w:space="0" w:color="000000"/>
            </w:tcBorders>
          </w:tcPr>
          <w:p w14:paraId="15575388"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Richness </w:t>
            </w:r>
          </w:p>
        </w:tc>
        <w:tc>
          <w:tcPr>
            <w:tcW w:w="1764" w:type="dxa"/>
            <w:tcBorders>
              <w:top w:val="single" w:sz="4" w:space="0" w:color="000000"/>
            </w:tcBorders>
            <w:vAlign w:val="center"/>
          </w:tcPr>
          <w:p w14:paraId="522C44CC" w14:textId="77777777" w:rsidR="004E0D8A" w:rsidRDefault="009C0D87">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Margalef</w:t>
            </w:r>
            <w:proofErr w:type="spellEnd"/>
            <w:r>
              <w:rPr>
                <w:rFonts w:ascii="Times New Roman" w:eastAsia="Times New Roman" w:hAnsi="Times New Roman" w:cs="Times New Roman"/>
                <w:color w:val="000000"/>
              </w:rPr>
              <w:t xml:space="preserve"> index</w:t>
            </w:r>
          </w:p>
        </w:tc>
        <w:tc>
          <w:tcPr>
            <w:tcW w:w="714" w:type="dxa"/>
            <w:tcBorders>
              <w:top w:val="single" w:sz="4" w:space="0" w:color="000000"/>
            </w:tcBorders>
            <w:vAlign w:val="center"/>
          </w:tcPr>
          <w:p w14:paraId="07582F63"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1.329</w:t>
            </w:r>
          </w:p>
        </w:tc>
        <w:tc>
          <w:tcPr>
            <w:tcW w:w="728" w:type="dxa"/>
            <w:tcBorders>
              <w:top w:val="single" w:sz="4" w:space="0" w:color="000000"/>
            </w:tcBorders>
            <w:vAlign w:val="center"/>
          </w:tcPr>
          <w:p w14:paraId="5D1EA44E"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1.532</w:t>
            </w:r>
          </w:p>
        </w:tc>
      </w:tr>
      <w:tr w:rsidR="004E0D8A" w14:paraId="5F3DFDB7" w14:textId="77777777">
        <w:tc>
          <w:tcPr>
            <w:tcW w:w="1242" w:type="dxa"/>
            <w:vMerge/>
            <w:tcBorders>
              <w:top w:val="single" w:sz="4" w:space="0" w:color="000000"/>
            </w:tcBorders>
          </w:tcPr>
          <w:p w14:paraId="348D3D1E"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030" w:type="dxa"/>
            <w:vAlign w:val="center"/>
          </w:tcPr>
          <w:p w14:paraId="296E7740"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Brillouin index</w:t>
            </w:r>
          </w:p>
        </w:tc>
        <w:tc>
          <w:tcPr>
            <w:tcW w:w="714" w:type="dxa"/>
            <w:vAlign w:val="center"/>
          </w:tcPr>
          <w:p w14:paraId="0DE19371" w14:textId="77777777"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1.525</w:t>
            </w:r>
          </w:p>
        </w:tc>
        <w:tc>
          <w:tcPr>
            <w:tcW w:w="770" w:type="dxa"/>
            <w:vAlign w:val="center"/>
          </w:tcPr>
          <w:p w14:paraId="21E20A94" w14:textId="77777777"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1.835</w:t>
            </w:r>
          </w:p>
        </w:tc>
        <w:tc>
          <w:tcPr>
            <w:tcW w:w="1077" w:type="dxa"/>
            <w:vMerge/>
            <w:tcBorders>
              <w:top w:val="single" w:sz="4" w:space="0" w:color="000000"/>
            </w:tcBorders>
          </w:tcPr>
          <w:p w14:paraId="77BC8FE7"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64" w:type="dxa"/>
            <w:vAlign w:val="center"/>
          </w:tcPr>
          <w:p w14:paraId="17E97D58" w14:textId="77777777" w:rsidR="004E0D8A" w:rsidRDefault="009C0D87">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Menhinick</w:t>
            </w:r>
            <w:proofErr w:type="spellEnd"/>
            <w:r>
              <w:rPr>
                <w:rFonts w:ascii="Times New Roman" w:eastAsia="Times New Roman" w:hAnsi="Times New Roman" w:cs="Times New Roman"/>
                <w:color w:val="000000"/>
              </w:rPr>
              <w:t xml:space="preserve"> index</w:t>
            </w:r>
          </w:p>
        </w:tc>
        <w:tc>
          <w:tcPr>
            <w:tcW w:w="714" w:type="dxa"/>
            <w:vAlign w:val="center"/>
          </w:tcPr>
          <w:p w14:paraId="737A4626"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0.255</w:t>
            </w:r>
          </w:p>
        </w:tc>
        <w:tc>
          <w:tcPr>
            <w:tcW w:w="728" w:type="dxa"/>
            <w:vAlign w:val="center"/>
          </w:tcPr>
          <w:p w14:paraId="34E20DF3"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0.421</w:t>
            </w:r>
          </w:p>
        </w:tc>
      </w:tr>
      <w:tr w:rsidR="004E0D8A" w14:paraId="6F9B8A04" w14:textId="77777777">
        <w:tc>
          <w:tcPr>
            <w:tcW w:w="1242" w:type="dxa"/>
            <w:vMerge w:val="restart"/>
          </w:tcPr>
          <w:p w14:paraId="683B3889" w14:textId="77777777" w:rsidR="004E0D8A" w:rsidRDefault="009C0D87">
            <w:pPr>
              <w:rPr>
                <w:rFonts w:ascii="Times New Roman" w:eastAsia="Times New Roman" w:hAnsi="Times New Roman" w:cs="Times New Roman"/>
              </w:rPr>
            </w:pPr>
            <w:r>
              <w:rPr>
                <w:rFonts w:ascii="Times New Roman" w:eastAsia="Times New Roman" w:hAnsi="Times New Roman" w:cs="Times New Roman"/>
              </w:rPr>
              <w:t xml:space="preserve">Dominance </w:t>
            </w:r>
          </w:p>
        </w:tc>
        <w:tc>
          <w:tcPr>
            <w:tcW w:w="2030" w:type="dxa"/>
            <w:vAlign w:val="center"/>
          </w:tcPr>
          <w:p w14:paraId="42F4BE8E"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Berger-Parker index</w:t>
            </w:r>
          </w:p>
        </w:tc>
        <w:tc>
          <w:tcPr>
            <w:tcW w:w="714" w:type="dxa"/>
            <w:vAlign w:val="center"/>
          </w:tcPr>
          <w:p w14:paraId="423F1ECF"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0.515</w:t>
            </w:r>
          </w:p>
        </w:tc>
        <w:tc>
          <w:tcPr>
            <w:tcW w:w="770" w:type="dxa"/>
            <w:vAlign w:val="center"/>
          </w:tcPr>
          <w:p w14:paraId="0A8DC125"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0.301</w:t>
            </w:r>
          </w:p>
        </w:tc>
        <w:tc>
          <w:tcPr>
            <w:tcW w:w="1077" w:type="dxa"/>
            <w:vMerge w:val="restart"/>
          </w:tcPr>
          <w:p w14:paraId="7B376907"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Evenness </w:t>
            </w:r>
          </w:p>
        </w:tc>
        <w:tc>
          <w:tcPr>
            <w:tcW w:w="1764" w:type="dxa"/>
            <w:vAlign w:val="center"/>
          </w:tcPr>
          <w:p w14:paraId="17C5216A"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Sheldon index</w:t>
            </w:r>
          </w:p>
        </w:tc>
        <w:tc>
          <w:tcPr>
            <w:tcW w:w="714" w:type="dxa"/>
            <w:vAlign w:val="center"/>
          </w:tcPr>
          <w:p w14:paraId="009F9A55"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0.350</w:t>
            </w:r>
          </w:p>
        </w:tc>
        <w:tc>
          <w:tcPr>
            <w:tcW w:w="728" w:type="dxa"/>
            <w:vAlign w:val="center"/>
          </w:tcPr>
          <w:p w14:paraId="05F0528C"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0.772</w:t>
            </w:r>
          </w:p>
        </w:tc>
      </w:tr>
      <w:tr w:rsidR="004E0D8A" w14:paraId="16F64854" w14:textId="77777777">
        <w:tc>
          <w:tcPr>
            <w:tcW w:w="1242" w:type="dxa"/>
            <w:vMerge/>
          </w:tcPr>
          <w:p w14:paraId="3D0AB9E4"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030" w:type="dxa"/>
            <w:vAlign w:val="center"/>
          </w:tcPr>
          <w:p w14:paraId="5F8A32C6"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Simpson index</w:t>
            </w:r>
          </w:p>
        </w:tc>
        <w:tc>
          <w:tcPr>
            <w:tcW w:w="714" w:type="dxa"/>
            <w:vAlign w:val="center"/>
          </w:tcPr>
          <w:p w14:paraId="53CAB2B1"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0.355</w:t>
            </w:r>
          </w:p>
        </w:tc>
        <w:tc>
          <w:tcPr>
            <w:tcW w:w="770" w:type="dxa"/>
            <w:vAlign w:val="center"/>
          </w:tcPr>
          <w:p w14:paraId="22360532"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0.150</w:t>
            </w:r>
          </w:p>
        </w:tc>
        <w:tc>
          <w:tcPr>
            <w:tcW w:w="1077" w:type="dxa"/>
            <w:vMerge/>
          </w:tcPr>
          <w:p w14:paraId="0D72214A"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64" w:type="dxa"/>
            <w:vAlign w:val="center"/>
          </w:tcPr>
          <w:p w14:paraId="6E73CA5A" w14:textId="77777777" w:rsidR="004E0D8A" w:rsidRDefault="009C0D87">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Heip</w:t>
            </w:r>
            <w:proofErr w:type="spellEnd"/>
            <w:r>
              <w:rPr>
                <w:rFonts w:ascii="Times New Roman" w:eastAsia="Times New Roman" w:hAnsi="Times New Roman" w:cs="Times New Roman"/>
                <w:color w:val="000000"/>
              </w:rPr>
              <w:t xml:space="preserve"> index</w:t>
            </w:r>
          </w:p>
        </w:tc>
        <w:tc>
          <w:tcPr>
            <w:tcW w:w="714" w:type="dxa"/>
            <w:vAlign w:val="center"/>
          </w:tcPr>
          <w:p w14:paraId="6B26E0EB"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728" w:type="dxa"/>
            <w:vAlign w:val="center"/>
          </w:tcPr>
          <w:p w14:paraId="4D8F8BE2"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0.749</w:t>
            </w:r>
          </w:p>
        </w:tc>
      </w:tr>
      <w:tr w:rsidR="004E0D8A" w14:paraId="136096CD" w14:textId="77777777">
        <w:tc>
          <w:tcPr>
            <w:tcW w:w="1242" w:type="dxa"/>
            <w:vMerge/>
          </w:tcPr>
          <w:p w14:paraId="01416F39"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030" w:type="dxa"/>
            <w:tcBorders>
              <w:bottom w:val="single" w:sz="4" w:space="0" w:color="000000"/>
            </w:tcBorders>
            <w:vAlign w:val="center"/>
          </w:tcPr>
          <w:p w14:paraId="465493BB" w14:textId="77777777"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McIntosh index</w:t>
            </w:r>
          </w:p>
        </w:tc>
        <w:tc>
          <w:tcPr>
            <w:tcW w:w="714" w:type="dxa"/>
            <w:tcBorders>
              <w:bottom w:val="single" w:sz="4" w:space="0" w:color="000000"/>
            </w:tcBorders>
            <w:vAlign w:val="center"/>
          </w:tcPr>
          <w:p w14:paraId="35B4455A"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0.414</w:t>
            </w:r>
          </w:p>
        </w:tc>
        <w:tc>
          <w:tcPr>
            <w:tcW w:w="770" w:type="dxa"/>
            <w:tcBorders>
              <w:bottom w:val="single" w:sz="4" w:space="0" w:color="000000"/>
            </w:tcBorders>
            <w:vAlign w:val="center"/>
          </w:tcPr>
          <w:p w14:paraId="5FD55985"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0.637</w:t>
            </w:r>
          </w:p>
        </w:tc>
        <w:tc>
          <w:tcPr>
            <w:tcW w:w="1077" w:type="dxa"/>
            <w:vMerge/>
          </w:tcPr>
          <w:p w14:paraId="16D83CA1" w14:textId="77777777"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64" w:type="dxa"/>
            <w:tcBorders>
              <w:bottom w:val="single" w:sz="4" w:space="0" w:color="000000"/>
            </w:tcBorders>
            <w:vAlign w:val="center"/>
          </w:tcPr>
          <w:p w14:paraId="009AA2E4" w14:textId="77777777" w:rsidR="004E0D8A" w:rsidRDefault="009C0D87">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Pielou</w:t>
            </w:r>
            <w:proofErr w:type="spellEnd"/>
            <w:r>
              <w:rPr>
                <w:rFonts w:ascii="Times New Roman" w:eastAsia="Times New Roman" w:hAnsi="Times New Roman" w:cs="Times New Roman"/>
                <w:color w:val="000000"/>
              </w:rPr>
              <w:t xml:space="preserve"> index</w:t>
            </w:r>
          </w:p>
        </w:tc>
        <w:tc>
          <w:tcPr>
            <w:tcW w:w="714" w:type="dxa"/>
            <w:tcBorders>
              <w:bottom w:val="single" w:sz="4" w:space="0" w:color="000000"/>
            </w:tcBorders>
            <w:vAlign w:val="center"/>
          </w:tcPr>
          <w:p w14:paraId="4767B35C"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0.562</w:t>
            </w:r>
          </w:p>
        </w:tc>
        <w:tc>
          <w:tcPr>
            <w:tcW w:w="728" w:type="dxa"/>
            <w:tcBorders>
              <w:bottom w:val="single" w:sz="4" w:space="0" w:color="000000"/>
            </w:tcBorders>
            <w:vAlign w:val="center"/>
          </w:tcPr>
          <w:p w14:paraId="7058A28B" w14:textId="77777777"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0.892</w:t>
            </w:r>
          </w:p>
        </w:tc>
      </w:tr>
    </w:tbl>
    <w:p w14:paraId="7B85E3F3" w14:textId="77777777" w:rsidR="004E0D8A" w:rsidRDefault="009C0D87">
      <w:p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CONCLUSION</w:t>
      </w:r>
    </w:p>
    <w:p w14:paraId="5A86EB4B"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on the diversity and seasonal occurrence of different </w:t>
      </w:r>
      <w:r>
        <w:rPr>
          <w:rFonts w:ascii="Times New Roman" w:eastAsia="Times New Roman" w:hAnsi="Times New Roman" w:cs="Times New Roman"/>
          <w:sz w:val="24"/>
          <w:szCs w:val="24"/>
        </w:rPr>
        <w:t>insect pests in the litchi ecosystem has provided valuable insights, particularly with regard to the implementation of incidence-based management strategies. As per our study, a wide range of insect pests are available in these regions that can cause serio</w:t>
      </w:r>
      <w:r>
        <w:rPr>
          <w:rFonts w:ascii="Times New Roman" w:eastAsia="Times New Roman" w:hAnsi="Times New Roman" w:cs="Times New Roman"/>
          <w:sz w:val="24"/>
          <w:szCs w:val="24"/>
        </w:rPr>
        <w:t>us damage to the litchi production. Furthermore, the insect pest population was drastically higher in sub-region II, requiring a comparatively greater management effort in the litchi orchards of this sub-region than sub-region V. The higher population of d</w:t>
      </w:r>
      <w:r>
        <w:rPr>
          <w:rFonts w:ascii="Times New Roman" w:eastAsia="Times New Roman" w:hAnsi="Times New Roman" w:cs="Times New Roman"/>
          <w:sz w:val="24"/>
          <w:szCs w:val="24"/>
        </w:rPr>
        <w:t>ifferent insect pests at the flowering-to-fruiting stage of the crop makes the crop more vulnerable during these particular growth stages. This suggests that appropriate and judicious insect pest management strategies need to be implemented at this typical</w:t>
      </w:r>
      <w:r>
        <w:rPr>
          <w:rFonts w:ascii="Times New Roman" w:eastAsia="Times New Roman" w:hAnsi="Times New Roman" w:cs="Times New Roman"/>
          <w:sz w:val="24"/>
          <w:szCs w:val="24"/>
        </w:rPr>
        <w:t xml:space="preserve"> timeframe in order to safeguard the orchards from facing a heavy yield loss.</w:t>
      </w:r>
    </w:p>
    <w:p w14:paraId="04FD8C91" w14:textId="77777777"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 (ARTIFICIAL INTELLIGENCE)</w:t>
      </w:r>
    </w:p>
    <w:p w14:paraId="0E0654DF" w14:textId="77777777"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hereby declare that NO generative AI technologies such as Large Language Models (ChatGPT, COPILOT, etc.) and text-to-image generators</w:t>
      </w:r>
      <w:r>
        <w:rPr>
          <w:rFonts w:ascii="Times New Roman" w:eastAsia="Times New Roman" w:hAnsi="Times New Roman" w:cs="Times New Roman"/>
          <w:sz w:val="24"/>
          <w:szCs w:val="24"/>
        </w:rPr>
        <w:t xml:space="preserve"> have been used during the writing or editing of this manuscript. </w:t>
      </w:r>
    </w:p>
    <w:p w14:paraId="60D4AB53" w14:textId="77777777" w:rsidR="002817D9" w:rsidRDefault="002817D9">
      <w:pPr>
        <w:spacing w:after="0" w:line="240" w:lineRule="auto"/>
        <w:rPr>
          <w:rFonts w:ascii="Times New Roman" w:eastAsia="Times New Roman" w:hAnsi="Times New Roman" w:cs="Times New Roman"/>
          <w:b/>
          <w:sz w:val="24"/>
          <w:szCs w:val="24"/>
        </w:rPr>
      </w:pPr>
    </w:p>
    <w:p w14:paraId="3197E39C" w14:textId="48402B94" w:rsidR="004E0D8A" w:rsidRDefault="009C0D87">
      <w:pPr>
        <w:spacing w:after="0" w:line="240" w:lineRule="auto"/>
        <w:rPr>
          <w:rFonts w:ascii="Times New Roman" w:eastAsia="Times New Roman" w:hAnsi="Times New Roman" w:cs="Times New Roman"/>
          <w:b/>
        </w:rPr>
      </w:pPr>
      <w:bookmarkStart w:id="1" w:name="_GoBack"/>
      <w:bookmarkEnd w:id="1"/>
      <w:r>
        <w:rPr>
          <w:rFonts w:ascii="Times New Roman" w:eastAsia="Times New Roman" w:hAnsi="Times New Roman" w:cs="Times New Roman"/>
          <w:b/>
          <w:sz w:val="24"/>
          <w:szCs w:val="24"/>
        </w:rPr>
        <w:t>REFERENCES</w:t>
      </w:r>
    </w:p>
    <w:p w14:paraId="2B03AC0B"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Agarwala B K, Bhattacharjee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Redescription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Aristobiareticulator</w:t>
      </w:r>
      <w:proofErr w:type="spellEnd"/>
      <w:r>
        <w:rPr>
          <w:rFonts w:ascii="Times New Roman" w:eastAsia="Times New Roman" w:hAnsi="Times New Roman" w:cs="Times New Roman"/>
          <w:sz w:val="24"/>
          <w:szCs w:val="24"/>
        </w:rPr>
        <w:t xml:space="preserve"> (F., 1781) (Coleoptera: </w:t>
      </w:r>
      <w:proofErr w:type="spellStart"/>
      <w:r>
        <w:rPr>
          <w:rFonts w:ascii="Times New Roman" w:eastAsia="Times New Roman" w:hAnsi="Times New Roman" w:cs="Times New Roman"/>
          <w:sz w:val="24"/>
          <w:szCs w:val="24"/>
        </w:rPr>
        <w:t>Cerambycidae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Lamiinae</w:t>
      </w:r>
      <w:proofErr w:type="spellEnd"/>
      <w:r>
        <w:rPr>
          <w:rFonts w:ascii="Times New Roman" w:eastAsia="Times New Roman" w:hAnsi="Times New Roman" w:cs="Times New Roman"/>
          <w:sz w:val="24"/>
          <w:szCs w:val="24"/>
        </w:rPr>
        <w:t xml:space="preserve">), with a taxonomic note and record of a new food plant for adults in Northeastern India.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Coleopterists</w:t>
      </w:r>
      <w:proofErr w:type="spellEnd"/>
      <w:r>
        <w:rPr>
          <w:rFonts w:ascii="Times New Roman" w:eastAsia="Times New Roman" w:hAnsi="Times New Roman" w:cs="Times New Roman"/>
          <w:i/>
          <w:sz w:val="24"/>
          <w:szCs w:val="24"/>
        </w:rPr>
        <w:t xml:space="preserve"> Bulletin</w:t>
      </w:r>
      <w:r>
        <w:rPr>
          <w:rFonts w:ascii="Times New Roman" w:eastAsia="Times New Roman" w:hAnsi="Times New Roman" w:cs="Times New Roman"/>
          <w:sz w:val="24"/>
          <w:szCs w:val="24"/>
        </w:rPr>
        <w:t>, 69(2), 205-212.</w:t>
      </w:r>
    </w:p>
    <w:p w14:paraId="46EBF534"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Atwal, A. S. (1976). </w:t>
      </w:r>
      <w:r>
        <w:rPr>
          <w:rFonts w:ascii="Times New Roman" w:eastAsia="Times New Roman" w:hAnsi="Times New Roman" w:cs="Times New Roman"/>
          <w:i/>
          <w:sz w:val="24"/>
          <w:szCs w:val="24"/>
        </w:rPr>
        <w:t>Agricultural Pests of India and Southeast Asia</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Delhi:Kalyani</w:t>
      </w:r>
      <w:proofErr w:type="spellEnd"/>
      <w:proofErr w:type="gramEnd"/>
      <w:r>
        <w:rPr>
          <w:rFonts w:ascii="Times New Roman" w:eastAsia="Times New Roman" w:hAnsi="Times New Roman" w:cs="Times New Roman"/>
          <w:sz w:val="24"/>
          <w:szCs w:val="24"/>
        </w:rPr>
        <w:t xml:space="preserve"> Publishers.</w:t>
      </w:r>
    </w:p>
    <w:p w14:paraId="652AADDB" w14:textId="77777777" w:rsidR="004E0D8A" w:rsidRDefault="009C0D87">
      <w:pPr>
        <w:spacing w:after="0" w:line="240" w:lineRule="auto"/>
        <w:ind w:left="720" w:hanging="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Berger, W. H., &amp; Parker, F. L. (1970). Diversity of planktonic foraminifera in deep-sea sediments. </w:t>
      </w:r>
      <w:r>
        <w:rPr>
          <w:rFonts w:ascii="Times New Roman" w:eastAsia="Times New Roman" w:hAnsi="Times New Roman" w:cs="Times New Roman"/>
          <w:i/>
          <w:sz w:val="24"/>
          <w:szCs w:val="24"/>
          <w:highlight w:val="white"/>
        </w:rPr>
        <w:t>Science</w:t>
      </w:r>
      <w:r>
        <w:rPr>
          <w:rFonts w:ascii="Times New Roman" w:eastAsia="Times New Roman" w:hAnsi="Times New Roman" w:cs="Times New Roman"/>
          <w:sz w:val="24"/>
          <w:szCs w:val="24"/>
          <w:highlight w:val="white"/>
        </w:rPr>
        <w:t xml:space="preserve">, 168(3937), 1345-1347. </w:t>
      </w:r>
      <w:hyperlink r:id="rId9">
        <w:r>
          <w:rPr>
            <w:rFonts w:ascii="Times New Roman" w:eastAsia="Times New Roman" w:hAnsi="Times New Roman" w:cs="Times New Roman"/>
            <w:color w:val="0000FF"/>
            <w:sz w:val="24"/>
            <w:szCs w:val="24"/>
            <w:highlight w:val="white"/>
            <w:u w:val="single"/>
          </w:rPr>
          <w:t>https://10.1126/science.168.3937.134</w:t>
        </w:r>
      </w:hyperlink>
    </w:p>
    <w:p w14:paraId="315CAA8A" w14:textId="77777777"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Chauhan, V. S., Ahlawat, V. P., &amp;Joon, M. S. (2008). Evaluation of different cultivars of litchi (</w:t>
      </w:r>
      <w:r>
        <w:rPr>
          <w:rFonts w:ascii="Times New Roman" w:eastAsia="Times New Roman" w:hAnsi="Times New Roman" w:cs="Times New Roman"/>
          <w:i/>
          <w:sz w:val="24"/>
          <w:szCs w:val="24"/>
          <w:highlight w:val="white"/>
        </w:rPr>
        <w:t xml:space="preserve">Litchi </w:t>
      </w:r>
      <w:proofErr w:type="spellStart"/>
      <w:r>
        <w:rPr>
          <w:rFonts w:ascii="Times New Roman" w:eastAsia="Times New Roman" w:hAnsi="Times New Roman" w:cs="Times New Roman"/>
          <w:i/>
          <w:sz w:val="24"/>
          <w:szCs w:val="24"/>
          <w:highlight w:val="white"/>
        </w:rPr>
        <w:t>chinesis</w:t>
      </w:r>
      <w:r>
        <w:rPr>
          <w:rFonts w:ascii="Times New Roman" w:eastAsia="Times New Roman" w:hAnsi="Times New Roman" w:cs="Times New Roman"/>
          <w:sz w:val="24"/>
          <w:szCs w:val="24"/>
          <w:highlight w:val="white"/>
        </w:rPr>
        <w:t>sonn</w:t>
      </w:r>
      <w:proofErr w:type="spellEnd"/>
      <w:r>
        <w:rPr>
          <w:rFonts w:ascii="Times New Roman" w:eastAsia="Times New Roman" w:hAnsi="Times New Roman" w:cs="Times New Roman"/>
          <w:sz w:val="24"/>
          <w:szCs w:val="24"/>
          <w:highlight w:val="white"/>
        </w:rPr>
        <w:t>.) under northern region of Haryana sta</w:t>
      </w:r>
      <w:r>
        <w:rPr>
          <w:rFonts w:ascii="Times New Roman" w:eastAsia="Times New Roman" w:hAnsi="Times New Roman" w:cs="Times New Roman"/>
          <w:sz w:val="24"/>
          <w:szCs w:val="24"/>
          <w:highlight w:val="white"/>
        </w:rPr>
        <w:t>te of India. </w:t>
      </w:r>
      <w:r>
        <w:rPr>
          <w:rFonts w:ascii="Times New Roman" w:eastAsia="Times New Roman" w:hAnsi="Times New Roman" w:cs="Times New Roman"/>
          <w:i/>
          <w:sz w:val="24"/>
          <w:szCs w:val="24"/>
          <w:highlight w:val="white"/>
        </w:rPr>
        <w:t>Agricultural Science Digest</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28</w:t>
      </w:r>
      <w:r>
        <w:rPr>
          <w:rFonts w:ascii="Times New Roman" w:eastAsia="Times New Roman" w:hAnsi="Times New Roman" w:cs="Times New Roman"/>
          <w:sz w:val="24"/>
          <w:szCs w:val="24"/>
          <w:highlight w:val="white"/>
        </w:rPr>
        <w:t>(2), 155-156.</w:t>
      </w:r>
    </w:p>
    <w:p w14:paraId="4B072CE6" w14:textId="77777777" w:rsidR="004E0D8A" w:rsidRDefault="004E0D8A">
      <w:pPr>
        <w:spacing w:after="0" w:line="240" w:lineRule="auto"/>
        <w:ind w:left="720" w:hanging="720"/>
        <w:jc w:val="both"/>
        <w:rPr>
          <w:rFonts w:ascii="Times New Roman" w:eastAsia="Times New Roman" w:hAnsi="Times New Roman" w:cs="Times New Roman"/>
          <w:sz w:val="24"/>
          <w:szCs w:val="24"/>
          <w:highlight w:val="white"/>
        </w:rPr>
      </w:pPr>
    </w:p>
    <w:p w14:paraId="6D52594E" w14:textId="77777777" w:rsidR="004E0D8A" w:rsidRDefault="009C0D87">
      <w:pPr>
        <w:ind w:left="720" w:hanging="630"/>
        <w:jc w:val="both"/>
        <w:rPr>
          <w:rFonts w:ascii="Times New Roman" w:eastAsia="Times New Roman" w:hAnsi="Times New Roman" w:cs="Times New Roman"/>
        </w:rPr>
      </w:pPr>
      <w:r>
        <w:rPr>
          <w:rFonts w:ascii="Times New Roman" w:eastAsia="Times New Roman" w:hAnsi="Times New Roman" w:cs="Times New Roman"/>
        </w:rPr>
        <w:t>Chakraborty, K., &amp; Samanta, A. (2005). Evaluation of litchi germplasms based on biochemical parameters along with incidence of leaf roller (</w:t>
      </w:r>
      <w:proofErr w:type="spellStart"/>
      <w:r>
        <w:rPr>
          <w:rFonts w:ascii="Times New Roman" w:eastAsia="Times New Roman" w:hAnsi="Times New Roman" w:cs="Times New Roman"/>
          <w:i/>
        </w:rPr>
        <w:t>Platypepla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aprobola</w:t>
      </w:r>
      <w:proofErr w:type="spellEnd"/>
      <w:r>
        <w:rPr>
          <w:rFonts w:ascii="Times New Roman" w:eastAsia="Times New Roman" w:hAnsi="Times New Roman" w:cs="Times New Roman"/>
        </w:rPr>
        <w:t xml:space="preserve"> Meyer.) and fruit borer (</w:t>
      </w:r>
      <w:proofErr w:type="spellStart"/>
      <w:r>
        <w:rPr>
          <w:rFonts w:ascii="Times New Roman" w:eastAsia="Times New Roman" w:hAnsi="Times New Roman" w:cs="Times New Roman"/>
          <w:i/>
        </w:rPr>
        <w:t>Conopomorpha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cramerella</w:t>
      </w:r>
      <w:proofErr w:type="spellEnd"/>
      <w:r>
        <w:rPr>
          <w:rFonts w:ascii="Times New Roman" w:eastAsia="Times New Roman" w:hAnsi="Times New Roman" w:cs="Times New Roman"/>
        </w:rPr>
        <w:t xml:space="preserve"> Snellen). </w:t>
      </w:r>
      <w:r>
        <w:rPr>
          <w:rFonts w:ascii="Times New Roman" w:eastAsia="Times New Roman" w:hAnsi="Times New Roman" w:cs="Times New Roman"/>
          <w:i/>
        </w:rPr>
        <w:t>Annals of Plant Protection Sciences</w:t>
      </w:r>
      <w:r>
        <w:rPr>
          <w:rFonts w:ascii="Times New Roman" w:eastAsia="Times New Roman" w:hAnsi="Times New Roman" w:cs="Times New Roman"/>
        </w:rPr>
        <w:t>; 13(2), 338-342.</w:t>
      </w:r>
    </w:p>
    <w:p w14:paraId="0B38F8CE"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Choudhary, J. S., Prabhakar S. C., Moanaro, Das, B. &amp; Kumar, S. (2013). Litchi stink bug (</w:t>
      </w:r>
      <w:proofErr w:type="spellStart"/>
      <w:r>
        <w:rPr>
          <w:rFonts w:ascii="Times New Roman" w:eastAsia="Times New Roman" w:hAnsi="Times New Roman" w:cs="Times New Roman"/>
          <w:i/>
          <w:sz w:val="24"/>
          <w:szCs w:val="24"/>
        </w:rPr>
        <w:t>Tessaratomajavanica</w:t>
      </w:r>
      <w:proofErr w:type="spellEnd"/>
      <w:r>
        <w:rPr>
          <w:rFonts w:ascii="Times New Roman" w:eastAsia="Times New Roman" w:hAnsi="Times New Roman" w:cs="Times New Roman"/>
          <w:sz w:val="24"/>
          <w:szCs w:val="24"/>
        </w:rPr>
        <w:t xml:space="preserve">) outbreak in Jharkhand, India, on litchi. </w:t>
      </w:r>
      <w:proofErr w:type="spellStart"/>
      <w:r>
        <w:rPr>
          <w:rFonts w:ascii="Times New Roman" w:eastAsia="Times New Roman" w:hAnsi="Times New Roman" w:cs="Times New Roman"/>
          <w:i/>
          <w:sz w:val="24"/>
          <w:szCs w:val="24"/>
        </w:rPr>
        <w:t>Phytoparasitica</w:t>
      </w:r>
      <w:proofErr w:type="spellEnd"/>
      <w:r>
        <w:rPr>
          <w:rFonts w:ascii="Times New Roman" w:eastAsia="Times New Roman" w:hAnsi="Times New Roman" w:cs="Times New Roman"/>
          <w:sz w:val="24"/>
          <w:szCs w:val="24"/>
        </w:rPr>
        <w:t>, 41, 73- 77.h</w:t>
      </w:r>
      <w:r>
        <w:rPr>
          <w:rFonts w:ascii="Times New Roman" w:eastAsia="Times New Roman" w:hAnsi="Times New Roman" w:cs="Times New Roman"/>
          <w:sz w:val="24"/>
          <w:szCs w:val="24"/>
        </w:rPr>
        <w:t>ttps://doi.org/10.1007/s12600-012-0265-x</w:t>
      </w:r>
    </w:p>
    <w:p w14:paraId="23ADA6DE"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Dalui, T., &amp; Sarkar, S. K. (2021). Seasonal incidence and damage potentiality of Litchi fruit Borer (</w:t>
      </w:r>
      <w:proofErr w:type="spellStart"/>
      <w:r>
        <w:rPr>
          <w:rFonts w:ascii="Times New Roman" w:eastAsia="Times New Roman" w:hAnsi="Times New Roman" w:cs="Times New Roman"/>
          <w:i/>
          <w:sz w:val="24"/>
          <w:szCs w:val="24"/>
        </w:rPr>
        <w:t>Conopomorphasinensis</w:t>
      </w:r>
      <w:proofErr w:type="spellEnd"/>
      <w:r>
        <w:rPr>
          <w:rFonts w:ascii="Times New Roman" w:eastAsia="Times New Roman" w:hAnsi="Times New Roman" w:cs="Times New Roman"/>
          <w:sz w:val="24"/>
          <w:szCs w:val="24"/>
        </w:rPr>
        <w:t xml:space="preserve"> Bradley, 1986) in relation to major abiotic environmental factors. </w:t>
      </w:r>
      <w:r>
        <w:rPr>
          <w:rFonts w:ascii="Times New Roman" w:eastAsia="Times New Roman" w:hAnsi="Times New Roman" w:cs="Times New Roman"/>
          <w:i/>
          <w:sz w:val="24"/>
          <w:szCs w:val="24"/>
        </w:rPr>
        <w:t xml:space="preserve">Ecology Environment and </w:t>
      </w:r>
      <w:r>
        <w:rPr>
          <w:rFonts w:ascii="Times New Roman" w:eastAsia="Times New Roman" w:hAnsi="Times New Roman" w:cs="Times New Roman"/>
          <w:i/>
          <w:sz w:val="24"/>
          <w:szCs w:val="24"/>
        </w:rPr>
        <w:t>Conservation</w:t>
      </w:r>
      <w:r>
        <w:rPr>
          <w:rFonts w:ascii="Times New Roman" w:eastAsia="Times New Roman" w:hAnsi="Times New Roman" w:cs="Times New Roman"/>
          <w:sz w:val="24"/>
          <w:szCs w:val="24"/>
        </w:rPr>
        <w:t>, 27, S302-307.</w:t>
      </w:r>
    </w:p>
    <w:p w14:paraId="57E756AF"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Deng, G.R., Yang, H.H., Huang, D.X., Zeng, D.Q., Chen, D.Y., &amp;Huang, S.S. (1999). List of the insect pests and diseases of </w:t>
      </w:r>
      <w:proofErr w:type="spellStart"/>
      <w:r>
        <w:rPr>
          <w:rFonts w:ascii="Times New Roman" w:eastAsia="Times New Roman" w:hAnsi="Times New Roman" w:cs="Times New Roman"/>
          <w:sz w:val="24"/>
          <w:szCs w:val="24"/>
        </w:rPr>
        <w:t>longan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nanning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Guangxi Plant Protection,</w:t>
      </w:r>
      <w:r>
        <w:rPr>
          <w:rFonts w:ascii="Times New Roman" w:eastAsia="Times New Roman" w:hAnsi="Times New Roman" w:cs="Times New Roman"/>
          <w:sz w:val="24"/>
          <w:szCs w:val="24"/>
        </w:rPr>
        <w:t xml:space="preserve"> 12, 12-16.</w:t>
      </w:r>
    </w:p>
    <w:p w14:paraId="60F54EB7"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Firake</w:t>
      </w:r>
      <w:proofErr w:type="spellEnd"/>
      <w:r>
        <w:rPr>
          <w:rFonts w:ascii="Times New Roman" w:eastAsia="Times New Roman" w:hAnsi="Times New Roman" w:cs="Times New Roman"/>
          <w:sz w:val="24"/>
          <w:szCs w:val="24"/>
        </w:rPr>
        <w:t xml:space="preserve">, D. M., Behere, G. T., Deshmukh, N. A., </w:t>
      </w:r>
      <w:proofErr w:type="spellStart"/>
      <w:r>
        <w:rPr>
          <w:rFonts w:ascii="Times New Roman" w:eastAsia="Times New Roman" w:hAnsi="Times New Roman" w:cs="Times New Roman"/>
          <w:sz w:val="24"/>
          <w:szCs w:val="24"/>
        </w:rPr>
        <w:t>Fi</w:t>
      </w:r>
      <w:r>
        <w:rPr>
          <w:rFonts w:ascii="Times New Roman" w:eastAsia="Times New Roman" w:hAnsi="Times New Roman" w:cs="Times New Roman"/>
          <w:sz w:val="24"/>
          <w:szCs w:val="24"/>
        </w:rPr>
        <w:t>rake</w:t>
      </w:r>
      <w:proofErr w:type="spellEnd"/>
      <w:r>
        <w:rPr>
          <w:rFonts w:ascii="Times New Roman" w:eastAsia="Times New Roman" w:hAnsi="Times New Roman" w:cs="Times New Roman"/>
          <w:sz w:val="24"/>
          <w:szCs w:val="24"/>
        </w:rPr>
        <w:t xml:space="preserve">, P. D., &amp;Thakur, N. S. A. (2013). Recent scenario of insect-pests of guava in North East India and their eco-friendly management. </w:t>
      </w:r>
      <w:r>
        <w:rPr>
          <w:rFonts w:ascii="Times New Roman" w:eastAsia="Times New Roman" w:hAnsi="Times New Roman" w:cs="Times New Roman"/>
          <w:i/>
          <w:sz w:val="24"/>
          <w:szCs w:val="24"/>
        </w:rPr>
        <w:t>Indian Journal of Hill Farming</w:t>
      </w:r>
      <w:r>
        <w:rPr>
          <w:rFonts w:ascii="Times New Roman" w:eastAsia="Times New Roman" w:hAnsi="Times New Roman" w:cs="Times New Roman"/>
          <w:sz w:val="24"/>
          <w:szCs w:val="24"/>
        </w:rPr>
        <w:t>, 26(1), 55-57.</w:t>
      </w:r>
    </w:p>
    <w:p w14:paraId="3DD9A5D6"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Hameed, S. F., Singh, P. P., &amp; Singh, S. P. 2001. Pests. In: K. S. </w:t>
      </w:r>
      <w:proofErr w:type="gramStart"/>
      <w:r>
        <w:rPr>
          <w:rFonts w:ascii="Times New Roman" w:eastAsia="Times New Roman" w:hAnsi="Times New Roman" w:cs="Times New Roman"/>
          <w:sz w:val="24"/>
          <w:szCs w:val="24"/>
        </w:rPr>
        <w:t>Chauhan(</w:t>
      </w:r>
      <w:proofErr w:type="gramEnd"/>
      <w:r>
        <w:rPr>
          <w:rFonts w:ascii="Times New Roman" w:eastAsia="Times New Roman" w:hAnsi="Times New Roman" w:cs="Times New Roman"/>
          <w:sz w:val="24"/>
          <w:szCs w:val="24"/>
        </w:rPr>
        <w:t xml:space="preserve">Ed), Litchi: Botany, Production, Utilization(pp. 228). </w:t>
      </w:r>
      <w:proofErr w:type="spellStart"/>
      <w:proofErr w:type="gramStart"/>
      <w:r>
        <w:rPr>
          <w:rFonts w:ascii="Times New Roman" w:eastAsia="Times New Roman" w:hAnsi="Times New Roman" w:cs="Times New Roman"/>
          <w:sz w:val="24"/>
          <w:szCs w:val="24"/>
        </w:rPr>
        <w:t>Ludhiana:Kalyani</w:t>
      </w:r>
      <w:proofErr w:type="spellEnd"/>
      <w:proofErr w:type="gramEnd"/>
      <w:r>
        <w:rPr>
          <w:rFonts w:ascii="Times New Roman" w:eastAsia="Times New Roman" w:hAnsi="Times New Roman" w:cs="Times New Roman"/>
          <w:sz w:val="24"/>
          <w:szCs w:val="24"/>
        </w:rPr>
        <w:t xml:space="preserve"> Publishers. </w:t>
      </w:r>
    </w:p>
    <w:p w14:paraId="61BBD709" w14:textId="77777777" w:rsidR="004E0D8A" w:rsidRDefault="009C0D87">
      <w:pPr>
        <w:spacing w:after="0" w:line="24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Hameed, S.F., Sharma, </w:t>
      </w:r>
      <w:proofErr w:type="gramStart"/>
      <w:r>
        <w:rPr>
          <w:rFonts w:ascii="Times New Roman" w:eastAsia="Times New Roman" w:hAnsi="Times New Roman" w:cs="Times New Roman"/>
          <w:sz w:val="24"/>
          <w:szCs w:val="24"/>
        </w:rPr>
        <w:t>D.D.,&amp;</w:t>
      </w:r>
      <w:proofErr w:type="gramEnd"/>
      <w:r>
        <w:rPr>
          <w:rFonts w:ascii="Times New Roman" w:eastAsia="Times New Roman" w:hAnsi="Times New Roman" w:cs="Times New Roman"/>
          <w:sz w:val="24"/>
          <w:szCs w:val="24"/>
        </w:rPr>
        <w:t xml:space="preserve"> Agarwal, M.L. (1992). Integrated Pest management in litchi. In Proceedings of National Seminar on Recent Developments in Litchi Production hel</w:t>
      </w:r>
      <w:r>
        <w:rPr>
          <w:rFonts w:ascii="Times New Roman" w:eastAsia="Times New Roman" w:hAnsi="Times New Roman" w:cs="Times New Roman"/>
          <w:sz w:val="24"/>
          <w:szCs w:val="24"/>
        </w:rPr>
        <w:t>d at R.A.U., Pusa. pp. 38.</w:t>
      </w:r>
    </w:p>
    <w:p w14:paraId="7E355B5E"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Heip</w:t>
      </w:r>
      <w:proofErr w:type="spellEnd"/>
      <w:r>
        <w:rPr>
          <w:rFonts w:ascii="Times New Roman" w:eastAsia="Times New Roman" w:hAnsi="Times New Roman" w:cs="Times New Roman"/>
          <w:sz w:val="24"/>
          <w:szCs w:val="24"/>
          <w:highlight w:val="white"/>
        </w:rPr>
        <w:t xml:space="preserve">, C. (1974). A new index measuring evenness. </w:t>
      </w:r>
      <w:r>
        <w:rPr>
          <w:rFonts w:ascii="Times New Roman" w:eastAsia="Times New Roman" w:hAnsi="Times New Roman" w:cs="Times New Roman"/>
          <w:i/>
          <w:sz w:val="24"/>
          <w:szCs w:val="24"/>
          <w:highlight w:val="white"/>
        </w:rPr>
        <w:t>Journal of the Marine Biological Association of the United Kingdom</w:t>
      </w:r>
      <w:r>
        <w:rPr>
          <w:rFonts w:ascii="Times New Roman" w:eastAsia="Times New Roman" w:hAnsi="Times New Roman" w:cs="Times New Roman"/>
          <w:sz w:val="24"/>
          <w:szCs w:val="24"/>
          <w:highlight w:val="white"/>
        </w:rPr>
        <w:t xml:space="preserve">, 54(3), 555-557. </w:t>
      </w:r>
      <w:hyperlink r:id="rId10">
        <w:r>
          <w:rPr>
            <w:rFonts w:ascii="Times New Roman" w:eastAsia="Times New Roman" w:hAnsi="Times New Roman" w:cs="Times New Roman"/>
            <w:sz w:val="24"/>
            <w:szCs w:val="24"/>
            <w:shd w:val="clear" w:color="auto" w:fill="F3F3F3"/>
          </w:rPr>
          <w:t>https://doi.org/10.1017/S0025315400</w:t>
        </w:r>
        <w:r>
          <w:rPr>
            <w:rFonts w:ascii="Times New Roman" w:eastAsia="Times New Roman" w:hAnsi="Times New Roman" w:cs="Times New Roman"/>
            <w:sz w:val="24"/>
            <w:szCs w:val="24"/>
            <w:shd w:val="clear" w:color="auto" w:fill="F3F3F3"/>
          </w:rPr>
          <w:t>022736</w:t>
        </w:r>
      </w:hyperlink>
    </w:p>
    <w:p w14:paraId="5FFF22F4" w14:textId="77777777"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Kanieski, M. R., Longhi, S. J., &amp;Soares, P. R. C. (2018). Methods for biodiversity assessment: Case study in an area of Atlantic forest in southern Brazil. In: </w:t>
      </w:r>
      <w:proofErr w:type="spellStart"/>
      <w:proofErr w:type="gramStart"/>
      <w:r>
        <w:rPr>
          <w:rFonts w:ascii="Times New Roman" w:eastAsia="Times New Roman" w:hAnsi="Times New Roman" w:cs="Times New Roman"/>
          <w:sz w:val="24"/>
          <w:szCs w:val="24"/>
        </w:rPr>
        <w:t>B.</w:t>
      </w:r>
      <w:r>
        <w:rPr>
          <w:rFonts w:ascii="Times New Roman" w:eastAsia="Times New Roman" w:hAnsi="Times New Roman" w:cs="Times New Roman"/>
          <w:sz w:val="24"/>
          <w:szCs w:val="24"/>
          <w:highlight w:val="white"/>
        </w:rPr>
        <w:t>Şen</w:t>
      </w:r>
      <w:proofErr w:type="spellEnd"/>
      <w:proofErr w:type="gramEnd"/>
      <w:r>
        <w:rPr>
          <w:rFonts w:ascii="Times New Roman" w:eastAsia="Times New Roman" w:hAnsi="Times New Roman" w:cs="Times New Roman"/>
          <w:sz w:val="24"/>
          <w:szCs w:val="24"/>
        </w:rPr>
        <w:t>, &amp;</w:t>
      </w:r>
      <w:r>
        <w:rPr>
          <w:rFonts w:ascii="Times New Roman" w:eastAsia="Times New Roman" w:hAnsi="Times New Roman" w:cs="Times New Roman"/>
          <w:sz w:val="24"/>
          <w:szCs w:val="24"/>
          <w:highlight w:val="white"/>
        </w:rPr>
        <w:t>O. Grillo</w:t>
      </w:r>
      <w:r>
        <w:rPr>
          <w:rFonts w:ascii="Times New Roman" w:eastAsia="Times New Roman" w:hAnsi="Times New Roman" w:cs="Times New Roman"/>
          <w:sz w:val="24"/>
          <w:szCs w:val="24"/>
        </w:rPr>
        <w:t xml:space="preserve">(Eds), </w:t>
      </w:r>
      <w:r>
        <w:rPr>
          <w:rFonts w:ascii="Times New Roman" w:eastAsia="Times New Roman" w:hAnsi="Times New Roman" w:cs="Times New Roman"/>
          <w:sz w:val="24"/>
          <w:szCs w:val="24"/>
          <w:highlight w:val="white"/>
        </w:rPr>
        <w:t xml:space="preserve">Selected studies in biodiversity (pp. 45-58). </w:t>
      </w:r>
      <w:proofErr w:type="spellStart"/>
      <w:proofErr w:type="gramStart"/>
      <w:r>
        <w:rPr>
          <w:rFonts w:ascii="Times New Roman" w:eastAsia="Times New Roman" w:hAnsi="Times New Roman" w:cs="Times New Roman"/>
          <w:sz w:val="24"/>
          <w:szCs w:val="24"/>
          <w:highlight w:val="white"/>
        </w:rPr>
        <w:t>IntechOpen</w:t>
      </w:r>
      <w:proofErr w:type="spellEnd"/>
      <w:r>
        <w:rPr>
          <w:rFonts w:ascii="Times New Roman" w:eastAsia="Times New Roman" w:hAnsi="Times New Roman" w:cs="Times New Roman"/>
          <w:sz w:val="24"/>
          <w:szCs w:val="24"/>
          <w:highlight w:val="white"/>
        </w:rPr>
        <w:t>,.</w:t>
      </w:r>
      <w:proofErr w:type="gramEnd"/>
      <w:r>
        <w:fldChar w:fldCharType="begin"/>
      </w:r>
      <w:r>
        <w:instrText>HYPERLI</w:instrText>
      </w:r>
      <w:r>
        <w:instrText>NK "https://dx.doi.org/10.5772/intechopen.71824" \h</w:instrText>
      </w:r>
      <w:r>
        <w:fldChar w:fldCharType="separate"/>
      </w:r>
      <w:r>
        <w:rPr>
          <w:rFonts w:ascii="Times New Roman" w:eastAsia="Times New Roman" w:hAnsi="Times New Roman" w:cs="Times New Roman"/>
          <w:color w:val="0000FF"/>
          <w:sz w:val="24"/>
          <w:szCs w:val="24"/>
          <w:highlight w:val="white"/>
          <w:u w:val="single"/>
        </w:rPr>
        <w:t>https://dx.doi.org/10.5772/intechopen.71824</w:t>
      </w:r>
      <w:r>
        <w:fldChar w:fldCharType="end"/>
      </w:r>
    </w:p>
    <w:p w14:paraId="59ECC394"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 A., Majhi, D., </w:t>
      </w:r>
      <w:proofErr w:type="spellStart"/>
      <w:r>
        <w:rPr>
          <w:rFonts w:ascii="Times New Roman" w:eastAsia="Times New Roman" w:hAnsi="Times New Roman" w:cs="Times New Roman"/>
          <w:sz w:val="24"/>
          <w:szCs w:val="24"/>
        </w:rPr>
        <w:t>Chakarborti</w:t>
      </w:r>
      <w:proofErr w:type="spellEnd"/>
      <w:r>
        <w:rPr>
          <w:rFonts w:ascii="Times New Roman" w:eastAsia="Times New Roman" w:hAnsi="Times New Roman" w:cs="Times New Roman"/>
          <w:sz w:val="24"/>
          <w:szCs w:val="24"/>
        </w:rPr>
        <w:t xml:space="preserve"> K., &amp; Mishra, D. (2023). Species complex of leaf roller infesting litchi (Litchi Chinensis) in West Bengal with their seasonal</w:t>
      </w:r>
      <w:r>
        <w:rPr>
          <w:rFonts w:ascii="Times New Roman" w:eastAsia="Times New Roman" w:hAnsi="Times New Roman" w:cs="Times New Roman"/>
          <w:sz w:val="24"/>
          <w:szCs w:val="24"/>
        </w:rPr>
        <w:t xml:space="preserve"> incidence. </w:t>
      </w:r>
      <w:r>
        <w:rPr>
          <w:rFonts w:ascii="Times New Roman" w:eastAsia="Times New Roman" w:hAnsi="Times New Roman" w:cs="Times New Roman"/>
          <w:i/>
          <w:sz w:val="24"/>
          <w:szCs w:val="24"/>
        </w:rPr>
        <w:t>Indian Journal of Entomology</w:t>
      </w:r>
      <w:r>
        <w:rPr>
          <w:rFonts w:ascii="Times New Roman" w:eastAsia="Times New Roman" w:hAnsi="Times New Roman" w:cs="Times New Roman"/>
          <w:sz w:val="24"/>
          <w:szCs w:val="24"/>
        </w:rPr>
        <w:t>, 85(4), 959-962.</w:t>
      </w:r>
    </w:p>
    <w:p w14:paraId="6B17F5E8"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Srivastava, K., Patel, R. K., &amp;Nath, V. (2014a). Management of litchi fruit borer and litchi mite using bio-rational approaches under subtropics of Bihar.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Ecoscan</w:t>
      </w:r>
      <w:proofErr w:type="spellEnd"/>
      <w:r>
        <w:rPr>
          <w:rFonts w:ascii="Times New Roman" w:eastAsia="Times New Roman" w:hAnsi="Times New Roman" w:cs="Times New Roman"/>
          <w:sz w:val="24"/>
          <w:szCs w:val="24"/>
        </w:rPr>
        <w:t xml:space="preserve">, Special (6), </w:t>
      </w:r>
      <w:r>
        <w:rPr>
          <w:rFonts w:ascii="Times New Roman" w:eastAsia="Times New Roman" w:hAnsi="Times New Roman" w:cs="Times New Roman"/>
          <w:sz w:val="24"/>
          <w:szCs w:val="24"/>
        </w:rPr>
        <w:t>285-289.</w:t>
      </w:r>
    </w:p>
    <w:p w14:paraId="1141A9C3"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Srivastava, K., </w:t>
      </w:r>
      <w:proofErr w:type="spellStart"/>
      <w:proofErr w:type="gramStart"/>
      <w:r>
        <w:rPr>
          <w:rFonts w:ascii="Times New Roman" w:eastAsia="Times New Roman" w:hAnsi="Times New Roman" w:cs="Times New Roman"/>
          <w:sz w:val="24"/>
          <w:szCs w:val="24"/>
        </w:rPr>
        <w:t>Patel,R</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  Pratap A. D. &amp; Singh, S. K. (2024).Seasonal occurrence and management of litchi fruit and shoot borer, </w:t>
      </w:r>
      <w:proofErr w:type="spellStart"/>
      <w:r>
        <w:rPr>
          <w:rFonts w:ascii="Times New Roman" w:eastAsia="Times New Roman" w:hAnsi="Times New Roman" w:cs="Times New Roman"/>
          <w:i/>
          <w:sz w:val="24"/>
          <w:szCs w:val="24"/>
        </w:rPr>
        <w:t>Conopomorphasinensis</w:t>
      </w:r>
      <w:proofErr w:type="spellEnd"/>
      <w:r>
        <w:rPr>
          <w:rFonts w:ascii="Times New Roman" w:eastAsia="Times New Roman" w:hAnsi="Times New Roman" w:cs="Times New Roman"/>
          <w:sz w:val="24"/>
          <w:szCs w:val="24"/>
        </w:rPr>
        <w:t xml:space="preserve"> (Bradley). </w:t>
      </w:r>
      <w:r>
        <w:rPr>
          <w:rFonts w:ascii="Times New Roman" w:eastAsia="Times New Roman" w:hAnsi="Times New Roman" w:cs="Times New Roman"/>
          <w:i/>
          <w:sz w:val="24"/>
          <w:szCs w:val="24"/>
        </w:rPr>
        <w:t>Pest Management in Horticultural Ecosystem</w:t>
      </w:r>
      <w:r>
        <w:rPr>
          <w:rFonts w:ascii="Times New Roman" w:eastAsia="Times New Roman" w:hAnsi="Times New Roman" w:cs="Times New Roman"/>
          <w:sz w:val="24"/>
          <w:szCs w:val="24"/>
        </w:rPr>
        <w:t>, 18, 210-212.</w:t>
      </w:r>
    </w:p>
    <w:p w14:paraId="1F1A67A6"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V., Dub</w:t>
      </w:r>
      <w:r>
        <w:rPr>
          <w:rFonts w:ascii="Times New Roman" w:eastAsia="Times New Roman" w:hAnsi="Times New Roman" w:cs="Times New Roman"/>
          <w:sz w:val="24"/>
          <w:szCs w:val="24"/>
        </w:rPr>
        <w:t xml:space="preserve">edi, A. </w:t>
      </w:r>
      <w:proofErr w:type="spellStart"/>
      <w:r>
        <w:rPr>
          <w:rFonts w:ascii="Times New Roman" w:eastAsia="Times New Roman" w:hAnsi="Times New Roman" w:cs="Times New Roman"/>
          <w:sz w:val="24"/>
          <w:szCs w:val="24"/>
        </w:rPr>
        <w:t>K.&amp;Nath</w:t>
      </w:r>
      <w:proofErr w:type="spellEnd"/>
      <w:r>
        <w:rPr>
          <w:rFonts w:ascii="Times New Roman" w:eastAsia="Times New Roman" w:hAnsi="Times New Roman" w:cs="Times New Roman"/>
          <w:sz w:val="24"/>
          <w:szCs w:val="24"/>
        </w:rPr>
        <w:t>, V. (2014b). Prevalence of some threatening pests and disease of litchi (</w:t>
      </w:r>
      <w:r>
        <w:rPr>
          <w:rFonts w:ascii="Times New Roman" w:eastAsia="Times New Roman" w:hAnsi="Times New Roman" w:cs="Times New Roman"/>
          <w:i/>
          <w:sz w:val="24"/>
          <w:szCs w:val="24"/>
        </w:rPr>
        <w:t xml:space="preserve">Litchi </w:t>
      </w:r>
      <w:proofErr w:type="spellStart"/>
      <w:r>
        <w:rPr>
          <w:rFonts w:ascii="Times New Roman" w:eastAsia="Times New Roman" w:hAnsi="Times New Roman" w:cs="Times New Roman"/>
          <w:i/>
          <w:sz w:val="24"/>
          <w:szCs w:val="24"/>
        </w:rPr>
        <w:t>chinensis</w:t>
      </w:r>
      <w:r>
        <w:rPr>
          <w:rFonts w:ascii="Times New Roman" w:eastAsia="Times New Roman" w:hAnsi="Times New Roman" w:cs="Times New Roman"/>
          <w:sz w:val="24"/>
          <w:szCs w:val="24"/>
        </w:rPr>
        <w:t>Sonn</w:t>
      </w:r>
      <w:proofErr w:type="spellEnd"/>
      <w:r>
        <w:rPr>
          <w:rFonts w:ascii="Times New Roman" w:eastAsia="Times New Roman" w:hAnsi="Times New Roman" w:cs="Times New Roman"/>
          <w:sz w:val="24"/>
          <w:szCs w:val="24"/>
        </w:rPr>
        <w:t xml:space="preserve">.) in Bihar state of India. </w:t>
      </w:r>
      <w:r>
        <w:rPr>
          <w:rFonts w:ascii="Times New Roman" w:eastAsia="Times New Roman" w:hAnsi="Times New Roman" w:cs="Times New Roman"/>
          <w:i/>
          <w:sz w:val="24"/>
          <w:szCs w:val="24"/>
        </w:rPr>
        <w:t>Journal of Applied Horticulture</w:t>
      </w:r>
      <w:r>
        <w:rPr>
          <w:rFonts w:ascii="Times New Roman" w:eastAsia="Times New Roman" w:hAnsi="Times New Roman" w:cs="Times New Roman"/>
          <w:sz w:val="24"/>
          <w:szCs w:val="24"/>
        </w:rPr>
        <w:t>, (16),11-13.</w:t>
      </w:r>
    </w:p>
    <w:p w14:paraId="5306FB8F"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V., Kumar, A., &amp;Nath, V. (2011). Emerging pests and diseases of lit</w:t>
      </w:r>
      <w:r>
        <w:rPr>
          <w:rFonts w:ascii="Times New Roman" w:eastAsia="Times New Roman" w:hAnsi="Times New Roman" w:cs="Times New Roman"/>
          <w:sz w:val="24"/>
          <w:szCs w:val="24"/>
        </w:rPr>
        <w:t>chi (</w:t>
      </w:r>
      <w:proofErr w:type="spellStart"/>
      <w:r>
        <w:rPr>
          <w:rFonts w:ascii="Times New Roman" w:eastAsia="Times New Roman" w:hAnsi="Times New Roman" w:cs="Times New Roman"/>
          <w:i/>
          <w:sz w:val="24"/>
          <w:szCs w:val="24"/>
        </w:rPr>
        <w:t>Litchichinensis</w:t>
      </w:r>
      <w:r>
        <w:rPr>
          <w:rFonts w:ascii="Times New Roman" w:eastAsia="Times New Roman" w:hAnsi="Times New Roman" w:cs="Times New Roman"/>
          <w:sz w:val="24"/>
          <w:szCs w:val="24"/>
        </w:rPr>
        <w:t>Sonn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Pest Management in Horticultural Ecosystem</w:t>
      </w:r>
      <w:r>
        <w:rPr>
          <w:rFonts w:ascii="Times New Roman" w:eastAsia="Times New Roman" w:hAnsi="Times New Roman" w:cs="Times New Roman"/>
          <w:sz w:val="24"/>
          <w:szCs w:val="24"/>
        </w:rPr>
        <w:t xml:space="preserve">, 17, 11-13. </w:t>
      </w:r>
    </w:p>
    <w:p w14:paraId="4DED75E3"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V., Reddy, P. V., &amp;Anal, A. K. D. (2013). Report on the occurrence and biology of </w:t>
      </w:r>
      <w:proofErr w:type="spellStart"/>
      <w:r>
        <w:rPr>
          <w:rFonts w:ascii="Times New Roman" w:eastAsia="Times New Roman" w:hAnsi="Times New Roman" w:cs="Times New Roman"/>
          <w:i/>
          <w:sz w:val="24"/>
          <w:szCs w:val="24"/>
        </w:rPr>
        <w:t>Thalassodespilaria</w:t>
      </w:r>
      <w:r>
        <w:rPr>
          <w:rFonts w:ascii="Times New Roman" w:eastAsia="Times New Roman" w:hAnsi="Times New Roman" w:cs="Times New Roman"/>
          <w:sz w:val="24"/>
          <w:szCs w:val="24"/>
        </w:rPr>
        <w:t>Guenee</w:t>
      </w:r>
      <w:proofErr w:type="spellEnd"/>
      <w:r>
        <w:rPr>
          <w:rFonts w:ascii="Times New Roman" w:eastAsia="Times New Roman" w:hAnsi="Times New Roman" w:cs="Times New Roman"/>
          <w:sz w:val="24"/>
          <w:szCs w:val="24"/>
        </w:rPr>
        <w:t xml:space="preserve"> (Lepidoptera: </w:t>
      </w:r>
      <w:proofErr w:type="spellStart"/>
      <w:r>
        <w:rPr>
          <w:rFonts w:ascii="Times New Roman" w:eastAsia="Times New Roman" w:hAnsi="Times New Roman" w:cs="Times New Roman"/>
          <w:sz w:val="24"/>
          <w:szCs w:val="24"/>
        </w:rPr>
        <w:t>Geometridae</w:t>
      </w:r>
      <w:proofErr w:type="spellEnd"/>
      <w:r>
        <w:rPr>
          <w:rFonts w:ascii="Times New Roman" w:eastAsia="Times New Roman" w:hAnsi="Times New Roman" w:cs="Times New Roman"/>
          <w:sz w:val="24"/>
          <w:szCs w:val="24"/>
        </w:rPr>
        <w:t>) on litchi (</w:t>
      </w:r>
      <w:proofErr w:type="spellStart"/>
      <w:r>
        <w:rPr>
          <w:rFonts w:ascii="Times New Roman" w:eastAsia="Times New Roman" w:hAnsi="Times New Roman" w:cs="Times New Roman"/>
          <w:i/>
          <w:sz w:val="24"/>
          <w:szCs w:val="24"/>
        </w:rPr>
        <w:t>Litchichinensis</w:t>
      </w:r>
      <w:r>
        <w:rPr>
          <w:rFonts w:ascii="Times New Roman" w:eastAsia="Times New Roman" w:hAnsi="Times New Roman" w:cs="Times New Roman"/>
          <w:sz w:val="24"/>
          <w:szCs w:val="24"/>
        </w:rPr>
        <w:t>Sonn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Bihar, India. </w:t>
      </w:r>
      <w:r>
        <w:rPr>
          <w:rFonts w:ascii="Times New Roman" w:eastAsia="Times New Roman" w:hAnsi="Times New Roman" w:cs="Times New Roman"/>
          <w:i/>
          <w:sz w:val="24"/>
          <w:szCs w:val="24"/>
        </w:rPr>
        <w:t>Pest Management in Horticultural Ecosystems</w:t>
      </w:r>
      <w:r>
        <w:rPr>
          <w:rFonts w:ascii="Times New Roman" w:eastAsia="Times New Roman" w:hAnsi="Times New Roman" w:cs="Times New Roman"/>
          <w:sz w:val="24"/>
          <w:szCs w:val="24"/>
        </w:rPr>
        <w:t>, 19(2), 245-247.</w:t>
      </w:r>
    </w:p>
    <w:p w14:paraId="29D0769C"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Kumawat, M. M., Singh, K. </w:t>
      </w:r>
      <w:proofErr w:type="gramStart"/>
      <w:r>
        <w:rPr>
          <w:rFonts w:ascii="Times New Roman" w:eastAsia="Times New Roman" w:hAnsi="Times New Roman" w:cs="Times New Roman"/>
          <w:sz w:val="24"/>
          <w:szCs w:val="24"/>
        </w:rPr>
        <w:t>M.,&amp;</w:t>
      </w:r>
      <w:proofErr w:type="spellStart"/>
      <w:proofErr w:type="gramEnd"/>
      <w:r>
        <w:rPr>
          <w:rFonts w:ascii="Times New Roman" w:eastAsia="Times New Roman" w:hAnsi="Times New Roman" w:cs="Times New Roman"/>
          <w:sz w:val="24"/>
          <w:szCs w:val="24"/>
        </w:rPr>
        <w:t>Wangchu</w:t>
      </w:r>
      <w:proofErr w:type="spellEnd"/>
      <w:r>
        <w:rPr>
          <w:rFonts w:ascii="Times New Roman" w:eastAsia="Times New Roman" w:hAnsi="Times New Roman" w:cs="Times New Roman"/>
          <w:sz w:val="24"/>
          <w:szCs w:val="24"/>
        </w:rPr>
        <w:t xml:space="preserve">, L. (2017). First report of an invasive longhorn beetle, </w:t>
      </w:r>
      <w:proofErr w:type="spellStart"/>
      <w:r>
        <w:rPr>
          <w:rFonts w:ascii="Times New Roman" w:eastAsia="Times New Roman" w:hAnsi="Times New Roman" w:cs="Times New Roman"/>
          <w:sz w:val="24"/>
          <w:szCs w:val="24"/>
        </w:rPr>
        <w:t>Aristobiareticulator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Voet</w:t>
      </w:r>
      <w:proofErr w:type="spellEnd"/>
      <w:r>
        <w:rPr>
          <w:rFonts w:ascii="Times New Roman" w:eastAsia="Times New Roman" w:hAnsi="Times New Roman" w:cs="Times New Roman"/>
          <w:sz w:val="24"/>
          <w:szCs w:val="24"/>
        </w:rPr>
        <w:t xml:space="preserve">) (Coleoptera: </w:t>
      </w:r>
      <w:proofErr w:type="spellStart"/>
      <w:r>
        <w:rPr>
          <w:rFonts w:ascii="Times New Roman" w:eastAsia="Times New Roman" w:hAnsi="Times New Roman" w:cs="Times New Roman"/>
          <w:sz w:val="24"/>
          <w:szCs w:val="24"/>
        </w:rPr>
        <w:t>Cerambycidae</w:t>
      </w:r>
      <w:proofErr w:type="spellEnd"/>
      <w:r>
        <w:rPr>
          <w:rFonts w:ascii="Times New Roman" w:eastAsia="Times New Roman" w:hAnsi="Times New Roman" w:cs="Times New Roman"/>
          <w:sz w:val="24"/>
          <w:szCs w:val="24"/>
        </w:rPr>
        <w:t xml:space="preserve">) in Litchi, Litchi </w:t>
      </w:r>
      <w:proofErr w:type="spellStart"/>
      <w:r>
        <w:rPr>
          <w:rFonts w:ascii="Times New Roman" w:eastAsia="Times New Roman" w:hAnsi="Times New Roman" w:cs="Times New Roman"/>
          <w:sz w:val="24"/>
          <w:szCs w:val="24"/>
        </w:rPr>
        <w:t>chinensisSonn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Sapindaceae</w:t>
      </w:r>
      <w:proofErr w:type="spellEnd"/>
      <w:r>
        <w:rPr>
          <w:rFonts w:ascii="Times New Roman" w:eastAsia="Times New Roman" w:hAnsi="Times New Roman" w:cs="Times New Roman"/>
          <w:sz w:val="24"/>
          <w:szCs w:val="24"/>
        </w:rPr>
        <w:t xml:space="preserve">) in India.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Coleopterists</w:t>
      </w:r>
      <w:proofErr w:type="spellEnd"/>
      <w:r>
        <w:rPr>
          <w:rFonts w:ascii="Times New Roman" w:eastAsia="Times New Roman" w:hAnsi="Times New Roman" w:cs="Times New Roman"/>
          <w:i/>
          <w:sz w:val="24"/>
          <w:szCs w:val="24"/>
        </w:rPr>
        <w:t xml:space="preserve"> Bulletin,</w:t>
      </w:r>
      <w:r>
        <w:rPr>
          <w:rFonts w:ascii="Times New Roman" w:eastAsia="Times New Roman" w:hAnsi="Times New Roman" w:cs="Times New Roman"/>
          <w:sz w:val="24"/>
          <w:szCs w:val="24"/>
        </w:rPr>
        <w:t xml:space="preserve"> 71(1), 131-136.</w:t>
      </w:r>
    </w:p>
    <w:p w14:paraId="3D62FCCA"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Kumawat, M. M., &amp;</w:t>
      </w:r>
      <w:proofErr w:type="spellStart"/>
      <w:r>
        <w:rPr>
          <w:rFonts w:ascii="Times New Roman" w:eastAsia="Times New Roman" w:hAnsi="Times New Roman" w:cs="Times New Roman"/>
          <w:sz w:val="24"/>
          <w:szCs w:val="24"/>
        </w:rPr>
        <w:t>Wangchu</w:t>
      </w:r>
      <w:proofErr w:type="spellEnd"/>
      <w:r>
        <w:rPr>
          <w:rFonts w:ascii="Times New Roman" w:eastAsia="Times New Roman" w:hAnsi="Times New Roman" w:cs="Times New Roman"/>
          <w:sz w:val="24"/>
          <w:szCs w:val="24"/>
        </w:rPr>
        <w:t xml:space="preserve">, L. (2021). First record of </w:t>
      </w:r>
      <w:proofErr w:type="spellStart"/>
      <w:r>
        <w:rPr>
          <w:rFonts w:ascii="Times New Roman" w:eastAsia="Times New Roman" w:hAnsi="Times New Roman" w:cs="Times New Roman"/>
          <w:sz w:val="24"/>
          <w:szCs w:val="24"/>
        </w:rPr>
        <w:t>Aristobiareticulator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Voet</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aonlaEmblica</w:t>
      </w:r>
      <w:proofErr w:type="spellEnd"/>
      <w:r>
        <w:rPr>
          <w:rFonts w:ascii="Times New Roman" w:eastAsia="Times New Roman" w:hAnsi="Times New Roman" w:cs="Times New Roman"/>
          <w:sz w:val="24"/>
          <w:szCs w:val="24"/>
        </w:rPr>
        <w:t xml:space="preserve"> officinalis </w:t>
      </w:r>
      <w:proofErr w:type="spellStart"/>
      <w:r>
        <w:rPr>
          <w:rFonts w:ascii="Times New Roman" w:eastAsia="Times New Roman" w:hAnsi="Times New Roman" w:cs="Times New Roman"/>
          <w:sz w:val="24"/>
          <w:szCs w:val="24"/>
        </w:rPr>
        <w:t>Gaertn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Indian Journal of Entomology</w:t>
      </w:r>
      <w:r>
        <w:rPr>
          <w:rFonts w:ascii="Times New Roman" w:eastAsia="Times New Roman" w:hAnsi="Times New Roman" w:cs="Times New Roman"/>
          <w:sz w:val="24"/>
          <w:szCs w:val="24"/>
        </w:rPr>
        <w:t xml:space="preserve"> 83(1), 25-29.</w:t>
      </w:r>
    </w:p>
    <w:p w14:paraId="19889B1D" w14:textId="77777777" w:rsidR="004E0D8A" w:rsidRDefault="009C0D87">
      <w:pPr>
        <w:spacing w:after="0" w:line="240" w:lineRule="auto"/>
        <w:ind w:left="720" w:hanging="720"/>
        <w:jc w:val="both"/>
        <w:rPr>
          <w:rFonts w:ascii="Times New Roman" w:eastAsia="Times New Roman" w:hAnsi="Times New Roman" w:cs="Times New Roman"/>
          <w:sz w:val="24"/>
          <w:szCs w:val="24"/>
        </w:rPr>
      </w:pPr>
      <w:bookmarkStart w:id="2" w:name="_evlw9xksldyy" w:colFirst="0" w:colLast="0"/>
      <w:bookmarkEnd w:id="2"/>
      <w:r>
        <w:rPr>
          <w:rFonts w:ascii="Times New Roman" w:eastAsia="Times New Roman" w:hAnsi="Times New Roman" w:cs="Times New Roman"/>
          <w:sz w:val="24"/>
          <w:szCs w:val="24"/>
        </w:rPr>
        <w:t>Malik, G., &amp;D</w:t>
      </w:r>
      <w:r>
        <w:rPr>
          <w:rFonts w:ascii="Times New Roman" w:eastAsia="Times New Roman" w:hAnsi="Times New Roman" w:cs="Times New Roman"/>
          <w:sz w:val="24"/>
          <w:szCs w:val="24"/>
        </w:rPr>
        <w:t xml:space="preserve">eveshwar, P. (2017). Abiotic stress management in fruit crop </w:t>
      </w:r>
      <w:r>
        <w:rPr>
          <w:rFonts w:ascii="Times New Roman" w:eastAsia="Times New Roman" w:hAnsi="Times New Roman" w:cs="Times New Roman"/>
          <w:i/>
          <w:sz w:val="24"/>
          <w:szCs w:val="24"/>
        </w:rPr>
        <w:t>Litchi chinensis</w:t>
      </w:r>
      <w:r>
        <w:rPr>
          <w:rFonts w:ascii="Times New Roman" w:eastAsia="Times New Roman" w:hAnsi="Times New Roman" w:cs="Times New Roman"/>
          <w:sz w:val="24"/>
          <w:szCs w:val="24"/>
        </w:rPr>
        <w:t xml:space="preserve">. In: M. Kumar, V. Kumar, R. Prasad, &amp; A. Varma (Eds.), The lychee biotechnology (pp. 243-263). Singapore: </w:t>
      </w:r>
      <w:proofErr w:type="spellStart"/>
      <w:r>
        <w:rPr>
          <w:rFonts w:ascii="Times New Roman" w:eastAsia="Times New Roman" w:hAnsi="Times New Roman" w:cs="Times New Roman"/>
          <w:sz w:val="24"/>
          <w:szCs w:val="24"/>
        </w:rPr>
        <w:t>Springer.</w:t>
      </w:r>
      <w:hyperlink r:id="rId11">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://doi.org/10.1007/978-981-10-3644-6_8</w:t>
        </w:r>
      </w:hyperlink>
    </w:p>
    <w:p w14:paraId="28B37730"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Margalef</w:t>
      </w:r>
      <w:proofErr w:type="spellEnd"/>
      <w:r>
        <w:rPr>
          <w:rFonts w:ascii="Times New Roman" w:eastAsia="Times New Roman" w:hAnsi="Times New Roman" w:cs="Times New Roman"/>
          <w:sz w:val="24"/>
          <w:szCs w:val="24"/>
          <w:highlight w:val="white"/>
        </w:rPr>
        <w:t xml:space="preserve">, R. (1958). Temporal succession and spatial heterogeneity in phytoplankton. In: </w:t>
      </w:r>
      <w:r>
        <w:rPr>
          <w:rFonts w:ascii="Times New Roman" w:eastAsia="Times New Roman" w:hAnsi="Times New Roman" w:cs="Times New Roman"/>
          <w:sz w:val="24"/>
          <w:szCs w:val="24"/>
        </w:rPr>
        <w:t xml:space="preserve">A.A. </w:t>
      </w:r>
      <w:r>
        <w:rPr>
          <w:rFonts w:ascii="Times New Roman" w:eastAsia="Times New Roman" w:hAnsi="Times New Roman" w:cs="Times New Roman"/>
          <w:sz w:val="24"/>
          <w:szCs w:val="24"/>
          <w:highlight w:val="white"/>
        </w:rPr>
        <w:t>Buzzati-Traverso</w:t>
      </w:r>
      <w:r>
        <w:rPr>
          <w:rFonts w:ascii="Times New Roman" w:eastAsia="Times New Roman" w:hAnsi="Times New Roman" w:cs="Times New Roman"/>
          <w:sz w:val="24"/>
          <w:szCs w:val="24"/>
        </w:rPr>
        <w:t xml:space="preserve"> (Ed), Perspectives in marine biology (pp. 323-349). USA: University of California Press. </w:t>
      </w:r>
      <w:hyperlink r:id="rId12">
        <w:r>
          <w:rPr>
            <w:rFonts w:ascii="Times New Roman" w:eastAsia="Times New Roman" w:hAnsi="Times New Roman" w:cs="Times New Roman"/>
            <w:color w:val="0000FF"/>
            <w:sz w:val="24"/>
            <w:szCs w:val="24"/>
            <w:highlight w:val="white"/>
            <w:u w:val="single"/>
          </w:rPr>
          <w:t>https://doi.org/10.1525/9780520350281-024</w:t>
        </w:r>
      </w:hyperlink>
    </w:p>
    <w:p w14:paraId="07F02324"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Mazumder, N., Dutta, S. K., Bora, P., Gogoi, S. &amp; Purnima, D. (2014). Record of litchi weevil, </w:t>
      </w:r>
      <w:proofErr w:type="spellStart"/>
      <w:r>
        <w:rPr>
          <w:rFonts w:ascii="Times New Roman" w:eastAsia="Times New Roman" w:hAnsi="Times New Roman" w:cs="Times New Roman"/>
          <w:sz w:val="24"/>
          <w:szCs w:val="24"/>
        </w:rPr>
        <w:t>Myllocerusdiscolor</w:t>
      </w:r>
      <w:proofErr w:type="spellEnd"/>
      <w:r>
        <w:rPr>
          <w:rFonts w:ascii="Times New Roman" w:eastAsia="Times New Roman" w:hAnsi="Times New Roman" w:cs="Times New Roman"/>
          <w:sz w:val="24"/>
          <w:szCs w:val="24"/>
        </w:rPr>
        <w:t xml:space="preserve"> (Coleoptera: Curculionidae) on litchi (Litchi </w:t>
      </w:r>
      <w:proofErr w:type="spellStart"/>
      <w:r>
        <w:rPr>
          <w:rFonts w:ascii="Times New Roman" w:eastAsia="Times New Roman" w:hAnsi="Times New Roman" w:cs="Times New Roman"/>
          <w:sz w:val="24"/>
          <w:szCs w:val="24"/>
        </w:rPr>
        <w:t>chine</w:t>
      </w:r>
      <w:r>
        <w:rPr>
          <w:rFonts w:ascii="Times New Roman" w:eastAsia="Times New Roman" w:hAnsi="Times New Roman" w:cs="Times New Roman"/>
          <w:sz w:val="24"/>
          <w:szCs w:val="24"/>
        </w:rPr>
        <w:t>nsisSonn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Sapindaceae</w:t>
      </w:r>
      <w:proofErr w:type="spellEnd"/>
      <w:r>
        <w:rPr>
          <w:rFonts w:ascii="Times New Roman" w:eastAsia="Times New Roman" w:hAnsi="Times New Roman" w:cs="Times New Roman"/>
          <w:sz w:val="24"/>
          <w:szCs w:val="24"/>
        </w:rPr>
        <w:t xml:space="preserve">) from Assam. </w:t>
      </w:r>
      <w:r>
        <w:rPr>
          <w:rFonts w:ascii="Times New Roman" w:eastAsia="Times New Roman" w:hAnsi="Times New Roman" w:cs="Times New Roman"/>
          <w:i/>
          <w:sz w:val="24"/>
          <w:szCs w:val="24"/>
        </w:rPr>
        <w:t>Insect Environment</w:t>
      </w:r>
      <w:r>
        <w:rPr>
          <w:rFonts w:ascii="Times New Roman" w:eastAsia="Times New Roman" w:hAnsi="Times New Roman" w:cs="Times New Roman"/>
          <w:sz w:val="24"/>
          <w:szCs w:val="24"/>
        </w:rPr>
        <w:t>. 20, 29-31.</w:t>
      </w:r>
    </w:p>
    <w:p w14:paraId="2280C01F" w14:textId="77777777" w:rsidR="004E0D8A" w:rsidRDefault="009C0D87">
      <w:pPr>
        <w:spacing w:after="0" w:line="240" w:lineRule="auto"/>
        <w:ind w:left="720" w:hanging="720"/>
        <w:jc w:val="both"/>
        <w:rPr>
          <w:rFonts w:ascii="Times New Roman" w:eastAsia="Times New Roman" w:hAnsi="Times New Roman" w:cs="Times New Roman"/>
          <w:color w:val="0000FF"/>
          <w:sz w:val="24"/>
          <w:szCs w:val="24"/>
          <w:highlight w:val="white"/>
          <w:u w:val="single"/>
        </w:rPr>
      </w:pPr>
      <w:r>
        <w:rPr>
          <w:rFonts w:ascii="Times New Roman" w:eastAsia="Times New Roman" w:hAnsi="Times New Roman" w:cs="Times New Roman"/>
          <w:sz w:val="24"/>
          <w:szCs w:val="24"/>
          <w:highlight w:val="white"/>
        </w:rPr>
        <w:lastRenderedPageBreak/>
        <w:t xml:space="preserve">McIntosh, R. P. (1967). An index of diversity and the relation of certain concepts to diversity.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xml:space="preserve">, 48(3), 392-404. </w:t>
      </w:r>
      <w:hyperlink r:id="rId13">
        <w:r>
          <w:rPr>
            <w:rFonts w:ascii="Times New Roman" w:eastAsia="Times New Roman" w:hAnsi="Times New Roman" w:cs="Times New Roman"/>
            <w:color w:val="0000FF"/>
            <w:sz w:val="24"/>
            <w:szCs w:val="24"/>
            <w:highlight w:val="white"/>
            <w:u w:val="single"/>
          </w:rPr>
          <w:t>https://doi.org/10.2307/1932674</w:t>
        </w:r>
      </w:hyperlink>
    </w:p>
    <w:p w14:paraId="405726E6"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Menhinick</w:t>
      </w:r>
      <w:proofErr w:type="spellEnd"/>
      <w:r>
        <w:rPr>
          <w:rFonts w:ascii="Times New Roman" w:eastAsia="Times New Roman" w:hAnsi="Times New Roman" w:cs="Times New Roman"/>
          <w:sz w:val="24"/>
          <w:szCs w:val="24"/>
          <w:highlight w:val="white"/>
        </w:rPr>
        <w:t xml:space="preserve">, E. F. (1964). A comparison of some species‐individuals diversity indices applied to samples of field insects.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45(4), 859-861.</w:t>
      </w:r>
      <w:hyperlink r:id="rId14">
        <w:r>
          <w:rPr>
            <w:rFonts w:ascii="Times New Roman" w:eastAsia="Times New Roman" w:hAnsi="Times New Roman" w:cs="Times New Roman"/>
            <w:color w:val="0000FF"/>
            <w:sz w:val="24"/>
            <w:szCs w:val="24"/>
            <w:highlight w:val="white"/>
            <w:u w:val="single"/>
          </w:rPr>
          <w:t>https://doi.org/10.2307/1934</w:t>
        </w:r>
        <w:r>
          <w:rPr>
            <w:rFonts w:ascii="Times New Roman" w:eastAsia="Times New Roman" w:hAnsi="Times New Roman" w:cs="Times New Roman"/>
            <w:color w:val="0000FF"/>
            <w:sz w:val="24"/>
            <w:szCs w:val="24"/>
            <w:highlight w:val="white"/>
            <w:u w:val="single"/>
          </w:rPr>
          <w:t>933</w:t>
        </w:r>
      </w:hyperlink>
    </w:p>
    <w:p w14:paraId="6A7C23E3"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Mozhui</w:t>
      </w:r>
      <w:proofErr w:type="spellEnd"/>
      <w:r>
        <w:rPr>
          <w:rFonts w:ascii="Times New Roman" w:eastAsia="Times New Roman" w:hAnsi="Times New Roman" w:cs="Times New Roman"/>
          <w:sz w:val="24"/>
          <w:szCs w:val="24"/>
        </w:rPr>
        <w:t xml:space="preserve"> L, Rana A, </w:t>
      </w:r>
      <w:proofErr w:type="spellStart"/>
      <w:r>
        <w:rPr>
          <w:rFonts w:ascii="Times New Roman" w:eastAsia="Times New Roman" w:hAnsi="Times New Roman" w:cs="Times New Roman"/>
          <w:sz w:val="24"/>
          <w:szCs w:val="24"/>
        </w:rPr>
        <w:t>Neikha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Kakati</w:t>
      </w:r>
      <w:proofErr w:type="spellEnd"/>
      <w:r>
        <w:rPr>
          <w:rFonts w:ascii="Times New Roman" w:eastAsia="Times New Roman" w:hAnsi="Times New Roman" w:cs="Times New Roman"/>
          <w:sz w:val="24"/>
          <w:szCs w:val="24"/>
        </w:rPr>
        <w:t xml:space="preserve"> L N. 2020. A checklist of long horn beetles (Coleoptera: </w:t>
      </w:r>
      <w:proofErr w:type="spellStart"/>
      <w:r>
        <w:rPr>
          <w:rFonts w:ascii="Times New Roman" w:eastAsia="Times New Roman" w:hAnsi="Times New Roman" w:cs="Times New Roman"/>
          <w:sz w:val="24"/>
          <w:szCs w:val="24"/>
        </w:rPr>
        <w:t>Cerambycidae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Lumami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Zuhenboto</w:t>
      </w:r>
      <w:proofErr w:type="spellEnd"/>
      <w:r>
        <w:rPr>
          <w:rFonts w:ascii="Times New Roman" w:eastAsia="Times New Roman" w:hAnsi="Times New Roman" w:cs="Times New Roman"/>
          <w:sz w:val="24"/>
          <w:szCs w:val="24"/>
        </w:rPr>
        <w:t xml:space="preserve"> District, Nagaland with 23 new records. </w:t>
      </w:r>
      <w:r>
        <w:rPr>
          <w:rFonts w:ascii="Times New Roman" w:eastAsia="Times New Roman" w:hAnsi="Times New Roman" w:cs="Times New Roman"/>
          <w:i/>
          <w:sz w:val="24"/>
          <w:szCs w:val="24"/>
        </w:rPr>
        <w:t>Halteres,</w:t>
      </w:r>
      <w:r>
        <w:rPr>
          <w:rFonts w:ascii="Times New Roman" w:eastAsia="Times New Roman" w:hAnsi="Times New Roman" w:cs="Times New Roman"/>
          <w:sz w:val="24"/>
          <w:szCs w:val="24"/>
        </w:rPr>
        <w:t xml:space="preserve"> 11, 118-128.</w:t>
      </w:r>
    </w:p>
    <w:p w14:paraId="3779AF9B"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Peet, R. K. (1975). Relative diversity indices.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56(2)</w:t>
      </w:r>
      <w:r>
        <w:rPr>
          <w:rFonts w:ascii="Times New Roman" w:eastAsia="Times New Roman" w:hAnsi="Times New Roman" w:cs="Times New Roman"/>
          <w:sz w:val="24"/>
          <w:szCs w:val="24"/>
          <w:highlight w:val="white"/>
        </w:rPr>
        <w:t>, 496-498.</w:t>
      </w:r>
      <w:hyperlink r:id="rId15">
        <w:r>
          <w:rPr>
            <w:rFonts w:ascii="Times New Roman" w:eastAsia="Times New Roman" w:hAnsi="Times New Roman" w:cs="Times New Roman"/>
            <w:color w:val="0000FF"/>
            <w:sz w:val="24"/>
            <w:szCs w:val="24"/>
            <w:highlight w:val="white"/>
            <w:u w:val="single"/>
          </w:rPr>
          <w:t>https://doi.org/10.2307/1934984</w:t>
        </w:r>
      </w:hyperlink>
    </w:p>
    <w:p w14:paraId="5252959D"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Pielou, E. C. (1966). The measurement of diversity in different types of biological collections. </w:t>
      </w:r>
      <w:r>
        <w:rPr>
          <w:rFonts w:ascii="Times New Roman" w:eastAsia="Times New Roman" w:hAnsi="Times New Roman" w:cs="Times New Roman"/>
          <w:i/>
          <w:sz w:val="24"/>
          <w:szCs w:val="24"/>
          <w:highlight w:val="white"/>
        </w:rPr>
        <w:t>Journal of Theoretical Biology</w:t>
      </w:r>
      <w:r>
        <w:rPr>
          <w:rFonts w:ascii="Times New Roman" w:eastAsia="Times New Roman" w:hAnsi="Times New Roman" w:cs="Times New Roman"/>
          <w:sz w:val="24"/>
          <w:szCs w:val="24"/>
          <w:highlight w:val="white"/>
        </w:rPr>
        <w:t xml:space="preserve">, 13, 131-144. </w:t>
      </w:r>
      <w:hyperlink r:id="rId16">
        <w:r>
          <w:rPr>
            <w:rFonts w:ascii="Times New Roman" w:eastAsia="Times New Roman" w:hAnsi="Times New Roman" w:cs="Times New Roman"/>
            <w:sz w:val="24"/>
            <w:szCs w:val="24"/>
          </w:rPr>
          <w:t>https://doi.org/10.1016/0022-5193(66)90013-0</w:t>
        </w:r>
      </w:hyperlink>
    </w:p>
    <w:p w14:paraId="45428CBD"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Rangare</w:t>
      </w:r>
      <w:proofErr w:type="spellEnd"/>
      <w:r>
        <w:rPr>
          <w:rFonts w:ascii="Times New Roman" w:eastAsia="Times New Roman" w:hAnsi="Times New Roman" w:cs="Times New Roman"/>
          <w:sz w:val="24"/>
          <w:szCs w:val="24"/>
        </w:rPr>
        <w:t xml:space="preserve">, N. R., Lal, N., &amp;Sahu, N. (2022). Litchi-an emerging potential fruit crop in India. In: S. Singh, &amp; N. R. </w:t>
      </w:r>
      <w:proofErr w:type="spellStart"/>
      <w:r>
        <w:rPr>
          <w:rFonts w:ascii="Times New Roman" w:eastAsia="Times New Roman" w:hAnsi="Times New Roman" w:cs="Times New Roman"/>
          <w:sz w:val="24"/>
          <w:szCs w:val="24"/>
        </w:rPr>
        <w:t>Rangare</w:t>
      </w:r>
      <w:proofErr w:type="spellEnd"/>
      <w:r>
        <w:rPr>
          <w:rFonts w:ascii="Times New Roman" w:eastAsia="Times New Roman" w:hAnsi="Times New Roman" w:cs="Times New Roman"/>
          <w:sz w:val="24"/>
          <w:szCs w:val="24"/>
        </w:rPr>
        <w:t xml:space="preserve"> (Eds.), Research Management in Horticultural </w:t>
      </w:r>
      <w:r>
        <w:rPr>
          <w:rFonts w:ascii="Times New Roman" w:eastAsia="Times New Roman" w:hAnsi="Times New Roman" w:cs="Times New Roman"/>
          <w:sz w:val="24"/>
          <w:szCs w:val="24"/>
        </w:rPr>
        <w:t xml:space="preserve">Crops (pp. 97-109). New Delhi: </w:t>
      </w:r>
      <w:proofErr w:type="spellStart"/>
      <w:r>
        <w:rPr>
          <w:rFonts w:ascii="Times New Roman" w:eastAsia="Times New Roman" w:hAnsi="Times New Roman" w:cs="Times New Roman"/>
          <w:sz w:val="24"/>
          <w:szCs w:val="24"/>
        </w:rPr>
        <w:t>Scripown</w:t>
      </w:r>
      <w:proofErr w:type="spellEnd"/>
      <w:r>
        <w:rPr>
          <w:rFonts w:ascii="Times New Roman" w:eastAsia="Times New Roman" w:hAnsi="Times New Roman" w:cs="Times New Roman"/>
          <w:sz w:val="24"/>
          <w:szCs w:val="24"/>
        </w:rPr>
        <w:t xml:space="preserve"> Publications.</w:t>
      </w:r>
    </w:p>
    <w:p w14:paraId="251E0D4C" w14:textId="77777777" w:rsidR="004E0D8A" w:rsidRDefault="009C0D87">
      <w:pPr>
        <w:spacing w:after="0" w:line="24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Reddy,P</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 Choudhary, J. S., </w:t>
      </w:r>
      <w:proofErr w:type="spellStart"/>
      <w:r>
        <w:rPr>
          <w:rFonts w:ascii="Times New Roman" w:eastAsia="Times New Roman" w:hAnsi="Times New Roman" w:cs="Times New Roman"/>
          <w:sz w:val="24"/>
          <w:szCs w:val="24"/>
        </w:rPr>
        <w:t>Limtinaro</w:t>
      </w:r>
      <w:proofErr w:type="spellEnd"/>
      <w:r>
        <w:rPr>
          <w:rFonts w:ascii="Times New Roman" w:eastAsia="Times New Roman" w:hAnsi="Times New Roman" w:cs="Times New Roman"/>
          <w:sz w:val="24"/>
          <w:szCs w:val="24"/>
        </w:rPr>
        <w:t>, &amp;</w:t>
      </w:r>
      <w:proofErr w:type="spellStart"/>
      <w:r>
        <w:rPr>
          <w:rFonts w:ascii="Times New Roman" w:eastAsia="Times New Roman" w:hAnsi="Times New Roman" w:cs="Times New Roman"/>
          <w:sz w:val="24"/>
          <w:szCs w:val="24"/>
        </w:rPr>
        <w:t>Maiti</w:t>
      </w:r>
      <w:proofErr w:type="spellEnd"/>
      <w:r>
        <w:rPr>
          <w:rFonts w:ascii="Times New Roman" w:eastAsia="Times New Roman" w:hAnsi="Times New Roman" w:cs="Times New Roman"/>
          <w:sz w:val="24"/>
          <w:szCs w:val="24"/>
        </w:rPr>
        <w:t xml:space="preserve">, C. S. (2025). Invasive longhorn beetle, </w:t>
      </w:r>
      <w:proofErr w:type="spellStart"/>
      <w:r>
        <w:rPr>
          <w:rFonts w:ascii="Times New Roman" w:eastAsia="Times New Roman" w:hAnsi="Times New Roman" w:cs="Times New Roman"/>
          <w:i/>
          <w:sz w:val="24"/>
          <w:szCs w:val="24"/>
        </w:rPr>
        <w:t>Aristobiareticulator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Voet</w:t>
      </w:r>
      <w:proofErr w:type="spellEnd"/>
      <w:r>
        <w:rPr>
          <w:rFonts w:ascii="Times New Roman" w:eastAsia="Times New Roman" w:hAnsi="Times New Roman" w:cs="Times New Roman"/>
          <w:sz w:val="24"/>
          <w:szCs w:val="24"/>
        </w:rPr>
        <w:t xml:space="preserve">) (Coleoptera: </w:t>
      </w:r>
      <w:proofErr w:type="spellStart"/>
      <w:r>
        <w:rPr>
          <w:rFonts w:ascii="Times New Roman" w:eastAsia="Times New Roman" w:hAnsi="Times New Roman" w:cs="Times New Roman"/>
          <w:sz w:val="24"/>
          <w:szCs w:val="24"/>
        </w:rPr>
        <w:t>Cerambycidae</w:t>
      </w:r>
      <w:proofErr w:type="spellEnd"/>
      <w:r>
        <w:rPr>
          <w:rFonts w:ascii="Times New Roman" w:eastAsia="Times New Roman" w:hAnsi="Times New Roman" w:cs="Times New Roman"/>
          <w:sz w:val="24"/>
          <w:szCs w:val="24"/>
        </w:rPr>
        <w:t xml:space="preserve">): A major threat to litchi trees in Nagaland. </w:t>
      </w:r>
      <w:r>
        <w:rPr>
          <w:rFonts w:ascii="Times New Roman" w:eastAsia="Times New Roman" w:hAnsi="Times New Roman" w:cs="Times New Roman"/>
          <w:i/>
          <w:sz w:val="24"/>
          <w:szCs w:val="24"/>
        </w:rPr>
        <w:t>Indian Journ</w:t>
      </w:r>
      <w:r>
        <w:rPr>
          <w:rFonts w:ascii="Times New Roman" w:eastAsia="Times New Roman" w:hAnsi="Times New Roman" w:cs="Times New Roman"/>
          <w:i/>
          <w:sz w:val="24"/>
          <w:szCs w:val="24"/>
        </w:rPr>
        <w:t>al of Entomology</w:t>
      </w:r>
      <w:r>
        <w:rPr>
          <w:rFonts w:ascii="Times New Roman" w:eastAsia="Times New Roman" w:hAnsi="Times New Roman" w:cs="Times New Roman"/>
          <w:sz w:val="24"/>
          <w:szCs w:val="24"/>
        </w:rPr>
        <w:t xml:space="preserve">, Online published Ref. No. e25746, </w:t>
      </w:r>
      <w:r>
        <w:rPr>
          <w:rFonts w:ascii="Times New Roman" w:eastAsia="Times New Roman" w:hAnsi="Times New Roman" w:cs="Times New Roman"/>
          <w:sz w:val="24"/>
          <w:szCs w:val="24"/>
          <w:highlight w:val="white"/>
        </w:rPr>
        <w:t>https://doi.org/</w:t>
      </w:r>
      <w:r>
        <w:rPr>
          <w:rFonts w:ascii="Times New Roman" w:eastAsia="Times New Roman" w:hAnsi="Times New Roman" w:cs="Times New Roman"/>
          <w:sz w:val="24"/>
          <w:szCs w:val="24"/>
        </w:rPr>
        <w:t>10.55446/IJE.2025.1746.</w:t>
      </w:r>
    </w:p>
    <w:p w14:paraId="0CF0DFE6" w14:textId="77777777" w:rsidR="004E0D8A" w:rsidRDefault="009C0D87">
      <w:pPr>
        <w:spacing w:after="0" w:line="240" w:lineRule="auto"/>
        <w:ind w:left="720" w:hanging="72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Reddy, P. V. R., Srivastava, </w:t>
      </w:r>
      <w:proofErr w:type="spellStart"/>
      <w:proofErr w:type="gramStart"/>
      <w:r>
        <w:rPr>
          <w:rFonts w:ascii="Times New Roman" w:eastAsia="Times New Roman" w:hAnsi="Times New Roman" w:cs="Times New Roman"/>
          <w:sz w:val="24"/>
          <w:szCs w:val="24"/>
        </w:rPr>
        <w:t>K.,&amp;</w:t>
      </w:r>
      <w:proofErr w:type="gramEnd"/>
      <w:r>
        <w:rPr>
          <w:rFonts w:ascii="Times New Roman" w:eastAsia="Times New Roman" w:hAnsi="Times New Roman" w:cs="Times New Roman"/>
          <w:sz w:val="24"/>
          <w:szCs w:val="24"/>
        </w:rPr>
        <w:t>Nath</w:t>
      </w:r>
      <w:proofErr w:type="spellEnd"/>
      <w:r>
        <w:rPr>
          <w:rFonts w:ascii="Times New Roman" w:eastAsia="Times New Roman" w:hAnsi="Times New Roman" w:cs="Times New Roman"/>
          <w:sz w:val="24"/>
          <w:szCs w:val="24"/>
        </w:rPr>
        <w:t xml:space="preserve">, V. (2016). Litchi fruit borers. </w:t>
      </w:r>
      <w:r>
        <w:rPr>
          <w:rFonts w:ascii="Times New Roman" w:eastAsia="Times New Roman" w:hAnsi="Times New Roman" w:cs="Times New Roman"/>
          <w:i/>
          <w:sz w:val="24"/>
          <w:szCs w:val="24"/>
        </w:rPr>
        <w:t>Current Science</w:t>
      </w:r>
      <w:r>
        <w:rPr>
          <w:rFonts w:ascii="Times New Roman" w:eastAsia="Times New Roman" w:hAnsi="Times New Roman" w:cs="Times New Roman"/>
          <w:sz w:val="24"/>
          <w:szCs w:val="24"/>
        </w:rPr>
        <w:t>, 10, 758-759.</w:t>
      </w:r>
    </w:p>
    <w:p w14:paraId="0FCA3261"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Regmi, N. R. (2022). A review on management options for litchi fruit and shoot borer, </w:t>
      </w:r>
      <w:proofErr w:type="spellStart"/>
      <w:r>
        <w:rPr>
          <w:rFonts w:ascii="Times New Roman" w:eastAsia="Times New Roman" w:hAnsi="Times New Roman" w:cs="Times New Roman"/>
          <w:i/>
          <w:sz w:val="24"/>
          <w:szCs w:val="24"/>
        </w:rPr>
        <w:t>Conopomorphasinensis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Big Data in Agriculture (BDA)</w:t>
      </w:r>
      <w:r>
        <w:rPr>
          <w:rFonts w:ascii="Times New Roman" w:eastAsia="Times New Roman" w:hAnsi="Times New Roman" w:cs="Times New Roman"/>
          <w:sz w:val="24"/>
          <w:szCs w:val="24"/>
        </w:rPr>
        <w:t>, 4(2), 58-61.</w:t>
      </w:r>
    </w:p>
    <w:p w14:paraId="5AFB7313"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Shannon, C. E. (1948). A mathematical theory of communication. </w:t>
      </w:r>
      <w:r>
        <w:rPr>
          <w:rFonts w:ascii="Times New Roman" w:eastAsia="Times New Roman" w:hAnsi="Times New Roman" w:cs="Times New Roman"/>
          <w:i/>
          <w:sz w:val="24"/>
          <w:szCs w:val="24"/>
          <w:highlight w:val="white"/>
        </w:rPr>
        <w:t>The Bell System Technical Journal</w:t>
      </w:r>
      <w:r>
        <w:rPr>
          <w:rFonts w:ascii="Times New Roman" w:eastAsia="Times New Roman" w:hAnsi="Times New Roman" w:cs="Times New Roman"/>
          <w:sz w:val="24"/>
          <w:szCs w:val="24"/>
          <w:highlight w:val="white"/>
        </w:rPr>
        <w:t>, 27(3),</w:t>
      </w:r>
      <w:r>
        <w:rPr>
          <w:rFonts w:ascii="Times New Roman" w:eastAsia="Times New Roman" w:hAnsi="Times New Roman" w:cs="Times New Roman"/>
          <w:sz w:val="24"/>
          <w:szCs w:val="24"/>
          <w:highlight w:val="white"/>
        </w:rPr>
        <w:t xml:space="preserve"> 379-423. https://doi.org/</w:t>
      </w:r>
      <w:hyperlink r:id="rId17">
        <w:r>
          <w:rPr>
            <w:rFonts w:ascii="Times New Roman" w:eastAsia="Times New Roman" w:hAnsi="Times New Roman" w:cs="Times New Roman"/>
            <w:color w:val="0000FF"/>
            <w:sz w:val="24"/>
            <w:szCs w:val="24"/>
            <w:highlight w:val="white"/>
            <w:u w:val="single"/>
          </w:rPr>
          <w:t>10.1002/j.1538-</w:t>
        </w:r>
        <w:proofErr w:type="gramStart"/>
        <w:r>
          <w:rPr>
            <w:rFonts w:ascii="Times New Roman" w:eastAsia="Times New Roman" w:hAnsi="Times New Roman" w:cs="Times New Roman"/>
            <w:color w:val="0000FF"/>
            <w:sz w:val="24"/>
            <w:szCs w:val="24"/>
            <w:highlight w:val="white"/>
            <w:u w:val="single"/>
          </w:rPr>
          <w:t>7305.1948.tb</w:t>
        </w:r>
        <w:proofErr w:type="gramEnd"/>
        <w:r>
          <w:rPr>
            <w:rFonts w:ascii="Times New Roman" w:eastAsia="Times New Roman" w:hAnsi="Times New Roman" w:cs="Times New Roman"/>
            <w:color w:val="0000FF"/>
            <w:sz w:val="24"/>
            <w:szCs w:val="24"/>
            <w:highlight w:val="white"/>
            <w:u w:val="single"/>
          </w:rPr>
          <w:t>01338.x</w:t>
        </w:r>
      </w:hyperlink>
    </w:p>
    <w:p w14:paraId="7B7A96CF"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Sheldon, A. L. (1969). Equitability indices: dependence on the species count.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xml:space="preserve">, 50(3), 466-467. </w:t>
      </w:r>
      <w:hyperlink r:id="rId18">
        <w:r>
          <w:rPr>
            <w:rFonts w:ascii="Times New Roman" w:eastAsia="Times New Roman" w:hAnsi="Times New Roman" w:cs="Times New Roman"/>
            <w:color w:val="0000FF"/>
            <w:sz w:val="24"/>
            <w:szCs w:val="24"/>
            <w:highlight w:val="white"/>
            <w:u w:val="single"/>
          </w:rPr>
          <w:t>https://doi.org/10.2307/1933900</w:t>
        </w:r>
      </w:hyperlink>
    </w:p>
    <w:p w14:paraId="28F88D85" w14:textId="77777777"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Simpson, E. H. (1949). Measurement of diversity. </w:t>
      </w:r>
      <w:r>
        <w:rPr>
          <w:rFonts w:ascii="Times New Roman" w:eastAsia="Times New Roman" w:hAnsi="Times New Roman" w:cs="Times New Roman"/>
          <w:i/>
          <w:sz w:val="24"/>
          <w:szCs w:val="24"/>
          <w:highlight w:val="white"/>
        </w:rPr>
        <w:t>Nature</w:t>
      </w:r>
      <w:r>
        <w:rPr>
          <w:rFonts w:ascii="Times New Roman" w:eastAsia="Times New Roman" w:hAnsi="Times New Roman" w:cs="Times New Roman"/>
          <w:sz w:val="24"/>
          <w:szCs w:val="24"/>
          <w:highlight w:val="white"/>
        </w:rPr>
        <w:t xml:space="preserve">, 163(4148), 688-688. </w:t>
      </w:r>
      <w:hyperlink r:id="rId19">
        <w:r>
          <w:rPr>
            <w:rFonts w:ascii="Times New Roman" w:eastAsia="Times New Roman" w:hAnsi="Times New Roman" w:cs="Times New Roman"/>
            <w:color w:val="0000FF"/>
            <w:sz w:val="24"/>
            <w:szCs w:val="24"/>
            <w:highlight w:val="white"/>
            <w:u w:val="single"/>
          </w:rPr>
          <w:t>https://doi.org/10.1038/163688a0</w:t>
        </w:r>
      </w:hyperlink>
    </w:p>
    <w:p w14:paraId="6259E6C7" w14:textId="77777777" w:rsidR="004E0D8A" w:rsidRDefault="009C0D87">
      <w:pPr>
        <w:spacing w:after="0" w:line="240" w:lineRule="auto"/>
        <w:ind w:left="720" w:hanging="72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Singh, H. S., Rai, </w:t>
      </w:r>
      <w:proofErr w:type="spellStart"/>
      <w:r>
        <w:rPr>
          <w:rFonts w:ascii="Times New Roman" w:eastAsia="Times New Roman" w:hAnsi="Times New Roman" w:cs="Times New Roman"/>
          <w:sz w:val="24"/>
          <w:szCs w:val="24"/>
        </w:rPr>
        <w:t>M.&amp;Nath</w:t>
      </w:r>
      <w:proofErr w:type="spellEnd"/>
      <w:r>
        <w:rPr>
          <w:rFonts w:ascii="Times New Roman" w:eastAsia="Times New Roman" w:hAnsi="Times New Roman" w:cs="Times New Roman"/>
          <w:sz w:val="24"/>
          <w:szCs w:val="24"/>
        </w:rPr>
        <w:t xml:space="preserve"> V. (20</w:t>
      </w:r>
      <w:r>
        <w:rPr>
          <w:rFonts w:ascii="Times New Roman" w:eastAsia="Times New Roman" w:hAnsi="Times New Roman" w:cs="Times New Roman"/>
          <w:sz w:val="24"/>
          <w:szCs w:val="24"/>
        </w:rPr>
        <w:t xml:space="preserve">01). Status and Management of Insect Pests and Mites. In: M. Rai, </w:t>
      </w:r>
      <w:proofErr w:type="spellStart"/>
      <w:proofErr w:type="gramStart"/>
      <w:r>
        <w:rPr>
          <w:rFonts w:ascii="Times New Roman" w:eastAsia="Times New Roman" w:hAnsi="Times New Roman" w:cs="Times New Roman"/>
          <w:sz w:val="24"/>
          <w:szCs w:val="24"/>
        </w:rPr>
        <w:t>V.Nath</w:t>
      </w:r>
      <w:proofErr w:type="spellEnd"/>
      <w:proofErr w:type="gram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P,Dey</w:t>
      </w:r>
      <w:proofErr w:type="spellEnd"/>
      <w:r>
        <w:rPr>
          <w:rFonts w:ascii="Times New Roman" w:eastAsia="Times New Roman" w:hAnsi="Times New Roman" w:cs="Times New Roman"/>
          <w:sz w:val="24"/>
          <w:szCs w:val="24"/>
        </w:rPr>
        <w:t xml:space="preserve"> (Eds.), Litchi, Genetic Resources, Production, Protection and Post-harvest management (pp.73–80).</w:t>
      </w:r>
    </w:p>
    <w:p w14:paraId="2DF75ABA"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Srivastava, K., Pandey, S. D., Patel, R. K., Sharma, D., &amp;Nath, V. (2016). I</w:t>
      </w:r>
      <w:r>
        <w:rPr>
          <w:rFonts w:ascii="Times New Roman" w:eastAsia="Times New Roman" w:hAnsi="Times New Roman" w:cs="Times New Roman"/>
          <w:sz w:val="24"/>
          <w:szCs w:val="24"/>
        </w:rPr>
        <w:t>nsect pest management practices in litchi. In: A. Kumar &amp; P. M. Pandey (Eds.), Insect Pests Management of Fruit Crops (pp. 127-149). India: Bio-Green.</w:t>
      </w:r>
    </w:p>
    <w:p w14:paraId="056063C5"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K., Patel, R. K., Kumar, A., Rai, R. R., &amp;Nath, V. (2015). Seasonal incidence and management </w:t>
      </w:r>
      <w:r>
        <w:rPr>
          <w:rFonts w:ascii="Times New Roman" w:eastAsia="Times New Roman" w:hAnsi="Times New Roman" w:cs="Times New Roman"/>
          <w:sz w:val="24"/>
          <w:szCs w:val="24"/>
        </w:rPr>
        <w:t>of ash weevil (</w:t>
      </w:r>
      <w:proofErr w:type="spellStart"/>
      <w:r>
        <w:rPr>
          <w:rFonts w:ascii="Times New Roman" w:eastAsia="Times New Roman" w:hAnsi="Times New Roman" w:cs="Times New Roman"/>
          <w:i/>
          <w:sz w:val="24"/>
          <w:szCs w:val="24"/>
        </w:rPr>
        <w:t>Myllocerusundecimpustulatus</w:t>
      </w:r>
      <w:proofErr w:type="spellEnd"/>
      <w:r>
        <w:rPr>
          <w:rFonts w:ascii="Times New Roman" w:eastAsia="Times New Roman" w:hAnsi="Times New Roman" w:cs="Times New Roman"/>
          <w:sz w:val="24"/>
          <w:szCs w:val="24"/>
        </w:rPr>
        <w:t xml:space="preserve">) population on litchi.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Ecoscan</w:t>
      </w:r>
      <w:proofErr w:type="spellEnd"/>
      <w:r>
        <w:rPr>
          <w:rFonts w:ascii="Times New Roman" w:eastAsia="Times New Roman" w:hAnsi="Times New Roman" w:cs="Times New Roman"/>
          <w:sz w:val="24"/>
          <w:szCs w:val="24"/>
        </w:rPr>
        <w:t>, 8, 161-165.</w:t>
      </w:r>
    </w:p>
    <w:p w14:paraId="5DE03A02" w14:textId="77777777"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Yadav, P., Lal, R. L., &amp; Pandey, C. (2011). Effect of different levels of fertigation on yield, quality and leaf nutrient status of litchi (</w:t>
      </w:r>
      <w:r>
        <w:rPr>
          <w:rFonts w:ascii="Times New Roman" w:eastAsia="Times New Roman" w:hAnsi="Times New Roman" w:cs="Times New Roman"/>
          <w:i/>
          <w:sz w:val="24"/>
          <w:szCs w:val="24"/>
        </w:rPr>
        <w:t xml:space="preserve">Litchi </w:t>
      </w:r>
      <w:proofErr w:type="spellStart"/>
      <w:r>
        <w:rPr>
          <w:rFonts w:ascii="Times New Roman" w:eastAsia="Times New Roman" w:hAnsi="Times New Roman" w:cs="Times New Roman"/>
          <w:i/>
          <w:sz w:val="24"/>
          <w:szCs w:val="24"/>
        </w:rPr>
        <w:t>chinensis</w:t>
      </w:r>
      <w:r>
        <w:rPr>
          <w:rFonts w:ascii="Times New Roman" w:eastAsia="Times New Roman" w:hAnsi="Times New Roman" w:cs="Times New Roman"/>
          <w:sz w:val="24"/>
          <w:szCs w:val="24"/>
        </w:rPr>
        <w:t>Sonn</w:t>
      </w:r>
      <w:proofErr w:type="spellEnd"/>
      <w:r>
        <w:rPr>
          <w:rFonts w:ascii="Times New Roman" w:eastAsia="Times New Roman" w:hAnsi="Times New Roman" w:cs="Times New Roman"/>
          <w:sz w:val="24"/>
          <w:szCs w:val="24"/>
        </w:rPr>
        <w:t>.) cv</w:t>
      </w:r>
      <w:r>
        <w:rPr>
          <w:rFonts w:ascii="Times New Roman" w:eastAsia="Times New Roman" w:hAnsi="Times New Roman" w:cs="Times New Roman"/>
          <w:sz w:val="24"/>
          <w:szCs w:val="24"/>
        </w:rPr>
        <w:t xml:space="preserve">. Rose Scented. </w:t>
      </w:r>
      <w:r>
        <w:rPr>
          <w:rFonts w:ascii="Times New Roman" w:eastAsia="Times New Roman" w:hAnsi="Times New Roman" w:cs="Times New Roman"/>
          <w:i/>
          <w:sz w:val="24"/>
          <w:szCs w:val="24"/>
        </w:rPr>
        <w:t>Progressive Horticulture</w:t>
      </w:r>
      <w:r>
        <w:rPr>
          <w:rFonts w:ascii="Times New Roman" w:eastAsia="Times New Roman" w:hAnsi="Times New Roman" w:cs="Times New Roman"/>
          <w:sz w:val="24"/>
          <w:szCs w:val="24"/>
        </w:rPr>
        <w:t>, 43(2), 276-280.</w:t>
      </w:r>
    </w:p>
    <w:sectPr w:rsidR="004E0D8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C369D" w14:textId="77777777" w:rsidR="009C0D87" w:rsidRDefault="009C0D87" w:rsidP="002817D9">
      <w:pPr>
        <w:spacing w:after="0" w:line="240" w:lineRule="auto"/>
      </w:pPr>
      <w:r>
        <w:separator/>
      </w:r>
    </w:p>
  </w:endnote>
  <w:endnote w:type="continuationSeparator" w:id="0">
    <w:p w14:paraId="4FC2A0A1" w14:textId="77777777" w:rsidR="009C0D87" w:rsidRDefault="009C0D87" w:rsidP="0028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E287AA22-0A5E-41E8-BE99-F8B95BBD9701}"/>
    <w:embedBold r:id="rId2" w:fontKey="{14641EB7-E791-4ABC-8D14-E654CEB151DD}"/>
    <w:embedItalic r:id="rId3" w:fontKey="{A76D8BE5-DD68-484D-AB8F-B217F6F69547}"/>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FCD4BBC-65E4-49C7-9F9E-18CDE248568F}"/>
    <w:embedItalic r:id="rId5" w:fontKey="{BDEC9763-8FDC-480C-948B-24F1BF2E55B9}"/>
  </w:font>
  <w:font w:name="Cambria Math">
    <w:panose1 w:val="02040503050406030204"/>
    <w:charset w:val="00"/>
    <w:family w:val="roman"/>
    <w:pitch w:val="variable"/>
    <w:sig w:usb0="E00006FF" w:usb1="420024FF" w:usb2="02000000" w:usb3="00000000" w:csb0="0000019F" w:csb1="00000000"/>
    <w:embedRegular r:id="rId6" w:fontKey="{C696D8CA-0FBE-47C3-B6E8-51C505E3B6A3}"/>
    <w:embedItalic r:id="rId7" w:fontKey="{681358C5-23DC-4509-A139-F879F26C17D7}"/>
  </w:font>
  <w:font w:name="Cambria">
    <w:panose1 w:val="02040503050406030204"/>
    <w:charset w:val="00"/>
    <w:family w:val="roman"/>
    <w:pitch w:val="variable"/>
    <w:sig w:usb0="E00006FF" w:usb1="420024FF" w:usb2="02000000" w:usb3="00000000" w:csb0="0000019F" w:csb1="00000000"/>
    <w:embedRegular r:id="rId8" w:fontKey="{569D28F1-1202-4400-B831-474948F7A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E62C" w14:textId="77777777" w:rsidR="002817D9" w:rsidRDefault="002817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39F3A" w14:textId="77777777" w:rsidR="002817D9" w:rsidRDefault="00281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B407" w14:textId="77777777" w:rsidR="002817D9" w:rsidRDefault="0028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A0C03" w14:textId="77777777" w:rsidR="009C0D87" w:rsidRDefault="009C0D87" w:rsidP="002817D9">
      <w:pPr>
        <w:spacing w:after="0" w:line="240" w:lineRule="auto"/>
      </w:pPr>
      <w:r>
        <w:separator/>
      </w:r>
    </w:p>
  </w:footnote>
  <w:footnote w:type="continuationSeparator" w:id="0">
    <w:p w14:paraId="01326F63" w14:textId="77777777" w:rsidR="009C0D87" w:rsidRDefault="009C0D87" w:rsidP="0028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F6169" w14:textId="0810B567" w:rsidR="002817D9" w:rsidRDefault="002817D9">
    <w:pPr>
      <w:pStyle w:val="Header"/>
    </w:pPr>
    <w:r>
      <w:rPr>
        <w:noProof/>
      </w:rPr>
      <w:pict w14:anchorId="27692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1505" w14:textId="4E33BAAE" w:rsidR="002817D9" w:rsidRDefault="002817D9">
    <w:pPr>
      <w:pStyle w:val="Header"/>
    </w:pPr>
    <w:r>
      <w:rPr>
        <w:noProof/>
      </w:rPr>
      <w:pict w14:anchorId="0447B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4010" w14:textId="22B0F69C" w:rsidR="002817D9" w:rsidRDefault="002817D9">
    <w:pPr>
      <w:pStyle w:val="Header"/>
    </w:pPr>
    <w:r>
      <w:rPr>
        <w:noProof/>
      </w:rPr>
      <w:pict w14:anchorId="4CD1A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8A"/>
    <w:rsid w:val="002415B7"/>
    <w:rsid w:val="002817D9"/>
    <w:rsid w:val="002F1F3D"/>
    <w:rsid w:val="004E0D8A"/>
    <w:rsid w:val="005A09A9"/>
    <w:rsid w:val="00703243"/>
    <w:rsid w:val="009C0D87"/>
    <w:rsid w:val="009F2F20"/>
    <w:rsid w:val="00FD0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6DF62"/>
  <w15:docId w15:val="{66016F18-6F50-4CF6-AD35-CE2220FC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FD0715"/>
    <w:rPr>
      <w:color w:val="0000FF" w:themeColor="hyperlink"/>
      <w:u w:val="single"/>
    </w:rPr>
  </w:style>
  <w:style w:type="character" w:styleId="UnresolvedMention">
    <w:name w:val="Unresolved Mention"/>
    <w:basedOn w:val="DefaultParagraphFont"/>
    <w:uiPriority w:val="99"/>
    <w:semiHidden/>
    <w:unhideWhenUsed/>
    <w:rsid w:val="00FD0715"/>
    <w:rPr>
      <w:color w:val="605E5C"/>
      <w:shd w:val="clear" w:color="auto" w:fill="E1DFDD"/>
    </w:rPr>
  </w:style>
  <w:style w:type="paragraph" w:styleId="ListParagraph">
    <w:name w:val="List Paragraph"/>
    <w:basedOn w:val="Normal"/>
    <w:uiPriority w:val="34"/>
    <w:qFormat/>
    <w:rsid w:val="009F2F20"/>
    <w:pPr>
      <w:ind w:left="720"/>
      <w:contextualSpacing/>
    </w:pPr>
  </w:style>
  <w:style w:type="paragraph" w:styleId="Header">
    <w:name w:val="header"/>
    <w:basedOn w:val="Normal"/>
    <w:link w:val="HeaderChar"/>
    <w:uiPriority w:val="99"/>
    <w:unhideWhenUsed/>
    <w:rsid w:val="0028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7D9"/>
  </w:style>
  <w:style w:type="paragraph" w:styleId="Footer">
    <w:name w:val="footer"/>
    <w:basedOn w:val="Normal"/>
    <w:link w:val="FooterChar"/>
    <w:uiPriority w:val="99"/>
    <w:unhideWhenUsed/>
    <w:rsid w:val="0028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2307/1932674" TargetMode="External"/><Relationship Id="rId18" Type="http://schemas.openxmlformats.org/officeDocument/2006/relationships/hyperlink" Target="https://doi.org/10.2307/193390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hyperlink" Target="https://doi.org/10.1525/9780520350281-024" TargetMode="External"/><Relationship Id="rId17" Type="http://schemas.openxmlformats.org/officeDocument/2006/relationships/hyperlink" Target="https://doi.org/10.1002/j.1538-7305.1948.tb01338.x"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doi.org/10.1016/0022-5193(66)90013-0"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07/978-981-10-3644-6_8"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doi.org/10.2307/1934984" TargetMode="External"/><Relationship Id="rId23" Type="http://schemas.openxmlformats.org/officeDocument/2006/relationships/footer" Target="footer2.xml"/><Relationship Id="rId10" Type="http://schemas.openxmlformats.org/officeDocument/2006/relationships/hyperlink" Target="https://doi.org/10.1017/S0025315400022736" TargetMode="External"/><Relationship Id="rId19" Type="http://schemas.openxmlformats.org/officeDocument/2006/relationships/hyperlink" Target="https://doi.org/10.1038/163688a0" TargetMode="External"/><Relationship Id="rId4" Type="http://schemas.openxmlformats.org/officeDocument/2006/relationships/footnotes" Target="footnotes.xml"/><Relationship Id="rId9" Type="http://schemas.openxmlformats.org/officeDocument/2006/relationships/hyperlink" Target="https://doi.org/10.1126/science.168.3937.1345" TargetMode="External"/><Relationship Id="rId14" Type="http://schemas.openxmlformats.org/officeDocument/2006/relationships/hyperlink" Target="https://doi.org/10.2307/1934933"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4598</Words>
  <Characters>26212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2025-08-30T12:23:00Z</dcterms:created>
  <dcterms:modified xsi:type="dcterms:W3CDTF">2025-08-30T14:24:00Z</dcterms:modified>
</cp:coreProperties>
</file>