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6EB5" w14:textId="3BA72FE5" w:rsidR="00390CF7" w:rsidRPr="00907444" w:rsidRDefault="00390CF7" w:rsidP="00777095">
      <w:pPr>
        <w:spacing w:after="120" w:line="360" w:lineRule="auto"/>
        <w:jc w:val="right"/>
        <w:rPr>
          <w:rFonts w:ascii="Arial" w:hAnsi="Arial" w:cs="Arial"/>
          <w:b/>
          <w:bCs/>
          <w:sz w:val="36"/>
          <w:szCs w:val="36"/>
        </w:rPr>
      </w:pPr>
      <w:r w:rsidRPr="00907444">
        <w:rPr>
          <w:rFonts w:ascii="Arial" w:hAnsi="Arial" w:cs="Arial"/>
          <w:b/>
          <w:bCs/>
          <w:sz w:val="36"/>
          <w:szCs w:val="36"/>
        </w:rPr>
        <w:t>Association studies for yield and its components in mapping population derived from Jaya × Goa Dhan 2 of rice (</w:t>
      </w:r>
      <w:r w:rsidRPr="00907444">
        <w:rPr>
          <w:rFonts w:ascii="Arial" w:hAnsi="Arial" w:cs="Arial"/>
          <w:b/>
          <w:bCs/>
          <w:i/>
          <w:iCs/>
          <w:sz w:val="36"/>
          <w:szCs w:val="36"/>
        </w:rPr>
        <w:t>Oryza sativa</w:t>
      </w:r>
      <w:r w:rsidRPr="00907444">
        <w:rPr>
          <w:rFonts w:ascii="Arial" w:hAnsi="Arial" w:cs="Arial"/>
          <w:b/>
          <w:bCs/>
          <w:sz w:val="36"/>
          <w:szCs w:val="36"/>
        </w:rPr>
        <w:t xml:space="preserve"> L.)</w:t>
      </w:r>
    </w:p>
    <w:p w14:paraId="03F9846C" w14:textId="77777777" w:rsidR="00A36878" w:rsidRDefault="00A36878" w:rsidP="00390CF7">
      <w:pPr>
        <w:spacing w:after="120" w:line="360" w:lineRule="auto"/>
        <w:jc w:val="both"/>
        <w:rPr>
          <w:rFonts w:ascii="Arial" w:hAnsi="Arial" w:cs="Arial"/>
          <w:b/>
          <w:bCs/>
        </w:rPr>
      </w:pPr>
    </w:p>
    <w:p w14:paraId="00BFFD10" w14:textId="2B80B702" w:rsidR="00390CF7" w:rsidRPr="002F6087" w:rsidRDefault="00907444" w:rsidP="00390CF7">
      <w:pPr>
        <w:spacing w:after="120" w:line="360" w:lineRule="auto"/>
        <w:jc w:val="both"/>
        <w:rPr>
          <w:rFonts w:ascii="Arial" w:hAnsi="Arial" w:cs="Arial"/>
          <w:b/>
          <w:bCs/>
        </w:rPr>
      </w:pPr>
      <w:r w:rsidRPr="002F6087">
        <w:rPr>
          <w:rFonts w:ascii="Arial" w:hAnsi="Arial" w:cs="Arial"/>
          <w:b/>
          <w:bCs/>
        </w:rPr>
        <w:t>ABSTRACT</w:t>
      </w:r>
    </w:p>
    <w:p w14:paraId="03E5275E" w14:textId="77777777" w:rsidR="00DF3760" w:rsidRDefault="004B7CB3" w:rsidP="00DF3760">
      <w:pPr>
        <w:spacing w:after="120" w:line="360" w:lineRule="auto"/>
        <w:ind w:firstLine="720"/>
        <w:jc w:val="both"/>
        <w:rPr>
          <w:rFonts w:ascii="Arial" w:hAnsi="Arial" w:cs="Arial"/>
          <w:sz w:val="20"/>
          <w:szCs w:val="20"/>
        </w:rPr>
      </w:pPr>
      <w:r w:rsidRPr="00580F30">
        <w:rPr>
          <w:rFonts w:ascii="Arial" w:hAnsi="Arial" w:cs="Arial"/>
          <w:sz w:val="20"/>
          <w:szCs w:val="20"/>
        </w:rPr>
        <w:t>The study aimed to analyse the relationship between grain yield and its component traits in rice for identifying key contributors to yield improvement. An Augmented Randomized Complete Block Design (RCBD) was employed to evaluate 244 recombinant inbred lines (RILs) derived from the cross Jaya × Goa Dhan 2 along with ten check varieties. The experiment was conducted during the Rabi, 2022–23 at field conditions at ICAR-Central Coastal Agricultural Research Institute, Goa. Thirteen agronomic traits were recorded and subjected to correlation and path coefficient analysis to determine their direct and indirect effects on grain yield. Correlation analysis revealed significant positive associations of</w:t>
      </w:r>
      <w:r w:rsidR="00580F30" w:rsidRPr="00580F30">
        <w:rPr>
          <w:rFonts w:ascii="Arial" w:hAnsi="Arial" w:cs="Arial"/>
          <w:sz w:val="20"/>
          <w:szCs w:val="20"/>
        </w:rPr>
        <w:t xml:space="preserve"> grain</w:t>
      </w:r>
      <w:r w:rsidRPr="00580F30">
        <w:rPr>
          <w:rFonts w:ascii="Arial" w:hAnsi="Arial" w:cs="Arial"/>
          <w:sz w:val="20"/>
          <w:szCs w:val="20"/>
        </w:rPr>
        <w:t xml:space="preserve"> yield with straw yield (0.40), harvest index (0.56), </w:t>
      </w:r>
      <w:r w:rsidR="00580F30" w:rsidRPr="00580F30">
        <w:rPr>
          <w:rFonts w:ascii="Arial" w:hAnsi="Arial" w:cs="Arial"/>
          <w:sz w:val="20"/>
          <w:szCs w:val="20"/>
        </w:rPr>
        <w:t xml:space="preserve">total </w:t>
      </w:r>
      <w:r w:rsidRPr="00580F30">
        <w:rPr>
          <w:rFonts w:ascii="Arial" w:hAnsi="Arial" w:cs="Arial"/>
          <w:sz w:val="20"/>
          <w:szCs w:val="20"/>
        </w:rPr>
        <w:t xml:space="preserve">productive tillers (0.46), days to 50% flowering (0.34), </w:t>
      </w:r>
      <w:r w:rsidR="00580F30" w:rsidRPr="00580F30">
        <w:rPr>
          <w:rFonts w:ascii="Arial" w:hAnsi="Arial" w:cs="Arial"/>
          <w:sz w:val="20"/>
          <w:szCs w:val="20"/>
        </w:rPr>
        <w:t>total number of grains per panicle</w:t>
      </w:r>
      <w:r w:rsidRPr="00580F30">
        <w:rPr>
          <w:rFonts w:ascii="Arial" w:hAnsi="Arial" w:cs="Arial"/>
          <w:sz w:val="20"/>
          <w:szCs w:val="20"/>
        </w:rPr>
        <w:t xml:space="preserve"> (0.20), </w:t>
      </w:r>
      <w:r w:rsidR="00580F30" w:rsidRPr="00580F30">
        <w:rPr>
          <w:rFonts w:ascii="Arial" w:hAnsi="Arial" w:cs="Arial"/>
          <w:sz w:val="20"/>
          <w:szCs w:val="20"/>
        </w:rPr>
        <w:t xml:space="preserve">number of </w:t>
      </w:r>
      <w:r w:rsidRPr="00580F30">
        <w:rPr>
          <w:rFonts w:ascii="Arial" w:hAnsi="Arial" w:cs="Arial"/>
          <w:sz w:val="20"/>
          <w:szCs w:val="20"/>
        </w:rPr>
        <w:t xml:space="preserve">fertile grains per panicle (0.25) and flag leaf width (0.14), whereas plant height (–0.23) and flag leaf length (–0.19) were negatively correlated. Path coefficient analysis indicated that harvest index (0.944) and straw yield (0.842) </w:t>
      </w:r>
      <w:r w:rsidR="00580F30" w:rsidRPr="00580F30">
        <w:rPr>
          <w:rFonts w:ascii="Arial" w:hAnsi="Arial" w:cs="Arial"/>
          <w:sz w:val="20"/>
          <w:szCs w:val="20"/>
        </w:rPr>
        <w:t>recorded</w:t>
      </w:r>
      <w:r w:rsidRPr="00580F30">
        <w:rPr>
          <w:rFonts w:ascii="Arial" w:hAnsi="Arial" w:cs="Arial"/>
          <w:sz w:val="20"/>
          <w:szCs w:val="20"/>
        </w:rPr>
        <w:t xml:space="preserve"> the strongest positive direct effects, supported by moderate contributions from </w:t>
      </w:r>
      <w:r w:rsidR="00580F30" w:rsidRPr="00580F30">
        <w:rPr>
          <w:rFonts w:ascii="Arial" w:hAnsi="Arial" w:cs="Arial"/>
          <w:sz w:val="20"/>
          <w:szCs w:val="20"/>
        </w:rPr>
        <w:t xml:space="preserve">total </w:t>
      </w:r>
      <w:r w:rsidRPr="00580F30">
        <w:rPr>
          <w:rFonts w:ascii="Arial" w:hAnsi="Arial" w:cs="Arial"/>
          <w:sz w:val="20"/>
          <w:szCs w:val="20"/>
        </w:rPr>
        <w:t xml:space="preserve">productive tillers and </w:t>
      </w:r>
      <w:r w:rsidR="00580F30" w:rsidRPr="00580F30">
        <w:rPr>
          <w:rFonts w:ascii="Arial" w:hAnsi="Arial" w:cs="Arial"/>
          <w:sz w:val="20"/>
          <w:szCs w:val="20"/>
        </w:rPr>
        <w:t xml:space="preserve">number of </w:t>
      </w:r>
      <w:r w:rsidRPr="00580F30">
        <w:rPr>
          <w:rFonts w:ascii="Arial" w:hAnsi="Arial" w:cs="Arial"/>
          <w:sz w:val="20"/>
          <w:szCs w:val="20"/>
        </w:rPr>
        <w:t>fertile grains per panicle.</w:t>
      </w:r>
      <w:r w:rsidR="00580F30" w:rsidRPr="00580F30">
        <w:rPr>
          <w:rFonts w:ascii="Arial" w:hAnsi="Arial" w:cs="Arial"/>
          <w:sz w:val="20"/>
          <w:szCs w:val="20"/>
        </w:rPr>
        <w:t xml:space="preserve"> The residual effect of 0.092 indicated that a portion of yield variation remained unexplained by the studied traits, suggesting the role of additional physiological and morphological factors in determining rice productivity. </w:t>
      </w:r>
      <w:r w:rsidRPr="00580F30">
        <w:rPr>
          <w:rFonts w:ascii="Arial" w:hAnsi="Arial" w:cs="Arial"/>
          <w:sz w:val="20"/>
          <w:szCs w:val="20"/>
        </w:rPr>
        <w:t>Overall, harvest index, straw yield and</w:t>
      </w:r>
      <w:r w:rsidR="00580F30" w:rsidRPr="00580F30">
        <w:rPr>
          <w:rFonts w:ascii="Arial" w:hAnsi="Arial" w:cs="Arial"/>
          <w:sz w:val="20"/>
          <w:szCs w:val="20"/>
        </w:rPr>
        <w:t xml:space="preserve"> total</w:t>
      </w:r>
      <w:r w:rsidRPr="00580F30">
        <w:rPr>
          <w:rFonts w:ascii="Arial" w:hAnsi="Arial" w:cs="Arial"/>
          <w:sz w:val="20"/>
          <w:szCs w:val="20"/>
        </w:rPr>
        <w:t xml:space="preserve"> productive tillers were identified as the most important determinants of grain yield, highlighting their potential as selection targets in rice breeding programs aimed at enhancing productivity.</w:t>
      </w:r>
    </w:p>
    <w:p w14:paraId="432FD54F" w14:textId="3641584C" w:rsidR="00390CF7" w:rsidRPr="00DF3760" w:rsidRDefault="00390CF7" w:rsidP="00DF3760">
      <w:pPr>
        <w:spacing w:after="120" w:line="360" w:lineRule="auto"/>
        <w:jc w:val="both"/>
        <w:rPr>
          <w:rFonts w:ascii="Arial" w:hAnsi="Arial" w:cs="Arial"/>
          <w:sz w:val="20"/>
          <w:szCs w:val="20"/>
        </w:rPr>
      </w:pPr>
      <w:r w:rsidRPr="002F6087">
        <w:rPr>
          <w:rFonts w:ascii="Arial" w:hAnsi="Arial" w:cs="Arial"/>
          <w:i/>
          <w:iCs/>
          <w:sz w:val="20"/>
          <w:szCs w:val="20"/>
        </w:rPr>
        <w:t>Key words: Correlation, path analysis, RILs, rice.</w:t>
      </w:r>
    </w:p>
    <w:p w14:paraId="1D170C4C" w14:textId="7EB7527A" w:rsidR="00390CF7" w:rsidRPr="002A73DC" w:rsidRDefault="002F6087" w:rsidP="002A73DC">
      <w:pPr>
        <w:pStyle w:val="ListParagraph"/>
        <w:numPr>
          <w:ilvl w:val="0"/>
          <w:numId w:val="3"/>
        </w:numPr>
        <w:spacing w:after="120" w:line="360" w:lineRule="auto"/>
        <w:ind w:left="284" w:hanging="284"/>
        <w:jc w:val="both"/>
        <w:rPr>
          <w:rFonts w:ascii="Arial" w:hAnsi="Arial" w:cs="Arial"/>
          <w:b/>
          <w:bCs/>
        </w:rPr>
      </w:pPr>
      <w:r w:rsidRPr="002A73DC">
        <w:rPr>
          <w:rFonts w:ascii="Arial" w:hAnsi="Arial" w:cs="Arial"/>
          <w:b/>
          <w:bCs/>
        </w:rPr>
        <w:t>INTRODUCTION</w:t>
      </w:r>
    </w:p>
    <w:p w14:paraId="183F75DC" w14:textId="35A61C12" w:rsidR="00390CF7" w:rsidRPr="002F6087" w:rsidRDefault="00390CF7" w:rsidP="00390CF7">
      <w:pPr>
        <w:spacing w:after="120" w:line="360" w:lineRule="auto"/>
        <w:ind w:firstLine="720"/>
        <w:jc w:val="both"/>
        <w:rPr>
          <w:rFonts w:ascii="Arial" w:hAnsi="Arial" w:cs="Arial"/>
          <w:color w:val="000000"/>
          <w:sz w:val="20"/>
          <w:szCs w:val="20"/>
          <w:shd w:val="clear" w:color="auto" w:fill="FFFFFF"/>
        </w:rPr>
      </w:pPr>
      <w:r w:rsidRPr="002F6087">
        <w:rPr>
          <w:rFonts w:ascii="Arial" w:hAnsi="Arial" w:cs="Arial"/>
          <w:color w:val="000000"/>
          <w:sz w:val="20"/>
          <w:szCs w:val="20"/>
          <w:shd w:val="clear" w:color="auto" w:fill="FFFFFF"/>
        </w:rPr>
        <w:t>Rice (</w:t>
      </w:r>
      <w:r w:rsidRPr="002F6087">
        <w:rPr>
          <w:rFonts w:ascii="Arial" w:hAnsi="Arial" w:cs="Arial"/>
          <w:i/>
          <w:iCs/>
          <w:color w:val="000000"/>
          <w:sz w:val="20"/>
          <w:szCs w:val="20"/>
          <w:shd w:val="clear" w:color="auto" w:fill="FFFFFF"/>
        </w:rPr>
        <w:t>Oryza sativa</w:t>
      </w:r>
      <w:r w:rsidRPr="002F6087">
        <w:rPr>
          <w:rFonts w:ascii="Arial" w:hAnsi="Arial" w:cs="Arial"/>
          <w:color w:val="000000"/>
          <w:sz w:val="20"/>
          <w:szCs w:val="20"/>
          <w:shd w:val="clear" w:color="auto" w:fill="FFFFFF"/>
        </w:rPr>
        <w:t xml:space="preserve"> L., 2n = 24) is a major cereal crop that sustains over half of the global population (Khush, 2005; Darko </w:t>
      </w:r>
      <w:r w:rsidRPr="002F6087">
        <w:rPr>
          <w:rFonts w:ascii="Arial" w:hAnsi="Arial" w:cs="Arial"/>
          <w:i/>
          <w:iCs/>
          <w:color w:val="000000"/>
          <w:sz w:val="20"/>
          <w:szCs w:val="20"/>
          <w:shd w:val="clear" w:color="auto" w:fill="FFFFFF"/>
        </w:rPr>
        <w:t>et al.</w:t>
      </w:r>
      <w:r w:rsidRPr="002F6087">
        <w:rPr>
          <w:rFonts w:ascii="Arial" w:hAnsi="Arial" w:cs="Arial"/>
          <w:color w:val="000000"/>
          <w:sz w:val="20"/>
          <w:szCs w:val="20"/>
          <w:shd w:val="clear" w:color="auto" w:fill="FFFFFF"/>
        </w:rPr>
        <w:t>, 2025)</w:t>
      </w:r>
      <w:r w:rsidR="005513F0" w:rsidRPr="002F6087">
        <w:rPr>
          <w:rFonts w:ascii="Arial" w:hAnsi="Arial" w:cs="Arial"/>
          <w:color w:val="000000"/>
          <w:sz w:val="20"/>
          <w:szCs w:val="20"/>
          <w:shd w:val="clear" w:color="auto" w:fill="FFFFFF"/>
        </w:rPr>
        <w:t>, b</w:t>
      </w:r>
      <w:r w:rsidRPr="002F6087">
        <w:rPr>
          <w:rFonts w:ascii="Arial" w:hAnsi="Arial" w:cs="Arial"/>
          <w:color w:val="000000"/>
          <w:sz w:val="20"/>
          <w:szCs w:val="20"/>
          <w:shd w:val="clear" w:color="auto" w:fill="FFFFFF"/>
        </w:rPr>
        <w:t xml:space="preserve">elonging to the family </w:t>
      </w:r>
      <w:proofErr w:type="spellStart"/>
      <w:r w:rsidRPr="002F6087">
        <w:rPr>
          <w:rFonts w:ascii="Arial" w:hAnsi="Arial" w:cs="Arial"/>
          <w:color w:val="000000"/>
          <w:sz w:val="20"/>
          <w:szCs w:val="20"/>
          <w:shd w:val="clear" w:color="auto" w:fill="FFFFFF"/>
        </w:rPr>
        <w:t>Poaceae</w:t>
      </w:r>
      <w:proofErr w:type="spellEnd"/>
      <w:r w:rsidRPr="002F6087">
        <w:rPr>
          <w:rFonts w:ascii="Arial" w:hAnsi="Arial" w:cs="Arial"/>
          <w:color w:val="000000"/>
          <w:sz w:val="20"/>
          <w:szCs w:val="20"/>
          <w:shd w:val="clear" w:color="auto" w:fill="FFFFFF"/>
        </w:rPr>
        <w:t xml:space="preserve"> and subfamily </w:t>
      </w:r>
      <w:proofErr w:type="spellStart"/>
      <w:r w:rsidRPr="002F6087">
        <w:rPr>
          <w:rFonts w:ascii="Arial" w:hAnsi="Arial" w:cs="Arial"/>
          <w:color w:val="000000"/>
          <w:sz w:val="20"/>
          <w:szCs w:val="20"/>
          <w:shd w:val="clear" w:color="auto" w:fill="FFFFFF"/>
        </w:rPr>
        <w:t>Oryzoideae</w:t>
      </w:r>
      <w:proofErr w:type="spellEnd"/>
      <w:r w:rsidRPr="002F6087">
        <w:rPr>
          <w:rFonts w:ascii="Arial" w:hAnsi="Arial" w:cs="Arial"/>
          <w:color w:val="000000"/>
          <w:sz w:val="20"/>
          <w:szCs w:val="20"/>
          <w:shd w:val="clear" w:color="auto" w:fill="FFFFFF"/>
        </w:rPr>
        <w:t xml:space="preserve">, originated in </w:t>
      </w:r>
      <w:r w:rsidR="005513F0" w:rsidRPr="002F6087">
        <w:rPr>
          <w:rFonts w:ascii="Arial" w:hAnsi="Arial" w:cs="Arial"/>
          <w:color w:val="000000"/>
          <w:sz w:val="20"/>
          <w:szCs w:val="20"/>
          <w:shd w:val="clear" w:color="auto" w:fill="FFFFFF"/>
        </w:rPr>
        <w:t>south-east</w:t>
      </w:r>
      <w:r w:rsidRPr="002F6087">
        <w:rPr>
          <w:rFonts w:ascii="Arial" w:hAnsi="Arial" w:cs="Arial"/>
          <w:color w:val="000000"/>
          <w:sz w:val="20"/>
          <w:szCs w:val="20"/>
          <w:shd w:val="clear" w:color="auto" w:fill="FFFFFF"/>
        </w:rPr>
        <w:t xml:space="preserve"> Asia. As a short-day, self-pollinating C</w:t>
      </w:r>
      <w:r w:rsidRPr="002F6087">
        <w:rPr>
          <w:rFonts w:ascii="Arial" w:hAnsi="Arial" w:cs="Arial"/>
          <w:color w:val="000000"/>
          <w:sz w:val="20"/>
          <w:szCs w:val="20"/>
          <w:shd w:val="clear" w:color="auto" w:fill="FFFFFF"/>
          <w:vertAlign w:val="subscript"/>
        </w:rPr>
        <w:t>3</w:t>
      </w:r>
      <w:r w:rsidRPr="002F6087">
        <w:rPr>
          <w:rFonts w:ascii="Arial" w:hAnsi="Arial" w:cs="Arial"/>
          <w:color w:val="000000"/>
          <w:sz w:val="20"/>
          <w:szCs w:val="20"/>
          <w:shd w:val="clear" w:color="auto" w:fill="FFFFFF"/>
        </w:rPr>
        <w:t xml:space="preserve"> plant adapted to hydrophilic conditions, rice is the principal source of dietary calories and protein for billions of people, with over 90% of its production and consumption concentrated in Asia (Glauber </w:t>
      </w:r>
      <w:r w:rsidR="005513F0" w:rsidRPr="002F6087">
        <w:rPr>
          <w:rFonts w:ascii="Arial" w:hAnsi="Arial" w:cs="Arial"/>
          <w:color w:val="000000"/>
          <w:sz w:val="20"/>
          <w:szCs w:val="20"/>
          <w:shd w:val="clear" w:color="auto" w:fill="FFFFFF"/>
        </w:rPr>
        <w:t>and Mamun</w:t>
      </w:r>
      <w:r w:rsidRPr="002F6087">
        <w:rPr>
          <w:rFonts w:ascii="Arial" w:hAnsi="Arial" w:cs="Arial"/>
          <w:color w:val="000000"/>
          <w:sz w:val="20"/>
          <w:szCs w:val="20"/>
          <w:shd w:val="clear" w:color="auto" w:fill="FFFFFF"/>
        </w:rPr>
        <w:t xml:space="preserve">, 2025). Globally, rice is cultivated on about </w:t>
      </w:r>
      <w:r w:rsidR="009F3B8B">
        <w:rPr>
          <w:rFonts w:ascii="Arial" w:hAnsi="Arial" w:cs="Arial"/>
          <w:color w:val="000000"/>
          <w:sz w:val="20"/>
          <w:szCs w:val="20"/>
          <w:shd w:val="clear" w:color="auto" w:fill="FFFFFF"/>
        </w:rPr>
        <w:t xml:space="preserve">       </w:t>
      </w:r>
      <w:r w:rsidRPr="002F6087">
        <w:rPr>
          <w:rFonts w:ascii="Arial" w:hAnsi="Arial" w:cs="Arial"/>
          <w:color w:val="000000"/>
          <w:sz w:val="20"/>
          <w:szCs w:val="20"/>
          <w:shd w:val="clear" w:color="auto" w:fill="FFFFFF"/>
        </w:rPr>
        <w:t>167.6 million ha, producing 527.6 million tons with an average yield of 4170 kg ha</w:t>
      </w:r>
      <w:r w:rsidRPr="002F6087">
        <w:rPr>
          <w:rFonts w:ascii="Cambria Math" w:hAnsi="Cambria Math" w:cs="Cambria Math"/>
          <w:color w:val="000000"/>
          <w:sz w:val="20"/>
          <w:szCs w:val="20"/>
          <w:shd w:val="clear" w:color="auto" w:fill="FFFFFF"/>
        </w:rPr>
        <w:t>⁻</w:t>
      </w:r>
      <w:r w:rsidRPr="002F6087">
        <w:rPr>
          <w:rFonts w:ascii="Arial" w:hAnsi="Arial" w:cs="Arial"/>
          <w:color w:val="000000"/>
          <w:sz w:val="20"/>
          <w:szCs w:val="20"/>
          <w:shd w:val="clear" w:color="auto" w:fill="FFFFFF"/>
        </w:rPr>
        <w:t>¹ (Durand and Mulimbi, 2024). India possesses the largest rice-growing area (45.15 million ha) and ranks second in global production (123.81 million tons) with a yield of 2420 kg ha</w:t>
      </w:r>
      <w:r w:rsidRPr="002F6087">
        <w:rPr>
          <w:rFonts w:ascii="Cambria Math" w:hAnsi="Cambria Math" w:cs="Cambria Math"/>
          <w:color w:val="000000"/>
          <w:sz w:val="20"/>
          <w:szCs w:val="20"/>
          <w:shd w:val="clear" w:color="auto" w:fill="FFFFFF"/>
        </w:rPr>
        <w:t>⁻</w:t>
      </w:r>
      <w:r w:rsidRPr="002F6087">
        <w:rPr>
          <w:rFonts w:ascii="Arial" w:hAnsi="Arial" w:cs="Arial"/>
          <w:color w:val="000000"/>
          <w:sz w:val="20"/>
          <w:szCs w:val="20"/>
          <w:shd w:val="clear" w:color="auto" w:fill="FFFFFF"/>
        </w:rPr>
        <w:t xml:space="preserve">¹. Domestically, rice is second to wheat in </w:t>
      </w:r>
      <w:r w:rsidRPr="002F6087">
        <w:rPr>
          <w:rFonts w:ascii="Arial" w:hAnsi="Arial" w:cs="Arial"/>
          <w:color w:val="000000"/>
          <w:sz w:val="20"/>
          <w:szCs w:val="20"/>
          <w:shd w:val="clear" w:color="auto" w:fill="FFFFFF"/>
        </w:rPr>
        <w:lastRenderedPageBreak/>
        <w:t>contribution to national food supply, and exports of ~10 million tons annually provide substantial foreign exchange earnings (</w:t>
      </w:r>
      <w:proofErr w:type="spellStart"/>
      <w:r w:rsidRPr="002F6087">
        <w:rPr>
          <w:rFonts w:ascii="Arial" w:hAnsi="Arial" w:cs="Arial"/>
          <w:color w:val="000000"/>
          <w:sz w:val="20"/>
          <w:szCs w:val="20"/>
          <w:shd w:val="clear" w:color="auto" w:fill="FFFFFF"/>
        </w:rPr>
        <w:t>Indiastat</w:t>
      </w:r>
      <w:proofErr w:type="spellEnd"/>
      <w:r w:rsidRPr="002F6087">
        <w:rPr>
          <w:rFonts w:ascii="Arial" w:hAnsi="Arial" w:cs="Arial"/>
          <w:color w:val="000000"/>
          <w:sz w:val="20"/>
          <w:szCs w:val="20"/>
          <w:shd w:val="clear" w:color="auto" w:fill="FFFFFF"/>
        </w:rPr>
        <w:t>, 2024) and future demand is projected to reach 650 million tons by 2050 (</w:t>
      </w:r>
      <w:r w:rsidR="00104D10" w:rsidRPr="002F6087">
        <w:rPr>
          <w:rFonts w:ascii="Arial" w:hAnsi="Arial" w:cs="Arial"/>
          <w:bCs/>
          <w:sz w:val="20"/>
          <w:szCs w:val="20"/>
        </w:rPr>
        <w:t>Mishra</w:t>
      </w:r>
      <w:r w:rsidR="00104D10" w:rsidRPr="002F6087">
        <w:rPr>
          <w:rFonts w:ascii="Arial" w:hAnsi="Arial" w:cs="Arial"/>
          <w:i/>
          <w:iCs/>
          <w:color w:val="000000"/>
          <w:sz w:val="20"/>
          <w:szCs w:val="20"/>
          <w:shd w:val="clear" w:color="auto" w:fill="FFFFFF"/>
        </w:rPr>
        <w:t xml:space="preserve"> </w:t>
      </w:r>
      <w:r w:rsidRPr="002F6087">
        <w:rPr>
          <w:rFonts w:ascii="Arial" w:hAnsi="Arial" w:cs="Arial"/>
          <w:i/>
          <w:iCs/>
          <w:color w:val="000000"/>
          <w:sz w:val="20"/>
          <w:szCs w:val="20"/>
          <w:shd w:val="clear" w:color="auto" w:fill="FFFFFF"/>
        </w:rPr>
        <w:t>et al.</w:t>
      </w:r>
      <w:r w:rsidRPr="002F6087">
        <w:rPr>
          <w:rFonts w:ascii="Arial" w:hAnsi="Arial" w:cs="Arial"/>
          <w:color w:val="000000"/>
          <w:sz w:val="20"/>
          <w:szCs w:val="20"/>
          <w:shd w:val="clear" w:color="auto" w:fill="FFFFFF"/>
        </w:rPr>
        <w:t>, 20</w:t>
      </w:r>
      <w:r w:rsidR="00104D10" w:rsidRPr="002F6087">
        <w:rPr>
          <w:rFonts w:ascii="Arial" w:hAnsi="Arial" w:cs="Arial"/>
          <w:color w:val="000000"/>
          <w:sz w:val="20"/>
          <w:szCs w:val="20"/>
          <w:shd w:val="clear" w:color="auto" w:fill="FFFFFF"/>
        </w:rPr>
        <w:t>18</w:t>
      </w:r>
      <w:r w:rsidRPr="002F6087">
        <w:rPr>
          <w:rFonts w:ascii="Arial" w:hAnsi="Arial" w:cs="Arial"/>
          <w:color w:val="000000"/>
          <w:sz w:val="20"/>
          <w:szCs w:val="20"/>
          <w:shd w:val="clear" w:color="auto" w:fill="FFFFFF"/>
        </w:rPr>
        <w:t>)</w:t>
      </w:r>
      <w:r w:rsidR="00D61CF1" w:rsidRPr="002F6087">
        <w:rPr>
          <w:rFonts w:ascii="Arial" w:hAnsi="Arial" w:cs="Arial"/>
          <w:color w:val="000000"/>
          <w:sz w:val="20"/>
          <w:szCs w:val="20"/>
          <w:shd w:val="clear" w:color="auto" w:fill="FFFFFF"/>
        </w:rPr>
        <w:t xml:space="preserve">, and the global food demand is expected to increase by </w:t>
      </w:r>
      <w:proofErr w:type="spellStart"/>
      <w:r w:rsidR="00D61CF1" w:rsidRPr="002F6087">
        <w:rPr>
          <w:rFonts w:ascii="Arial" w:hAnsi="Arial" w:cs="Arial"/>
          <w:color w:val="000000"/>
          <w:sz w:val="20"/>
          <w:szCs w:val="20"/>
          <w:shd w:val="clear" w:color="auto" w:fill="FFFFFF"/>
        </w:rPr>
        <w:t>upto</w:t>
      </w:r>
      <w:proofErr w:type="spellEnd"/>
      <w:r w:rsidR="00D61CF1" w:rsidRPr="002F6087">
        <w:rPr>
          <w:rFonts w:ascii="Arial" w:hAnsi="Arial" w:cs="Arial"/>
          <w:color w:val="000000"/>
          <w:sz w:val="20"/>
          <w:szCs w:val="20"/>
          <w:shd w:val="clear" w:color="auto" w:fill="FFFFFF"/>
        </w:rPr>
        <w:t xml:space="preserve"> 56% (Van </w:t>
      </w:r>
      <w:r w:rsidR="00D61CF1" w:rsidRPr="002F6087">
        <w:rPr>
          <w:rFonts w:ascii="Arial" w:hAnsi="Arial" w:cs="Arial"/>
          <w:i/>
          <w:iCs/>
          <w:color w:val="000000"/>
          <w:sz w:val="20"/>
          <w:szCs w:val="20"/>
          <w:shd w:val="clear" w:color="auto" w:fill="FFFFFF"/>
        </w:rPr>
        <w:t>et al.</w:t>
      </w:r>
      <w:r w:rsidR="00D61CF1" w:rsidRPr="002F6087">
        <w:rPr>
          <w:rFonts w:ascii="Arial" w:hAnsi="Arial" w:cs="Arial"/>
          <w:color w:val="000000"/>
          <w:sz w:val="20"/>
          <w:szCs w:val="20"/>
          <w:shd w:val="clear" w:color="auto" w:fill="FFFFFF"/>
        </w:rPr>
        <w:t xml:space="preserve">, 2021) while crop yields could decline by as much as 23% as a result of climate change (Rezaei </w:t>
      </w:r>
      <w:r w:rsidR="00D61CF1" w:rsidRPr="002F6087">
        <w:rPr>
          <w:rFonts w:ascii="Arial" w:hAnsi="Arial" w:cs="Arial"/>
          <w:i/>
          <w:iCs/>
          <w:color w:val="000000"/>
          <w:sz w:val="20"/>
          <w:szCs w:val="20"/>
          <w:shd w:val="clear" w:color="auto" w:fill="FFFFFF"/>
        </w:rPr>
        <w:t>et al.</w:t>
      </w:r>
      <w:r w:rsidR="00D61CF1" w:rsidRPr="002F6087">
        <w:rPr>
          <w:rFonts w:ascii="Arial" w:hAnsi="Arial" w:cs="Arial"/>
          <w:color w:val="000000"/>
          <w:sz w:val="20"/>
          <w:szCs w:val="20"/>
          <w:shd w:val="clear" w:color="auto" w:fill="FFFFFF"/>
        </w:rPr>
        <w:t>, 2023).</w:t>
      </w:r>
    </w:p>
    <w:p w14:paraId="55993FE1" w14:textId="77777777" w:rsidR="00390CF7" w:rsidRPr="002F6087" w:rsidRDefault="00390CF7" w:rsidP="00390CF7">
      <w:pPr>
        <w:spacing w:after="120" w:line="360" w:lineRule="auto"/>
        <w:ind w:firstLine="720"/>
        <w:jc w:val="both"/>
        <w:rPr>
          <w:rFonts w:ascii="Arial" w:hAnsi="Arial" w:cs="Arial"/>
          <w:color w:val="000000"/>
          <w:sz w:val="20"/>
          <w:szCs w:val="20"/>
          <w:shd w:val="clear" w:color="auto" w:fill="FFFFFF"/>
        </w:rPr>
      </w:pPr>
      <w:r w:rsidRPr="002F6087">
        <w:rPr>
          <w:rFonts w:ascii="Arial" w:hAnsi="Arial" w:cs="Arial"/>
          <w:color w:val="000000"/>
          <w:sz w:val="20"/>
          <w:szCs w:val="20"/>
          <w:shd w:val="clear" w:color="auto" w:fill="FFFFFF"/>
        </w:rPr>
        <w:t>Selection based solely on grain yield may not always be reliable, as yield in rice is a polygenically controlled trait and is strongly influenced by multiple yield-contributing characters. Therefore, improvement programs must consider both yield and its component traits. Understanding the correlations between yield and associated attributes, as well as the interrelationships among these attributes, is crucial for effective selection. Correlation coefficients often reveal complex interactions among yield-related traits, making it difficult to identify their precise contributions. Path coefficient analysis serves as a powerful tool in this context, as it partitions correlations into direct and indirect effects, thereby offering clearer insights into the causal relationships among traits. This method estimates the direct influence of one variable (cause) on another (effect) while accounting for the confounding influence of additional variables, under the assumptions of linearity and additivity. Consequently, path analysis provides a more meaningful understanding of the actual contribution of individual characters to grain yield.</w:t>
      </w:r>
    </w:p>
    <w:p w14:paraId="3E7D4288" w14:textId="1C73850A" w:rsidR="00390CF7" w:rsidRPr="002F6087" w:rsidRDefault="00390CF7" w:rsidP="002F6087">
      <w:pPr>
        <w:spacing w:after="120" w:line="360" w:lineRule="auto"/>
        <w:ind w:firstLine="720"/>
        <w:jc w:val="both"/>
        <w:rPr>
          <w:rFonts w:ascii="Arial" w:hAnsi="Arial" w:cs="Arial"/>
          <w:color w:val="000000"/>
          <w:sz w:val="20"/>
          <w:szCs w:val="20"/>
          <w:shd w:val="clear" w:color="auto" w:fill="FFFFFF"/>
        </w:rPr>
      </w:pPr>
      <w:r w:rsidRPr="002F6087">
        <w:rPr>
          <w:rFonts w:ascii="Arial" w:hAnsi="Arial" w:cs="Arial"/>
          <w:color w:val="000000"/>
          <w:sz w:val="20"/>
          <w:szCs w:val="20"/>
          <w:shd w:val="clear" w:color="auto" w:fill="FFFFFF"/>
        </w:rPr>
        <w:t xml:space="preserve">The present investigation was thus conducted to identify trait associations and the contribution of individual characters to yield through path coefficient analysis. Correlation studies help determine the extent of mutual relationships among characters and clarify which components should be prioritized in breeding for genetic improvement. Since rice yield is a quantitative character governed by numerous traits, selection for desirable plant types should emphasize key component traits rather than yield alone. </w:t>
      </w:r>
    </w:p>
    <w:p w14:paraId="666E3E62" w14:textId="657C3A2B" w:rsidR="00390CF7" w:rsidRPr="002A73DC" w:rsidRDefault="002F6087" w:rsidP="002A73DC">
      <w:pPr>
        <w:pStyle w:val="ListParagraph"/>
        <w:numPr>
          <w:ilvl w:val="0"/>
          <w:numId w:val="3"/>
        </w:numPr>
        <w:spacing w:after="120" w:line="360" w:lineRule="auto"/>
        <w:ind w:left="284" w:hanging="284"/>
        <w:jc w:val="both"/>
        <w:rPr>
          <w:rFonts w:ascii="Arial" w:hAnsi="Arial" w:cs="Arial"/>
          <w:b/>
          <w:bCs/>
        </w:rPr>
      </w:pPr>
      <w:r w:rsidRPr="002A73DC">
        <w:rPr>
          <w:rFonts w:ascii="Arial" w:hAnsi="Arial" w:cs="Arial"/>
          <w:b/>
          <w:bCs/>
        </w:rPr>
        <w:t>MATERIAL AND METHODS</w:t>
      </w:r>
    </w:p>
    <w:p w14:paraId="2E5C33C8" w14:textId="0E678315" w:rsidR="00390CF7" w:rsidRPr="002F6087" w:rsidRDefault="00390CF7" w:rsidP="00390CF7">
      <w:pPr>
        <w:spacing w:after="120" w:line="360" w:lineRule="auto"/>
        <w:ind w:firstLine="720"/>
        <w:jc w:val="both"/>
        <w:rPr>
          <w:rFonts w:ascii="Arial" w:hAnsi="Arial" w:cs="Arial"/>
          <w:color w:val="000000"/>
          <w:sz w:val="20"/>
          <w:szCs w:val="20"/>
        </w:rPr>
      </w:pPr>
      <w:r w:rsidRPr="002F6087">
        <w:rPr>
          <w:rFonts w:ascii="Arial" w:hAnsi="Arial" w:cs="Arial"/>
          <w:color w:val="000000"/>
          <w:sz w:val="20"/>
          <w:szCs w:val="20"/>
        </w:rPr>
        <w:t>The experimental material consisted of 244 recombinant inbred lines (RILs) in the F</w:t>
      </w:r>
      <w:r w:rsidRPr="002F6087">
        <w:rPr>
          <w:rFonts w:ascii="Arial" w:hAnsi="Arial" w:cs="Arial"/>
          <w:color w:val="000000"/>
          <w:sz w:val="20"/>
          <w:szCs w:val="20"/>
          <w:vertAlign w:val="subscript"/>
        </w:rPr>
        <w:t>7</w:t>
      </w:r>
      <w:r w:rsidRPr="002F6087">
        <w:rPr>
          <w:rFonts w:ascii="Arial" w:hAnsi="Arial" w:cs="Arial"/>
          <w:color w:val="000000"/>
          <w:sz w:val="20"/>
          <w:szCs w:val="20"/>
        </w:rPr>
        <w:t xml:space="preserve"> generation, developed at ICAR–CCARI, Goa, from a cross between two co</w:t>
      </w:r>
      <w:r w:rsidR="00C377AA">
        <w:rPr>
          <w:rFonts w:ascii="Arial" w:hAnsi="Arial" w:cs="Arial"/>
          <w:color w:val="000000"/>
          <w:sz w:val="20"/>
          <w:szCs w:val="20"/>
        </w:rPr>
        <w:t xml:space="preserve">ntrasting rice cultivars, </w:t>
      </w:r>
      <w:r w:rsidR="00C377AA" w:rsidRPr="00652DC8">
        <w:rPr>
          <w:rFonts w:ascii="Arial" w:hAnsi="Arial" w:cs="Arial"/>
          <w:bCs/>
          <w:color w:val="000000"/>
          <w:sz w:val="20"/>
          <w:szCs w:val="20"/>
        </w:rPr>
        <w:t xml:space="preserve">namely, </w:t>
      </w:r>
      <w:r w:rsidRPr="00652DC8">
        <w:rPr>
          <w:rFonts w:ascii="Arial" w:hAnsi="Arial" w:cs="Arial"/>
          <w:bCs/>
          <w:color w:val="000000"/>
          <w:sz w:val="20"/>
          <w:szCs w:val="20"/>
        </w:rPr>
        <w:t>Jaya (salinity susceptible) and Goa Dhan 2 (salinity tolerant)</w:t>
      </w:r>
      <w:r w:rsidR="00C377AA" w:rsidRPr="00652DC8">
        <w:rPr>
          <w:rFonts w:ascii="Arial" w:hAnsi="Arial" w:cs="Arial"/>
          <w:bCs/>
          <w:color w:val="000000"/>
          <w:sz w:val="20"/>
          <w:szCs w:val="20"/>
        </w:rPr>
        <w:t xml:space="preserve"> (Manohara et al. 2025)</w:t>
      </w:r>
      <w:r w:rsidRPr="00652DC8">
        <w:rPr>
          <w:rFonts w:ascii="Arial" w:hAnsi="Arial" w:cs="Arial"/>
          <w:bCs/>
          <w:color w:val="000000"/>
          <w:sz w:val="20"/>
          <w:szCs w:val="20"/>
        </w:rPr>
        <w:t>.</w:t>
      </w:r>
      <w:r w:rsidRPr="002F6087">
        <w:rPr>
          <w:rFonts w:ascii="Arial" w:hAnsi="Arial" w:cs="Arial"/>
          <w:color w:val="000000"/>
          <w:sz w:val="20"/>
          <w:szCs w:val="20"/>
        </w:rPr>
        <w:t xml:space="preserve"> These lines were sequentially designated JGD RIL 1 to JGD RIL 244. In addition, five salinity-tolerant checks (FL 478, Goa Dhan 1, Goa Dhan 2, Goa Dhan 3, and Goa Dhan 4) and five susceptible checks (Jaya, Jyothi, </w:t>
      </w:r>
      <w:proofErr w:type="spellStart"/>
      <w:r w:rsidRPr="002F6087">
        <w:rPr>
          <w:rFonts w:ascii="Arial" w:hAnsi="Arial" w:cs="Arial"/>
          <w:color w:val="000000"/>
          <w:sz w:val="20"/>
          <w:szCs w:val="20"/>
        </w:rPr>
        <w:t>Karjat</w:t>
      </w:r>
      <w:proofErr w:type="spellEnd"/>
      <w:r w:rsidRPr="002F6087">
        <w:rPr>
          <w:rFonts w:ascii="Arial" w:hAnsi="Arial" w:cs="Arial"/>
          <w:color w:val="000000"/>
          <w:sz w:val="20"/>
          <w:szCs w:val="20"/>
        </w:rPr>
        <w:t xml:space="preserve"> 3, IR 29, and Pusa 44) were included. The set of 244 RILs, along with ten check varieties, </w:t>
      </w:r>
      <w:r w:rsidR="007B6BFC" w:rsidRPr="002F6087">
        <w:rPr>
          <w:rFonts w:ascii="Arial" w:hAnsi="Arial" w:cs="Arial"/>
          <w:color w:val="000000"/>
          <w:sz w:val="20"/>
          <w:szCs w:val="20"/>
        </w:rPr>
        <w:t>were</w:t>
      </w:r>
      <w:r w:rsidRPr="002F6087">
        <w:rPr>
          <w:rFonts w:ascii="Arial" w:hAnsi="Arial" w:cs="Arial"/>
          <w:color w:val="000000"/>
          <w:sz w:val="20"/>
          <w:szCs w:val="20"/>
        </w:rPr>
        <w:t xml:space="preserve"> evaluated for correlation and path coefficient analysis using an </w:t>
      </w:r>
      <w:r w:rsidR="007B6BFC" w:rsidRPr="002F6087">
        <w:rPr>
          <w:rFonts w:ascii="Arial" w:hAnsi="Arial" w:cs="Arial"/>
          <w:color w:val="000000"/>
          <w:sz w:val="20"/>
          <w:szCs w:val="20"/>
        </w:rPr>
        <w:t>A</w:t>
      </w:r>
      <w:r w:rsidRPr="002F6087">
        <w:rPr>
          <w:rFonts w:ascii="Arial" w:hAnsi="Arial" w:cs="Arial"/>
          <w:color w:val="000000"/>
          <w:sz w:val="20"/>
          <w:szCs w:val="20"/>
        </w:rPr>
        <w:t xml:space="preserve">ugmented </w:t>
      </w:r>
      <w:r w:rsidR="007B6BFC" w:rsidRPr="002F6087">
        <w:rPr>
          <w:rFonts w:ascii="Arial" w:hAnsi="Arial" w:cs="Arial"/>
          <w:color w:val="000000"/>
          <w:sz w:val="20"/>
          <w:szCs w:val="20"/>
        </w:rPr>
        <w:t>R</w:t>
      </w:r>
      <w:r w:rsidRPr="002F6087">
        <w:rPr>
          <w:rFonts w:ascii="Arial" w:hAnsi="Arial" w:cs="Arial"/>
          <w:color w:val="000000"/>
          <w:sz w:val="20"/>
          <w:szCs w:val="20"/>
        </w:rPr>
        <w:t xml:space="preserve">andomized </w:t>
      </w:r>
      <w:r w:rsidR="007B6BFC" w:rsidRPr="002F6087">
        <w:rPr>
          <w:rFonts w:ascii="Arial" w:hAnsi="Arial" w:cs="Arial"/>
          <w:color w:val="000000"/>
          <w:sz w:val="20"/>
          <w:szCs w:val="20"/>
        </w:rPr>
        <w:t>C</w:t>
      </w:r>
      <w:r w:rsidRPr="002F6087">
        <w:rPr>
          <w:rFonts w:ascii="Arial" w:hAnsi="Arial" w:cs="Arial"/>
          <w:color w:val="000000"/>
          <w:sz w:val="20"/>
          <w:szCs w:val="20"/>
        </w:rPr>
        <w:t xml:space="preserve">omplete </w:t>
      </w:r>
      <w:r w:rsidR="007B6BFC" w:rsidRPr="002F6087">
        <w:rPr>
          <w:rFonts w:ascii="Arial" w:hAnsi="Arial" w:cs="Arial"/>
          <w:color w:val="000000"/>
          <w:sz w:val="20"/>
          <w:szCs w:val="20"/>
        </w:rPr>
        <w:t>B</w:t>
      </w:r>
      <w:r w:rsidRPr="002F6087">
        <w:rPr>
          <w:rFonts w:ascii="Arial" w:hAnsi="Arial" w:cs="Arial"/>
          <w:color w:val="000000"/>
          <w:sz w:val="20"/>
          <w:szCs w:val="20"/>
        </w:rPr>
        <w:t xml:space="preserve">lock </w:t>
      </w:r>
      <w:r w:rsidR="007B6BFC" w:rsidRPr="002F6087">
        <w:rPr>
          <w:rFonts w:ascii="Arial" w:hAnsi="Arial" w:cs="Arial"/>
          <w:color w:val="000000"/>
          <w:sz w:val="20"/>
          <w:szCs w:val="20"/>
        </w:rPr>
        <w:t>D</w:t>
      </w:r>
      <w:r w:rsidRPr="002F6087">
        <w:rPr>
          <w:rFonts w:ascii="Arial" w:hAnsi="Arial" w:cs="Arial"/>
          <w:color w:val="000000"/>
          <w:sz w:val="20"/>
          <w:szCs w:val="20"/>
        </w:rPr>
        <w:t>esign</w:t>
      </w:r>
      <w:r w:rsidR="007B6BFC" w:rsidRPr="002F6087">
        <w:rPr>
          <w:rFonts w:ascii="Arial" w:hAnsi="Arial" w:cs="Arial"/>
          <w:color w:val="000000"/>
          <w:sz w:val="20"/>
          <w:szCs w:val="20"/>
        </w:rPr>
        <w:t>,</w:t>
      </w:r>
      <w:r w:rsidRPr="002F6087">
        <w:rPr>
          <w:rFonts w:ascii="Arial" w:hAnsi="Arial" w:cs="Arial"/>
          <w:color w:val="000000"/>
          <w:sz w:val="20"/>
          <w:szCs w:val="20"/>
        </w:rPr>
        <w:t xml:space="preserve"> where RILs were grouped into four blocks with replicated checks in each block. The trial </w:t>
      </w:r>
      <w:r w:rsidR="007B6BFC" w:rsidRPr="002F6087">
        <w:rPr>
          <w:rFonts w:ascii="Arial" w:hAnsi="Arial" w:cs="Arial"/>
          <w:color w:val="000000"/>
          <w:sz w:val="20"/>
          <w:szCs w:val="20"/>
        </w:rPr>
        <w:t>was</w:t>
      </w:r>
      <w:r w:rsidRPr="002F6087">
        <w:rPr>
          <w:rFonts w:ascii="Arial" w:hAnsi="Arial" w:cs="Arial"/>
          <w:color w:val="000000"/>
          <w:sz w:val="20"/>
          <w:szCs w:val="20"/>
        </w:rPr>
        <w:t xml:space="preserve"> conducted at the experimental farm of ICAR–CCARI, Goa, during </w:t>
      </w:r>
      <w:r w:rsidRPr="002F6087">
        <w:rPr>
          <w:rFonts w:ascii="Arial" w:hAnsi="Arial" w:cs="Arial"/>
          <w:i/>
          <w:iCs/>
          <w:color w:val="000000"/>
          <w:sz w:val="20"/>
          <w:szCs w:val="20"/>
        </w:rPr>
        <w:t>Rabi</w:t>
      </w:r>
      <w:r w:rsidRPr="002F6087">
        <w:rPr>
          <w:rFonts w:ascii="Arial" w:hAnsi="Arial" w:cs="Arial"/>
          <w:color w:val="000000"/>
          <w:sz w:val="20"/>
          <w:szCs w:val="20"/>
        </w:rPr>
        <w:t xml:space="preserve"> 2022–23.</w:t>
      </w:r>
    </w:p>
    <w:p w14:paraId="223B5500" w14:textId="77777777" w:rsidR="00390CF7" w:rsidRPr="002F6087" w:rsidRDefault="00390CF7" w:rsidP="00390CF7">
      <w:pPr>
        <w:spacing w:after="120" w:line="360" w:lineRule="auto"/>
        <w:ind w:firstLine="720"/>
        <w:jc w:val="both"/>
        <w:rPr>
          <w:rFonts w:ascii="Arial" w:hAnsi="Arial" w:cs="Arial"/>
          <w:color w:val="000000"/>
          <w:sz w:val="20"/>
          <w:szCs w:val="20"/>
        </w:rPr>
      </w:pPr>
      <w:r w:rsidRPr="002F6087">
        <w:rPr>
          <w:rFonts w:ascii="Arial" w:hAnsi="Arial" w:cs="Arial"/>
          <w:color w:val="000000"/>
          <w:sz w:val="20"/>
          <w:szCs w:val="20"/>
        </w:rPr>
        <w:t xml:space="preserve">The observations were recorded  for thirteen traits </w:t>
      </w:r>
      <w:r w:rsidRPr="002F6087">
        <w:rPr>
          <w:rFonts w:ascii="Arial" w:hAnsi="Arial" w:cs="Arial"/>
          <w:i/>
          <w:iCs/>
          <w:color w:val="000000"/>
          <w:sz w:val="20"/>
          <w:szCs w:val="20"/>
        </w:rPr>
        <w:t>viz.,</w:t>
      </w:r>
      <w:r w:rsidRPr="002F6087">
        <w:rPr>
          <w:rFonts w:ascii="Arial" w:hAnsi="Arial" w:cs="Arial"/>
          <w:color w:val="000000"/>
          <w:sz w:val="20"/>
          <w:szCs w:val="20"/>
        </w:rPr>
        <w:t xml:space="preserve"> plant height (PH), days to 50% flowering (DFF), total productive tillers (TPT), panicle length (PL), number of fertile grains per panicle (FG), total number of grains per panicle (GP), fertility percentage (FP), flag leaf length (FLL), flag leaf width (FLW), grain yield (GY), straw yield (SY), test weight (TW) and harvest index (HI). Correlation coefficients were </w:t>
      </w:r>
      <w:r w:rsidRPr="002F6087">
        <w:rPr>
          <w:rFonts w:ascii="Arial" w:hAnsi="Arial" w:cs="Arial"/>
          <w:color w:val="000000"/>
          <w:sz w:val="20"/>
          <w:szCs w:val="20"/>
        </w:rPr>
        <w:lastRenderedPageBreak/>
        <w:t xml:space="preserve">calculated at the genotypic and phenotypic levels using the formulae suggested by Falconer (1981) as following: </w:t>
      </w:r>
    </w:p>
    <w:p w14:paraId="5938B691" w14:textId="77777777" w:rsidR="00390CF7" w:rsidRPr="002F6087" w:rsidRDefault="00390CF7" w:rsidP="00390CF7">
      <w:pPr>
        <w:spacing w:after="120" w:line="360" w:lineRule="auto"/>
        <w:ind w:firstLine="720"/>
        <w:jc w:val="both"/>
        <w:rPr>
          <w:rFonts w:ascii="Arial" w:hAnsi="Arial" w:cs="Arial"/>
          <w:b/>
          <w:bCs/>
          <w:color w:val="000000"/>
          <w:sz w:val="20"/>
          <w:szCs w:val="20"/>
        </w:rPr>
      </w:pPr>
      <w:r w:rsidRPr="002F6087">
        <w:rPr>
          <w:rFonts w:ascii="Arial" w:hAnsi="Arial" w:cs="Arial"/>
          <w:color w:val="000000"/>
          <w:sz w:val="20"/>
          <w:szCs w:val="20"/>
        </w:rPr>
        <w:t>Phenotypic coefficient of correlation (</w:t>
      </w:r>
      <w:proofErr w:type="spellStart"/>
      <w:r w:rsidRPr="002F6087">
        <w:rPr>
          <w:rFonts w:ascii="Arial" w:hAnsi="Arial" w:cs="Arial"/>
          <w:color w:val="000000"/>
          <w:sz w:val="20"/>
          <w:szCs w:val="20"/>
        </w:rPr>
        <w:t>r</w:t>
      </w:r>
      <w:r w:rsidRPr="002F6087">
        <w:rPr>
          <w:rFonts w:ascii="Arial" w:hAnsi="Arial" w:cs="Arial"/>
          <w:color w:val="000000"/>
          <w:sz w:val="20"/>
          <w:szCs w:val="20"/>
          <w:vertAlign w:val="subscript"/>
        </w:rPr>
        <w:t>p</w:t>
      </w:r>
      <w:proofErr w:type="spellEnd"/>
      <w:r w:rsidRPr="002F6087">
        <w:rPr>
          <w:rFonts w:ascii="Arial" w:hAnsi="Arial" w:cs="Arial"/>
          <w:color w:val="000000"/>
          <w:sz w:val="20"/>
          <w:szCs w:val="20"/>
        </w:rPr>
        <w:t>) = r (x</w:t>
      </w:r>
      <w:r w:rsidRPr="002F6087">
        <w:rPr>
          <w:rFonts w:ascii="Arial" w:hAnsi="Arial" w:cs="Arial"/>
          <w:color w:val="000000"/>
          <w:sz w:val="20"/>
          <w:szCs w:val="20"/>
          <w:vertAlign w:val="subscript"/>
        </w:rPr>
        <w:t>i</w:t>
      </w:r>
      <w:r w:rsidRPr="002F6087">
        <w:rPr>
          <w:rFonts w:ascii="Arial" w:hAnsi="Arial" w:cs="Arial"/>
          <w:color w:val="000000"/>
          <w:sz w:val="20"/>
          <w:szCs w:val="20"/>
        </w:rPr>
        <w:t xml:space="preserve">. </w:t>
      </w:r>
      <w:proofErr w:type="spellStart"/>
      <w:proofErr w:type="gramStart"/>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r w:rsidRPr="002F6087">
        <w:rPr>
          <w:rFonts w:ascii="Arial" w:hAnsi="Arial" w:cs="Arial"/>
          <w:color w:val="000000"/>
          <w:sz w:val="20"/>
          <w:szCs w:val="20"/>
        </w:rPr>
        <w:t>)</w:t>
      </w:r>
      <w:r w:rsidRPr="002F6087">
        <w:rPr>
          <w:rFonts w:ascii="Arial" w:hAnsi="Arial" w:cs="Arial"/>
          <w:color w:val="000000"/>
          <w:sz w:val="20"/>
          <w:szCs w:val="20"/>
          <w:vertAlign w:val="subscript"/>
        </w:rPr>
        <w:t>p</w:t>
      </w:r>
      <w:proofErr w:type="gramEnd"/>
      <w:r w:rsidRPr="002F6087">
        <w:rPr>
          <w:rFonts w:ascii="Arial" w:hAnsi="Arial" w:cs="Arial"/>
          <w:b/>
          <w:bCs/>
          <w:color w:val="000000"/>
          <w:sz w:val="20"/>
          <w:szCs w:val="20"/>
        </w:rPr>
        <w:t xml:space="preserve"> = </w:t>
      </w:r>
      <m:oMath>
        <m:f>
          <m:fPr>
            <m:ctrlPr>
              <w:rPr>
                <w:rFonts w:ascii="Cambria Math" w:hAnsi="Cambria Math" w:cs="Arial"/>
                <w:i/>
                <w:color w:val="000000"/>
                <w:sz w:val="24"/>
                <w:szCs w:val="24"/>
              </w:rPr>
            </m:ctrlPr>
          </m:fPr>
          <m:num>
            <m:r>
              <m:rPr>
                <m:sty m:val="p"/>
              </m:rPr>
              <w:rPr>
                <w:rFonts w:ascii="Cambria Math" w:hAnsi="Cambria Math" w:cs="Arial"/>
                <w:color w:val="000000"/>
                <w:sz w:val="24"/>
                <w:szCs w:val="24"/>
              </w:rPr>
              <m:t>Cov.(x</m:t>
            </m:r>
            <m:r>
              <m:rPr>
                <m:sty m:val="p"/>
              </m:rPr>
              <w:rPr>
                <w:rFonts w:ascii="Cambria Math" w:hAnsi="Cambria Math" w:cs="Arial"/>
                <w:color w:val="000000"/>
                <w:sz w:val="24"/>
                <w:szCs w:val="24"/>
                <w:vertAlign w:val="subscript"/>
              </w:rPr>
              <m:t>i</m:t>
            </m:r>
            <m:r>
              <m:rPr>
                <m:sty m:val="p"/>
              </m:rPr>
              <w:rPr>
                <w:rFonts w:ascii="Cambria Math" w:hAnsi="Cambria Math" w:cs="Arial"/>
                <w:color w:val="000000"/>
                <w:sz w:val="24"/>
                <w:szCs w:val="24"/>
              </w:rPr>
              <m:t>.x</m:t>
            </m:r>
            <m:r>
              <m:rPr>
                <m:sty m:val="p"/>
              </m:rPr>
              <w:rPr>
                <w:rFonts w:ascii="Cambria Math" w:hAnsi="Cambria Math" w:cs="Arial"/>
                <w:color w:val="000000"/>
                <w:sz w:val="24"/>
                <w:szCs w:val="24"/>
                <w:vertAlign w:val="subscript"/>
              </w:rPr>
              <m:t>j</m:t>
            </m:r>
            <m:r>
              <m:rPr>
                <m:sty m:val="p"/>
              </m:rPr>
              <w:rPr>
                <w:rFonts w:ascii="Cambria Math" w:hAnsi="Cambria Math" w:cs="Arial"/>
                <w:color w:val="000000"/>
                <w:sz w:val="24"/>
                <w:szCs w:val="24"/>
              </w:rPr>
              <m:t>)</m:t>
            </m:r>
            <m:r>
              <m:rPr>
                <m:sty m:val="p"/>
              </m:rPr>
              <w:rPr>
                <w:rFonts w:ascii="Cambria Math" w:hAnsi="Cambria Math" w:cs="Arial"/>
                <w:color w:val="000000"/>
                <w:sz w:val="24"/>
                <w:szCs w:val="24"/>
                <w:vertAlign w:val="subscript"/>
              </w:rPr>
              <m:t>p</m:t>
            </m:r>
          </m:num>
          <m:den>
            <m:rad>
              <m:radPr>
                <m:degHide m:val="1"/>
                <m:ctrlPr>
                  <w:rPr>
                    <w:rFonts w:ascii="Cambria Math" w:hAnsi="Cambria Math" w:cs="Arial"/>
                    <w:i/>
                    <w:color w:val="000000"/>
                    <w:sz w:val="24"/>
                    <w:szCs w:val="24"/>
                  </w:rPr>
                </m:ctrlPr>
              </m:radPr>
              <m:deg/>
              <m:e>
                <m:r>
                  <m:rPr>
                    <m:sty m:val="p"/>
                  </m:rPr>
                  <w:rPr>
                    <w:rFonts w:ascii="Cambria Math" w:hAnsi="Cambria Math" w:cs="Arial"/>
                    <w:color w:val="000000"/>
                    <w:sz w:val="24"/>
                    <w:szCs w:val="24"/>
                  </w:rPr>
                  <m:t>V (x</m:t>
                </m:r>
                <m:r>
                  <m:rPr>
                    <m:sty m:val="p"/>
                  </m:rPr>
                  <w:rPr>
                    <w:rFonts w:ascii="Cambria Math" w:hAnsi="Cambria Math" w:cs="Arial"/>
                    <w:color w:val="000000"/>
                    <w:sz w:val="24"/>
                    <w:szCs w:val="24"/>
                    <w:vertAlign w:val="subscript"/>
                  </w:rPr>
                  <m:t>i</m:t>
                </m:r>
                <m:r>
                  <m:rPr>
                    <m:sty m:val="p"/>
                  </m:rPr>
                  <w:rPr>
                    <w:rFonts w:ascii="Cambria Math" w:hAnsi="Cambria Math" w:cs="Arial"/>
                    <w:color w:val="000000"/>
                    <w:sz w:val="24"/>
                    <w:szCs w:val="24"/>
                  </w:rPr>
                  <m:t xml:space="preserve">) </m:t>
                </m:r>
                <m:r>
                  <m:rPr>
                    <m:sty m:val="p"/>
                  </m:rPr>
                  <w:rPr>
                    <w:rFonts w:ascii="Cambria Math" w:hAnsi="Cambria Math" w:cs="Arial"/>
                    <w:color w:val="000000"/>
                    <w:sz w:val="24"/>
                    <w:szCs w:val="24"/>
                    <w:vertAlign w:val="subscript"/>
                  </w:rPr>
                  <m:t>g</m:t>
                </m:r>
                <m:r>
                  <m:rPr>
                    <m:sty m:val="p"/>
                  </m:rPr>
                  <w:rPr>
                    <w:rFonts w:ascii="Cambria Math" w:hAnsi="Cambria Math" w:cs="Arial"/>
                    <w:color w:val="000000"/>
                    <w:sz w:val="24"/>
                    <w:szCs w:val="24"/>
                  </w:rPr>
                  <m:t>. V (x</m:t>
                </m:r>
                <m:r>
                  <m:rPr>
                    <m:sty m:val="p"/>
                  </m:rPr>
                  <w:rPr>
                    <w:rFonts w:ascii="Cambria Math" w:hAnsi="Cambria Math" w:cs="Arial"/>
                    <w:color w:val="000000"/>
                    <w:sz w:val="24"/>
                    <w:szCs w:val="24"/>
                    <w:vertAlign w:val="subscript"/>
                  </w:rPr>
                  <m:t>j</m:t>
                </m:r>
                <m:r>
                  <m:rPr>
                    <m:sty m:val="p"/>
                  </m:rPr>
                  <w:rPr>
                    <w:rFonts w:ascii="Cambria Math" w:hAnsi="Cambria Math" w:cs="Arial"/>
                    <w:color w:val="000000"/>
                    <w:sz w:val="24"/>
                    <w:szCs w:val="24"/>
                  </w:rPr>
                  <m:t>)</m:t>
                </m:r>
                <m:r>
                  <m:rPr>
                    <m:sty m:val="p"/>
                  </m:rPr>
                  <w:rPr>
                    <w:rFonts w:ascii="Cambria Math" w:hAnsi="Cambria Math" w:cs="Arial"/>
                    <w:color w:val="000000"/>
                    <w:sz w:val="24"/>
                    <w:szCs w:val="24"/>
                    <w:vertAlign w:val="subscript"/>
                  </w:rPr>
                  <m:t>p</m:t>
                </m:r>
              </m:e>
            </m:rad>
          </m:den>
        </m:f>
      </m:oMath>
    </w:p>
    <w:p w14:paraId="6FC0C325" w14:textId="77777777" w:rsidR="00390CF7" w:rsidRPr="002F6087" w:rsidRDefault="00390CF7" w:rsidP="00390CF7">
      <w:pPr>
        <w:spacing w:after="120" w:line="360" w:lineRule="auto"/>
        <w:ind w:firstLine="720"/>
        <w:jc w:val="both"/>
        <w:rPr>
          <w:rFonts w:ascii="Arial" w:hAnsi="Arial" w:cs="Arial"/>
          <w:b/>
          <w:bCs/>
          <w:color w:val="000000"/>
          <w:sz w:val="20"/>
          <w:szCs w:val="20"/>
        </w:rPr>
      </w:pPr>
      <w:r w:rsidRPr="002F6087">
        <w:rPr>
          <w:rFonts w:ascii="Arial" w:hAnsi="Arial" w:cs="Arial"/>
          <w:color w:val="000000"/>
          <w:sz w:val="20"/>
          <w:szCs w:val="20"/>
          <w:lang w:val="en-US"/>
        </w:rPr>
        <w:t>Where;</w:t>
      </w:r>
      <w:r w:rsidRPr="002F6087">
        <w:rPr>
          <w:rFonts w:ascii="Arial" w:hAnsi="Arial" w:cs="Arial"/>
          <w:b/>
          <w:bCs/>
          <w:color w:val="000000"/>
          <w:sz w:val="20"/>
          <w:szCs w:val="20"/>
        </w:rPr>
        <w:t xml:space="preserve"> </w:t>
      </w:r>
      <w:r w:rsidRPr="002F6087">
        <w:rPr>
          <w:rFonts w:ascii="Arial" w:hAnsi="Arial" w:cs="Arial"/>
          <w:color w:val="000000"/>
          <w:sz w:val="20"/>
          <w:szCs w:val="20"/>
        </w:rPr>
        <w:t>r (x</w:t>
      </w:r>
      <w:r w:rsidRPr="002F6087">
        <w:rPr>
          <w:rFonts w:ascii="Arial" w:hAnsi="Arial" w:cs="Arial"/>
          <w:color w:val="000000"/>
          <w:sz w:val="20"/>
          <w:szCs w:val="20"/>
          <w:vertAlign w:val="subscript"/>
        </w:rPr>
        <w:t>i</w:t>
      </w:r>
      <w:r w:rsidRPr="002F6087">
        <w:rPr>
          <w:rFonts w:ascii="Arial" w:hAnsi="Arial" w:cs="Arial"/>
          <w:color w:val="000000"/>
          <w:sz w:val="20"/>
          <w:szCs w:val="20"/>
        </w:rPr>
        <w:t xml:space="preserve">. </w:t>
      </w:r>
      <w:proofErr w:type="spellStart"/>
      <w:proofErr w:type="gramStart"/>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r w:rsidRPr="002F6087">
        <w:rPr>
          <w:rFonts w:ascii="Arial" w:hAnsi="Arial" w:cs="Arial"/>
          <w:color w:val="000000"/>
          <w:sz w:val="20"/>
          <w:szCs w:val="20"/>
        </w:rPr>
        <w:t>)</w:t>
      </w:r>
      <w:r w:rsidRPr="002F6087">
        <w:rPr>
          <w:rFonts w:ascii="Arial" w:hAnsi="Arial" w:cs="Arial"/>
          <w:color w:val="000000"/>
          <w:sz w:val="20"/>
          <w:szCs w:val="20"/>
          <w:vertAlign w:val="subscript"/>
        </w:rPr>
        <w:t>p</w:t>
      </w:r>
      <w:proofErr w:type="gramEnd"/>
      <w:r w:rsidRPr="002F6087">
        <w:rPr>
          <w:rFonts w:ascii="Arial" w:hAnsi="Arial" w:cs="Arial"/>
          <w:color w:val="000000"/>
          <w:sz w:val="20"/>
          <w:szCs w:val="20"/>
        </w:rPr>
        <w:t xml:space="preserve"> is phenotypic correlation between </w:t>
      </w:r>
      <w:proofErr w:type="spellStart"/>
      <w:r w:rsidRPr="002F6087">
        <w:rPr>
          <w:rFonts w:ascii="Arial" w:hAnsi="Arial" w:cs="Arial"/>
          <w:color w:val="000000"/>
          <w:sz w:val="20"/>
          <w:szCs w:val="20"/>
        </w:rPr>
        <w:t>i</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and </w:t>
      </w:r>
      <w:proofErr w:type="spellStart"/>
      <w:r w:rsidRPr="002F6087">
        <w:rPr>
          <w:rFonts w:ascii="Arial" w:hAnsi="Arial" w:cs="Arial"/>
          <w:color w:val="000000"/>
          <w:sz w:val="20"/>
          <w:szCs w:val="20"/>
        </w:rPr>
        <w:t>j</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characters</w:t>
      </w:r>
      <w:r w:rsidRPr="002F6087">
        <w:rPr>
          <w:rFonts w:ascii="Arial" w:hAnsi="Arial" w:cs="Arial"/>
          <w:b/>
          <w:bCs/>
          <w:color w:val="000000"/>
          <w:sz w:val="20"/>
          <w:szCs w:val="20"/>
        </w:rPr>
        <w:t xml:space="preserve">, </w:t>
      </w:r>
      <w:proofErr w:type="spellStart"/>
      <w:r w:rsidRPr="002F6087">
        <w:rPr>
          <w:rFonts w:ascii="Arial" w:hAnsi="Arial" w:cs="Arial"/>
          <w:color w:val="000000"/>
          <w:sz w:val="20"/>
          <w:szCs w:val="20"/>
        </w:rPr>
        <w:t>Cov</w:t>
      </w:r>
      <w:proofErr w:type="spellEnd"/>
      <w:r w:rsidRPr="002F6087">
        <w:rPr>
          <w:rFonts w:ascii="Arial" w:hAnsi="Arial" w:cs="Arial"/>
          <w:color w:val="000000"/>
          <w:sz w:val="20"/>
          <w:szCs w:val="20"/>
        </w:rPr>
        <w:t>. (</w:t>
      </w:r>
      <w:proofErr w:type="spellStart"/>
      <w:proofErr w:type="gramStart"/>
      <w:r w:rsidRPr="002F6087">
        <w:rPr>
          <w:rFonts w:ascii="Arial" w:hAnsi="Arial" w:cs="Arial"/>
          <w:color w:val="000000"/>
          <w:sz w:val="20"/>
          <w:szCs w:val="20"/>
        </w:rPr>
        <w:t>x</w:t>
      </w:r>
      <w:r w:rsidRPr="002F6087">
        <w:rPr>
          <w:rFonts w:ascii="Arial" w:hAnsi="Arial" w:cs="Arial"/>
          <w:color w:val="000000"/>
          <w:sz w:val="20"/>
          <w:szCs w:val="20"/>
          <w:vertAlign w:val="subscript"/>
        </w:rPr>
        <w:t>i</w:t>
      </w:r>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proofErr w:type="gramEnd"/>
      <w:r w:rsidRPr="002F6087">
        <w:rPr>
          <w:rFonts w:ascii="Arial" w:hAnsi="Arial" w:cs="Arial"/>
          <w:color w:val="000000"/>
          <w:sz w:val="20"/>
          <w:szCs w:val="20"/>
        </w:rPr>
        <w:t xml:space="preserve">) </w:t>
      </w:r>
      <w:r w:rsidRPr="002F6087">
        <w:rPr>
          <w:rFonts w:ascii="Arial" w:hAnsi="Arial" w:cs="Arial"/>
          <w:color w:val="000000"/>
          <w:sz w:val="20"/>
          <w:szCs w:val="20"/>
          <w:vertAlign w:val="subscript"/>
        </w:rPr>
        <w:t>p</w:t>
      </w:r>
      <w:r w:rsidRPr="002F6087">
        <w:rPr>
          <w:rFonts w:ascii="Arial" w:hAnsi="Arial" w:cs="Arial"/>
          <w:color w:val="000000"/>
          <w:sz w:val="20"/>
          <w:szCs w:val="20"/>
        </w:rPr>
        <w:t xml:space="preserve"> is phenotypic covariance between </w:t>
      </w:r>
      <w:proofErr w:type="spellStart"/>
      <w:r w:rsidRPr="002F6087">
        <w:rPr>
          <w:rFonts w:ascii="Arial" w:hAnsi="Arial" w:cs="Arial"/>
          <w:color w:val="000000"/>
          <w:sz w:val="20"/>
          <w:szCs w:val="20"/>
        </w:rPr>
        <w:t>i</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and </w:t>
      </w:r>
      <w:proofErr w:type="spellStart"/>
      <w:r w:rsidRPr="002F6087">
        <w:rPr>
          <w:rFonts w:ascii="Arial" w:hAnsi="Arial" w:cs="Arial"/>
          <w:color w:val="000000"/>
          <w:sz w:val="20"/>
          <w:szCs w:val="20"/>
        </w:rPr>
        <w:t>j</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characters</w:t>
      </w:r>
      <w:r w:rsidRPr="002F6087">
        <w:rPr>
          <w:rFonts w:ascii="Arial" w:hAnsi="Arial" w:cs="Arial"/>
          <w:b/>
          <w:bCs/>
          <w:color w:val="000000"/>
          <w:sz w:val="20"/>
          <w:szCs w:val="20"/>
        </w:rPr>
        <w:t xml:space="preserve">, </w:t>
      </w:r>
      <w:r w:rsidRPr="002F6087">
        <w:rPr>
          <w:rFonts w:ascii="Arial" w:hAnsi="Arial" w:cs="Arial"/>
          <w:color w:val="000000"/>
          <w:sz w:val="20"/>
          <w:szCs w:val="20"/>
        </w:rPr>
        <w:t>V (x</w:t>
      </w:r>
      <w:r w:rsidRPr="002F6087">
        <w:rPr>
          <w:rFonts w:ascii="Arial" w:hAnsi="Arial" w:cs="Arial"/>
          <w:color w:val="000000"/>
          <w:sz w:val="20"/>
          <w:szCs w:val="20"/>
          <w:vertAlign w:val="subscript"/>
        </w:rPr>
        <w:t>i</w:t>
      </w:r>
      <w:r w:rsidRPr="002F6087">
        <w:rPr>
          <w:rFonts w:ascii="Arial" w:hAnsi="Arial" w:cs="Arial"/>
          <w:color w:val="000000"/>
          <w:sz w:val="20"/>
          <w:szCs w:val="20"/>
        </w:rPr>
        <w:t xml:space="preserve">) </w:t>
      </w:r>
      <w:r w:rsidRPr="002F6087">
        <w:rPr>
          <w:rFonts w:ascii="Arial" w:hAnsi="Arial" w:cs="Arial"/>
          <w:color w:val="000000"/>
          <w:sz w:val="20"/>
          <w:szCs w:val="20"/>
          <w:vertAlign w:val="subscript"/>
        </w:rPr>
        <w:t>p</w:t>
      </w:r>
      <w:r w:rsidRPr="002F6087">
        <w:rPr>
          <w:rFonts w:ascii="Arial" w:hAnsi="Arial" w:cs="Arial"/>
          <w:color w:val="000000"/>
          <w:sz w:val="20"/>
          <w:szCs w:val="20"/>
        </w:rPr>
        <w:t xml:space="preserve"> is phenotypic variance of </w:t>
      </w:r>
      <w:proofErr w:type="spellStart"/>
      <w:r w:rsidRPr="002F6087">
        <w:rPr>
          <w:rFonts w:ascii="Arial" w:hAnsi="Arial" w:cs="Arial"/>
          <w:color w:val="000000"/>
          <w:sz w:val="20"/>
          <w:szCs w:val="20"/>
        </w:rPr>
        <w:t>i</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w:t>
      </w:r>
      <w:r w:rsidRPr="002F6087">
        <w:rPr>
          <w:rFonts w:ascii="Arial" w:hAnsi="Arial" w:cs="Arial"/>
          <w:b/>
          <w:bCs/>
          <w:color w:val="000000"/>
          <w:sz w:val="20"/>
          <w:szCs w:val="20"/>
        </w:rPr>
        <w:t xml:space="preserve"> </w:t>
      </w:r>
      <w:r w:rsidRPr="002F6087">
        <w:rPr>
          <w:rFonts w:ascii="Arial" w:hAnsi="Arial" w:cs="Arial"/>
          <w:color w:val="000000"/>
          <w:sz w:val="20"/>
          <w:szCs w:val="20"/>
        </w:rPr>
        <w:t>and V (</w:t>
      </w:r>
      <w:proofErr w:type="spellStart"/>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r w:rsidRPr="002F6087">
        <w:rPr>
          <w:rFonts w:ascii="Arial" w:hAnsi="Arial" w:cs="Arial"/>
          <w:color w:val="000000"/>
          <w:sz w:val="20"/>
          <w:szCs w:val="20"/>
        </w:rPr>
        <w:t>)</w:t>
      </w:r>
      <w:r w:rsidRPr="002F6087">
        <w:rPr>
          <w:rFonts w:ascii="Arial" w:hAnsi="Arial" w:cs="Arial"/>
          <w:color w:val="000000"/>
          <w:sz w:val="20"/>
          <w:szCs w:val="20"/>
          <w:vertAlign w:val="subscript"/>
        </w:rPr>
        <w:t xml:space="preserve"> p</w:t>
      </w:r>
      <w:r w:rsidRPr="002F6087">
        <w:rPr>
          <w:rFonts w:ascii="Arial" w:hAnsi="Arial" w:cs="Arial"/>
          <w:color w:val="000000"/>
          <w:sz w:val="20"/>
          <w:szCs w:val="20"/>
        </w:rPr>
        <w:t xml:space="preserve"> is phenotypic variance of </w:t>
      </w:r>
      <w:proofErr w:type="spellStart"/>
      <w:r w:rsidRPr="002F6087">
        <w:rPr>
          <w:rFonts w:ascii="Arial" w:hAnsi="Arial" w:cs="Arial"/>
          <w:color w:val="000000"/>
          <w:sz w:val="20"/>
          <w:szCs w:val="20"/>
        </w:rPr>
        <w:t>j</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w:t>
      </w:r>
      <w:r w:rsidRPr="002F6087">
        <w:rPr>
          <w:rFonts w:ascii="Arial" w:hAnsi="Arial" w:cs="Arial"/>
          <w:sz w:val="20"/>
          <w:szCs w:val="20"/>
        </w:rPr>
        <w:t xml:space="preserve">. Along with correlation estimations, </w:t>
      </w:r>
      <w:r w:rsidRPr="002F6087">
        <w:rPr>
          <w:rFonts w:ascii="Arial" w:hAnsi="Arial" w:cs="Arial"/>
          <w:sz w:val="20"/>
          <w:szCs w:val="20"/>
          <w:lang w:val="en-US"/>
        </w:rPr>
        <w:t>path analysis was also carried out using the phenotypic correlation coefficients to know the direct and indirect effects of the components on yield as suggested by Wright (1921) and illustrated by Dewey and Lu (1959) and further classified as very high (&gt;1.0), high (0.3-0.9), moderate (0.2-0.29), low (0.1-0.19) and negligible (&lt;0.1) as suggested by Lenka and Misra (1973).</w:t>
      </w:r>
    </w:p>
    <w:p w14:paraId="510B66EA" w14:textId="0F371136" w:rsidR="00390CF7" w:rsidRPr="002A73DC" w:rsidRDefault="009F3B8B" w:rsidP="002A73DC">
      <w:pPr>
        <w:pStyle w:val="ListParagraph"/>
        <w:numPr>
          <w:ilvl w:val="0"/>
          <w:numId w:val="3"/>
        </w:numPr>
        <w:spacing w:after="120" w:line="360" w:lineRule="auto"/>
        <w:ind w:left="284" w:hanging="284"/>
        <w:jc w:val="both"/>
        <w:rPr>
          <w:rFonts w:ascii="Arial" w:hAnsi="Arial" w:cs="Arial"/>
          <w:b/>
          <w:bCs/>
        </w:rPr>
      </w:pPr>
      <w:r w:rsidRPr="002A73DC">
        <w:rPr>
          <w:rFonts w:ascii="Arial" w:hAnsi="Arial" w:cs="Arial"/>
          <w:b/>
          <w:bCs/>
        </w:rPr>
        <w:t>RESULTS AND DISCUSSION</w:t>
      </w:r>
    </w:p>
    <w:p w14:paraId="3D77FE3E" w14:textId="1C5C1D23" w:rsidR="00390CF7" w:rsidRPr="009F3B8B" w:rsidRDefault="00390CF7" w:rsidP="00390CF7">
      <w:pPr>
        <w:spacing w:after="120" w:line="360" w:lineRule="auto"/>
        <w:ind w:firstLine="720"/>
        <w:jc w:val="both"/>
        <w:rPr>
          <w:rFonts w:ascii="Arial" w:hAnsi="Arial" w:cs="Arial"/>
          <w:sz w:val="20"/>
          <w:szCs w:val="20"/>
        </w:rPr>
      </w:pPr>
      <w:r w:rsidRPr="009F3B8B">
        <w:rPr>
          <w:rFonts w:ascii="Arial" w:hAnsi="Arial" w:cs="Arial"/>
          <w:sz w:val="20"/>
          <w:szCs w:val="20"/>
        </w:rPr>
        <w:t>The heat map illustrating the correlation coefficients among the thirteen quantitative traits is presented in Fig. 1, where deeper shades of blue indicate stronger positive correlations, while red shades represent the magnitude of negative correlations. Plant height exhibited significant positive correlations with flag leaf length (0.43), straw yield (0.10), number of grains per panicle (0.33), fertile grains per panicle (0.34), and panicle length (0.71). In contrast, it was negatively associated with grain yield (-0.23), harvest index (-0.35), and productive tillers (-0.47). Days to 50% flowering showed significant positive correlations with flag leaf width (0.52), panicle length (0.21), number of grains per panicle (0.42), fertile grains per panicle (0.39), grain yield (0.34), harvest index (0.29), and productive tillers (0.15). Productive tillers were positively associated with harvest index (0.29), grain yield (0.46), days to 50% flowering (0.15), and straw yield (0.13), but negatively correlated with fertile grains per panicle (-0.19), total grains per panicle (-0.23), flag leaf length (-0.28), plant height (-0.47), and panicle length (-0.28). Panicle length was significantly and positively correlated with plant height (0.71), flag leaf length (0.29), straw yield (0.15), flag leaf width (0.17), days to 50% flowering (0.21), total grains per panicle (0.57), and fertile grains per panicle (0.56), while showing a negative association with productive tillers</w:t>
      </w:r>
      <w:r w:rsidR="005C7D2F">
        <w:rPr>
          <w:rFonts w:ascii="Arial" w:hAnsi="Arial" w:cs="Arial"/>
          <w:sz w:val="20"/>
          <w:szCs w:val="20"/>
        </w:rPr>
        <w:t xml:space="preserve"> </w:t>
      </w:r>
      <w:r w:rsidRPr="009F3B8B">
        <w:rPr>
          <w:rFonts w:ascii="Arial" w:hAnsi="Arial" w:cs="Arial"/>
          <w:sz w:val="20"/>
          <w:szCs w:val="20"/>
        </w:rPr>
        <w:t>(-0.28). Fertile grains per panicle displayed strong positive correlations with panicle length (0.58), plant height (0.34), flag leaf length (0.16), straw yield (0.16), flag leaf width (0.42), days to 50% flowering (0.39), total grains per panicle (0.91), and grain yield (0.25). Negative correlations were recorded with test weight (-0.25) and productive tillers (-0.19). Total grains per panicle had significant positive correlations with panicle length (0.57), plant height (0.33), flag leaf length (0.20), straw yield (0.14), flag leaf width (0.49), days to 50% flowering (0.42), fertile grains per panicle (0.91), and grain yield (0.20). Negative correlations were observed with test weight (-0.30), fertility percentage (-0.33), and productive tillers (-0.23). Fertility percentage was positively associated with test weight (0.18) but negatively correlated with total grains per panicle (-0.33), days to 50% flowering (-0.15), flag leaf width</w:t>
      </w:r>
      <w:r w:rsidR="009F3B8B">
        <w:rPr>
          <w:rFonts w:ascii="Arial" w:hAnsi="Arial" w:cs="Arial"/>
          <w:sz w:val="20"/>
          <w:szCs w:val="20"/>
        </w:rPr>
        <w:t xml:space="preserve">        </w:t>
      </w:r>
      <w:r w:rsidRPr="009F3B8B">
        <w:rPr>
          <w:rFonts w:ascii="Arial" w:hAnsi="Arial" w:cs="Arial"/>
          <w:sz w:val="20"/>
          <w:szCs w:val="20"/>
        </w:rPr>
        <w:t xml:space="preserve"> (-0.23), and flag leaf length (-0.12). Flag leaf length showed positive correlations with panicle length (0.29), plant height (0.43), flag leaf width (0.14), total grains per panicle (0.20), and fertile grains per panicle (0.16). </w:t>
      </w:r>
      <w:r w:rsidRPr="009F3B8B">
        <w:rPr>
          <w:rFonts w:ascii="Arial" w:hAnsi="Arial" w:cs="Arial"/>
          <w:sz w:val="20"/>
          <w:szCs w:val="20"/>
        </w:rPr>
        <w:lastRenderedPageBreak/>
        <w:t>Negative correlations were detected with days to 50% flowering (-0.13), fertility percentage (-0.12), grain yield (-0.19), harvest index (-0.28), and productive tillers (-0.28). Flag leaf width was positively correlated with panicle length (0.17), flag leaf length (0.14), days to 50% flowering (0.52), number of grains per panicle (0.49), fertile grains per panicle (0.42), and grain yield (0.14), but showed a negative correlation with fertility percentage (-0.23). Grain yield was positively associated with straw yield (0.40), flag leaf width (0.14), days to 50% flowering (0.34), total grains per panicle (0.20), fertile grains per panicle (0.25), harvest index (0.56), and productive tillers (0.46), but negatively correlated with plant height (-0.23) and flag leaf length (-0.19). Straw yield showed significant positive correlations with panicle length (0.15), plant height (0.12), total grains per panicle (0.14), fertile grains per panicle (0.16), grain yield (0.40), and productive tillers (0.13), while exhibiting a negative relationship with harvest index (-0.49). Test weight was positively associated with fertility percentage (0.18), but negatively correlated with fertile grains per panicle (-0.25), total grains per panicle (-0.30), and days to 50% flowering (-0.15). Harvest index exhibited strong positive correlations with productive tillers (0.29), grain yield (0.56), and days to 50% flowering (0.29). On the other hand, negative correlations were observed with panicle length (-0.13), plant height (-0.35), flag leaf length (-0.28), and straw yield (-0.49).</w:t>
      </w:r>
    </w:p>
    <w:p w14:paraId="3F616531" w14:textId="77777777" w:rsidR="00390CF7" w:rsidRPr="009F3B8B" w:rsidRDefault="00390CF7" w:rsidP="00390CF7">
      <w:pPr>
        <w:spacing w:after="120" w:line="360" w:lineRule="auto"/>
        <w:ind w:firstLine="720"/>
        <w:jc w:val="both"/>
        <w:rPr>
          <w:rFonts w:ascii="Arial" w:hAnsi="Arial" w:cs="Arial"/>
          <w:sz w:val="20"/>
          <w:szCs w:val="20"/>
        </w:rPr>
      </w:pPr>
      <w:r w:rsidRPr="009F3B8B">
        <w:rPr>
          <w:rFonts w:ascii="Arial" w:hAnsi="Arial" w:cs="Arial"/>
          <w:sz w:val="20"/>
          <w:szCs w:val="20"/>
        </w:rPr>
        <w:t xml:space="preserve">Understanding the direction and strength of associations among different traits facilitates indirect selection for grain yield in breeding programs, since direct selection for such a complex trait is often less effective due to its polygenic nature and strong environmental influence (Grafius, 1956). </w:t>
      </w:r>
      <w:r w:rsidRPr="009F3B8B">
        <w:rPr>
          <w:rFonts w:ascii="Arial" w:hAnsi="Arial" w:cs="Arial"/>
          <w:sz w:val="20"/>
          <w:szCs w:val="20"/>
        </w:rPr>
        <w:tab/>
        <w:t xml:space="preserve">Grain yield per hectare showed significant positive correlations with straw yield (0.40), flag leaf width (0.14), days to 50% flowering (0.34), total grains per panicle (0.20), fertile grains per panicle (0.25), harvest index (0.56), and productive tillers (0.46). Similar correlation was reported for number of fertile grains per panicle, total number of grains per panicle and total productive tillers by Panika </w:t>
      </w:r>
      <w:r w:rsidRPr="009F3B8B">
        <w:rPr>
          <w:rFonts w:ascii="Arial" w:hAnsi="Arial" w:cs="Arial"/>
          <w:i/>
          <w:iCs/>
          <w:sz w:val="20"/>
          <w:szCs w:val="20"/>
        </w:rPr>
        <w:t>et al.</w:t>
      </w:r>
      <w:r w:rsidRPr="009F3B8B">
        <w:rPr>
          <w:rFonts w:ascii="Arial" w:hAnsi="Arial" w:cs="Arial"/>
          <w:sz w:val="20"/>
          <w:szCs w:val="20"/>
        </w:rPr>
        <w:t xml:space="preserve"> (2022) and Kiran </w:t>
      </w:r>
      <w:r w:rsidRPr="009F3B8B">
        <w:rPr>
          <w:rFonts w:ascii="Arial" w:hAnsi="Arial" w:cs="Arial"/>
          <w:i/>
          <w:iCs/>
          <w:sz w:val="20"/>
          <w:szCs w:val="20"/>
        </w:rPr>
        <w:t>et al.</w:t>
      </w:r>
      <w:r w:rsidRPr="009F3B8B">
        <w:rPr>
          <w:rFonts w:ascii="Arial" w:hAnsi="Arial" w:cs="Arial"/>
          <w:sz w:val="20"/>
          <w:szCs w:val="20"/>
        </w:rPr>
        <w:t xml:space="preserve"> (2023). These associations indicate that selecting for these traits can lead to an indirect improvement in grain yield. Conversely, a negative correlation between but negatively correlated with plant height (-0.23) and flag leaf length (-0.19). suggests that genotypes with more height tend to have lower yields, which could be an important selection criterion for breeding programs aimed at improving yield.</w:t>
      </w:r>
    </w:p>
    <w:p w14:paraId="1673EC62" w14:textId="53CB5630" w:rsidR="00390CF7" w:rsidRPr="009F3B8B" w:rsidRDefault="00390CF7" w:rsidP="00390CF7">
      <w:pPr>
        <w:spacing w:after="120" w:line="360" w:lineRule="auto"/>
        <w:ind w:firstLine="720"/>
        <w:jc w:val="both"/>
        <w:rPr>
          <w:rFonts w:ascii="Arial" w:hAnsi="Arial" w:cs="Arial"/>
          <w:sz w:val="20"/>
          <w:szCs w:val="20"/>
        </w:rPr>
      </w:pPr>
      <w:r w:rsidRPr="009F3B8B">
        <w:rPr>
          <w:rFonts w:ascii="Arial" w:hAnsi="Arial" w:cs="Arial"/>
          <w:sz w:val="20"/>
          <w:szCs w:val="20"/>
        </w:rPr>
        <w:t xml:space="preserve">The results of path effects are shown in </w:t>
      </w:r>
      <w:r w:rsidR="007B6BFC" w:rsidRPr="009F3B8B">
        <w:rPr>
          <w:rFonts w:ascii="Arial" w:hAnsi="Arial" w:cs="Arial"/>
          <w:sz w:val="20"/>
          <w:szCs w:val="20"/>
        </w:rPr>
        <w:t>T</w:t>
      </w:r>
      <w:r w:rsidRPr="009F3B8B">
        <w:rPr>
          <w:rFonts w:ascii="Arial" w:hAnsi="Arial" w:cs="Arial"/>
          <w:sz w:val="20"/>
          <w:szCs w:val="20"/>
        </w:rPr>
        <w:t>able</w:t>
      </w:r>
      <w:r w:rsidR="007B6BFC" w:rsidRPr="009F3B8B">
        <w:rPr>
          <w:rFonts w:ascii="Arial" w:hAnsi="Arial" w:cs="Arial"/>
          <w:sz w:val="20"/>
          <w:szCs w:val="20"/>
        </w:rPr>
        <w:t xml:space="preserve"> </w:t>
      </w:r>
      <w:r w:rsidRPr="009F3B8B">
        <w:rPr>
          <w:rFonts w:ascii="Arial" w:hAnsi="Arial" w:cs="Arial"/>
          <w:sz w:val="20"/>
          <w:szCs w:val="20"/>
        </w:rPr>
        <w:t xml:space="preserve">1 and </w:t>
      </w:r>
      <w:r w:rsidR="007B6BFC" w:rsidRPr="009F3B8B">
        <w:rPr>
          <w:rFonts w:ascii="Arial" w:hAnsi="Arial" w:cs="Arial"/>
          <w:sz w:val="20"/>
          <w:szCs w:val="20"/>
        </w:rPr>
        <w:t>F</w:t>
      </w:r>
      <w:r w:rsidRPr="009F3B8B">
        <w:rPr>
          <w:rFonts w:ascii="Arial" w:hAnsi="Arial" w:cs="Arial"/>
          <w:sz w:val="20"/>
          <w:szCs w:val="20"/>
        </w:rPr>
        <w:t>ig</w:t>
      </w:r>
      <w:r w:rsidR="007B6BFC" w:rsidRPr="009F3B8B">
        <w:rPr>
          <w:rFonts w:ascii="Arial" w:hAnsi="Arial" w:cs="Arial"/>
          <w:sz w:val="20"/>
          <w:szCs w:val="20"/>
        </w:rPr>
        <w:t xml:space="preserve">ure </w:t>
      </w:r>
      <w:r w:rsidRPr="009F3B8B">
        <w:rPr>
          <w:rFonts w:ascii="Arial" w:hAnsi="Arial" w:cs="Arial"/>
          <w:sz w:val="20"/>
          <w:szCs w:val="20"/>
        </w:rPr>
        <w:t>2. Plant height exerted a low positive direct effect (0.063) on grain yield, complemented by indirect influences through straw yield (0.105) and number of fertile grains per panicle (0.028). However, strong negative indirect effects via harvest index</w:t>
      </w:r>
      <w:r w:rsidR="009F3B8B">
        <w:rPr>
          <w:rFonts w:ascii="Arial" w:hAnsi="Arial" w:cs="Arial"/>
          <w:sz w:val="20"/>
          <w:szCs w:val="20"/>
        </w:rPr>
        <w:t xml:space="preserve">       </w:t>
      </w:r>
      <w:r w:rsidRPr="009F3B8B">
        <w:rPr>
          <w:rFonts w:ascii="Arial" w:hAnsi="Arial" w:cs="Arial"/>
          <w:sz w:val="20"/>
          <w:szCs w:val="20"/>
        </w:rPr>
        <w:t xml:space="preserve"> (–0.335), total productive tillers (–0.043), and panicle length (–0.022) resulted in an overall negative correlation (–0.228) with yield. Days to 50% flowering had a small positive direct effect (0.041), which was notably strengthened by its indirect contributions through harvest index (0.276) and fertile grains per panicle (0.033). Negative effects operated through total grains per panicle (–0.027), panicle length (–0.007), and straw yield (–0.005). Total productive tillers exhibited a moderate direct effect (0.093) on yield, reinforced by substantial indirect effects via harvest index (0.271), straw yield (0.110), and grains per panicle (0.015). Small negative indirect pathways through plant height (–0.029), fertile grains per panicle (–0.016), and fertility percentage (–0.006) minimized the overall impact, yet the total association remained strongly </w:t>
      </w:r>
      <w:r w:rsidRPr="009F3B8B">
        <w:rPr>
          <w:rFonts w:ascii="Arial" w:hAnsi="Arial" w:cs="Arial"/>
          <w:sz w:val="20"/>
          <w:szCs w:val="20"/>
        </w:rPr>
        <w:lastRenderedPageBreak/>
        <w:t>positive (0.456). Panicle length recorded a small negative direct influence (–0.032), although positive indirect effects were channelled through straw yield (0.124), fertile grains per panicle (0.048), and plant height (0.044). These were offset by negative effects from harvest index</w:t>
      </w:r>
      <w:r w:rsidR="009F3B8B">
        <w:rPr>
          <w:rFonts w:ascii="Arial" w:hAnsi="Arial" w:cs="Arial"/>
          <w:sz w:val="20"/>
          <w:szCs w:val="20"/>
        </w:rPr>
        <w:t xml:space="preserve"> </w:t>
      </w:r>
      <w:r w:rsidRPr="009F3B8B">
        <w:rPr>
          <w:rFonts w:ascii="Arial" w:hAnsi="Arial" w:cs="Arial"/>
          <w:sz w:val="20"/>
          <w:szCs w:val="20"/>
        </w:rPr>
        <w:t>(–0.123), grains per panicle</w:t>
      </w:r>
      <w:r w:rsidR="009F3B8B">
        <w:rPr>
          <w:rFonts w:ascii="Arial" w:hAnsi="Arial" w:cs="Arial"/>
          <w:sz w:val="20"/>
          <w:szCs w:val="20"/>
        </w:rPr>
        <w:t xml:space="preserve">            </w:t>
      </w:r>
      <w:r w:rsidRPr="009F3B8B">
        <w:rPr>
          <w:rFonts w:ascii="Arial" w:hAnsi="Arial" w:cs="Arial"/>
          <w:sz w:val="20"/>
          <w:szCs w:val="20"/>
        </w:rPr>
        <w:t xml:space="preserve"> (–0.036), and productive tillers (–0.026). The number of fertile grains per panicle showed a moderate positive direct effect (0.084) on yield, supported by indirect contributions through straw yield (0.131), harvest index (0.100), plant height (0.021), and flowering time (0.016). Negative indirect effects were mediated by grains per panicle (–0.057), productive tillers (–0.018), and panicle length (–0.018). Total grains per panicle had a small negative direct effect (–0.063), though it contributed positively via straw yield (0.114), fertile grains per panicle (0.076), and harvest index (0.059). Negative but minor pathways were linked to productive tillers (–0.021) and panicle length (–0.018). Fertility percentage exerted a low negative direct effect (–0.050), but this was partly compensated by indirect effects through harvest index (0.073), straw yield (0.036), and productive tillers (0.011). Flag leaf length had a very low negative direct effect (–0.015), but indirect positive contributions from straw yield (0.094), plant height (0.027), and fertile grains per panicle (0.014) failed to outweigh the strong negative effects of harvest index (–0.260), productive tillers (–0.026), and grains per panicle (–0.013). Flag leaf width showed a negligible positive direct effect (0.007), enhanced by days to 50% flowering (0.021), straw yield (0.031), fertile grains per panicle (0.035), and harvest index (0.086). Negative indirect contributions from grains per panicle (–0.031) and productive tillers (–0.011) reduced its overall impact. Straw yield contributed the largest positive direct effect (0.842) on grain yield. However, this was tempered by a substantial negative indirect influence from harvest index (–0.462). Test weight exhibited a minimal direct effect (0.005), but was slightly favourable overall through indirect positive contributions of straw yield (0.046) and grains per panicle (0.019), despite negative effects from fertile grains (–0.021). Harvest index recorded the second-highest positive direct effect (0.944) on grain yield, only weakly reduced by the negative indirect influence of straw yield (–0.412). Its overall association remained strongly positive (0.558) via multiple indirect pathways. The phenotypic residual effects for grain yield were estimated as 0.092 values suggest that a substantial proportion of variation in yield is attributed to factors beyond the traits analysed, as well as to environmental variation.</w:t>
      </w:r>
    </w:p>
    <w:p w14:paraId="78402E6F" w14:textId="7B8ACE4B" w:rsidR="00390CF7" w:rsidRPr="009F3B8B" w:rsidRDefault="00390CF7" w:rsidP="00390CF7">
      <w:pPr>
        <w:spacing w:after="120" w:line="360" w:lineRule="auto"/>
        <w:ind w:firstLine="720"/>
        <w:jc w:val="both"/>
        <w:rPr>
          <w:rFonts w:ascii="Arial" w:hAnsi="Arial" w:cs="Arial"/>
          <w:sz w:val="20"/>
          <w:szCs w:val="20"/>
          <w:lang w:val="en-US"/>
        </w:rPr>
      </w:pPr>
      <w:r w:rsidRPr="009F3B8B">
        <w:rPr>
          <w:rFonts w:ascii="Arial" w:hAnsi="Arial" w:cs="Arial"/>
          <w:sz w:val="20"/>
          <w:szCs w:val="20"/>
        </w:rPr>
        <w:t xml:space="preserve">Path coefficient analysis partitions correlation coefficients into direct and indirect effects of different traits on grain yield. This enables the identification of both primary and mediated causes of associations, providing deeper insights into the underlying mechanisms of trait interrelationships and allowing the relative importance of each contributing factor to be evaluated. Thus, partitioning correlations into direct and indirect effects is essential for identifying the actual contribution of individual traits to grain yield. The integration of correlation analysis with path coefficient analysis provides a clearer understanding of the cause–effect relationships among traits, thereby supporting rice breeding programs aimed at simultaneously improving multiple attributes along with yield. In the present study, the phenotypic correlations between grain yield per plant and its related yield components were decomposed into direct and indirect effects through path analysis, and the outcomes were critically analysed and interpreted. Similar positive direct effect on grain yield were reported by Ali </w:t>
      </w:r>
      <w:r w:rsidRPr="009F3B8B">
        <w:rPr>
          <w:rFonts w:ascii="Arial" w:hAnsi="Arial" w:cs="Arial"/>
          <w:i/>
          <w:iCs/>
          <w:sz w:val="20"/>
          <w:szCs w:val="20"/>
        </w:rPr>
        <w:t>et al.</w:t>
      </w:r>
      <w:r w:rsidRPr="009F3B8B">
        <w:rPr>
          <w:rFonts w:ascii="Arial" w:hAnsi="Arial" w:cs="Arial"/>
          <w:sz w:val="20"/>
          <w:szCs w:val="20"/>
        </w:rPr>
        <w:t xml:space="preserve"> (2013), Manohara and Singh (2015), Aarthi </w:t>
      </w:r>
      <w:r w:rsidRPr="009F3B8B">
        <w:rPr>
          <w:rFonts w:ascii="Arial" w:hAnsi="Arial" w:cs="Arial"/>
          <w:i/>
          <w:iCs/>
          <w:sz w:val="20"/>
          <w:szCs w:val="20"/>
        </w:rPr>
        <w:t>et al.</w:t>
      </w:r>
      <w:r w:rsidRPr="009F3B8B">
        <w:rPr>
          <w:rFonts w:ascii="Arial" w:hAnsi="Arial" w:cs="Arial"/>
          <w:sz w:val="20"/>
          <w:szCs w:val="20"/>
        </w:rPr>
        <w:t xml:space="preserve"> (2019), Saha </w:t>
      </w:r>
      <w:r w:rsidRPr="009F3B8B">
        <w:rPr>
          <w:rFonts w:ascii="Arial" w:hAnsi="Arial" w:cs="Arial"/>
          <w:i/>
          <w:iCs/>
          <w:sz w:val="20"/>
          <w:szCs w:val="20"/>
        </w:rPr>
        <w:t>et al.</w:t>
      </w:r>
      <w:r w:rsidRPr="009F3B8B">
        <w:rPr>
          <w:rFonts w:ascii="Arial" w:hAnsi="Arial" w:cs="Arial"/>
          <w:sz w:val="20"/>
          <w:szCs w:val="20"/>
        </w:rPr>
        <w:t xml:space="preserve"> (2019), </w:t>
      </w:r>
      <w:r w:rsidRPr="009F3B8B">
        <w:rPr>
          <w:rFonts w:ascii="Arial" w:hAnsi="Arial" w:cs="Arial"/>
          <w:sz w:val="20"/>
          <w:szCs w:val="20"/>
        </w:rPr>
        <w:lastRenderedPageBreak/>
        <w:t xml:space="preserve">Sumithra </w:t>
      </w:r>
      <w:r w:rsidRPr="009F3B8B">
        <w:rPr>
          <w:rFonts w:ascii="Arial" w:hAnsi="Arial" w:cs="Arial"/>
          <w:i/>
          <w:iCs/>
          <w:sz w:val="20"/>
          <w:szCs w:val="20"/>
        </w:rPr>
        <w:t>et al.</w:t>
      </w:r>
      <w:r w:rsidRPr="009F3B8B">
        <w:rPr>
          <w:rFonts w:ascii="Arial" w:hAnsi="Arial" w:cs="Arial"/>
          <w:sz w:val="20"/>
          <w:szCs w:val="20"/>
        </w:rPr>
        <w:t xml:space="preserve"> (2019), </w:t>
      </w:r>
      <w:proofErr w:type="spellStart"/>
      <w:r w:rsidRPr="009F3B8B">
        <w:rPr>
          <w:rFonts w:ascii="Arial" w:hAnsi="Arial" w:cs="Arial"/>
          <w:sz w:val="20"/>
          <w:szCs w:val="20"/>
        </w:rPr>
        <w:t>Muthuvijayaragavan</w:t>
      </w:r>
      <w:proofErr w:type="spellEnd"/>
      <w:r w:rsidRPr="009F3B8B">
        <w:rPr>
          <w:rFonts w:ascii="Arial" w:hAnsi="Arial" w:cs="Arial"/>
          <w:sz w:val="20"/>
          <w:szCs w:val="20"/>
        </w:rPr>
        <w:t xml:space="preserve"> and </w:t>
      </w:r>
      <w:proofErr w:type="spellStart"/>
      <w:r w:rsidRPr="009F3B8B">
        <w:rPr>
          <w:rFonts w:ascii="Arial" w:hAnsi="Arial" w:cs="Arial"/>
          <w:sz w:val="20"/>
          <w:szCs w:val="20"/>
        </w:rPr>
        <w:t>Murugan</w:t>
      </w:r>
      <w:proofErr w:type="spellEnd"/>
      <w:r w:rsidRPr="009F3B8B">
        <w:rPr>
          <w:rFonts w:ascii="Arial" w:hAnsi="Arial" w:cs="Arial"/>
          <w:sz w:val="20"/>
          <w:szCs w:val="20"/>
        </w:rPr>
        <w:t xml:space="preserve"> (2020),</w:t>
      </w:r>
      <w:r w:rsidR="009F3B8B">
        <w:rPr>
          <w:rFonts w:ascii="Arial" w:hAnsi="Arial" w:cs="Arial"/>
          <w:sz w:val="20"/>
          <w:szCs w:val="20"/>
        </w:rPr>
        <w:t xml:space="preserve"> </w:t>
      </w:r>
      <w:r w:rsidRPr="009F3B8B">
        <w:rPr>
          <w:rFonts w:ascii="Arial" w:hAnsi="Arial" w:cs="Arial"/>
          <w:sz w:val="20"/>
          <w:szCs w:val="20"/>
        </w:rPr>
        <w:t>Manohara</w:t>
      </w:r>
      <w:r w:rsidR="00C37E3A" w:rsidRPr="009F3B8B">
        <w:rPr>
          <w:rFonts w:ascii="Arial" w:hAnsi="Arial" w:cs="Arial"/>
          <w:sz w:val="20"/>
          <w:szCs w:val="20"/>
        </w:rPr>
        <w:t xml:space="preserve"> </w:t>
      </w:r>
      <w:r w:rsidRPr="009F3B8B">
        <w:rPr>
          <w:rFonts w:ascii="Arial" w:hAnsi="Arial" w:cs="Arial"/>
          <w:i/>
          <w:iCs/>
          <w:sz w:val="20"/>
          <w:szCs w:val="20"/>
        </w:rPr>
        <w:t>et al.</w:t>
      </w:r>
      <w:r w:rsidRPr="009F3B8B">
        <w:rPr>
          <w:rFonts w:ascii="Arial" w:hAnsi="Arial" w:cs="Arial"/>
          <w:sz w:val="20"/>
          <w:szCs w:val="20"/>
        </w:rPr>
        <w:t xml:space="preserve"> (2020) and Kumar </w:t>
      </w:r>
      <w:r w:rsidRPr="009F3B8B">
        <w:rPr>
          <w:rFonts w:ascii="Arial" w:hAnsi="Arial" w:cs="Arial"/>
          <w:i/>
          <w:iCs/>
          <w:sz w:val="20"/>
          <w:szCs w:val="20"/>
        </w:rPr>
        <w:t>et al.</w:t>
      </w:r>
      <w:r w:rsidRPr="009F3B8B">
        <w:rPr>
          <w:rFonts w:ascii="Arial" w:hAnsi="Arial" w:cs="Arial"/>
          <w:sz w:val="20"/>
          <w:szCs w:val="20"/>
        </w:rPr>
        <w:t xml:space="preserve"> (2023), Nandini </w:t>
      </w:r>
      <w:r w:rsidRPr="009F3B8B">
        <w:rPr>
          <w:rFonts w:ascii="Arial" w:hAnsi="Arial" w:cs="Arial"/>
          <w:i/>
          <w:iCs/>
          <w:sz w:val="20"/>
          <w:szCs w:val="20"/>
        </w:rPr>
        <w:t>et al.</w:t>
      </w:r>
      <w:r w:rsidRPr="009F3B8B">
        <w:rPr>
          <w:rFonts w:ascii="Arial" w:hAnsi="Arial" w:cs="Arial"/>
          <w:sz w:val="20"/>
          <w:szCs w:val="20"/>
        </w:rPr>
        <w:t xml:space="preserve"> (2025) and </w:t>
      </w:r>
      <w:r w:rsidR="00846642" w:rsidRPr="009F3B8B">
        <w:rPr>
          <w:rFonts w:ascii="Arial" w:hAnsi="Arial" w:cs="Arial"/>
          <w:sz w:val="20"/>
          <w:szCs w:val="20"/>
        </w:rPr>
        <w:t xml:space="preserve">Praveena </w:t>
      </w:r>
      <w:r w:rsidRPr="009F3B8B">
        <w:rPr>
          <w:rFonts w:ascii="Arial" w:hAnsi="Arial" w:cs="Arial"/>
          <w:i/>
          <w:iCs/>
          <w:sz w:val="20"/>
          <w:szCs w:val="20"/>
        </w:rPr>
        <w:t>et al.</w:t>
      </w:r>
      <w:r w:rsidRPr="009F3B8B">
        <w:rPr>
          <w:rFonts w:ascii="Arial" w:hAnsi="Arial" w:cs="Arial"/>
          <w:sz w:val="20"/>
          <w:szCs w:val="20"/>
        </w:rPr>
        <w:t xml:space="preserve"> (2025). Conversely, the negative direct effect on yield was also registered in the current study which was in accordance with previous studies of Karim </w:t>
      </w:r>
      <w:r w:rsidRPr="009F3B8B">
        <w:rPr>
          <w:rFonts w:ascii="Arial" w:hAnsi="Arial" w:cs="Arial"/>
          <w:i/>
          <w:iCs/>
          <w:sz w:val="20"/>
          <w:szCs w:val="20"/>
        </w:rPr>
        <w:t>et al.</w:t>
      </w:r>
      <w:r w:rsidRPr="009F3B8B">
        <w:rPr>
          <w:rFonts w:ascii="Arial" w:hAnsi="Arial" w:cs="Arial"/>
          <w:sz w:val="20"/>
          <w:szCs w:val="20"/>
        </w:rPr>
        <w:t xml:space="preserve"> (2014), Singh </w:t>
      </w:r>
      <w:r w:rsidRPr="009F3B8B">
        <w:rPr>
          <w:rFonts w:ascii="Arial" w:hAnsi="Arial" w:cs="Arial"/>
          <w:i/>
          <w:iCs/>
          <w:sz w:val="20"/>
          <w:szCs w:val="20"/>
        </w:rPr>
        <w:t>et al.</w:t>
      </w:r>
      <w:r w:rsidRPr="009F3B8B">
        <w:rPr>
          <w:rFonts w:ascii="Arial" w:hAnsi="Arial" w:cs="Arial"/>
          <w:sz w:val="20"/>
          <w:szCs w:val="20"/>
        </w:rPr>
        <w:t xml:space="preserve"> (2016), Tripathi </w:t>
      </w:r>
      <w:r w:rsidRPr="009F3B8B">
        <w:rPr>
          <w:rFonts w:ascii="Arial" w:hAnsi="Arial" w:cs="Arial"/>
          <w:i/>
          <w:iCs/>
          <w:sz w:val="20"/>
          <w:szCs w:val="20"/>
        </w:rPr>
        <w:t>et al.</w:t>
      </w:r>
      <w:r w:rsidRPr="009F3B8B">
        <w:rPr>
          <w:rFonts w:ascii="Arial" w:hAnsi="Arial" w:cs="Arial"/>
          <w:sz w:val="20"/>
          <w:szCs w:val="20"/>
        </w:rPr>
        <w:t xml:space="preserve"> (2018), Saha </w:t>
      </w:r>
      <w:r w:rsidRPr="009F3B8B">
        <w:rPr>
          <w:rFonts w:ascii="Arial" w:hAnsi="Arial" w:cs="Arial"/>
          <w:i/>
          <w:iCs/>
          <w:sz w:val="20"/>
          <w:szCs w:val="20"/>
        </w:rPr>
        <w:t>et al.</w:t>
      </w:r>
      <w:r w:rsidRPr="009F3B8B">
        <w:rPr>
          <w:rFonts w:ascii="Arial" w:hAnsi="Arial" w:cs="Arial"/>
          <w:sz w:val="20"/>
          <w:szCs w:val="20"/>
        </w:rPr>
        <w:t xml:space="preserve"> (2019), Shrivatsav </w:t>
      </w:r>
      <w:r w:rsidRPr="009F3B8B">
        <w:rPr>
          <w:rFonts w:ascii="Arial" w:hAnsi="Arial" w:cs="Arial"/>
          <w:i/>
          <w:iCs/>
          <w:sz w:val="20"/>
          <w:szCs w:val="20"/>
        </w:rPr>
        <w:t>et al.</w:t>
      </w:r>
      <w:r w:rsidRPr="009F3B8B">
        <w:rPr>
          <w:rFonts w:ascii="Arial" w:hAnsi="Arial" w:cs="Arial"/>
          <w:sz w:val="20"/>
          <w:szCs w:val="20"/>
        </w:rPr>
        <w:t xml:space="preserve"> (2020). The residual effect reflects the extent to which the considered traits account for variation in grain yield. In the present study, the residual effect was positive (0.092), suggesting that the traits included in the analysis did not fully explain the observed variability in yield. This indicates the need to explore additional morpho-physiological attributes that may contribute to enhancing grain productivity in rice.</w:t>
      </w:r>
    </w:p>
    <w:p w14:paraId="5142596D" w14:textId="6D99EA45" w:rsidR="00390CF7" w:rsidRPr="002A73DC" w:rsidRDefault="009F3B8B" w:rsidP="002A73DC">
      <w:pPr>
        <w:pStyle w:val="ListParagraph"/>
        <w:numPr>
          <w:ilvl w:val="0"/>
          <w:numId w:val="3"/>
        </w:numPr>
        <w:spacing w:after="120" w:line="360" w:lineRule="auto"/>
        <w:ind w:left="284" w:hanging="295"/>
        <w:jc w:val="both"/>
        <w:rPr>
          <w:rFonts w:ascii="Arial" w:hAnsi="Arial" w:cs="Arial"/>
          <w:b/>
          <w:bCs/>
        </w:rPr>
      </w:pPr>
      <w:r w:rsidRPr="002A73DC">
        <w:rPr>
          <w:rFonts w:ascii="Arial" w:hAnsi="Arial" w:cs="Arial"/>
          <w:b/>
          <w:bCs/>
        </w:rPr>
        <w:t>CONCLUSION</w:t>
      </w:r>
    </w:p>
    <w:p w14:paraId="796D833C" w14:textId="77777777" w:rsidR="00390CF7" w:rsidRPr="009F3B8B" w:rsidRDefault="00390CF7" w:rsidP="009F3B8B">
      <w:pPr>
        <w:spacing w:after="120" w:line="360" w:lineRule="auto"/>
        <w:ind w:firstLine="720"/>
        <w:jc w:val="both"/>
        <w:rPr>
          <w:rFonts w:ascii="Arial" w:hAnsi="Arial" w:cs="Arial"/>
          <w:sz w:val="20"/>
          <w:szCs w:val="20"/>
        </w:rPr>
      </w:pPr>
      <w:r w:rsidRPr="009F3B8B">
        <w:rPr>
          <w:rFonts w:ascii="Arial" w:hAnsi="Arial" w:cs="Arial"/>
          <w:sz w:val="20"/>
          <w:szCs w:val="20"/>
        </w:rPr>
        <w:t>Overall, the study revealed significant correlations among most of the evaluated traits, with positive associations of straw yield, flag leaf width, days to 50% flowering, total grains per panicle, fertile grains per panicle, harvest index, and productive tillers with grain yield. These traits emerge as key yield-contributing characters, suggesting that their improvement through selection could enhance grain yield in rice. In contrast, plant height and flag leaf length exhibited significant negative correlations with yield, indicating that applying simultaneous selection pressure in the opposite direction may also be beneficial. Path coefficient analysis further emphasized the strong direct effects of straw yield and harvest index, along with moderate direct contributions from productive tillers and fertile grains per panicle, underscoring their utility as selection criteria for yield improvement. The residual effect (0.092) indicated that a considerable proportion of yield variation remained unexplained by the traits studied, highlighting the importance of examining additional morpho-physiological attributes that may contribute to enhancing rice productivity.</w:t>
      </w:r>
    </w:p>
    <w:p w14:paraId="6F6BB4B3" w14:textId="77777777" w:rsidR="00802A86" w:rsidRPr="009F3B8B" w:rsidRDefault="00802A86" w:rsidP="00390CF7">
      <w:pPr>
        <w:spacing w:after="120" w:line="360" w:lineRule="auto"/>
        <w:ind w:firstLine="720"/>
        <w:jc w:val="both"/>
        <w:rPr>
          <w:rFonts w:ascii="Arial" w:hAnsi="Arial" w:cs="Arial"/>
          <w:color w:val="EE0000"/>
          <w:sz w:val="20"/>
          <w:szCs w:val="20"/>
        </w:rPr>
      </w:pPr>
      <w:bookmarkStart w:id="0" w:name="_GoBack"/>
      <w:bookmarkEnd w:id="0"/>
    </w:p>
    <w:p w14:paraId="78590E5B" w14:textId="04032692" w:rsidR="00390CF7" w:rsidRPr="005C7D2F" w:rsidRDefault="009F3B8B" w:rsidP="00390CF7">
      <w:pPr>
        <w:spacing w:after="120" w:line="360" w:lineRule="auto"/>
        <w:jc w:val="both"/>
        <w:rPr>
          <w:rFonts w:ascii="Arial" w:hAnsi="Arial" w:cs="Arial"/>
          <w:b/>
          <w:bCs/>
          <w:lang w:val="pt-BR"/>
        </w:rPr>
      </w:pPr>
      <w:r w:rsidRPr="005C7D2F">
        <w:rPr>
          <w:rFonts w:ascii="Arial" w:hAnsi="Arial" w:cs="Arial"/>
          <w:b/>
          <w:bCs/>
          <w:lang w:val="pt-BR"/>
        </w:rPr>
        <w:t>REFERENCES</w:t>
      </w:r>
    </w:p>
    <w:p w14:paraId="3D31B37C" w14:textId="6834DFB1" w:rsidR="001A59A7" w:rsidRPr="009F3B8B" w:rsidRDefault="001A59A7" w:rsidP="00390CF7">
      <w:pPr>
        <w:spacing w:after="120" w:line="360" w:lineRule="auto"/>
        <w:ind w:left="720" w:hanging="720"/>
        <w:jc w:val="both"/>
        <w:rPr>
          <w:rFonts w:ascii="Arial" w:hAnsi="Arial" w:cs="Arial"/>
          <w:bCs/>
          <w:sz w:val="20"/>
          <w:szCs w:val="20"/>
          <w:lang w:val="en-US"/>
        </w:rPr>
      </w:pPr>
      <w:r w:rsidRPr="009F3B8B">
        <w:rPr>
          <w:rFonts w:ascii="Arial" w:hAnsi="Arial" w:cs="Arial"/>
          <w:bCs/>
          <w:sz w:val="20"/>
          <w:szCs w:val="20"/>
          <w:lang w:val="pt-BR"/>
        </w:rPr>
        <w:t xml:space="preserve">Aarthi, M., Vennila, S., &amp; Palaniraja, K. (2019). </w:t>
      </w:r>
      <w:r w:rsidRPr="009F3B8B">
        <w:rPr>
          <w:rFonts w:ascii="Arial" w:hAnsi="Arial" w:cs="Arial"/>
          <w:bCs/>
          <w:sz w:val="20"/>
          <w:szCs w:val="20"/>
        </w:rPr>
        <w:t>Studies on genetic diversity of rice (Oryza sativa L.) under natural saline condition. </w:t>
      </w:r>
      <w:r w:rsidRPr="009F3B8B">
        <w:rPr>
          <w:rFonts w:ascii="Arial" w:hAnsi="Arial" w:cs="Arial"/>
          <w:bCs/>
          <w:i/>
          <w:iCs/>
          <w:sz w:val="20"/>
          <w:szCs w:val="20"/>
        </w:rPr>
        <w:t>The Pharma Innovation Journal</w:t>
      </w:r>
      <w:r w:rsidRPr="009F3B8B">
        <w:rPr>
          <w:rFonts w:ascii="Arial" w:hAnsi="Arial" w:cs="Arial"/>
          <w:bCs/>
          <w:sz w:val="20"/>
          <w:szCs w:val="20"/>
        </w:rPr>
        <w:t>, </w:t>
      </w:r>
      <w:r w:rsidRPr="009F3B8B">
        <w:rPr>
          <w:rFonts w:ascii="Arial" w:hAnsi="Arial" w:cs="Arial"/>
          <w:bCs/>
          <w:i/>
          <w:iCs/>
          <w:sz w:val="20"/>
          <w:szCs w:val="20"/>
        </w:rPr>
        <w:t>8</w:t>
      </w:r>
      <w:r w:rsidRPr="009F3B8B">
        <w:rPr>
          <w:rFonts w:ascii="Arial" w:hAnsi="Arial" w:cs="Arial"/>
          <w:bCs/>
          <w:sz w:val="20"/>
          <w:szCs w:val="20"/>
        </w:rPr>
        <w:t>(7), 524-527.</w:t>
      </w:r>
    </w:p>
    <w:p w14:paraId="781438C7" w14:textId="77777777" w:rsidR="001A59A7" w:rsidRPr="009F3B8B" w:rsidRDefault="001A59A7" w:rsidP="00390CF7">
      <w:pPr>
        <w:spacing w:after="120" w:line="360" w:lineRule="auto"/>
        <w:ind w:left="720" w:hanging="720"/>
        <w:jc w:val="both"/>
        <w:rPr>
          <w:rFonts w:ascii="Arial" w:hAnsi="Arial" w:cs="Arial"/>
          <w:bCs/>
          <w:sz w:val="20"/>
          <w:szCs w:val="20"/>
        </w:rPr>
      </w:pPr>
      <w:r w:rsidRPr="005C7D2F">
        <w:rPr>
          <w:rFonts w:ascii="Arial" w:hAnsi="Arial" w:cs="Arial"/>
          <w:bCs/>
          <w:sz w:val="20"/>
          <w:szCs w:val="20"/>
        </w:rPr>
        <w:t xml:space="preserve">Ali, S., Gautam, R. K., Mahajan, R., Krishnamurthy, S. L., &amp; Sarangi, S. K. (2013). </w:t>
      </w:r>
      <w:r w:rsidRPr="009F3B8B">
        <w:rPr>
          <w:rFonts w:ascii="Arial" w:hAnsi="Arial" w:cs="Arial"/>
          <w:bCs/>
          <w:sz w:val="20"/>
          <w:szCs w:val="20"/>
        </w:rPr>
        <w:t xml:space="preserve">Genetic variability and association analysis for grain yield components among SALTOL QTL </w:t>
      </w:r>
      <w:proofErr w:type="spellStart"/>
      <w:r w:rsidRPr="009F3B8B">
        <w:rPr>
          <w:rFonts w:ascii="Arial" w:hAnsi="Arial" w:cs="Arial"/>
          <w:bCs/>
          <w:sz w:val="20"/>
          <w:szCs w:val="20"/>
        </w:rPr>
        <w:t>introgressed</w:t>
      </w:r>
      <w:proofErr w:type="spellEnd"/>
      <w:r w:rsidRPr="009F3B8B">
        <w:rPr>
          <w:rFonts w:ascii="Arial" w:hAnsi="Arial" w:cs="Arial"/>
          <w:bCs/>
          <w:sz w:val="20"/>
          <w:szCs w:val="20"/>
        </w:rPr>
        <w:t xml:space="preserve"> rice genotypes under normal and environments. </w:t>
      </w:r>
      <w:r w:rsidRPr="009F3B8B">
        <w:rPr>
          <w:rFonts w:ascii="Arial" w:hAnsi="Arial" w:cs="Arial"/>
          <w:bCs/>
          <w:i/>
          <w:iCs/>
          <w:sz w:val="20"/>
          <w:szCs w:val="20"/>
        </w:rPr>
        <w:t>J. Indian Soc. Coastal agric. Res</w:t>
      </w:r>
      <w:r w:rsidRPr="009F3B8B">
        <w:rPr>
          <w:rFonts w:ascii="Arial" w:hAnsi="Arial" w:cs="Arial"/>
          <w:bCs/>
          <w:sz w:val="20"/>
          <w:szCs w:val="20"/>
        </w:rPr>
        <w:t>, </w:t>
      </w:r>
      <w:r w:rsidRPr="009F3B8B">
        <w:rPr>
          <w:rFonts w:ascii="Arial" w:hAnsi="Arial" w:cs="Arial"/>
          <w:bCs/>
          <w:i/>
          <w:iCs/>
          <w:sz w:val="20"/>
          <w:szCs w:val="20"/>
        </w:rPr>
        <w:t>31</w:t>
      </w:r>
      <w:r w:rsidRPr="009F3B8B">
        <w:rPr>
          <w:rFonts w:ascii="Arial" w:hAnsi="Arial" w:cs="Arial"/>
          <w:bCs/>
          <w:sz w:val="20"/>
          <w:szCs w:val="20"/>
        </w:rPr>
        <w:t>(1), 34-40.</w:t>
      </w:r>
    </w:p>
    <w:p w14:paraId="38ACCD22" w14:textId="087116B3" w:rsidR="00C37E3A" w:rsidRPr="009F3B8B" w:rsidRDefault="00C37E3A" w:rsidP="00C37E3A">
      <w:pPr>
        <w:spacing w:after="120" w:line="360" w:lineRule="auto"/>
        <w:ind w:left="720" w:hanging="720"/>
        <w:jc w:val="both"/>
        <w:rPr>
          <w:rFonts w:ascii="Arial" w:hAnsi="Arial" w:cs="Arial"/>
          <w:sz w:val="20"/>
          <w:szCs w:val="20"/>
        </w:rPr>
      </w:pPr>
      <w:r w:rsidRPr="009F3B8B">
        <w:rPr>
          <w:rFonts w:ascii="Arial" w:hAnsi="Arial" w:cs="Arial"/>
          <w:sz w:val="20"/>
          <w:szCs w:val="20"/>
        </w:rPr>
        <w:t xml:space="preserve">Darko, A.M., Danquah, E.O., </w:t>
      </w:r>
      <w:proofErr w:type="spellStart"/>
      <w:r w:rsidRPr="009F3B8B">
        <w:rPr>
          <w:rFonts w:ascii="Arial" w:hAnsi="Arial" w:cs="Arial"/>
          <w:sz w:val="20"/>
          <w:szCs w:val="20"/>
        </w:rPr>
        <w:t>Dormatey</w:t>
      </w:r>
      <w:proofErr w:type="spellEnd"/>
      <w:r w:rsidRPr="009F3B8B">
        <w:rPr>
          <w:rFonts w:ascii="Arial" w:hAnsi="Arial" w:cs="Arial"/>
          <w:sz w:val="20"/>
          <w:szCs w:val="20"/>
        </w:rPr>
        <w:t xml:space="preserve">, R., Keteku, A.K., Frimpong, F., </w:t>
      </w:r>
      <w:proofErr w:type="spellStart"/>
      <w:r w:rsidRPr="009F3B8B">
        <w:rPr>
          <w:rFonts w:ascii="Arial" w:hAnsi="Arial" w:cs="Arial"/>
          <w:sz w:val="20"/>
          <w:szCs w:val="20"/>
        </w:rPr>
        <w:t>Adjah</w:t>
      </w:r>
      <w:proofErr w:type="spellEnd"/>
      <w:r w:rsidRPr="009F3B8B">
        <w:rPr>
          <w:rFonts w:ascii="Arial" w:hAnsi="Arial" w:cs="Arial"/>
          <w:sz w:val="20"/>
          <w:szCs w:val="20"/>
        </w:rPr>
        <w:t>, K.L., Osei-</w:t>
      </w:r>
      <w:proofErr w:type="spellStart"/>
      <w:r w:rsidRPr="009F3B8B">
        <w:rPr>
          <w:rFonts w:ascii="Arial" w:hAnsi="Arial" w:cs="Arial"/>
          <w:sz w:val="20"/>
          <w:szCs w:val="20"/>
        </w:rPr>
        <w:t>Wusu</w:t>
      </w:r>
      <w:proofErr w:type="spellEnd"/>
      <w:r w:rsidRPr="009F3B8B">
        <w:rPr>
          <w:rFonts w:ascii="Arial" w:hAnsi="Arial" w:cs="Arial"/>
          <w:sz w:val="20"/>
          <w:szCs w:val="20"/>
        </w:rPr>
        <w:t xml:space="preserve">, M.O., </w:t>
      </w:r>
      <w:proofErr w:type="spellStart"/>
      <w:r w:rsidRPr="009F3B8B">
        <w:rPr>
          <w:rFonts w:ascii="Arial" w:hAnsi="Arial" w:cs="Arial"/>
          <w:sz w:val="20"/>
          <w:szCs w:val="20"/>
        </w:rPr>
        <w:t>Ayamba</w:t>
      </w:r>
      <w:proofErr w:type="spellEnd"/>
      <w:r w:rsidRPr="009F3B8B">
        <w:rPr>
          <w:rFonts w:ascii="Arial" w:hAnsi="Arial" w:cs="Arial"/>
          <w:sz w:val="20"/>
          <w:szCs w:val="20"/>
        </w:rPr>
        <w:t>, B.E., Ofosu, K.A., Dankwa, K.O., &amp; Danquah, F.O.</w:t>
      </w:r>
      <w:r w:rsidR="001A59A7" w:rsidRPr="009F3B8B">
        <w:rPr>
          <w:rFonts w:ascii="Arial" w:hAnsi="Arial" w:cs="Arial"/>
          <w:sz w:val="20"/>
          <w:szCs w:val="20"/>
        </w:rPr>
        <w:t xml:space="preserve"> (2025). Global rice production: Current status, challenges, and future scenarios. In </w:t>
      </w:r>
      <w:r w:rsidR="001A59A7" w:rsidRPr="009F3B8B">
        <w:rPr>
          <w:rFonts w:ascii="Arial" w:hAnsi="Arial" w:cs="Arial"/>
          <w:i/>
          <w:iCs/>
          <w:sz w:val="20"/>
          <w:szCs w:val="20"/>
        </w:rPr>
        <w:t>Rice Cultivation Under Abiotic Stress</w:t>
      </w:r>
      <w:r w:rsidRPr="009F3B8B">
        <w:rPr>
          <w:rFonts w:ascii="Arial" w:hAnsi="Arial" w:cs="Arial"/>
          <w:i/>
          <w:iCs/>
          <w:sz w:val="20"/>
          <w:szCs w:val="20"/>
        </w:rPr>
        <w:t>,</w:t>
      </w:r>
      <w:r w:rsidR="001A59A7" w:rsidRPr="009F3B8B">
        <w:rPr>
          <w:rFonts w:ascii="Arial" w:hAnsi="Arial" w:cs="Arial"/>
          <w:sz w:val="20"/>
          <w:szCs w:val="20"/>
        </w:rPr>
        <w:t> 3-21. Academic Press.</w:t>
      </w:r>
    </w:p>
    <w:p w14:paraId="0E46A182"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t>Dewey, D. R., &amp; Lu, K. (1959). A correlation and path</w:t>
      </w:r>
      <w:r w:rsidRPr="009F3B8B">
        <w:rPr>
          <w:rFonts w:ascii="Cambria Math" w:hAnsi="Cambria Math" w:cs="Cambria Math"/>
          <w:sz w:val="20"/>
          <w:szCs w:val="20"/>
        </w:rPr>
        <w:t>‐</w:t>
      </w:r>
      <w:r w:rsidRPr="009F3B8B">
        <w:rPr>
          <w:rFonts w:ascii="Arial" w:hAnsi="Arial" w:cs="Arial"/>
          <w:sz w:val="20"/>
          <w:szCs w:val="20"/>
        </w:rPr>
        <w:t>coefficient analysis of components of crested wheatgrass seed production 1. </w:t>
      </w:r>
      <w:r w:rsidRPr="009F3B8B">
        <w:rPr>
          <w:rFonts w:ascii="Arial" w:hAnsi="Arial" w:cs="Arial"/>
          <w:i/>
          <w:iCs/>
          <w:sz w:val="20"/>
          <w:szCs w:val="20"/>
        </w:rPr>
        <w:t>Agronomy journal</w:t>
      </w:r>
      <w:r w:rsidRPr="009F3B8B">
        <w:rPr>
          <w:rFonts w:ascii="Arial" w:hAnsi="Arial" w:cs="Arial"/>
          <w:sz w:val="20"/>
          <w:szCs w:val="20"/>
        </w:rPr>
        <w:t>, </w:t>
      </w:r>
      <w:r w:rsidRPr="009F3B8B">
        <w:rPr>
          <w:rFonts w:ascii="Arial" w:hAnsi="Arial" w:cs="Arial"/>
          <w:i/>
          <w:iCs/>
          <w:sz w:val="20"/>
          <w:szCs w:val="20"/>
        </w:rPr>
        <w:t>51</w:t>
      </w:r>
      <w:r w:rsidRPr="009F3B8B">
        <w:rPr>
          <w:rFonts w:ascii="Arial" w:hAnsi="Arial" w:cs="Arial"/>
          <w:sz w:val="20"/>
          <w:szCs w:val="20"/>
        </w:rPr>
        <w:t>(9), 515-518.</w:t>
      </w:r>
    </w:p>
    <w:p w14:paraId="685B3ACA"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lastRenderedPageBreak/>
        <w:t>Durand-Morat, A., &amp; Mulimbi, W. (2024). International Rice Outlook: International Rice Baseline Projections 2023-2033.</w:t>
      </w:r>
    </w:p>
    <w:p w14:paraId="3BF50580"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t>Falconer, D. S. (1996). </w:t>
      </w:r>
      <w:r w:rsidRPr="009F3B8B">
        <w:rPr>
          <w:rFonts w:ascii="Arial" w:hAnsi="Arial" w:cs="Arial"/>
          <w:i/>
          <w:iCs/>
          <w:sz w:val="20"/>
          <w:szCs w:val="20"/>
        </w:rPr>
        <w:t>Introduction to quantitative genetics</w:t>
      </w:r>
      <w:r w:rsidRPr="009F3B8B">
        <w:rPr>
          <w:rFonts w:ascii="Arial" w:hAnsi="Arial" w:cs="Arial"/>
          <w:sz w:val="20"/>
          <w:szCs w:val="20"/>
        </w:rPr>
        <w:t>. Pearson Education India.</w:t>
      </w:r>
    </w:p>
    <w:p w14:paraId="26360336"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t>Glauber, J. W., &amp; Mamun, A. (2024). Global rice market: Current outlook and future prospects.</w:t>
      </w:r>
    </w:p>
    <w:p w14:paraId="665128AF" w14:textId="62530AE1" w:rsidR="00220BF4" w:rsidRPr="009F3B8B" w:rsidRDefault="00220BF4" w:rsidP="00390CF7">
      <w:pPr>
        <w:spacing w:after="120" w:line="360" w:lineRule="auto"/>
        <w:ind w:left="720" w:hanging="720"/>
        <w:jc w:val="both"/>
        <w:rPr>
          <w:rFonts w:ascii="Arial" w:hAnsi="Arial" w:cs="Arial"/>
          <w:sz w:val="20"/>
          <w:szCs w:val="20"/>
          <w:lang w:val="en-US"/>
        </w:rPr>
      </w:pPr>
      <w:r w:rsidRPr="009F3B8B">
        <w:rPr>
          <w:rFonts w:ascii="Arial" w:hAnsi="Arial" w:cs="Arial"/>
          <w:sz w:val="20"/>
          <w:szCs w:val="20"/>
        </w:rPr>
        <w:t>Grafius, J. E. (1956). Components of yield in oats: a geometrical interpretation 1. </w:t>
      </w:r>
      <w:r w:rsidRPr="009F3B8B">
        <w:rPr>
          <w:rFonts w:ascii="Arial" w:hAnsi="Arial" w:cs="Arial"/>
          <w:i/>
          <w:iCs/>
          <w:sz w:val="20"/>
          <w:szCs w:val="20"/>
        </w:rPr>
        <w:t>Agronomy Journal</w:t>
      </w:r>
      <w:r w:rsidRPr="009F3B8B">
        <w:rPr>
          <w:rFonts w:ascii="Arial" w:hAnsi="Arial" w:cs="Arial"/>
          <w:sz w:val="20"/>
          <w:szCs w:val="20"/>
        </w:rPr>
        <w:t>, </w:t>
      </w:r>
      <w:r w:rsidRPr="009F3B8B">
        <w:rPr>
          <w:rFonts w:ascii="Arial" w:hAnsi="Arial" w:cs="Arial"/>
          <w:i/>
          <w:iCs/>
          <w:sz w:val="20"/>
          <w:szCs w:val="20"/>
        </w:rPr>
        <w:t>48</w:t>
      </w:r>
      <w:r w:rsidRPr="009F3B8B">
        <w:rPr>
          <w:rFonts w:ascii="Arial" w:hAnsi="Arial" w:cs="Arial"/>
          <w:sz w:val="20"/>
          <w:szCs w:val="20"/>
        </w:rPr>
        <w:t>(9), 419-423.</w:t>
      </w:r>
    </w:p>
    <w:p w14:paraId="312E9589" w14:textId="77C1F140" w:rsidR="00390CF7" w:rsidRPr="009F3B8B" w:rsidRDefault="00390CF7" w:rsidP="00390CF7">
      <w:pPr>
        <w:spacing w:after="120" w:line="360" w:lineRule="auto"/>
        <w:ind w:left="720" w:hanging="720"/>
        <w:jc w:val="both"/>
        <w:rPr>
          <w:rFonts w:ascii="Arial" w:hAnsi="Arial" w:cs="Arial"/>
          <w:sz w:val="20"/>
          <w:szCs w:val="20"/>
        </w:rPr>
      </w:pPr>
      <w:proofErr w:type="spellStart"/>
      <w:r w:rsidRPr="009F3B8B">
        <w:rPr>
          <w:rFonts w:ascii="Arial" w:hAnsi="Arial" w:cs="Arial"/>
          <w:sz w:val="20"/>
          <w:szCs w:val="20"/>
          <w:lang w:val="en-US"/>
        </w:rPr>
        <w:t>Indiastat</w:t>
      </w:r>
      <w:proofErr w:type="spellEnd"/>
      <w:r w:rsidR="006E4415" w:rsidRPr="009F3B8B">
        <w:rPr>
          <w:rFonts w:ascii="Arial" w:hAnsi="Arial" w:cs="Arial"/>
          <w:sz w:val="20"/>
          <w:szCs w:val="20"/>
          <w:lang w:val="en-US"/>
        </w:rPr>
        <w:t>.</w:t>
      </w:r>
      <w:r w:rsidRPr="009F3B8B">
        <w:rPr>
          <w:rFonts w:ascii="Arial" w:hAnsi="Arial" w:cs="Arial"/>
          <w:sz w:val="20"/>
          <w:szCs w:val="20"/>
          <w:lang w:val="en-US"/>
        </w:rPr>
        <w:t xml:space="preserve"> </w:t>
      </w:r>
      <w:r w:rsidR="006E4415" w:rsidRPr="009F3B8B">
        <w:rPr>
          <w:rFonts w:ascii="Arial" w:hAnsi="Arial" w:cs="Arial"/>
          <w:sz w:val="20"/>
          <w:szCs w:val="20"/>
          <w:lang w:val="en-US"/>
        </w:rPr>
        <w:t>(</w:t>
      </w:r>
      <w:r w:rsidRPr="009F3B8B">
        <w:rPr>
          <w:rFonts w:ascii="Arial" w:hAnsi="Arial" w:cs="Arial"/>
          <w:sz w:val="20"/>
          <w:szCs w:val="20"/>
          <w:lang w:val="en-US"/>
        </w:rPr>
        <w:t>2024</w:t>
      </w:r>
      <w:r w:rsidR="006E4415" w:rsidRPr="009F3B8B">
        <w:rPr>
          <w:rFonts w:ascii="Arial" w:hAnsi="Arial" w:cs="Arial"/>
          <w:sz w:val="20"/>
          <w:szCs w:val="20"/>
          <w:lang w:val="en-US"/>
        </w:rPr>
        <w:t>)</w:t>
      </w:r>
      <w:r w:rsidRPr="009F3B8B">
        <w:rPr>
          <w:rFonts w:ascii="Arial" w:hAnsi="Arial" w:cs="Arial"/>
          <w:sz w:val="20"/>
          <w:szCs w:val="20"/>
          <w:lang w:val="en-US"/>
        </w:rPr>
        <w:t>. Agricultural Production Statistics of India: 2023-24. </w:t>
      </w:r>
      <w:hyperlink r:id="rId7" w:tgtFrame="_blank" w:history="1">
        <w:r w:rsidRPr="009F3B8B">
          <w:rPr>
            <w:rStyle w:val="Hyperlink"/>
            <w:rFonts w:ascii="Arial" w:hAnsi="Arial" w:cs="Arial"/>
            <w:sz w:val="20"/>
            <w:szCs w:val="20"/>
            <w:lang w:val="en-US"/>
          </w:rPr>
          <w:t>https://www.indiastat.com/data/agriculture</w:t>
        </w:r>
      </w:hyperlink>
      <w:r w:rsidRPr="009F3B8B">
        <w:rPr>
          <w:rFonts w:ascii="Arial" w:hAnsi="Arial" w:cs="Arial"/>
          <w:sz w:val="20"/>
          <w:szCs w:val="20"/>
          <w:lang w:val="en-US"/>
        </w:rPr>
        <w:t>.</w:t>
      </w:r>
    </w:p>
    <w:p w14:paraId="33FF5267" w14:textId="77777777" w:rsidR="00220BF4" w:rsidRPr="009F3B8B" w:rsidRDefault="00220BF4" w:rsidP="00390CF7">
      <w:pPr>
        <w:spacing w:after="120" w:line="360" w:lineRule="auto"/>
        <w:ind w:left="720" w:hanging="720"/>
        <w:jc w:val="both"/>
        <w:rPr>
          <w:rFonts w:ascii="Arial" w:eastAsia="Times New Roman" w:hAnsi="Arial" w:cs="Arial"/>
          <w:bCs/>
          <w:sz w:val="20"/>
          <w:szCs w:val="20"/>
        </w:rPr>
      </w:pPr>
      <w:r w:rsidRPr="009F3B8B">
        <w:rPr>
          <w:rFonts w:ascii="Arial" w:eastAsia="Times New Roman" w:hAnsi="Arial" w:cs="Arial"/>
          <w:bCs/>
          <w:sz w:val="20"/>
          <w:szCs w:val="20"/>
        </w:rPr>
        <w:t>Karim, D., Siddique, M. N. A., Sarkar, U., Hasnat, Z., &amp; Sultana, J. (2014). Phenotypic and genotypic correlation co-efficient of quantitative characters and character association of aromatic rice. </w:t>
      </w:r>
      <w:r w:rsidRPr="009F3B8B">
        <w:rPr>
          <w:rFonts w:ascii="Arial" w:eastAsia="Times New Roman" w:hAnsi="Arial" w:cs="Arial"/>
          <w:bCs/>
          <w:i/>
          <w:iCs/>
          <w:sz w:val="20"/>
          <w:szCs w:val="20"/>
        </w:rPr>
        <w:t>Journal of Bioscience and Agriculture Research</w:t>
      </w:r>
      <w:r w:rsidRPr="009F3B8B">
        <w:rPr>
          <w:rFonts w:ascii="Arial" w:eastAsia="Times New Roman" w:hAnsi="Arial" w:cs="Arial"/>
          <w:bCs/>
          <w:sz w:val="20"/>
          <w:szCs w:val="20"/>
        </w:rPr>
        <w:t>, </w:t>
      </w:r>
      <w:r w:rsidRPr="009F3B8B">
        <w:rPr>
          <w:rFonts w:ascii="Arial" w:eastAsia="Times New Roman" w:hAnsi="Arial" w:cs="Arial"/>
          <w:bCs/>
          <w:i/>
          <w:iCs/>
          <w:sz w:val="20"/>
          <w:szCs w:val="20"/>
        </w:rPr>
        <w:t>1</w:t>
      </w:r>
      <w:r w:rsidRPr="009F3B8B">
        <w:rPr>
          <w:rFonts w:ascii="Arial" w:eastAsia="Times New Roman" w:hAnsi="Arial" w:cs="Arial"/>
          <w:bCs/>
          <w:sz w:val="20"/>
          <w:szCs w:val="20"/>
        </w:rPr>
        <w:t>(1), 34-46.</w:t>
      </w:r>
    </w:p>
    <w:p w14:paraId="3CAF3BC8"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t>Khush, G. S. (2005). What it will take to feed 5.0 billion rice consumers in 2030. </w:t>
      </w:r>
      <w:r w:rsidRPr="009F3B8B">
        <w:rPr>
          <w:rFonts w:ascii="Arial" w:hAnsi="Arial" w:cs="Arial"/>
          <w:i/>
          <w:iCs/>
          <w:sz w:val="20"/>
          <w:szCs w:val="20"/>
        </w:rPr>
        <w:t>Plant molecular biology</w:t>
      </w:r>
      <w:r w:rsidRPr="009F3B8B">
        <w:rPr>
          <w:rFonts w:ascii="Arial" w:hAnsi="Arial" w:cs="Arial"/>
          <w:sz w:val="20"/>
          <w:szCs w:val="20"/>
        </w:rPr>
        <w:t>, </w:t>
      </w:r>
      <w:r w:rsidRPr="009F3B8B">
        <w:rPr>
          <w:rFonts w:ascii="Arial" w:hAnsi="Arial" w:cs="Arial"/>
          <w:i/>
          <w:iCs/>
          <w:sz w:val="20"/>
          <w:szCs w:val="20"/>
        </w:rPr>
        <w:t>59</w:t>
      </w:r>
      <w:r w:rsidRPr="009F3B8B">
        <w:rPr>
          <w:rFonts w:ascii="Arial" w:hAnsi="Arial" w:cs="Arial"/>
          <w:sz w:val="20"/>
          <w:szCs w:val="20"/>
        </w:rPr>
        <w:t>(1), 1-6.</w:t>
      </w:r>
    </w:p>
    <w:p w14:paraId="56029DE2" w14:textId="56DAB0D1" w:rsidR="00220BF4" w:rsidRPr="009F3B8B" w:rsidRDefault="00220BF4" w:rsidP="00390CF7">
      <w:pPr>
        <w:spacing w:after="120" w:line="360" w:lineRule="auto"/>
        <w:ind w:left="720" w:hanging="720"/>
        <w:jc w:val="both"/>
        <w:rPr>
          <w:rFonts w:ascii="Arial" w:hAnsi="Arial" w:cs="Arial"/>
          <w:bCs/>
          <w:sz w:val="20"/>
          <w:szCs w:val="20"/>
          <w:lang w:val="en-US"/>
        </w:rPr>
      </w:pPr>
      <w:r w:rsidRPr="009F3B8B">
        <w:rPr>
          <w:rFonts w:ascii="Arial" w:hAnsi="Arial" w:cs="Arial"/>
          <w:bCs/>
          <w:sz w:val="20"/>
          <w:szCs w:val="20"/>
        </w:rPr>
        <w:t>Kiran, A. K., Sharma, D. J., Subbarao, L. V., Gireesh, C., &amp; Agrawal, A. P. (2023). Correlation coefficient and path coefficient analysis for yield, yield attributing traits and nutritional traits in rice genotypes. </w:t>
      </w:r>
      <w:r w:rsidRPr="009F3B8B">
        <w:rPr>
          <w:rFonts w:ascii="Arial" w:hAnsi="Arial" w:cs="Arial"/>
          <w:bCs/>
          <w:i/>
          <w:iCs/>
          <w:sz w:val="20"/>
          <w:szCs w:val="20"/>
        </w:rPr>
        <w:t>The Pharma Innovation Journal</w:t>
      </w:r>
      <w:r w:rsidRPr="009F3B8B">
        <w:rPr>
          <w:rFonts w:ascii="Arial" w:hAnsi="Arial" w:cs="Arial"/>
          <w:bCs/>
          <w:sz w:val="20"/>
          <w:szCs w:val="20"/>
        </w:rPr>
        <w:t>, </w:t>
      </w:r>
      <w:r w:rsidRPr="009F3B8B">
        <w:rPr>
          <w:rFonts w:ascii="Arial" w:hAnsi="Arial" w:cs="Arial"/>
          <w:bCs/>
          <w:i/>
          <w:iCs/>
          <w:sz w:val="20"/>
          <w:szCs w:val="20"/>
        </w:rPr>
        <w:t>12</w:t>
      </w:r>
      <w:r w:rsidRPr="009F3B8B">
        <w:rPr>
          <w:rFonts w:ascii="Arial" w:hAnsi="Arial" w:cs="Arial"/>
          <w:bCs/>
          <w:sz w:val="20"/>
          <w:szCs w:val="20"/>
        </w:rPr>
        <w:t>(2), 1978-1983.</w:t>
      </w:r>
    </w:p>
    <w:p w14:paraId="026F390E" w14:textId="255AE4CB" w:rsidR="00220BF4" w:rsidRPr="009F3B8B" w:rsidRDefault="00220BF4" w:rsidP="00390CF7">
      <w:pPr>
        <w:spacing w:after="120" w:line="360" w:lineRule="auto"/>
        <w:ind w:left="720" w:hanging="720"/>
        <w:jc w:val="both"/>
        <w:rPr>
          <w:rFonts w:ascii="Arial" w:hAnsi="Arial" w:cs="Arial"/>
          <w:bCs/>
          <w:sz w:val="20"/>
          <w:szCs w:val="20"/>
          <w:lang w:val="en-US"/>
        </w:rPr>
      </w:pPr>
      <w:r w:rsidRPr="009F3B8B">
        <w:rPr>
          <w:rFonts w:ascii="Arial" w:hAnsi="Arial" w:cs="Arial"/>
          <w:bCs/>
          <w:sz w:val="20"/>
          <w:szCs w:val="20"/>
        </w:rPr>
        <w:t xml:space="preserve">Kumar, P. A. S., </w:t>
      </w:r>
      <w:proofErr w:type="spellStart"/>
      <w:r w:rsidRPr="009F3B8B">
        <w:rPr>
          <w:rFonts w:ascii="Arial" w:hAnsi="Arial" w:cs="Arial"/>
          <w:bCs/>
          <w:sz w:val="20"/>
          <w:szCs w:val="20"/>
        </w:rPr>
        <w:t>Delvadiya</w:t>
      </w:r>
      <w:proofErr w:type="spellEnd"/>
      <w:r w:rsidRPr="009F3B8B">
        <w:rPr>
          <w:rFonts w:ascii="Arial" w:hAnsi="Arial" w:cs="Arial"/>
          <w:bCs/>
          <w:sz w:val="20"/>
          <w:szCs w:val="20"/>
        </w:rPr>
        <w:t xml:space="preserve">, I. R., Murali, S., &amp; </w:t>
      </w:r>
      <w:proofErr w:type="spellStart"/>
      <w:r w:rsidRPr="009F3B8B">
        <w:rPr>
          <w:rFonts w:ascii="Arial" w:hAnsi="Arial" w:cs="Arial"/>
          <w:bCs/>
          <w:sz w:val="20"/>
          <w:szCs w:val="20"/>
        </w:rPr>
        <w:t>Ginoya</w:t>
      </w:r>
      <w:proofErr w:type="spellEnd"/>
      <w:r w:rsidRPr="009F3B8B">
        <w:rPr>
          <w:rFonts w:ascii="Arial" w:hAnsi="Arial" w:cs="Arial"/>
          <w:bCs/>
          <w:sz w:val="20"/>
          <w:szCs w:val="20"/>
        </w:rPr>
        <w:t xml:space="preserve">, A. V. (2023). </w:t>
      </w:r>
      <w:proofErr w:type="spellStart"/>
      <w:r w:rsidRPr="009F3B8B">
        <w:rPr>
          <w:rFonts w:ascii="Arial" w:hAnsi="Arial" w:cs="Arial"/>
          <w:bCs/>
          <w:sz w:val="20"/>
          <w:szCs w:val="20"/>
        </w:rPr>
        <w:t>Unraveling</w:t>
      </w:r>
      <w:proofErr w:type="spellEnd"/>
      <w:r w:rsidRPr="009F3B8B">
        <w:rPr>
          <w:rFonts w:ascii="Arial" w:hAnsi="Arial" w:cs="Arial"/>
          <w:bCs/>
          <w:sz w:val="20"/>
          <w:szCs w:val="20"/>
        </w:rPr>
        <w:t xml:space="preserve"> the genetic architecture of rice (Oryza sativa L.) using variability, correlation, path analysis and diversity analysis: Insights for crop improvement strategies. </w:t>
      </w:r>
      <w:r w:rsidRPr="009F3B8B">
        <w:rPr>
          <w:rFonts w:ascii="Arial" w:hAnsi="Arial" w:cs="Arial"/>
          <w:bCs/>
          <w:i/>
          <w:iCs/>
          <w:sz w:val="20"/>
          <w:szCs w:val="20"/>
        </w:rPr>
        <w:t>International Journal of Plant &amp; Soil Science</w:t>
      </w:r>
      <w:r w:rsidRPr="009F3B8B">
        <w:rPr>
          <w:rFonts w:ascii="Arial" w:hAnsi="Arial" w:cs="Arial"/>
          <w:bCs/>
          <w:sz w:val="20"/>
          <w:szCs w:val="20"/>
        </w:rPr>
        <w:t>, </w:t>
      </w:r>
      <w:r w:rsidRPr="009F3B8B">
        <w:rPr>
          <w:rFonts w:ascii="Arial" w:hAnsi="Arial" w:cs="Arial"/>
          <w:bCs/>
          <w:i/>
          <w:iCs/>
          <w:sz w:val="20"/>
          <w:szCs w:val="20"/>
        </w:rPr>
        <w:t>35</w:t>
      </w:r>
      <w:r w:rsidRPr="009F3B8B">
        <w:rPr>
          <w:rFonts w:ascii="Arial" w:hAnsi="Arial" w:cs="Arial"/>
          <w:bCs/>
          <w:sz w:val="20"/>
          <w:szCs w:val="20"/>
        </w:rPr>
        <w:t>(15), 32-39.</w:t>
      </w:r>
    </w:p>
    <w:p w14:paraId="4008105B"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t>Lenka, D., and P. K. Misra. "Response of groundnut (Arachis hypogaea L.) to irrigation." (1973): 492-497.</w:t>
      </w:r>
    </w:p>
    <w:p w14:paraId="4FDD14FD" w14:textId="23A23A70" w:rsidR="00220BF4" w:rsidRDefault="00220BF4" w:rsidP="00390CF7">
      <w:pPr>
        <w:spacing w:after="120" w:line="360" w:lineRule="auto"/>
        <w:ind w:left="720" w:hanging="720"/>
        <w:jc w:val="both"/>
        <w:rPr>
          <w:rFonts w:ascii="Arial" w:hAnsi="Arial" w:cs="Arial"/>
          <w:bCs/>
          <w:sz w:val="20"/>
          <w:szCs w:val="20"/>
        </w:rPr>
      </w:pPr>
      <w:bookmarkStart w:id="1" w:name="_Hlk207145271"/>
      <w:bookmarkStart w:id="2" w:name="_Hlk207145404"/>
      <w:r w:rsidRPr="009F3B8B">
        <w:rPr>
          <w:rFonts w:ascii="Arial" w:hAnsi="Arial" w:cs="Arial"/>
          <w:bCs/>
          <w:sz w:val="20"/>
          <w:szCs w:val="20"/>
        </w:rPr>
        <w:t xml:space="preserve">Manohara, K. K., </w:t>
      </w:r>
      <w:proofErr w:type="spellStart"/>
      <w:r w:rsidRPr="009F3B8B">
        <w:rPr>
          <w:rFonts w:ascii="Arial" w:hAnsi="Arial" w:cs="Arial"/>
          <w:bCs/>
          <w:sz w:val="20"/>
          <w:szCs w:val="20"/>
        </w:rPr>
        <w:t>Morajkar</w:t>
      </w:r>
      <w:proofErr w:type="spellEnd"/>
      <w:r w:rsidRPr="009F3B8B">
        <w:rPr>
          <w:rFonts w:ascii="Arial" w:hAnsi="Arial" w:cs="Arial"/>
          <w:bCs/>
          <w:sz w:val="20"/>
          <w:szCs w:val="20"/>
        </w:rPr>
        <w:t xml:space="preserve">, S., &amp; </w:t>
      </w:r>
      <w:proofErr w:type="spellStart"/>
      <w:r w:rsidRPr="009F3B8B">
        <w:rPr>
          <w:rFonts w:ascii="Arial" w:hAnsi="Arial" w:cs="Arial"/>
          <w:bCs/>
          <w:sz w:val="20"/>
          <w:szCs w:val="20"/>
        </w:rPr>
        <w:t>Shanbagh</w:t>
      </w:r>
      <w:proofErr w:type="spellEnd"/>
      <w:r w:rsidRPr="009F3B8B">
        <w:rPr>
          <w:rFonts w:ascii="Arial" w:hAnsi="Arial" w:cs="Arial"/>
          <w:bCs/>
          <w:sz w:val="20"/>
          <w:szCs w:val="20"/>
        </w:rPr>
        <w:t>, Y. (2020). Genetic analysis of grain yield and its associated traits in diverse salt-tolerant rice genotypes under coastal salinity condition. </w:t>
      </w:r>
      <w:r w:rsidRPr="009F3B8B">
        <w:rPr>
          <w:rFonts w:ascii="Arial" w:hAnsi="Arial" w:cs="Arial"/>
          <w:bCs/>
          <w:i/>
          <w:iCs/>
          <w:sz w:val="20"/>
          <w:szCs w:val="20"/>
        </w:rPr>
        <w:t>Journal of Cereal Research</w:t>
      </w:r>
      <w:r w:rsidRPr="009F3B8B">
        <w:rPr>
          <w:rFonts w:ascii="Arial" w:hAnsi="Arial" w:cs="Arial"/>
          <w:bCs/>
          <w:sz w:val="20"/>
          <w:szCs w:val="20"/>
        </w:rPr>
        <w:t>, </w:t>
      </w:r>
      <w:r w:rsidRPr="009F3B8B">
        <w:rPr>
          <w:rFonts w:ascii="Arial" w:hAnsi="Arial" w:cs="Arial"/>
          <w:bCs/>
          <w:i/>
          <w:iCs/>
          <w:sz w:val="20"/>
          <w:szCs w:val="20"/>
        </w:rPr>
        <w:t>12</w:t>
      </w:r>
      <w:r w:rsidRPr="009F3B8B">
        <w:rPr>
          <w:rFonts w:ascii="Arial" w:hAnsi="Arial" w:cs="Arial"/>
          <w:bCs/>
          <w:sz w:val="20"/>
          <w:szCs w:val="20"/>
        </w:rPr>
        <w:t>(3), 290-296.</w:t>
      </w:r>
    </w:p>
    <w:p w14:paraId="21A8A4A5" w14:textId="2F94CF40" w:rsidR="003324AB" w:rsidRDefault="003324AB" w:rsidP="00390CF7">
      <w:pPr>
        <w:spacing w:after="120" w:line="360" w:lineRule="auto"/>
        <w:ind w:left="720" w:hanging="720"/>
        <w:jc w:val="both"/>
        <w:rPr>
          <w:rFonts w:ascii="Arial" w:hAnsi="Arial" w:cs="Arial"/>
          <w:bCs/>
          <w:sz w:val="20"/>
          <w:szCs w:val="20"/>
        </w:rPr>
      </w:pPr>
    </w:p>
    <w:p w14:paraId="7ADFA7AF" w14:textId="66073199" w:rsidR="003324AB" w:rsidRPr="003324AB" w:rsidRDefault="003324AB" w:rsidP="003324AB">
      <w:pPr>
        <w:spacing w:after="120" w:line="360" w:lineRule="auto"/>
        <w:ind w:left="720" w:hanging="720"/>
        <w:jc w:val="both"/>
        <w:rPr>
          <w:rFonts w:ascii="Arial" w:hAnsi="Arial" w:cs="Arial"/>
          <w:sz w:val="20"/>
          <w:szCs w:val="20"/>
        </w:rPr>
      </w:pPr>
      <w:r w:rsidRPr="002A73DC">
        <w:rPr>
          <w:rFonts w:ascii="Arial" w:hAnsi="Arial" w:cs="Arial"/>
          <w:bCs/>
          <w:sz w:val="20"/>
          <w:szCs w:val="20"/>
        </w:rPr>
        <w:t xml:space="preserve">Manohara, K. K., &amp; Singh, N. P. (2015). </w:t>
      </w:r>
      <w:r w:rsidRPr="008015B0">
        <w:rPr>
          <w:rFonts w:ascii="Arial" w:hAnsi="Arial" w:cs="Arial"/>
          <w:bCs/>
          <w:sz w:val="20"/>
          <w:szCs w:val="20"/>
        </w:rPr>
        <w:t xml:space="preserve">Genetic variability, correlation and path analysis in rice (Oryza sativa L.) under coastal salinity conditions of Goa. </w:t>
      </w:r>
      <w:r w:rsidRPr="008015B0">
        <w:rPr>
          <w:rFonts w:ascii="Arial" w:hAnsi="Arial" w:cs="Arial"/>
          <w:i/>
          <w:iCs/>
          <w:sz w:val="20"/>
          <w:szCs w:val="20"/>
        </w:rPr>
        <w:t>Journal of the Indian Society of Coastal Agricultural Research,</w:t>
      </w:r>
      <w:r w:rsidRPr="008015B0">
        <w:rPr>
          <w:rFonts w:ascii="Arial" w:hAnsi="Arial" w:cs="Arial"/>
          <w:sz w:val="20"/>
          <w:szCs w:val="20"/>
        </w:rPr>
        <w:t xml:space="preserve"> </w:t>
      </w:r>
      <w:r w:rsidRPr="008015B0">
        <w:rPr>
          <w:rFonts w:ascii="Arial" w:hAnsi="Arial" w:cs="Arial"/>
          <w:i/>
          <w:iCs/>
          <w:sz w:val="20"/>
          <w:szCs w:val="20"/>
        </w:rPr>
        <w:t>33</w:t>
      </w:r>
      <w:r w:rsidRPr="008015B0">
        <w:rPr>
          <w:rFonts w:ascii="Arial" w:hAnsi="Arial" w:cs="Arial"/>
          <w:sz w:val="20"/>
          <w:szCs w:val="20"/>
        </w:rPr>
        <w:t>(1), 34-39.</w:t>
      </w:r>
    </w:p>
    <w:p w14:paraId="51E5B10F" w14:textId="28DD493B" w:rsidR="00652DC8" w:rsidRPr="00652DC8" w:rsidRDefault="00652DC8" w:rsidP="003324AB">
      <w:pPr>
        <w:spacing w:after="120" w:line="360" w:lineRule="auto"/>
        <w:ind w:left="709" w:hanging="720"/>
        <w:jc w:val="both"/>
        <w:rPr>
          <w:rFonts w:ascii="Arial" w:hAnsi="Arial" w:cs="Arial"/>
          <w:bCs/>
          <w:sz w:val="20"/>
          <w:szCs w:val="20"/>
        </w:rPr>
      </w:pPr>
      <w:r w:rsidRPr="00652DC8">
        <w:rPr>
          <w:rFonts w:ascii="Arial" w:hAnsi="Arial" w:cs="Arial"/>
          <w:bCs/>
          <w:sz w:val="20"/>
          <w:szCs w:val="20"/>
        </w:rPr>
        <w:t>Manohara, K. K., Shanbhag, Y., Paramesha, V., Kumar, P., Rathod, S., &amp; Singh, N. K. (2025). Genetic Analysis of a Recombinant Inbred Line Population Derived from Salt-Tolerant Rice Landrace Korgut under Coastal Ecology. </w:t>
      </w:r>
      <w:r w:rsidRPr="00652DC8">
        <w:rPr>
          <w:rFonts w:ascii="Arial" w:hAnsi="Arial" w:cs="Arial"/>
          <w:bCs/>
          <w:i/>
          <w:iCs/>
          <w:sz w:val="20"/>
          <w:szCs w:val="20"/>
        </w:rPr>
        <w:t>Agricultural Research</w:t>
      </w:r>
      <w:r w:rsidRPr="00652DC8">
        <w:rPr>
          <w:rFonts w:ascii="Arial" w:hAnsi="Arial" w:cs="Arial"/>
          <w:bCs/>
          <w:sz w:val="20"/>
          <w:szCs w:val="20"/>
        </w:rPr>
        <w:t>, </w:t>
      </w:r>
      <w:r w:rsidRPr="00652DC8">
        <w:rPr>
          <w:rFonts w:ascii="Arial" w:hAnsi="Arial" w:cs="Arial"/>
          <w:bCs/>
          <w:i/>
          <w:iCs/>
          <w:sz w:val="20"/>
          <w:szCs w:val="20"/>
        </w:rPr>
        <w:t>14</w:t>
      </w:r>
      <w:r w:rsidRPr="00652DC8">
        <w:rPr>
          <w:rFonts w:ascii="Arial" w:hAnsi="Arial" w:cs="Arial"/>
          <w:bCs/>
          <w:sz w:val="20"/>
          <w:szCs w:val="20"/>
        </w:rPr>
        <w:t>(1), 89-96.</w:t>
      </w:r>
    </w:p>
    <w:bookmarkEnd w:id="1"/>
    <w:bookmarkEnd w:id="2"/>
    <w:p w14:paraId="3F4D0AFB" w14:textId="77777777" w:rsidR="00220BF4" w:rsidRPr="009F3B8B" w:rsidRDefault="00220BF4" w:rsidP="00390CF7">
      <w:pPr>
        <w:spacing w:after="120" w:line="360" w:lineRule="auto"/>
        <w:ind w:left="720" w:hanging="720"/>
        <w:jc w:val="both"/>
        <w:rPr>
          <w:rFonts w:ascii="Arial" w:hAnsi="Arial" w:cs="Arial"/>
          <w:bCs/>
          <w:sz w:val="20"/>
          <w:szCs w:val="20"/>
        </w:rPr>
      </w:pPr>
      <w:r w:rsidRPr="009F3B8B">
        <w:rPr>
          <w:rFonts w:ascii="Arial" w:hAnsi="Arial" w:cs="Arial"/>
          <w:bCs/>
          <w:sz w:val="20"/>
          <w:szCs w:val="20"/>
        </w:rPr>
        <w:t>Mishra, R., Joshi, R. K., &amp; Zhao, K. (2018). Genome editing in rice: recent advances, challenges, and future implications. </w:t>
      </w:r>
      <w:r w:rsidRPr="009F3B8B">
        <w:rPr>
          <w:rFonts w:ascii="Arial" w:hAnsi="Arial" w:cs="Arial"/>
          <w:bCs/>
          <w:i/>
          <w:iCs/>
          <w:sz w:val="20"/>
          <w:szCs w:val="20"/>
        </w:rPr>
        <w:t>Frontiers in Plant Science</w:t>
      </w:r>
      <w:r w:rsidRPr="009F3B8B">
        <w:rPr>
          <w:rFonts w:ascii="Arial" w:hAnsi="Arial" w:cs="Arial"/>
          <w:bCs/>
          <w:sz w:val="20"/>
          <w:szCs w:val="20"/>
        </w:rPr>
        <w:t>, </w:t>
      </w:r>
      <w:r w:rsidRPr="009F3B8B">
        <w:rPr>
          <w:rFonts w:ascii="Arial" w:hAnsi="Arial" w:cs="Arial"/>
          <w:bCs/>
          <w:i/>
          <w:iCs/>
          <w:sz w:val="20"/>
          <w:szCs w:val="20"/>
        </w:rPr>
        <w:t>9</w:t>
      </w:r>
      <w:r w:rsidRPr="009F3B8B">
        <w:rPr>
          <w:rFonts w:ascii="Arial" w:hAnsi="Arial" w:cs="Arial"/>
          <w:bCs/>
          <w:sz w:val="20"/>
          <w:szCs w:val="20"/>
        </w:rPr>
        <w:t>, 1361.</w:t>
      </w:r>
    </w:p>
    <w:p w14:paraId="293C7345" w14:textId="77777777" w:rsidR="00220BF4" w:rsidRPr="009F3B8B" w:rsidRDefault="00220BF4" w:rsidP="00390CF7">
      <w:pPr>
        <w:spacing w:after="120" w:line="360" w:lineRule="auto"/>
        <w:ind w:left="720" w:hanging="720"/>
        <w:jc w:val="both"/>
        <w:rPr>
          <w:rFonts w:ascii="Arial" w:hAnsi="Arial" w:cs="Arial"/>
          <w:bCs/>
          <w:sz w:val="20"/>
          <w:szCs w:val="20"/>
        </w:rPr>
      </w:pPr>
      <w:proofErr w:type="spellStart"/>
      <w:r w:rsidRPr="009F3B8B">
        <w:rPr>
          <w:rFonts w:ascii="Arial" w:hAnsi="Arial" w:cs="Arial"/>
          <w:bCs/>
          <w:sz w:val="20"/>
          <w:szCs w:val="20"/>
        </w:rPr>
        <w:lastRenderedPageBreak/>
        <w:t>Muthuvijayaragavan</w:t>
      </w:r>
      <w:proofErr w:type="spellEnd"/>
      <w:r w:rsidRPr="009F3B8B">
        <w:rPr>
          <w:rFonts w:ascii="Arial" w:hAnsi="Arial" w:cs="Arial"/>
          <w:bCs/>
          <w:sz w:val="20"/>
          <w:szCs w:val="20"/>
        </w:rPr>
        <w:t>, R., &amp; Murugan, E. (2020). Association analysis of F2 generation in rice (Oryza sativa L.) under salinity condition. </w:t>
      </w:r>
      <w:r w:rsidRPr="009F3B8B">
        <w:rPr>
          <w:rFonts w:ascii="Arial" w:hAnsi="Arial" w:cs="Arial"/>
          <w:bCs/>
          <w:i/>
          <w:iCs/>
          <w:sz w:val="20"/>
          <w:szCs w:val="20"/>
        </w:rPr>
        <w:t>Electronic Journal of Plant Breeding</w:t>
      </w:r>
      <w:r w:rsidRPr="009F3B8B">
        <w:rPr>
          <w:rFonts w:ascii="Arial" w:hAnsi="Arial" w:cs="Arial"/>
          <w:bCs/>
          <w:sz w:val="20"/>
          <w:szCs w:val="20"/>
        </w:rPr>
        <w:t>, </w:t>
      </w:r>
      <w:r w:rsidRPr="009F3B8B">
        <w:rPr>
          <w:rFonts w:ascii="Arial" w:hAnsi="Arial" w:cs="Arial"/>
          <w:bCs/>
          <w:i/>
          <w:iCs/>
          <w:sz w:val="20"/>
          <w:szCs w:val="20"/>
        </w:rPr>
        <w:t>11</w:t>
      </w:r>
      <w:r w:rsidRPr="009F3B8B">
        <w:rPr>
          <w:rFonts w:ascii="Arial" w:hAnsi="Arial" w:cs="Arial"/>
          <w:bCs/>
          <w:sz w:val="20"/>
          <w:szCs w:val="20"/>
        </w:rPr>
        <w:t>(1), 283-289.</w:t>
      </w:r>
    </w:p>
    <w:p w14:paraId="6CCE5BDB" w14:textId="77777777" w:rsidR="00220BF4" w:rsidRPr="009F3B8B" w:rsidRDefault="00220BF4" w:rsidP="00390CF7">
      <w:pPr>
        <w:spacing w:after="120" w:line="360" w:lineRule="auto"/>
        <w:ind w:left="720" w:hanging="720"/>
        <w:jc w:val="both"/>
        <w:rPr>
          <w:rFonts w:ascii="Arial" w:hAnsi="Arial" w:cs="Arial"/>
          <w:sz w:val="20"/>
          <w:szCs w:val="20"/>
        </w:rPr>
      </w:pPr>
      <w:r w:rsidRPr="009F3B8B">
        <w:rPr>
          <w:rFonts w:ascii="Arial" w:hAnsi="Arial" w:cs="Arial"/>
          <w:sz w:val="20"/>
          <w:szCs w:val="20"/>
        </w:rPr>
        <w:t>Nandini, A., Venkatesan, M., Sathyaraj, D., &amp; Rani, M. A. (2025). Genetic correlation, path and multivariate analysis in rice under coastal saline ecosystem of Tamil Nadu. Journal of Environmental Biology, 46(4), 546-554.</w:t>
      </w:r>
    </w:p>
    <w:p w14:paraId="0E417708" w14:textId="77777777" w:rsidR="00220BF4" w:rsidRPr="009F3B8B" w:rsidRDefault="00220BF4" w:rsidP="00450FF1">
      <w:pPr>
        <w:spacing w:after="120" w:line="360" w:lineRule="auto"/>
        <w:ind w:left="720" w:hanging="720"/>
        <w:jc w:val="both"/>
        <w:rPr>
          <w:rFonts w:ascii="Arial" w:hAnsi="Arial" w:cs="Arial"/>
          <w:bCs/>
          <w:sz w:val="20"/>
          <w:szCs w:val="20"/>
        </w:rPr>
      </w:pPr>
      <w:r w:rsidRPr="009F3B8B">
        <w:rPr>
          <w:rFonts w:ascii="Arial" w:hAnsi="Arial" w:cs="Arial"/>
          <w:bCs/>
          <w:sz w:val="20"/>
          <w:szCs w:val="20"/>
        </w:rPr>
        <w:t xml:space="preserve">Panika, N., Singh, Y., Singh, S. K., </w:t>
      </w:r>
      <w:proofErr w:type="spellStart"/>
      <w:r w:rsidRPr="009F3B8B">
        <w:rPr>
          <w:rFonts w:ascii="Arial" w:hAnsi="Arial" w:cs="Arial"/>
          <w:bCs/>
          <w:sz w:val="20"/>
          <w:szCs w:val="20"/>
        </w:rPr>
        <w:t>Rahangdale</w:t>
      </w:r>
      <w:proofErr w:type="spellEnd"/>
      <w:r w:rsidRPr="009F3B8B">
        <w:rPr>
          <w:rFonts w:ascii="Arial" w:hAnsi="Arial" w:cs="Arial"/>
          <w:bCs/>
          <w:sz w:val="20"/>
          <w:szCs w:val="20"/>
        </w:rPr>
        <w:t>, S., &amp; Shukla, R. S. (2022). Genetic variability, correlation and path coefficient study of indigenous rice (Oryza sativa L.) accessions for different yield and quality contributing traits.</w:t>
      </w:r>
    </w:p>
    <w:p w14:paraId="1170813C" w14:textId="77777777" w:rsidR="00846642" w:rsidRPr="009F3B8B" w:rsidRDefault="00846642" w:rsidP="00390CF7">
      <w:pPr>
        <w:spacing w:after="120" w:line="360" w:lineRule="auto"/>
        <w:ind w:left="720" w:hanging="720"/>
        <w:jc w:val="both"/>
        <w:rPr>
          <w:rFonts w:ascii="Arial" w:hAnsi="Arial" w:cs="Arial"/>
          <w:sz w:val="20"/>
          <w:szCs w:val="20"/>
        </w:rPr>
      </w:pPr>
      <w:r w:rsidRPr="009F3B8B">
        <w:rPr>
          <w:rFonts w:ascii="Arial" w:hAnsi="Arial" w:cs="Arial"/>
          <w:sz w:val="20"/>
          <w:szCs w:val="20"/>
        </w:rPr>
        <w:t>Rezaei, E. E., Webber, H., Asseng, S., Boote, K., Durand, J. L., Ewert, F., ... &amp; MacCarthy, D. S. (2023). Climate change impacts on crop yields. </w:t>
      </w:r>
      <w:r w:rsidRPr="009F3B8B">
        <w:rPr>
          <w:rFonts w:ascii="Arial" w:hAnsi="Arial" w:cs="Arial"/>
          <w:i/>
          <w:iCs/>
          <w:sz w:val="20"/>
          <w:szCs w:val="20"/>
        </w:rPr>
        <w:t>nature reviews earth &amp; environment</w:t>
      </w:r>
      <w:r w:rsidRPr="009F3B8B">
        <w:rPr>
          <w:rFonts w:ascii="Arial" w:hAnsi="Arial" w:cs="Arial"/>
          <w:sz w:val="20"/>
          <w:szCs w:val="20"/>
        </w:rPr>
        <w:t>, </w:t>
      </w:r>
      <w:r w:rsidRPr="009F3B8B">
        <w:rPr>
          <w:rFonts w:ascii="Arial" w:hAnsi="Arial" w:cs="Arial"/>
          <w:i/>
          <w:iCs/>
          <w:sz w:val="20"/>
          <w:szCs w:val="20"/>
        </w:rPr>
        <w:t>4</w:t>
      </w:r>
      <w:r w:rsidRPr="009F3B8B">
        <w:rPr>
          <w:rFonts w:ascii="Arial" w:hAnsi="Arial" w:cs="Arial"/>
          <w:sz w:val="20"/>
          <w:szCs w:val="20"/>
        </w:rPr>
        <w:t>(12), 831-846.</w:t>
      </w:r>
    </w:p>
    <w:p w14:paraId="0C8966FB" w14:textId="77777777" w:rsidR="00846642" w:rsidRPr="009F3B8B" w:rsidRDefault="00846642" w:rsidP="00390CF7">
      <w:pPr>
        <w:spacing w:after="120" w:line="360" w:lineRule="auto"/>
        <w:ind w:left="720" w:hanging="720"/>
        <w:jc w:val="both"/>
        <w:rPr>
          <w:rFonts w:ascii="Arial" w:hAnsi="Arial" w:cs="Arial"/>
          <w:bCs/>
          <w:sz w:val="20"/>
          <w:szCs w:val="20"/>
        </w:rPr>
      </w:pPr>
      <w:r w:rsidRPr="009F3B8B">
        <w:rPr>
          <w:rFonts w:ascii="Arial" w:hAnsi="Arial" w:cs="Arial"/>
          <w:bCs/>
          <w:sz w:val="20"/>
          <w:szCs w:val="20"/>
          <w:lang w:val="pt-BR"/>
        </w:rPr>
        <w:t xml:space="preserve">Saha, S. R., Hassan, L., Haque, M. A., Islam, M. M., &amp; Rasel, M. (2019). </w:t>
      </w:r>
      <w:r w:rsidRPr="009F3B8B">
        <w:rPr>
          <w:rFonts w:ascii="Arial" w:hAnsi="Arial" w:cs="Arial"/>
          <w:bCs/>
          <w:sz w:val="20"/>
          <w:szCs w:val="20"/>
        </w:rPr>
        <w:t>Genetic variability, heritability, correlation and path analyses of yield components in traditional rice (Oryza sativa L.) landraces: Variability and traits association in rice. </w:t>
      </w:r>
      <w:r w:rsidRPr="009F3B8B">
        <w:rPr>
          <w:rFonts w:ascii="Arial" w:hAnsi="Arial" w:cs="Arial"/>
          <w:bCs/>
          <w:i/>
          <w:iCs/>
          <w:sz w:val="20"/>
          <w:szCs w:val="20"/>
        </w:rPr>
        <w:t>Journal of the Bangladesh Agricultural University</w:t>
      </w:r>
      <w:r w:rsidRPr="009F3B8B">
        <w:rPr>
          <w:rFonts w:ascii="Arial" w:hAnsi="Arial" w:cs="Arial"/>
          <w:bCs/>
          <w:sz w:val="20"/>
          <w:szCs w:val="20"/>
        </w:rPr>
        <w:t>, </w:t>
      </w:r>
      <w:r w:rsidRPr="009F3B8B">
        <w:rPr>
          <w:rFonts w:ascii="Arial" w:hAnsi="Arial" w:cs="Arial"/>
          <w:bCs/>
          <w:i/>
          <w:iCs/>
          <w:sz w:val="20"/>
          <w:szCs w:val="20"/>
        </w:rPr>
        <w:t>17</w:t>
      </w:r>
      <w:r w:rsidRPr="009F3B8B">
        <w:rPr>
          <w:rFonts w:ascii="Arial" w:hAnsi="Arial" w:cs="Arial"/>
          <w:bCs/>
          <w:sz w:val="20"/>
          <w:szCs w:val="20"/>
        </w:rPr>
        <w:t>(1), 26-32.</w:t>
      </w:r>
    </w:p>
    <w:p w14:paraId="4E0992A2" w14:textId="77777777" w:rsidR="00846642" w:rsidRPr="009F3B8B" w:rsidRDefault="00846642" w:rsidP="00390CF7">
      <w:pPr>
        <w:spacing w:after="120" w:line="360" w:lineRule="auto"/>
        <w:ind w:left="709" w:hanging="720"/>
        <w:jc w:val="both"/>
        <w:rPr>
          <w:rFonts w:ascii="Arial" w:hAnsi="Arial" w:cs="Arial"/>
          <w:sz w:val="20"/>
          <w:szCs w:val="20"/>
        </w:rPr>
      </w:pPr>
      <w:r w:rsidRPr="005C7D2F">
        <w:rPr>
          <w:rFonts w:ascii="Arial" w:hAnsi="Arial" w:cs="Arial"/>
          <w:sz w:val="20"/>
          <w:szCs w:val="20"/>
        </w:rPr>
        <w:t xml:space="preserve">Shrivastav, S. P., Verma, O. P., Singh, V., &amp; Lal, K. (2020). </w:t>
      </w:r>
      <w:r w:rsidRPr="009F3B8B">
        <w:rPr>
          <w:rFonts w:ascii="Arial" w:hAnsi="Arial" w:cs="Arial"/>
          <w:sz w:val="20"/>
          <w:szCs w:val="20"/>
        </w:rPr>
        <w:t>Interrelationships among yield and its contributing traits in rice (Oryza sativa L.) under sodic soil. </w:t>
      </w:r>
      <w:r w:rsidRPr="009F3B8B">
        <w:rPr>
          <w:rFonts w:ascii="Arial" w:hAnsi="Arial" w:cs="Arial"/>
          <w:i/>
          <w:iCs/>
          <w:sz w:val="20"/>
          <w:szCs w:val="20"/>
        </w:rPr>
        <w:t>Electronic Journal of Plant Breeding</w:t>
      </w:r>
      <w:r w:rsidRPr="009F3B8B">
        <w:rPr>
          <w:rFonts w:ascii="Arial" w:hAnsi="Arial" w:cs="Arial"/>
          <w:sz w:val="20"/>
          <w:szCs w:val="20"/>
        </w:rPr>
        <w:t>, </w:t>
      </w:r>
      <w:r w:rsidRPr="009F3B8B">
        <w:rPr>
          <w:rFonts w:ascii="Arial" w:hAnsi="Arial" w:cs="Arial"/>
          <w:i/>
          <w:iCs/>
          <w:sz w:val="20"/>
          <w:szCs w:val="20"/>
        </w:rPr>
        <w:t>11</w:t>
      </w:r>
      <w:r w:rsidRPr="009F3B8B">
        <w:rPr>
          <w:rFonts w:ascii="Arial" w:hAnsi="Arial" w:cs="Arial"/>
          <w:sz w:val="20"/>
          <w:szCs w:val="20"/>
        </w:rPr>
        <w:t>(4), 1044-1052.</w:t>
      </w:r>
    </w:p>
    <w:p w14:paraId="0369B832" w14:textId="77777777" w:rsidR="00846642" w:rsidRPr="009F3B8B" w:rsidRDefault="00846642" w:rsidP="00390CF7">
      <w:pPr>
        <w:spacing w:after="120" w:line="360" w:lineRule="auto"/>
        <w:ind w:left="720" w:hanging="720"/>
        <w:jc w:val="both"/>
        <w:rPr>
          <w:rFonts w:ascii="Arial" w:hAnsi="Arial" w:cs="Arial"/>
          <w:sz w:val="20"/>
          <w:szCs w:val="20"/>
        </w:rPr>
      </w:pPr>
      <w:r w:rsidRPr="005C7D2F">
        <w:rPr>
          <w:rFonts w:ascii="Arial" w:hAnsi="Arial" w:cs="Arial"/>
          <w:sz w:val="20"/>
          <w:szCs w:val="20"/>
        </w:rPr>
        <w:t xml:space="preserve">Singh, A., Dwivedi, D. K., Devi, A., Kumari, P., Verma, O. P., &amp; Singh, K. N. (2016). </w:t>
      </w:r>
      <w:r w:rsidRPr="009F3B8B">
        <w:rPr>
          <w:rFonts w:ascii="Arial" w:hAnsi="Arial" w:cs="Arial"/>
          <w:sz w:val="20"/>
          <w:szCs w:val="20"/>
        </w:rPr>
        <w:t>Correlations and path coefficient analysis in rice recombinant inbred lines. </w:t>
      </w:r>
      <w:r w:rsidRPr="009F3B8B">
        <w:rPr>
          <w:rFonts w:ascii="Arial" w:hAnsi="Arial" w:cs="Arial"/>
          <w:i/>
          <w:iCs/>
          <w:sz w:val="20"/>
          <w:szCs w:val="20"/>
        </w:rPr>
        <w:t>Journal of Biotechnology and Crop Science</w:t>
      </w:r>
      <w:r w:rsidRPr="009F3B8B">
        <w:rPr>
          <w:rFonts w:ascii="Arial" w:hAnsi="Arial" w:cs="Arial"/>
          <w:sz w:val="20"/>
          <w:szCs w:val="20"/>
        </w:rPr>
        <w:t>, </w:t>
      </w:r>
      <w:r w:rsidRPr="009F3B8B">
        <w:rPr>
          <w:rFonts w:ascii="Arial" w:hAnsi="Arial" w:cs="Arial"/>
          <w:i/>
          <w:iCs/>
          <w:sz w:val="20"/>
          <w:szCs w:val="20"/>
        </w:rPr>
        <w:t>5</w:t>
      </w:r>
      <w:r w:rsidRPr="009F3B8B">
        <w:rPr>
          <w:rFonts w:ascii="Arial" w:hAnsi="Arial" w:cs="Arial"/>
          <w:sz w:val="20"/>
          <w:szCs w:val="20"/>
        </w:rPr>
        <w:t>(6), 76-81.</w:t>
      </w:r>
    </w:p>
    <w:p w14:paraId="2B4A449C" w14:textId="21C4F1AD" w:rsidR="00390CF7" w:rsidRPr="009F3B8B" w:rsidRDefault="00846642" w:rsidP="00390CF7">
      <w:pPr>
        <w:spacing w:after="120" w:line="360" w:lineRule="auto"/>
        <w:ind w:left="720" w:hanging="720"/>
        <w:jc w:val="both"/>
        <w:rPr>
          <w:rFonts w:ascii="Arial" w:hAnsi="Arial" w:cs="Arial"/>
          <w:bCs/>
          <w:sz w:val="20"/>
          <w:szCs w:val="20"/>
        </w:rPr>
      </w:pPr>
      <w:r w:rsidRPr="005C7D2F">
        <w:rPr>
          <w:rFonts w:ascii="Arial" w:hAnsi="Arial" w:cs="Arial"/>
          <w:bCs/>
          <w:sz w:val="20"/>
          <w:szCs w:val="20"/>
        </w:rPr>
        <w:t xml:space="preserve">Sumithra, V., Palaniraja, K., &amp; Vennila, S. (2019). </w:t>
      </w:r>
      <w:r w:rsidRPr="009F3B8B">
        <w:rPr>
          <w:rFonts w:ascii="Arial" w:hAnsi="Arial" w:cs="Arial"/>
          <w:bCs/>
          <w:sz w:val="20"/>
          <w:szCs w:val="20"/>
        </w:rPr>
        <w:t>Assessment of trait association and path effects of rice (Oryza sativa L.) under saline condition. </w:t>
      </w:r>
      <w:proofErr w:type="spellStart"/>
      <w:r w:rsidRPr="009F3B8B">
        <w:rPr>
          <w:rFonts w:ascii="Arial" w:hAnsi="Arial" w:cs="Arial"/>
          <w:bCs/>
          <w:i/>
          <w:iCs/>
          <w:sz w:val="20"/>
          <w:szCs w:val="20"/>
        </w:rPr>
        <w:t>Journalof</w:t>
      </w:r>
      <w:proofErr w:type="spellEnd"/>
      <w:r w:rsidRPr="009F3B8B">
        <w:rPr>
          <w:rFonts w:ascii="Arial" w:hAnsi="Arial" w:cs="Arial"/>
          <w:bCs/>
          <w:i/>
          <w:iCs/>
          <w:sz w:val="20"/>
          <w:szCs w:val="20"/>
        </w:rPr>
        <w:t xml:space="preserve"> Pharmacognosy and Phytochemistry</w:t>
      </w:r>
      <w:r w:rsidRPr="009F3B8B">
        <w:rPr>
          <w:rFonts w:ascii="Arial" w:hAnsi="Arial" w:cs="Arial"/>
          <w:bCs/>
          <w:sz w:val="20"/>
          <w:szCs w:val="20"/>
        </w:rPr>
        <w:t>, </w:t>
      </w:r>
      <w:r w:rsidRPr="009F3B8B">
        <w:rPr>
          <w:rFonts w:ascii="Arial" w:hAnsi="Arial" w:cs="Arial"/>
          <w:bCs/>
          <w:i/>
          <w:iCs/>
          <w:sz w:val="20"/>
          <w:szCs w:val="20"/>
        </w:rPr>
        <w:t>2</w:t>
      </w:r>
      <w:r w:rsidRPr="009F3B8B">
        <w:rPr>
          <w:rFonts w:ascii="Arial" w:hAnsi="Arial" w:cs="Arial"/>
          <w:bCs/>
          <w:sz w:val="20"/>
          <w:szCs w:val="20"/>
        </w:rPr>
        <w:t>, 410-412.</w:t>
      </w:r>
    </w:p>
    <w:p w14:paraId="04B7A3C8" w14:textId="77777777" w:rsidR="00846642" w:rsidRPr="009F3B8B" w:rsidRDefault="00846642" w:rsidP="00450FF1">
      <w:pPr>
        <w:spacing w:after="120" w:line="360" w:lineRule="auto"/>
        <w:ind w:left="720" w:hanging="720"/>
        <w:jc w:val="both"/>
        <w:rPr>
          <w:rFonts w:ascii="Arial" w:hAnsi="Arial" w:cs="Arial"/>
          <w:sz w:val="20"/>
          <w:szCs w:val="20"/>
        </w:rPr>
      </w:pPr>
      <w:r w:rsidRPr="009F3B8B">
        <w:rPr>
          <w:rFonts w:ascii="Arial" w:hAnsi="Arial" w:cs="Arial"/>
          <w:sz w:val="20"/>
          <w:szCs w:val="20"/>
        </w:rPr>
        <w:t>Tripathi, N., Verma, O. P., Singh, P. K., &amp; Rajpoot, P. (2018). Studies on correlation and path coefficient analysis for yield and its components in rice (Oryza sativa L.) under salt affected soil. Journal of Pharmacognosy and Phytochemistry, 7(3), 1626-1629.</w:t>
      </w:r>
    </w:p>
    <w:p w14:paraId="4C3DB542" w14:textId="77777777" w:rsidR="00846642" w:rsidRPr="009F3B8B" w:rsidRDefault="00846642" w:rsidP="00390CF7">
      <w:pPr>
        <w:spacing w:after="120" w:line="360" w:lineRule="auto"/>
        <w:ind w:left="720" w:hanging="720"/>
        <w:jc w:val="both"/>
        <w:rPr>
          <w:rFonts w:ascii="Arial" w:hAnsi="Arial" w:cs="Arial"/>
          <w:sz w:val="20"/>
          <w:szCs w:val="20"/>
        </w:rPr>
      </w:pPr>
      <w:r w:rsidRPr="009F3B8B">
        <w:rPr>
          <w:rFonts w:ascii="Arial" w:hAnsi="Arial" w:cs="Arial"/>
          <w:sz w:val="20"/>
          <w:szCs w:val="20"/>
        </w:rPr>
        <w:t xml:space="preserve">Van Dijk, M., Morley, T., Rau, M. L., &amp; </w:t>
      </w:r>
      <w:proofErr w:type="spellStart"/>
      <w:r w:rsidRPr="009F3B8B">
        <w:rPr>
          <w:rFonts w:ascii="Arial" w:hAnsi="Arial" w:cs="Arial"/>
          <w:sz w:val="20"/>
          <w:szCs w:val="20"/>
        </w:rPr>
        <w:t>Saghai</w:t>
      </w:r>
      <w:proofErr w:type="spellEnd"/>
      <w:r w:rsidRPr="009F3B8B">
        <w:rPr>
          <w:rFonts w:ascii="Arial" w:hAnsi="Arial" w:cs="Arial"/>
          <w:sz w:val="20"/>
          <w:szCs w:val="20"/>
        </w:rPr>
        <w:t>, Y. (2021). A meta-analysis of projected global food demand and population at risk of hunger for the period 2010–2050. Nature food, 2(7), 494-501.</w:t>
      </w:r>
    </w:p>
    <w:p w14:paraId="7DD6AD74" w14:textId="77777777" w:rsidR="00846642" w:rsidRPr="005C7D2F" w:rsidRDefault="00846642" w:rsidP="00390CF7">
      <w:pPr>
        <w:spacing w:after="120" w:line="360" w:lineRule="auto"/>
        <w:ind w:left="720" w:hanging="720"/>
        <w:jc w:val="both"/>
        <w:rPr>
          <w:rFonts w:ascii="Arial" w:hAnsi="Arial" w:cs="Arial"/>
          <w:sz w:val="20"/>
          <w:szCs w:val="20"/>
        </w:rPr>
      </w:pPr>
      <w:r w:rsidRPr="005C7D2F">
        <w:rPr>
          <w:rFonts w:ascii="Arial" w:hAnsi="Arial" w:cs="Arial"/>
          <w:sz w:val="20"/>
          <w:szCs w:val="20"/>
        </w:rPr>
        <w:t xml:space="preserve">Praveena, M. V., Rao, P. V. R., Badri, J., &amp; Ch, S. (2025). </w:t>
      </w:r>
      <w:r w:rsidRPr="009F3B8B">
        <w:rPr>
          <w:rFonts w:ascii="Arial" w:hAnsi="Arial" w:cs="Arial"/>
          <w:sz w:val="20"/>
          <w:szCs w:val="20"/>
        </w:rPr>
        <w:t xml:space="preserve">Association and Genetic Variability Studies for Reproductive Stage Salinity Tolerance Traits in Rice (Oryza sativa L.). </w:t>
      </w:r>
      <w:r w:rsidRPr="005C7D2F">
        <w:rPr>
          <w:rFonts w:ascii="Arial" w:hAnsi="Arial" w:cs="Arial"/>
          <w:sz w:val="20"/>
          <w:szCs w:val="20"/>
        </w:rPr>
        <w:t>International Journal of Plant &amp; Soil Science, 37(6), 477-485.</w:t>
      </w:r>
    </w:p>
    <w:p w14:paraId="59FDF6DA" w14:textId="54CE5407" w:rsidR="00846642" w:rsidRPr="009F3B8B" w:rsidRDefault="00846642" w:rsidP="00D541F1">
      <w:pPr>
        <w:spacing w:after="120" w:line="360" w:lineRule="auto"/>
        <w:ind w:left="720" w:hanging="720"/>
        <w:jc w:val="both"/>
        <w:rPr>
          <w:rFonts w:ascii="Arial" w:hAnsi="Arial" w:cs="Arial"/>
          <w:sz w:val="20"/>
          <w:szCs w:val="20"/>
        </w:rPr>
      </w:pPr>
      <w:r w:rsidRPr="009F3B8B">
        <w:rPr>
          <w:rFonts w:ascii="Arial" w:hAnsi="Arial" w:cs="Arial"/>
          <w:sz w:val="20"/>
          <w:szCs w:val="20"/>
        </w:rPr>
        <w:t>Wright, S. (1921). Correlation and causation. </w:t>
      </w:r>
      <w:r w:rsidRPr="009F3B8B">
        <w:rPr>
          <w:rFonts w:ascii="Arial" w:hAnsi="Arial" w:cs="Arial"/>
          <w:i/>
          <w:iCs/>
          <w:sz w:val="20"/>
          <w:szCs w:val="20"/>
        </w:rPr>
        <w:t>Journal of agricultural research</w:t>
      </w:r>
      <w:r w:rsidRPr="009F3B8B">
        <w:rPr>
          <w:rFonts w:ascii="Arial" w:hAnsi="Arial" w:cs="Arial"/>
          <w:sz w:val="20"/>
          <w:szCs w:val="20"/>
        </w:rPr>
        <w:t>, </w:t>
      </w:r>
      <w:r w:rsidRPr="009F3B8B">
        <w:rPr>
          <w:rFonts w:ascii="Arial" w:hAnsi="Arial" w:cs="Arial"/>
          <w:i/>
          <w:iCs/>
          <w:sz w:val="20"/>
          <w:szCs w:val="20"/>
        </w:rPr>
        <w:t>20</w:t>
      </w:r>
      <w:r w:rsidRPr="009F3B8B">
        <w:rPr>
          <w:rFonts w:ascii="Arial" w:hAnsi="Arial" w:cs="Arial"/>
          <w:sz w:val="20"/>
          <w:szCs w:val="20"/>
        </w:rPr>
        <w:t>(7), 557.</w:t>
      </w:r>
    </w:p>
    <w:p w14:paraId="5641A65D" w14:textId="77777777" w:rsidR="009629D0" w:rsidRDefault="00132B2D">
      <w:pPr>
        <w:spacing w:line="278" w:lineRule="auto"/>
        <w:rPr>
          <w:rFonts w:ascii="Arial" w:hAnsi="Arial" w:cs="Arial"/>
          <w:sz w:val="24"/>
          <w:szCs w:val="24"/>
          <w:lang w:val="pt-BR"/>
        </w:rPr>
        <w:sectPr w:rsidR="009629D0" w:rsidSect="00390C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Arial" w:hAnsi="Arial" w:cs="Arial"/>
          <w:sz w:val="24"/>
          <w:szCs w:val="24"/>
          <w:lang w:val="pt-BR"/>
        </w:rPr>
        <w:br w:type="page"/>
      </w:r>
    </w:p>
    <w:p w14:paraId="04D1452C" w14:textId="249DC072" w:rsidR="00132B2D" w:rsidRDefault="00132B2D">
      <w:pPr>
        <w:spacing w:line="278" w:lineRule="auto"/>
        <w:rPr>
          <w:rFonts w:ascii="Arial" w:hAnsi="Arial" w:cs="Arial"/>
          <w:sz w:val="24"/>
          <w:szCs w:val="24"/>
          <w:lang w:val="pt-BR"/>
        </w:rPr>
      </w:pPr>
    </w:p>
    <w:p w14:paraId="7EF3E8CD" w14:textId="77777777" w:rsidR="00390CF7" w:rsidRPr="00907444" w:rsidRDefault="00390CF7" w:rsidP="00390CF7">
      <w:pPr>
        <w:spacing w:line="360" w:lineRule="auto"/>
        <w:ind w:left="720" w:hanging="720"/>
        <w:jc w:val="both"/>
        <w:rPr>
          <w:rFonts w:ascii="Arial" w:hAnsi="Arial" w:cs="Arial"/>
          <w:sz w:val="24"/>
          <w:szCs w:val="24"/>
        </w:rPr>
      </w:pPr>
      <w:r w:rsidRPr="00907444">
        <w:rPr>
          <w:rFonts w:ascii="Arial" w:hAnsi="Arial" w:cs="Arial"/>
          <w:noProof/>
          <w:sz w:val="24"/>
          <w:szCs w:val="24"/>
          <w:lang w:eastAsia="en-IN"/>
        </w:rPr>
        <w:drawing>
          <wp:inline distT="0" distB="0" distL="0" distR="0" wp14:anchorId="6681C6CF" wp14:editId="1BB4E4B8">
            <wp:extent cx="5402580" cy="5402580"/>
            <wp:effectExtent l="0" t="0" r="7620" b="7620"/>
            <wp:docPr id="1118147717" name="Picture 1" descr="A diagram of a number of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47717" name="Picture 1" descr="A diagram of a number of squares&#10;&#10;AI-generated content may be incorrect."/>
                    <pic:cNvPicPr/>
                  </pic:nvPicPr>
                  <pic:blipFill rotWithShape="1">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17856" r="17856"/>
                    <a:stretch>
                      <a:fillRect/>
                    </a:stretch>
                  </pic:blipFill>
                  <pic:spPr bwMode="auto">
                    <a:xfrm>
                      <a:off x="0" y="0"/>
                      <a:ext cx="5402580" cy="5402580"/>
                    </a:xfrm>
                    <a:prstGeom prst="rect">
                      <a:avLst/>
                    </a:prstGeom>
                    <a:ln>
                      <a:noFill/>
                    </a:ln>
                    <a:extLst>
                      <a:ext uri="{53640926-AAD7-44D8-BBD7-CCE9431645EC}">
                        <a14:shadowObscured xmlns:a14="http://schemas.microsoft.com/office/drawing/2010/main"/>
                      </a:ext>
                    </a:extLst>
                  </pic:spPr>
                </pic:pic>
              </a:graphicData>
            </a:graphic>
          </wp:inline>
        </w:drawing>
      </w:r>
    </w:p>
    <w:p w14:paraId="6E36F7FB" w14:textId="165341BE" w:rsidR="00390CF7" w:rsidRPr="00CE1287" w:rsidRDefault="00390CF7" w:rsidP="00390CF7">
      <w:pPr>
        <w:spacing w:line="360" w:lineRule="auto"/>
        <w:ind w:left="720" w:hanging="720"/>
        <w:jc w:val="center"/>
        <w:rPr>
          <w:rFonts w:ascii="Arial" w:hAnsi="Arial" w:cs="Arial"/>
          <w:b/>
          <w:bCs/>
        </w:rPr>
      </w:pPr>
      <w:r w:rsidRPr="00CE1287">
        <w:rPr>
          <w:rFonts w:ascii="Arial" w:hAnsi="Arial" w:cs="Arial"/>
          <w:b/>
          <w:bCs/>
        </w:rPr>
        <w:t xml:space="preserve">Fig. 1 Correlation heatmap for grain yield and its attributes </w:t>
      </w:r>
      <w:r w:rsidR="00C37E3A" w:rsidRPr="00CE1287">
        <w:rPr>
          <w:rFonts w:ascii="Arial" w:hAnsi="Arial" w:cs="Arial"/>
          <w:b/>
          <w:bCs/>
        </w:rPr>
        <w:t>during</w:t>
      </w:r>
      <w:r w:rsidRPr="00CE1287">
        <w:rPr>
          <w:rFonts w:ascii="Arial" w:hAnsi="Arial" w:cs="Arial"/>
          <w:b/>
          <w:bCs/>
        </w:rPr>
        <w:t xml:space="preserve"> </w:t>
      </w:r>
      <w:r w:rsidRPr="00CE1287">
        <w:rPr>
          <w:rFonts w:ascii="Arial" w:hAnsi="Arial" w:cs="Arial"/>
          <w:b/>
          <w:bCs/>
          <w:i/>
          <w:iCs/>
        </w:rPr>
        <w:t>Rabi</w:t>
      </w:r>
      <w:r w:rsidRPr="00CE1287">
        <w:rPr>
          <w:rFonts w:ascii="Arial" w:hAnsi="Arial" w:cs="Arial"/>
          <w:b/>
          <w:bCs/>
        </w:rPr>
        <w:t xml:space="preserve"> 2022-23</w:t>
      </w:r>
    </w:p>
    <w:p w14:paraId="4DD44D99" w14:textId="6E992C16" w:rsidR="00390CF7" w:rsidRPr="00CE1287" w:rsidRDefault="00390CF7" w:rsidP="00390CF7">
      <w:pPr>
        <w:spacing w:line="360" w:lineRule="auto"/>
        <w:jc w:val="both"/>
        <w:rPr>
          <w:rFonts w:ascii="Arial" w:hAnsi="Arial" w:cs="Arial"/>
          <w:sz w:val="20"/>
          <w:szCs w:val="20"/>
        </w:rPr>
        <w:sectPr w:rsidR="00390CF7" w:rsidRPr="00CE1287" w:rsidSect="00390CF7">
          <w:pgSz w:w="12240" w:h="15840"/>
          <w:pgMar w:top="1440" w:right="1440" w:bottom="1440" w:left="1440" w:header="720" w:footer="720" w:gutter="0"/>
          <w:cols w:space="720"/>
          <w:docGrid w:linePitch="360"/>
        </w:sectPr>
      </w:pPr>
      <w:r w:rsidRPr="00CE1287">
        <w:rPr>
          <w:rFonts w:ascii="Arial" w:hAnsi="Arial" w:cs="Arial"/>
          <w:sz w:val="20"/>
          <w:szCs w:val="20"/>
        </w:rPr>
        <w:t>PH – Plant height (cm), DFF – Days to 50% flowering, TPT – Total productive tillers, PL – Panicle length (cm), FG – Number of fertile grains per panicle, GP – Total number of grains per panicle,</w:t>
      </w:r>
      <w:r w:rsidR="00CE1287">
        <w:rPr>
          <w:rFonts w:ascii="Arial" w:hAnsi="Arial" w:cs="Arial"/>
          <w:sz w:val="20"/>
          <w:szCs w:val="20"/>
        </w:rPr>
        <w:t xml:space="preserve"> </w:t>
      </w:r>
      <w:r w:rsidRPr="00CE1287">
        <w:rPr>
          <w:rFonts w:ascii="Arial" w:hAnsi="Arial" w:cs="Arial"/>
          <w:sz w:val="20"/>
          <w:szCs w:val="20"/>
        </w:rPr>
        <w:t>FP – Fertility percentage (%), FLL – Flag leaf length (cm), FLW – Flag leaf width (cm),</w:t>
      </w:r>
      <w:r w:rsidR="00CE1287">
        <w:rPr>
          <w:rFonts w:ascii="Arial" w:hAnsi="Arial" w:cs="Arial"/>
          <w:sz w:val="20"/>
          <w:szCs w:val="20"/>
        </w:rPr>
        <w:t xml:space="preserve"> </w:t>
      </w:r>
      <w:r w:rsidRPr="00CE1287">
        <w:rPr>
          <w:rFonts w:ascii="Arial" w:hAnsi="Arial" w:cs="Arial"/>
          <w:sz w:val="20"/>
          <w:szCs w:val="20"/>
        </w:rPr>
        <w:t>GY - Grain yield (kg ha</w:t>
      </w:r>
      <w:r w:rsidRPr="00CE1287">
        <w:rPr>
          <w:rFonts w:ascii="Arial" w:hAnsi="Arial" w:cs="Arial"/>
          <w:sz w:val="20"/>
          <w:szCs w:val="20"/>
          <w:vertAlign w:val="superscript"/>
        </w:rPr>
        <w:t>-1</w:t>
      </w:r>
      <w:r w:rsidRPr="00CE1287">
        <w:rPr>
          <w:rFonts w:ascii="Arial" w:hAnsi="Arial" w:cs="Arial"/>
          <w:sz w:val="20"/>
          <w:szCs w:val="20"/>
        </w:rPr>
        <w:t xml:space="preserve">), </w:t>
      </w:r>
      <w:r w:rsidR="00CE1287">
        <w:rPr>
          <w:rFonts w:ascii="Arial" w:hAnsi="Arial" w:cs="Arial"/>
          <w:sz w:val="20"/>
          <w:szCs w:val="20"/>
        </w:rPr>
        <w:t xml:space="preserve">               </w:t>
      </w:r>
      <w:r w:rsidRPr="00CE1287">
        <w:rPr>
          <w:rFonts w:ascii="Arial" w:hAnsi="Arial" w:cs="Arial"/>
          <w:sz w:val="20"/>
          <w:szCs w:val="20"/>
        </w:rPr>
        <w:t>SY – Straw yield (kg ha</w:t>
      </w:r>
      <w:r w:rsidRPr="00CE1287">
        <w:rPr>
          <w:rFonts w:ascii="Arial" w:hAnsi="Arial" w:cs="Arial"/>
          <w:sz w:val="20"/>
          <w:szCs w:val="20"/>
          <w:vertAlign w:val="superscript"/>
        </w:rPr>
        <w:t>-1</w:t>
      </w:r>
      <w:r w:rsidRPr="00CE1287">
        <w:rPr>
          <w:rFonts w:ascii="Arial" w:hAnsi="Arial" w:cs="Arial"/>
          <w:sz w:val="20"/>
          <w:szCs w:val="20"/>
        </w:rPr>
        <w:t>), TW – Test weight (g), HI – Harvest index</w:t>
      </w:r>
    </w:p>
    <w:p w14:paraId="0C3468EE" w14:textId="77777777" w:rsidR="009629D0" w:rsidRDefault="009629D0" w:rsidP="00390CF7">
      <w:pPr>
        <w:spacing w:line="360" w:lineRule="auto"/>
        <w:jc w:val="both"/>
        <w:rPr>
          <w:rFonts w:ascii="Arial" w:hAnsi="Arial" w:cs="Arial"/>
          <w:sz w:val="24"/>
          <w:szCs w:val="24"/>
        </w:rPr>
      </w:pPr>
    </w:p>
    <w:p w14:paraId="64B1B255" w14:textId="086E580C" w:rsidR="00390CF7" w:rsidRPr="00907444" w:rsidRDefault="009629D0" w:rsidP="00390CF7">
      <w:pPr>
        <w:spacing w:line="360" w:lineRule="auto"/>
        <w:jc w:val="both"/>
        <w:rPr>
          <w:rFonts w:ascii="Arial" w:hAnsi="Arial" w:cs="Arial"/>
          <w:sz w:val="24"/>
          <w:szCs w:val="24"/>
        </w:rPr>
      </w:pPr>
      <w:r>
        <w:rPr>
          <w:rFonts w:ascii="Arial" w:hAnsi="Arial" w:cs="Arial"/>
          <w:noProof/>
          <w:sz w:val="24"/>
          <w:szCs w:val="24"/>
          <w:lang w:eastAsia="en-IN"/>
        </w:rPr>
        <w:drawing>
          <wp:inline distT="0" distB="0" distL="0" distR="0" wp14:anchorId="780FEFA5" wp14:editId="2DDDA030">
            <wp:extent cx="8343053" cy="3516086"/>
            <wp:effectExtent l="0" t="0" r="1270" b="8255"/>
            <wp:docPr id="95644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3821" cy="3533267"/>
                    </a:xfrm>
                    <a:prstGeom prst="rect">
                      <a:avLst/>
                    </a:prstGeom>
                    <a:noFill/>
                  </pic:spPr>
                </pic:pic>
              </a:graphicData>
            </a:graphic>
          </wp:inline>
        </w:drawing>
      </w:r>
    </w:p>
    <w:p w14:paraId="10135939" w14:textId="77777777" w:rsidR="00390CF7" w:rsidRPr="00907444" w:rsidRDefault="00390CF7" w:rsidP="00390CF7">
      <w:pPr>
        <w:spacing w:line="360" w:lineRule="auto"/>
        <w:jc w:val="both"/>
        <w:rPr>
          <w:rFonts w:ascii="Arial" w:hAnsi="Arial" w:cs="Arial"/>
          <w:sz w:val="24"/>
          <w:szCs w:val="24"/>
        </w:rPr>
      </w:pPr>
    </w:p>
    <w:p w14:paraId="51529A3A" w14:textId="3C0183AA" w:rsidR="00390CF7" w:rsidRPr="00892A29" w:rsidRDefault="00390CF7" w:rsidP="00390CF7">
      <w:pPr>
        <w:jc w:val="center"/>
        <w:rPr>
          <w:rFonts w:ascii="Arial" w:hAnsi="Arial" w:cs="Arial"/>
          <w:b/>
          <w:bCs/>
        </w:rPr>
        <w:sectPr w:rsidR="00390CF7" w:rsidRPr="00892A29" w:rsidSect="00390CF7">
          <w:pgSz w:w="15840" w:h="12240" w:orient="landscape"/>
          <w:pgMar w:top="1440" w:right="1440" w:bottom="1440" w:left="1440" w:header="720" w:footer="720" w:gutter="0"/>
          <w:cols w:space="720"/>
          <w:docGrid w:linePitch="360"/>
        </w:sectPr>
      </w:pPr>
      <w:r w:rsidRPr="00892A29">
        <w:rPr>
          <w:rFonts w:ascii="Arial" w:hAnsi="Arial" w:cs="Arial"/>
          <w:b/>
          <w:bCs/>
        </w:rPr>
        <w:t xml:space="preserve">Fig. 2 Path diagram for direct and indirect effects of yield attributes on grain yield during </w:t>
      </w:r>
      <w:r w:rsidRPr="00892A29">
        <w:rPr>
          <w:rFonts w:ascii="Arial" w:hAnsi="Arial" w:cs="Arial"/>
          <w:b/>
          <w:bCs/>
          <w:i/>
          <w:iCs/>
        </w:rPr>
        <w:t>Rabi</w:t>
      </w:r>
      <w:r w:rsidRPr="00892A29">
        <w:rPr>
          <w:rFonts w:ascii="Arial" w:hAnsi="Arial" w:cs="Arial"/>
          <w:b/>
          <w:bCs/>
        </w:rPr>
        <w:t xml:space="preserve"> 2022-23 </w:t>
      </w:r>
    </w:p>
    <w:p w14:paraId="68F37796" w14:textId="77777777" w:rsidR="00390CF7" w:rsidRPr="00907444" w:rsidRDefault="00390CF7" w:rsidP="00390CF7">
      <w:pPr>
        <w:jc w:val="center"/>
        <w:rPr>
          <w:rFonts w:ascii="Arial" w:hAnsi="Arial" w:cs="Arial"/>
          <w:b/>
          <w:bCs/>
          <w:sz w:val="24"/>
          <w:szCs w:val="24"/>
        </w:rPr>
      </w:pPr>
    </w:p>
    <w:p w14:paraId="5F3FB17F" w14:textId="77777777" w:rsidR="00390CF7" w:rsidRPr="00892A29" w:rsidRDefault="00390CF7" w:rsidP="00390CF7">
      <w:pPr>
        <w:spacing w:line="360" w:lineRule="auto"/>
        <w:ind w:right="-217"/>
        <w:jc w:val="both"/>
        <w:rPr>
          <w:rFonts w:ascii="Arial" w:hAnsi="Arial" w:cs="Arial"/>
          <w:b/>
          <w:bCs/>
        </w:rPr>
      </w:pPr>
      <w:r w:rsidRPr="00892A29">
        <w:rPr>
          <w:rFonts w:ascii="Arial" w:hAnsi="Arial" w:cs="Arial"/>
          <w:b/>
          <w:bCs/>
        </w:rPr>
        <w:t xml:space="preserve">Table 1. Direct and indirect effects of yield attributes on grain yield during </w:t>
      </w:r>
      <w:r w:rsidRPr="00892A29">
        <w:rPr>
          <w:rFonts w:ascii="Arial" w:hAnsi="Arial" w:cs="Arial"/>
          <w:b/>
          <w:bCs/>
          <w:i/>
          <w:iCs/>
        </w:rPr>
        <w:t>Rabi</w:t>
      </w:r>
      <w:r w:rsidRPr="00892A29">
        <w:rPr>
          <w:rFonts w:ascii="Arial" w:hAnsi="Arial" w:cs="Arial"/>
          <w:b/>
          <w:bCs/>
        </w:rPr>
        <w:t xml:space="preserve"> 2022-23 </w:t>
      </w:r>
    </w:p>
    <w:tbl>
      <w:tblPr>
        <w:tblW w:w="13425" w:type="dxa"/>
        <w:tblLook w:val="04A0" w:firstRow="1" w:lastRow="0" w:firstColumn="1" w:lastColumn="0" w:noHBand="0" w:noVBand="1"/>
      </w:tblPr>
      <w:tblGrid>
        <w:gridCol w:w="1258"/>
        <w:gridCol w:w="897"/>
        <w:gridCol w:w="897"/>
        <w:gridCol w:w="897"/>
        <w:gridCol w:w="897"/>
        <w:gridCol w:w="897"/>
        <w:gridCol w:w="897"/>
        <w:gridCol w:w="897"/>
        <w:gridCol w:w="897"/>
        <w:gridCol w:w="897"/>
        <w:gridCol w:w="897"/>
        <w:gridCol w:w="897"/>
        <w:gridCol w:w="897"/>
        <w:gridCol w:w="1403"/>
      </w:tblGrid>
      <w:tr w:rsidR="00390CF7" w:rsidRPr="00892A29" w14:paraId="409B9265" w14:textId="77777777" w:rsidTr="00D542C2">
        <w:trPr>
          <w:trHeight w:val="443"/>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2989469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Trait</w:t>
            </w:r>
          </w:p>
        </w:tc>
        <w:tc>
          <w:tcPr>
            <w:tcW w:w="897" w:type="dxa"/>
            <w:tcBorders>
              <w:top w:val="single" w:sz="4" w:space="0" w:color="auto"/>
              <w:left w:val="nil"/>
              <w:bottom w:val="single" w:sz="4" w:space="0" w:color="auto"/>
              <w:right w:val="single" w:sz="4" w:space="0" w:color="auto"/>
            </w:tcBorders>
            <w:noWrap/>
            <w:vAlign w:val="center"/>
            <w:hideMark/>
          </w:tcPr>
          <w:p w14:paraId="126575C2"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DFF</w:t>
            </w:r>
          </w:p>
        </w:tc>
        <w:tc>
          <w:tcPr>
            <w:tcW w:w="897" w:type="dxa"/>
            <w:tcBorders>
              <w:top w:val="single" w:sz="4" w:space="0" w:color="auto"/>
              <w:left w:val="nil"/>
              <w:bottom w:val="single" w:sz="4" w:space="0" w:color="auto"/>
              <w:right w:val="single" w:sz="4" w:space="0" w:color="auto"/>
            </w:tcBorders>
            <w:noWrap/>
            <w:vAlign w:val="center"/>
            <w:hideMark/>
          </w:tcPr>
          <w:p w14:paraId="59634CB8"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PH</w:t>
            </w:r>
          </w:p>
        </w:tc>
        <w:tc>
          <w:tcPr>
            <w:tcW w:w="897" w:type="dxa"/>
            <w:tcBorders>
              <w:top w:val="single" w:sz="4" w:space="0" w:color="auto"/>
              <w:left w:val="nil"/>
              <w:bottom w:val="single" w:sz="4" w:space="0" w:color="auto"/>
              <w:right w:val="single" w:sz="4" w:space="0" w:color="auto"/>
            </w:tcBorders>
            <w:noWrap/>
            <w:vAlign w:val="center"/>
            <w:hideMark/>
          </w:tcPr>
          <w:p w14:paraId="5183265B"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TPT</w:t>
            </w:r>
          </w:p>
        </w:tc>
        <w:tc>
          <w:tcPr>
            <w:tcW w:w="897" w:type="dxa"/>
            <w:tcBorders>
              <w:top w:val="single" w:sz="4" w:space="0" w:color="auto"/>
              <w:left w:val="nil"/>
              <w:bottom w:val="single" w:sz="4" w:space="0" w:color="auto"/>
              <w:right w:val="single" w:sz="4" w:space="0" w:color="auto"/>
            </w:tcBorders>
            <w:noWrap/>
            <w:vAlign w:val="center"/>
            <w:hideMark/>
          </w:tcPr>
          <w:p w14:paraId="2F634009"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PL</w:t>
            </w:r>
          </w:p>
        </w:tc>
        <w:tc>
          <w:tcPr>
            <w:tcW w:w="897" w:type="dxa"/>
            <w:tcBorders>
              <w:top w:val="single" w:sz="4" w:space="0" w:color="auto"/>
              <w:left w:val="nil"/>
              <w:bottom w:val="single" w:sz="4" w:space="0" w:color="auto"/>
              <w:right w:val="single" w:sz="4" w:space="0" w:color="auto"/>
            </w:tcBorders>
            <w:noWrap/>
            <w:vAlign w:val="center"/>
            <w:hideMark/>
          </w:tcPr>
          <w:p w14:paraId="0D9C5DFB"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FG</w:t>
            </w:r>
          </w:p>
        </w:tc>
        <w:tc>
          <w:tcPr>
            <w:tcW w:w="897" w:type="dxa"/>
            <w:tcBorders>
              <w:top w:val="single" w:sz="4" w:space="0" w:color="auto"/>
              <w:left w:val="nil"/>
              <w:bottom w:val="single" w:sz="4" w:space="0" w:color="auto"/>
              <w:right w:val="single" w:sz="4" w:space="0" w:color="auto"/>
            </w:tcBorders>
            <w:noWrap/>
            <w:vAlign w:val="center"/>
            <w:hideMark/>
          </w:tcPr>
          <w:p w14:paraId="42CE2F50"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GP</w:t>
            </w:r>
          </w:p>
        </w:tc>
        <w:tc>
          <w:tcPr>
            <w:tcW w:w="897" w:type="dxa"/>
            <w:tcBorders>
              <w:top w:val="single" w:sz="4" w:space="0" w:color="auto"/>
              <w:left w:val="nil"/>
              <w:bottom w:val="single" w:sz="4" w:space="0" w:color="auto"/>
              <w:right w:val="single" w:sz="4" w:space="0" w:color="auto"/>
            </w:tcBorders>
            <w:noWrap/>
            <w:vAlign w:val="center"/>
            <w:hideMark/>
          </w:tcPr>
          <w:p w14:paraId="7AF9F4B0"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FP</w:t>
            </w:r>
          </w:p>
        </w:tc>
        <w:tc>
          <w:tcPr>
            <w:tcW w:w="897" w:type="dxa"/>
            <w:tcBorders>
              <w:top w:val="single" w:sz="4" w:space="0" w:color="auto"/>
              <w:left w:val="nil"/>
              <w:bottom w:val="single" w:sz="4" w:space="0" w:color="auto"/>
              <w:right w:val="single" w:sz="4" w:space="0" w:color="auto"/>
            </w:tcBorders>
            <w:noWrap/>
            <w:vAlign w:val="center"/>
            <w:hideMark/>
          </w:tcPr>
          <w:p w14:paraId="622D01F7"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FLL</w:t>
            </w:r>
          </w:p>
        </w:tc>
        <w:tc>
          <w:tcPr>
            <w:tcW w:w="897" w:type="dxa"/>
            <w:tcBorders>
              <w:top w:val="single" w:sz="4" w:space="0" w:color="auto"/>
              <w:left w:val="nil"/>
              <w:bottom w:val="single" w:sz="4" w:space="0" w:color="auto"/>
              <w:right w:val="single" w:sz="4" w:space="0" w:color="auto"/>
            </w:tcBorders>
            <w:noWrap/>
            <w:vAlign w:val="center"/>
            <w:hideMark/>
          </w:tcPr>
          <w:p w14:paraId="73B14EA6"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FLW</w:t>
            </w:r>
          </w:p>
        </w:tc>
        <w:tc>
          <w:tcPr>
            <w:tcW w:w="897" w:type="dxa"/>
            <w:tcBorders>
              <w:top w:val="single" w:sz="4" w:space="0" w:color="auto"/>
              <w:left w:val="nil"/>
              <w:bottom w:val="single" w:sz="4" w:space="0" w:color="auto"/>
              <w:right w:val="single" w:sz="4" w:space="0" w:color="auto"/>
            </w:tcBorders>
            <w:noWrap/>
            <w:vAlign w:val="center"/>
            <w:hideMark/>
          </w:tcPr>
          <w:p w14:paraId="7423220C"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SY</w:t>
            </w:r>
          </w:p>
        </w:tc>
        <w:tc>
          <w:tcPr>
            <w:tcW w:w="897" w:type="dxa"/>
            <w:tcBorders>
              <w:top w:val="single" w:sz="4" w:space="0" w:color="auto"/>
              <w:left w:val="nil"/>
              <w:bottom w:val="single" w:sz="4" w:space="0" w:color="auto"/>
              <w:right w:val="single" w:sz="4" w:space="0" w:color="auto"/>
            </w:tcBorders>
            <w:noWrap/>
            <w:vAlign w:val="center"/>
            <w:hideMark/>
          </w:tcPr>
          <w:p w14:paraId="02DE2E5C"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TW</w:t>
            </w:r>
          </w:p>
        </w:tc>
        <w:tc>
          <w:tcPr>
            <w:tcW w:w="897" w:type="dxa"/>
            <w:tcBorders>
              <w:top w:val="single" w:sz="4" w:space="0" w:color="auto"/>
              <w:left w:val="nil"/>
              <w:bottom w:val="single" w:sz="4" w:space="0" w:color="auto"/>
              <w:right w:val="single" w:sz="4" w:space="0" w:color="auto"/>
            </w:tcBorders>
            <w:noWrap/>
            <w:vAlign w:val="center"/>
            <w:hideMark/>
          </w:tcPr>
          <w:p w14:paraId="20A5269D"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HI</w:t>
            </w:r>
          </w:p>
        </w:tc>
        <w:tc>
          <w:tcPr>
            <w:tcW w:w="1403" w:type="dxa"/>
            <w:tcBorders>
              <w:top w:val="single" w:sz="4" w:space="0" w:color="auto"/>
              <w:left w:val="nil"/>
              <w:bottom w:val="single" w:sz="4" w:space="0" w:color="auto"/>
              <w:right w:val="single" w:sz="4" w:space="0" w:color="auto"/>
            </w:tcBorders>
            <w:noWrap/>
            <w:vAlign w:val="center"/>
            <w:hideMark/>
          </w:tcPr>
          <w:p w14:paraId="7AC7086F"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GY</w:t>
            </w:r>
          </w:p>
        </w:tc>
      </w:tr>
      <w:tr w:rsidR="00390CF7" w:rsidRPr="00892A29" w14:paraId="61CAC710"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2B4C0123"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DFF</w:t>
            </w:r>
          </w:p>
        </w:tc>
        <w:tc>
          <w:tcPr>
            <w:tcW w:w="897" w:type="dxa"/>
            <w:tcBorders>
              <w:top w:val="nil"/>
              <w:left w:val="nil"/>
              <w:bottom w:val="single" w:sz="4" w:space="0" w:color="auto"/>
              <w:right w:val="single" w:sz="4" w:space="0" w:color="auto"/>
            </w:tcBorders>
            <w:noWrap/>
            <w:vAlign w:val="center"/>
            <w:hideMark/>
          </w:tcPr>
          <w:p w14:paraId="1DD46A64"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0.041 </w:t>
            </w:r>
          </w:p>
        </w:tc>
        <w:tc>
          <w:tcPr>
            <w:tcW w:w="897" w:type="dxa"/>
            <w:tcBorders>
              <w:top w:val="nil"/>
              <w:left w:val="nil"/>
              <w:bottom w:val="single" w:sz="4" w:space="0" w:color="auto"/>
              <w:right w:val="single" w:sz="4" w:space="0" w:color="auto"/>
            </w:tcBorders>
            <w:noWrap/>
            <w:vAlign w:val="center"/>
            <w:hideMark/>
          </w:tcPr>
          <w:p w14:paraId="79024D8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68650DA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0.014 </w:t>
            </w:r>
          </w:p>
        </w:tc>
        <w:tc>
          <w:tcPr>
            <w:tcW w:w="897" w:type="dxa"/>
            <w:tcBorders>
              <w:top w:val="nil"/>
              <w:left w:val="nil"/>
              <w:bottom w:val="single" w:sz="4" w:space="0" w:color="auto"/>
              <w:right w:val="single" w:sz="4" w:space="0" w:color="auto"/>
            </w:tcBorders>
            <w:noWrap/>
            <w:vAlign w:val="center"/>
            <w:hideMark/>
          </w:tcPr>
          <w:p w14:paraId="07C9C92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63370FA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0.033 </w:t>
            </w:r>
          </w:p>
        </w:tc>
        <w:tc>
          <w:tcPr>
            <w:tcW w:w="897" w:type="dxa"/>
            <w:tcBorders>
              <w:top w:val="nil"/>
              <w:left w:val="nil"/>
              <w:bottom w:val="single" w:sz="4" w:space="0" w:color="auto"/>
              <w:right w:val="single" w:sz="4" w:space="0" w:color="auto"/>
            </w:tcBorders>
            <w:noWrap/>
            <w:vAlign w:val="center"/>
            <w:hideMark/>
          </w:tcPr>
          <w:p w14:paraId="5260206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-0.027 </w:t>
            </w:r>
          </w:p>
        </w:tc>
        <w:tc>
          <w:tcPr>
            <w:tcW w:w="897" w:type="dxa"/>
            <w:tcBorders>
              <w:top w:val="nil"/>
              <w:left w:val="nil"/>
              <w:bottom w:val="single" w:sz="4" w:space="0" w:color="auto"/>
              <w:right w:val="single" w:sz="4" w:space="0" w:color="auto"/>
            </w:tcBorders>
            <w:noWrap/>
            <w:vAlign w:val="center"/>
            <w:hideMark/>
          </w:tcPr>
          <w:p w14:paraId="4CC80C1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0.008 </w:t>
            </w:r>
          </w:p>
        </w:tc>
        <w:tc>
          <w:tcPr>
            <w:tcW w:w="897" w:type="dxa"/>
            <w:tcBorders>
              <w:top w:val="nil"/>
              <w:left w:val="nil"/>
              <w:bottom w:val="single" w:sz="4" w:space="0" w:color="auto"/>
              <w:right w:val="single" w:sz="4" w:space="0" w:color="auto"/>
            </w:tcBorders>
            <w:noWrap/>
            <w:vAlign w:val="center"/>
            <w:hideMark/>
          </w:tcPr>
          <w:p w14:paraId="3184FE8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5624C2D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5B54082D"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41CA7E2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1056E69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0.276 </w:t>
            </w:r>
          </w:p>
        </w:tc>
        <w:tc>
          <w:tcPr>
            <w:tcW w:w="1403" w:type="dxa"/>
            <w:tcBorders>
              <w:top w:val="nil"/>
              <w:left w:val="nil"/>
              <w:bottom w:val="single" w:sz="4" w:space="0" w:color="auto"/>
              <w:right w:val="single" w:sz="4" w:space="0" w:color="auto"/>
            </w:tcBorders>
            <w:noWrap/>
            <w:vAlign w:val="center"/>
            <w:hideMark/>
          </w:tcPr>
          <w:p w14:paraId="70D97783"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0.338***</w:t>
            </w:r>
          </w:p>
        </w:tc>
      </w:tr>
      <w:tr w:rsidR="00390CF7" w:rsidRPr="00892A29" w14:paraId="5001F23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3B438EFF"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PH</w:t>
            </w:r>
          </w:p>
        </w:tc>
        <w:tc>
          <w:tcPr>
            <w:tcW w:w="897" w:type="dxa"/>
            <w:tcBorders>
              <w:top w:val="nil"/>
              <w:left w:val="nil"/>
              <w:bottom w:val="single" w:sz="4" w:space="0" w:color="auto"/>
              <w:right w:val="single" w:sz="4" w:space="0" w:color="auto"/>
            </w:tcBorders>
            <w:noWrap/>
            <w:vAlign w:val="center"/>
            <w:hideMark/>
          </w:tcPr>
          <w:p w14:paraId="29D1B2D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6CC6B2A7"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0.063 </w:t>
            </w:r>
          </w:p>
        </w:tc>
        <w:tc>
          <w:tcPr>
            <w:tcW w:w="897" w:type="dxa"/>
            <w:tcBorders>
              <w:top w:val="nil"/>
              <w:left w:val="nil"/>
              <w:bottom w:val="single" w:sz="4" w:space="0" w:color="auto"/>
              <w:right w:val="single" w:sz="4" w:space="0" w:color="auto"/>
            </w:tcBorders>
            <w:noWrap/>
            <w:vAlign w:val="center"/>
            <w:hideMark/>
          </w:tcPr>
          <w:p w14:paraId="1DC094A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-0.043 </w:t>
            </w:r>
          </w:p>
        </w:tc>
        <w:tc>
          <w:tcPr>
            <w:tcW w:w="897" w:type="dxa"/>
            <w:tcBorders>
              <w:top w:val="nil"/>
              <w:left w:val="nil"/>
              <w:bottom w:val="single" w:sz="4" w:space="0" w:color="auto"/>
              <w:right w:val="single" w:sz="4" w:space="0" w:color="auto"/>
            </w:tcBorders>
            <w:noWrap/>
            <w:vAlign w:val="center"/>
            <w:hideMark/>
          </w:tcPr>
          <w:p w14:paraId="00127D9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-0.022 </w:t>
            </w:r>
          </w:p>
        </w:tc>
        <w:tc>
          <w:tcPr>
            <w:tcW w:w="897" w:type="dxa"/>
            <w:tcBorders>
              <w:top w:val="nil"/>
              <w:left w:val="nil"/>
              <w:bottom w:val="single" w:sz="4" w:space="0" w:color="auto"/>
              <w:right w:val="single" w:sz="4" w:space="0" w:color="auto"/>
            </w:tcBorders>
            <w:noWrap/>
            <w:vAlign w:val="center"/>
            <w:hideMark/>
          </w:tcPr>
          <w:p w14:paraId="6068DDE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0.028 </w:t>
            </w:r>
          </w:p>
        </w:tc>
        <w:tc>
          <w:tcPr>
            <w:tcW w:w="897" w:type="dxa"/>
            <w:tcBorders>
              <w:top w:val="nil"/>
              <w:left w:val="nil"/>
              <w:bottom w:val="single" w:sz="4" w:space="0" w:color="auto"/>
              <w:right w:val="single" w:sz="4" w:space="0" w:color="auto"/>
            </w:tcBorders>
            <w:noWrap/>
            <w:vAlign w:val="center"/>
            <w:hideMark/>
          </w:tcPr>
          <w:p w14:paraId="32169F4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28E9F1B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31E9C6ED"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08151B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2C285DE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0.105 </w:t>
            </w:r>
          </w:p>
        </w:tc>
        <w:tc>
          <w:tcPr>
            <w:tcW w:w="897" w:type="dxa"/>
            <w:tcBorders>
              <w:top w:val="nil"/>
              <w:left w:val="nil"/>
              <w:bottom w:val="single" w:sz="4" w:space="0" w:color="auto"/>
              <w:right w:val="single" w:sz="4" w:space="0" w:color="auto"/>
            </w:tcBorders>
            <w:noWrap/>
            <w:vAlign w:val="center"/>
            <w:hideMark/>
          </w:tcPr>
          <w:p w14:paraId="23A735F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60CE36C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-0.335 </w:t>
            </w:r>
          </w:p>
        </w:tc>
        <w:tc>
          <w:tcPr>
            <w:tcW w:w="1403" w:type="dxa"/>
            <w:tcBorders>
              <w:top w:val="nil"/>
              <w:left w:val="nil"/>
              <w:bottom w:val="single" w:sz="4" w:space="0" w:color="auto"/>
              <w:right w:val="single" w:sz="4" w:space="0" w:color="auto"/>
            </w:tcBorders>
            <w:noWrap/>
            <w:vAlign w:val="center"/>
            <w:hideMark/>
          </w:tcPr>
          <w:p w14:paraId="62180EF0"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-0.228***</w:t>
            </w:r>
          </w:p>
        </w:tc>
      </w:tr>
      <w:tr w:rsidR="00390CF7" w:rsidRPr="00892A29" w14:paraId="69594D2C"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75B515F1"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TPT</w:t>
            </w:r>
          </w:p>
        </w:tc>
        <w:tc>
          <w:tcPr>
            <w:tcW w:w="897" w:type="dxa"/>
            <w:tcBorders>
              <w:top w:val="nil"/>
              <w:left w:val="nil"/>
              <w:bottom w:val="single" w:sz="4" w:space="0" w:color="auto"/>
              <w:right w:val="single" w:sz="4" w:space="0" w:color="auto"/>
            </w:tcBorders>
            <w:noWrap/>
            <w:vAlign w:val="center"/>
            <w:hideMark/>
          </w:tcPr>
          <w:p w14:paraId="3F17BE1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0CE3E51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-0.029 </w:t>
            </w:r>
          </w:p>
        </w:tc>
        <w:tc>
          <w:tcPr>
            <w:tcW w:w="897" w:type="dxa"/>
            <w:tcBorders>
              <w:top w:val="nil"/>
              <w:left w:val="nil"/>
              <w:bottom w:val="single" w:sz="4" w:space="0" w:color="auto"/>
              <w:right w:val="single" w:sz="4" w:space="0" w:color="auto"/>
            </w:tcBorders>
            <w:noWrap/>
            <w:vAlign w:val="center"/>
            <w:hideMark/>
          </w:tcPr>
          <w:p w14:paraId="1DD8D623"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0.093 </w:t>
            </w:r>
          </w:p>
        </w:tc>
        <w:tc>
          <w:tcPr>
            <w:tcW w:w="897" w:type="dxa"/>
            <w:tcBorders>
              <w:top w:val="nil"/>
              <w:left w:val="nil"/>
              <w:bottom w:val="single" w:sz="4" w:space="0" w:color="auto"/>
              <w:right w:val="single" w:sz="4" w:space="0" w:color="auto"/>
            </w:tcBorders>
            <w:noWrap/>
            <w:vAlign w:val="center"/>
            <w:hideMark/>
          </w:tcPr>
          <w:p w14:paraId="229BBF5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4C07BF5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-0.016 </w:t>
            </w:r>
          </w:p>
        </w:tc>
        <w:tc>
          <w:tcPr>
            <w:tcW w:w="897" w:type="dxa"/>
            <w:tcBorders>
              <w:top w:val="nil"/>
              <w:left w:val="nil"/>
              <w:bottom w:val="single" w:sz="4" w:space="0" w:color="auto"/>
              <w:right w:val="single" w:sz="4" w:space="0" w:color="auto"/>
            </w:tcBorders>
            <w:noWrap/>
            <w:vAlign w:val="center"/>
            <w:hideMark/>
          </w:tcPr>
          <w:p w14:paraId="60449E4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0.015 </w:t>
            </w:r>
          </w:p>
        </w:tc>
        <w:tc>
          <w:tcPr>
            <w:tcW w:w="897" w:type="dxa"/>
            <w:tcBorders>
              <w:top w:val="nil"/>
              <w:left w:val="nil"/>
              <w:bottom w:val="single" w:sz="4" w:space="0" w:color="auto"/>
              <w:right w:val="single" w:sz="4" w:space="0" w:color="auto"/>
            </w:tcBorders>
            <w:noWrap/>
            <w:vAlign w:val="center"/>
            <w:hideMark/>
          </w:tcPr>
          <w:p w14:paraId="43783D8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6DCCE3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0FE0D97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4003AC3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0.110 </w:t>
            </w:r>
          </w:p>
        </w:tc>
        <w:tc>
          <w:tcPr>
            <w:tcW w:w="897" w:type="dxa"/>
            <w:tcBorders>
              <w:top w:val="nil"/>
              <w:left w:val="nil"/>
              <w:bottom w:val="single" w:sz="4" w:space="0" w:color="auto"/>
              <w:right w:val="single" w:sz="4" w:space="0" w:color="auto"/>
            </w:tcBorders>
            <w:noWrap/>
            <w:vAlign w:val="center"/>
            <w:hideMark/>
          </w:tcPr>
          <w:p w14:paraId="67F332E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77F43E6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0.271 </w:t>
            </w:r>
          </w:p>
        </w:tc>
        <w:tc>
          <w:tcPr>
            <w:tcW w:w="1403" w:type="dxa"/>
            <w:tcBorders>
              <w:top w:val="nil"/>
              <w:left w:val="nil"/>
              <w:bottom w:val="single" w:sz="4" w:space="0" w:color="auto"/>
              <w:right w:val="single" w:sz="4" w:space="0" w:color="auto"/>
            </w:tcBorders>
            <w:noWrap/>
            <w:vAlign w:val="center"/>
            <w:hideMark/>
          </w:tcPr>
          <w:p w14:paraId="700ACCA2"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0.456*** </w:t>
            </w:r>
          </w:p>
        </w:tc>
      </w:tr>
      <w:tr w:rsidR="00390CF7" w:rsidRPr="00892A29" w14:paraId="67327713"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21F28799"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PL</w:t>
            </w:r>
          </w:p>
        </w:tc>
        <w:tc>
          <w:tcPr>
            <w:tcW w:w="897" w:type="dxa"/>
            <w:tcBorders>
              <w:top w:val="nil"/>
              <w:left w:val="nil"/>
              <w:bottom w:val="single" w:sz="4" w:space="0" w:color="auto"/>
              <w:right w:val="single" w:sz="4" w:space="0" w:color="auto"/>
            </w:tcBorders>
            <w:noWrap/>
            <w:vAlign w:val="center"/>
            <w:hideMark/>
          </w:tcPr>
          <w:p w14:paraId="7048C0A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3214098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0.044 </w:t>
            </w:r>
          </w:p>
        </w:tc>
        <w:tc>
          <w:tcPr>
            <w:tcW w:w="897" w:type="dxa"/>
            <w:tcBorders>
              <w:top w:val="nil"/>
              <w:left w:val="nil"/>
              <w:bottom w:val="single" w:sz="4" w:space="0" w:color="auto"/>
              <w:right w:val="single" w:sz="4" w:space="0" w:color="auto"/>
            </w:tcBorders>
            <w:noWrap/>
            <w:vAlign w:val="center"/>
            <w:hideMark/>
          </w:tcPr>
          <w:p w14:paraId="45BF77A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-0.026 </w:t>
            </w:r>
          </w:p>
        </w:tc>
        <w:tc>
          <w:tcPr>
            <w:tcW w:w="897" w:type="dxa"/>
            <w:tcBorders>
              <w:top w:val="nil"/>
              <w:left w:val="nil"/>
              <w:bottom w:val="single" w:sz="4" w:space="0" w:color="auto"/>
              <w:right w:val="single" w:sz="4" w:space="0" w:color="auto"/>
            </w:tcBorders>
            <w:noWrap/>
            <w:vAlign w:val="center"/>
            <w:hideMark/>
          </w:tcPr>
          <w:p w14:paraId="5D5E5786"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-0.032 </w:t>
            </w:r>
          </w:p>
        </w:tc>
        <w:tc>
          <w:tcPr>
            <w:tcW w:w="897" w:type="dxa"/>
            <w:tcBorders>
              <w:top w:val="nil"/>
              <w:left w:val="nil"/>
              <w:bottom w:val="single" w:sz="4" w:space="0" w:color="auto"/>
              <w:right w:val="single" w:sz="4" w:space="0" w:color="auto"/>
            </w:tcBorders>
            <w:noWrap/>
            <w:vAlign w:val="center"/>
            <w:hideMark/>
          </w:tcPr>
          <w:p w14:paraId="0750945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0.048 </w:t>
            </w:r>
          </w:p>
        </w:tc>
        <w:tc>
          <w:tcPr>
            <w:tcW w:w="897" w:type="dxa"/>
            <w:tcBorders>
              <w:top w:val="nil"/>
              <w:left w:val="nil"/>
              <w:bottom w:val="single" w:sz="4" w:space="0" w:color="auto"/>
              <w:right w:val="single" w:sz="4" w:space="0" w:color="auto"/>
            </w:tcBorders>
            <w:noWrap/>
            <w:vAlign w:val="center"/>
            <w:hideMark/>
          </w:tcPr>
          <w:p w14:paraId="3956725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-0.036 </w:t>
            </w:r>
          </w:p>
        </w:tc>
        <w:tc>
          <w:tcPr>
            <w:tcW w:w="897" w:type="dxa"/>
            <w:tcBorders>
              <w:top w:val="nil"/>
              <w:left w:val="nil"/>
              <w:bottom w:val="single" w:sz="4" w:space="0" w:color="auto"/>
              <w:right w:val="single" w:sz="4" w:space="0" w:color="auto"/>
            </w:tcBorders>
            <w:noWrap/>
            <w:vAlign w:val="center"/>
            <w:hideMark/>
          </w:tcPr>
          <w:p w14:paraId="446E478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55BBF06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26023C6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3ED493A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0.124 </w:t>
            </w:r>
          </w:p>
        </w:tc>
        <w:tc>
          <w:tcPr>
            <w:tcW w:w="897" w:type="dxa"/>
            <w:tcBorders>
              <w:top w:val="nil"/>
              <w:left w:val="nil"/>
              <w:bottom w:val="single" w:sz="4" w:space="0" w:color="auto"/>
              <w:right w:val="single" w:sz="4" w:space="0" w:color="auto"/>
            </w:tcBorders>
            <w:noWrap/>
            <w:vAlign w:val="center"/>
            <w:hideMark/>
          </w:tcPr>
          <w:p w14:paraId="7C319C7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164CC53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-0.123 </w:t>
            </w:r>
          </w:p>
        </w:tc>
        <w:tc>
          <w:tcPr>
            <w:tcW w:w="1403" w:type="dxa"/>
            <w:tcBorders>
              <w:top w:val="nil"/>
              <w:left w:val="nil"/>
              <w:bottom w:val="single" w:sz="4" w:space="0" w:color="auto"/>
              <w:right w:val="single" w:sz="4" w:space="0" w:color="auto"/>
            </w:tcBorders>
            <w:noWrap/>
            <w:vAlign w:val="center"/>
            <w:hideMark/>
          </w:tcPr>
          <w:p w14:paraId="1A37BBF5"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0.010</w:t>
            </w:r>
          </w:p>
        </w:tc>
      </w:tr>
      <w:tr w:rsidR="00390CF7" w:rsidRPr="00892A29" w14:paraId="43749D9F"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160F0246"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FG</w:t>
            </w:r>
          </w:p>
        </w:tc>
        <w:tc>
          <w:tcPr>
            <w:tcW w:w="897" w:type="dxa"/>
            <w:tcBorders>
              <w:top w:val="nil"/>
              <w:left w:val="nil"/>
              <w:bottom w:val="single" w:sz="4" w:space="0" w:color="auto"/>
              <w:right w:val="single" w:sz="4" w:space="0" w:color="auto"/>
            </w:tcBorders>
            <w:noWrap/>
            <w:vAlign w:val="center"/>
            <w:hideMark/>
          </w:tcPr>
          <w:p w14:paraId="58D7004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0.016 </w:t>
            </w:r>
          </w:p>
        </w:tc>
        <w:tc>
          <w:tcPr>
            <w:tcW w:w="897" w:type="dxa"/>
            <w:tcBorders>
              <w:top w:val="nil"/>
              <w:left w:val="nil"/>
              <w:bottom w:val="single" w:sz="4" w:space="0" w:color="auto"/>
              <w:right w:val="single" w:sz="4" w:space="0" w:color="auto"/>
            </w:tcBorders>
            <w:noWrap/>
            <w:vAlign w:val="center"/>
            <w:hideMark/>
          </w:tcPr>
          <w:p w14:paraId="4B31D31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517C27D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-0.018 </w:t>
            </w:r>
          </w:p>
        </w:tc>
        <w:tc>
          <w:tcPr>
            <w:tcW w:w="897" w:type="dxa"/>
            <w:tcBorders>
              <w:top w:val="nil"/>
              <w:left w:val="nil"/>
              <w:bottom w:val="single" w:sz="4" w:space="0" w:color="auto"/>
              <w:right w:val="single" w:sz="4" w:space="0" w:color="auto"/>
            </w:tcBorders>
            <w:noWrap/>
            <w:vAlign w:val="center"/>
            <w:hideMark/>
          </w:tcPr>
          <w:p w14:paraId="23125BE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-0.018 </w:t>
            </w:r>
          </w:p>
        </w:tc>
        <w:tc>
          <w:tcPr>
            <w:tcW w:w="897" w:type="dxa"/>
            <w:tcBorders>
              <w:top w:val="nil"/>
              <w:left w:val="nil"/>
              <w:bottom w:val="single" w:sz="4" w:space="0" w:color="auto"/>
              <w:right w:val="single" w:sz="4" w:space="0" w:color="auto"/>
            </w:tcBorders>
            <w:noWrap/>
            <w:vAlign w:val="center"/>
            <w:hideMark/>
          </w:tcPr>
          <w:p w14:paraId="125D3245"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0.084 </w:t>
            </w:r>
          </w:p>
        </w:tc>
        <w:tc>
          <w:tcPr>
            <w:tcW w:w="897" w:type="dxa"/>
            <w:tcBorders>
              <w:top w:val="nil"/>
              <w:left w:val="nil"/>
              <w:bottom w:val="single" w:sz="4" w:space="0" w:color="auto"/>
              <w:right w:val="single" w:sz="4" w:space="0" w:color="auto"/>
            </w:tcBorders>
            <w:noWrap/>
            <w:vAlign w:val="center"/>
            <w:hideMark/>
          </w:tcPr>
          <w:p w14:paraId="1C5E4A2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-0.057 </w:t>
            </w:r>
          </w:p>
        </w:tc>
        <w:tc>
          <w:tcPr>
            <w:tcW w:w="897" w:type="dxa"/>
            <w:tcBorders>
              <w:top w:val="nil"/>
              <w:left w:val="nil"/>
              <w:bottom w:val="single" w:sz="4" w:space="0" w:color="auto"/>
              <w:right w:val="single" w:sz="4" w:space="0" w:color="auto"/>
            </w:tcBorders>
            <w:noWrap/>
            <w:vAlign w:val="center"/>
            <w:hideMark/>
          </w:tcPr>
          <w:p w14:paraId="684E64E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22828D8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057C14B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04336B7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0.131 </w:t>
            </w:r>
          </w:p>
        </w:tc>
        <w:tc>
          <w:tcPr>
            <w:tcW w:w="897" w:type="dxa"/>
            <w:tcBorders>
              <w:top w:val="nil"/>
              <w:left w:val="nil"/>
              <w:bottom w:val="single" w:sz="4" w:space="0" w:color="auto"/>
              <w:right w:val="single" w:sz="4" w:space="0" w:color="auto"/>
            </w:tcBorders>
            <w:noWrap/>
            <w:vAlign w:val="center"/>
            <w:hideMark/>
          </w:tcPr>
          <w:p w14:paraId="43ADF2B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0346464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0.100 </w:t>
            </w:r>
          </w:p>
        </w:tc>
        <w:tc>
          <w:tcPr>
            <w:tcW w:w="1403" w:type="dxa"/>
            <w:tcBorders>
              <w:top w:val="nil"/>
              <w:left w:val="nil"/>
              <w:bottom w:val="single" w:sz="4" w:space="0" w:color="auto"/>
              <w:right w:val="single" w:sz="4" w:space="0" w:color="auto"/>
            </w:tcBorders>
            <w:noWrap/>
            <w:vAlign w:val="center"/>
            <w:hideMark/>
          </w:tcPr>
          <w:p w14:paraId="3A03EBAA"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0.252*** </w:t>
            </w:r>
          </w:p>
        </w:tc>
      </w:tr>
      <w:tr w:rsidR="00390CF7" w:rsidRPr="00892A29" w14:paraId="09C9D06A"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6BCFA477"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GP</w:t>
            </w:r>
          </w:p>
        </w:tc>
        <w:tc>
          <w:tcPr>
            <w:tcW w:w="897" w:type="dxa"/>
            <w:tcBorders>
              <w:top w:val="nil"/>
              <w:left w:val="nil"/>
              <w:bottom w:val="single" w:sz="4" w:space="0" w:color="auto"/>
              <w:right w:val="single" w:sz="4" w:space="0" w:color="auto"/>
            </w:tcBorders>
            <w:noWrap/>
            <w:vAlign w:val="center"/>
            <w:hideMark/>
          </w:tcPr>
          <w:p w14:paraId="17E562E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0.017 </w:t>
            </w:r>
          </w:p>
        </w:tc>
        <w:tc>
          <w:tcPr>
            <w:tcW w:w="897" w:type="dxa"/>
            <w:tcBorders>
              <w:top w:val="nil"/>
              <w:left w:val="nil"/>
              <w:bottom w:val="single" w:sz="4" w:space="0" w:color="auto"/>
              <w:right w:val="single" w:sz="4" w:space="0" w:color="auto"/>
            </w:tcBorders>
            <w:noWrap/>
            <w:vAlign w:val="center"/>
            <w:hideMark/>
          </w:tcPr>
          <w:p w14:paraId="5610843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52AE4B8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0394C12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-0.018 </w:t>
            </w:r>
          </w:p>
        </w:tc>
        <w:tc>
          <w:tcPr>
            <w:tcW w:w="897" w:type="dxa"/>
            <w:tcBorders>
              <w:top w:val="nil"/>
              <w:left w:val="nil"/>
              <w:bottom w:val="single" w:sz="4" w:space="0" w:color="auto"/>
              <w:right w:val="single" w:sz="4" w:space="0" w:color="auto"/>
            </w:tcBorders>
            <w:noWrap/>
            <w:vAlign w:val="center"/>
            <w:hideMark/>
          </w:tcPr>
          <w:p w14:paraId="7CC1DA3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0.076 </w:t>
            </w:r>
          </w:p>
        </w:tc>
        <w:tc>
          <w:tcPr>
            <w:tcW w:w="897" w:type="dxa"/>
            <w:tcBorders>
              <w:top w:val="nil"/>
              <w:left w:val="nil"/>
              <w:bottom w:val="single" w:sz="4" w:space="0" w:color="auto"/>
              <w:right w:val="single" w:sz="4" w:space="0" w:color="auto"/>
            </w:tcBorders>
            <w:noWrap/>
            <w:vAlign w:val="center"/>
            <w:hideMark/>
          </w:tcPr>
          <w:p w14:paraId="33DD57E8"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-0.063 </w:t>
            </w:r>
          </w:p>
        </w:tc>
        <w:tc>
          <w:tcPr>
            <w:tcW w:w="897" w:type="dxa"/>
            <w:tcBorders>
              <w:top w:val="nil"/>
              <w:left w:val="nil"/>
              <w:bottom w:val="single" w:sz="4" w:space="0" w:color="auto"/>
              <w:right w:val="single" w:sz="4" w:space="0" w:color="auto"/>
            </w:tcBorders>
            <w:noWrap/>
            <w:vAlign w:val="center"/>
            <w:hideMark/>
          </w:tcPr>
          <w:p w14:paraId="4D8236B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0.017 </w:t>
            </w:r>
          </w:p>
        </w:tc>
        <w:tc>
          <w:tcPr>
            <w:tcW w:w="897" w:type="dxa"/>
            <w:tcBorders>
              <w:top w:val="nil"/>
              <w:left w:val="nil"/>
              <w:bottom w:val="single" w:sz="4" w:space="0" w:color="auto"/>
              <w:right w:val="single" w:sz="4" w:space="0" w:color="auto"/>
            </w:tcBorders>
            <w:noWrap/>
            <w:vAlign w:val="center"/>
            <w:hideMark/>
          </w:tcPr>
          <w:p w14:paraId="177A301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45930CB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355B8AB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0.114 </w:t>
            </w:r>
          </w:p>
        </w:tc>
        <w:tc>
          <w:tcPr>
            <w:tcW w:w="897" w:type="dxa"/>
            <w:tcBorders>
              <w:top w:val="nil"/>
              <w:left w:val="nil"/>
              <w:bottom w:val="single" w:sz="4" w:space="0" w:color="auto"/>
              <w:right w:val="single" w:sz="4" w:space="0" w:color="auto"/>
            </w:tcBorders>
            <w:noWrap/>
            <w:vAlign w:val="center"/>
            <w:hideMark/>
          </w:tcPr>
          <w:p w14:paraId="13E57E3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66273DB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0.059 </w:t>
            </w:r>
          </w:p>
        </w:tc>
        <w:tc>
          <w:tcPr>
            <w:tcW w:w="1403" w:type="dxa"/>
            <w:tcBorders>
              <w:top w:val="nil"/>
              <w:left w:val="nil"/>
              <w:bottom w:val="single" w:sz="4" w:space="0" w:color="auto"/>
              <w:right w:val="single" w:sz="4" w:space="0" w:color="auto"/>
            </w:tcBorders>
            <w:noWrap/>
            <w:vAlign w:val="center"/>
            <w:hideMark/>
          </w:tcPr>
          <w:p w14:paraId="0A76C755"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0.199** </w:t>
            </w:r>
          </w:p>
        </w:tc>
      </w:tr>
      <w:tr w:rsidR="00390CF7" w:rsidRPr="00892A29" w14:paraId="13F322C8"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1E4D1F6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FP</w:t>
            </w:r>
          </w:p>
        </w:tc>
        <w:tc>
          <w:tcPr>
            <w:tcW w:w="897" w:type="dxa"/>
            <w:tcBorders>
              <w:top w:val="nil"/>
              <w:left w:val="nil"/>
              <w:bottom w:val="single" w:sz="4" w:space="0" w:color="auto"/>
              <w:right w:val="single" w:sz="4" w:space="0" w:color="auto"/>
            </w:tcBorders>
            <w:noWrap/>
            <w:vAlign w:val="center"/>
            <w:hideMark/>
          </w:tcPr>
          <w:p w14:paraId="0FBA119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042055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2FD447A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0.011 </w:t>
            </w:r>
          </w:p>
        </w:tc>
        <w:tc>
          <w:tcPr>
            <w:tcW w:w="897" w:type="dxa"/>
            <w:tcBorders>
              <w:top w:val="nil"/>
              <w:left w:val="nil"/>
              <w:bottom w:val="single" w:sz="4" w:space="0" w:color="auto"/>
              <w:right w:val="single" w:sz="4" w:space="0" w:color="auto"/>
            </w:tcBorders>
            <w:noWrap/>
            <w:vAlign w:val="center"/>
            <w:hideMark/>
          </w:tcPr>
          <w:p w14:paraId="7DCEACF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7CCE2F8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0D02706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319F5DA9"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-0.050 </w:t>
            </w:r>
          </w:p>
        </w:tc>
        <w:tc>
          <w:tcPr>
            <w:tcW w:w="897" w:type="dxa"/>
            <w:tcBorders>
              <w:top w:val="nil"/>
              <w:left w:val="nil"/>
              <w:bottom w:val="single" w:sz="4" w:space="0" w:color="auto"/>
              <w:right w:val="single" w:sz="4" w:space="0" w:color="auto"/>
            </w:tcBorders>
            <w:noWrap/>
            <w:vAlign w:val="center"/>
            <w:hideMark/>
          </w:tcPr>
          <w:p w14:paraId="49D8FD5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247C412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4DDD799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0.036 </w:t>
            </w:r>
          </w:p>
        </w:tc>
        <w:tc>
          <w:tcPr>
            <w:tcW w:w="897" w:type="dxa"/>
            <w:tcBorders>
              <w:top w:val="nil"/>
              <w:left w:val="nil"/>
              <w:bottom w:val="single" w:sz="4" w:space="0" w:color="auto"/>
              <w:right w:val="single" w:sz="4" w:space="0" w:color="auto"/>
            </w:tcBorders>
            <w:noWrap/>
            <w:vAlign w:val="center"/>
            <w:hideMark/>
          </w:tcPr>
          <w:p w14:paraId="448EAE0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30B765BD"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0.073 </w:t>
            </w:r>
          </w:p>
        </w:tc>
        <w:tc>
          <w:tcPr>
            <w:tcW w:w="1403" w:type="dxa"/>
            <w:tcBorders>
              <w:top w:val="nil"/>
              <w:left w:val="nil"/>
              <w:bottom w:val="single" w:sz="4" w:space="0" w:color="auto"/>
              <w:right w:val="single" w:sz="4" w:space="0" w:color="auto"/>
            </w:tcBorders>
            <w:noWrap/>
            <w:vAlign w:val="center"/>
            <w:hideMark/>
          </w:tcPr>
          <w:p w14:paraId="06C6CEAB"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0.092</w:t>
            </w:r>
          </w:p>
        </w:tc>
      </w:tr>
      <w:tr w:rsidR="00390CF7" w:rsidRPr="00892A29" w14:paraId="08E5A26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718A1005"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FLL</w:t>
            </w:r>
          </w:p>
        </w:tc>
        <w:tc>
          <w:tcPr>
            <w:tcW w:w="897" w:type="dxa"/>
            <w:tcBorders>
              <w:top w:val="nil"/>
              <w:left w:val="nil"/>
              <w:bottom w:val="single" w:sz="4" w:space="0" w:color="auto"/>
              <w:right w:val="single" w:sz="4" w:space="0" w:color="auto"/>
            </w:tcBorders>
            <w:noWrap/>
            <w:vAlign w:val="center"/>
            <w:hideMark/>
          </w:tcPr>
          <w:p w14:paraId="589586F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7B67114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0.027 </w:t>
            </w:r>
          </w:p>
        </w:tc>
        <w:tc>
          <w:tcPr>
            <w:tcW w:w="897" w:type="dxa"/>
            <w:tcBorders>
              <w:top w:val="nil"/>
              <w:left w:val="nil"/>
              <w:bottom w:val="single" w:sz="4" w:space="0" w:color="auto"/>
              <w:right w:val="single" w:sz="4" w:space="0" w:color="auto"/>
            </w:tcBorders>
            <w:noWrap/>
            <w:vAlign w:val="center"/>
            <w:hideMark/>
          </w:tcPr>
          <w:p w14:paraId="3C0F04C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-0.026 </w:t>
            </w:r>
          </w:p>
        </w:tc>
        <w:tc>
          <w:tcPr>
            <w:tcW w:w="897" w:type="dxa"/>
            <w:tcBorders>
              <w:top w:val="nil"/>
              <w:left w:val="nil"/>
              <w:bottom w:val="single" w:sz="4" w:space="0" w:color="auto"/>
              <w:right w:val="single" w:sz="4" w:space="0" w:color="auto"/>
            </w:tcBorders>
            <w:noWrap/>
            <w:vAlign w:val="center"/>
            <w:hideMark/>
          </w:tcPr>
          <w:p w14:paraId="2736DF1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7F197A4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0.014 </w:t>
            </w:r>
          </w:p>
        </w:tc>
        <w:tc>
          <w:tcPr>
            <w:tcW w:w="897" w:type="dxa"/>
            <w:tcBorders>
              <w:top w:val="nil"/>
              <w:left w:val="nil"/>
              <w:bottom w:val="single" w:sz="4" w:space="0" w:color="auto"/>
              <w:right w:val="single" w:sz="4" w:space="0" w:color="auto"/>
            </w:tcBorders>
            <w:noWrap/>
            <w:vAlign w:val="center"/>
            <w:hideMark/>
          </w:tcPr>
          <w:p w14:paraId="0F74D87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-0.013 </w:t>
            </w:r>
          </w:p>
        </w:tc>
        <w:tc>
          <w:tcPr>
            <w:tcW w:w="897" w:type="dxa"/>
            <w:tcBorders>
              <w:top w:val="nil"/>
              <w:left w:val="nil"/>
              <w:bottom w:val="single" w:sz="4" w:space="0" w:color="auto"/>
              <w:right w:val="single" w:sz="4" w:space="0" w:color="auto"/>
            </w:tcBorders>
            <w:noWrap/>
            <w:vAlign w:val="center"/>
            <w:hideMark/>
          </w:tcPr>
          <w:p w14:paraId="10A17C5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1E2BDC0A"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-0.015 </w:t>
            </w:r>
          </w:p>
        </w:tc>
        <w:tc>
          <w:tcPr>
            <w:tcW w:w="897" w:type="dxa"/>
            <w:tcBorders>
              <w:top w:val="nil"/>
              <w:left w:val="nil"/>
              <w:bottom w:val="single" w:sz="4" w:space="0" w:color="auto"/>
              <w:right w:val="single" w:sz="4" w:space="0" w:color="auto"/>
            </w:tcBorders>
            <w:noWrap/>
            <w:vAlign w:val="center"/>
            <w:hideMark/>
          </w:tcPr>
          <w:p w14:paraId="13A53B9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44EB95B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0.094 </w:t>
            </w:r>
          </w:p>
        </w:tc>
        <w:tc>
          <w:tcPr>
            <w:tcW w:w="897" w:type="dxa"/>
            <w:tcBorders>
              <w:top w:val="nil"/>
              <w:left w:val="nil"/>
              <w:bottom w:val="single" w:sz="4" w:space="0" w:color="auto"/>
              <w:right w:val="single" w:sz="4" w:space="0" w:color="auto"/>
            </w:tcBorders>
            <w:noWrap/>
            <w:vAlign w:val="center"/>
            <w:hideMark/>
          </w:tcPr>
          <w:p w14:paraId="1CDAD45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120FC43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-0.260 </w:t>
            </w:r>
          </w:p>
        </w:tc>
        <w:tc>
          <w:tcPr>
            <w:tcW w:w="1403" w:type="dxa"/>
            <w:tcBorders>
              <w:top w:val="nil"/>
              <w:left w:val="nil"/>
              <w:bottom w:val="single" w:sz="4" w:space="0" w:color="auto"/>
              <w:right w:val="single" w:sz="4" w:space="0" w:color="auto"/>
            </w:tcBorders>
            <w:noWrap/>
            <w:vAlign w:val="center"/>
            <w:hideMark/>
          </w:tcPr>
          <w:p w14:paraId="01E6A8C8"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-0.186** </w:t>
            </w:r>
          </w:p>
        </w:tc>
      </w:tr>
      <w:tr w:rsidR="00390CF7" w:rsidRPr="00892A29" w14:paraId="242B0EB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6C930CAC"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FLW</w:t>
            </w:r>
          </w:p>
        </w:tc>
        <w:tc>
          <w:tcPr>
            <w:tcW w:w="897" w:type="dxa"/>
            <w:tcBorders>
              <w:top w:val="nil"/>
              <w:left w:val="nil"/>
              <w:bottom w:val="single" w:sz="4" w:space="0" w:color="auto"/>
              <w:right w:val="single" w:sz="4" w:space="0" w:color="auto"/>
            </w:tcBorders>
            <w:noWrap/>
            <w:vAlign w:val="center"/>
            <w:hideMark/>
          </w:tcPr>
          <w:p w14:paraId="605A247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7D362C9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2258A51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-0.011 </w:t>
            </w:r>
          </w:p>
        </w:tc>
        <w:tc>
          <w:tcPr>
            <w:tcW w:w="897" w:type="dxa"/>
            <w:tcBorders>
              <w:top w:val="nil"/>
              <w:left w:val="nil"/>
              <w:bottom w:val="single" w:sz="4" w:space="0" w:color="auto"/>
              <w:right w:val="single" w:sz="4" w:space="0" w:color="auto"/>
            </w:tcBorders>
            <w:noWrap/>
            <w:vAlign w:val="center"/>
            <w:hideMark/>
          </w:tcPr>
          <w:p w14:paraId="3DC3663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0C34F83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0.035 </w:t>
            </w:r>
          </w:p>
        </w:tc>
        <w:tc>
          <w:tcPr>
            <w:tcW w:w="897" w:type="dxa"/>
            <w:tcBorders>
              <w:top w:val="nil"/>
              <w:left w:val="nil"/>
              <w:bottom w:val="single" w:sz="4" w:space="0" w:color="auto"/>
              <w:right w:val="single" w:sz="4" w:space="0" w:color="auto"/>
            </w:tcBorders>
            <w:noWrap/>
            <w:vAlign w:val="center"/>
            <w:hideMark/>
          </w:tcPr>
          <w:p w14:paraId="672229B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-0.031 </w:t>
            </w:r>
          </w:p>
        </w:tc>
        <w:tc>
          <w:tcPr>
            <w:tcW w:w="897" w:type="dxa"/>
            <w:tcBorders>
              <w:top w:val="nil"/>
              <w:left w:val="nil"/>
              <w:bottom w:val="single" w:sz="4" w:space="0" w:color="auto"/>
              <w:right w:val="single" w:sz="4" w:space="0" w:color="auto"/>
            </w:tcBorders>
            <w:noWrap/>
            <w:vAlign w:val="center"/>
            <w:hideMark/>
          </w:tcPr>
          <w:p w14:paraId="24A7615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0.011 </w:t>
            </w:r>
          </w:p>
        </w:tc>
        <w:tc>
          <w:tcPr>
            <w:tcW w:w="897" w:type="dxa"/>
            <w:tcBorders>
              <w:top w:val="nil"/>
              <w:left w:val="nil"/>
              <w:bottom w:val="single" w:sz="4" w:space="0" w:color="auto"/>
              <w:right w:val="single" w:sz="4" w:space="0" w:color="auto"/>
            </w:tcBorders>
            <w:noWrap/>
            <w:vAlign w:val="center"/>
            <w:hideMark/>
          </w:tcPr>
          <w:p w14:paraId="444E3D3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088F556E"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7DCD066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0.031 </w:t>
            </w:r>
          </w:p>
        </w:tc>
        <w:tc>
          <w:tcPr>
            <w:tcW w:w="897" w:type="dxa"/>
            <w:tcBorders>
              <w:top w:val="nil"/>
              <w:left w:val="nil"/>
              <w:bottom w:val="single" w:sz="4" w:space="0" w:color="auto"/>
              <w:right w:val="single" w:sz="4" w:space="0" w:color="auto"/>
            </w:tcBorders>
            <w:noWrap/>
            <w:vAlign w:val="center"/>
            <w:hideMark/>
          </w:tcPr>
          <w:p w14:paraId="3D7B3BB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3BADB77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0.086 </w:t>
            </w:r>
          </w:p>
        </w:tc>
        <w:tc>
          <w:tcPr>
            <w:tcW w:w="1403" w:type="dxa"/>
            <w:tcBorders>
              <w:top w:val="nil"/>
              <w:left w:val="nil"/>
              <w:bottom w:val="single" w:sz="4" w:space="0" w:color="auto"/>
              <w:right w:val="single" w:sz="4" w:space="0" w:color="auto"/>
            </w:tcBorders>
            <w:noWrap/>
            <w:vAlign w:val="center"/>
            <w:hideMark/>
          </w:tcPr>
          <w:p w14:paraId="1264129F"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0.142*</w:t>
            </w:r>
          </w:p>
        </w:tc>
      </w:tr>
      <w:tr w:rsidR="00390CF7" w:rsidRPr="00892A29" w14:paraId="6512ABF9"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22DF673B"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SY</w:t>
            </w:r>
          </w:p>
        </w:tc>
        <w:tc>
          <w:tcPr>
            <w:tcW w:w="897" w:type="dxa"/>
            <w:tcBorders>
              <w:top w:val="nil"/>
              <w:left w:val="nil"/>
              <w:bottom w:val="single" w:sz="4" w:space="0" w:color="auto"/>
              <w:right w:val="single" w:sz="4" w:space="0" w:color="auto"/>
            </w:tcBorders>
            <w:noWrap/>
            <w:vAlign w:val="center"/>
            <w:hideMark/>
          </w:tcPr>
          <w:p w14:paraId="6F880E7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51A092E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0.008 </w:t>
            </w:r>
          </w:p>
        </w:tc>
        <w:tc>
          <w:tcPr>
            <w:tcW w:w="897" w:type="dxa"/>
            <w:tcBorders>
              <w:top w:val="nil"/>
              <w:left w:val="nil"/>
              <w:bottom w:val="single" w:sz="4" w:space="0" w:color="auto"/>
              <w:right w:val="single" w:sz="4" w:space="0" w:color="auto"/>
            </w:tcBorders>
            <w:noWrap/>
            <w:vAlign w:val="center"/>
            <w:hideMark/>
          </w:tcPr>
          <w:p w14:paraId="1830521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0.012 </w:t>
            </w:r>
          </w:p>
        </w:tc>
        <w:tc>
          <w:tcPr>
            <w:tcW w:w="897" w:type="dxa"/>
            <w:tcBorders>
              <w:top w:val="nil"/>
              <w:left w:val="nil"/>
              <w:bottom w:val="single" w:sz="4" w:space="0" w:color="auto"/>
              <w:right w:val="single" w:sz="4" w:space="0" w:color="auto"/>
            </w:tcBorders>
            <w:noWrap/>
            <w:vAlign w:val="center"/>
            <w:hideMark/>
          </w:tcPr>
          <w:p w14:paraId="10CA936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468595B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0.013 </w:t>
            </w:r>
          </w:p>
        </w:tc>
        <w:tc>
          <w:tcPr>
            <w:tcW w:w="897" w:type="dxa"/>
            <w:tcBorders>
              <w:top w:val="nil"/>
              <w:left w:val="nil"/>
              <w:bottom w:val="single" w:sz="4" w:space="0" w:color="auto"/>
              <w:right w:val="single" w:sz="4" w:space="0" w:color="auto"/>
            </w:tcBorders>
            <w:noWrap/>
            <w:vAlign w:val="center"/>
            <w:hideMark/>
          </w:tcPr>
          <w:p w14:paraId="0DCE136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35CC3D6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775C551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2C39F1F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4604154D"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0.842 </w:t>
            </w:r>
          </w:p>
        </w:tc>
        <w:tc>
          <w:tcPr>
            <w:tcW w:w="897" w:type="dxa"/>
            <w:tcBorders>
              <w:top w:val="nil"/>
              <w:left w:val="nil"/>
              <w:bottom w:val="single" w:sz="4" w:space="0" w:color="auto"/>
              <w:right w:val="single" w:sz="4" w:space="0" w:color="auto"/>
            </w:tcBorders>
            <w:noWrap/>
            <w:vAlign w:val="center"/>
            <w:hideMark/>
          </w:tcPr>
          <w:p w14:paraId="25B207E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39E54BE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-0.462 </w:t>
            </w:r>
          </w:p>
        </w:tc>
        <w:tc>
          <w:tcPr>
            <w:tcW w:w="1403" w:type="dxa"/>
            <w:tcBorders>
              <w:top w:val="nil"/>
              <w:left w:val="nil"/>
              <w:bottom w:val="single" w:sz="4" w:space="0" w:color="auto"/>
              <w:right w:val="single" w:sz="4" w:space="0" w:color="auto"/>
            </w:tcBorders>
            <w:noWrap/>
            <w:vAlign w:val="center"/>
            <w:hideMark/>
          </w:tcPr>
          <w:p w14:paraId="2C9ED9B4"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0.396***</w:t>
            </w:r>
          </w:p>
        </w:tc>
      </w:tr>
      <w:tr w:rsidR="00390CF7" w:rsidRPr="00892A29" w14:paraId="616110D5"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185C6AA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TW</w:t>
            </w:r>
          </w:p>
        </w:tc>
        <w:tc>
          <w:tcPr>
            <w:tcW w:w="897" w:type="dxa"/>
            <w:tcBorders>
              <w:top w:val="nil"/>
              <w:left w:val="nil"/>
              <w:bottom w:val="single" w:sz="4" w:space="0" w:color="auto"/>
              <w:right w:val="single" w:sz="4" w:space="0" w:color="auto"/>
            </w:tcBorders>
            <w:noWrap/>
            <w:vAlign w:val="center"/>
            <w:hideMark/>
          </w:tcPr>
          <w:p w14:paraId="2C73E0B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48146E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1E89745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1A40190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280CCD9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0E385F4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0.019 </w:t>
            </w:r>
          </w:p>
        </w:tc>
        <w:tc>
          <w:tcPr>
            <w:tcW w:w="897" w:type="dxa"/>
            <w:tcBorders>
              <w:top w:val="nil"/>
              <w:left w:val="nil"/>
              <w:bottom w:val="single" w:sz="4" w:space="0" w:color="auto"/>
              <w:right w:val="single" w:sz="4" w:space="0" w:color="auto"/>
            </w:tcBorders>
            <w:noWrap/>
            <w:vAlign w:val="center"/>
            <w:hideMark/>
          </w:tcPr>
          <w:p w14:paraId="23AC8BA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2D7548A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076FF14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6C86F6E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0.046 </w:t>
            </w:r>
          </w:p>
        </w:tc>
        <w:tc>
          <w:tcPr>
            <w:tcW w:w="897" w:type="dxa"/>
            <w:tcBorders>
              <w:top w:val="nil"/>
              <w:left w:val="nil"/>
              <w:bottom w:val="single" w:sz="4" w:space="0" w:color="auto"/>
              <w:right w:val="single" w:sz="4" w:space="0" w:color="auto"/>
            </w:tcBorders>
            <w:noWrap/>
            <w:vAlign w:val="center"/>
            <w:hideMark/>
          </w:tcPr>
          <w:p w14:paraId="10BA9672"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612A529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1403" w:type="dxa"/>
            <w:tcBorders>
              <w:top w:val="nil"/>
              <w:left w:val="nil"/>
              <w:bottom w:val="single" w:sz="4" w:space="0" w:color="auto"/>
              <w:right w:val="single" w:sz="4" w:space="0" w:color="auto"/>
            </w:tcBorders>
            <w:noWrap/>
            <w:vAlign w:val="center"/>
            <w:hideMark/>
          </w:tcPr>
          <w:p w14:paraId="2FAED65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0.043</w:t>
            </w:r>
          </w:p>
        </w:tc>
      </w:tr>
      <w:tr w:rsidR="00390CF7" w:rsidRPr="00892A29" w14:paraId="21B9DA5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63CF9DAF"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HI</w:t>
            </w:r>
          </w:p>
        </w:tc>
        <w:tc>
          <w:tcPr>
            <w:tcW w:w="897" w:type="dxa"/>
            <w:tcBorders>
              <w:top w:val="nil"/>
              <w:left w:val="nil"/>
              <w:bottom w:val="single" w:sz="4" w:space="0" w:color="auto"/>
              <w:right w:val="single" w:sz="4" w:space="0" w:color="auto"/>
            </w:tcBorders>
            <w:noWrap/>
            <w:vAlign w:val="center"/>
            <w:hideMark/>
          </w:tcPr>
          <w:p w14:paraId="2EE1286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0.012 </w:t>
            </w:r>
          </w:p>
        </w:tc>
        <w:tc>
          <w:tcPr>
            <w:tcW w:w="897" w:type="dxa"/>
            <w:tcBorders>
              <w:top w:val="nil"/>
              <w:left w:val="nil"/>
              <w:bottom w:val="single" w:sz="4" w:space="0" w:color="auto"/>
              <w:right w:val="single" w:sz="4" w:space="0" w:color="auto"/>
            </w:tcBorders>
            <w:noWrap/>
            <w:vAlign w:val="center"/>
            <w:hideMark/>
          </w:tcPr>
          <w:p w14:paraId="0ED7CB7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-0.022 </w:t>
            </w:r>
          </w:p>
        </w:tc>
        <w:tc>
          <w:tcPr>
            <w:tcW w:w="897" w:type="dxa"/>
            <w:tcBorders>
              <w:top w:val="nil"/>
              <w:left w:val="nil"/>
              <w:bottom w:val="single" w:sz="4" w:space="0" w:color="auto"/>
              <w:right w:val="single" w:sz="4" w:space="0" w:color="auto"/>
            </w:tcBorders>
            <w:noWrap/>
            <w:vAlign w:val="center"/>
            <w:hideMark/>
          </w:tcPr>
          <w:p w14:paraId="07A64C9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0.027 </w:t>
            </w:r>
          </w:p>
        </w:tc>
        <w:tc>
          <w:tcPr>
            <w:tcW w:w="897" w:type="dxa"/>
            <w:tcBorders>
              <w:top w:val="nil"/>
              <w:left w:val="nil"/>
              <w:bottom w:val="single" w:sz="4" w:space="0" w:color="auto"/>
              <w:right w:val="single" w:sz="4" w:space="0" w:color="auto"/>
            </w:tcBorders>
            <w:noWrap/>
            <w:vAlign w:val="center"/>
            <w:hideMark/>
          </w:tcPr>
          <w:p w14:paraId="11D5BA1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F51C24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0E96EC2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EEF074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2F84BC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A80B2B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4655F08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-0.412 </w:t>
            </w:r>
          </w:p>
        </w:tc>
        <w:tc>
          <w:tcPr>
            <w:tcW w:w="897" w:type="dxa"/>
            <w:tcBorders>
              <w:top w:val="nil"/>
              <w:left w:val="nil"/>
              <w:bottom w:val="single" w:sz="4" w:space="0" w:color="auto"/>
              <w:right w:val="single" w:sz="4" w:space="0" w:color="auto"/>
            </w:tcBorders>
            <w:noWrap/>
            <w:vAlign w:val="center"/>
            <w:hideMark/>
          </w:tcPr>
          <w:p w14:paraId="69F8314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7187FF6E"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0.944 </w:t>
            </w:r>
          </w:p>
        </w:tc>
        <w:tc>
          <w:tcPr>
            <w:tcW w:w="1403" w:type="dxa"/>
            <w:tcBorders>
              <w:top w:val="nil"/>
              <w:left w:val="nil"/>
              <w:bottom w:val="single" w:sz="4" w:space="0" w:color="auto"/>
              <w:right w:val="single" w:sz="4" w:space="0" w:color="auto"/>
            </w:tcBorders>
            <w:noWrap/>
            <w:vAlign w:val="center"/>
            <w:hideMark/>
          </w:tcPr>
          <w:p w14:paraId="095F2277"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0.558*** </w:t>
            </w:r>
          </w:p>
        </w:tc>
      </w:tr>
    </w:tbl>
    <w:p w14:paraId="71F919E8" w14:textId="77777777" w:rsidR="00390CF7" w:rsidRPr="00892A29" w:rsidRDefault="00390CF7" w:rsidP="00390CF7">
      <w:pPr>
        <w:spacing w:after="0" w:line="360" w:lineRule="auto"/>
        <w:ind w:right="34"/>
        <w:jc w:val="both"/>
        <w:rPr>
          <w:rFonts w:ascii="Arial" w:hAnsi="Arial" w:cs="Arial"/>
          <w:sz w:val="20"/>
          <w:szCs w:val="20"/>
        </w:rPr>
      </w:pPr>
      <w:r w:rsidRPr="00892A29">
        <w:rPr>
          <w:rFonts w:ascii="Arial" w:hAnsi="Arial" w:cs="Arial"/>
          <w:sz w:val="20"/>
          <w:szCs w:val="20"/>
        </w:rPr>
        <w:t>Residual effect = 0.092</w:t>
      </w:r>
    </w:p>
    <w:p w14:paraId="7C63DA3B" w14:textId="77777777" w:rsidR="00390CF7" w:rsidRPr="00892A29" w:rsidRDefault="00390CF7" w:rsidP="00390CF7">
      <w:pPr>
        <w:spacing w:after="0" w:line="360" w:lineRule="auto"/>
        <w:ind w:right="34"/>
        <w:jc w:val="both"/>
        <w:rPr>
          <w:rFonts w:ascii="Arial" w:hAnsi="Arial" w:cs="Arial"/>
          <w:sz w:val="20"/>
          <w:szCs w:val="20"/>
        </w:rPr>
      </w:pPr>
    </w:p>
    <w:p w14:paraId="1DB7FA81" w14:textId="77777777" w:rsidR="00390CF7" w:rsidRPr="00892A29" w:rsidRDefault="00390CF7" w:rsidP="00390CF7">
      <w:pPr>
        <w:spacing w:after="0" w:line="360" w:lineRule="auto"/>
        <w:ind w:right="34"/>
        <w:jc w:val="both"/>
        <w:rPr>
          <w:rFonts w:ascii="Arial" w:hAnsi="Arial" w:cs="Arial"/>
          <w:sz w:val="20"/>
          <w:szCs w:val="20"/>
        </w:rPr>
        <w:sectPr w:rsidR="00390CF7" w:rsidRPr="00892A29" w:rsidSect="00390CF7">
          <w:pgSz w:w="15840" w:h="12240" w:orient="landscape"/>
          <w:pgMar w:top="1440" w:right="1440" w:bottom="1440" w:left="1440" w:header="720" w:footer="720" w:gutter="0"/>
          <w:cols w:space="720"/>
          <w:docGrid w:linePitch="360"/>
        </w:sectPr>
      </w:pPr>
      <w:r w:rsidRPr="00892A29">
        <w:rPr>
          <w:rFonts w:ascii="Arial" w:hAnsi="Arial" w:cs="Arial"/>
          <w:sz w:val="20"/>
          <w:szCs w:val="20"/>
        </w:rPr>
        <w:t>PH – Plant height (cm), DFF – Days to 50% flowering, TPT – Total productive tillers, PL – Panicle length (cm), FG – Number of fertile grains per panicle, GP – Total number of grains per panicle, FP – Fertility percentage (%), FLL – Flag leaf length (cm), FLW – Flag leaf width (cm), GY - Grain yield (kg ha-1), SY – Straw yield (kg ha-1), TW – Test weight (g), HI – Harvest index</w:t>
      </w:r>
    </w:p>
    <w:p w14:paraId="3611DE16" w14:textId="77777777" w:rsidR="00390CF7" w:rsidRPr="00907444" w:rsidRDefault="00390CF7" w:rsidP="00390CF7">
      <w:pPr>
        <w:rPr>
          <w:rFonts w:ascii="Arial" w:hAnsi="Arial" w:cs="Arial"/>
          <w:b/>
          <w:bCs/>
          <w:sz w:val="24"/>
          <w:szCs w:val="24"/>
        </w:rPr>
      </w:pPr>
    </w:p>
    <w:p w14:paraId="10EF37BF" w14:textId="77777777" w:rsidR="001136C6" w:rsidRPr="00907444" w:rsidRDefault="001136C6">
      <w:pPr>
        <w:rPr>
          <w:rFonts w:ascii="Arial" w:hAnsi="Arial" w:cs="Arial"/>
        </w:rPr>
      </w:pPr>
    </w:p>
    <w:sectPr w:rsidR="001136C6" w:rsidRPr="00907444" w:rsidSect="00390CF7">
      <w:pgSz w:w="16838" w:h="11906" w:orient="landscape"/>
      <w:pgMar w:top="1440"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2AB9E" w14:textId="77777777" w:rsidR="00930E3F" w:rsidRDefault="00930E3F" w:rsidP="00A36878">
      <w:pPr>
        <w:spacing w:after="0" w:line="240" w:lineRule="auto"/>
      </w:pPr>
      <w:r>
        <w:separator/>
      </w:r>
    </w:p>
  </w:endnote>
  <w:endnote w:type="continuationSeparator" w:id="0">
    <w:p w14:paraId="4D58B612" w14:textId="77777777" w:rsidR="00930E3F" w:rsidRDefault="00930E3F" w:rsidP="00A3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7FC5" w14:textId="77777777" w:rsidR="00A36878" w:rsidRDefault="00A3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6EB3" w14:textId="77777777" w:rsidR="00A36878" w:rsidRDefault="00A3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C881" w14:textId="77777777" w:rsidR="00A36878" w:rsidRDefault="00A3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A39D" w14:textId="77777777" w:rsidR="00930E3F" w:rsidRDefault="00930E3F" w:rsidP="00A36878">
      <w:pPr>
        <w:spacing w:after="0" w:line="240" w:lineRule="auto"/>
      </w:pPr>
      <w:r>
        <w:separator/>
      </w:r>
    </w:p>
  </w:footnote>
  <w:footnote w:type="continuationSeparator" w:id="0">
    <w:p w14:paraId="1063815B" w14:textId="77777777" w:rsidR="00930E3F" w:rsidRDefault="00930E3F" w:rsidP="00A3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4C93" w14:textId="38E8D906" w:rsidR="00A36878" w:rsidRDefault="00A36878">
    <w:pPr>
      <w:pStyle w:val="Header"/>
    </w:pPr>
    <w:r>
      <w:rPr>
        <w:noProof/>
      </w:rPr>
      <w:pict w14:anchorId="2B60B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474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2D07" w14:textId="6DEAD9DF" w:rsidR="00A36878" w:rsidRDefault="00A36878">
    <w:pPr>
      <w:pStyle w:val="Header"/>
    </w:pPr>
    <w:r>
      <w:rPr>
        <w:noProof/>
      </w:rPr>
      <w:pict w14:anchorId="6A1CC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474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752E" w14:textId="01ECBF99" w:rsidR="00A36878" w:rsidRDefault="00A36878">
    <w:pPr>
      <w:pStyle w:val="Header"/>
    </w:pPr>
    <w:r>
      <w:rPr>
        <w:noProof/>
      </w:rPr>
      <w:pict w14:anchorId="77333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474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B06F7"/>
    <w:multiLevelType w:val="hybridMultilevel"/>
    <w:tmpl w:val="A6EE6C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493F8F"/>
    <w:multiLevelType w:val="hybridMultilevel"/>
    <w:tmpl w:val="1DE08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170484"/>
    <w:multiLevelType w:val="hybridMultilevel"/>
    <w:tmpl w:val="2D6E3E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C6"/>
    <w:rsid w:val="0002683C"/>
    <w:rsid w:val="00081316"/>
    <w:rsid w:val="00104D10"/>
    <w:rsid w:val="001136C6"/>
    <w:rsid w:val="00132B2D"/>
    <w:rsid w:val="0014261A"/>
    <w:rsid w:val="00145F05"/>
    <w:rsid w:val="00156F0F"/>
    <w:rsid w:val="001A19D4"/>
    <w:rsid w:val="001A59A7"/>
    <w:rsid w:val="00220BF4"/>
    <w:rsid w:val="00291582"/>
    <w:rsid w:val="002A73DC"/>
    <w:rsid w:val="002E08DE"/>
    <w:rsid w:val="002E2E23"/>
    <w:rsid w:val="002F6087"/>
    <w:rsid w:val="003324AB"/>
    <w:rsid w:val="00390CF7"/>
    <w:rsid w:val="00450FF1"/>
    <w:rsid w:val="004B7CB3"/>
    <w:rsid w:val="005513F0"/>
    <w:rsid w:val="00580F30"/>
    <w:rsid w:val="00597189"/>
    <w:rsid w:val="005C7D2F"/>
    <w:rsid w:val="00652DC8"/>
    <w:rsid w:val="006B37BF"/>
    <w:rsid w:val="006E4415"/>
    <w:rsid w:val="00732BCD"/>
    <w:rsid w:val="00745C82"/>
    <w:rsid w:val="00777095"/>
    <w:rsid w:val="00781167"/>
    <w:rsid w:val="007B6BFC"/>
    <w:rsid w:val="008015B0"/>
    <w:rsid w:val="00802A86"/>
    <w:rsid w:val="00802EEB"/>
    <w:rsid w:val="00827304"/>
    <w:rsid w:val="00846642"/>
    <w:rsid w:val="00892A29"/>
    <w:rsid w:val="008D403E"/>
    <w:rsid w:val="00907444"/>
    <w:rsid w:val="00930E3F"/>
    <w:rsid w:val="009629D0"/>
    <w:rsid w:val="009665D5"/>
    <w:rsid w:val="009F3B8B"/>
    <w:rsid w:val="00A24DD8"/>
    <w:rsid w:val="00A36878"/>
    <w:rsid w:val="00AA5AD7"/>
    <w:rsid w:val="00AE1AC7"/>
    <w:rsid w:val="00BC737C"/>
    <w:rsid w:val="00C377AA"/>
    <w:rsid w:val="00C37E3A"/>
    <w:rsid w:val="00CE1287"/>
    <w:rsid w:val="00D541F1"/>
    <w:rsid w:val="00D61CF1"/>
    <w:rsid w:val="00DD7580"/>
    <w:rsid w:val="00DF3760"/>
    <w:rsid w:val="00E003EE"/>
    <w:rsid w:val="00FA59A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55053F"/>
  <w15:chartTrackingRefBased/>
  <w15:docId w15:val="{4B3D0DC9-8217-4A40-8B0A-9DC17E46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CF7"/>
    <w:pPr>
      <w:spacing w:line="259" w:lineRule="auto"/>
    </w:pPr>
    <w:rPr>
      <w:sz w:val="22"/>
      <w:szCs w:val="22"/>
      <w:lang w:bidi="ar-SA"/>
    </w:rPr>
  </w:style>
  <w:style w:type="paragraph" w:styleId="Heading1">
    <w:name w:val="heading 1"/>
    <w:basedOn w:val="Normal"/>
    <w:next w:val="Normal"/>
    <w:link w:val="Heading1Char"/>
    <w:uiPriority w:val="9"/>
    <w:qFormat/>
    <w:rsid w:val="001136C6"/>
    <w:pPr>
      <w:keepNext/>
      <w:keepLines/>
      <w:spacing w:before="360" w:after="80" w:line="278" w:lineRule="auto"/>
      <w:outlineLvl w:val="0"/>
    </w:pPr>
    <w:rPr>
      <w:rFonts w:asciiTheme="majorHAnsi" w:eastAsiaTheme="majorEastAsia" w:hAnsiTheme="majorHAnsi" w:cstheme="majorBidi"/>
      <w:color w:val="0F4761" w:themeColor="accent1" w:themeShade="BF"/>
      <w:sz w:val="40"/>
      <w:szCs w:val="36"/>
      <w:lang w:bidi="mr-IN"/>
    </w:rPr>
  </w:style>
  <w:style w:type="paragraph" w:styleId="Heading2">
    <w:name w:val="heading 2"/>
    <w:basedOn w:val="Normal"/>
    <w:next w:val="Normal"/>
    <w:link w:val="Heading2Char"/>
    <w:uiPriority w:val="9"/>
    <w:semiHidden/>
    <w:unhideWhenUsed/>
    <w:qFormat/>
    <w:rsid w:val="001136C6"/>
    <w:pPr>
      <w:keepNext/>
      <w:keepLines/>
      <w:spacing w:before="160" w:after="80" w:line="278" w:lineRule="auto"/>
      <w:outlineLvl w:val="1"/>
    </w:pPr>
    <w:rPr>
      <w:rFonts w:asciiTheme="majorHAnsi" w:eastAsiaTheme="majorEastAsia" w:hAnsiTheme="majorHAnsi" w:cstheme="majorBidi"/>
      <w:color w:val="0F4761" w:themeColor="accent1" w:themeShade="BF"/>
      <w:sz w:val="32"/>
      <w:szCs w:val="29"/>
      <w:lang w:bidi="mr-IN"/>
    </w:rPr>
  </w:style>
  <w:style w:type="paragraph" w:styleId="Heading3">
    <w:name w:val="heading 3"/>
    <w:basedOn w:val="Normal"/>
    <w:next w:val="Normal"/>
    <w:link w:val="Heading3Char"/>
    <w:uiPriority w:val="9"/>
    <w:semiHidden/>
    <w:unhideWhenUsed/>
    <w:qFormat/>
    <w:rsid w:val="001136C6"/>
    <w:pPr>
      <w:keepNext/>
      <w:keepLines/>
      <w:spacing w:before="160" w:after="80" w:line="278" w:lineRule="auto"/>
      <w:outlineLvl w:val="2"/>
    </w:pPr>
    <w:rPr>
      <w:rFonts w:eastAsiaTheme="majorEastAsia" w:cstheme="majorBidi"/>
      <w:color w:val="0F4761" w:themeColor="accent1" w:themeShade="BF"/>
      <w:sz w:val="28"/>
      <w:szCs w:val="25"/>
      <w:lang w:bidi="mr-IN"/>
    </w:rPr>
  </w:style>
  <w:style w:type="paragraph" w:styleId="Heading4">
    <w:name w:val="heading 4"/>
    <w:basedOn w:val="Normal"/>
    <w:next w:val="Normal"/>
    <w:link w:val="Heading4Char"/>
    <w:uiPriority w:val="9"/>
    <w:semiHidden/>
    <w:unhideWhenUsed/>
    <w:qFormat/>
    <w:rsid w:val="001136C6"/>
    <w:pPr>
      <w:keepNext/>
      <w:keepLines/>
      <w:spacing w:before="80" w:after="40" w:line="278" w:lineRule="auto"/>
      <w:outlineLvl w:val="3"/>
    </w:pPr>
    <w:rPr>
      <w:rFonts w:eastAsiaTheme="majorEastAsia" w:cstheme="majorBidi"/>
      <w:i/>
      <w:iCs/>
      <w:color w:val="0F4761" w:themeColor="accent1" w:themeShade="BF"/>
      <w:sz w:val="24"/>
      <w:szCs w:val="21"/>
      <w:lang w:bidi="mr-IN"/>
    </w:rPr>
  </w:style>
  <w:style w:type="paragraph" w:styleId="Heading5">
    <w:name w:val="heading 5"/>
    <w:basedOn w:val="Normal"/>
    <w:next w:val="Normal"/>
    <w:link w:val="Heading5Char"/>
    <w:uiPriority w:val="9"/>
    <w:semiHidden/>
    <w:unhideWhenUsed/>
    <w:qFormat/>
    <w:rsid w:val="001136C6"/>
    <w:pPr>
      <w:keepNext/>
      <w:keepLines/>
      <w:spacing w:before="80" w:after="40" w:line="278" w:lineRule="auto"/>
      <w:outlineLvl w:val="4"/>
    </w:pPr>
    <w:rPr>
      <w:rFonts w:eastAsiaTheme="majorEastAsia" w:cstheme="majorBidi"/>
      <w:color w:val="0F4761" w:themeColor="accent1" w:themeShade="BF"/>
      <w:sz w:val="24"/>
      <w:szCs w:val="21"/>
      <w:lang w:bidi="mr-IN"/>
    </w:rPr>
  </w:style>
  <w:style w:type="paragraph" w:styleId="Heading6">
    <w:name w:val="heading 6"/>
    <w:basedOn w:val="Normal"/>
    <w:next w:val="Normal"/>
    <w:link w:val="Heading6Char"/>
    <w:uiPriority w:val="9"/>
    <w:semiHidden/>
    <w:unhideWhenUsed/>
    <w:qFormat/>
    <w:rsid w:val="001136C6"/>
    <w:pPr>
      <w:keepNext/>
      <w:keepLines/>
      <w:spacing w:before="40" w:after="0" w:line="278" w:lineRule="auto"/>
      <w:outlineLvl w:val="5"/>
    </w:pPr>
    <w:rPr>
      <w:rFonts w:eastAsiaTheme="majorEastAsia" w:cstheme="majorBidi"/>
      <w:i/>
      <w:iCs/>
      <w:color w:val="595959" w:themeColor="text1" w:themeTint="A6"/>
      <w:sz w:val="24"/>
      <w:szCs w:val="21"/>
      <w:lang w:bidi="mr-IN"/>
    </w:rPr>
  </w:style>
  <w:style w:type="paragraph" w:styleId="Heading7">
    <w:name w:val="heading 7"/>
    <w:basedOn w:val="Normal"/>
    <w:next w:val="Normal"/>
    <w:link w:val="Heading7Char"/>
    <w:uiPriority w:val="9"/>
    <w:semiHidden/>
    <w:unhideWhenUsed/>
    <w:qFormat/>
    <w:rsid w:val="001136C6"/>
    <w:pPr>
      <w:keepNext/>
      <w:keepLines/>
      <w:spacing w:before="40" w:after="0" w:line="278" w:lineRule="auto"/>
      <w:outlineLvl w:val="6"/>
    </w:pPr>
    <w:rPr>
      <w:rFonts w:eastAsiaTheme="majorEastAsia" w:cstheme="majorBidi"/>
      <w:color w:val="595959" w:themeColor="text1" w:themeTint="A6"/>
      <w:sz w:val="24"/>
      <w:szCs w:val="21"/>
      <w:lang w:bidi="mr-IN"/>
    </w:rPr>
  </w:style>
  <w:style w:type="paragraph" w:styleId="Heading8">
    <w:name w:val="heading 8"/>
    <w:basedOn w:val="Normal"/>
    <w:next w:val="Normal"/>
    <w:link w:val="Heading8Char"/>
    <w:uiPriority w:val="9"/>
    <w:semiHidden/>
    <w:unhideWhenUsed/>
    <w:qFormat/>
    <w:rsid w:val="001136C6"/>
    <w:pPr>
      <w:keepNext/>
      <w:keepLines/>
      <w:spacing w:after="0" w:line="278" w:lineRule="auto"/>
      <w:outlineLvl w:val="7"/>
    </w:pPr>
    <w:rPr>
      <w:rFonts w:eastAsiaTheme="majorEastAsia" w:cstheme="majorBidi"/>
      <w:i/>
      <w:iCs/>
      <w:color w:val="272727" w:themeColor="text1" w:themeTint="D8"/>
      <w:sz w:val="24"/>
      <w:szCs w:val="21"/>
      <w:lang w:bidi="mr-IN"/>
    </w:rPr>
  </w:style>
  <w:style w:type="paragraph" w:styleId="Heading9">
    <w:name w:val="heading 9"/>
    <w:basedOn w:val="Normal"/>
    <w:next w:val="Normal"/>
    <w:link w:val="Heading9Char"/>
    <w:uiPriority w:val="9"/>
    <w:semiHidden/>
    <w:unhideWhenUsed/>
    <w:qFormat/>
    <w:rsid w:val="001136C6"/>
    <w:pPr>
      <w:keepNext/>
      <w:keepLines/>
      <w:spacing w:after="0" w:line="278" w:lineRule="auto"/>
      <w:outlineLvl w:val="8"/>
    </w:pPr>
    <w:rPr>
      <w:rFonts w:eastAsiaTheme="majorEastAsia" w:cstheme="majorBidi"/>
      <w:color w:val="272727" w:themeColor="text1" w:themeTint="D8"/>
      <w:sz w:val="24"/>
      <w:szCs w:val="21"/>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C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136C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136C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13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6C6"/>
    <w:rPr>
      <w:rFonts w:eastAsiaTheme="majorEastAsia" w:cstheme="majorBidi"/>
      <w:color w:val="272727" w:themeColor="text1" w:themeTint="D8"/>
    </w:rPr>
  </w:style>
  <w:style w:type="paragraph" w:styleId="Title">
    <w:name w:val="Title"/>
    <w:basedOn w:val="Normal"/>
    <w:next w:val="Normal"/>
    <w:link w:val="TitleChar"/>
    <w:uiPriority w:val="10"/>
    <w:qFormat/>
    <w:rsid w:val="001136C6"/>
    <w:pPr>
      <w:spacing w:after="80" w:line="240" w:lineRule="auto"/>
      <w:contextualSpacing/>
    </w:pPr>
    <w:rPr>
      <w:rFonts w:asciiTheme="majorHAnsi" w:eastAsiaTheme="majorEastAsia" w:hAnsiTheme="majorHAnsi" w:cstheme="majorBidi"/>
      <w:spacing w:val="-10"/>
      <w:kern w:val="28"/>
      <w:sz w:val="56"/>
      <w:szCs w:val="50"/>
      <w:lang w:bidi="mr-IN"/>
    </w:rPr>
  </w:style>
  <w:style w:type="character" w:customStyle="1" w:styleId="TitleChar">
    <w:name w:val="Title Char"/>
    <w:basedOn w:val="DefaultParagraphFont"/>
    <w:link w:val="Title"/>
    <w:uiPriority w:val="10"/>
    <w:rsid w:val="001136C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136C6"/>
    <w:pPr>
      <w:numPr>
        <w:ilvl w:val="1"/>
      </w:numPr>
      <w:spacing w:line="278" w:lineRule="auto"/>
    </w:pPr>
    <w:rPr>
      <w:rFonts w:eastAsiaTheme="majorEastAsia" w:cstheme="majorBidi"/>
      <w:color w:val="595959" w:themeColor="text1" w:themeTint="A6"/>
      <w:spacing w:val="15"/>
      <w:sz w:val="28"/>
      <w:szCs w:val="25"/>
      <w:lang w:bidi="mr-IN"/>
    </w:rPr>
  </w:style>
  <w:style w:type="character" w:customStyle="1" w:styleId="SubtitleChar">
    <w:name w:val="Subtitle Char"/>
    <w:basedOn w:val="DefaultParagraphFont"/>
    <w:link w:val="Subtitle"/>
    <w:uiPriority w:val="11"/>
    <w:rsid w:val="001136C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136C6"/>
    <w:pPr>
      <w:spacing w:before="160" w:line="278" w:lineRule="auto"/>
      <w:jc w:val="center"/>
    </w:pPr>
    <w:rPr>
      <w:i/>
      <w:iCs/>
      <w:color w:val="404040" w:themeColor="text1" w:themeTint="BF"/>
      <w:sz w:val="24"/>
      <w:szCs w:val="21"/>
      <w:lang w:bidi="mr-IN"/>
    </w:rPr>
  </w:style>
  <w:style w:type="character" w:customStyle="1" w:styleId="QuoteChar">
    <w:name w:val="Quote Char"/>
    <w:basedOn w:val="DefaultParagraphFont"/>
    <w:link w:val="Quote"/>
    <w:uiPriority w:val="29"/>
    <w:rsid w:val="001136C6"/>
    <w:rPr>
      <w:i/>
      <w:iCs/>
      <w:color w:val="404040" w:themeColor="text1" w:themeTint="BF"/>
    </w:rPr>
  </w:style>
  <w:style w:type="paragraph" w:styleId="ListParagraph">
    <w:name w:val="List Paragraph"/>
    <w:basedOn w:val="Normal"/>
    <w:uiPriority w:val="34"/>
    <w:qFormat/>
    <w:rsid w:val="001136C6"/>
    <w:pPr>
      <w:spacing w:line="278" w:lineRule="auto"/>
      <w:ind w:left="720"/>
      <w:contextualSpacing/>
    </w:pPr>
    <w:rPr>
      <w:sz w:val="24"/>
      <w:szCs w:val="21"/>
      <w:lang w:bidi="mr-IN"/>
    </w:rPr>
  </w:style>
  <w:style w:type="character" w:styleId="IntenseEmphasis">
    <w:name w:val="Intense Emphasis"/>
    <w:basedOn w:val="DefaultParagraphFont"/>
    <w:uiPriority w:val="21"/>
    <w:qFormat/>
    <w:rsid w:val="001136C6"/>
    <w:rPr>
      <w:i/>
      <w:iCs/>
      <w:color w:val="0F4761" w:themeColor="accent1" w:themeShade="BF"/>
    </w:rPr>
  </w:style>
  <w:style w:type="paragraph" w:styleId="IntenseQuote">
    <w:name w:val="Intense Quote"/>
    <w:basedOn w:val="Normal"/>
    <w:next w:val="Normal"/>
    <w:link w:val="IntenseQuoteChar"/>
    <w:uiPriority w:val="30"/>
    <w:qFormat/>
    <w:rsid w:val="001136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1"/>
      <w:lang w:bidi="mr-IN"/>
    </w:rPr>
  </w:style>
  <w:style w:type="character" w:customStyle="1" w:styleId="IntenseQuoteChar">
    <w:name w:val="Intense Quote Char"/>
    <w:basedOn w:val="DefaultParagraphFont"/>
    <w:link w:val="IntenseQuote"/>
    <w:uiPriority w:val="30"/>
    <w:rsid w:val="001136C6"/>
    <w:rPr>
      <w:i/>
      <w:iCs/>
      <w:color w:val="0F4761" w:themeColor="accent1" w:themeShade="BF"/>
    </w:rPr>
  </w:style>
  <w:style w:type="character" w:styleId="IntenseReference">
    <w:name w:val="Intense Reference"/>
    <w:basedOn w:val="DefaultParagraphFont"/>
    <w:uiPriority w:val="32"/>
    <w:qFormat/>
    <w:rsid w:val="001136C6"/>
    <w:rPr>
      <w:b/>
      <w:bCs/>
      <w:smallCaps/>
      <w:color w:val="0F4761" w:themeColor="accent1" w:themeShade="BF"/>
      <w:spacing w:val="5"/>
    </w:rPr>
  </w:style>
  <w:style w:type="character" w:styleId="Hyperlink">
    <w:name w:val="Hyperlink"/>
    <w:basedOn w:val="DefaultParagraphFont"/>
    <w:uiPriority w:val="99"/>
    <w:unhideWhenUsed/>
    <w:rsid w:val="00390CF7"/>
    <w:rPr>
      <w:color w:val="467886" w:themeColor="hyperlink"/>
      <w:u w:val="single"/>
    </w:rPr>
  </w:style>
  <w:style w:type="character" w:customStyle="1" w:styleId="UnresolvedMention1">
    <w:name w:val="Unresolved Mention1"/>
    <w:basedOn w:val="DefaultParagraphFont"/>
    <w:uiPriority w:val="99"/>
    <w:semiHidden/>
    <w:unhideWhenUsed/>
    <w:rsid w:val="007B6BFC"/>
    <w:rPr>
      <w:color w:val="605E5C"/>
      <w:shd w:val="clear" w:color="auto" w:fill="E1DFDD"/>
    </w:rPr>
  </w:style>
  <w:style w:type="character" w:styleId="UnresolvedMention">
    <w:name w:val="Unresolved Mention"/>
    <w:basedOn w:val="DefaultParagraphFont"/>
    <w:uiPriority w:val="99"/>
    <w:semiHidden/>
    <w:unhideWhenUsed/>
    <w:rsid w:val="00652DC8"/>
    <w:rPr>
      <w:color w:val="605E5C"/>
      <w:shd w:val="clear" w:color="auto" w:fill="E1DFDD"/>
    </w:rPr>
  </w:style>
  <w:style w:type="paragraph" w:styleId="Header">
    <w:name w:val="header"/>
    <w:basedOn w:val="Normal"/>
    <w:link w:val="HeaderChar"/>
    <w:uiPriority w:val="99"/>
    <w:unhideWhenUsed/>
    <w:rsid w:val="00A3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78"/>
    <w:rPr>
      <w:sz w:val="22"/>
      <w:szCs w:val="22"/>
      <w:lang w:bidi="ar-SA"/>
    </w:rPr>
  </w:style>
  <w:style w:type="paragraph" w:styleId="Footer">
    <w:name w:val="footer"/>
    <w:basedOn w:val="Normal"/>
    <w:link w:val="FooterChar"/>
    <w:uiPriority w:val="99"/>
    <w:unhideWhenUsed/>
    <w:rsid w:val="00A3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78"/>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iastat.com/data/agriculture"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pathoavi84@outlook.com</dc:creator>
  <cp:keywords/>
  <dc:description/>
  <cp:lastModifiedBy>SDI 1084</cp:lastModifiedBy>
  <cp:revision>8</cp:revision>
  <dcterms:created xsi:type="dcterms:W3CDTF">2025-08-29T08:07:00Z</dcterms:created>
  <dcterms:modified xsi:type="dcterms:W3CDTF">2025-08-30T07:30:00Z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9809d4b1-1da1-4469-88b1-ca499eed25ea</vt:lpwstr>
  </property>
</Properties>
</file>