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69DD6" w14:textId="77777777" w:rsidR="00FD0B64" w:rsidRPr="000F10F2" w:rsidRDefault="00FD0B64" w:rsidP="00FD0B64">
      <w:pPr>
        <w:rPr>
          <w:rFonts w:ascii="Times New Roman" w:hAnsi="Times New Roman" w:cs="Times New Roman"/>
          <w:b/>
          <w:sz w:val="24"/>
          <w:szCs w:val="24"/>
        </w:rPr>
      </w:pPr>
      <w:r w:rsidRPr="000F10F2">
        <w:rPr>
          <w:rFonts w:ascii="Times New Roman" w:hAnsi="Times New Roman" w:cs="Times New Roman"/>
          <w:b/>
          <w:sz w:val="24"/>
          <w:szCs w:val="24"/>
        </w:rPr>
        <w:t xml:space="preserve">Hairy root induction for production of bioactive metabolites from </w:t>
      </w:r>
      <w:proofErr w:type="spellStart"/>
      <w:r w:rsidRPr="000F10F2">
        <w:rPr>
          <w:rFonts w:ascii="Times New Roman" w:hAnsi="Times New Roman" w:cs="Times New Roman"/>
          <w:b/>
          <w:i/>
          <w:sz w:val="24"/>
          <w:szCs w:val="24"/>
        </w:rPr>
        <w:t>Picrorhiza</w:t>
      </w:r>
      <w:proofErr w:type="spellEnd"/>
      <w:r w:rsidRPr="000F10F2">
        <w:rPr>
          <w:rFonts w:ascii="Times New Roman" w:hAnsi="Times New Roman" w:cs="Times New Roman"/>
          <w:b/>
          <w:i/>
          <w:sz w:val="24"/>
          <w:szCs w:val="24"/>
        </w:rPr>
        <w:t xml:space="preserve"> </w:t>
      </w:r>
      <w:proofErr w:type="spellStart"/>
      <w:r w:rsidRPr="000F10F2">
        <w:rPr>
          <w:rFonts w:ascii="Times New Roman" w:hAnsi="Times New Roman" w:cs="Times New Roman"/>
          <w:b/>
          <w:i/>
          <w:sz w:val="24"/>
          <w:szCs w:val="24"/>
        </w:rPr>
        <w:t>kurroa</w:t>
      </w:r>
      <w:proofErr w:type="spellEnd"/>
      <w:r w:rsidRPr="000F10F2">
        <w:rPr>
          <w:rFonts w:ascii="Times New Roman" w:hAnsi="Times New Roman" w:cs="Times New Roman"/>
          <w:b/>
          <w:i/>
          <w:sz w:val="24"/>
          <w:szCs w:val="24"/>
        </w:rPr>
        <w:t xml:space="preserve"> </w:t>
      </w:r>
      <w:proofErr w:type="spellStart"/>
      <w:r w:rsidRPr="000F10F2">
        <w:rPr>
          <w:rFonts w:ascii="Times New Roman" w:hAnsi="Times New Roman" w:cs="Times New Roman"/>
          <w:b/>
          <w:sz w:val="24"/>
          <w:szCs w:val="24"/>
        </w:rPr>
        <w:t>Royle</w:t>
      </w:r>
      <w:proofErr w:type="spellEnd"/>
      <w:r w:rsidRPr="000F10F2">
        <w:rPr>
          <w:rFonts w:ascii="Times New Roman" w:hAnsi="Times New Roman" w:cs="Times New Roman"/>
          <w:b/>
          <w:sz w:val="24"/>
          <w:szCs w:val="24"/>
        </w:rPr>
        <w:t xml:space="preserve"> ex Benth</w:t>
      </w:r>
    </w:p>
    <w:p w14:paraId="74E08BD3" w14:textId="1429C550" w:rsidR="00FD0B64" w:rsidRDefault="00FD0B64" w:rsidP="00FD0B64">
      <w:pPr>
        <w:jc w:val="both"/>
        <w:rPr>
          <w:rFonts w:ascii="Times New Roman" w:hAnsi="Times New Roman" w:cs="Times New Roman"/>
          <w:sz w:val="20"/>
          <w:szCs w:val="20"/>
        </w:rPr>
      </w:pPr>
    </w:p>
    <w:p w14:paraId="21834E21" w14:textId="77777777" w:rsidR="00057B98" w:rsidRPr="000F10F2" w:rsidRDefault="00057B98" w:rsidP="00FD0B64">
      <w:pPr>
        <w:jc w:val="both"/>
        <w:rPr>
          <w:rFonts w:ascii="Times New Roman" w:hAnsi="Times New Roman" w:cs="Times New Roman"/>
          <w:sz w:val="20"/>
          <w:szCs w:val="20"/>
        </w:rPr>
      </w:pPr>
    </w:p>
    <w:p w14:paraId="656106C6" w14:textId="77777777" w:rsidR="00FD0B64" w:rsidRPr="000F10F2" w:rsidRDefault="00FD0B64" w:rsidP="00FD0B64">
      <w:pPr>
        <w:rPr>
          <w:rFonts w:ascii="Times New Roman" w:hAnsi="Times New Roman" w:cs="Times New Roman"/>
          <w:b/>
          <w:sz w:val="24"/>
          <w:szCs w:val="24"/>
        </w:rPr>
      </w:pPr>
      <w:r w:rsidRPr="000F10F2">
        <w:rPr>
          <w:rFonts w:ascii="Times New Roman" w:hAnsi="Times New Roman" w:cs="Times New Roman"/>
          <w:b/>
          <w:sz w:val="24"/>
          <w:szCs w:val="24"/>
        </w:rPr>
        <w:t>Abstract</w:t>
      </w:r>
    </w:p>
    <w:p w14:paraId="564DD423" w14:textId="77777777" w:rsidR="00FD0B64" w:rsidRPr="000F10F2" w:rsidRDefault="00FD0B64" w:rsidP="00FD0B64">
      <w:pPr>
        <w:pStyle w:val="NormalWeb"/>
        <w:spacing w:line="360" w:lineRule="auto"/>
        <w:jc w:val="both"/>
        <w:rPr>
          <w:sz w:val="20"/>
          <w:szCs w:val="20"/>
        </w:rPr>
      </w:pPr>
      <w:proofErr w:type="spellStart"/>
      <w:r w:rsidRPr="000F10F2">
        <w:rPr>
          <w:i/>
          <w:color w:val="0D0D0D"/>
          <w:sz w:val="20"/>
          <w:szCs w:val="20"/>
          <w:shd w:val="clear" w:color="auto" w:fill="FFFFFF"/>
        </w:rPr>
        <w:t>Picrorhiza</w:t>
      </w:r>
      <w:proofErr w:type="spellEnd"/>
      <w:r w:rsidRPr="000F10F2">
        <w:rPr>
          <w:i/>
          <w:color w:val="0D0D0D"/>
          <w:sz w:val="20"/>
          <w:szCs w:val="20"/>
          <w:shd w:val="clear" w:color="auto" w:fill="FFFFFF"/>
        </w:rPr>
        <w:t xml:space="preserve"> </w:t>
      </w:r>
      <w:proofErr w:type="spellStart"/>
      <w:r w:rsidRPr="000F10F2">
        <w:rPr>
          <w:i/>
          <w:color w:val="0D0D0D"/>
          <w:sz w:val="20"/>
          <w:szCs w:val="20"/>
          <w:shd w:val="clear" w:color="auto" w:fill="FFFFFF"/>
        </w:rPr>
        <w:t>kurroa</w:t>
      </w:r>
      <w:proofErr w:type="spellEnd"/>
      <w:r w:rsidRPr="000F10F2">
        <w:rPr>
          <w:color w:val="0D0D0D"/>
          <w:sz w:val="20"/>
          <w:szCs w:val="20"/>
          <w:shd w:val="clear" w:color="auto" w:fill="FFFFFF"/>
        </w:rPr>
        <w:t xml:space="preserve"> </w:t>
      </w:r>
      <w:proofErr w:type="spellStart"/>
      <w:r w:rsidRPr="000F10F2">
        <w:rPr>
          <w:color w:val="0D0D0D"/>
          <w:sz w:val="20"/>
          <w:szCs w:val="20"/>
          <w:shd w:val="clear" w:color="auto" w:fill="FFFFFF"/>
        </w:rPr>
        <w:t>Royle</w:t>
      </w:r>
      <w:proofErr w:type="spellEnd"/>
      <w:r w:rsidRPr="000F10F2">
        <w:rPr>
          <w:color w:val="0D0D0D"/>
          <w:sz w:val="20"/>
          <w:szCs w:val="20"/>
          <w:shd w:val="clear" w:color="auto" w:fill="FFFFFF"/>
        </w:rPr>
        <w:t xml:space="preserve"> ex </w:t>
      </w:r>
      <w:proofErr w:type="spellStart"/>
      <w:r w:rsidRPr="000F10F2">
        <w:rPr>
          <w:color w:val="0D0D0D"/>
          <w:sz w:val="20"/>
          <w:szCs w:val="20"/>
          <w:shd w:val="clear" w:color="auto" w:fill="FFFFFF"/>
        </w:rPr>
        <w:t>Benth</w:t>
      </w:r>
      <w:proofErr w:type="spellEnd"/>
      <w:r w:rsidRPr="000F10F2">
        <w:rPr>
          <w:color w:val="0D0D0D"/>
          <w:sz w:val="20"/>
          <w:szCs w:val="20"/>
          <w:shd w:val="clear" w:color="auto" w:fill="FFFFFF"/>
        </w:rPr>
        <w:t xml:space="preserve"> (</w:t>
      </w:r>
      <w:proofErr w:type="spellStart"/>
      <w:r w:rsidRPr="000F10F2">
        <w:rPr>
          <w:color w:val="0D0D0D"/>
          <w:sz w:val="20"/>
          <w:szCs w:val="20"/>
          <w:shd w:val="clear" w:color="auto" w:fill="FFFFFF"/>
        </w:rPr>
        <w:t>kutki</w:t>
      </w:r>
      <w:proofErr w:type="spellEnd"/>
      <w:r w:rsidRPr="000F10F2">
        <w:rPr>
          <w:color w:val="0D0D0D"/>
          <w:sz w:val="20"/>
          <w:szCs w:val="20"/>
          <w:shd w:val="clear" w:color="auto" w:fill="FFFFFF"/>
        </w:rPr>
        <w:t xml:space="preserve">) is a community herb of local tribes of Uttarakhand. This plant is habitant of Himalaya found at the ranges between </w:t>
      </w:r>
      <w:r w:rsidRPr="000F10F2">
        <w:rPr>
          <w:sz w:val="20"/>
          <w:szCs w:val="20"/>
        </w:rPr>
        <w:t xml:space="preserve">(3000-5300m) from mean sea level (msl). </w:t>
      </w:r>
      <w:r w:rsidRPr="000F10F2">
        <w:rPr>
          <w:color w:val="0D0D0D"/>
          <w:sz w:val="20"/>
          <w:szCs w:val="20"/>
          <w:shd w:val="clear" w:color="auto" w:fill="FFFFFF"/>
        </w:rPr>
        <w:t xml:space="preserve">Significance is undoubtedly proven for various ailments and their care management. An excessive damage from natural habitat threatened the existence of this particular herb by virtue of unsustainable harvesting practices, habitat behavior due to changing climate effect. As a </w:t>
      </w:r>
      <w:proofErr w:type="gramStart"/>
      <w:r w:rsidRPr="000F10F2">
        <w:rPr>
          <w:color w:val="0D0D0D"/>
          <w:sz w:val="20"/>
          <w:szCs w:val="20"/>
          <w:shd w:val="clear" w:color="auto" w:fill="FFFFFF"/>
        </w:rPr>
        <w:t>result</w:t>
      </w:r>
      <w:proofErr w:type="gramEnd"/>
      <w:r w:rsidRPr="000F10F2">
        <w:rPr>
          <w:sz w:val="20"/>
          <w:szCs w:val="20"/>
        </w:rPr>
        <w:t xml:space="preserve"> its natural population is being diminishing </w:t>
      </w:r>
      <w:proofErr w:type="spellStart"/>
      <w:r w:rsidRPr="000F10F2">
        <w:rPr>
          <w:sz w:val="20"/>
          <w:szCs w:val="20"/>
        </w:rPr>
        <w:t>upto</w:t>
      </w:r>
      <w:proofErr w:type="spellEnd"/>
      <w:r w:rsidRPr="000F10F2">
        <w:rPr>
          <w:sz w:val="20"/>
          <w:szCs w:val="20"/>
        </w:rPr>
        <w:t xml:space="preserve"> an extent of its extinction. Our laboratory research data based on various experiments conducted during </w:t>
      </w:r>
      <w:r w:rsidRPr="000F10F2">
        <w:rPr>
          <w:i/>
          <w:sz w:val="20"/>
          <w:szCs w:val="20"/>
        </w:rPr>
        <w:t>in vitro</w:t>
      </w:r>
      <w:r w:rsidRPr="000F10F2">
        <w:rPr>
          <w:sz w:val="20"/>
          <w:szCs w:val="20"/>
        </w:rPr>
        <w:t xml:space="preserve"> growth and development with special reference to hairy roots. Leaf explants were used for initial callus induction on media containing </w:t>
      </w:r>
      <w:proofErr w:type="spellStart"/>
      <w:r w:rsidRPr="000F10F2">
        <w:rPr>
          <w:sz w:val="20"/>
          <w:szCs w:val="20"/>
        </w:rPr>
        <w:t>Thidiazuron</w:t>
      </w:r>
      <w:proofErr w:type="spellEnd"/>
      <w:r w:rsidRPr="000F10F2">
        <w:rPr>
          <w:sz w:val="20"/>
          <w:szCs w:val="20"/>
        </w:rPr>
        <w:t xml:space="preserve"> (TDZ) (2.27 </w:t>
      </w:r>
      <w:proofErr w:type="spellStart"/>
      <w:r w:rsidRPr="000F10F2">
        <w:rPr>
          <w:sz w:val="20"/>
          <w:szCs w:val="20"/>
        </w:rPr>
        <w:t>μM</w:t>
      </w:r>
      <w:proofErr w:type="spellEnd"/>
      <w:r w:rsidRPr="000F10F2">
        <w:rPr>
          <w:sz w:val="20"/>
          <w:szCs w:val="20"/>
        </w:rPr>
        <w:t xml:space="preserve">). Induced callus(s) on basal Murashige and Skoog (MS) media with desired </w:t>
      </w:r>
      <w:proofErr w:type="spellStart"/>
      <w:r w:rsidRPr="000F10F2">
        <w:rPr>
          <w:sz w:val="20"/>
          <w:szCs w:val="20"/>
        </w:rPr>
        <w:t>phytoregulators</w:t>
      </w:r>
      <w:proofErr w:type="spellEnd"/>
      <w:r w:rsidRPr="000F10F2">
        <w:rPr>
          <w:sz w:val="20"/>
          <w:szCs w:val="20"/>
        </w:rPr>
        <w:t xml:space="preserve"> selected on the basis of required responses include Naphthalene-1-acetic acid (NAA) (2.15µM) and </w:t>
      </w:r>
      <w:r w:rsidRPr="000F10F2">
        <w:rPr>
          <w:bCs/>
          <w:sz w:val="20"/>
          <w:szCs w:val="20"/>
        </w:rPr>
        <w:t>Indole-3-acetic acid</w:t>
      </w:r>
      <w:r w:rsidRPr="000F10F2">
        <w:rPr>
          <w:sz w:val="20"/>
          <w:szCs w:val="20"/>
        </w:rPr>
        <w:t xml:space="preserve"> (IAA) (2.28µM). Hairy root induction and subsequent proliferation from callus(s) was observed. Indirectly regenerated shoot tips from callus(s) upon sub culturing with NAA (10.74µM) and IAA (11.42µM) showed hairy roots in addition to normal regenerated roots. Indirectly regenerated leaves while inoculated as further explants(s) from indirectly regenerated plantlet with NAA (2.15µM) and IBA (2.95µM) showed hairy root development </w:t>
      </w:r>
      <w:proofErr w:type="spellStart"/>
      <w:r w:rsidRPr="000F10F2">
        <w:rPr>
          <w:sz w:val="20"/>
          <w:szCs w:val="20"/>
        </w:rPr>
        <w:t>upto</w:t>
      </w:r>
      <w:proofErr w:type="spellEnd"/>
      <w:r w:rsidRPr="000F10F2">
        <w:rPr>
          <w:sz w:val="20"/>
          <w:szCs w:val="20"/>
        </w:rPr>
        <w:t xml:space="preserve"> a greater extent compared to various </w:t>
      </w:r>
      <w:proofErr w:type="spellStart"/>
      <w:r w:rsidRPr="000F10F2">
        <w:rPr>
          <w:sz w:val="20"/>
          <w:szCs w:val="20"/>
        </w:rPr>
        <w:t>phytoregulator</w:t>
      </w:r>
      <w:proofErr w:type="spellEnd"/>
      <w:r w:rsidRPr="000F10F2">
        <w:rPr>
          <w:sz w:val="20"/>
          <w:szCs w:val="20"/>
        </w:rPr>
        <w:t xml:space="preserve"> and their </w:t>
      </w:r>
      <w:proofErr w:type="spellStart"/>
      <w:r w:rsidRPr="000F10F2">
        <w:rPr>
          <w:sz w:val="20"/>
          <w:szCs w:val="20"/>
        </w:rPr>
        <w:t>combination.NAA</w:t>
      </w:r>
      <w:proofErr w:type="spellEnd"/>
      <w:r w:rsidRPr="000F10F2">
        <w:rPr>
          <w:sz w:val="20"/>
          <w:szCs w:val="20"/>
        </w:rPr>
        <w:t xml:space="preserve"> (2.15µM) alone showed hairy root induction while nodal regions of regenerated plantlets were used as explants. </w:t>
      </w:r>
      <w:proofErr w:type="spellStart"/>
      <w:r w:rsidRPr="000F10F2">
        <w:rPr>
          <w:sz w:val="20"/>
          <w:szCs w:val="20"/>
        </w:rPr>
        <w:t>Picroside</w:t>
      </w:r>
      <w:proofErr w:type="spellEnd"/>
      <w:r w:rsidRPr="000F10F2">
        <w:rPr>
          <w:sz w:val="20"/>
          <w:szCs w:val="20"/>
        </w:rPr>
        <w:t xml:space="preserve">-II, the principal iridoid glycoside of </w:t>
      </w:r>
      <w:proofErr w:type="spellStart"/>
      <w:r w:rsidRPr="000F10F2">
        <w:rPr>
          <w:rStyle w:val="Emphasis"/>
          <w:sz w:val="20"/>
          <w:szCs w:val="20"/>
        </w:rPr>
        <w:t>Picrorhiza</w:t>
      </w:r>
      <w:proofErr w:type="spellEnd"/>
      <w:r w:rsidRPr="000F10F2">
        <w:rPr>
          <w:rStyle w:val="Emphasis"/>
          <w:sz w:val="20"/>
          <w:szCs w:val="20"/>
        </w:rPr>
        <w:t xml:space="preserve"> </w:t>
      </w:r>
      <w:proofErr w:type="spellStart"/>
      <w:r w:rsidRPr="000F10F2">
        <w:rPr>
          <w:rStyle w:val="Emphasis"/>
          <w:sz w:val="20"/>
          <w:szCs w:val="20"/>
        </w:rPr>
        <w:t>kurroa</w:t>
      </w:r>
      <w:proofErr w:type="spellEnd"/>
      <w:r w:rsidRPr="000F10F2">
        <w:rPr>
          <w:sz w:val="20"/>
          <w:szCs w:val="20"/>
        </w:rPr>
        <w:t xml:space="preserve">, was quantitatively analyzed using High-Performance Liquid Chromatography (HPLC), enabling precise determination of this key bioactive compound. This attempt provides an opportunity to generate the desired plant material for further extraction of bioactive metabolites </w:t>
      </w:r>
      <w:proofErr w:type="spellStart"/>
      <w:r w:rsidRPr="000F10F2">
        <w:rPr>
          <w:sz w:val="20"/>
          <w:szCs w:val="20"/>
        </w:rPr>
        <w:t>alongwith</w:t>
      </w:r>
      <w:proofErr w:type="spellEnd"/>
      <w:r w:rsidRPr="000F10F2">
        <w:rPr>
          <w:sz w:val="20"/>
          <w:szCs w:val="20"/>
        </w:rPr>
        <w:t xml:space="preserve"> sustainable conservation strategy for </w:t>
      </w:r>
      <w:proofErr w:type="spellStart"/>
      <w:r w:rsidRPr="000F10F2">
        <w:rPr>
          <w:i/>
          <w:sz w:val="20"/>
          <w:szCs w:val="20"/>
        </w:rPr>
        <w:t>Picrorhiza</w:t>
      </w:r>
      <w:proofErr w:type="spellEnd"/>
      <w:r w:rsidRPr="000F10F2">
        <w:rPr>
          <w:i/>
          <w:sz w:val="20"/>
          <w:szCs w:val="20"/>
        </w:rPr>
        <w:t xml:space="preserve"> </w:t>
      </w:r>
      <w:proofErr w:type="spellStart"/>
      <w:r w:rsidRPr="000F10F2">
        <w:rPr>
          <w:i/>
          <w:sz w:val="20"/>
          <w:szCs w:val="20"/>
        </w:rPr>
        <w:t>kurroa</w:t>
      </w:r>
      <w:proofErr w:type="spellEnd"/>
      <w:r w:rsidRPr="000F10F2">
        <w:rPr>
          <w:sz w:val="20"/>
          <w:szCs w:val="20"/>
        </w:rPr>
        <w:t xml:space="preserve">. </w:t>
      </w:r>
    </w:p>
    <w:p w14:paraId="02D02660" w14:textId="77777777" w:rsidR="00FD0B64" w:rsidRPr="000F10F2" w:rsidRDefault="00FD0B64" w:rsidP="00FD0B64">
      <w:pPr>
        <w:pStyle w:val="NormalWeb"/>
        <w:spacing w:line="360" w:lineRule="auto"/>
        <w:jc w:val="both"/>
        <w:rPr>
          <w:b/>
        </w:rPr>
      </w:pPr>
      <w:r w:rsidRPr="000F10F2">
        <w:rPr>
          <w:b/>
        </w:rPr>
        <w:t>Keywords</w:t>
      </w:r>
    </w:p>
    <w:p w14:paraId="065CD452" w14:textId="77777777" w:rsidR="00FD0B64" w:rsidRPr="000F10F2" w:rsidRDefault="00FD0B64" w:rsidP="00FD0B64">
      <w:pPr>
        <w:pStyle w:val="NormalWeb"/>
        <w:spacing w:line="360" w:lineRule="auto"/>
        <w:jc w:val="both"/>
        <w:rPr>
          <w:sz w:val="20"/>
          <w:szCs w:val="20"/>
        </w:rPr>
      </w:pPr>
      <w:r w:rsidRPr="000F10F2">
        <w:rPr>
          <w:i/>
          <w:sz w:val="20"/>
          <w:szCs w:val="20"/>
        </w:rPr>
        <w:t xml:space="preserve">Agrobacterium </w:t>
      </w:r>
      <w:proofErr w:type="spellStart"/>
      <w:r w:rsidRPr="000F10F2">
        <w:rPr>
          <w:i/>
          <w:sz w:val="20"/>
          <w:szCs w:val="20"/>
        </w:rPr>
        <w:t>rhizogenes</w:t>
      </w:r>
      <w:proofErr w:type="spellEnd"/>
      <w:r w:rsidRPr="000F10F2">
        <w:rPr>
          <w:sz w:val="20"/>
          <w:szCs w:val="20"/>
        </w:rPr>
        <w:t xml:space="preserve">; </w:t>
      </w:r>
      <w:proofErr w:type="spellStart"/>
      <w:r w:rsidRPr="000F10F2">
        <w:rPr>
          <w:sz w:val="20"/>
          <w:szCs w:val="20"/>
        </w:rPr>
        <w:t>Kutki</w:t>
      </w:r>
      <w:proofErr w:type="spellEnd"/>
      <w:r w:rsidRPr="000F10F2">
        <w:rPr>
          <w:sz w:val="20"/>
          <w:szCs w:val="20"/>
        </w:rPr>
        <w:t xml:space="preserve">; Metabolites; </w:t>
      </w:r>
      <w:proofErr w:type="spellStart"/>
      <w:r w:rsidRPr="000F10F2">
        <w:rPr>
          <w:sz w:val="20"/>
          <w:szCs w:val="20"/>
        </w:rPr>
        <w:t>Phytoregulators</w:t>
      </w:r>
      <w:proofErr w:type="spellEnd"/>
      <w:r w:rsidRPr="000F10F2">
        <w:rPr>
          <w:sz w:val="20"/>
          <w:szCs w:val="20"/>
        </w:rPr>
        <w:t>; Sustainable; Threatened</w:t>
      </w:r>
    </w:p>
    <w:p w14:paraId="3249FE0C" w14:textId="77777777" w:rsidR="00FD0B64" w:rsidRDefault="00FD0B64" w:rsidP="00FD0B64">
      <w:pPr>
        <w:pStyle w:val="NormalWeb"/>
        <w:rPr>
          <w:b/>
        </w:rPr>
      </w:pPr>
      <w:r>
        <w:rPr>
          <w:b/>
        </w:rPr>
        <w:t>Introduction</w:t>
      </w:r>
      <w:r w:rsidRPr="000F10F2">
        <w:rPr>
          <w:b/>
        </w:rPr>
        <w:t xml:space="preserve"> </w:t>
      </w:r>
    </w:p>
    <w:p w14:paraId="5BA3DBEE" w14:textId="77777777" w:rsidR="00FD0B64" w:rsidRPr="00D31ADA" w:rsidRDefault="00FD0B64" w:rsidP="00FD0B64">
      <w:pPr>
        <w:pStyle w:val="NormalWeb"/>
        <w:spacing w:line="360" w:lineRule="auto"/>
        <w:jc w:val="both"/>
        <w:rPr>
          <w:sz w:val="20"/>
          <w:szCs w:val="20"/>
        </w:rPr>
      </w:pPr>
      <w:r w:rsidRPr="00D31ADA">
        <w:rPr>
          <w:sz w:val="20"/>
          <w:szCs w:val="20"/>
        </w:rPr>
        <w:t>The Plantaginaceae family represents a significant source plants consisting of bioactive principles</w:t>
      </w:r>
      <w:r>
        <w:rPr>
          <w:sz w:val="20"/>
          <w:szCs w:val="20"/>
        </w:rPr>
        <w:t xml:space="preserve"> (</w:t>
      </w:r>
      <w:proofErr w:type="spellStart"/>
      <w:r>
        <w:rPr>
          <w:sz w:val="20"/>
          <w:szCs w:val="20"/>
        </w:rPr>
        <w:t>Vendruscolo</w:t>
      </w:r>
      <w:proofErr w:type="spellEnd"/>
      <w:r>
        <w:rPr>
          <w:sz w:val="20"/>
          <w:szCs w:val="20"/>
        </w:rPr>
        <w:t xml:space="preserve"> et al. 2022).</w:t>
      </w:r>
      <w:r w:rsidRPr="00D31ADA">
        <w:rPr>
          <w:sz w:val="20"/>
          <w:szCs w:val="20"/>
        </w:rPr>
        <w:t xml:space="preserve"> Medicinal plant species (90-120) out of 800-900 total species across about 90 genera have been well recognized by virtue of established potential of care management</w:t>
      </w:r>
      <w:r>
        <w:rPr>
          <w:sz w:val="20"/>
          <w:szCs w:val="20"/>
        </w:rPr>
        <w:t xml:space="preserve"> (Malik et al. 2015).</w:t>
      </w:r>
      <w:r w:rsidRPr="00D31ADA">
        <w:rPr>
          <w:sz w:val="20"/>
          <w:szCs w:val="20"/>
        </w:rPr>
        <w:t xml:space="preserve">  Plantaginaceae family found to account for 12-15% diversity. The Himalaya carries particularly significant medicinal genera including</w:t>
      </w:r>
      <w:r>
        <w:rPr>
          <w:sz w:val="20"/>
          <w:szCs w:val="20"/>
        </w:rPr>
        <w:t xml:space="preserve"> Plantago (plantains) with 275</w:t>
      </w:r>
      <w:r w:rsidRPr="00D31ADA">
        <w:rPr>
          <w:sz w:val="20"/>
          <w:szCs w:val="20"/>
        </w:rPr>
        <w:t xml:space="preserve"> species</w:t>
      </w:r>
      <w:r>
        <w:rPr>
          <w:sz w:val="20"/>
          <w:szCs w:val="20"/>
        </w:rPr>
        <w:t xml:space="preserve"> (</w:t>
      </w:r>
      <w:proofErr w:type="spellStart"/>
      <w:r>
        <w:rPr>
          <w:sz w:val="20"/>
          <w:szCs w:val="20"/>
        </w:rPr>
        <w:t>Vendruscolo</w:t>
      </w:r>
      <w:proofErr w:type="spellEnd"/>
      <w:r>
        <w:rPr>
          <w:sz w:val="20"/>
          <w:szCs w:val="20"/>
        </w:rPr>
        <w:t xml:space="preserve"> et al. 2022),</w:t>
      </w:r>
      <w:r w:rsidRPr="00D31ADA">
        <w:rPr>
          <w:sz w:val="20"/>
          <w:szCs w:val="20"/>
        </w:rPr>
        <w:t xml:space="preserve"> Digitalis (foxgloves) with 5-7 species</w:t>
      </w:r>
      <w:r>
        <w:rPr>
          <w:sz w:val="20"/>
          <w:szCs w:val="20"/>
        </w:rPr>
        <w:t xml:space="preserve"> (Nazir et al. 2008),</w:t>
      </w:r>
      <w:r w:rsidRPr="00D31ADA">
        <w:rPr>
          <w:sz w:val="20"/>
          <w:szCs w:val="20"/>
        </w:rPr>
        <w:t xml:space="preserve"> </w:t>
      </w:r>
      <w:r>
        <w:rPr>
          <w:sz w:val="20"/>
          <w:szCs w:val="20"/>
        </w:rPr>
        <w:lastRenderedPageBreak/>
        <w:t>Veronica (speedwells) with 200</w:t>
      </w:r>
      <w:r w:rsidRPr="00D31ADA">
        <w:rPr>
          <w:sz w:val="20"/>
          <w:szCs w:val="20"/>
        </w:rPr>
        <w:t xml:space="preserve"> species</w:t>
      </w:r>
      <w:r>
        <w:rPr>
          <w:sz w:val="20"/>
          <w:szCs w:val="20"/>
        </w:rPr>
        <w:t xml:space="preserve"> (Salehi et al. 2019)</w:t>
      </w:r>
      <w:r w:rsidRPr="00D31ADA">
        <w:rPr>
          <w:sz w:val="20"/>
          <w:szCs w:val="20"/>
        </w:rPr>
        <w:t xml:space="preserve"> and </w:t>
      </w:r>
      <w:proofErr w:type="spellStart"/>
      <w:r w:rsidRPr="00D31ADA">
        <w:rPr>
          <w:sz w:val="20"/>
          <w:szCs w:val="20"/>
        </w:rPr>
        <w:t>Picrorhiza</w:t>
      </w:r>
      <w:proofErr w:type="spellEnd"/>
      <w:r w:rsidRPr="00D31ADA">
        <w:rPr>
          <w:sz w:val="20"/>
          <w:szCs w:val="20"/>
        </w:rPr>
        <w:t>/</w:t>
      </w:r>
      <w:proofErr w:type="spellStart"/>
      <w:r w:rsidRPr="00D31ADA">
        <w:rPr>
          <w:sz w:val="20"/>
          <w:szCs w:val="20"/>
        </w:rPr>
        <w:t>Neopicrorhiza</w:t>
      </w:r>
      <w:proofErr w:type="spellEnd"/>
      <w:r w:rsidRPr="00D31ADA">
        <w:rPr>
          <w:sz w:val="20"/>
          <w:szCs w:val="20"/>
        </w:rPr>
        <w:t xml:space="preserve"> with 2-3 species</w:t>
      </w:r>
      <w:r>
        <w:rPr>
          <w:sz w:val="20"/>
          <w:szCs w:val="20"/>
        </w:rPr>
        <w:t xml:space="preserve"> (Sharma 2021)</w:t>
      </w:r>
    </w:p>
    <w:p w14:paraId="3839124A" w14:textId="77777777" w:rsidR="00FD0B64" w:rsidRPr="00D31ADA" w:rsidRDefault="00FD0B64" w:rsidP="00FD0B64">
      <w:pPr>
        <w:pStyle w:val="NormalWeb"/>
        <w:spacing w:line="360" w:lineRule="auto"/>
        <w:jc w:val="both"/>
        <w:rPr>
          <w:sz w:val="20"/>
          <w:szCs w:val="20"/>
        </w:rPr>
      </w:pPr>
      <w:r w:rsidRPr="00D31ADA">
        <w:rPr>
          <w:sz w:val="20"/>
          <w:szCs w:val="20"/>
        </w:rPr>
        <w:t>The medicinal properties of Plantaginaceae plant species known from their diverse</w:t>
      </w:r>
      <w:r>
        <w:rPr>
          <w:sz w:val="20"/>
          <w:szCs w:val="20"/>
        </w:rPr>
        <w:t xml:space="preserve"> phytochemical profiles. </w:t>
      </w:r>
      <w:r w:rsidRPr="00D31ADA">
        <w:rPr>
          <w:sz w:val="20"/>
          <w:szCs w:val="20"/>
        </w:rPr>
        <w:t xml:space="preserve">Digitalis species are renowned for their cardiac glycosides, with D. purpurea producing digoxin, digitoxin, and </w:t>
      </w:r>
      <w:proofErr w:type="spellStart"/>
      <w:r w:rsidRPr="00D31ADA">
        <w:rPr>
          <w:sz w:val="20"/>
          <w:szCs w:val="20"/>
        </w:rPr>
        <w:t>gitoxin</w:t>
      </w:r>
      <w:proofErr w:type="spellEnd"/>
      <w:r w:rsidRPr="00D31ADA">
        <w:rPr>
          <w:sz w:val="20"/>
          <w:szCs w:val="20"/>
        </w:rPr>
        <w:t xml:space="preserve"> alongside flavonoids like luteolin and apigenin. D. </w:t>
      </w:r>
      <w:proofErr w:type="spellStart"/>
      <w:r w:rsidRPr="00D31ADA">
        <w:rPr>
          <w:sz w:val="20"/>
          <w:szCs w:val="20"/>
        </w:rPr>
        <w:t>lanata</w:t>
      </w:r>
      <w:proofErr w:type="spellEnd"/>
      <w:r w:rsidRPr="00D31ADA">
        <w:rPr>
          <w:sz w:val="20"/>
          <w:szCs w:val="20"/>
        </w:rPr>
        <w:t xml:space="preserve"> synthesizes </w:t>
      </w:r>
      <w:proofErr w:type="spellStart"/>
      <w:r w:rsidRPr="00D31ADA">
        <w:rPr>
          <w:sz w:val="20"/>
          <w:szCs w:val="20"/>
        </w:rPr>
        <w:t>lanatosides</w:t>
      </w:r>
      <w:proofErr w:type="spellEnd"/>
      <w:r w:rsidRPr="00D31ADA">
        <w:rPr>
          <w:sz w:val="20"/>
          <w:szCs w:val="20"/>
        </w:rPr>
        <w:t xml:space="preserve"> A, B, and C in addition to cardiac glycosides</w:t>
      </w:r>
      <w:r>
        <w:rPr>
          <w:sz w:val="20"/>
          <w:szCs w:val="20"/>
        </w:rPr>
        <w:t xml:space="preserve"> (Verma et al. 2016)</w:t>
      </w:r>
      <w:r w:rsidRPr="00D31ADA">
        <w:rPr>
          <w:sz w:val="20"/>
          <w:szCs w:val="20"/>
        </w:rPr>
        <w:t xml:space="preserve">. Veronica species characteristically produce iridoid glycosides such as </w:t>
      </w:r>
      <w:proofErr w:type="spellStart"/>
      <w:r w:rsidRPr="00D31ADA">
        <w:rPr>
          <w:sz w:val="20"/>
          <w:szCs w:val="20"/>
        </w:rPr>
        <w:t>aucubin</w:t>
      </w:r>
      <w:proofErr w:type="spellEnd"/>
      <w:r w:rsidRPr="00D31ADA">
        <w:rPr>
          <w:sz w:val="20"/>
          <w:szCs w:val="20"/>
        </w:rPr>
        <w:t xml:space="preserve"> and </w:t>
      </w:r>
      <w:proofErr w:type="spellStart"/>
      <w:r w:rsidRPr="00D31ADA">
        <w:rPr>
          <w:sz w:val="20"/>
          <w:szCs w:val="20"/>
        </w:rPr>
        <w:t>catalpol</w:t>
      </w:r>
      <w:proofErr w:type="spellEnd"/>
      <w:r w:rsidRPr="00D31ADA">
        <w:rPr>
          <w:sz w:val="20"/>
          <w:szCs w:val="20"/>
        </w:rPr>
        <w:t>, combined with phenolic compounds including chlorogenic and caffeic acids</w:t>
      </w:r>
      <w:r>
        <w:rPr>
          <w:sz w:val="20"/>
          <w:szCs w:val="20"/>
        </w:rPr>
        <w:t xml:space="preserve"> (Salehi et al. 2019)</w:t>
      </w:r>
      <w:r w:rsidRPr="00D31ADA">
        <w:rPr>
          <w:sz w:val="20"/>
          <w:szCs w:val="20"/>
        </w:rPr>
        <w:t xml:space="preserve">. Plantago species display remarkable consistency in their iridoid glycoside content, with </w:t>
      </w:r>
      <w:proofErr w:type="spellStart"/>
      <w:r w:rsidRPr="00D31ADA">
        <w:rPr>
          <w:sz w:val="20"/>
          <w:szCs w:val="20"/>
        </w:rPr>
        <w:t>aucubin</w:t>
      </w:r>
      <w:proofErr w:type="spellEnd"/>
      <w:r w:rsidRPr="00D31ADA">
        <w:rPr>
          <w:sz w:val="20"/>
          <w:szCs w:val="20"/>
        </w:rPr>
        <w:t xml:space="preserve"> and </w:t>
      </w:r>
      <w:proofErr w:type="spellStart"/>
      <w:r w:rsidRPr="00D31ADA">
        <w:rPr>
          <w:sz w:val="20"/>
          <w:szCs w:val="20"/>
        </w:rPr>
        <w:t>catalpol</w:t>
      </w:r>
      <w:proofErr w:type="spellEnd"/>
      <w:r w:rsidRPr="00D31ADA">
        <w:rPr>
          <w:sz w:val="20"/>
          <w:szCs w:val="20"/>
        </w:rPr>
        <w:t xml:space="preserve"> being predominant, while also producing phenylethanoid glycosides like </w:t>
      </w:r>
      <w:proofErr w:type="spellStart"/>
      <w:r w:rsidRPr="00D31ADA">
        <w:rPr>
          <w:sz w:val="20"/>
          <w:szCs w:val="20"/>
        </w:rPr>
        <w:t>plantamajoside</w:t>
      </w:r>
      <w:proofErr w:type="spellEnd"/>
      <w:r w:rsidRPr="00D31ADA">
        <w:rPr>
          <w:sz w:val="20"/>
          <w:szCs w:val="20"/>
        </w:rPr>
        <w:t xml:space="preserve"> and </w:t>
      </w:r>
      <w:proofErr w:type="spellStart"/>
      <w:r w:rsidRPr="00D31ADA">
        <w:rPr>
          <w:sz w:val="20"/>
          <w:szCs w:val="20"/>
        </w:rPr>
        <w:t>acteoside</w:t>
      </w:r>
      <w:proofErr w:type="spellEnd"/>
      <w:r>
        <w:rPr>
          <w:sz w:val="20"/>
          <w:szCs w:val="20"/>
        </w:rPr>
        <w:t xml:space="preserve"> (</w:t>
      </w:r>
      <w:proofErr w:type="spellStart"/>
      <w:r>
        <w:rPr>
          <w:sz w:val="20"/>
          <w:szCs w:val="20"/>
        </w:rPr>
        <w:t>Ronsted</w:t>
      </w:r>
      <w:proofErr w:type="spellEnd"/>
      <w:r>
        <w:rPr>
          <w:sz w:val="20"/>
          <w:szCs w:val="20"/>
        </w:rPr>
        <w:t xml:space="preserve"> et al. 2000)</w:t>
      </w:r>
      <w:r w:rsidRPr="00D31ADA">
        <w:rPr>
          <w:sz w:val="20"/>
          <w:szCs w:val="20"/>
        </w:rPr>
        <w:t xml:space="preserve">. </w:t>
      </w:r>
      <w:proofErr w:type="spellStart"/>
      <w:r w:rsidRPr="00D31ADA">
        <w:rPr>
          <w:sz w:val="20"/>
          <w:szCs w:val="20"/>
        </w:rPr>
        <w:t>Picrorhiza</w:t>
      </w:r>
      <w:proofErr w:type="spellEnd"/>
      <w:r w:rsidRPr="00D31ADA">
        <w:rPr>
          <w:sz w:val="20"/>
          <w:szCs w:val="20"/>
        </w:rPr>
        <w:t xml:space="preserve"> and </w:t>
      </w:r>
      <w:proofErr w:type="spellStart"/>
      <w:r w:rsidRPr="00D31ADA">
        <w:rPr>
          <w:sz w:val="20"/>
          <w:szCs w:val="20"/>
        </w:rPr>
        <w:t>Neopicrorhiza</w:t>
      </w:r>
      <w:proofErr w:type="spellEnd"/>
      <w:r w:rsidRPr="00D31ADA">
        <w:rPr>
          <w:sz w:val="20"/>
          <w:szCs w:val="20"/>
        </w:rPr>
        <w:t xml:space="preserve"> genera are distinguished by their unique </w:t>
      </w:r>
      <w:proofErr w:type="spellStart"/>
      <w:r w:rsidRPr="00D31ADA">
        <w:rPr>
          <w:sz w:val="20"/>
          <w:szCs w:val="20"/>
        </w:rPr>
        <w:t>picroside</w:t>
      </w:r>
      <w:proofErr w:type="spellEnd"/>
      <w:r w:rsidRPr="00D31ADA">
        <w:rPr>
          <w:sz w:val="20"/>
          <w:szCs w:val="20"/>
        </w:rPr>
        <w:t xml:space="preserve"> compounds (</w:t>
      </w:r>
      <w:proofErr w:type="spellStart"/>
      <w:r w:rsidRPr="00D31ADA">
        <w:rPr>
          <w:sz w:val="20"/>
          <w:szCs w:val="20"/>
        </w:rPr>
        <w:t>picroside</w:t>
      </w:r>
      <w:proofErr w:type="spellEnd"/>
      <w:r w:rsidRPr="00D31ADA">
        <w:rPr>
          <w:sz w:val="20"/>
          <w:szCs w:val="20"/>
        </w:rPr>
        <w:t xml:space="preserve"> I and II) and </w:t>
      </w:r>
      <w:proofErr w:type="spellStart"/>
      <w:r w:rsidRPr="00D31ADA">
        <w:rPr>
          <w:sz w:val="20"/>
          <w:szCs w:val="20"/>
        </w:rPr>
        <w:t>kutkoside</w:t>
      </w:r>
      <w:proofErr w:type="spellEnd"/>
      <w:r w:rsidRPr="00D31ADA">
        <w:rPr>
          <w:sz w:val="20"/>
          <w:szCs w:val="20"/>
        </w:rPr>
        <w:t>, alongside phenolic compounds such as apocynin and vanillic acid</w:t>
      </w:r>
      <w:r>
        <w:rPr>
          <w:sz w:val="20"/>
          <w:szCs w:val="20"/>
        </w:rPr>
        <w:t xml:space="preserve"> (Prakash et al. 2020)</w:t>
      </w:r>
      <w:r w:rsidRPr="00D31ADA">
        <w:rPr>
          <w:sz w:val="20"/>
          <w:szCs w:val="20"/>
        </w:rPr>
        <w:t>.</w:t>
      </w:r>
    </w:p>
    <w:p w14:paraId="007F745B" w14:textId="3D8AF8C3" w:rsidR="00FD0B64" w:rsidRPr="00D31ADA" w:rsidRDefault="00FD0B64" w:rsidP="00FD0B64">
      <w:pPr>
        <w:pStyle w:val="NormalWeb"/>
        <w:spacing w:line="360" w:lineRule="auto"/>
        <w:jc w:val="both"/>
        <w:rPr>
          <w:sz w:val="20"/>
          <w:szCs w:val="20"/>
        </w:rPr>
      </w:pPr>
      <w:r w:rsidRPr="00D31ADA">
        <w:rPr>
          <w:sz w:val="20"/>
          <w:szCs w:val="20"/>
        </w:rPr>
        <w:t>The conservation landscape for these medicinal plants reveals significant disparities in protection needs and cultivation success. Plantago species demonstrate remarkable adaptability to human-modified landscapes, thriving in disturbed areas without specific conservation measures</w:t>
      </w:r>
      <w:r>
        <w:rPr>
          <w:sz w:val="20"/>
          <w:szCs w:val="20"/>
        </w:rPr>
        <w:t xml:space="preserve"> (Chesney et al. 2025)</w:t>
      </w:r>
      <w:r w:rsidRPr="00D31ADA">
        <w:rPr>
          <w:sz w:val="20"/>
          <w:szCs w:val="20"/>
        </w:rPr>
        <w:t xml:space="preserve">. In contrast, </w:t>
      </w:r>
      <w:proofErr w:type="spellStart"/>
      <w:r w:rsidRPr="00D31ADA">
        <w:rPr>
          <w:i/>
          <w:sz w:val="20"/>
          <w:szCs w:val="20"/>
        </w:rPr>
        <w:t>Picrorhiza</w:t>
      </w:r>
      <w:proofErr w:type="spellEnd"/>
      <w:r w:rsidRPr="00D31ADA">
        <w:rPr>
          <w:i/>
          <w:sz w:val="20"/>
          <w:szCs w:val="20"/>
        </w:rPr>
        <w:t xml:space="preserve"> </w:t>
      </w:r>
      <w:proofErr w:type="spellStart"/>
      <w:r w:rsidRPr="00D31ADA">
        <w:rPr>
          <w:i/>
          <w:sz w:val="20"/>
          <w:szCs w:val="20"/>
        </w:rPr>
        <w:t>kurroa</w:t>
      </w:r>
      <w:proofErr w:type="spellEnd"/>
      <w:r w:rsidRPr="00D31ADA">
        <w:rPr>
          <w:sz w:val="20"/>
          <w:szCs w:val="20"/>
        </w:rPr>
        <w:t xml:space="preserve"> faces multiple severe threats including overharvesting at natural and habitat further degradation, climate change, and slow regeneration rates, leading to its CITES Appendix I listing and implementation of harvest bans in several regions</w:t>
      </w:r>
      <w:r>
        <w:rPr>
          <w:sz w:val="20"/>
          <w:szCs w:val="20"/>
        </w:rPr>
        <w:t xml:space="preserve"> (Pandey and Gaur 2025)</w:t>
      </w:r>
      <w:r w:rsidRPr="00D31ADA">
        <w:rPr>
          <w:sz w:val="20"/>
          <w:szCs w:val="20"/>
        </w:rPr>
        <w:t xml:space="preserve">. </w:t>
      </w:r>
      <w:proofErr w:type="spellStart"/>
      <w:r w:rsidRPr="00D31ADA">
        <w:rPr>
          <w:i/>
          <w:sz w:val="20"/>
          <w:szCs w:val="20"/>
        </w:rPr>
        <w:t>Neopicrorhiza</w:t>
      </w:r>
      <w:proofErr w:type="spellEnd"/>
      <w:r w:rsidRPr="00D31ADA">
        <w:rPr>
          <w:i/>
          <w:sz w:val="20"/>
          <w:szCs w:val="20"/>
        </w:rPr>
        <w:t xml:space="preserve"> </w:t>
      </w:r>
      <w:proofErr w:type="spellStart"/>
      <w:r w:rsidRPr="00D31ADA">
        <w:rPr>
          <w:i/>
          <w:sz w:val="20"/>
          <w:szCs w:val="20"/>
        </w:rPr>
        <w:t>scrophulariiflora</w:t>
      </w:r>
      <w:proofErr w:type="spellEnd"/>
      <w:r w:rsidRPr="00D31ADA">
        <w:rPr>
          <w:sz w:val="20"/>
          <w:szCs w:val="20"/>
        </w:rPr>
        <w:t xml:space="preserve"> similarly faces overharvesting pressures and alpine habitat loss</w:t>
      </w:r>
      <w:r>
        <w:rPr>
          <w:sz w:val="20"/>
          <w:szCs w:val="20"/>
        </w:rPr>
        <w:t xml:space="preserve"> (Kafle et al, 2018)</w:t>
      </w:r>
      <w:r w:rsidRPr="00D31ADA">
        <w:rPr>
          <w:sz w:val="20"/>
          <w:szCs w:val="20"/>
        </w:rPr>
        <w:t>. However, harvest regulations have been established to protect this plant in nature.</w:t>
      </w:r>
    </w:p>
    <w:p w14:paraId="349F87DF" w14:textId="77777777" w:rsidR="00FD0B64" w:rsidRPr="00D31ADA" w:rsidRDefault="00FD0B64" w:rsidP="00FD0B64">
      <w:pPr>
        <w:pStyle w:val="NormalWeb"/>
        <w:spacing w:line="360" w:lineRule="auto"/>
        <w:jc w:val="both"/>
        <w:rPr>
          <w:sz w:val="20"/>
          <w:szCs w:val="20"/>
        </w:rPr>
      </w:pPr>
      <w:r w:rsidRPr="00D31ADA">
        <w:rPr>
          <w:sz w:val="20"/>
          <w:szCs w:val="20"/>
        </w:rPr>
        <w:t>Plant tissue culture techniques offer promising alternatives to decline wild harvesting for such plant species. Digitalis species have achieved the most successful tissue culture protocols, with D. purpurea demonstrating ca</w:t>
      </w:r>
      <w:r>
        <w:rPr>
          <w:sz w:val="20"/>
          <w:szCs w:val="20"/>
        </w:rPr>
        <w:t xml:space="preserve">rdenolide production of </w:t>
      </w:r>
      <w:proofErr w:type="gramStart"/>
      <w:r>
        <w:rPr>
          <w:sz w:val="20"/>
          <w:szCs w:val="20"/>
        </w:rPr>
        <w:t>2 fold</w:t>
      </w:r>
      <w:proofErr w:type="gramEnd"/>
      <w:r>
        <w:rPr>
          <w:sz w:val="20"/>
          <w:szCs w:val="20"/>
        </w:rPr>
        <w:t xml:space="preserve"> increase in</w:t>
      </w:r>
      <w:r w:rsidRPr="00D31ADA">
        <w:rPr>
          <w:sz w:val="20"/>
          <w:szCs w:val="20"/>
        </w:rPr>
        <w:t xml:space="preserve"> digitoxin </w:t>
      </w:r>
      <w:r w:rsidRPr="00D31ADA">
        <w:rPr>
          <w:i/>
          <w:sz w:val="20"/>
          <w:szCs w:val="20"/>
        </w:rPr>
        <w:t>in vitro</w:t>
      </w:r>
      <w:r w:rsidRPr="00D31ADA">
        <w:rPr>
          <w:sz w:val="20"/>
          <w:szCs w:val="20"/>
        </w:rPr>
        <w:t xml:space="preserve"> through multiple approaches including shoot multiplication, somatic embryogenesis, and hairy root culture</w:t>
      </w:r>
      <w:r>
        <w:rPr>
          <w:sz w:val="20"/>
          <w:szCs w:val="20"/>
        </w:rPr>
        <w:t xml:space="preserve"> (Rady and Rady 2019)</w:t>
      </w:r>
      <w:r w:rsidRPr="00D31ADA">
        <w:rPr>
          <w:sz w:val="20"/>
          <w:szCs w:val="20"/>
        </w:rPr>
        <w:t xml:space="preserve">. D. </w:t>
      </w:r>
      <w:proofErr w:type="spellStart"/>
      <w:r w:rsidRPr="00D31ADA">
        <w:rPr>
          <w:sz w:val="20"/>
          <w:szCs w:val="20"/>
        </w:rPr>
        <w:t>lanata</w:t>
      </w:r>
      <w:proofErr w:type="spellEnd"/>
      <w:r w:rsidRPr="00D31ADA">
        <w:rPr>
          <w:sz w:val="20"/>
          <w:szCs w:val="20"/>
        </w:rPr>
        <w:t xml:space="preserve"> has shown even greater success with optimized digoxin production enhanced by elicitors in bioreactor systems</w:t>
      </w:r>
      <w:r>
        <w:rPr>
          <w:sz w:val="20"/>
          <w:szCs w:val="20"/>
        </w:rPr>
        <w:t xml:space="preserve"> (Verma et al. 2016)</w:t>
      </w:r>
      <w:r w:rsidRPr="00D31ADA">
        <w:rPr>
          <w:sz w:val="20"/>
          <w:szCs w:val="20"/>
        </w:rPr>
        <w:t>. Veronica species show limited progress, with only basic callus induction and shoot multiplication protocols established with an observation of lower iridoid production potential than wild plants</w:t>
      </w:r>
      <w:r>
        <w:rPr>
          <w:sz w:val="20"/>
          <w:szCs w:val="20"/>
        </w:rPr>
        <w:t xml:space="preserve"> (Shahzad et al. 2011)</w:t>
      </w:r>
      <w:r w:rsidRPr="00D31ADA">
        <w:rPr>
          <w:sz w:val="20"/>
          <w:szCs w:val="20"/>
        </w:rPr>
        <w:t xml:space="preserve">. Plantago species have achieved moderate success with </w:t>
      </w:r>
      <w:proofErr w:type="spellStart"/>
      <w:r w:rsidRPr="00D31ADA">
        <w:rPr>
          <w:sz w:val="20"/>
          <w:szCs w:val="20"/>
        </w:rPr>
        <w:t>aucubin</w:t>
      </w:r>
      <w:proofErr w:type="spellEnd"/>
      <w:r w:rsidRPr="00D31ADA">
        <w:rPr>
          <w:sz w:val="20"/>
          <w:szCs w:val="20"/>
        </w:rPr>
        <w:t xml:space="preserve"> production, though levels remain suboptimal compared to wild-type plants</w:t>
      </w:r>
      <w:r>
        <w:rPr>
          <w:sz w:val="20"/>
          <w:szCs w:val="20"/>
        </w:rPr>
        <w:t xml:space="preserve"> (</w:t>
      </w:r>
      <w:proofErr w:type="spellStart"/>
      <w:r>
        <w:rPr>
          <w:sz w:val="20"/>
          <w:szCs w:val="20"/>
        </w:rPr>
        <w:t>Rahamouz</w:t>
      </w:r>
      <w:proofErr w:type="spellEnd"/>
      <w:r>
        <w:rPr>
          <w:sz w:val="20"/>
          <w:szCs w:val="20"/>
        </w:rPr>
        <w:t xml:space="preserve"> 2023)</w:t>
      </w:r>
      <w:r w:rsidRPr="00D31ADA">
        <w:rPr>
          <w:sz w:val="20"/>
          <w:szCs w:val="20"/>
        </w:rPr>
        <w:t xml:space="preserve">. The most challenging species remain </w:t>
      </w:r>
      <w:proofErr w:type="spellStart"/>
      <w:r w:rsidRPr="00D31ADA">
        <w:rPr>
          <w:i/>
          <w:sz w:val="20"/>
          <w:szCs w:val="20"/>
        </w:rPr>
        <w:t>Picrorhiza</w:t>
      </w:r>
      <w:proofErr w:type="spellEnd"/>
      <w:r w:rsidRPr="00D31ADA">
        <w:rPr>
          <w:i/>
          <w:sz w:val="20"/>
          <w:szCs w:val="20"/>
        </w:rPr>
        <w:t xml:space="preserve"> </w:t>
      </w:r>
      <w:proofErr w:type="spellStart"/>
      <w:r w:rsidRPr="00D31ADA">
        <w:rPr>
          <w:i/>
          <w:sz w:val="20"/>
          <w:szCs w:val="20"/>
        </w:rPr>
        <w:t>kurroa</w:t>
      </w:r>
      <w:proofErr w:type="spellEnd"/>
      <w:r w:rsidRPr="00D31ADA">
        <w:rPr>
          <w:sz w:val="20"/>
          <w:szCs w:val="20"/>
        </w:rPr>
        <w:t xml:space="preserve"> and </w:t>
      </w:r>
      <w:proofErr w:type="spellStart"/>
      <w:r w:rsidRPr="00D31ADA">
        <w:rPr>
          <w:i/>
          <w:sz w:val="20"/>
          <w:szCs w:val="20"/>
        </w:rPr>
        <w:t>Neopicrorhiza</w:t>
      </w:r>
      <w:proofErr w:type="spellEnd"/>
      <w:r w:rsidRPr="00D31ADA">
        <w:rPr>
          <w:i/>
          <w:sz w:val="20"/>
          <w:szCs w:val="20"/>
        </w:rPr>
        <w:t xml:space="preserve"> </w:t>
      </w:r>
      <w:proofErr w:type="spellStart"/>
      <w:r w:rsidRPr="00D31ADA">
        <w:rPr>
          <w:i/>
          <w:sz w:val="20"/>
          <w:szCs w:val="20"/>
        </w:rPr>
        <w:t>scrophulariiflora</w:t>
      </w:r>
      <w:proofErr w:type="spellEnd"/>
      <w:r w:rsidRPr="00D31ADA">
        <w:rPr>
          <w:sz w:val="20"/>
          <w:szCs w:val="20"/>
        </w:rPr>
        <w:t xml:space="preserve">, where </w:t>
      </w:r>
      <w:proofErr w:type="spellStart"/>
      <w:r w:rsidRPr="00D31ADA">
        <w:rPr>
          <w:sz w:val="20"/>
          <w:szCs w:val="20"/>
        </w:rPr>
        <w:t>picroside</w:t>
      </w:r>
      <w:proofErr w:type="spellEnd"/>
      <w:r w:rsidRPr="00D31ADA">
        <w:rPr>
          <w:sz w:val="20"/>
          <w:szCs w:val="20"/>
        </w:rPr>
        <w:t xml:space="preserve"> production reaches only 1-3% compared to wild plant despite various culture practices for higher levels of production of </w:t>
      </w:r>
      <w:proofErr w:type="spellStart"/>
      <w:r w:rsidRPr="00D31ADA">
        <w:rPr>
          <w:sz w:val="20"/>
          <w:szCs w:val="20"/>
        </w:rPr>
        <w:t>picroside</w:t>
      </w:r>
      <w:proofErr w:type="spellEnd"/>
      <w:r w:rsidRPr="00D31ADA">
        <w:rPr>
          <w:sz w:val="20"/>
          <w:szCs w:val="20"/>
        </w:rPr>
        <w:t xml:space="preserve"> </w:t>
      </w:r>
      <w:r w:rsidRPr="00D31ADA">
        <w:rPr>
          <w:i/>
          <w:sz w:val="20"/>
          <w:szCs w:val="20"/>
        </w:rPr>
        <w:t>in vitro</w:t>
      </w:r>
      <w:r w:rsidRPr="00D31ADA">
        <w:rPr>
          <w:sz w:val="20"/>
          <w:szCs w:val="20"/>
        </w:rPr>
        <w:t xml:space="preserve"> developed callus a</w:t>
      </w:r>
      <w:r>
        <w:rPr>
          <w:sz w:val="20"/>
          <w:szCs w:val="20"/>
        </w:rPr>
        <w:t>nd other differentiated organs (Mondal et al. 2013).</w:t>
      </w:r>
    </w:p>
    <w:p w14:paraId="672C546C" w14:textId="77777777" w:rsidR="00FD0B64" w:rsidRPr="00D31ADA" w:rsidRDefault="00FD0B64" w:rsidP="00FD0B64">
      <w:pPr>
        <w:pStyle w:val="NormalWeb"/>
        <w:spacing w:line="360" w:lineRule="auto"/>
        <w:jc w:val="both"/>
        <w:rPr>
          <w:sz w:val="20"/>
          <w:szCs w:val="20"/>
        </w:rPr>
      </w:pPr>
      <w:r w:rsidRPr="00D31ADA">
        <w:rPr>
          <w:sz w:val="20"/>
          <w:szCs w:val="20"/>
        </w:rPr>
        <w:t xml:space="preserve">Transformative potential using genetic modifications for enhancing bioactive compound production in Plantaginaceae species are now promising to achieve the potential of deserved metabolites. Digitalis species have been successfully transformed using Agrobacterium-mediated methods through CRISPR-Cas9 editing, achieving </w:t>
      </w:r>
      <w:proofErr w:type="gramStart"/>
      <w:r w:rsidRPr="00D31ADA">
        <w:rPr>
          <w:sz w:val="20"/>
          <w:szCs w:val="20"/>
        </w:rPr>
        <w:t>2-4 fold</w:t>
      </w:r>
      <w:proofErr w:type="gramEnd"/>
      <w:r w:rsidRPr="00D31ADA">
        <w:rPr>
          <w:sz w:val="20"/>
          <w:szCs w:val="20"/>
        </w:rPr>
        <w:t xml:space="preserve"> increases in cardiac glycoside content</w:t>
      </w:r>
      <w:r>
        <w:rPr>
          <w:sz w:val="20"/>
          <w:szCs w:val="20"/>
        </w:rPr>
        <w:t xml:space="preserve"> (</w:t>
      </w:r>
      <w:proofErr w:type="spellStart"/>
      <w:r>
        <w:rPr>
          <w:sz w:val="20"/>
          <w:szCs w:val="20"/>
        </w:rPr>
        <w:t>Kairuz</w:t>
      </w:r>
      <w:proofErr w:type="spellEnd"/>
      <w:r>
        <w:rPr>
          <w:sz w:val="20"/>
          <w:szCs w:val="20"/>
        </w:rPr>
        <w:t xml:space="preserve"> et al. 2020)</w:t>
      </w:r>
      <w:r w:rsidRPr="00D31ADA">
        <w:rPr>
          <w:sz w:val="20"/>
          <w:szCs w:val="20"/>
        </w:rPr>
        <w:t xml:space="preserve">. </w:t>
      </w:r>
      <w:proofErr w:type="gramStart"/>
      <w:r w:rsidRPr="00D31ADA">
        <w:rPr>
          <w:sz w:val="20"/>
          <w:szCs w:val="20"/>
        </w:rPr>
        <w:t>Thus</w:t>
      </w:r>
      <w:proofErr w:type="gramEnd"/>
      <w:r w:rsidRPr="00D31ADA">
        <w:rPr>
          <w:sz w:val="20"/>
          <w:szCs w:val="20"/>
        </w:rPr>
        <w:t xml:space="preserve"> metabolic engineering has modified </w:t>
      </w:r>
      <w:r w:rsidRPr="00D31ADA">
        <w:rPr>
          <w:sz w:val="20"/>
          <w:szCs w:val="20"/>
        </w:rPr>
        <w:lastRenderedPageBreak/>
        <w:t xml:space="preserve">glycoside profiles and created stress-resistant cultivars as well. Plantago species have also shown promising results with transformed lines demonstrating 30-50% increased mucilage production and enhanced </w:t>
      </w:r>
      <w:proofErr w:type="spellStart"/>
      <w:r w:rsidRPr="00D31ADA">
        <w:rPr>
          <w:sz w:val="20"/>
          <w:szCs w:val="20"/>
        </w:rPr>
        <w:t>aucubin</w:t>
      </w:r>
      <w:proofErr w:type="spellEnd"/>
      <w:r w:rsidRPr="00D31ADA">
        <w:rPr>
          <w:sz w:val="20"/>
          <w:szCs w:val="20"/>
        </w:rPr>
        <w:t xml:space="preserve"> content </w:t>
      </w:r>
      <w:r>
        <w:rPr>
          <w:sz w:val="20"/>
          <w:szCs w:val="20"/>
        </w:rPr>
        <w:t>(Rocha et al. 2024)</w:t>
      </w:r>
      <w:r w:rsidRPr="00D31ADA">
        <w:rPr>
          <w:sz w:val="20"/>
          <w:szCs w:val="20"/>
        </w:rPr>
        <w:t xml:space="preserve">. </w:t>
      </w:r>
      <w:proofErr w:type="spellStart"/>
      <w:r w:rsidRPr="00D31ADA">
        <w:rPr>
          <w:i/>
          <w:sz w:val="20"/>
          <w:szCs w:val="20"/>
        </w:rPr>
        <w:t>Picrorhiza</w:t>
      </w:r>
      <w:proofErr w:type="spellEnd"/>
      <w:r w:rsidRPr="00D31ADA">
        <w:rPr>
          <w:i/>
          <w:sz w:val="20"/>
          <w:szCs w:val="20"/>
        </w:rPr>
        <w:t xml:space="preserve"> </w:t>
      </w:r>
      <w:proofErr w:type="spellStart"/>
      <w:r w:rsidRPr="00D31ADA">
        <w:rPr>
          <w:i/>
          <w:sz w:val="20"/>
          <w:szCs w:val="20"/>
        </w:rPr>
        <w:t>kurroa</w:t>
      </w:r>
      <w:proofErr w:type="spellEnd"/>
      <w:r w:rsidRPr="00D31ADA">
        <w:rPr>
          <w:sz w:val="20"/>
          <w:szCs w:val="20"/>
        </w:rPr>
        <w:t xml:space="preserve"> and </w:t>
      </w:r>
      <w:proofErr w:type="spellStart"/>
      <w:r w:rsidRPr="00D31ADA">
        <w:rPr>
          <w:i/>
          <w:sz w:val="20"/>
          <w:szCs w:val="20"/>
        </w:rPr>
        <w:t>Neopicrorhiza</w:t>
      </w:r>
      <w:proofErr w:type="spellEnd"/>
      <w:r w:rsidRPr="00D31ADA">
        <w:rPr>
          <w:i/>
          <w:sz w:val="20"/>
          <w:szCs w:val="20"/>
        </w:rPr>
        <w:t xml:space="preserve"> </w:t>
      </w:r>
      <w:proofErr w:type="spellStart"/>
      <w:r w:rsidRPr="00D31ADA">
        <w:rPr>
          <w:i/>
          <w:sz w:val="20"/>
          <w:szCs w:val="20"/>
        </w:rPr>
        <w:t>scrophulariiflora</w:t>
      </w:r>
      <w:proofErr w:type="spellEnd"/>
      <w:r w:rsidRPr="00D31ADA">
        <w:rPr>
          <w:sz w:val="20"/>
          <w:szCs w:val="20"/>
        </w:rPr>
        <w:t xml:space="preserve"> are still ongoing challenges, with preliminary transformation efforts via RNA interference approaches, and precursor feeding experiments but still much progress to be made to achieve substantial amount of bioactive principles</w:t>
      </w:r>
      <w:r>
        <w:rPr>
          <w:sz w:val="20"/>
          <w:szCs w:val="20"/>
        </w:rPr>
        <w:t xml:space="preserve"> (Rao et al. 2025)</w:t>
      </w:r>
      <w:r w:rsidRPr="00D31ADA">
        <w:rPr>
          <w:sz w:val="20"/>
          <w:szCs w:val="20"/>
        </w:rPr>
        <w:t>.</w:t>
      </w:r>
    </w:p>
    <w:p w14:paraId="2AAF937B" w14:textId="77777777" w:rsidR="00FD0B64" w:rsidRPr="00D31ADA" w:rsidRDefault="00FD0B64" w:rsidP="00FD0B64">
      <w:pPr>
        <w:pStyle w:val="NormalWeb"/>
        <w:spacing w:line="360" w:lineRule="auto"/>
        <w:jc w:val="both"/>
        <w:rPr>
          <w:sz w:val="20"/>
          <w:szCs w:val="20"/>
        </w:rPr>
      </w:pPr>
      <w:r w:rsidRPr="00D31ADA">
        <w:rPr>
          <w:sz w:val="20"/>
          <w:szCs w:val="20"/>
        </w:rPr>
        <w:t xml:space="preserve">Semi-synthetic modifications of natural chemical skeleton from Plantaginaceae species have generated numerous derivatives with improved pharmacological properties. Digitalis glycosides have undergone extensive modifications including sugar moiety alterations and steroid nucleus changes, producing compounds like acetyldigitoxin, metildigoxin, and </w:t>
      </w:r>
      <w:proofErr w:type="spellStart"/>
      <w:r w:rsidRPr="00D31ADA">
        <w:rPr>
          <w:sz w:val="20"/>
          <w:szCs w:val="20"/>
        </w:rPr>
        <w:t>deslanoside</w:t>
      </w:r>
      <w:proofErr w:type="spellEnd"/>
      <w:r w:rsidRPr="00D31ADA">
        <w:rPr>
          <w:sz w:val="20"/>
          <w:szCs w:val="20"/>
        </w:rPr>
        <w:t xml:space="preserve"> with reduced toxicity and improved bioavailability</w:t>
      </w:r>
      <w:r>
        <w:rPr>
          <w:sz w:val="20"/>
          <w:szCs w:val="20"/>
        </w:rPr>
        <w:t xml:space="preserve"> (Elbaz et al. 2012; </w:t>
      </w:r>
      <w:proofErr w:type="spellStart"/>
      <w:r>
        <w:rPr>
          <w:sz w:val="20"/>
          <w:szCs w:val="20"/>
        </w:rPr>
        <w:t>Comelius</w:t>
      </w:r>
      <w:proofErr w:type="spellEnd"/>
      <w:r>
        <w:rPr>
          <w:sz w:val="20"/>
          <w:szCs w:val="20"/>
        </w:rPr>
        <w:t xml:space="preserve"> et al. 2013; Mijatovic et al.2007)</w:t>
      </w:r>
      <w:r w:rsidRPr="00D31ADA">
        <w:rPr>
          <w:sz w:val="20"/>
          <w:szCs w:val="20"/>
        </w:rPr>
        <w:t xml:space="preserve">. Veronica iridoid glycosides have been modified through </w:t>
      </w:r>
      <w:proofErr w:type="spellStart"/>
      <w:r w:rsidRPr="00D31ADA">
        <w:rPr>
          <w:sz w:val="20"/>
          <w:szCs w:val="20"/>
        </w:rPr>
        <w:t>catalposide</w:t>
      </w:r>
      <w:proofErr w:type="spellEnd"/>
      <w:r w:rsidRPr="00D31ADA">
        <w:rPr>
          <w:sz w:val="20"/>
          <w:szCs w:val="20"/>
        </w:rPr>
        <w:t xml:space="preserve"> derivatization and esterification to enhance anti-inflammatory activity</w:t>
      </w:r>
      <w:r>
        <w:rPr>
          <w:sz w:val="20"/>
          <w:szCs w:val="20"/>
        </w:rPr>
        <w:t xml:space="preserve"> (</w:t>
      </w:r>
      <w:proofErr w:type="spellStart"/>
      <w:r>
        <w:rPr>
          <w:sz w:val="20"/>
          <w:szCs w:val="20"/>
        </w:rPr>
        <w:t>Saracoglu</w:t>
      </w:r>
      <w:proofErr w:type="spellEnd"/>
      <w:r>
        <w:rPr>
          <w:sz w:val="20"/>
          <w:szCs w:val="20"/>
        </w:rPr>
        <w:t xml:space="preserve"> and </w:t>
      </w:r>
      <w:proofErr w:type="spellStart"/>
      <w:r>
        <w:rPr>
          <w:sz w:val="20"/>
          <w:szCs w:val="20"/>
        </w:rPr>
        <w:t>Harput</w:t>
      </w:r>
      <w:proofErr w:type="spellEnd"/>
      <w:r>
        <w:rPr>
          <w:sz w:val="20"/>
          <w:szCs w:val="20"/>
        </w:rPr>
        <w:t xml:space="preserve"> 2012)</w:t>
      </w:r>
      <w:r w:rsidRPr="00D31ADA">
        <w:rPr>
          <w:sz w:val="20"/>
          <w:szCs w:val="20"/>
        </w:rPr>
        <w:t>. Plantago compounds have seen polysaccharide modifications yielding sulfated derivatives with improved immunomodulatory properties, while phenylethanoid conjugates show enhanced wound healing capabilities</w:t>
      </w:r>
      <w:r>
        <w:rPr>
          <w:sz w:val="20"/>
          <w:szCs w:val="20"/>
        </w:rPr>
        <w:t xml:space="preserve"> </w:t>
      </w:r>
      <w:r w:rsidR="00F4060A">
        <w:rPr>
          <w:sz w:val="20"/>
          <w:szCs w:val="20"/>
        </w:rPr>
        <w:t>(</w:t>
      </w:r>
      <w:r>
        <w:rPr>
          <w:sz w:val="20"/>
          <w:szCs w:val="20"/>
        </w:rPr>
        <w:t>Huan et al. 2024)</w:t>
      </w:r>
      <w:r w:rsidRPr="00D31ADA">
        <w:rPr>
          <w:sz w:val="20"/>
          <w:szCs w:val="20"/>
        </w:rPr>
        <w:t xml:space="preserve">. </w:t>
      </w:r>
      <w:proofErr w:type="spellStart"/>
      <w:r w:rsidRPr="00D31ADA">
        <w:rPr>
          <w:sz w:val="20"/>
          <w:szCs w:val="20"/>
        </w:rPr>
        <w:t>Picrosides</w:t>
      </w:r>
      <w:proofErr w:type="spellEnd"/>
      <w:r w:rsidRPr="00D31ADA">
        <w:rPr>
          <w:sz w:val="20"/>
          <w:szCs w:val="20"/>
        </w:rPr>
        <w:t xml:space="preserve"> have also been extensively modified with diverse derivatives with improved hepatoprotective activity, various nano-formulations including phospholipids complexes for targeted delivery of bioactive protective compounds, however some quite effective and making high market demand</w:t>
      </w:r>
      <w:r>
        <w:rPr>
          <w:sz w:val="20"/>
          <w:szCs w:val="20"/>
        </w:rPr>
        <w:t xml:space="preserve"> (Han et al. 2019)</w:t>
      </w:r>
      <w:r w:rsidRPr="00D31ADA">
        <w:rPr>
          <w:sz w:val="20"/>
          <w:szCs w:val="20"/>
        </w:rPr>
        <w:t>.</w:t>
      </w:r>
    </w:p>
    <w:p w14:paraId="2CB9A88E" w14:textId="77777777" w:rsidR="00FD0B64" w:rsidRPr="00004FBF" w:rsidRDefault="00FD0B64" w:rsidP="00FD0B64">
      <w:pPr>
        <w:pStyle w:val="NormalWeb"/>
        <w:spacing w:line="360" w:lineRule="auto"/>
        <w:jc w:val="both"/>
        <w:rPr>
          <w:sz w:val="20"/>
          <w:szCs w:val="20"/>
        </w:rPr>
      </w:pPr>
      <w:r w:rsidRPr="00D31ADA">
        <w:rPr>
          <w:sz w:val="20"/>
          <w:szCs w:val="20"/>
        </w:rPr>
        <w:t>Plantaginaceae species demonstrate remarkable hepatoprotective capabilities through diverse mechanisms. Digitalis species contain self-protective compounds that prevent autotoxicity from their cardiac glycosides</w:t>
      </w:r>
      <w:r>
        <w:rPr>
          <w:sz w:val="20"/>
          <w:szCs w:val="20"/>
        </w:rPr>
        <w:t xml:space="preserve"> (Shereen et al. 2024)</w:t>
      </w:r>
      <w:r w:rsidRPr="00D31ADA">
        <w:rPr>
          <w:sz w:val="20"/>
          <w:szCs w:val="20"/>
        </w:rPr>
        <w:t>. Veronica species employ antioxidant mechanisms through their iridoid glycosides and phenolic compounds, inhibiting liver inflammation and reducing oxidative stress</w:t>
      </w:r>
      <w:r>
        <w:rPr>
          <w:sz w:val="20"/>
          <w:szCs w:val="20"/>
        </w:rPr>
        <w:t xml:space="preserve"> (Tan et al. 2017; Beera et al. 2015)</w:t>
      </w:r>
      <w:r w:rsidRPr="00D31ADA">
        <w:rPr>
          <w:sz w:val="20"/>
          <w:szCs w:val="20"/>
        </w:rPr>
        <w:t xml:space="preserve">. </w:t>
      </w:r>
      <w:proofErr w:type="spellStart"/>
      <w:r w:rsidRPr="00D31ADA">
        <w:rPr>
          <w:sz w:val="20"/>
          <w:szCs w:val="20"/>
        </w:rPr>
        <w:t>Plantago</w:t>
      </w:r>
      <w:proofErr w:type="spellEnd"/>
      <w:r w:rsidRPr="00D31ADA">
        <w:rPr>
          <w:sz w:val="20"/>
          <w:szCs w:val="20"/>
        </w:rPr>
        <w:t xml:space="preserve"> species utilize </w:t>
      </w:r>
      <w:proofErr w:type="spellStart"/>
      <w:r w:rsidRPr="00D31ADA">
        <w:rPr>
          <w:sz w:val="20"/>
          <w:szCs w:val="20"/>
        </w:rPr>
        <w:t>aucubin</w:t>
      </w:r>
      <w:proofErr w:type="spellEnd"/>
      <w:r w:rsidRPr="00D31ADA">
        <w:rPr>
          <w:sz w:val="20"/>
          <w:szCs w:val="20"/>
        </w:rPr>
        <w:t xml:space="preserve"> and </w:t>
      </w:r>
      <w:proofErr w:type="spellStart"/>
      <w:r w:rsidRPr="00D31ADA">
        <w:rPr>
          <w:sz w:val="20"/>
          <w:szCs w:val="20"/>
        </w:rPr>
        <w:t>catalpol</w:t>
      </w:r>
      <w:proofErr w:type="spellEnd"/>
      <w:r w:rsidRPr="00D31ADA">
        <w:rPr>
          <w:sz w:val="20"/>
          <w:szCs w:val="20"/>
        </w:rPr>
        <w:t xml:space="preserve"> to reduce liver enzyme elevations and protect against toxin-induced damage</w:t>
      </w:r>
      <w:r>
        <w:rPr>
          <w:sz w:val="20"/>
          <w:szCs w:val="20"/>
        </w:rPr>
        <w:t xml:space="preserve"> (</w:t>
      </w:r>
      <w:proofErr w:type="spellStart"/>
      <w:r>
        <w:rPr>
          <w:sz w:val="20"/>
          <w:szCs w:val="20"/>
        </w:rPr>
        <w:t>Rahamouz</w:t>
      </w:r>
      <w:proofErr w:type="spellEnd"/>
      <w:r>
        <w:rPr>
          <w:sz w:val="20"/>
          <w:szCs w:val="20"/>
        </w:rPr>
        <w:t xml:space="preserve"> 2023)</w:t>
      </w:r>
      <w:r w:rsidRPr="00D31ADA">
        <w:rPr>
          <w:sz w:val="20"/>
          <w:szCs w:val="20"/>
        </w:rPr>
        <w:t xml:space="preserve">. Most notably, </w:t>
      </w:r>
      <w:proofErr w:type="spellStart"/>
      <w:r w:rsidRPr="00D31ADA">
        <w:rPr>
          <w:i/>
          <w:sz w:val="20"/>
          <w:szCs w:val="20"/>
        </w:rPr>
        <w:t>Picrorhiza</w:t>
      </w:r>
      <w:proofErr w:type="spellEnd"/>
      <w:r w:rsidRPr="00D31ADA">
        <w:rPr>
          <w:i/>
          <w:sz w:val="20"/>
          <w:szCs w:val="20"/>
        </w:rPr>
        <w:t xml:space="preserve"> </w:t>
      </w:r>
      <w:proofErr w:type="spellStart"/>
      <w:r w:rsidRPr="00D31ADA">
        <w:rPr>
          <w:i/>
          <w:sz w:val="20"/>
          <w:szCs w:val="20"/>
        </w:rPr>
        <w:t>kurroa</w:t>
      </w:r>
      <w:proofErr w:type="spellEnd"/>
      <w:r w:rsidRPr="00D31ADA">
        <w:rPr>
          <w:sz w:val="20"/>
          <w:szCs w:val="20"/>
        </w:rPr>
        <w:t xml:space="preserve"> exhibits exceptional hepatoprotective effects through </w:t>
      </w:r>
      <w:proofErr w:type="spellStart"/>
      <w:r w:rsidRPr="00D31ADA">
        <w:rPr>
          <w:sz w:val="20"/>
          <w:szCs w:val="20"/>
        </w:rPr>
        <w:t>picrosides</w:t>
      </w:r>
      <w:proofErr w:type="spellEnd"/>
      <w:r w:rsidRPr="00D31ADA">
        <w:rPr>
          <w:sz w:val="20"/>
          <w:szCs w:val="20"/>
        </w:rPr>
        <w:t xml:space="preserve"> I and II, providing strong protection against various hepatotoxins. </w:t>
      </w:r>
      <w:proofErr w:type="spellStart"/>
      <w:r w:rsidRPr="00D31ADA">
        <w:rPr>
          <w:i/>
          <w:sz w:val="20"/>
          <w:szCs w:val="20"/>
        </w:rPr>
        <w:t>Neopicrorhiza</w:t>
      </w:r>
      <w:proofErr w:type="spellEnd"/>
      <w:r w:rsidRPr="00D31ADA">
        <w:rPr>
          <w:i/>
          <w:sz w:val="20"/>
          <w:szCs w:val="20"/>
        </w:rPr>
        <w:t xml:space="preserve"> </w:t>
      </w:r>
      <w:proofErr w:type="spellStart"/>
      <w:r w:rsidRPr="00D31ADA">
        <w:rPr>
          <w:i/>
          <w:sz w:val="20"/>
          <w:szCs w:val="20"/>
        </w:rPr>
        <w:t>scrophulariiflora</w:t>
      </w:r>
      <w:proofErr w:type="spellEnd"/>
      <w:r w:rsidRPr="00D31ADA">
        <w:rPr>
          <w:sz w:val="20"/>
          <w:szCs w:val="20"/>
        </w:rPr>
        <w:t xml:space="preserve"> demonstrates similar protective mechanisms against oxidative stress and inflammation in liver tissue</w:t>
      </w:r>
      <w:r>
        <w:rPr>
          <w:sz w:val="20"/>
          <w:szCs w:val="20"/>
        </w:rPr>
        <w:t xml:space="preserve"> (</w:t>
      </w:r>
      <w:proofErr w:type="spellStart"/>
      <w:r>
        <w:rPr>
          <w:sz w:val="20"/>
          <w:szCs w:val="20"/>
        </w:rPr>
        <w:t>Almeleebia</w:t>
      </w:r>
      <w:proofErr w:type="spellEnd"/>
      <w:r>
        <w:rPr>
          <w:sz w:val="20"/>
          <w:szCs w:val="20"/>
        </w:rPr>
        <w:t xml:space="preserve"> et al. 2022)</w:t>
      </w:r>
      <w:r w:rsidRPr="00D31ADA">
        <w:rPr>
          <w:sz w:val="20"/>
          <w:szCs w:val="20"/>
        </w:rPr>
        <w:t>.</w:t>
      </w:r>
      <w:r>
        <w:rPr>
          <w:sz w:val="20"/>
          <w:szCs w:val="20"/>
        </w:rPr>
        <w:t xml:space="preserve">               </w:t>
      </w:r>
      <w:r w:rsidRPr="000D784F">
        <w:rPr>
          <w:sz w:val="20"/>
          <w:szCs w:val="20"/>
        </w:rPr>
        <w:t xml:space="preserve">Our observation on hairy roots induced and their production potential were aimed for comparative effectiveness of </w:t>
      </w:r>
      <w:proofErr w:type="spellStart"/>
      <w:r w:rsidRPr="000D784F">
        <w:rPr>
          <w:sz w:val="20"/>
          <w:szCs w:val="20"/>
        </w:rPr>
        <w:t>picroside</w:t>
      </w:r>
      <w:proofErr w:type="spellEnd"/>
      <w:r w:rsidRPr="000D784F">
        <w:rPr>
          <w:sz w:val="20"/>
          <w:szCs w:val="20"/>
        </w:rPr>
        <w:t xml:space="preserve"> production in callus(s) and other differentiated organs.</w:t>
      </w:r>
    </w:p>
    <w:p w14:paraId="69842560" w14:textId="77777777" w:rsidR="00FD0B64" w:rsidRPr="000F10F2" w:rsidRDefault="00FD0B64" w:rsidP="00FD0B64">
      <w:pPr>
        <w:pStyle w:val="NormalWeb"/>
        <w:spacing w:line="360" w:lineRule="auto"/>
        <w:jc w:val="both"/>
        <w:rPr>
          <w:sz w:val="20"/>
          <w:szCs w:val="20"/>
        </w:rPr>
      </w:pPr>
      <w:proofErr w:type="spellStart"/>
      <w:r w:rsidRPr="000F10F2">
        <w:rPr>
          <w:i/>
          <w:sz w:val="20"/>
          <w:szCs w:val="20"/>
        </w:rPr>
        <w:t>Picrorhiza</w:t>
      </w:r>
      <w:proofErr w:type="spellEnd"/>
      <w:r w:rsidRPr="000F10F2">
        <w:rPr>
          <w:i/>
          <w:sz w:val="20"/>
          <w:szCs w:val="20"/>
        </w:rPr>
        <w:t xml:space="preserve"> </w:t>
      </w:r>
      <w:proofErr w:type="spellStart"/>
      <w:r w:rsidRPr="000F10F2">
        <w:rPr>
          <w:i/>
          <w:sz w:val="20"/>
          <w:szCs w:val="20"/>
        </w:rPr>
        <w:t>kurroa</w:t>
      </w:r>
      <w:proofErr w:type="spellEnd"/>
      <w:r w:rsidRPr="000F10F2">
        <w:rPr>
          <w:i/>
          <w:sz w:val="20"/>
          <w:szCs w:val="20"/>
        </w:rPr>
        <w:t xml:space="preserve"> </w:t>
      </w:r>
      <w:r w:rsidRPr="000F10F2">
        <w:rPr>
          <w:sz w:val="20"/>
          <w:szCs w:val="20"/>
        </w:rPr>
        <w:t xml:space="preserve">is found from sub alpine to alpine regions ranging from North Western to North Eastern Himalaya (Chandra et al. 2021; Debnath et al. 2020; Bisht and Chauhan 2018) Plant grows preferably in porous soil (Patial et al. 2012). Hairy roots when elicited </w:t>
      </w:r>
      <w:r w:rsidRPr="000F10F2">
        <w:rPr>
          <w:i/>
          <w:sz w:val="20"/>
          <w:szCs w:val="20"/>
        </w:rPr>
        <w:t>in vitro</w:t>
      </w:r>
      <w:r w:rsidRPr="000F10F2">
        <w:rPr>
          <w:sz w:val="20"/>
          <w:szCs w:val="20"/>
        </w:rPr>
        <w:t xml:space="preserve"> rapid and </w:t>
      </w:r>
      <w:proofErr w:type="spellStart"/>
      <w:r w:rsidRPr="000F10F2">
        <w:rPr>
          <w:sz w:val="20"/>
          <w:szCs w:val="20"/>
        </w:rPr>
        <w:t>profused</w:t>
      </w:r>
      <w:proofErr w:type="spellEnd"/>
      <w:r w:rsidRPr="000F10F2">
        <w:rPr>
          <w:sz w:val="20"/>
          <w:szCs w:val="20"/>
        </w:rPr>
        <w:t xml:space="preserve"> growth was observed. This is found for enabling an efficient production of bioactive lead compounds (Sharan et al. 2019; Verma et al. 2015). </w:t>
      </w:r>
      <w:r w:rsidRPr="000F10F2">
        <w:rPr>
          <w:i/>
          <w:sz w:val="20"/>
          <w:szCs w:val="20"/>
        </w:rPr>
        <w:t>In situ</w:t>
      </w:r>
      <w:r w:rsidRPr="000F10F2">
        <w:rPr>
          <w:sz w:val="20"/>
          <w:szCs w:val="20"/>
        </w:rPr>
        <w:t xml:space="preserve"> hairy roots might primarily observe due to </w:t>
      </w:r>
      <w:r w:rsidRPr="000F10F2">
        <w:rPr>
          <w:rStyle w:val="Emphasis"/>
          <w:sz w:val="20"/>
          <w:szCs w:val="20"/>
        </w:rPr>
        <w:t xml:space="preserve">Agrobacterium </w:t>
      </w:r>
      <w:proofErr w:type="spellStart"/>
      <w:r w:rsidRPr="000F10F2">
        <w:rPr>
          <w:rStyle w:val="Emphasis"/>
          <w:sz w:val="20"/>
          <w:szCs w:val="20"/>
        </w:rPr>
        <w:t>rhizogenes</w:t>
      </w:r>
      <w:proofErr w:type="spellEnd"/>
      <w:r w:rsidRPr="000F10F2">
        <w:rPr>
          <w:rStyle w:val="Emphasis"/>
          <w:sz w:val="20"/>
          <w:szCs w:val="20"/>
        </w:rPr>
        <w:t xml:space="preserve"> (Chilton et al. 1982; Gelvin 2009; Bisht and Chauhan 2018; </w:t>
      </w:r>
      <w:proofErr w:type="spellStart"/>
      <w:r w:rsidRPr="000F10F2">
        <w:rPr>
          <w:rStyle w:val="Emphasis"/>
          <w:sz w:val="20"/>
          <w:szCs w:val="20"/>
        </w:rPr>
        <w:t>Bagal</w:t>
      </w:r>
      <w:proofErr w:type="spellEnd"/>
      <w:r w:rsidRPr="000F10F2">
        <w:rPr>
          <w:rStyle w:val="Emphasis"/>
          <w:sz w:val="20"/>
          <w:szCs w:val="20"/>
        </w:rPr>
        <w:t xml:space="preserve"> et al. 2023). </w:t>
      </w:r>
      <w:r w:rsidRPr="000F10F2">
        <w:rPr>
          <w:sz w:val="20"/>
          <w:szCs w:val="20"/>
        </w:rPr>
        <w:t>Such hairy roots had been established for enhanced genesis and metabolism of bioactive principles (</w:t>
      </w:r>
      <w:proofErr w:type="spellStart"/>
      <w:r w:rsidRPr="000F10F2">
        <w:rPr>
          <w:sz w:val="20"/>
          <w:szCs w:val="20"/>
        </w:rPr>
        <w:t>Tremouillaux</w:t>
      </w:r>
      <w:proofErr w:type="spellEnd"/>
      <w:r w:rsidRPr="000F10F2">
        <w:rPr>
          <w:sz w:val="20"/>
          <w:szCs w:val="20"/>
        </w:rPr>
        <w:t xml:space="preserve"> 2013; Gai et al. 2015). In addition, </w:t>
      </w:r>
      <w:r w:rsidRPr="000F10F2">
        <w:rPr>
          <w:i/>
          <w:sz w:val="20"/>
          <w:szCs w:val="20"/>
        </w:rPr>
        <w:t>in vitro</w:t>
      </w:r>
      <w:r w:rsidRPr="000F10F2">
        <w:rPr>
          <w:sz w:val="20"/>
          <w:szCs w:val="20"/>
        </w:rPr>
        <w:t xml:space="preserve"> hairy root cultures offer regulated and reproducible approach toward molecular understanding of genetic transformation (Gutierrez-Valdes et al. 2020; Shi et al. 2021; </w:t>
      </w:r>
      <w:proofErr w:type="spellStart"/>
      <w:r w:rsidRPr="000F10F2">
        <w:rPr>
          <w:sz w:val="20"/>
          <w:szCs w:val="20"/>
        </w:rPr>
        <w:t>Jariani</w:t>
      </w:r>
      <w:proofErr w:type="spellEnd"/>
      <w:r w:rsidRPr="000F10F2">
        <w:rPr>
          <w:sz w:val="20"/>
          <w:szCs w:val="20"/>
        </w:rPr>
        <w:t xml:space="preserve"> and </w:t>
      </w:r>
      <w:proofErr w:type="spellStart"/>
      <w:r w:rsidRPr="000F10F2">
        <w:rPr>
          <w:sz w:val="20"/>
          <w:szCs w:val="20"/>
        </w:rPr>
        <w:t>Naghavi</w:t>
      </w:r>
      <w:proofErr w:type="spellEnd"/>
      <w:r w:rsidRPr="000F10F2">
        <w:rPr>
          <w:sz w:val="20"/>
          <w:szCs w:val="20"/>
        </w:rPr>
        <w:t xml:space="preserve"> 2024; Clemow et al 2011). </w:t>
      </w:r>
      <w:r w:rsidRPr="000F10F2">
        <w:rPr>
          <w:i/>
          <w:sz w:val="20"/>
          <w:szCs w:val="20"/>
        </w:rPr>
        <w:t>Agrobacterium</w:t>
      </w:r>
      <w:r w:rsidRPr="000F10F2">
        <w:rPr>
          <w:sz w:val="20"/>
          <w:szCs w:val="20"/>
        </w:rPr>
        <w:t xml:space="preserve"> species are widely known for their </w:t>
      </w:r>
      <w:r w:rsidRPr="000F10F2">
        <w:rPr>
          <w:sz w:val="20"/>
          <w:szCs w:val="20"/>
        </w:rPr>
        <w:lastRenderedPageBreak/>
        <w:t>ability of forming a wide variety of disorders, including crown gall ( </w:t>
      </w:r>
      <w:r w:rsidRPr="000F10F2">
        <w:rPr>
          <w:i/>
          <w:sz w:val="20"/>
          <w:szCs w:val="20"/>
        </w:rPr>
        <w:t>Agrobacterium tumefaciens</w:t>
      </w:r>
      <w:r w:rsidRPr="000F10F2">
        <w:rPr>
          <w:sz w:val="20"/>
          <w:szCs w:val="20"/>
        </w:rPr>
        <w:t>) (Van Montagu et al. 2022; Brown et al. 2023; Lee et al. 2009; Meyer et al. 2019) and (</w:t>
      </w:r>
      <w:r w:rsidRPr="000F10F2">
        <w:rPr>
          <w:i/>
          <w:sz w:val="20"/>
          <w:szCs w:val="20"/>
        </w:rPr>
        <w:t xml:space="preserve">Agrobacterium </w:t>
      </w:r>
      <w:proofErr w:type="spellStart"/>
      <w:r w:rsidRPr="000F10F2">
        <w:rPr>
          <w:i/>
          <w:sz w:val="20"/>
          <w:szCs w:val="20"/>
        </w:rPr>
        <w:t>vitis</w:t>
      </w:r>
      <w:proofErr w:type="spellEnd"/>
      <w:r w:rsidRPr="000F10F2">
        <w:rPr>
          <w:sz w:val="20"/>
          <w:szCs w:val="20"/>
        </w:rPr>
        <w:t xml:space="preserve">) (Flores-Flex et al. 2020; Herlache and Triplett 2002; Faist et al. 2016) hairy roots are induced by  </w:t>
      </w:r>
      <w:r w:rsidRPr="000F10F2">
        <w:rPr>
          <w:i/>
          <w:sz w:val="20"/>
          <w:szCs w:val="20"/>
        </w:rPr>
        <w:t xml:space="preserve">Agrobacterium </w:t>
      </w:r>
      <w:proofErr w:type="spellStart"/>
      <w:r w:rsidRPr="000F10F2">
        <w:rPr>
          <w:i/>
          <w:sz w:val="20"/>
          <w:szCs w:val="20"/>
        </w:rPr>
        <w:t>rhizogenes</w:t>
      </w:r>
      <w:proofErr w:type="spellEnd"/>
      <w:r w:rsidRPr="000F10F2">
        <w:rPr>
          <w:sz w:val="20"/>
          <w:szCs w:val="20"/>
        </w:rPr>
        <w:t xml:space="preserve"> (Cheng et al. 2021; Sathasivam et al. 2022; Mishra et al. 2011; Thiruvengadam et al. 2016; Verma et al. 2007) while cane gall is observed by a virulent </w:t>
      </w:r>
      <w:r w:rsidRPr="000F10F2">
        <w:rPr>
          <w:i/>
          <w:sz w:val="20"/>
          <w:szCs w:val="20"/>
        </w:rPr>
        <w:t xml:space="preserve">Agrobacterium </w:t>
      </w:r>
      <w:proofErr w:type="spellStart"/>
      <w:r w:rsidRPr="000F10F2">
        <w:rPr>
          <w:i/>
          <w:sz w:val="20"/>
          <w:szCs w:val="20"/>
        </w:rPr>
        <w:t>rubi</w:t>
      </w:r>
      <w:proofErr w:type="spellEnd"/>
      <w:r w:rsidRPr="000F10F2">
        <w:rPr>
          <w:sz w:val="20"/>
          <w:szCs w:val="20"/>
        </w:rPr>
        <w:t xml:space="preserve"> (</w:t>
      </w:r>
      <w:proofErr w:type="spellStart"/>
      <w:r w:rsidRPr="000F10F2">
        <w:rPr>
          <w:sz w:val="20"/>
          <w:szCs w:val="20"/>
        </w:rPr>
        <w:t>Gelvin</w:t>
      </w:r>
      <w:proofErr w:type="spellEnd"/>
      <w:r w:rsidRPr="000F10F2">
        <w:rPr>
          <w:sz w:val="20"/>
          <w:szCs w:val="20"/>
        </w:rPr>
        <w:t xml:space="preserve"> 2003; </w:t>
      </w:r>
      <w:proofErr w:type="spellStart"/>
      <w:r w:rsidRPr="000F10F2">
        <w:rPr>
          <w:sz w:val="20"/>
          <w:szCs w:val="20"/>
        </w:rPr>
        <w:t>Kuzumanovic</w:t>
      </w:r>
      <w:proofErr w:type="spellEnd"/>
      <w:r w:rsidRPr="000F10F2">
        <w:rPr>
          <w:sz w:val="20"/>
          <w:szCs w:val="20"/>
        </w:rPr>
        <w:t xml:space="preserve"> et al. 2018). </w:t>
      </w:r>
      <w:r w:rsidRPr="000F10F2">
        <w:rPr>
          <w:i/>
          <w:sz w:val="20"/>
          <w:szCs w:val="20"/>
        </w:rPr>
        <w:t xml:space="preserve">Agrobacterium </w:t>
      </w:r>
      <w:proofErr w:type="spellStart"/>
      <w:r w:rsidRPr="000F10F2">
        <w:rPr>
          <w:i/>
          <w:sz w:val="20"/>
          <w:szCs w:val="20"/>
        </w:rPr>
        <w:t>rhizogenes</w:t>
      </w:r>
      <w:proofErr w:type="spellEnd"/>
      <w:r w:rsidRPr="000F10F2">
        <w:rPr>
          <w:sz w:val="20"/>
          <w:szCs w:val="20"/>
        </w:rPr>
        <w:t xml:space="preserve"> mediated hairy root cultures are found satisfactory for efficient production of desired metabolites (Biswas et al. 2023; Mondal et al. 2013). As a matter of fact, climate change globally </w:t>
      </w:r>
      <w:proofErr w:type="gramStart"/>
      <w:r w:rsidRPr="000F10F2">
        <w:rPr>
          <w:sz w:val="20"/>
          <w:szCs w:val="20"/>
        </w:rPr>
        <w:t>affect</w:t>
      </w:r>
      <w:proofErr w:type="gramEnd"/>
      <w:r w:rsidRPr="000F10F2">
        <w:rPr>
          <w:sz w:val="20"/>
          <w:szCs w:val="20"/>
        </w:rPr>
        <w:t xml:space="preserve"> including Himalaya which is already a fragile and vulnerable ecosystem (Tewari et al. 2017). In view of this, it becomes extremely important to make our attempts to sustain this important plant resource. Thus, in this plan of our experiments, we could optimized </w:t>
      </w:r>
      <w:r w:rsidRPr="000F10F2">
        <w:rPr>
          <w:i/>
          <w:sz w:val="20"/>
          <w:szCs w:val="20"/>
        </w:rPr>
        <w:t>in vitro</w:t>
      </w:r>
      <w:r w:rsidRPr="000F10F2">
        <w:rPr>
          <w:sz w:val="20"/>
          <w:szCs w:val="20"/>
        </w:rPr>
        <w:t xml:space="preserve"> hairy root induction for the efficient propagation and evaluated hairy roots </w:t>
      </w:r>
      <w:proofErr w:type="gramStart"/>
      <w:r w:rsidRPr="000F10F2">
        <w:rPr>
          <w:sz w:val="20"/>
          <w:szCs w:val="20"/>
        </w:rPr>
        <w:t xml:space="preserve">via  </w:t>
      </w:r>
      <w:r w:rsidRPr="000F10F2">
        <w:rPr>
          <w:rStyle w:val="Emphasis"/>
          <w:sz w:val="20"/>
          <w:szCs w:val="20"/>
        </w:rPr>
        <w:t>Agrobacterium</w:t>
      </w:r>
      <w:proofErr w:type="gramEnd"/>
      <w:r w:rsidRPr="000F10F2">
        <w:rPr>
          <w:rStyle w:val="Emphasis"/>
          <w:sz w:val="20"/>
          <w:szCs w:val="20"/>
        </w:rPr>
        <w:t xml:space="preserve"> </w:t>
      </w:r>
      <w:proofErr w:type="spellStart"/>
      <w:r w:rsidRPr="000F10F2">
        <w:rPr>
          <w:rStyle w:val="Emphasis"/>
          <w:sz w:val="20"/>
          <w:szCs w:val="20"/>
        </w:rPr>
        <w:t>rhizogenes</w:t>
      </w:r>
      <w:proofErr w:type="spellEnd"/>
      <w:r w:rsidRPr="000F10F2">
        <w:rPr>
          <w:sz w:val="20"/>
          <w:szCs w:val="20"/>
        </w:rPr>
        <w:t xml:space="preserve"> strains (A4, LBA9402, K599, and 15834) which were maintained in our laboratory during COVID-19 pandemic, however, no response for hairy root induction could be observed even after repeated efforts. </w:t>
      </w:r>
      <w:proofErr w:type="spellStart"/>
      <w:r w:rsidRPr="000F10F2">
        <w:rPr>
          <w:sz w:val="20"/>
          <w:szCs w:val="20"/>
        </w:rPr>
        <w:t>Alongwith</w:t>
      </w:r>
      <w:proofErr w:type="spellEnd"/>
      <w:r w:rsidRPr="000F10F2">
        <w:rPr>
          <w:sz w:val="20"/>
          <w:szCs w:val="20"/>
        </w:rPr>
        <w:t xml:space="preserve"> MS basal media supplemented with different combinations of plant growth regulators were also checked for responding hairy roots </w:t>
      </w:r>
      <w:r w:rsidRPr="000F10F2">
        <w:rPr>
          <w:i/>
          <w:sz w:val="20"/>
          <w:szCs w:val="20"/>
        </w:rPr>
        <w:t>in vitro</w:t>
      </w:r>
      <w:r w:rsidRPr="000F10F2">
        <w:rPr>
          <w:sz w:val="20"/>
          <w:szCs w:val="20"/>
        </w:rPr>
        <w:t xml:space="preserve">. In later experiments hairy roots </w:t>
      </w:r>
      <w:r w:rsidRPr="000F10F2">
        <w:rPr>
          <w:i/>
          <w:sz w:val="20"/>
          <w:szCs w:val="20"/>
        </w:rPr>
        <w:t>in vitro</w:t>
      </w:r>
      <w:r w:rsidRPr="000F10F2">
        <w:rPr>
          <w:sz w:val="20"/>
          <w:szCs w:val="20"/>
        </w:rPr>
        <w:t xml:space="preserve"> were found to induce and proliferate. These observations were recorded and these were found repeatedly observed in our lab. </w:t>
      </w:r>
      <w:r w:rsidRPr="000F10F2">
        <w:rPr>
          <w:bCs/>
          <w:sz w:val="20"/>
          <w:szCs w:val="20"/>
        </w:rPr>
        <w:t xml:space="preserve">The present study aimed to develop and validate a high-performance liquid chromatography (HPLC) method in accordance with International Council for </w:t>
      </w:r>
      <w:proofErr w:type="spellStart"/>
      <w:r w:rsidRPr="000F10F2">
        <w:rPr>
          <w:bCs/>
          <w:sz w:val="20"/>
          <w:szCs w:val="20"/>
        </w:rPr>
        <w:t>Harmonisation</w:t>
      </w:r>
      <w:proofErr w:type="spellEnd"/>
      <w:r w:rsidRPr="000F10F2">
        <w:rPr>
          <w:bCs/>
          <w:sz w:val="20"/>
          <w:szCs w:val="20"/>
        </w:rPr>
        <w:t xml:space="preserve"> (ICH) guidelines for the quantification of </w:t>
      </w:r>
      <w:proofErr w:type="spellStart"/>
      <w:r w:rsidRPr="000F10F2">
        <w:rPr>
          <w:bCs/>
          <w:sz w:val="20"/>
          <w:szCs w:val="20"/>
        </w:rPr>
        <w:t>picroside</w:t>
      </w:r>
      <w:proofErr w:type="spellEnd"/>
      <w:r w:rsidRPr="000F10F2">
        <w:rPr>
          <w:bCs/>
          <w:sz w:val="20"/>
          <w:szCs w:val="20"/>
        </w:rPr>
        <w:t xml:space="preserve">-II in </w:t>
      </w:r>
      <w:proofErr w:type="spellStart"/>
      <w:r w:rsidRPr="000F10F2">
        <w:rPr>
          <w:bCs/>
          <w:i/>
          <w:iCs/>
          <w:sz w:val="20"/>
          <w:szCs w:val="20"/>
        </w:rPr>
        <w:t>Picrorhiza</w:t>
      </w:r>
      <w:proofErr w:type="spellEnd"/>
      <w:r w:rsidRPr="000F10F2">
        <w:rPr>
          <w:bCs/>
          <w:i/>
          <w:iCs/>
          <w:sz w:val="20"/>
          <w:szCs w:val="20"/>
        </w:rPr>
        <w:t xml:space="preserve"> </w:t>
      </w:r>
      <w:proofErr w:type="spellStart"/>
      <w:r w:rsidRPr="000F10F2">
        <w:rPr>
          <w:bCs/>
          <w:i/>
          <w:iCs/>
          <w:sz w:val="20"/>
          <w:szCs w:val="20"/>
        </w:rPr>
        <w:t>kurroa</w:t>
      </w:r>
      <w:proofErr w:type="spellEnd"/>
      <w:r w:rsidRPr="000F10F2">
        <w:rPr>
          <w:bCs/>
          <w:sz w:val="20"/>
          <w:szCs w:val="20"/>
        </w:rPr>
        <w:t xml:space="preserve"> samples. The validated method can be effectively utilized in pharmaceutical industries for the standardization of </w:t>
      </w:r>
      <w:r w:rsidRPr="000F10F2">
        <w:rPr>
          <w:bCs/>
          <w:i/>
          <w:iCs/>
          <w:sz w:val="20"/>
          <w:szCs w:val="20"/>
        </w:rPr>
        <w:t xml:space="preserve">P. </w:t>
      </w:r>
      <w:proofErr w:type="spellStart"/>
      <w:r w:rsidRPr="000F10F2">
        <w:rPr>
          <w:bCs/>
          <w:i/>
          <w:iCs/>
          <w:sz w:val="20"/>
          <w:szCs w:val="20"/>
        </w:rPr>
        <w:t>kurroa</w:t>
      </w:r>
      <w:proofErr w:type="spellEnd"/>
      <w:r w:rsidRPr="000F10F2">
        <w:rPr>
          <w:bCs/>
          <w:sz w:val="20"/>
          <w:szCs w:val="20"/>
        </w:rPr>
        <w:t>-based formulations and for further phytochemical investigations of the species.</w:t>
      </w:r>
    </w:p>
    <w:p w14:paraId="0D9AD342" w14:textId="77777777" w:rsidR="00FD0B64" w:rsidRPr="000F10F2" w:rsidRDefault="00FD0B64" w:rsidP="00FD0B64">
      <w:pPr>
        <w:pStyle w:val="NormalWeb"/>
        <w:spacing w:line="360" w:lineRule="auto"/>
        <w:jc w:val="both"/>
        <w:rPr>
          <w:sz w:val="20"/>
          <w:szCs w:val="20"/>
        </w:rPr>
      </w:pPr>
      <w:r w:rsidRPr="000F10F2">
        <w:rPr>
          <w:sz w:val="20"/>
          <w:szCs w:val="20"/>
        </w:rPr>
        <w:t xml:space="preserve">As such our studies are beneficial in order to maintain the germplasm </w:t>
      </w:r>
      <w:r w:rsidRPr="000F10F2">
        <w:rPr>
          <w:i/>
          <w:sz w:val="20"/>
          <w:szCs w:val="20"/>
        </w:rPr>
        <w:t>in vitro</w:t>
      </w:r>
      <w:r w:rsidRPr="000F10F2">
        <w:rPr>
          <w:sz w:val="20"/>
          <w:szCs w:val="20"/>
        </w:rPr>
        <w:t xml:space="preserve"> as well as harvesting the optimum potential of bioactive compounds for testing efficacy for combinatorial behavior for generating a chemical nucleus under strict regulatory observation of growth and development of hairy roots.  </w:t>
      </w:r>
    </w:p>
    <w:p w14:paraId="07A7365D" w14:textId="77777777" w:rsidR="00FD0B64" w:rsidRPr="000F10F2" w:rsidRDefault="00FD0B64" w:rsidP="00FD0B64">
      <w:pPr>
        <w:pStyle w:val="NormalWeb"/>
        <w:spacing w:line="360" w:lineRule="auto"/>
        <w:jc w:val="both"/>
        <w:rPr>
          <w:b/>
        </w:rPr>
      </w:pPr>
      <w:r>
        <w:rPr>
          <w:b/>
        </w:rPr>
        <w:t>Materials and methods</w:t>
      </w:r>
    </w:p>
    <w:p w14:paraId="34DD47C8" w14:textId="77777777" w:rsidR="00FD0B64" w:rsidRPr="000F10F2" w:rsidRDefault="00FD0B64" w:rsidP="00FD0B64">
      <w:pPr>
        <w:rPr>
          <w:rFonts w:ascii="Times New Roman" w:hAnsi="Times New Roman" w:cs="Times New Roman"/>
          <w:b/>
          <w:sz w:val="24"/>
          <w:szCs w:val="24"/>
        </w:rPr>
      </w:pPr>
      <w:r>
        <w:rPr>
          <w:rFonts w:ascii="Times New Roman" w:hAnsi="Times New Roman" w:cs="Times New Roman"/>
          <w:b/>
          <w:sz w:val="24"/>
          <w:szCs w:val="24"/>
        </w:rPr>
        <w:t>Collection of plant material</w:t>
      </w:r>
    </w:p>
    <w:p w14:paraId="28178DC3" w14:textId="77777777" w:rsidR="00FD0B64" w:rsidRPr="000F10F2" w:rsidRDefault="00FD0B64" w:rsidP="00FD0B64">
      <w:pPr>
        <w:spacing w:line="360" w:lineRule="auto"/>
        <w:jc w:val="both"/>
        <w:rPr>
          <w:rFonts w:ascii="Times New Roman" w:hAnsi="Times New Roman" w:cs="Times New Roman"/>
          <w:sz w:val="20"/>
          <w:szCs w:val="20"/>
        </w:rPr>
      </w:pPr>
      <w:proofErr w:type="spellStart"/>
      <w:r w:rsidRPr="000F10F2">
        <w:rPr>
          <w:rFonts w:ascii="Times New Roman" w:hAnsi="Times New Roman" w:cs="Times New Roman"/>
          <w:i/>
          <w:sz w:val="20"/>
          <w:szCs w:val="20"/>
        </w:rPr>
        <w:t>Picrorhiza</w:t>
      </w:r>
      <w:proofErr w:type="spellEnd"/>
      <w:r w:rsidRPr="000F10F2">
        <w:rPr>
          <w:rFonts w:ascii="Times New Roman" w:hAnsi="Times New Roman" w:cs="Times New Roman"/>
          <w:i/>
          <w:sz w:val="20"/>
          <w:szCs w:val="20"/>
        </w:rPr>
        <w:t xml:space="preserve"> </w:t>
      </w:r>
      <w:proofErr w:type="spellStart"/>
      <w:r w:rsidRPr="000F10F2">
        <w:rPr>
          <w:rFonts w:ascii="Times New Roman" w:hAnsi="Times New Roman" w:cs="Times New Roman"/>
          <w:i/>
          <w:sz w:val="20"/>
          <w:szCs w:val="20"/>
        </w:rPr>
        <w:t>kurroa</w:t>
      </w:r>
      <w:proofErr w:type="spellEnd"/>
      <w:r w:rsidRPr="000F10F2">
        <w:rPr>
          <w:rFonts w:ascii="Times New Roman" w:hAnsi="Times New Roman" w:cs="Times New Roman"/>
          <w:sz w:val="20"/>
          <w:szCs w:val="20"/>
        </w:rPr>
        <w:t xml:space="preserve"> was collected from </w:t>
      </w:r>
      <w:proofErr w:type="spellStart"/>
      <w:r w:rsidRPr="000F10F2">
        <w:rPr>
          <w:rFonts w:ascii="Times New Roman" w:hAnsi="Times New Roman" w:cs="Times New Roman"/>
          <w:sz w:val="20"/>
          <w:szCs w:val="20"/>
        </w:rPr>
        <w:t>Jhuni</w:t>
      </w:r>
      <w:proofErr w:type="spellEnd"/>
      <w:r w:rsidRPr="000F10F2">
        <w:rPr>
          <w:rFonts w:ascii="Times New Roman" w:hAnsi="Times New Roman" w:cs="Times New Roman"/>
          <w:sz w:val="20"/>
          <w:szCs w:val="20"/>
        </w:rPr>
        <w:t xml:space="preserve">, </w:t>
      </w:r>
      <w:proofErr w:type="spellStart"/>
      <w:r w:rsidRPr="000F10F2">
        <w:rPr>
          <w:rFonts w:ascii="Times New Roman" w:hAnsi="Times New Roman" w:cs="Times New Roman"/>
          <w:sz w:val="20"/>
          <w:szCs w:val="20"/>
        </w:rPr>
        <w:t>Bageshwar</w:t>
      </w:r>
      <w:proofErr w:type="spellEnd"/>
      <w:r w:rsidRPr="000F10F2">
        <w:rPr>
          <w:rFonts w:ascii="Times New Roman" w:hAnsi="Times New Roman" w:cs="Times New Roman"/>
          <w:sz w:val="20"/>
          <w:szCs w:val="20"/>
        </w:rPr>
        <w:t>, North West Himalayan Region of Uttarakhand (India) in November 2023. The collection site stands at an altitude of 520 meters (1706.04 ft), and coordinates 29.94°N 79.90°E, propagating through rhizome. During collection, the temperature ranged from a maximum of 18.5°C (65.3°F) to a minimum of 3.4°C (38.1°F), with a humidity level of 48%.</w:t>
      </w:r>
    </w:p>
    <w:p w14:paraId="2AA63DF8" w14:textId="77777777" w:rsidR="00FD0B64" w:rsidRPr="000F10F2" w:rsidRDefault="00FD0B64" w:rsidP="00FD0B64">
      <w:pPr>
        <w:pStyle w:val="BodyText"/>
        <w:spacing w:line="360" w:lineRule="auto"/>
        <w:ind w:right="198"/>
        <w:jc w:val="both"/>
        <w:rPr>
          <w:rFonts w:ascii="Times New Roman" w:hAnsi="Times New Roman" w:cs="Times New Roman"/>
          <w:b/>
          <w:sz w:val="24"/>
          <w:szCs w:val="24"/>
        </w:rPr>
      </w:pPr>
      <w:r>
        <w:rPr>
          <w:rFonts w:ascii="Times New Roman" w:hAnsi="Times New Roman" w:cs="Times New Roman"/>
          <w:b/>
          <w:sz w:val="24"/>
          <w:szCs w:val="24"/>
        </w:rPr>
        <w:t>Experimental site</w:t>
      </w:r>
    </w:p>
    <w:p w14:paraId="527D9F8A" w14:textId="77777777" w:rsidR="00183614" w:rsidRDefault="00FD0B64" w:rsidP="00FD0B64">
      <w:pPr>
        <w:spacing w:line="360" w:lineRule="auto"/>
        <w:jc w:val="both"/>
        <w:rPr>
          <w:rFonts w:ascii="Times New Roman" w:hAnsi="Times New Roman" w:cs="Times New Roman"/>
          <w:sz w:val="20"/>
          <w:szCs w:val="20"/>
        </w:rPr>
      </w:pPr>
      <w:r w:rsidRPr="000F10F2">
        <w:rPr>
          <w:rFonts w:ascii="Times New Roman" w:hAnsi="Times New Roman" w:cs="Times New Roman"/>
          <w:sz w:val="20"/>
          <w:szCs w:val="20"/>
        </w:rPr>
        <w:t xml:space="preserve">Sample collected, plantations were reared at College of Basic Science and Humanities (CBSH), Govind Ballabh Pant University of Agriculture and Technology (GBPUAT), Pantnagar-263145 (Uttarakhand) greenhouse and laboratories for </w:t>
      </w:r>
      <w:r w:rsidRPr="000F10F2">
        <w:rPr>
          <w:rFonts w:ascii="Times New Roman" w:hAnsi="Times New Roman" w:cs="Times New Roman"/>
          <w:i/>
          <w:sz w:val="20"/>
          <w:szCs w:val="20"/>
        </w:rPr>
        <w:t>ex situ</w:t>
      </w:r>
      <w:r w:rsidRPr="000F10F2">
        <w:rPr>
          <w:rFonts w:ascii="Times New Roman" w:hAnsi="Times New Roman" w:cs="Times New Roman"/>
          <w:sz w:val="20"/>
          <w:szCs w:val="20"/>
        </w:rPr>
        <w:t xml:space="preserve">. In November 2023, collected materials were maintained for sustenance of conservation strategies development of collected germplasm growth in suitable pots containing soil: sand: compost in the ratio of </w:t>
      </w:r>
      <w:r w:rsidRPr="000F10F2">
        <w:rPr>
          <w:rFonts w:ascii="Times New Roman" w:hAnsi="Times New Roman" w:cs="Times New Roman"/>
          <w:sz w:val="20"/>
          <w:szCs w:val="20"/>
        </w:rPr>
        <w:lastRenderedPageBreak/>
        <w:t>1:1:1(w/w/w)</w:t>
      </w:r>
      <w:r w:rsidRPr="000F10F2">
        <w:rPr>
          <w:rFonts w:ascii="Times New Roman" w:eastAsia="+mn-ea" w:hAnsi="Times New Roman" w:cs="Times New Roman"/>
          <w:color w:val="000000"/>
          <w:kern w:val="24"/>
          <w:sz w:val="20"/>
          <w:szCs w:val="20"/>
          <w:lang w:val="en-IN"/>
        </w:rPr>
        <w:t xml:space="preserve"> </w:t>
      </w:r>
      <w:r w:rsidRPr="000F10F2">
        <w:rPr>
          <w:rFonts w:ascii="Times New Roman" w:hAnsi="Times New Roman" w:cs="Times New Roman"/>
          <w:sz w:val="20"/>
          <w:szCs w:val="20"/>
          <w:lang w:val="en-IN"/>
        </w:rPr>
        <w:t>at the height of 243.8m (799.8ft) and coordinates 29</w:t>
      </w:r>
      <w:r w:rsidRPr="000F10F2">
        <w:rPr>
          <w:rFonts w:ascii="Times New Roman" w:hAnsi="Times New Roman" w:cs="Times New Roman"/>
          <w:sz w:val="20"/>
          <w:szCs w:val="20"/>
          <w:vertAlign w:val="superscript"/>
          <w:lang w:val="en-IN"/>
        </w:rPr>
        <w:t>0</w:t>
      </w:r>
      <w:r w:rsidRPr="000F10F2">
        <w:rPr>
          <w:rFonts w:ascii="Times New Roman" w:hAnsi="Times New Roman" w:cs="Times New Roman"/>
          <w:sz w:val="20"/>
          <w:szCs w:val="20"/>
          <w:lang w:val="en-IN"/>
        </w:rPr>
        <w:t>N 79</w:t>
      </w:r>
      <w:r w:rsidRPr="000F10F2">
        <w:rPr>
          <w:rFonts w:ascii="Times New Roman" w:hAnsi="Times New Roman" w:cs="Times New Roman"/>
          <w:sz w:val="20"/>
          <w:szCs w:val="20"/>
          <w:vertAlign w:val="superscript"/>
          <w:lang w:val="en-IN"/>
        </w:rPr>
        <w:t>0</w:t>
      </w:r>
      <w:r w:rsidRPr="000F10F2">
        <w:rPr>
          <w:rFonts w:ascii="Times New Roman" w:hAnsi="Times New Roman" w:cs="Times New Roman"/>
          <w:sz w:val="20"/>
          <w:szCs w:val="20"/>
          <w:lang w:val="en-IN"/>
        </w:rPr>
        <w:t>E</w:t>
      </w:r>
      <w:r w:rsidRPr="000F10F2">
        <w:rPr>
          <w:rFonts w:ascii="Times New Roman" w:hAnsi="Times New Roman" w:cs="Times New Roman"/>
          <w:sz w:val="20"/>
          <w:szCs w:val="20"/>
        </w:rPr>
        <w:t xml:space="preserve"> as well as under greenhouse/ laboratory for optimum </w:t>
      </w:r>
      <w:r w:rsidRPr="000F10F2">
        <w:rPr>
          <w:rFonts w:ascii="Times New Roman" w:hAnsi="Times New Roman" w:cs="Times New Roman"/>
          <w:i/>
          <w:sz w:val="20"/>
          <w:szCs w:val="20"/>
        </w:rPr>
        <w:t>in vitro</w:t>
      </w:r>
      <w:r w:rsidRPr="000F10F2">
        <w:rPr>
          <w:rFonts w:ascii="Times New Roman" w:hAnsi="Times New Roman" w:cs="Times New Roman"/>
          <w:sz w:val="20"/>
          <w:szCs w:val="20"/>
        </w:rPr>
        <w:t xml:space="preserve"> culture practices. The germplasm evaluation and bio-product development facilities were maintained at 25</w:t>
      </w:r>
      <w:r w:rsidRPr="000F10F2">
        <w:rPr>
          <w:rFonts w:ascii="Times New Roman" w:hAnsi="Times New Roman" w:cs="Times New Roman"/>
          <w:sz w:val="20"/>
          <w:szCs w:val="20"/>
          <w:vertAlign w:val="superscript"/>
        </w:rPr>
        <w:t>0</w:t>
      </w:r>
      <w:r w:rsidRPr="000F10F2">
        <w:rPr>
          <w:rFonts w:ascii="Times New Roman" w:hAnsi="Times New Roman" w:cs="Times New Roman"/>
          <w:sz w:val="20"/>
          <w:szCs w:val="20"/>
        </w:rPr>
        <w:t>C- 28</w:t>
      </w:r>
      <w:r w:rsidRPr="000F10F2">
        <w:rPr>
          <w:rFonts w:ascii="Times New Roman" w:hAnsi="Times New Roman" w:cs="Times New Roman"/>
          <w:sz w:val="20"/>
          <w:szCs w:val="20"/>
          <w:vertAlign w:val="superscript"/>
        </w:rPr>
        <w:t>0</w:t>
      </w:r>
      <w:r w:rsidRPr="000F10F2">
        <w:rPr>
          <w:rFonts w:ascii="Times New Roman" w:hAnsi="Times New Roman" w:cs="Times New Roman"/>
          <w:sz w:val="20"/>
          <w:szCs w:val="20"/>
        </w:rPr>
        <w:t xml:space="preserve">C and 70-80% relative humidity for the survival of these plants. The plant </w:t>
      </w:r>
      <w:proofErr w:type="spellStart"/>
      <w:r w:rsidRPr="000F10F2">
        <w:rPr>
          <w:rFonts w:ascii="Times New Roman" w:hAnsi="Times New Roman" w:cs="Times New Roman"/>
          <w:i/>
          <w:sz w:val="20"/>
          <w:szCs w:val="20"/>
        </w:rPr>
        <w:t>Picrorhiza</w:t>
      </w:r>
      <w:proofErr w:type="spellEnd"/>
      <w:r w:rsidRPr="000F10F2">
        <w:rPr>
          <w:rFonts w:ascii="Times New Roman" w:hAnsi="Times New Roman" w:cs="Times New Roman"/>
          <w:i/>
          <w:sz w:val="20"/>
          <w:szCs w:val="20"/>
        </w:rPr>
        <w:t xml:space="preserve"> </w:t>
      </w:r>
      <w:proofErr w:type="spellStart"/>
      <w:r w:rsidRPr="000F10F2">
        <w:rPr>
          <w:rFonts w:ascii="Times New Roman" w:hAnsi="Times New Roman" w:cs="Times New Roman"/>
          <w:i/>
          <w:sz w:val="20"/>
          <w:szCs w:val="20"/>
        </w:rPr>
        <w:t>kurroa</w:t>
      </w:r>
      <w:proofErr w:type="spellEnd"/>
      <w:r w:rsidRPr="000F10F2">
        <w:rPr>
          <w:rFonts w:ascii="Times New Roman" w:hAnsi="Times New Roman" w:cs="Times New Roman"/>
          <w:i/>
          <w:sz w:val="20"/>
          <w:szCs w:val="20"/>
        </w:rPr>
        <w:t xml:space="preserve"> </w:t>
      </w:r>
      <w:r w:rsidRPr="000F10F2">
        <w:rPr>
          <w:rFonts w:ascii="Times New Roman" w:hAnsi="Times New Roman" w:cs="Times New Roman"/>
          <w:sz w:val="20"/>
          <w:szCs w:val="20"/>
        </w:rPr>
        <w:t xml:space="preserve">germplasm, thus could be under conditions of relatively controlled parameters of growth </w:t>
      </w:r>
      <w:proofErr w:type="spellStart"/>
      <w:r w:rsidRPr="000F10F2">
        <w:rPr>
          <w:rFonts w:ascii="Times New Roman" w:hAnsi="Times New Roman" w:cs="Times New Roman"/>
          <w:sz w:val="20"/>
          <w:szCs w:val="20"/>
        </w:rPr>
        <w:t>upto</w:t>
      </w:r>
      <w:proofErr w:type="spellEnd"/>
      <w:r w:rsidRPr="000F10F2">
        <w:rPr>
          <w:rFonts w:ascii="Times New Roman" w:hAnsi="Times New Roman" w:cs="Times New Roman"/>
          <w:sz w:val="20"/>
          <w:szCs w:val="20"/>
        </w:rPr>
        <w:t xml:space="preserve"> the level of certain extent for our research and to develop potential </w:t>
      </w:r>
      <w:proofErr w:type="spellStart"/>
      <w:r w:rsidRPr="000F10F2">
        <w:rPr>
          <w:rFonts w:ascii="Times New Roman" w:hAnsi="Times New Roman" w:cs="Times New Roman"/>
          <w:sz w:val="20"/>
          <w:szCs w:val="20"/>
        </w:rPr>
        <w:t>agropractices</w:t>
      </w:r>
      <w:proofErr w:type="spellEnd"/>
      <w:r w:rsidRPr="000F10F2">
        <w:rPr>
          <w:rFonts w:ascii="Times New Roman" w:hAnsi="Times New Roman" w:cs="Times New Roman"/>
          <w:sz w:val="20"/>
          <w:szCs w:val="20"/>
        </w:rPr>
        <w:t xml:space="preserve"> at cultivation sites </w:t>
      </w:r>
      <w:r w:rsidRPr="000F10F2">
        <w:rPr>
          <w:rFonts w:ascii="Times New Roman" w:hAnsi="Times New Roman" w:cs="Times New Roman"/>
          <w:i/>
          <w:sz w:val="20"/>
          <w:szCs w:val="20"/>
        </w:rPr>
        <w:t>in situ</w:t>
      </w:r>
      <w:r w:rsidRPr="000F10F2">
        <w:rPr>
          <w:rFonts w:ascii="Times New Roman" w:hAnsi="Times New Roman" w:cs="Times New Roman"/>
          <w:sz w:val="20"/>
          <w:szCs w:val="20"/>
        </w:rPr>
        <w:t xml:space="preserve"> and or </w:t>
      </w:r>
      <w:r w:rsidRPr="000F10F2">
        <w:rPr>
          <w:rFonts w:ascii="Times New Roman" w:hAnsi="Times New Roman" w:cs="Times New Roman"/>
          <w:i/>
          <w:sz w:val="20"/>
          <w:szCs w:val="20"/>
        </w:rPr>
        <w:t>ex situ</w:t>
      </w:r>
      <w:r w:rsidRPr="000F10F2">
        <w:rPr>
          <w:rFonts w:ascii="Times New Roman" w:hAnsi="Times New Roman" w:cs="Times New Roman"/>
          <w:sz w:val="20"/>
          <w:szCs w:val="20"/>
        </w:rPr>
        <w:t>.</w:t>
      </w:r>
    </w:p>
    <w:p w14:paraId="18011B02" w14:textId="3ADC3AD5" w:rsidR="00183614" w:rsidRDefault="00183614" w:rsidP="00FD0B64">
      <w:pPr>
        <w:spacing w:line="360" w:lineRule="auto"/>
        <w:jc w:val="both"/>
        <w:rPr>
          <w:rFonts w:ascii="Times New Roman" w:hAnsi="Times New Roman" w:cs="Times New Roman"/>
          <w:sz w:val="20"/>
          <w:szCs w:val="20"/>
        </w:rPr>
      </w:pPr>
      <w:r>
        <w:rPr>
          <w:noProof/>
        </w:rPr>
        <w:drawing>
          <wp:inline distT="0" distB="0" distL="0" distR="0" wp14:anchorId="2DC9BE6B" wp14:editId="247294BA">
            <wp:extent cx="4080294" cy="3181350"/>
            <wp:effectExtent l="0" t="0" r="0" b="0"/>
            <wp:docPr id="10731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6308" name=""/>
                    <pic:cNvPicPr/>
                  </pic:nvPicPr>
                  <pic:blipFill>
                    <a:blip r:embed="rId8"/>
                    <a:stretch>
                      <a:fillRect/>
                    </a:stretch>
                  </pic:blipFill>
                  <pic:spPr>
                    <a:xfrm>
                      <a:off x="0" y="0"/>
                      <a:ext cx="4081457" cy="3182257"/>
                    </a:xfrm>
                    <a:prstGeom prst="rect">
                      <a:avLst/>
                    </a:prstGeom>
                  </pic:spPr>
                </pic:pic>
              </a:graphicData>
            </a:graphic>
          </wp:inline>
        </w:drawing>
      </w:r>
    </w:p>
    <w:p w14:paraId="0544395A" w14:textId="0DBBAFA9" w:rsidR="00183614" w:rsidRDefault="00183614" w:rsidP="00FD0B64">
      <w:pPr>
        <w:spacing w:line="360" w:lineRule="auto"/>
        <w:jc w:val="both"/>
        <w:rPr>
          <w:rFonts w:ascii="Times New Roman" w:hAnsi="Times New Roman" w:cs="Times New Roman"/>
          <w:sz w:val="20"/>
          <w:szCs w:val="20"/>
        </w:rPr>
      </w:pPr>
      <w:r w:rsidRPr="00183614">
        <w:rPr>
          <w:rFonts w:ascii="Times New Roman" w:hAnsi="Times New Roman" w:cs="Times New Roman"/>
          <w:sz w:val="20"/>
          <w:szCs w:val="20"/>
        </w:rPr>
        <w:t xml:space="preserve">Fig 1(a): </w:t>
      </w:r>
      <w:proofErr w:type="spellStart"/>
      <w:r w:rsidRPr="00183614">
        <w:rPr>
          <w:rFonts w:ascii="Times New Roman" w:hAnsi="Times New Roman" w:cs="Times New Roman"/>
          <w:sz w:val="20"/>
          <w:szCs w:val="20"/>
        </w:rPr>
        <w:t>Picrorhiza</w:t>
      </w:r>
      <w:proofErr w:type="spellEnd"/>
      <w:r w:rsidRPr="00183614">
        <w:rPr>
          <w:rFonts w:ascii="Times New Roman" w:hAnsi="Times New Roman" w:cs="Times New Roman"/>
          <w:sz w:val="20"/>
          <w:szCs w:val="20"/>
        </w:rPr>
        <w:t xml:space="preserve"> </w:t>
      </w:r>
      <w:proofErr w:type="spellStart"/>
      <w:r w:rsidRPr="00183614">
        <w:rPr>
          <w:rFonts w:ascii="Times New Roman" w:hAnsi="Times New Roman" w:cs="Times New Roman"/>
          <w:sz w:val="20"/>
          <w:szCs w:val="20"/>
        </w:rPr>
        <w:t>kurroa</w:t>
      </w:r>
      <w:proofErr w:type="spellEnd"/>
      <w:r w:rsidRPr="00183614">
        <w:rPr>
          <w:rFonts w:ascii="Times New Roman" w:hAnsi="Times New Roman" w:cs="Times New Roman"/>
          <w:sz w:val="20"/>
          <w:szCs w:val="20"/>
        </w:rPr>
        <w:t xml:space="preserve"> under growth in suitable size (height- 16cm, width- 14</w:t>
      </w:r>
      <w:proofErr w:type="gramStart"/>
      <w:r w:rsidRPr="00183614">
        <w:rPr>
          <w:rFonts w:ascii="Times New Roman" w:hAnsi="Times New Roman" w:cs="Times New Roman"/>
          <w:sz w:val="20"/>
          <w:szCs w:val="20"/>
        </w:rPr>
        <w:t>cm )</w:t>
      </w:r>
      <w:proofErr w:type="gramEnd"/>
      <w:r w:rsidRPr="00183614">
        <w:rPr>
          <w:rFonts w:ascii="Times New Roman" w:hAnsi="Times New Roman" w:cs="Times New Roman"/>
          <w:sz w:val="20"/>
          <w:szCs w:val="20"/>
        </w:rPr>
        <w:t xml:space="preserve"> plastic pots containing soil (collected from Dr NE Borlaug Crop Research Centre) sand: compost (obtained from cow dung collected from Dairy Research Farm) in the ratio of 1:1:1 w/w/w with required moisture contents filled </w:t>
      </w:r>
      <w:proofErr w:type="spellStart"/>
      <w:r w:rsidRPr="00183614">
        <w:rPr>
          <w:rFonts w:ascii="Times New Roman" w:hAnsi="Times New Roman" w:cs="Times New Roman"/>
          <w:sz w:val="20"/>
          <w:szCs w:val="20"/>
        </w:rPr>
        <w:t>upto</w:t>
      </w:r>
      <w:proofErr w:type="spellEnd"/>
      <w:r w:rsidRPr="00183614">
        <w:rPr>
          <w:rFonts w:ascii="Times New Roman" w:hAnsi="Times New Roman" w:cs="Times New Roman"/>
          <w:sz w:val="20"/>
          <w:szCs w:val="20"/>
        </w:rPr>
        <w:t xml:space="preserve"> 3/4th of height</w:t>
      </w:r>
    </w:p>
    <w:p w14:paraId="2A9DDAF2" w14:textId="77777777" w:rsidR="00183614" w:rsidRDefault="00183614" w:rsidP="00FD0B64">
      <w:pPr>
        <w:spacing w:line="360" w:lineRule="auto"/>
        <w:jc w:val="both"/>
        <w:rPr>
          <w:rFonts w:ascii="Times New Roman" w:hAnsi="Times New Roman" w:cs="Times New Roman"/>
          <w:sz w:val="20"/>
          <w:szCs w:val="20"/>
        </w:rPr>
      </w:pPr>
    </w:p>
    <w:p w14:paraId="46A41B8D" w14:textId="17E824D7" w:rsidR="00FD0B64" w:rsidRDefault="00FD0B64" w:rsidP="00FD0B64">
      <w:pPr>
        <w:spacing w:line="360" w:lineRule="auto"/>
        <w:jc w:val="both"/>
        <w:rPr>
          <w:rFonts w:ascii="Times New Roman" w:hAnsi="Times New Roman" w:cs="Times New Roman"/>
          <w:sz w:val="20"/>
          <w:szCs w:val="20"/>
        </w:rPr>
      </w:pPr>
    </w:p>
    <w:p w14:paraId="20C1BC80" w14:textId="26C42600" w:rsidR="006B45F2" w:rsidRDefault="00183614" w:rsidP="00FD0B64">
      <w:pPr>
        <w:spacing w:line="360" w:lineRule="auto"/>
        <w:jc w:val="both"/>
        <w:rPr>
          <w:rFonts w:ascii="Times New Roman" w:hAnsi="Times New Roman" w:cs="Times New Roman"/>
          <w:sz w:val="20"/>
          <w:szCs w:val="20"/>
        </w:rPr>
      </w:pPr>
      <w:r>
        <w:rPr>
          <w:noProof/>
        </w:rPr>
        <w:lastRenderedPageBreak/>
        <w:drawing>
          <wp:inline distT="0" distB="0" distL="0" distR="0" wp14:anchorId="4DF29854" wp14:editId="6ECAAF8C">
            <wp:extent cx="4133850" cy="3086100"/>
            <wp:effectExtent l="0" t="0" r="0" b="0"/>
            <wp:docPr id="38295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57733" name=""/>
                    <pic:cNvPicPr/>
                  </pic:nvPicPr>
                  <pic:blipFill>
                    <a:blip r:embed="rId9"/>
                    <a:stretch>
                      <a:fillRect/>
                    </a:stretch>
                  </pic:blipFill>
                  <pic:spPr>
                    <a:xfrm>
                      <a:off x="0" y="0"/>
                      <a:ext cx="4133850" cy="3086100"/>
                    </a:xfrm>
                    <a:prstGeom prst="rect">
                      <a:avLst/>
                    </a:prstGeom>
                  </pic:spPr>
                </pic:pic>
              </a:graphicData>
            </a:graphic>
          </wp:inline>
        </w:drawing>
      </w:r>
    </w:p>
    <w:p w14:paraId="436950E4" w14:textId="77777777" w:rsidR="006B45F2" w:rsidRPr="006B45F2" w:rsidRDefault="006B45F2" w:rsidP="00FD0B64">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Fig </w:t>
      </w:r>
      <w:r w:rsidR="00B8338C">
        <w:rPr>
          <w:rFonts w:ascii="Times New Roman" w:hAnsi="Times New Roman" w:cs="Times New Roman"/>
          <w:sz w:val="20"/>
          <w:szCs w:val="20"/>
        </w:rPr>
        <w:t>1(b</w:t>
      </w:r>
      <w:r>
        <w:rPr>
          <w:rFonts w:ascii="Times New Roman" w:hAnsi="Times New Roman" w:cs="Times New Roman"/>
          <w:sz w:val="20"/>
          <w:szCs w:val="20"/>
        </w:rPr>
        <w:t xml:space="preserve">): Morphology of </w:t>
      </w:r>
      <w:proofErr w:type="spellStart"/>
      <w:r w:rsidRPr="006B45F2">
        <w:rPr>
          <w:rFonts w:ascii="Times New Roman" w:hAnsi="Times New Roman" w:cs="Times New Roman"/>
          <w:i/>
          <w:sz w:val="20"/>
          <w:szCs w:val="20"/>
        </w:rPr>
        <w:t>Picrorhiza</w:t>
      </w:r>
      <w:proofErr w:type="spellEnd"/>
      <w:r w:rsidRPr="006B45F2">
        <w:rPr>
          <w:rFonts w:ascii="Times New Roman" w:hAnsi="Times New Roman" w:cs="Times New Roman"/>
          <w:i/>
          <w:sz w:val="20"/>
          <w:szCs w:val="20"/>
        </w:rPr>
        <w:t xml:space="preserve"> </w:t>
      </w:r>
      <w:proofErr w:type="spellStart"/>
      <w:r w:rsidRPr="006B45F2">
        <w:rPr>
          <w:rFonts w:ascii="Times New Roman" w:hAnsi="Times New Roman" w:cs="Times New Roman"/>
          <w:i/>
          <w:sz w:val="20"/>
          <w:szCs w:val="20"/>
        </w:rPr>
        <w:t>kurroa</w:t>
      </w:r>
      <w:proofErr w:type="spellEnd"/>
      <w:r w:rsidR="00B8338C">
        <w:rPr>
          <w:rFonts w:ascii="Times New Roman" w:hAnsi="Times New Roman" w:cs="Times New Roman"/>
          <w:sz w:val="20"/>
          <w:szCs w:val="20"/>
        </w:rPr>
        <w:t xml:space="preserve"> under growth</w:t>
      </w:r>
    </w:p>
    <w:p w14:paraId="3A51253A" w14:textId="4A579BD2" w:rsidR="00FD0B64" w:rsidRPr="000F10F2" w:rsidRDefault="00FD0B64" w:rsidP="00FD0B64">
      <w:pPr>
        <w:spacing w:line="360" w:lineRule="auto"/>
        <w:ind w:left="720"/>
        <w:jc w:val="both"/>
        <w:rPr>
          <w:rFonts w:ascii="Times New Roman" w:hAnsi="Times New Roman" w:cs="Times New Roman"/>
          <w:sz w:val="24"/>
          <w:szCs w:val="24"/>
        </w:rPr>
      </w:pPr>
      <w:r w:rsidRPr="000F10F2">
        <w:rPr>
          <w:rFonts w:ascii="Times New Roman" w:hAnsi="Times New Roman" w:cs="Times New Roman"/>
          <w:b/>
          <w:sz w:val="24"/>
          <w:szCs w:val="24"/>
        </w:rPr>
        <w:t>Explants</w:t>
      </w:r>
    </w:p>
    <w:p w14:paraId="560DF936" w14:textId="77777777" w:rsidR="00FD0B64" w:rsidRPr="000F10F2" w:rsidRDefault="00FD0B64" w:rsidP="00FD0B64">
      <w:pPr>
        <w:pStyle w:val="NormalWeb"/>
        <w:spacing w:line="360" w:lineRule="auto"/>
        <w:ind w:left="720"/>
        <w:jc w:val="both"/>
        <w:rPr>
          <w:b/>
          <w:sz w:val="20"/>
          <w:szCs w:val="20"/>
        </w:rPr>
      </w:pPr>
      <w:r w:rsidRPr="000F10F2">
        <w:rPr>
          <w:sz w:val="20"/>
          <w:szCs w:val="20"/>
        </w:rPr>
        <w:t xml:space="preserve">The intact leaves of </w:t>
      </w:r>
      <w:proofErr w:type="spellStart"/>
      <w:r w:rsidRPr="000F10F2">
        <w:rPr>
          <w:i/>
          <w:sz w:val="20"/>
          <w:szCs w:val="20"/>
        </w:rPr>
        <w:t>Picrorhiza</w:t>
      </w:r>
      <w:proofErr w:type="spellEnd"/>
      <w:r w:rsidRPr="000F10F2">
        <w:rPr>
          <w:i/>
          <w:sz w:val="20"/>
          <w:szCs w:val="20"/>
        </w:rPr>
        <w:t xml:space="preserve"> </w:t>
      </w:r>
      <w:proofErr w:type="spellStart"/>
      <w:r w:rsidRPr="000F10F2">
        <w:rPr>
          <w:i/>
          <w:sz w:val="20"/>
          <w:szCs w:val="20"/>
        </w:rPr>
        <w:t>kurroa</w:t>
      </w:r>
      <w:proofErr w:type="spellEnd"/>
      <w:r w:rsidRPr="000F10F2">
        <w:rPr>
          <w:sz w:val="20"/>
          <w:szCs w:val="20"/>
        </w:rPr>
        <w:t xml:space="preserve"> were picked up for explants. Leaf explants surface sterilized and as such thoroughly sterilized explants of suitable sizes in different orientation observed for callus induction in suitable glass vessels consisting of sterilized MS basal medium with required growth regulators. Approximately leaves length of 5-6cm were washed under tap water, and then treated with 0.1 % (w/v) Bavistin for 30 minutes at an ambient temperature (28</w:t>
      </w:r>
      <w:r w:rsidRPr="000F10F2">
        <w:rPr>
          <w:sz w:val="20"/>
          <w:szCs w:val="20"/>
          <w:vertAlign w:val="superscript"/>
        </w:rPr>
        <w:t>0</w:t>
      </w:r>
      <w:r w:rsidRPr="000F10F2">
        <w:rPr>
          <w:sz w:val="20"/>
          <w:szCs w:val="20"/>
        </w:rPr>
        <w:t xml:space="preserve">C) and normal pressure. After rinsing with deionized water, these leaves were sterilized with 0.1% (w/v) </w:t>
      </w:r>
      <w:proofErr w:type="spellStart"/>
      <w:r w:rsidRPr="000F10F2">
        <w:rPr>
          <w:sz w:val="20"/>
          <w:szCs w:val="20"/>
        </w:rPr>
        <w:t>HgCl</w:t>
      </w:r>
      <w:proofErr w:type="spellEnd"/>
      <w:r w:rsidRPr="000F10F2">
        <w:rPr>
          <w:rFonts w:ascii="Cambria Math" w:hAnsi="Cambria Math"/>
          <w:sz w:val="20"/>
          <w:szCs w:val="20"/>
        </w:rPr>
        <w:t>₂</w:t>
      </w:r>
      <w:r w:rsidRPr="000F10F2">
        <w:rPr>
          <w:sz w:val="20"/>
          <w:szCs w:val="20"/>
        </w:rPr>
        <w:t xml:space="preserve"> for 35 seconds, followed by 70% ethanol for 30 seconds. Final rinsing with autoclaved deionized water was carried out in a laminar air flow cabinet to avoid contamination.</w:t>
      </w:r>
    </w:p>
    <w:p w14:paraId="711E6FF8" w14:textId="77777777" w:rsidR="00FD0B64" w:rsidRPr="000F10F2" w:rsidRDefault="00FD0B64" w:rsidP="00FD0B64">
      <w:pPr>
        <w:pStyle w:val="NormalWeb"/>
        <w:spacing w:line="360" w:lineRule="auto"/>
        <w:ind w:left="720"/>
        <w:jc w:val="both"/>
        <w:rPr>
          <w:b/>
        </w:rPr>
      </w:pPr>
      <w:r>
        <w:rPr>
          <w:b/>
        </w:rPr>
        <w:t>Dedifferentiation</w:t>
      </w:r>
    </w:p>
    <w:p w14:paraId="37BA77C1" w14:textId="77777777" w:rsidR="00FD0B64" w:rsidRPr="000F10F2" w:rsidRDefault="00FD0B64" w:rsidP="00FD0B64">
      <w:pPr>
        <w:pStyle w:val="NormalWeb"/>
        <w:spacing w:line="360" w:lineRule="auto"/>
        <w:ind w:left="720"/>
        <w:jc w:val="both"/>
        <w:rPr>
          <w:sz w:val="20"/>
          <w:szCs w:val="20"/>
        </w:rPr>
      </w:pPr>
      <w:r w:rsidRPr="000F10F2">
        <w:rPr>
          <w:sz w:val="20"/>
          <w:szCs w:val="20"/>
        </w:rPr>
        <w:t xml:space="preserve">As such few </w:t>
      </w:r>
      <w:proofErr w:type="spellStart"/>
      <w:r w:rsidRPr="000F10F2">
        <w:rPr>
          <w:sz w:val="20"/>
          <w:szCs w:val="20"/>
        </w:rPr>
        <w:t>cytokinen</w:t>
      </w:r>
      <w:proofErr w:type="spellEnd"/>
      <w:r w:rsidRPr="000F10F2">
        <w:rPr>
          <w:sz w:val="20"/>
          <w:szCs w:val="20"/>
        </w:rPr>
        <w:t xml:space="preserve"> (BAP, TDZ and KIN) and only auxin (IBA) were used for finding out the optimum levels of growth regulators effect </w:t>
      </w:r>
      <w:r w:rsidRPr="000F10F2">
        <w:rPr>
          <w:i/>
          <w:sz w:val="20"/>
          <w:szCs w:val="20"/>
        </w:rPr>
        <w:t>in vitro</w:t>
      </w:r>
      <w:r w:rsidRPr="000F10F2">
        <w:rPr>
          <w:sz w:val="20"/>
          <w:szCs w:val="20"/>
        </w:rPr>
        <w:t xml:space="preserve"> growth regimes of controlled environment. </w:t>
      </w:r>
      <w:proofErr w:type="spellStart"/>
      <w:r w:rsidRPr="000F10F2">
        <w:rPr>
          <w:sz w:val="20"/>
          <w:szCs w:val="20"/>
        </w:rPr>
        <w:t>Unorganised</w:t>
      </w:r>
      <w:proofErr w:type="spellEnd"/>
      <w:r w:rsidRPr="000F10F2">
        <w:rPr>
          <w:sz w:val="20"/>
          <w:szCs w:val="20"/>
        </w:rPr>
        <w:t xml:space="preserve"> mass (callus) was obtained in TDZ (2.27µM) only.</w:t>
      </w:r>
    </w:p>
    <w:p w14:paraId="0790E7EE" w14:textId="77777777" w:rsidR="00FD0B64" w:rsidRPr="000F10F2" w:rsidRDefault="00FD0B64" w:rsidP="00FD0B64">
      <w:pPr>
        <w:pStyle w:val="ListParagraph"/>
        <w:spacing w:line="360" w:lineRule="auto"/>
        <w:jc w:val="both"/>
        <w:rPr>
          <w:rFonts w:ascii="Times New Roman" w:hAnsi="Times New Roman" w:cs="Times New Roman"/>
          <w:b/>
          <w:sz w:val="20"/>
          <w:szCs w:val="20"/>
        </w:rPr>
      </w:pPr>
    </w:p>
    <w:p w14:paraId="5D1E4D81" w14:textId="5A5D9ADA" w:rsidR="00FD0B64" w:rsidRPr="000F10F2" w:rsidRDefault="00FD0B64" w:rsidP="00FD0B64">
      <w:pPr>
        <w:pStyle w:val="ListParagraph"/>
        <w:spacing w:line="360" w:lineRule="auto"/>
        <w:jc w:val="both"/>
        <w:rPr>
          <w:rFonts w:ascii="Times New Roman" w:hAnsi="Times New Roman" w:cs="Times New Roman"/>
          <w:b/>
          <w:sz w:val="20"/>
          <w:szCs w:val="20"/>
        </w:rPr>
      </w:pPr>
    </w:p>
    <w:p w14:paraId="070C69F2" w14:textId="11CB8819" w:rsidR="00183614" w:rsidRDefault="00183614" w:rsidP="00FD0B64">
      <w:pPr>
        <w:pStyle w:val="NormalWeb"/>
        <w:spacing w:line="360" w:lineRule="auto"/>
        <w:jc w:val="both"/>
        <w:rPr>
          <w:b/>
        </w:rPr>
      </w:pPr>
      <w:r>
        <w:rPr>
          <w:noProof/>
        </w:rPr>
        <w:lastRenderedPageBreak/>
        <w:drawing>
          <wp:inline distT="0" distB="0" distL="0" distR="0" wp14:anchorId="4830EC77" wp14:editId="4F860F08">
            <wp:extent cx="4479928" cy="2500064"/>
            <wp:effectExtent l="0" t="0" r="0" b="0"/>
            <wp:docPr id="112190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01811" name=""/>
                    <pic:cNvPicPr/>
                  </pic:nvPicPr>
                  <pic:blipFill>
                    <a:blip r:embed="rId10"/>
                    <a:stretch>
                      <a:fillRect/>
                    </a:stretch>
                  </pic:blipFill>
                  <pic:spPr>
                    <a:xfrm>
                      <a:off x="0" y="0"/>
                      <a:ext cx="4487191" cy="2504117"/>
                    </a:xfrm>
                    <a:prstGeom prst="rect">
                      <a:avLst/>
                    </a:prstGeom>
                  </pic:spPr>
                </pic:pic>
              </a:graphicData>
            </a:graphic>
          </wp:inline>
        </w:drawing>
      </w:r>
    </w:p>
    <w:p w14:paraId="0A238079" w14:textId="4F03A6FB" w:rsidR="00183614" w:rsidRPr="00183614" w:rsidRDefault="00183614" w:rsidP="00183614">
      <w:pPr>
        <w:pStyle w:val="NormalWeb"/>
        <w:spacing w:before="0" w:beforeAutospacing="0" w:after="0" w:afterAutospacing="0"/>
        <w:jc w:val="center"/>
        <w:rPr>
          <w:b/>
        </w:rPr>
      </w:pPr>
      <w:r w:rsidRPr="00183614">
        <w:rPr>
          <w:b/>
        </w:rPr>
        <w:t>Fig 2: (A</w:t>
      </w:r>
      <w:proofErr w:type="gramStart"/>
      <w:r w:rsidRPr="00183614">
        <w:rPr>
          <w:b/>
        </w:rPr>
        <w:t>),(</w:t>
      </w:r>
      <w:proofErr w:type="gramEnd"/>
      <w:r w:rsidRPr="00183614">
        <w:rPr>
          <w:b/>
        </w:rPr>
        <w:t>B),(C) Callus induction from leaves on MS medium containing TDZ(2.27 µM)</w:t>
      </w:r>
    </w:p>
    <w:p w14:paraId="6297BAF8" w14:textId="0F0452AA" w:rsidR="00183614" w:rsidRDefault="00183614" w:rsidP="00183614">
      <w:pPr>
        <w:pStyle w:val="NormalWeb"/>
        <w:spacing w:before="0" w:beforeAutospacing="0" w:after="0" w:afterAutospacing="0"/>
        <w:jc w:val="center"/>
        <w:rPr>
          <w:b/>
        </w:rPr>
      </w:pPr>
      <w:r w:rsidRPr="00183614">
        <w:rPr>
          <w:b/>
        </w:rPr>
        <w:t xml:space="preserve">(D) induced callus(s) </w:t>
      </w:r>
      <w:proofErr w:type="gramStart"/>
      <w:r w:rsidRPr="00183614">
        <w:rPr>
          <w:b/>
        </w:rPr>
        <w:t>after  4</w:t>
      </w:r>
      <w:proofErr w:type="gramEnd"/>
      <w:r w:rsidRPr="00183614">
        <w:rPr>
          <w:b/>
        </w:rPr>
        <w:t xml:space="preserve"> week</w:t>
      </w:r>
    </w:p>
    <w:p w14:paraId="6E9048F8" w14:textId="024920AA" w:rsidR="00FD0B64" w:rsidRPr="000F10F2" w:rsidRDefault="00FD0B64" w:rsidP="00FD0B64">
      <w:pPr>
        <w:pStyle w:val="NormalWeb"/>
        <w:spacing w:line="360" w:lineRule="auto"/>
        <w:jc w:val="both"/>
        <w:rPr>
          <w:b/>
        </w:rPr>
      </w:pPr>
      <w:r>
        <w:rPr>
          <w:b/>
        </w:rPr>
        <w:t>Redifferentiation</w:t>
      </w:r>
    </w:p>
    <w:p w14:paraId="304C3CA5" w14:textId="77777777" w:rsidR="00FD0B64" w:rsidRPr="000F10F2" w:rsidRDefault="00FD0B64" w:rsidP="00FD0B64">
      <w:pPr>
        <w:pStyle w:val="NormalWeb"/>
        <w:spacing w:line="360" w:lineRule="auto"/>
        <w:jc w:val="both"/>
        <w:rPr>
          <w:b/>
          <w:sz w:val="20"/>
          <w:szCs w:val="20"/>
        </w:rPr>
      </w:pPr>
      <w:r w:rsidRPr="000F10F2">
        <w:rPr>
          <w:sz w:val="20"/>
          <w:szCs w:val="20"/>
        </w:rPr>
        <w:t xml:space="preserve">Since, hairy root production was aimed, thus further these callus(s) were subjected to more defined conditions of growth and development toward hairy or other kinds of roots. Further sub culturing of induced callus on Murashige and Skoog (MS) basal media with supplementation of Naphthalene-1-acetic acid(2.15µM) and </w:t>
      </w:r>
      <w:r w:rsidRPr="000F10F2">
        <w:rPr>
          <w:bCs/>
          <w:sz w:val="20"/>
          <w:szCs w:val="20"/>
        </w:rPr>
        <w:t>Indole-3-acetic acid</w:t>
      </w:r>
      <w:r w:rsidRPr="000F10F2">
        <w:rPr>
          <w:sz w:val="20"/>
          <w:szCs w:val="20"/>
        </w:rPr>
        <w:t>(2.28µM) showed hairy root induction and proliferation while</w:t>
      </w:r>
      <w:r w:rsidRPr="000F10F2">
        <w:rPr>
          <w:bCs/>
          <w:sz w:val="20"/>
          <w:szCs w:val="20"/>
        </w:rPr>
        <w:t xml:space="preserve"> </w:t>
      </w:r>
      <w:proofErr w:type="gramStart"/>
      <w:r w:rsidRPr="000F10F2">
        <w:rPr>
          <w:bCs/>
          <w:sz w:val="20"/>
          <w:szCs w:val="20"/>
        </w:rPr>
        <w:t>NAA(</w:t>
      </w:r>
      <w:proofErr w:type="gramEnd"/>
      <w:r w:rsidRPr="000F10F2">
        <w:rPr>
          <w:bCs/>
          <w:sz w:val="20"/>
          <w:szCs w:val="20"/>
        </w:rPr>
        <w:t>2.15</w:t>
      </w:r>
      <w:r w:rsidRPr="000F10F2">
        <w:rPr>
          <w:bCs/>
          <w:sz w:val="20"/>
          <w:szCs w:val="20"/>
          <w:lang w:val="el-GR"/>
        </w:rPr>
        <w:t xml:space="preserve"> μ</w:t>
      </w:r>
      <w:r w:rsidRPr="000F10F2">
        <w:rPr>
          <w:bCs/>
          <w:sz w:val="20"/>
          <w:szCs w:val="20"/>
        </w:rPr>
        <w:t>M) and IBA(1.97</w:t>
      </w:r>
      <w:r w:rsidRPr="000F10F2">
        <w:rPr>
          <w:bCs/>
          <w:sz w:val="20"/>
          <w:szCs w:val="20"/>
          <w:lang w:val="el-GR"/>
        </w:rPr>
        <w:t xml:space="preserve"> μ</w:t>
      </w:r>
      <w:r w:rsidRPr="000F10F2">
        <w:rPr>
          <w:bCs/>
          <w:sz w:val="20"/>
          <w:szCs w:val="20"/>
        </w:rPr>
        <w:t xml:space="preserve">M) showed hairy root induction </w:t>
      </w:r>
      <w:proofErr w:type="spellStart"/>
      <w:r w:rsidRPr="000F10F2">
        <w:rPr>
          <w:bCs/>
          <w:sz w:val="20"/>
          <w:szCs w:val="20"/>
        </w:rPr>
        <w:t>alongwith</w:t>
      </w:r>
      <w:proofErr w:type="spellEnd"/>
      <w:r w:rsidRPr="000F10F2">
        <w:rPr>
          <w:bCs/>
          <w:sz w:val="20"/>
          <w:szCs w:val="20"/>
        </w:rPr>
        <w:t xml:space="preserve"> shoot formation.</w:t>
      </w:r>
    </w:p>
    <w:p w14:paraId="77BF44CE" w14:textId="77777777" w:rsidR="00FD0B64" w:rsidRPr="000F10F2" w:rsidRDefault="00FD0B64" w:rsidP="00FD0B64">
      <w:pPr>
        <w:pStyle w:val="NormalWeb"/>
        <w:spacing w:line="360" w:lineRule="auto"/>
        <w:jc w:val="both"/>
        <w:rPr>
          <w:sz w:val="20"/>
          <w:szCs w:val="20"/>
        </w:rPr>
      </w:pPr>
    </w:p>
    <w:p w14:paraId="7FBF7BE2" w14:textId="0489CE84" w:rsidR="00FD0B64" w:rsidRPr="000F10F2" w:rsidRDefault="00FD0B64" w:rsidP="00FD0B64">
      <w:pPr>
        <w:pStyle w:val="NormalWeb"/>
        <w:spacing w:line="360" w:lineRule="auto"/>
        <w:ind w:left="720"/>
        <w:jc w:val="both"/>
        <w:rPr>
          <w:b/>
          <w:sz w:val="20"/>
          <w:szCs w:val="20"/>
        </w:rPr>
      </w:pPr>
      <w:r w:rsidRPr="000F10F2">
        <w:rPr>
          <w:b/>
          <w:sz w:val="20"/>
          <w:szCs w:val="20"/>
        </w:rPr>
        <w:t xml:space="preserve"> </w:t>
      </w:r>
    </w:p>
    <w:p w14:paraId="7000806A" w14:textId="12C12E62" w:rsidR="00FD0B64" w:rsidRDefault="00640173" w:rsidP="00640173">
      <w:pPr>
        <w:pStyle w:val="NormalWeb"/>
        <w:spacing w:line="360" w:lineRule="auto"/>
        <w:ind w:left="720"/>
        <w:jc w:val="center"/>
        <w:rPr>
          <w:sz w:val="20"/>
          <w:szCs w:val="20"/>
        </w:rPr>
      </w:pPr>
      <w:r>
        <w:rPr>
          <w:noProof/>
        </w:rPr>
        <w:lastRenderedPageBreak/>
        <w:drawing>
          <wp:inline distT="0" distB="0" distL="0" distR="0" wp14:anchorId="181D2A8A" wp14:editId="7F70167E">
            <wp:extent cx="3568890" cy="2517746"/>
            <wp:effectExtent l="0" t="0" r="0" b="0"/>
            <wp:docPr id="161297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78525" name=""/>
                    <pic:cNvPicPr/>
                  </pic:nvPicPr>
                  <pic:blipFill>
                    <a:blip r:embed="rId11"/>
                    <a:stretch>
                      <a:fillRect/>
                    </a:stretch>
                  </pic:blipFill>
                  <pic:spPr>
                    <a:xfrm>
                      <a:off x="0" y="0"/>
                      <a:ext cx="3582619" cy="2527431"/>
                    </a:xfrm>
                    <a:prstGeom prst="rect">
                      <a:avLst/>
                    </a:prstGeom>
                  </pic:spPr>
                </pic:pic>
              </a:graphicData>
            </a:graphic>
          </wp:inline>
        </w:drawing>
      </w:r>
    </w:p>
    <w:p w14:paraId="1246D21F" w14:textId="35B3C7B2" w:rsidR="00640173" w:rsidRDefault="00640173" w:rsidP="00640173">
      <w:pPr>
        <w:pStyle w:val="NormalWeb"/>
        <w:spacing w:line="360" w:lineRule="auto"/>
        <w:ind w:left="720"/>
        <w:jc w:val="center"/>
        <w:rPr>
          <w:b/>
          <w:bCs/>
          <w:sz w:val="20"/>
          <w:szCs w:val="20"/>
        </w:rPr>
      </w:pPr>
      <w:r w:rsidRPr="00640173">
        <w:rPr>
          <w:b/>
          <w:bCs/>
          <w:sz w:val="20"/>
          <w:szCs w:val="20"/>
        </w:rPr>
        <w:t xml:space="preserve">Fig 3: Hairy root proliferation in an induced callus after 2 </w:t>
      </w:r>
      <w:proofErr w:type="gramStart"/>
      <w:r w:rsidRPr="00640173">
        <w:rPr>
          <w:b/>
          <w:bCs/>
          <w:sz w:val="20"/>
          <w:szCs w:val="20"/>
        </w:rPr>
        <w:t>week</w:t>
      </w:r>
      <w:proofErr w:type="gramEnd"/>
      <w:r w:rsidRPr="00640173">
        <w:rPr>
          <w:b/>
          <w:bCs/>
          <w:sz w:val="20"/>
          <w:szCs w:val="20"/>
        </w:rPr>
        <w:t xml:space="preserve"> of subculture in a medium supplemented with NAA (2.15µM) and IAA(2.28µM)</w:t>
      </w:r>
    </w:p>
    <w:p w14:paraId="0E693D5D" w14:textId="2680AF69" w:rsidR="00A41EB0" w:rsidRDefault="00A41EB0" w:rsidP="00A41EB0">
      <w:pPr>
        <w:pStyle w:val="NormalWeb"/>
        <w:spacing w:line="360" w:lineRule="auto"/>
        <w:jc w:val="center"/>
        <w:rPr>
          <w:b/>
          <w:bCs/>
          <w:sz w:val="20"/>
          <w:szCs w:val="20"/>
        </w:rPr>
      </w:pPr>
      <w:r>
        <w:rPr>
          <w:noProof/>
        </w:rPr>
        <w:drawing>
          <wp:inline distT="0" distB="0" distL="0" distR="0" wp14:anchorId="31D6144E" wp14:editId="7B7CD7A5">
            <wp:extent cx="2661153" cy="1913369"/>
            <wp:effectExtent l="0" t="0" r="0" b="0"/>
            <wp:docPr id="52498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83843" name=""/>
                    <pic:cNvPicPr/>
                  </pic:nvPicPr>
                  <pic:blipFill>
                    <a:blip r:embed="rId12"/>
                    <a:stretch>
                      <a:fillRect/>
                    </a:stretch>
                  </pic:blipFill>
                  <pic:spPr>
                    <a:xfrm>
                      <a:off x="0" y="0"/>
                      <a:ext cx="2672083" cy="1921228"/>
                    </a:xfrm>
                    <a:prstGeom prst="rect">
                      <a:avLst/>
                    </a:prstGeom>
                  </pic:spPr>
                </pic:pic>
              </a:graphicData>
            </a:graphic>
          </wp:inline>
        </w:drawing>
      </w:r>
    </w:p>
    <w:p w14:paraId="2C633818" w14:textId="3B4B0D4A" w:rsidR="00A41EB0" w:rsidRPr="00640173" w:rsidRDefault="00A41EB0" w:rsidP="00A41EB0">
      <w:pPr>
        <w:pStyle w:val="NormalWeb"/>
        <w:spacing w:line="360" w:lineRule="auto"/>
        <w:jc w:val="center"/>
        <w:rPr>
          <w:b/>
          <w:bCs/>
          <w:sz w:val="20"/>
          <w:szCs w:val="20"/>
        </w:rPr>
      </w:pPr>
      <w:r w:rsidRPr="00A41EB0">
        <w:rPr>
          <w:b/>
          <w:bCs/>
          <w:sz w:val="20"/>
          <w:szCs w:val="20"/>
        </w:rPr>
        <w:t xml:space="preserve">Fig </w:t>
      </w:r>
      <w:proofErr w:type="gramStart"/>
      <w:r w:rsidR="0050013C">
        <w:rPr>
          <w:b/>
          <w:bCs/>
          <w:sz w:val="20"/>
          <w:szCs w:val="20"/>
        </w:rPr>
        <w:t>4</w:t>
      </w:r>
      <w:r>
        <w:rPr>
          <w:b/>
          <w:bCs/>
          <w:sz w:val="20"/>
          <w:szCs w:val="20"/>
        </w:rPr>
        <w:t xml:space="preserve"> </w:t>
      </w:r>
      <w:r w:rsidRPr="00A41EB0">
        <w:rPr>
          <w:b/>
          <w:bCs/>
          <w:sz w:val="20"/>
          <w:szCs w:val="20"/>
        </w:rPr>
        <w:t>:A</w:t>
      </w:r>
      <w:proofErr w:type="gramEnd"/>
      <w:r w:rsidRPr="00A41EB0">
        <w:rPr>
          <w:b/>
          <w:bCs/>
          <w:sz w:val="20"/>
          <w:szCs w:val="20"/>
        </w:rPr>
        <w:t xml:space="preserve">) Hairy root proliferation after 1 week subculture in NAA(2.15 </w:t>
      </w:r>
      <w:proofErr w:type="spellStart"/>
      <w:r w:rsidRPr="00A41EB0">
        <w:rPr>
          <w:b/>
          <w:bCs/>
          <w:sz w:val="20"/>
          <w:szCs w:val="20"/>
        </w:rPr>
        <w:t>μM</w:t>
      </w:r>
      <w:proofErr w:type="spellEnd"/>
      <w:r w:rsidRPr="00A41EB0">
        <w:rPr>
          <w:b/>
          <w:bCs/>
          <w:sz w:val="20"/>
          <w:szCs w:val="20"/>
        </w:rPr>
        <w:t xml:space="preserve">) and IAA( 2.28μM) (B)after 3 week (C) after 5 week (D) after 6 week of culture   </w:t>
      </w:r>
    </w:p>
    <w:p w14:paraId="5E4B5153" w14:textId="173500FE" w:rsidR="00FD0B64" w:rsidRPr="000F10F2" w:rsidRDefault="00232874" w:rsidP="00232874">
      <w:pPr>
        <w:pStyle w:val="NormalWeb"/>
        <w:spacing w:line="360" w:lineRule="auto"/>
        <w:ind w:left="720"/>
        <w:jc w:val="center"/>
        <w:rPr>
          <w:sz w:val="20"/>
          <w:szCs w:val="20"/>
        </w:rPr>
      </w:pPr>
      <w:r>
        <w:rPr>
          <w:noProof/>
        </w:rPr>
        <w:lastRenderedPageBreak/>
        <w:drawing>
          <wp:inline distT="0" distB="0" distL="0" distR="0" wp14:anchorId="6773DAE6" wp14:editId="25B23CEF">
            <wp:extent cx="4360731" cy="2656936"/>
            <wp:effectExtent l="0" t="0" r="0" b="0"/>
            <wp:docPr id="80559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9901" name=""/>
                    <pic:cNvPicPr/>
                  </pic:nvPicPr>
                  <pic:blipFill>
                    <a:blip r:embed="rId13"/>
                    <a:stretch>
                      <a:fillRect/>
                    </a:stretch>
                  </pic:blipFill>
                  <pic:spPr>
                    <a:xfrm>
                      <a:off x="0" y="0"/>
                      <a:ext cx="4408345" cy="2685947"/>
                    </a:xfrm>
                    <a:prstGeom prst="rect">
                      <a:avLst/>
                    </a:prstGeom>
                  </pic:spPr>
                </pic:pic>
              </a:graphicData>
            </a:graphic>
          </wp:inline>
        </w:drawing>
      </w:r>
    </w:p>
    <w:p w14:paraId="49EC328F" w14:textId="43B42840" w:rsidR="00A41EB0" w:rsidRPr="00A41EB0" w:rsidRDefault="00A41EB0" w:rsidP="00232874">
      <w:pPr>
        <w:pStyle w:val="NormalWeb"/>
        <w:spacing w:line="360" w:lineRule="auto"/>
        <w:jc w:val="center"/>
        <w:rPr>
          <w:b/>
          <w:bCs/>
          <w:sz w:val="20"/>
          <w:szCs w:val="20"/>
        </w:rPr>
      </w:pPr>
      <w:r w:rsidRPr="00A41EB0">
        <w:rPr>
          <w:b/>
          <w:bCs/>
          <w:sz w:val="20"/>
          <w:szCs w:val="20"/>
        </w:rPr>
        <w:t xml:space="preserve">Fig </w:t>
      </w:r>
      <w:r w:rsidR="0050013C">
        <w:rPr>
          <w:b/>
          <w:bCs/>
          <w:sz w:val="20"/>
          <w:szCs w:val="20"/>
        </w:rPr>
        <w:t>5</w:t>
      </w:r>
      <w:r w:rsidRPr="00A41EB0">
        <w:rPr>
          <w:b/>
          <w:bCs/>
          <w:sz w:val="20"/>
          <w:szCs w:val="20"/>
        </w:rPr>
        <w:t xml:space="preserve">: (A) hairy root proliferation after few weeks </w:t>
      </w:r>
      <w:proofErr w:type="gramStart"/>
      <w:r w:rsidRPr="00A41EB0">
        <w:rPr>
          <w:b/>
          <w:bCs/>
          <w:sz w:val="20"/>
          <w:szCs w:val="20"/>
        </w:rPr>
        <w:t>of  sub</w:t>
      </w:r>
      <w:proofErr w:type="gramEnd"/>
      <w:r w:rsidRPr="00A41EB0">
        <w:rPr>
          <w:b/>
          <w:bCs/>
          <w:sz w:val="20"/>
          <w:szCs w:val="20"/>
        </w:rPr>
        <w:t xml:space="preserve"> culturing</w:t>
      </w:r>
    </w:p>
    <w:p w14:paraId="67E41400" w14:textId="055C7324" w:rsidR="00FD0B64" w:rsidRDefault="00FD0B64" w:rsidP="00FD0B64">
      <w:pPr>
        <w:pStyle w:val="NormalWeb"/>
        <w:spacing w:line="360" w:lineRule="auto"/>
        <w:jc w:val="both"/>
        <w:rPr>
          <w:sz w:val="20"/>
          <w:szCs w:val="20"/>
        </w:rPr>
      </w:pPr>
      <w:r w:rsidRPr="000F10F2">
        <w:rPr>
          <w:sz w:val="20"/>
          <w:szCs w:val="20"/>
        </w:rPr>
        <w:t xml:space="preserve">Explants from </w:t>
      </w:r>
      <w:r w:rsidRPr="000F10F2">
        <w:rPr>
          <w:i/>
          <w:sz w:val="20"/>
          <w:szCs w:val="20"/>
        </w:rPr>
        <w:t>in vitro</w:t>
      </w:r>
      <w:r w:rsidRPr="000F10F2">
        <w:rPr>
          <w:sz w:val="20"/>
          <w:szCs w:val="20"/>
        </w:rPr>
        <w:t xml:space="preserve"> developed leaves were also subjected for inoculation in basal MS media supplemented with Naphthalene-1-acetic acid (2.15µM) and </w:t>
      </w:r>
      <w:r w:rsidRPr="000F10F2">
        <w:rPr>
          <w:bCs/>
          <w:sz w:val="20"/>
          <w:szCs w:val="20"/>
        </w:rPr>
        <w:t>Indole-3-butyric acid (</w:t>
      </w:r>
      <w:r w:rsidRPr="000F10F2">
        <w:rPr>
          <w:sz w:val="20"/>
          <w:szCs w:val="20"/>
        </w:rPr>
        <w:t xml:space="preserve">2.95µM) which showed highest hairy root development. </w:t>
      </w:r>
      <w:r w:rsidRPr="000F10F2">
        <w:rPr>
          <w:i/>
          <w:sz w:val="20"/>
          <w:szCs w:val="20"/>
        </w:rPr>
        <w:t xml:space="preserve">In vitro </w:t>
      </w:r>
      <w:r w:rsidRPr="000F10F2">
        <w:rPr>
          <w:sz w:val="20"/>
          <w:szCs w:val="20"/>
        </w:rPr>
        <w:t>shoots when placed upon suitable basal medium from indirectly regenerated plantlets also showed hairy roots in addition to normal roots. Such developed shoot nodes when placed upon suitable basal medium consisting of NAA (2.15µM) alone showed hairy root induction.</w:t>
      </w:r>
    </w:p>
    <w:p w14:paraId="235808C2" w14:textId="7B77478C" w:rsidR="00232874" w:rsidRDefault="00232874" w:rsidP="00FD0B64">
      <w:pPr>
        <w:pStyle w:val="NormalWeb"/>
        <w:spacing w:line="360" w:lineRule="auto"/>
        <w:jc w:val="both"/>
        <w:rPr>
          <w:sz w:val="20"/>
          <w:szCs w:val="20"/>
        </w:rPr>
      </w:pPr>
      <w:r>
        <w:rPr>
          <w:noProof/>
        </w:rPr>
        <w:drawing>
          <wp:inline distT="0" distB="0" distL="0" distR="0" wp14:anchorId="2A00D007" wp14:editId="43C1FF19">
            <wp:extent cx="4601621" cy="2449773"/>
            <wp:effectExtent l="0" t="0" r="0" b="0"/>
            <wp:docPr id="56997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74499" name=""/>
                    <pic:cNvPicPr/>
                  </pic:nvPicPr>
                  <pic:blipFill>
                    <a:blip r:embed="rId14"/>
                    <a:stretch>
                      <a:fillRect/>
                    </a:stretch>
                  </pic:blipFill>
                  <pic:spPr>
                    <a:xfrm>
                      <a:off x="0" y="0"/>
                      <a:ext cx="4605396" cy="2451782"/>
                    </a:xfrm>
                    <a:prstGeom prst="rect">
                      <a:avLst/>
                    </a:prstGeom>
                  </pic:spPr>
                </pic:pic>
              </a:graphicData>
            </a:graphic>
          </wp:inline>
        </w:drawing>
      </w:r>
    </w:p>
    <w:p w14:paraId="65683B5E" w14:textId="594C6473" w:rsidR="00232874" w:rsidRPr="000F10F2" w:rsidRDefault="00232874" w:rsidP="00FD0B64">
      <w:pPr>
        <w:pStyle w:val="NormalWeb"/>
        <w:spacing w:line="360" w:lineRule="auto"/>
        <w:jc w:val="both"/>
        <w:rPr>
          <w:sz w:val="20"/>
          <w:szCs w:val="20"/>
        </w:rPr>
      </w:pPr>
      <w:r w:rsidRPr="00232874">
        <w:rPr>
          <w:sz w:val="20"/>
          <w:szCs w:val="20"/>
        </w:rPr>
        <w:t>Fig 6: (A) Hairy root proliferation in leave explant after 1 week of subculture in NAA (2.15μ</w:t>
      </w:r>
      <w:proofErr w:type="gramStart"/>
      <w:r w:rsidRPr="00232874">
        <w:rPr>
          <w:sz w:val="20"/>
          <w:szCs w:val="20"/>
        </w:rPr>
        <w:t>M )</w:t>
      </w:r>
      <w:proofErr w:type="gramEnd"/>
      <w:r w:rsidRPr="00232874">
        <w:rPr>
          <w:sz w:val="20"/>
          <w:szCs w:val="20"/>
        </w:rPr>
        <w:t xml:space="preserve"> and IBA (2.95μM ) (B) hairy root proliferation after 2 week (C) after 3 week (D) after 5 week of culture</w:t>
      </w:r>
    </w:p>
    <w:p w14:paraId="33E041E1" w14:textId="28DECFAA" w:rsidR="00FD0B64" w:rsidRDefault="00585EA0" w:rsidP="00FD0B64">
      <w:pPr>
        <w:pStyle w:val="NormalWeb"/>
        <w:spacing w:line="360" w:lineRule="auto"/>
        <w:ind w:left="720"/>
        <w:jc w:val="both"/>
        <w:rPr>
          <w:b/>
          <w:sz w:val="20"/>
          <w:szCs w:val="20"/>
        </w:rPr>
      </w:pPr>
      <w:r>
        <w:rPr>
          <w:noProof/>
        </w:rPr>
        <w:lastRenderedPageBreak/>
        <w:drawing>
          <wp:inline distT="0" distB="0" distL="0" distR="0" wp14:anchorId="06D16C4D" wp14:editId="0E359FB2">
            <wp:extent cx="4228073" cy="2523744"/>
            <wp:effectExtent l="0" t="0" r="0" b="0"/>
            <wp:docPr id="20187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1675" name=""/>
                    <pic:cNvPicPr/>
                  </pic:nvPicPr>
                  <pic:blipFill>
                    <a:blip r:embed="rId15"/>
                    <a:stretch>
                      <a:fillRect/>
                    </a:stretch>
                  </pic:blipFill>
                  <pic:spPr>
                    <a:xfrm>
                      <a:off x="0" y="0"/>
                      <a:ext cx="4229318" cy="2524487"/>
                    </a:xfrm>
                    <a:prstGeom prst="rect">
                      <a:avLst/>
                    </a:prstGeom>
                  </pic:spPr>
                </pic:pic>
              </a:graphicData>
            </a:graphic>
          </wp:inline>
        </w:drawing>
      </w:r>
    </w:p>
    <w:p w14:paraId="29983782" w14:textId="506646C2" w:rsidR="00585EA0" w:rsidRPr="000F10F2" w:rsidRDefault="00585EA0" w:rsidP="00FD0B64">
      <w:pPr>
        <w:pStyle w:val="NormalWeb"/>
        <w:spacing w:line="360" w:lineRule="auto"/>
        <w:ind w:left="720"/>
        <w:jc w:val="both"/>
        <w:rPr>
          <w:b/>
          <w:sz w:val="20"/>
          <w:szCs w:val="20"/>
        </w:rPr>
      </w:pPr>
      <w:r w:rsidRPr="00585EA0">
        <w:rPr>
          <w:b/>
          <w:sz w:val="20"/>
          <w:szCs w:val="20"/>
        </w:rPr>
        <w:t xml:space="preserve">Fig 7: (A) Hairy root initiation in shoot after 2 </w:t>
      </w:r>
      <w:proofErr w:type="gramStart"/>
      <w:r w:rsidRPr="00585EA0">
        <w:rPr>
          <w:b/>
          <w:sz w:val="20"/>
          <w:szCs w:val="20"/>
        </w:rPr>
        <w:t>week</w:t>
      </w:r>
      <w:proofErr w:type="gramEnd"/>
      <w:r w:rsidRPr="00585EA0">
        <w:rPr>
          <w:b/>
          <w:sz w:val="20"/>
          <w:szCs w:val="20"/>
        </w:rPr>
        <w:t xml:space="preserve"> of subculture in NAA (2.15μM) (B) hairy root proliferation after 3 week (C) after 4week (D) after 5 week of culture</w:t>
      </w:r>
    </w:p>
    <w:p w14:paraId="4F757A54" w14:textId="086EFE3B" w:rsidR="00FD0B64" w:rsidRDefault="00284003" w:rsidP="007E3ED5">
      <w:pPr>
        <w:pStyle w:val="NormalWeb"/>
        <w:spacing w:line="360" w:lineRule="auto"/>
        <w:ind w:left="-90"/>
        <w:jc w:val="center"/>
        <w:rPr>
          <w:sz w:val="20"/>
          <w:szCs w:val="20"/>
        </w:rPr>
      </w:pPr>
      <w:r>
        <w:rPr>
          <w:noProof/>
        </w:rPr>
        <w:drawing>
          <wp:inline distT="0" distB="0" distL="0" distR="0" wp14:anchorId="251BDD80" wp14:editId="168F83C9">
            <wp:extent cx="5319311" cy="3985404"/>
            <wp:effectExtent l="0" t="0" r="0" b="0"/>
            <wp:docPr id="7717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8940" name=""/>
                    <pic:cNvPicPr/>
                  </pic:nvPicPr>
                  <pic:blipFill rotWithShape="1">
                    <a:blip r:embed="rId16"/>
                    <a:srcRect b="1098"/>
                    <a:stretch>
                      <a:fillRect/>
                    </a:stretch>
                  </pic:blipFill>
                  <pic:spPr bwMode="auto">
                    <a:xfrm>
                      <a:off x="0" y="0"/>
                      <a:ext cx="5337840" cy="3999286"/>
                    </a:xfrm>
                    <a:prstGeom prst="rect">
                      <a:avLst/>
                    </a:prstGeom>
                    <a:ln>
                      <a:noFill/>
                    </a:ln>
                    <a:extLst>
                      <a:ext uri="{53640926-AAD7-44D8-BBD7-CCE9431645EC}">
                        <a14:shadowObscured xmlns:a14="http://schemas.microsoft.com/office/drawing/2010/main"/>
                      </a:ext>
                    </a:extLst>
                  </pic:spPr>
                </pic:pic>
              </a:graphicData>
            </a:graphic>
          </wp:inline>
        </w:drawing>
      </w:r>
    </w:p>
    <w:p w14:paraId="655722C0" w14:textId="68330105" w:rsidR="00284003" w:rsidRPr="000F10F2" w:rsidRDefault="00284003" w:rsidP="00FD0B64">
      <w:pPr>
        <w:pStyle w:val="NormalWeb"/>
        <w:spacing w:line="360" w:lineRule="auto"/>
        <w:ind w:left="720"/>
        <w:jc w:val="both"/>
        <w:rPr>
          <w:sz w:val="20"/>
          <w:szCs w:val="20"/>
        </w:rPr>
      </w:pPr>
      <w:r>
        <w:rPr>
          <w:noProof/>
        </w:rPr>
        <w:lastRenderedPageBreak/>
        <w:drawing>
          <wp:inline distT="0" distB="0" distL="0" distR="0" wp14:anchorId="07BB1E5F" wp14:editId="43D80388">
            <wp:extent cx="4822089" cy="3217149"/>
            <wp:effectExtent l="0" t="0" r="0" b="0"/>
            <wp:docPr id="2129810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10773" name=""/>
                    <pic:cNvPicPr/>
                  </pic:nvPicPr>
                  <pic:blipFill>
                    <a:blip r:embed="rId17"/>
                    <a:stretch>
                      <a:fillRect/>
                    </a:stretch>
                  </pic:blipFill>
                  <pic:spPr>
                    <a:xfrm>
                      <a:off x="0" y="0"/>
                      <a:ext cx="4838467" cy="3228076"/>
                    </a:xfrm>
                    <a:prstGeom prst="rect">
                      <a:avLst/>
                    </a:prstGeom>
                  </pic:spPr>
                </pic:pic>
              </a:graphicData>
            </a:graphic>
          </wp:inline>
        </w:drawing>
      </w:r>
    </w:p>
    <w:p w14:paraId="277BE10F" w14:textId="5B3D0EF0" w:rsidR="00FD0B64" w:rsidRPr="00284003" w:rsidRDefault="00EB6458" w:rsidP="00284003">
      <w:pPr>
        <w:pStyle w:val="NormalWeb"/>
        <w:spacing w:line="360" w:lineRule="auto"/>
        <w:jc w:val="center"/>
        <w:rPr>
          <w:b/>
          <w:bCs/>
          <w:noProof/>
          <w:sz w:val="20"/>
          <w:szCs w:val="20"/>
        </w:rPr>
      </w:pPr>
      <w:r>
        <w:rPr>
          <w:b/>
          <w:bCs/>
          <w:noProof/>
          <w:sz w:val="20"/>
          <w:szCs w:val="20"/>
        </w:rPr>
        <w:pict w14:anchorId="504098D4">
          <v:shapetype id="_x0000_t202" coordsize="21600,21600" o:spt="202" path="m,l,21600r21600,l21600,xe">
            <v:stroke joinstyle="miter"/>
            <v:path gradientshapeok="t" o:connecttype="rect"/>
          </v:shapetype>
          <v:shape id="_x0000_s1027" type="#_x0000_t202" style="position:absolute;left:0;text-align:left;margin-left:-3.2pt;margin-top:579.35pt;width:397.7pt;height:57.9pt;z-index:251651072" strokecolor="black [3213]">
            <v:textbox style="mso-next-textbox:#_x0000_s1027">
              <w:txbxContent>
                <w:p w14:paraId="15DABC85" w14:textId="524035FA" w:rsidR="00DB0039" w:rsidRPr="00351218" w:rsidRDefault="00DB0039" w:rsidP="00FD0B64">
                  <w:pPr>
                    <w:rPr>
                      <w:rFonts w:ascii="Times New Roman" w:hAnsi="Times New Roman" w:cs="Times New Roman"/>
                      <w:sz w:val="20"/>
                      <w:szCs w:val="20"/>
                    </w:rPr>
                  </w:pPr>
                  <w:r>
                    <w:rPr>
                      <w:rFonts w:ascii="Times New Roman" w:hAnsi="Times New Roman" w:cs="Times New Roman"/>
                      <w:sz w:val="20"/>
                      <w:szCs w:val="20"/>
                    </w:rPr>
                    <w:t xml:space="preserve">FIG </w:t>
                  </w:r>
                  <w:r w:rsidR="004C7746">
                    <w:rPr>
                      <w:rFonts w:ascii="Times New Roman" w:hAnsi="Times New Roman" w:cs="Times New Roman"/>
                      <w:sz w:val="20"/>
                      <w:szCs w:val="20"/>
                    </w:rPr>
                    <w:t>8</w:t>
                  </w:r>
                  <w:r>
                    <w:rPr>
                      <w:rFonts w:ascii="Times New Roman" w:hAnsi="Times New Roman" w:cs="Times New Roman"/>
                      <w:sz w:val="20"/>
                      <w:szCs w:val="20"/>
                    </w:rPr>
                    <w:t>: A) Uprooted tissue culture raised plant; B) Hairy root isolates; C) &amp; D) Hairy roots segments maintained in suspension culture; E) &amp;F) Extensive proliferation showing dense branching pattern; G) &amp; H) Dry hairy roots for further experimentation.</w:t>
                  </w:r>
                </w:p>
              </w:txbxContent>
            </v:textbox>
          </v:shape>
        </w:pict>
      </w:r>
      <w:r w:rsidR="00284003" w:rsidRPr="00284003">
        <w:rPr>
          <w:b/>
          <w:bCs/>
          <w:noProof/>
          <w:sz w:val="20"/>
          <w:szCs w:val="20"/>
        </w:rPr>
        <w:t>FIG 8: A) Uprooted tissue culture raised plant; B) Hairy root isolates; C) &amp; D) Hairy roots segments maintained in suspension culture; E) &amp;F) Extensive proliferation showing dense branching pattern; G) &amp; H) Dry hairy roots for further experimentation</w:t>
      </w:r>
    </w:p>
    <w:p w14:paraId="5675B578" w14:textId="77777777" w:rsidR="00876682" w:rsidRPr="00876682" w:rsidRDefault="00876682" w:rsidP="00FD0B64">
      <w:pPr>
        <w:pStyle w:val="NormalWeb"/>
        <w:spacing w:line="360" w:lineRule="auto"/>
        <w:ind w:left="720"/>
        <w:jc w:val="both"/>
        <w:rPr>
          <w:b/>
        </w:rPr>
      </w:pPr>
      <w:r w:rsidRPr="00876682">
        <w:rPr>
          <w:b/>
        </w:rPr>
        <w:t>Results</w:t>
      </w:r>
    </w:p>
    <w:p w14:paraId="7CBF9F32" w14:textId="77777777" w:rsidR="007F1CF9" w:rsidRPr="00DB0039" w:rsidRDefault="007F1CF9" w:rsidP="00FD0B64">
      <w:pPr>
        <w:pStyle w:val="NormalWeb"/>
        <w:spacing w:line="360" w:lineRule="auto"/>
        <w:ind w:left="720"/>
        <w:jc w:val="both"/>
        <w:rPr>
          <w:b/>
          <w:sz w:val="20"/>
          <w:szCs w:val="20"/>
        </w:rPr>
      </w:pPr>
      <w:r w:rsidRPr="00DB0039">
        <w:rPr>
          <w:sz w:val="20"/>
          <w:szCs w:val="20"/>
        </w:rPr>
        <w:t xml:space="preserve">The experimental results were </w:t>
      </w:r>
      <w:r w:rsidR="006D5465" w:rsidRPr="00DB0039">
        <w:rPr>
          <w:sz w:val="20"/>
          <w:szCs w:val="20"/>
        </w:rPr>
        <w:t xml:space="preserve">statistically analyzed </w:t>
      </w:r>
      <w:r w:rsidRPr="00DB0039">
        <w:rPr>
          <w:sz w:val="20"/>
          <w:szCs w:val="20"/>
        </w:rPr>
        <w:t>to assess the variation among treatments. A one-way Analysis of Variance (ANOVA) was employed</w:t>
      </w:r>
      <w:r w:rsidR="006D5465" w:rsidRPr="00DB0039">
        <w:rPr>
          <w:sz w:val="20"/>
          <w:szCs w:val="20"/>
        </w:rPr>
        <w:t xml:space="preserve"> among the treatment groups</w:t>
      </w:r>
      <w:r w:rsidRPr="00DB0039">
        <w:rPr>
          <w:sz w:val="20"/>
          <w:szCs w:val="20"/>
        </w:rPr>
        <w:t xml:space="preserve"> to determine whether the observed differences in mean values were statistically significant. When the ANOVA indicated significant variation, Tukey’s Honestly Significant Difference (HSD) test was applied as a post-hoc analysis </w:t>
      </w:r>
      <w:r w:rsidR="006D5465" w:rsidRPr="00DB0039">
        <w:rPr>
          <w:sz w:val="20"/>
          <w:szCs w:val="20"/>
        </w:rPr>
        <w:t>between treatment means</w:t>
      </w:r>
      <w:r w:rsidRPr="00DB0039">
        <w:rPr>
          <w:sz w:val="20"/>
          <w:szCs w:val="20"/>
        </w:rPr>
        <w:t xml:space="preserve">. A probability value of </w:t>
      </w:r>
      <w:r w:rsidRPr="00DB0039">
        <w:rPr>
          <w:rStyle w:val="Strong"/>
          <w:rFonts w:eastAsiaTheme="majorEastAsia"/>
          <w:sz w:val="20"/>
          <w:szCs w:val="20"/>
        </w:rPr>
        <w:t>p &lt; 0.05</w:t>
      </w:r>
      <w:r w:rsidRPr="00DB0039">
        <w:rPr>
          <w:sz w:val="20"/>
          <w:szCs w:val="20"/>
        </w:rPr>
        <w:t xml:space="preserve"> was considered the threshold for statistical significance</w:t>
      </w:r>
      <w:r w:rsidR="00247AD0" w:rsidRPr="00DB0039">
        <w:rPr>
          <w:sz w:val="20"/>
          <w:szCs w:val="20"/>
        </w:rPr>
        <w:t>.</w:t>
      </w:r>
    </w:p>
    <w:tbl>
      <w:tblPr>
        <w:tblStyle w:val="TableGrid"/>
        <w:tblW w:w="7959" w:type="dxa"/>
        <w:tblInd w:w="704" w:type="dxa"/>
        <w:tblLayout w:type="fixed"/>
        <w:tblLook w:val="04A0" w:firstRow="1" w:lastRow="0" w:firstColumn="1" w:lastColumn="0" w:noHBand="0" w:noVBand="1"/>
      </w:tblPr>
      <w:tblGrid>
        <w:gridCol w:w="1908"/>
        <w:gridCol w:w="2017"/>
        <w:gridCol w:w="2017"/>
        <w:gridCol w:w="2017"/>
      </w:tblGrid>
      <w:tr w:rsidR="00FD0B64" w:rsidRPr="000F10F2" w14:paraId="678A9286" w14:textId="77777777" w:rsidTr="006B45F2">
        <w:trPr>
          <w:trHeight w:val="300"/>
        </w:trPr>
        <w:tc>
          <w:tcPr>
            <w:tcW w:w="1908" w:type="dxa"/>
            <w:noWrap/>
            <w:hideMark/>
          </w:tcPr>
          <w:p w14:paraId="5E4B42DD" w14:textId="77777777"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Treatment </w:t>
            </w:r>
            <w:r w:rsidRPr="000F10F2">
              <w:rPr>
                <w:rFonts w:ascii="Times New Roman" w:eastAsia="Times New Roman" w:hAnsi="Times New Roman" w:cs="Times New Roman"/>
                <w:b/>
                <w:bCs/>
                <w:sz w:val="20"/>
                <w:szCs w:val="20"/>
              </w:rPr>
              <w:t>(</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017" w:type="dxa"/>
            <w:noWrap/>
            <w:hideMark/>
          </w:tcPr>
          <w:p w14:paraId="08510250" w14:textId="77777777"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Callus induction</w:t>
            </w:r>
          </w:p>
          <w:p w14:paraId="26D26B5D" w14:textId="77777777"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Frequency </w:t>
            </w:r>
            <w:r w:rsidRPr="000F10F2">
              <w:rPr>
                <w:rFonts w:ascii="Times New Roman" w:eastAsia="Times New Roman" w:hAnsi="Times New Roman" w:cs="Times New Roman"/>
                <w:b/>
                <w:bCs/>
                <w:sz w:val="20"/>
                <w:szCs w:val="20"/>
              </w:rPr>
              <w:t>(%)</w:t>
            </w:r>
          </w:p>
        </w:tc>
        <w:tc>
          <w:tcPr>
            <w:tcW w:w="2017" w:type="dxa"/>
          </w:tcPr>
          <w:p w14:paraId="716DA061" w14:textId="77777777"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Relative efficiency </w:t>
            </w:r>
            <w:r w:rsidRPr="000F10F2">
              <w:rPr>
                <w:rFonts w:ascii="Times New Roman" w:eastAsia="Times New Roman" w:hAnsi="Times New Roman" w:cs="Times New Roman"/>
                <w:b/>
                <w:bCs/>
                <w:sz w:val="20"/>
                <w:szCs w:val="20"/>
              </w:rPr>
              <w:t>(%)</w:t>
            </w:r>
          </w:p>
        </w:tc>
        <w:tc>
          <w:tcPr>
            <w:tcW w:w="2017" w:type="dxa"/>
          </w:tcPr>
          <w:p w14:paraId="15AEA207" w14:textId="77777777"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Callus type</w:t>
            </w:r>
          </w:p>
        </w:tc>
      </w:tr>
      <w:tr w:rsidR="00FD0B64" w:rsidRPr="000F10F2" w14:paraId="2E3C14FE" w14:textId="77777777" w:rsidTr="006B45F2">
        <w:trPr>
          <w:trHeight w:val="300"/>
        </w:trPr>
        <w:tc>
          <w:tcPr>
            <w:tcW w:w="1908" w:type="dxa"/>
            <w:noWrap/>
            <w:hideMark/>
          </w:tcPr>
          <w:p w14:paraId="4A24106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017" w:type="dxa"/>
            <w:noWrap/>
            <w:hideMark/>
          </w:tcPr>
          <w:p w14:paraId="6496CEB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0885D16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10BFEEE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1A987147" w14:textId="77777777" w:rsidTr="006B45F2">
        <w:trPr>
          <w:trHeight w:val="300"/>
        </w:trPr>
        <w:tc>
          <w:tcPr>
            <w:tcW w:w="1908" w:type="dxa"/>
            <w:noWrap/>
            <w:hideMark/>
          </w:tcPr>
          <w:p w14:paraId="51FE134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w:t>
            </w:r>
          </w:p>
        </w:tc>
        <w:tc>
          <w:tcPr>
            <w:tcW w:w="2017" w:type="dxa"/>
            <w:noWrap/>
            <w:hideMark/>
          </w:tcPr>
          <w:p w14:paraId="1B36CE8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6.25±3.60ᶜ</w:t>
            </w:r>
          </w:p>
        </w:tc>
        <w:tc>
          <w:tcPr>
            <w:tcW w:w="2017" w:type="dxa"/>
          </w:tcPr>
          <w:p w14:paraId="209D15C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7.69</w:t>
            </w:r>
          </w:p>
        </w:tc>
        <w:tc>
          <w:tcPr>
            <w:tcW w:w="2017" w:type="dxa"/>
          </w:tcPr>
          <w:p w14:paraId="4559A19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 xml:space="preserve">Mucilaginous </w:t>
            </w:r>
          </w:p>
        </w:tc>
      </w:tr>
      <w:tr w:rsidR="00FD0B64" w:rsidRPr="000F10F2" w14:paraId="033B1EA5" w14:textId="77777777" w:rsidTr="006B45F2">
        <w:trPr>
          <w:trHeight w:val="300"/>
        </w:trPr>
        <w:tc>
          <w:tcPr>
            <w:tcW w:w="1908" w:type="dxa"/>
            <w:noWrap/>
            <w:hideMark/>
          </w:tcPr>
          <w:p w14:paraId="653E615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w:t>
            </w:r>
          </w:p>
        </w:tc>
        <w:tc>
          <w:tcPr>
            <w:tcW w:w="2017" w:type="dxa"/>
            <w:noWrap/>
            <w:hideMark/>
          </w:tcPr>
          <w:p w14:paraId="252961C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3F99165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6EF9E10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0CA1842" w14:textId="77777777" w:rsidTr="006B45F2">
        <w:trPr>
          <w:trHeight w:val="300"/>
        </w:trPr>
        <w:tc>
          <w:tcPr>
            <w:tcW w:w="1908" w:type="dxa"/>
            <w:noWrap/>
            <w:hideMark/>
          </w:tcPr>
          <w:p w14:paraId="0E13438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TDZ 2.27</w:t>
            </w:r>
          </w:p>
        </w:tc>
        <w:tc>
          <w:tcPr>
            <w:tcW w:w="2017" w:type="dxa"/>
            <w:noWrap/>
            <w:hideMark/>
          </w:tcPr>
          <w:p w14:paraId="14129CF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81.25±8.06ᵃ</w:t>
            </w:r>
          </w:p>
        </w:tc>
        <w:tc>
          <w:tcPr>
            <w:tcW w:w="2017" w:type="dxa"/>
          </w:tcPr>
          <w:p w14:paraId="291C711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100</w:t>
            </w:r>
          </w:p>
        </w:tc>
        <w:tc>
          <w:tcPr>
            <w:tcW w:w="2017" w:type="dxa"/>
          </w:tcPr>
          <w:p w14:paraId="432A820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Green compact</w:t>
            </w:r>
          </w:p>
        </w:tc>
      </w:tr>
      <w:tr w:rsidR="00FD0B64" w:rsidRPr="000F10F2" w14:paraId="51B5A2AD" w14:textId="77777777" w:rsidTr="006B45F2">
        <w:trPr>
          <w:trHeight w:val="300"/>
        </w:trPr>
        <w:tc>
          <w:tcPr>
            <w:tcW w:w="1908" w:type="dxa"/>
            <w:noWrap/>
            <w:hideMark/>
          </w:tcPr>
          <w:p w14:paraId="7411892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TDZ 3.41</w:t>
            </w:r>
          </w:p>
        </w:tc>
        <w:tc>
          <w:tcPr>
            <w:tcW w:w="2017" w:type="dxa"/>
            <w:noWrap/>
            <w:hideMark/>
          </w:tcPr>
          <w:p w14:paraId="5FC7433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40.62±5.98ᵇ</w:t>
            </w:r>
          </w:p>
        </w:tc>
        <w:tc>
          <w:tcPr>
            <w:tcW w:w="2017" w:type="dxa"/>
          </w:tcPr>
          <w:p w14:paraId="7A6B12C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50.03</w:t>
            </w:r>
          </w:p>
        </w:tc>
        <w:tc>
          <w:tcPr>
            <w:tcW w:w="2017" w:type="dxa"/>
          </w:tcPr>
          <w:p w14:paraId="78BBA4FE" w14:textId="77777777" w:rsidR="00FD0B64" w:rsidRPr="000F10F2" w:rsidRDefault="00FD0B64" w:rsidP="006B45F2">
            <w:pPr>
              <w:rPr>
                <w:rFonts w:ascii="Times New Roman" w:eastAsia="Times New Roman" w:hAnsi="Times New Roman" w:cs="Times New Roman"/>
                <w:color w:val="000000"/>
                <w:sz w:val="20"/>
                <w:szCs w:val="20"/>
              </w:rPr>
            </w:pPr>
            <w:proofErr w:type="gramStart"/>
            <w:r w:rsidRPr="000F10F2">
              <w:rPr>
                <w:rFonts w:ascii="Times New Roman" w:eastAsia="Times New Roman" w:hAnsi="Times New Roman" w:cs="Times New Roman"/>
                <w:color w:val="000000"/>
                <w:sz w:val="20"/>
                <w:szCs w:val="20"/>
              </w:rPr>
              <w:t>Green  friable</w:t>
            </w:r>
            <w:proofErr w:type="gramEnd"/>
          </w:p>
        </w:tc>
      </w:tr>
      <w:tr w:rsidR="00FD0B64" w:rsidRPr="000F10F2" w14:paraId="69456390" w14:textId="77777777" w:rsidTr="006B45F2">
        <w:trPr>
          <w:trHeight w:val="300"/>
        </w:trPr>
        <w:tc>
          <w:tcPr>
            <w:tcW w:w="1908" w:type="dxa"/>
            <w:noWrap/>
            <w:hideMark/>
          </w:tcPr>
          <w:p w14:paraId="402EB12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2.25</w:t>
            </w:r>
          </w:p>
        </w:tc>
        <w:tc>
          <w:tcPr>
            <w:tcW w:w="2017" w:type="dxa"/>
            <w:noWrap/>
            <w:hideMark/>
          </w:tcPr>
          <w:p w14:paraId="5A4FB52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3EE5A70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0B44CBA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20BF0335" w14:textId="77777777" w:rsidTr="006B45F2">
        <w:trPr>
          <w:trHeight w:val="300"/>
        </w:trPr>
        <w:tc>
          <w:tcPr>
            <w:tcW w:w="1908" w:type="dxa"/>
            <w:noWrap/>
            <w:hideMark/>
          </w:tcPr>
          <w:p w14:paraId="2609775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3.33</w:t>
            </w:r>
          </w:p>
        </w:tc>
        <w:tc>
          <w:tcPr>
            <w:tcW w:w="2017" w:type="dxa"/>
            <w:noWrap/>
            <w:hideMark/>
          </w:tcPr>
          <w:p w14:paraId="5434DB6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0AD246E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3FF7CEA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4356D830" w14:textId="77777777" w:rsidTr="006B45F2">
        <w:trPr>
          <w:trHeight w:val="300"/>
        </w:trPr>
        <w:tc>
          <w:tcPr>
            <w:tcW w:w="1908" w:type="dxa"/>
            <w:noWrap/>
            <w:hideMark/>
          </w:tcPr>
          <w:p w14:paraId="5AEAC06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KIN 2.32</w:t>
            </w:r>
          </w:p>
        </w:tc>
        <w:tc>
          <w:tcPr>
            <w:tcW w:w="2017" w:type="dxa"/>
            <w:noWrap/>
            <w:hideMark/>
          </w:tcPr>
          <w:p w14:paraId="7AE2FE9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714DA6E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4B096AE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378F969" w14:textId="77777777" w:rsidTr="006B45F2">
        <w:trPr>
          <w:trHeight w:val="300"/>
        </w:trPr>
        <w:tc>
          <w:tcPr>
            <w:tcW w:w="1908" w:type="dxa"/>
            <w:noWrap/>
            <w:hideMark/>
          </w:tcPr>
          <w:p w14:paraId="75B09315" w14:textId="77777777" w:rsidR="00FD0B64" w:rsidRPr="000F10F2" w:rsidRDefault="00FD0B64" w:rsidP="006B45F2">
            <w:pPr>
              <w:tabs>
                <w:tab w:val="left" w:pos="1046"/>
              </w:tabs>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KIN 3.49</w:t>
            </w:r>
            <w:r w:rsidRPr="000F10F2">
              <w:rPr>
                <w:rFonts w:ascii="Times New Roman" w:eastAsia="Times New Roman" w:hAnsi="Times New Roman" w:cs="Times New Roman"/>
                <w:color w:val="000000"/>
                <w:sz w:val="20"/>
                <w:szCs w:val="20"/>
              </w:rPr>
              <w:tab/>
            </w:r>
          </w:p>
        </w:tc>
        <w:tc>
          <w:tcPr>
            <w:tcW w:w="2017" w:type="dxa"/>
            <w:noWrap/>
            <w:hideMark/>
          </w:tcPr>
          <w:p w14:paraId="1207912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475951A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489D3EA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34C6CB94" w14:textId="77777777" w:rsidTr="006B45F2">
        <w:trPr>
          <w:trHeight w:val="300"/>
        </w:trPr>
        <w:tc>
          <w:tcPr>
            <w:tcW w:w="1908" w:type="dxa"/>
            <w:noWrap/>
            <w:hideMark/>
          </w:tcPr>
          <w:p w14:paraId="6305173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lastRenderedPageBreak/>
              <w:t>IBA 2.46/ TDZ 3.41</w:t>
            </w:r>
          </w:p>
        </w:tc>
        <w:tc>
          <w:tcPr>
            <w:tcW w:w="2017" w:type="dxa"/>
            <w:noWrap/>
            <w:hideMark/>
          </w:tcPr>
          <w:p w14:paraId="5557C22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46.87±5.98ᵇ</w:t>
            </w:r>
          </w:p>
        </w:tc>
        <w:tc>
          <w:tcPr>
            <w:tcW w:w="2017" w:type="dxa"/>
          </w:tcPr>
          <w:p w14:paraId="22BFA4E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57.69</w:t>
            </w:r>
          </w:p>
        </w:tc>
        <w:tc>
          <w:tcPr>
            <w:tcW w:w="2017" w:type="dxa"/>
          </w:tcPr>
          <w:p w14:paraId="2D26639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green friable</w:t>
            </w:r>
          </w:p>
        </w:tc>
      </w:tr>
      <w:tr w:rsidR="00FD0B64" w:rsidRPr="000F10F2" w14:paraId="2CE18337" w14:textId="77777777" w:rsidTr="006B45F2">
        <w:trPr>
          <w:trHeight w:val="300"/>
        </w:trPr>
        <w:tc>
          <w:tcPr>
            <w:tcW w:w="1908" w:type="dxa"/>
            <w:noWrap/>
            <w:hideMark/>
          </w:tcPr>
          <w:p w14:paraId="497CCA0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 TDZ 2.27</w:t>
            </w:r>
          </w:p>
        </w:tc>
        <w:tc>
          <w:tcPr>
            <w:tcW w:w="2017" w:type="dxa"/>
            <w:noWrap/>
            <w:hideMark/>
          </w:tcPr>
          <w:p w14:paraId="5360340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40.62±5.98ᵇ</w:t>
            </w:r>
          </w:p>
        </w:tc>
        <w:tc>
          <w:tcPr>
            <w:tcW w:w="2017" w:type="dxa"/>
          </w:tcPr>
          <w:p w14:paraId="2CB8F28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49.99</w:t>
            </w:r>
          </w:p>
        </w:tc>
        <w:tc>
          <w:tcPr>
            <w:tcW w:w="2017" w:type="dxa"/>
          </w:tcPr>
          <w:p w14:paraId="4E3D9DF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Yellow friable</w:t>
            </w:r>
          </w:p>
        </w:tc>
      </w:tr>
      <w:tr w:rsidR="00FD0B64" w:rsidRPr="000F10F2" w14:paraId="175F144E" w14:textId="77777777" w:rsidTr="006B45F2">
        <w:trPr>
          <w:trHeight w:val="300"/>
        </w:trPr>
        <w:tc>
          <w:tcPr>
            <w:tcW w:w="1908" w:type="dxa"/>
            <w:noWrap/>
            <w:hideMark/>
          </w:tcPr>
          <w:p w14:paraId="6273AC3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TDZ 2.27</w:t>
            </w:r>
          </w:p>
        </w:tc>
        <w:tc>
          <w:tcPr>
            <w:tcW w:w="2017" w:type="dxa"/>
            <w:noWrap/>
            <w:hideMark/>
          </w:tcPr>
          <w:p w14:paraId="0AA1E47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31.25±3.60ᵇ</w:t>
            </w:r>
          </w:p>
        </w:tc>
        <w:tc>
          <w:tcPr>
            <w:tcW w:w="2017" w:type="dxa"/>
          </w:tcPr>
          <w:p w14:paraId="7FC75F9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38.46</w:t>
            </w:r>
          </w:p>
        </w:tc>
        <w:tc>
          <w:tcPr>
            <w:tcW w:w="2017" w:type="dxa"/>
          </w:tcPr>
          <w:p w14:paraId="1EAABE9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Yellow friable</w:t>
            </w:r>
          </w:p>
        </w:tc>
      </w:tr>
      <w:tr w:rsidR="00FD0B64" w:rsidRPr="000F10F2" w14:paraId="3446AF8F" w14:textId="77777777" w:rsidTr="006B45F2">
        <w:trPr>
          <w:trHeight w:val="300"/>
        </w:trPr>
        <w:tc>
          <w:tcPr>
            <w:tcW w:w="1908" w:type="dxa"/>
            <w:noWrap/>
            <w:hideMark/>
          </w:tcPr>
          <w:p w14:paraId="359ABF9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TDZ 3.41</w:t>
            </w:r>
          </w:p>
        </w:tc>
        <w:tc>
          <w:tcPr>
            <w:tcW w:w="2017" w:type="dxa"/>
            <w:noWrap/>
            <w:hideMark/>
          </w:tcPr>
          <w:p w14:paraId="0CB3DF3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31.25±8.06ᵇ</w:t>
            </w:r>
          </w:p>
        </w:tc>
        <w:tc>
          <w:tcPr>
            <w:tcW w:w="2017" w:type="dxa"/>
          </w:tcPr>
          <w:p w14:paraId="6B87FE8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38.46</w:t>
            </w:r>
          </w:p>
        </w:tc>
        <w:tc>
          <w:tcPr>
            <w:tcW w:w="2017" w:type="dxa"/>
          </w:tcPr>
          <w:p w14:paraId="5B3C52F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Brown friable</w:t>
            </w:r>
          </w:p>
        </w:tc>
      </w:tr>
      <w:tr w:rsidR="00FD0B64" w:rsidRPr="000F10F2" w14:paraId="3FC83ADA" w14:textId="77777777" w:rsidTr="006B45F2">
        <w:trPr>
          <w:trHeight w:val="300"/>
        </w:trPr>
        <w:tc>
          <w:tcPr>
            <w:tcW w:w="1908" w:type="dxa"/>
            <w:noWrap/>
            <w:hideMark/>
          </w:tcPr>
          <w:p w14:paraId="16C9C9C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2.25/ KIN 2.32</w:t>
            </w:r>
          </w:p>
        </w:tc>
        <w:tc>
          <w:tcPr>
            <w:tcW w:w="2017" w:type="dxa"/>
            <w:noWrap/>
            <w:hideMark/>
          </w:tcPr>
          <w:p w14:paraId="564EC66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271E924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5ADF338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316A9D2C" w14:textId="77777777" w:rsidTr="006B45F2">
        <w:trPr>
          <w:trHeight w:val="300"/>
        </w:trPr>
        <w:tc>
          <w:tcPr>
            <w:tcW w:w="1908" w:type="dxa"/>
            <w:noWrap/>
            <w:hideMark/>
          </w:tcPr>
          <w:p w14:paraId="7F86863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2.25/ KIN 3.49</w:t>
            </w:r>
          </w:p>
        </w:tc>
        <w:tc>
          <w:tcPr>
            <w:tcW w:w="2017" w:type="dxa"/>
            <w:noWrap/>
            <w:hideMark/>
          </w:tcPr>
          <w:p w14:paraId="66D922E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331D209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7F77C91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E1692AA" w14:textId="77777777" w:rsidTr="006B45F2">
        <w:trPr>
          <w:trHeight w:val="300"/>
        </w:trPr>
        <w:tc>
          <w:tcPr>
            <w:tcW w:w="1908" w:type="dxa"/>
            <w:noWrap/>
            <w:hideMark/>
          </w:tcPr>
          <w:p w14:paraId="621C79C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3.33/ KIN 2.32</w:t>
            </w:r>
          </w:p>
        </w:tc>
        <w:tc>
          <w:tcPr>
            <w:tcW w:w="2017" w:type="dxa"/>
            <w:noWrap/>
            <w:hideMark/>
          </w:tcPr>
          <w:p w14:paraId="7978842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1F71F91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726D16F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195D5F0" w14:textId="77777777" w:rsidTr="006B45F2">
        <w:trPr>
          <w:trHeight w:val="300"/>
        </w:trPr>
        <w:tc>
          <w:tcPr>
            <w:tcW w:w="1908" w:type="dxa"/>
            <w:noWrap/>
            <w:hideMark/>
          </w:tcPr>
          <w:p w14:paraId="23055FB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BAP 3.33/ KIN 3.49</w:t>
            </w:r>
          </w:p>
        </w:tc>
        <w:tc>
          <w:tcPr>
            <w:tcW w:w="2017" w:type="dxa"/>
            <w:noWrap/>
            <w:hideMark/>
          </w:tcPr>
          <w:p w14:paraId="203504A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2CFF93F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63DB5D4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334B9DD8" w14:textId="77777777" w:rsidTr="006B45F2">
        <w:trPr>
          <w:trHeight w:val="300"/>
        </w:trPr>
        <w:tc>
          <w:tcPr>
            <w:tcW w:w="1908" w:type="dxa"/>
            <w:noWrap/>
            <w:hideMark/>
          </w:tcPr>
          <w:p w14:paraId="1C3D490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 KIN 2.32</w:t>
            </w:r>
          </w:p>
        </w:tc>
        <w:tc>
          <w:tcPr>
            <w:tcW w:w="2017" w:type="dxa"/>
            <w:noWrap/>
            <w:hideMark/>
          </w:tcPr>
          <w:p w14:paraId="762780A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647FBB8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134AAFE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2FBA6BF3" w14:textId="77777777" w:rsidTr="006B45F2">
        <w:trPr>
          <w:trHeight w:val="300"/>
        </w:trPr>
        <w:tc>
          <w:tcPr>
            <w:tcW w:w="1908" w:type="dxa"/>
            <w:noWrap/>
            <w:hideMark/>
          </w:tcPr>
          <w:p w14:paraId="76F3284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2.46/ KIN 3.49</w:t>
            </w:r>
          </w:p>
        </w:tc>
        <w:tc>
          <w:tcPr>
            <w:tcW w:w="2017" w:type="dxa"/>
            <w:noWrap/>
            <w:hideMark/>
          </w:tcPr>
          <w:p w14:paraId="695D309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371CFF6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6E7F966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02D30FB" w14:textId="77777777" w:rsidTr="006B45F2">
        <w:trPr>
          <w:trHeight w:val="300"/>
        </w:trPr>
        <w:tc>
          <w:tcPr>
            <w:tcW w:w="1908" w:type="dxa"/>
            <w:noWrap/>
            <w:hideMark/>
          </w:tcPr>
          <w:p w14:paraId="1DCC247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KIN 2.32</w:t>
            </w:r>
          </w:p>
        </w:tc>
        <w:tc>
          <w:tcPr>
            <w:tcW w:w="2017" w:type="dxa"/>
            <w:noWrap/>
            <w:hideMark/>
          </w:tcPr>
          <w:p w14:paraId="3B9FC53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7B5EB77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7BB0FED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FDDDBD8" w14:textId="77777777" w:rsidTr="006B45F2">
        <w:trPr>
          <w:trHeight w:val="300"/>
        </w:trPr>
        <w:tc>
          <w:tcPr>
            <w:tcW w:w="1908" w:type="dxa"/>
            <w:noWrap/>
            <w:hideMark/>
          </w:tcPr>
          <w:p w14:paraId="70BCF3E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3.69/ KIN 3.49</w:t>
            </w:r>
          </w:p>
        </w:tc>
        <w:tc>
          <w:tcPr>
            <w:tcW w:w="2017" w:type="dxa"/>
            <w:noWrap/>
            <w:hideMark/>
          </w:tcPr>
          <w:p w14:paraId="1BE60C9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017" w:type="dxa"/>
          </w:tcPr>
          <w:p w14:paraId="637E83E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c>
          <w:tcPr>
            <w:tcW w:w="2017" w:type="dxa"/>
          </w:tcPr>
          <w:p w14:paraId="0798115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14:paraId="2D47D1E0" w14:textId="77777777" w:rsidR="00FD0B64" w:rsidRDefault="00FD0B64" w:rsidP="00FD0B64">
      <w:pPr>
        <w:pStyle w:val="NormalWeb"/>
        <w:spacing w:line="276" w:lineRule="auto"/>
        <w:jc w:val="both"/>
        <w:rPr>
          <w:b/>
          <w:sz w:val="20"/>
          <w:szCs w:val="20"/>
        </w:rPr>
      </w:pPr>
      <w:r w:rsidRPr="000F10F2">
        <w:rPr>
          <w:b/>
          <w:sz w:val="20"/>
          <w:szCs w:val="20"/>
        </w:rPr>
        <w:t xml:space="preserve">Table 1: The effect of few </w:t>
      </w:r>
      <w:proofErr w:type="spellStart"/>
      <w:r w:rsidRPr="000F10F2">
        <w:rPr>
          <w:b/>
          <w:sz w:val="20"/>
          <w:szCs w:val="20"/>
        </w:rPr>
        <w:t>cytokinen</w:t>
      </w:r>
      <w:proofErr w:type="spellEnd"/>
      <w:r w:rsidRPr="000F10F2">
        <w:rPr>
          <w:b/>
          <w:sz w:val="20"/>
          <w:szCs w:val="20"/>
        </w:rPr>
        <w:t xml:space="preserve"> (TDZ, BAP, KIN) and auxin (IBA) on </w:t>
      </w:r>
      <w:r w:rsidRPr="000F10F2">
        <w:rPr>
          <w:b/>
          <w:bCs/>
          <w:i/>
          <w:sz w:val="20"/>
          <w:szCs w:val="20"/>
        </w:rPr>
        <w:t>in vitro</w:t>
      </w:r>
      <w:r w:rsidRPr="000F10F2">
        <w:rPr>
          <w:b/>
          <w:bCs/>
          <w:sz w:val="20"/>
          <w:szCs w:val="20"/>
        </w:rPr>
        <w:t xml:space="preserve"> callus induction</w:t>
      </w:r>
      <w:r w:rsidRPr="000F10F2">
        <w:rPr>
          <w:b/>
          <w:sz w:val="20"/>
          <w:szCs w:val="20"/>
        </w:rPr>
        <w:t xml:space="preserve">. </w:t>
      </w:r>
      <w:r w:rsidRPr="000F10F2">
        <w:rPr>
          <w:b/>
          <w:bCs/>
          <w:sz w:val="20"/>
          <w:szCs w:val="20"/>
        </w:rPr>
        <w:t>Callus Induction frequency (%)</w:t>
      </w:r>
      <w:r w:rsidRPr="000F10F2">
        <w:rPr>
          <w:b/>
          <w:sz w:val="20"/>
          <w:szCs w:val="20"/>
        </w:rPr>
        <w:t xml:space="preserve"> is expressed as </w:t>
      </w:r>
      <w:r w:rsidRPr="000F10F2">
        <w:rPr>
          <w:b/>
          <w:bCs/>
          <w:sz w:val="20"/>
          <w:szCs w:val="20"/>
        </w:rPr>
        <w:t>mean ± SE</w:t>
      </w:r>
      <w:r w:rsidRPr="000F10F2">
        <w:rPr>
          <w:b/>
          <w:sz w:val="20"/>
          <w:szCs w:val="20"/>
        </w:rPr>
        <w:t xml:space="preserve">, with </w:t>
      </w:r>
      <w:r w:rsidRPr="000F10F2">
        <w:rPr>
          <w:b/>
          <w:bCs/>
          <w:sz w:val="20"/>
          <w:szCs w:val="20"/>
        </w:rPr>
        <w:t>statistical significance (p &lt; 0.05)</w:t>
      </w:r>
      <w:r w:rsidRPr="000F10F2">
        <w:rPr>
          <w:b/>
          <w:sz w:val="20"/>
          <w:szCs w:val="20"/>
        </w:rPr>
        <w:t xml:space="preserve">. </w:t>
      </w:r>
      <w:r w:rsidRPr="000F10F2">
        <w:rPr>
          <w:b/>
          <w:bCs/>
          <w:sz w:val="20"/>
          <w:szCs w:val="20"/>
        </w:rPr>
        <w:t>Relative Efficiency (%)</w:t>
      </w:r>
      <w:r w:rsidRPr="000F10F2">
        <w:rPr>
          <w:b/>
          <w:sz w:val="20"/>
          <w:szCs w:val="20"/>
        </w:rPr>
        <w:t xml:space="preserve"> calculated using </w:t>
      </w:r>
      <w:r w:rsidRPr="000F10F2">
        <w:rPr>
          <w:b/>
          <w:bCs/>
          <w:sz w:val="20"/>
          <w:szCs w:val="20"/>
        </w:rPr>
        <w:t xml:space="preserve">TDZ 2.27 </w:t>
      </w:r>
      <w:proofErr w:type="spellStart"/>
      <w:r w:rsidRPr="000F10F2">
        <w:rPr>
          <w:b/>
          <w:bCs/>
          <w:sz w:val="20"/>
          <w:szCs w:val="20"/>
        </w:rPr>
        <w:t>μM</w:t>
      </w:r>
      <w:proofErr w:type="spellEnd"/>
      <w:r w:rsidRPr="000F10F2">
        <w:rPr>
          <w:b/>
          <w:bCs/>
          <w:sz w:val="20"/>
          <w:szCs w:val="20"/>
        </w:rPr>
        <w:t xml:space="preserve"> (81.25%) as 100%</w:t>
      </w:r>
      <w:r w:rsidRPr="000F10F2">
        <w:rPr>
          <w:b/>
          <w:sz w:val="20"/>
          <w:szCs w:val="20"/>
        </w:rPr>
        <w:t>. Treatments with</w:t>
      </w:r>
      <w:r w:rsidRPr="000F10F2">
        <w:rPr>
          <w:sz w:val="20"/>
          <w:szCs w:val="20"/>
        </w:rPr>
        <w:t xml:space="preserve"> </w:t>
      </w:r>
      <w:r w:rsidRPr="000F10F2">
        <w:rPr>
          <w:rStyle w:val="Strong"/>
          <w:sz w:val="20"/>
          <w:szCs w:val="20"/>
        </w:rPr>
        <w:t>0% induction</w:t>
      </w:r>
      <w:r w:rsidRPr="000F10F2">
        <w:rPr>
          <w:sz w:val="20"/>
          <w:szCs w:val="20"/>
        </w:rPr>
        <w:t xml:space="preserve"> </w:t>
      </w:r>
      <w:r w:rsidRPr="000F10F2">
        <w:rPr>
          <w:b/>
          <w:sz w:val="20"/>
          <w:szCs w:val="20"/>
        </w:rPr>
        <w:t xml:space="preserve">showed no response.  </w:t>
      </w:r>
    </w:p>
    <w:p w14:paraId="776DF7F5" w14:textId="77777777" w:rsidR="00284003" w:rsidRDefault="00284003" w:rsidP="00FD0B64">
      <w:pPr>
        <w:pStyle w:val="NormalWeb"/>
        <w:spacing w:line="276" w:lineRule="auto"/>
        <w:jc w:val="both"/>
        <w:rPr>
          <w:b/>
          <w:sz w:val="20"/>
          <w:szCs w:val="20"/>
        </w:rPr>
      </w:pPr>
    </w:p>
    <w:p w14:paraId="198D5DC3" w14:textId="0F4726C2" w:rsidR="00284003" w:rsidRPr="000F10F2" w:rsidRDefault="00284003" w:rsidP="00FD0B64">
      <w:pPr>
        <w:pStyle w:val="NormalWeb"/>
        <w:spacing w:line="276" w:lineRule="auto"/>
        <w:jc w:val="both"/>
        <w:rPr>
          <w:b/>
          <w:sz w:val="20"/>
          <w:szCs w:val="20"/>
        </w:rPr>
      </w:pPr>
      <w:r>
        <w:rPr>
          <w:noProof/>
        </w:rPr>
        <w:drawing>
          <wp:inline distT="0" distB="0" distL="0" distR="0" wp14:anchorId="37A690E2" wp14:editId="280ADE19">
            <wp:extent cx="5943600" cy="3257550"/>
            <wp:effectExtent l="0" t="0" r="0" b="0"/>
            <wp:docPr id="29190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08608" name=""/>
                    <pic:cNvPicPr/>
                  </pic:nvPicPr>
                  <pic:blipFill>
                    <a:blip r:embed="rId18"/>
                    <a:stretch>
                      <a:fillRect/>
                    </a:stretch>
                  </pic:blipFill>
                  <pic:spPr>
                    <a:xfrm>
                      <a:off x="0" y="0"/>
                      <a:ext cx="5943600" cy="3257550"/>
                    </a:xfrm>
                    <a:prstGeom prst="rect">
                      <a:avLst/>
                    </a:prstGeom>
                  </pic:spPr>
                </pic:pic>
              </a:graphicData>
            </a:graphic>
          </wp:inline>
        </w:drawing>
      </w:r>
    </w:p>
    <w:p w14:paraId="5D0EAF7C" w14:textId="43F71E1A" w:rsidR="00FD0B64" w:rsidRDefault="00EB6458" w:rsidP="00FD0B64">
      <w:pPr>
        <w:pStyle w:val="NormalWeb"/>
        <w:spacing w:line="276" w:lineRule="auto"/>
        <w:jc w:val="both"/>
        <w:rPr>
          <w:sz w:val="20"/>
          <w:szCs w:val="20"/>
        </w:rPr>
      </w:pPr>
      <w:r>
        <w:rPr>
          <w:b/>
          <w:noProof/>
          <w:sz w:val="20"/>
          <w:szCs w:val="20"/>
        </w:rPr>
        <w:pict w14:anchorId="549F0380">
          <v:shape id="_x0000_s1030" type="#_x0000_t202" style="position:absolute;left:0;text-align:left;margin-left:159.05pt;margin-top:224.15pt;width:90.7pt;height:16.15pt;z-index:251652096" strokecolor="white [3212]">
            <v:textbox style="mso-next-textbox:#_x0000_s1030">
              <w:txbxContent>
                <w:p w14:paraId="3A553550" w14:textId="77777777" w:rsidR="00DB0039" w:rsidRPr="00917A83" w:rsidRDefault="00DB0039" w:rsidP="00FD0B64">
                  <w:pPr>
                    <w:rPr>
                      <w:rFonts w:ascii="Times New Roman" w:hAnsi="Times New Roman" w:cs="Times New Roman"/>
                      <w:sz w:val="16"/>
                      <w:szCs w:val="16"/>
                    </w:rPr>
                  </w:pPr>
                  <w:r>
                    <w:rPr>
                      <w:b/>
                    </w:rPr>
                    <w:t xml:space="preserve">  </w:t>
                  </w:r>
                  <w:r w:rsidRPr="00917A83">
                    <w:rPr>
                      <w:rFonts w:ascii="Times New Roman" w:hAnsi="Times New Roman" w:cs="Times New Roman"/>
                      <w:b/>
                      <w:sz w:val="16"/>
                      <w:szCs w:val="16"/>
                    </w:rPr>
                    <w:t>Treatments (</w:t>
                  </w:r>
                  <w:r w:rsidRPr="00917A83">
                    <w:rPr>
                      <w:rFonts w:ascii="Times New Roman" w:hAnsi="Times New Roman" w:cs="Times New Roman"/>
                      <w:b/>
                      <w:bCs/>
                      <w:sz w:val="16"/>
                      <w:szCs w:val="16"/>
                      <w:lang w:val="el-GR"/>
                    </w:rPr>
                    <w:t>μ</w:t>
                  </w:r>
                  <w:r w:rsidRPr="00917A83">
                    <w:rPr>
                      <w:rFonts w:ascii="Times New Roman" w:hAnsi="Times New Roman" w:cs="Times New Roman"/>
                      <w:b/>
                      <w:bCs/>
                      <w:sz w:val="16"/>
                      <w:szCs w:val="16"/>
                    </w:rPr>
                    <w:t>M)</w:t>
                  </w:r>
                </w:p>
              </w:txbxContent>
            </v:textbox>
          </v:shape>
        </w:pict>
      </w:r>
      <w:r w:rsidR="00FD0B64" w:rsidRPr="000F10F2">
        <w:rPr>
          <w:b/>
          <w:sz w:val="20"/>
          <w:szCs w:val="20"/>
        </w:rPr>
        <w:t xml:space="preserve">Fig </w:t>
      </w:r>
      <w:r w:rsidR="004C7746">
        <w:rPr>
          <w:b/>
          <w:sz w:val="20"/>
          <w:szCs w:val="20"/>
        </w:rPr>
        <w:t>9</w:t>
      </w:r>
      <w:r w:rsidR="00FD0B64" w:rsidRPr="000F10F2">
        <w:rPr>
          <w:b/>
          <w:sz w:val="20"/>
          <w:szCs w:val="20"/>
        </w:rPr>
        <w:t>: The bar graph shows the effects of different plant growth regulators (IBA, TDZ, BAP and KIN). TDZ (2.27</w:t>
      </w:r>
      <w:r w:rsidR="00FD0B64" w:rsidRPr="000F10F2">
        <w:rPr>
          <w:b/>
          <w:bCs/>
          <w:sz w:val="20"/>
          <w:szCs w:val="20"/>
        </w:rPr>
        <w:t xml:space="preserve"> </w:t>
      </w:r>
      <w:proofErr w:type="spellStart"/>
      <w:r w:rsidR="00FD0B64" w:rsidRPr="000F10F2">
        <w:rPr>
          <w:b/>
          <w:bCs/>
          <w:sz w:val="20"/>
          <w:szCs w:val="20"/>
        </w:rPr>
        <w:t>μM</w:t>
      </w:r>
      <w:proofErr w:type="spellEnd"/>
      <w:r w:rsidR="00FD0B64" w:rsidRPr="000F10F2">
        <w:rPr>
          <w:b/>
          <w:bCs/>
          <w:sz w:val="20"/>
          <w:szCs w:val="20"/>
        </w:rPr>
        <w:t>)</w:t>
      </w:r>
      <w:r w:rsidR="00FD0B64" w:rsidRPr="000F10F2">
        <w:rPr>
          <w:b/>
          <w:sz w:val="20"/>
          <w:szCs w:val="20"/>
        </w:rPr>
        <w:t xml:space="preserve"> exhibits the highest response. No response was observed in BAP and KIN.</w:t>
      </w:r>
      <w:r w:rsidR="00FD0B64" w:rsidRPr="000F10F2">
        <w:rPr>
          <w:sz w:val="20"/>
          <w:szCs w:val="20"/>
        </w:rPr>
        <w:t xml:space="preserve"> </w:t>
      </w:r>
    </w:p>
    <w:p w14:paraId="176F04BC" w14:textId="77777777" w:rsidR="00F6265D" w:rsidRPr="00DB0039" w:rsidRDefault="00F6265D" w:rsidP="00DB0039">
      <w:pPr>
        <w:pStyle w:val="NormalWeb"/>
        <w:spacing w:line="360" w:lineRule="auto"/>
        <w:jc w:val="both"/>
        <w:rPr>
          <w:b/>
          <w:sz w:val="20"/>
          <w:szCs w:val="20"/>
        </w:rPr>
      </w:pPr>
      <w:r w:rsidRPr="00DB0039">
        <w:rPr>
          <w:sz w:val="20"/>
          <w:szCs w:val="20"/>
        </w:rPr>
        <w:t xml:space="preserve">The effect of different plant growth regulators (PGRs), alone and in combination, on callus induction from explants was evaluated. Among the individual treatments, </w:t>
      </w:r>
      <w:r w:rsidRPr="00DB0039">
        <w:rPr>
          <w:rStyle w:val="Strong"/>
          <w:rFonts w:eastAsiaTheme="majorEastAsia"/>
          <w:b w:val="0"/>
          <w:sz w:val="20"/>
          <w:szCs w:val="20"/>
        </w:rPr>
        <w:t xml:space="preserve">TDZ at 2.27 </w:t>
      </w:r>
      <w:proofErr w:type="spellStart"/>
      <w:r w:rsidRPr="00DB0039">
        <w:rPr>
          <w:rStyle w:val="Strong"/>
          <w:rFonts w:eastAsiaTheme="majorEastAsia"/>
          <w:b w:val="0"/>
          <w:sz w:val="20"/>
          <w:szCs w:val="20"/>
        </w:rPr>
        <w:t>μM</w:t>
      </w:r>
      <w:proofErr w:type="spellEnd"/>
      <w:r w:rsidRPr="00DB0039">
        <w:rPr>
          <w:rStyle w:val="Strong"/>
          <w:rFonts w:eastAsiaTheme="majorEastAsia"/>
          <w:b w:val="0"/>
          <w:sz w:val="20"/>
          <w:szCs w:val="20"/>
        </w:rPr>
        <w:t xml:space="preserve"> exhibited the highest callus induction frequency (81.25%) with green compact callus</w:t>
      </w:r>
      <w:r w:rsidRPr="00DB0039">
        <w:rPr>
          <w:b/>
          <w:sz w:val="20"/>
          <w:szCs w:val="20"/>
        </w:rPr>
        <w:t>,</w:t>
      </w:r>
      <w:r w:rsidRPr="00DB0039">
        <w:rPr>
          <w:sz w:val="20"/>
          <w:szCs w:val="20"/>
        </w:rPr>
        <w:t xml:space="preserve"> followed by TDZ at 3.41 </w:t>
      </w:r>
      <w:proofErr w:type="spellStart"/>
      <w:r w:rsidRPr="00DB0039">
        <w:rPr>
          <w:sz w:val="20"/>
          <w:szCs w:val="20"/>
        </w:rPr>
        <w:t>μM</w:t>
      </w:r>
      <w:proofErr w:type="spellEnd"/>
      <w:r w:rsidRPr="00DB0039">
        <w:rPr>
          <w:sz w:val="20"/>
          <w:szCs w:val="20"/>
        </w:rPr>
        <w:t xml:space="preserve"> (40.62%) producing gr</w:t>
      </w:r>
      <w:r w:rsidR="0085148C">
        <w:rPr>
          <w:sz w:val="20"/>
          <w:szCs w:val="20"/>
        </w:rPr>
        <w:t xml:space="preserve">een friable callus. In </w:t>
      </w:r>
      <w:r w:rsidR="0085148C">
        <w:rPr>
          <w:sz w:val="20"/>
          <w:szCs w:val="20"/>
        </w:rPr>
        <w:lastRenderedPageBreak/>
        <w:t>contrast</w:t>
      </w:r>
      <w:r w:rsidRPr="00DB0039">
        <w:rPr>
          <w:sz w:val="20"/>
          <w:szCs w:val="20"/>
        </w:rPr>
        <w:t xml:space="preserve"> IBA, BAP, and KIN alone showed </w:t>
      </w:r>
      <w:r w:rsidR="0085148C">
        <w:rPr>
          <w:sz w:val="20"/>
          <w:szCs w:val="20"/>
        </w:rPr>
        <w:t xml:space="preserve">less </w:t>
      </w:r>
      <w:r w:rsidRPr="00DB0039">
        <w:rPr>
          <w:sz w:val="20"/>
          <w:szCs w:val="20"/>
        </w:rPr>
        <w:t xml:space="preserve">or no response. </w:t>
      </w:r>
      <w:r w:rsidR="0085148C">
        <w:rPr>
          <w:sz w:val="20"/>
          <w:szCs w:val="20"/>
        </w:rPr>
        <w:t>I</w:t>
      </w:r>
      <w:r w:rsidRPr="00DB0039">
        <w:rPr>
          <w:sz w:val="20"/>
          <w:szCs w:val="20"/>
        </w:rPr>
        <w:t xml:space="preserve">n combination, </w:t>
      </w:r>
      <w:r w:rsidRPr="00DB0039">
        <w:rPr>
          <w:rStyle w:val="Strong"/>
          <w:rFonts w:eastAsiaTheme="majorEastAsia"/>
          <w:b w:val="0"/>
          <w:sz w:val="20"/>
          <w:szCs w:val="20"/>
        </w:rPr>
        <w:t xml:space="preserve">IBA (2.46 </w:t>
      </w:r>
      <w:proofErr w:type="spellStart"/>
      <w:r w:rsidRPr="00DB0039">
        <w:rPr>
          <w:rStyle w:val="Strong"/>
          <w:rFonts w:eastAsiaTheme="majorEastAsia"/>
          <w:b w:val="0"/>
          <w:sz w:val="20"/>
          <w:szCs w:val="20"/>
        </w:rPr>
        <w:t>μM</w:t>
      </w:r>
      <w:proofErr w:type="spellEnd"/>
      <w:r w:rsidRPr="00DB0039">
        <w:rPr>
          <w:rStyle w:val="Strong"/>
          <w:rFonts w:eastAsiaTheme="majorEastAsia"/>
          <w:b w:val="0"/>
          <w:sz w:val="20"/>
          <w:szCs w:val="20"/>
        </w:rPr>
        <w:t xml:space="preserve">) with TDZ (3.41 </w:t>
      </w:r>
      <w:proofErr w:type="spellStart"/>
      <w:r w:rsidRPr="00DB0039">
        <w:rPr>
          <w:rStyle w:val="Strong"/>
          <w:rFonts w:eastAsiaTheme="majorEastAsia"/>
          <w:b w:val="0"/>
          <w:sz w:val="20"/>
          <w:szCs w:val="20"/>
        </w:rPr>
        <w:t>μM</w:t>
      </w:r>
      <w:proofErr w:type="spellEnd"/>
      <w:r w:rsidRPr="00DB0039">
        <w:rPr>
          <w:rStyle w:val="Strong"/>
          <w:rFonts w:eastAsiaTheme="majorEastAsia"/>
          <w:b w:val="0"/>
          <w:sz w:val="20"/>
          <w:szCs w:val="20"/>
        </w:rPr>
        <w:t>)</w:t>
      </w:r>
      <w:r w:rsidRPr="00DB0039">
        <w:rPr>
          <w:sz w:val="20"/>
          <w:szCs w:val="20"/>
        </w:rPr>
        <w:t xml:space="preserve"> yielded 46.87% callus induction with green friable callus, while other IBA–TDZ combinations </w:t>
      </w:r>
      <w:r w:rsidR="00081883" w:rsidRPr="00DB0039">
        <w:rPr>
          <w:sz w:val="20"/>
          <w:szCs w:val="20"/>
        </w:rPr>
        <w:t xml:space="preserve">comparatively </w:t>
      </w:r>
      <w:r w:rsidRPr="00DB0039">
        <w:rPr>
          <w:sz w:val="20"/>
          <w:szCs w:val="20"/>
        </w:rPr>
        <w:t xml:space="preserve">produced yellow or brown friable </w:t>
      </w:r>
      <w:proofErr w:type="spellStart"/>
      <w:r w:rsidRPr="00DB0039">
        <w:rPr>
          <w:sz w:val="20"/>
          <w:szCs w:val="20"/>
        </w:rPr>
        <w:t>calli</w:t>
      </w:r>
      <w:proofErr w:type="spellEnd"/>
      <w:r w:rsidRPr="00DB0039">
        <w:rPr>
          <w:sz w:val="20"/>
          <w:szCs w:val="20"/>
        </w:rPr>
        <w:t xml:space="preserve"> at lower frequencies. BAP and KIN combinations did not support callus inducti</w:t>
      </w:r>
      <w:r w:rsidR="00081883">
        <w:rPr>
          <w:sz w:val="20"/>
          <w:szCs w:val="20"/>
        </w:rPr>
        <w:t>on. Overall, the results</w:t>
      </w:r>
      <w:r w:rsidRPr="00DB0039">
        <w:rPr>
          <w:sz w:val="20"/>
          <w:szCs w:val="20"/>
        </w:rPr>
        <w:t xml:space="preserve"> indicate that </w:t>
      </w:r>
      <w:r w:rsidRPr="00DB0039">
        <w:rPr>
          <w:rStyle w:val="Strong"/>
          <w:rFonts w:eastAsiaTheme="majorEastAsia"/>
          <w:b w:val="0"/>
          <w:sz w:val="20"/>
          <w:szCs w:val="20"/>
        </w:rPr>
        <w:t>TDZ, either alone or in combination with IBA, is the most effective regulator for inducing callus</w:t>
      </w:r>
      <w:r w:rsidRPr="00DB0039">
        <w:rPr>
          <w:b/>
          <w:sz w:val="20"/>
          <w:szCs w:val="20"/>
        </w:rPr>
        <w:t>,</w:t>
      </w:r>
      <w:r w:rsidRPr="00DB0039">
        <w:rPr>
          <w:sz w:val="20"/>
          <w:szCs w:val="20"/>
        </w:rPr>
        <w:t xml:space="preserve"> whereas BAP and KIN are ineffective under the tested conditions.</w:t>
      </w:r>
    </w:p>
    <w:tbl>
      <w:tblPr>
        <w:tblStyle w:val="TableGrid"/>
        <w:tblW w:w="6318" w:type="dxa"/>
        <w:tblLook w:val="04A0" w:firstRow="1" w:lastRow="0" w:firstColumn="1" w:lastColumn="0" w:noHBand="0" w:noVBand="1"/>
      </w:tblPr>
      <w:tblGrid>
        <w:gridCol w:w="2380"/>
        <w:gridCol w:w="2228"/>
        <w:gridCol w:w="1710"/>
      </w:tblGrid>
      <w:tr w:rsidR="00FD0B64" w:rsidRPr="000F10F2" w14:paraId="5D77260B" w14:textId="77777777" w:rsidTr="006B45F2">
        <w:trPr>
          <w:trHeight w:val="300"/>
        </w:trPr>
        <w:tc>
          <w:tcPr>
            <w:tcW w:w="2380" w:type="dxa"/>
            <w:noWrap/>
            <w:hideMark/>
          </w:tcPr>
          <w:p w14:paraId="19156E3A" w14:textId="77777777"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 xml:space="preserve">Treatment </w:t>
            </w:r>
            <w:r w:rsidRPr="000F10F2">
              <w:rPr>
                <w:rFonts w:ascii="Times New Roman" w:eastAsia="Times New Roman" w:hAnsi="Times New Roman" w:cs="Times New Roman"/>
                <w:b/>
                <w:bCs/>
                <w:sz w:val="20"/>
                <w:szCs w:val="20"/>
              </w:rPr>
              <w:t>(</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228" w:type="dxa"/>
            <w:noWrap/>
            <w:hideMark/>
          </w:tcPr>
          <w:p w14:paraId="663256F3" w14:textId="77777777" w:rsidR="00FD0B64" w:rsidRPr="000F10F2" w:rsidRDefault="00FD0B64" w:rsidP="006B45F2">
            <w:pPr>
              <w:rPr>
                <w:rFonts w:ascii="Times New Roman" w:eastAsia="Times New Roman" w:hAnsi="Times New Roman" w:cs="Times New Roman"/>
                <w:b/>
                <w:color w:val="000000"/>
                <w:sz w:val="20"/>
                <w:szCs w:val="20"/>
              </w:rPr>
            </w:pPr>
            <w:r w:rsidRPr="000F10F2">
              <w:rPr>
                <w:rFonts w:ascii="Times New Roman" w:eastAsia="Times New Roman" w:hAnsi="Times New Roman" w:cs="Times New Roman"/>
                <w:b/>
                <w:color w:val="000000"/>
                <w:sz w:val="20"/>
                <w:szCs w:val="20"/>
              </w:rPr>
              <w:t>Hairy root induction frequency (%)</w:t>
            </w:r>
          </w:p>
        </w:tc>
        <w:tc>
          <w:tcPr>
            <w:tcW w:w="1710" w:type="dxa"/>
          </w:tcPr>
          <w:p w14:paraId="343E84B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b/>
                <w:bCs/>
                <w:sz w:val="20"/>
                <w:szCs w:val="20"/>
              </w:rPr>
              <w:t>Relative Efficiency (%)</w:t>
            </w:r>
          </w:p>
        </w:tc>
      </w:tr>
      <w:tr w:rsidR="00FD0B64" w:rsidRPr="000F10F2" w14:paraId="17279882" w14:textId="77777777" w:rsidTr="006B45F2">
        <w:trPr>
          <w:trHeight w:val="300"/>
        </w:trPr>
        <w:tc>
          <w:tcPr>
            <w:tcW w:w="2380" w:type="dxa"/>
            <w:noWrap/>
            <w:hideMark/>
          </w:tcPr>
          <w:p w14:paraId="3EFB569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228" w:type="dxa"/>
            <w:noWrap/>
            <w:hideMark/>
          </w:tcPr>
          <w:p w14:paraId="4B362D4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78740D1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1408F22B" w14:textId="77777777" w:rsidTr="006B45F2">
        <w:trPr>
          <w:trHeight w:val="300"/>
        </w:trPr>
        <w:tc>
          <w:tcPr>
            <w:tcW w:w="2380" w:type="dxa"/>
            <w:noWrap/>
            <w:hideMark/>
          </w:tcPr>
          <w:p w14:paraId="651262A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1.14</w:t>
            </w:r>
          </w:p>
        </w:tc>
        <w:tc>
          <w:tcPr>
            <w:tcW w:w="2228" w:type="dxa"/>
            <w:noWrap/>
            <w:hideMark/>
          </w:tcPr>
          <w:p w14:paraId="0D5FA00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288BBE1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2AD5AC53" w14:textId="77777777" w:rsidTr="006B45F2">
        <w:trPr>
          <w:trHeight w:val="300"/>
        </w:trPr>
        <w:tc>
          <w:tcPr>
            <w:tcW w:w="2380" w:type="dxa"/>
            <w:noWrap/>
            <w:hideMark/>
          </w:tcPr>
          <w:p w14:paraId="363F25B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2.28</w:t>
            </w:r>
          </w:p>
        </w:tc>
        <w:tc>
          <w:tcPr>
            <w:tcW w:w="2228" w:type="dxa"/>
            <w:noWrap/>
            <w:hideMark/>
          </w:tcPr>
          <w:p w14:paraId="2F971CB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5334C77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CC3203B" w14:textId="77777777" w:rsidTr="006B45F2">
        <w:trPr>
          <w:trHeight w:val="300"/>
        </w:trPr>
        <w:tc>
          <w:tcPr>
            <w:tcW w:w="2380" w:type="dxa"/>
            <w:noWrap/>
            <w:hideMark/>
          </w:tcPr>
          <w:p w14:paraId="6240C28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0.98</w:t>
            </w:r>
          </w:p>
        </w:tc>
        <w:tc>
          <w:tcPr>
            <w:tcW w:w="2228" w:type="dxa"/>
            <w:noWrap/>
            <w:hideMark/>
          </w:tcPr>
          <w:p w14:paraId="697438E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2AB7805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1688BADB" w14:textId="77777777" w:rsidTr="006B45F2">
        <w:trPr>
          <w:trHeight w:val="300"/>
        </w:trPr>
        <w:tc>
          <w:tcPr>
            <w:tcW w:w="2380" w:type="dxa"/>
            <w:noWrap/>
            <w:hideMark/>
          </w:tcPr>
          <w:p w14:paraId="44B8721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1.97</w:t>
            </w:r>
          </w:p>
        </w:tc>
        <w:tc>
          <w:tcPr>
            <w:tcW w:w="2228" w:type="dxa"/>
            <w:noWrap/>
            <w:hideMark/>
          </w:tcPr>
          <w:p w14:paraId="72FDC37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0C4036F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2A9625D7" w14:textId="77777777" w:rsidTr="006B45F2">
        <w:trPr>
          <w:trHeight w:val="300"/>
        </w:trPr>
        <w:tc>
          <w:tcPr>
            <w:tcW w:w="2380" w:type="dxa"/>
            <w:noWrap/>
            <w:hideMark/>
          </w:tcPr>
          <w:p w14:paraId="16752E5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w:t>
            </w:r>
          </w:p>
        </w:tc>
        <w:tc>
          <w:tcPr>
            <w:tcW w:w="2228" w:type="dxa"/>
            <w:noWrap/>
            <w:hideMark/>
          </w:tcPr>
          <w:p w14:paraId="287F7DB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3E06EBF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931EB3A" w14:textId="77777777" w:rsidTr="006B45F2">
        <w:trPr>
          <w:trHeight w:val="300"/>
        </w:trPr>
        <w:tc>
          <w:tcPr>
            <w:tcW w:w="2380" w:type="dxa"/>
            <w:noWrap/>
            <w:hideMark/>
          </w:tcPr>
          <w:p w14:paraId="5D365FC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w:t>
            </w:r>
          </w:p>
        </w:tc>
        <w:tc>
          <w:tcPr>
            <w:tcW w:w="2228" w:type="dxa"/>
            <w:noWrap/>
            <w:hideMark/>
          </w:tcPr>
          <w:p w14:paraId="0A062C3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29DC082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5A6A01A" w14:textId="77777777" w:rsidTr="006B45F2">
        <w:trPr>
          <w:trHeight w:val="300"/>
        </w:trPr>
        <w:tc>
          <w:tcPr>
            <w:tcW w:w="2380" w:type="dxa"/>
            <w:noWrap/>
            <w:hideMark/>
          </w:tcPr>
          <w:p w14:paraId="0B1A043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IAA 1.14</w:t>
            </w:r>
          </w:p>
        </w:tc>
        <w:tc>
          <w:tcPr>
            <w:tcW w:w="2228" w:type="dxa"/>
            <w:noWrap/>
            <w:hideMark/>
          </w:tcPr>
          <w:p w14:paraId="0020541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25±5ᶜ</w:t>
            </w:r>
          </w:p>
        </w:tc>
        <w:tc>
          <w:tcPr>
            <w:tcW w:w="1710" w:type="dxa"/>
          </w:tcPr>
          <w:p w14:paraId="7346292D"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27.78</w:t>
            </w:r>
          </w:p>
        </w:tc>
      </w:tr>
      <w:tr w:rsidR="00FD0B64" w:rsidRPr="000F10F2" w14:paraId="64EF53F8" w14:textId="77777777" w:rsidTr="006B45F2">
        <w:trPr>
          <w:trHeight w:val="300"/>
        </w:trPr>
        <w:tc>
          <w:tcPr>
            <w:tcW w:w="2380" w:type="dxa"/>
            <w:noWrap/>
            <w:hideMark/>
          </w:tcPr>
          <w:p w14:paraId="4458FE4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IAA 2.28</w:t>
            </w:r>
          </w:p>
        </w:tc>
        <w:tc>
          <w:tcPr>
            <w:tcW w:w="2228" w:type="dxa"/>
            <w:noWrap/>
            <w:hideMark/>
          </w:tcPr>
          <w:p w14:paraId="2520CFA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45±5ᵇ</w:t>
            </w:r>
          </w:p>
        </w:tc>
        <w:tc>
          <w:tcPr>
            <w:tcW w:w="1710" w:type="dxa"/>
          </w:tcPr>
          <w:p w14:paraId="76CB00EC"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50.00</w:t>
            </w:r>
          </w:p>
        </w:tc>
      </w:tr>
      <w:tr w:rsidR="00FD0B64" w:rsidRPr="000F10F2" w14:paraId="21944BF7" w14:textId="77777777" w:rsidTr="006B45F2">
        <w:trPr>
          <w:trHeight w:val="300"/>
        </w:trPr>
        <w:tc>
          <w:tcPr>
            <w:tcW w:w="2380" w:type="dxa"/>
            <w:noWrap/>
            <w:hideMark/>
          </w:tcPr>
          <w:p w14:paraId="4C75433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1.14</w:t>
            </w:r>
          </w:p>
        </w:tc>
        <w:tc>
          <w:tcPr>
            <w:tcW w:w="2228" w:type="dxa"/>
            <w:noWrap/>
            <w:hideMark/>
          </w:tcPr>
          <w:p w14:paraId="49A03A9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55±5ᵇ</w:t>
            </w:r>
          </w:p>
        </w:tc>
        <w:tc>
          <w:tcPr>
            <w:tcW w:w="1710" w:type="dxa"/>
          </w:tcPr>
          <w:p w14:paraId="22F4BA1A"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61.11</w:t>
            </w:r>
          </w:p>
        </w:tc>
      </w:tr>
      <w:tr w:rsidR="00FD0B64" w:rsidRPr="000F10F2" w14:paraId="06234F1A" w14:textId="77777777" w:rsidTr="006B45F2">
        <w:trPr>
          <w:trHeight w:val="300"/>
        </w:trPr>
        <w:tc>
          <w:tcPr>
            <w:tcW w:w="2380" w:type="dxa"/>
            <w:noWrap/>
            <w:hideMark/>
          </w:tcPr>
          <w:p w14:paraId="5133185F" w14:textId="77777777" w:rsidR="00FD0B64" w:rsidRPr="000F10F2" w:rsidRDefault="00FD0B64" w:rsidP="006B45F2">
            <w:pPr>
              <w:rPr>
                <w:rFonts w:ascii="Times New Roman" w:eastAsia="Times New Roman" w:hAnsi="Times New Roman" w:cs="Times New Roman"/>
                <w:color w:val="000000"/>
                <w:sz w:val="20"/>
                <w:szCs w:val="20"/>
              </w:rPr>
            </w:pPr>
            <w:proofErr w:type="gramStart"/>
            <w:r w:rsidRPr="000F10F2">
              <w:rPr>
                <w:rFonts w:ascii="Times New Roman" w:eastAsia="Times New Roman" w:hAnsi="Times New Roman" w:cs="Times New Roman"/>
                <w:color w:val="000000"/>
                <w:sz w:val="20"/>
                <w:szCs w:val="20"/>
              </w:rPr>
              <w:t>NAA  2.15</w:t>
            </w:r>
            <w:proofErr w:type="gramEnd"/>
            <w:r w:rsidRPr="000F10F2">
              <w:rPr>
                <w:rFonts w:ascii="Times New Roman" w:eastAsia="Times New Roman" w:hAnsi="Times New Roman" w:cs="Times New Roman"/>
                <w:color w:val="000000"/>
                <w:sz w:val="20"/>
                <w:szCs w:val="20"/>
              </w:rPr>
              <w:t>/ IAA 2.28</w:t>
            </w:r>
          </w:p>
        </w:tc>
        <w:tc>
          <w:tcPr>
            <w:tcW w:w="2228" w:type="dxa"/>
            <w:noWrap/>
            <w:hideMark/>
          </w:tcPr>
          <w:p w14:paraId="303AE5F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90±5.77ᵃ</w:t>
            </w:r>
          </w:p>
        </w:tc>
        <w:tc>
          <w:tcPr>
            <w:tcW w:w="1710" w:type="dxa"/>
          </w:tcPr>
          <w:p w14:paraId="5E949BA1"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100</w:t>
            </w:r>
          </w:p>
        </w:tc>
      </w:tr>
      <w:tr w:rsidR="00FD0B64" w:rsidRPr="000F10F2" w14:paraId="0884BFB1" w14:textId="77777777" w:rsidTr="006B45F2">
        <w:trPr>
          <w:trHeight w:val="300"/>
        </w:trPr>
        <w:tc>
          <w:tcPr>
            <w:tcW w:w="2380" w:type="dxa"/>
            <w:noWrap/>
            <w:hideMark/>
          </w:tcPr>
          <w:p w14:paraId="139E433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IBA 0.98</w:t>
            </w:r>
          </w:p>
        </w:tc>
        <w:tc>
          <w:tcPr>
            <w:tcW w:w="2228" w:type="dxa"/>
            <w:noWrap/>
            <w:hideMark/>
          </w:tcPr>
          <w:p w14:paraId="3985FD6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645769D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0E3FE0C3" w14:textId="77777777" w:rsidTr="006B45F2">
        <w:trPr>
          <w:trHeight w:val="300"/>
        </w:trPr>
        <w:tc>
          <w:tcPr>
            <w:tcW w:w="2380" w:type="dxa"/>
            <w:noWrap/>
            <w:hideMark/>
          </w:tcPr>
          <w:p w14:paraId="67BAA79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 IBA 1.97</w:t>
            </w:r>
          </w:p>
        </w:tc>
        <w:tc>
          <w:tcPr>
            <w:tcW w:w="2228" w:type="dxa"/>
            <w:noWrap/>
            <w:hideMark/>
          </w:tcPr>
          <w:p w14:paraId="7EBB3D5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702D205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7DEDF3A" w14:textId="77777777" w:rsidTr="006B45F2">
        <w:trPr>
          <w:trHeight w:val="300"/>
        </w:trPr>
        <w:tc>
          <w:tcPr>
            <w:tcW w:w="2380" w:type="dxa"/>
            <w:noWrap/>
            <w:hideMark/>
          </w:tcPr>
          <w:p w14:paraId="439E633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0.98</w:t>
            </w:r>
          </w:p>
        </w:tc>
        <w:tc>
          <w:tcPr>
            <w:tcW w:w="2228" w:type="dxa"/>
            <w:noWrap/>
            <w:hideMark/>
          </w:tcPr>
          <w:p w14:paraId="2E52298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210FD80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07FC8B6A" w14:textId="77777777" w:rsidTr="006B45F2">
        <w:trPr>
          <w:trHeight w:val="300"/>
        </w:trPr>
        <w:tc>
          <w:tcPr>
            <w:tcW w:w="2380" w:type="dxa"/>
            <w:noWrap/>
            <w:hideMark/>
          </w:tcPr>
          <w:p w14:paraId="3C26A2B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1.97</w:t>
            </w:r>
          </w:p>
        </w:tc>
        <w:tc>
          <w:tcPr>
            <w:tcW w:w="2228" w:type="dxa"/>
            <w:noWrap/>
            <w:hideMark/>
          </w:tcPr>
          <w:p w14:paraId="313E117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710" w:type="dxa"/>
          </w:tcPr>
          <w:p w14:paraId="352FDB4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14:paraId="7E7D19B3" w14:textId="77777777" w:rsidR="00FD0B64" w:rsidRPr="000F10F2" w:rsidRDefault="00FD0B64" w:rsidP="00FD0B64">
      <w:pPr>
        <w:pStyle w:val="NormalWeb"/>
        <w:jc w:val="both"/>
        <w:rPr>
          <w:b/>
          <w:sz w:val="20"/>
          <w:szCs w:val="20"/>
        </w:rPr>
      </w:pPr>
      <w:r w:rsidRPr="000F10F2">
        <w:rPr>
          <w:b/>
          <w:sz w:val="20"/>
          <w:szCs w:val="20"/>
        </w:rPr>
        <w:t>Table 2: The effect of</w:t>
      </w:r>
      <w:r w:rsidRPr="000F10F2">
        <w:rPr>
          <w:sz w:val="20"/>
          <w:szCs w:val="20"/>
        </w:rPr>
        <w:t xml:space="preserve"> </w:t>
      </w:r>
      <w:r w:rsidRPr="000F10F2">
        <w:rPr>
          <w:rStyle w:val="Strong"/>
          <w:sz w:val="20"/>
          <w:szCs w:val="20"/>
        </w:rPr>
        <w:t xml:space="preserve">auxins (IAA, IBA, NAA) </w:t>
      </w:r>
      <w:r w:rsidRPr="000F10F2">
        <w:rPr>
          <w:b/>
          <w:sz w:val="20"/>
          <w:szCs w:val="20"/>
        </w:rPr>
        <w:t>on</w:t>
      </w:r>
      <w:r w:rsidRPr="000F10F2">
        <w:rPr>
          <w:sz w:val="20"/>
          <w:szCs w:val="20"/>
        </w:rPr>
        <w:t xml:space="preserve"> </w:t>
      </w:r>
      <w:r w:rsidRPr="000F10F2">
        <w:rPr>
          <w:rStyle w:val="Strong"/>
          <w:sz w:val="20"/>
          <w:szCs w:val="20"/>
        </w:rPr>
        <w:t>hairy root induction from callus</w:t>
      </w:r>
      <w:r w:rsidRPr="000F10F2">
        <w:rPr>
          <w:sz w:val="20"/>
          <w:szCs w:val="20"/>
        </w:rPr>
        <w:t xml:space="preserve">. </w:t>
      </w:r>
      <w:r w:rsidRPr="000F10F2">
        <w:rPr>
          <w:rStyle w:val="Strong"/>
          <w:sz w:val="20"/>
          <w:szCs w:val="20"/>
        </w:rPr>
        <w:t>Hairy Root Induction frequency (%)</w:t>
      </w:r>
      <w:r w:rsidRPr="000F10F2">
        <w:rPr>
          <w:sz w:val="20"/>
          <w:szCs w:val="20"/>
        </w:rPr>
        <w:t xml:space="preserve"> </w:t>
      </w:r>
      <w:r w:rsidRPr="000F10F2">
        <w:rPr>
          <w:b/>
          <w:sz w:val="20"/>
          <w:szCs w:val="20"/>
        </w:rPr>
        <w:t>is expressed as</w:t>
      </w:r>
      <w:r w:rsidRPr="000F10F2">
        <w:rPr>
          <w:sz w:val="20"/>
          <w:szCs w:val="20"/>
        </w:rPr>
        <w:t xml:space="preserve"> </w:t>
      </w:r>
      <w:r w:rsidRPr="000F10F2">
        <w:rPr>
          <w:rStyle w:val="Strong"/>
          <w:sz w:val="20"/>
          <w:szCs w:val="20"/>
        </w:rPr>
        <w:t>mean ± SE</w:t>
      </w:r>
      <w:r w:rsidRPr="000F10F2">
        <w:rPr>
          <w:b/>
          <w:sz w:val="20"/>
          <w:szCs w:val="20"/>
        </w:rPr>
        <w:t>, with</w:t>
      </w:r>
      <w:r w:rsidRPr="000F10F2">
        <w:rPr>
          <w:sz w:val="20"/>
          <w:szCs w:val="20"/>
        </w:rPr>
        <w:t xml:space="preserve">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Pr="000F10F2">
        <w:rPr>
          <w:sz w:val="20"/>
          <w:szCs w:val="20"/>
        </w:rPr>
        <w:t xml:space="preserve"> </w:t>
      </w:r>
      <w:r w:rsidRPr="000F10F2">
        <w:rPr>
          <w:b/>
          <w:sz w:val="20"/>
          <w:szCs w:val="20"/>
        </w:rPr>
        <w:t xml:space="preserve">calculated using </w:t>
      </w:r>
      <w:r w:rsidRPr="000F10F2">
        <w:rPr>
          <w:rStyle w:val="Strong"/>
          <w:sz w:val="20"/>
          <w:szCs w:val="20"/>
        </w:rPr>
        <w:t>NAA 2.15 / IAA 2.28 (90%) as 100%</w:t>
      </w:r>
      <w:r w:rsidRPr="000F10F2">
        <w:rPr>
          <w:sz w:val="20"/>
          <w:szCs w:val="20"/>
        </w:rPr>
        <w:t xml:space="preserve">. </w:t>
      </w:r>
      <w:r w:rsidRPr="000F10F2">
        <w:rPr>
          <w:b/>
          <w:sz w:val="20"/>
          <w:szCs w:val="20"/>
        </w:rPr>
        <w:t>Treatments with</w:t>
      </w:r>
      <w:r w:rsidRPr="000F10F2">
        <w:rPr>
          <w:sz w:val="20"/>
          <w:szCs w:val="20"/>
        </w:rPr>
        <w:t xml:space="preserve"> </w:t>
      </w:r>
      <w:r w:rsidRPr="000F10F2">
        <w:rPr>
          <w:rStyle w:val="Strong"/>
          <w:sz w:val="20"/>
          <w:szCs w:val="20"/>
        </w:rPr>
        <w:t>0% induction</w:t>
      </w:r>
      <w:r w:rsidRPr="000F10F2">
        <w:rPr>
          <w:sz w:val="20"/>
          <w:szCs w:val="20"/>
        </w:rPr>
        <w:t xml:space="preserve"> </w:t>
      </w:r>
      <w:r w:rsidRPr="000F10F2">
        <w:rPr>
          <w:b/>
          <w:sz w:val="20"/>
          <w:szCs w:val="20"/>
        </w:rPr>
        <w:t>showed no response.</w:t>
      </w:r>
    </w:p>
    <w:p w14:paraId="204FF113" w14:textId="38199BF4" w:rsidR="00FD0B64" w:rsidRPr="000F10F2" w:rsidRDefault="00EB6458" w:rsidP="00FD0B64">
      <w:pPr>
        <w:pStyle w:val="NormalWeb"/>
        <w:jc w:val="both"/>
        <w:rPr>
          <w:sz w:val="20"/>
          <w:szCs w:val="20"/>
        </w:rPr>
      </w:pPr>
      <w:r>
        <w:rPr>
          <w:noProof/>
          <w:sz w:val="20"/>
          <w:szCs w:val="20"/>
        </w:rPr>
        <w:pict w14:anchorId="53FD0E8E">
          <v:shape id="_x0000_s1031" type="#_x0000_t202" style="position:absolute;left:0;text-align:left;margin-left:127.1pt;margin-top:206pt;width:102.65pt;height:18.75pt;z-index:251655168" strokecolor="white [3212]">
            <v:textbox>
              <w:txbxContent>
                <w:p w14:paraId="46E8405F" w14:textId="77777777" w:rsidR="00DB0039" w:rsidRDefault="00DB0039" w:rsidP="00FD0B64">
                  <w:r w:rsidRPr="00FC76D7">
                    <w:rPr>
                      <w:rFonts w:ascii="Times New Roman" w:hAnsi="Times New Roman" w:cs="Times New Roman"/>
                      <w:b/>
                      <w:sz w:val="16"/>
                      <w:szCs w:val="16"/>
                    </w:rPr>
                    <w:t xml:space="preserve">Treatment </w:t>
                  </w:r>
                  <w:r w:rsidRPr="00FC76D7">
                    <w:rPr>
                      <w:rFonts w:ascii="Times New Roman" w:eastAsia="Times New Roman" w:hAnsi="Times New Roman" w:cs="Times New Roman"/>
                      <w:b/>
                      <w:bCs/>
                      <w:sz w:val="16"/>
                      <w:szCs w:val="16"/>
                    </w:rPr>
                    <w:t>(</w:t>
                  </w:r>
                  <w:r w:rsidRPr="00FC76D7">
                    <w:rPr>
                      <w:rFonts w:ascii="Times New Roman" w:hAnsi="Times New Roman" w:cs="Times New Roman"/>
                      <w:b/>
                      <w:bCs/>
                      <w:sz w:val="16"/>
                      <w:szCs w:val="16"/>
                      <w:lang w:val="el-GR"/>
                    </w:rPr>
                    <w:t>μ</w:t>
                  </w:r>
                  <w:r w:rsidRPr="00FC76D7">
                    <w:rPr>
                      <w:rFonts w:ascii="Times New Roman" w:hAnsi="Times New Roman" w:cs="Times New Roman"/>
                      <w:b/>
                      <w:bCs/>
                      <w:sz w:val="16"/>
                      <w:szCs w:val="16"/>
                    </w:rPr>
                    <w:t>M</w:t>
                  </w:r>
                  <w:r w:rsidRPr="00CE4EE1">
                    <w:rPr>
                      <w:rFonts w:ascii="Times New Roman" w:hAnsi="Times New Roman" w:cs="Times New Roman"/>
                      <w:b/>
                      <w:bCs/>
                      <w:sz w:val="20"/>
                      <w:szCs w:val="20"/>
                    </w:rPr>
                    <w:t>)</w:t>
                  </w:r>
                </w:p>
              </w:txbxContent>
            </v:textbox>
          </v:shape>
        </w:pict>
      </w:r>
      <w:r w:rsidR="00284003" w:rsidRPr="00284003">
        <w:rPr>
          <w:noProof/>
        </w:rPr>
        <w:t xml:space="preserve"> </w:t>
      </w:r>
      <w:r w:rsidR="00284003">
        <w:rPr>
          <w:noProof/>
        </w:rPr>
        <w:drawing>
          <wp:inline distT="0" distB="0" distL="0" distR="0" wp14:anchorId="40081CA7" wp14:editId="12400FA8">
            <wp:extent cx="4743450" cy="2838450"/>
            <wp:effectExtent l="0" t="0" r="0" b="0"/>
            <wp:docPr id="6876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60640" name=""/>
                    <pic:cNvPicPr/>
                  </pic:nvPicPr>
                  <pic:blipFill>
                    <a:blip r:embed="rId19"/>
                    <a:stretch>
                      <a:fillRect/>
                    </a:stretch>
                  </pic:blipFill>
                  <pic:spPr>
                    <a:xfrm>
                      <a:off x="0" y="0"/>
                      <a:ext cx="4743450" cy="2838450"/>
                    </a:xfrm>
                    <a:prstGeom prst="rect">
                      <a:avLst/>
                    </a:prstGeom>
                  </pic:spPr>
                </pic:pic>
              </a:graphicData>
            </a:graphic>
          </wp:inline>
        </w:drawing>
      </w:r>
    </w:p>
    <w:p w14:paraId="35E021EC" w14:textId="138B147A" w:rsidR="00FD0B64" w:rsidRDefault="00FD0B64" w:rsidP="00FD0B64">
      <w:pPr>
        <w:pStyle w:val="NormalWeb"/>
        <w:jc w:val="both"/>
        <w:rPr>
          <w:sz w:val="20"/>
          <w:szCs w:val="20"/>
        </w:rPr>
      </w:pPr>
      <w:r w:rsidRPr="000F10F2">
        <w:rPr>
          <w:b/>
          <w:sz w:val="20"/>
          <w:szCs w:val="20"/>
        </w:rPr>
        <w:lastRenderedPageBreak/>
        <w:t>Fig 1</w:t>
      </w:r>
      <w:r w:rsidR="004C7746">
        <w:rPr>
          <w:b/>
          <w:sz w:val="20"/>
          <w:szCs w:val="20"/>
        </w:rPr>
        <w:t>0</w:t>
      </w:r>
      <w:r w:rsidRPr="000F10F2">
        <w:rPr>
          <w:b/>
          <w:sz w:val="20"/>
          <w:szCs w:val="20"/>
        </w:rPr>
        <w:t>: The bar graph shows the effects of different plant growth regulators (NAA, IAA and IBA). NAA 2.15/ (IAA 2.28</w:t>
      </w:r>
      <w:r w:rsidRPr="000F10F2">
        <w:rPr>
          <w:b/>
          <w:bCs/>
          <w:sz w:val="20"/>
          <w:szCs w:val="20"/>
        </w:rPr>
        <w:t>μM)</w:t>
      </w:r>
      <w:r w:rsidRPr="000F10F2">
        <w:rPr>
          <w:b/>
          <w:sz w:val="20"/>
          <w:szCs w:val="20"/>
        </w:rPr>
        <w:t xml:space="preserve"> exhibit the highest response. No response was observed in NAA and IBA.</w:t>
      </w:r>
      <w:r w:rsidRPr="000F10F2">
        <w:rPr>
          <w:sz w:val="20"/>
          <w:szCs w:val="20"/>
        </w:rPr>
        <w:t xml:space="preserve"> </w:t>
      </w:r>
    </w:p>
    <w:p w14:paraId="7282212A" w14:textId="77777777" w:rsidR="00CF5437" w:rsidRPr="00CF5437" w:rsidRDefault="00CF5437" w:rsidP="00CF5437">
      <w:pPr>
        <w:pStyle w:val="NormalWeb"/>
        <w:spacing w:line="360" w:lineRule="auto"/>
        <w:jc w:val="both"/>
        <w:rPr>
          <w:sz w:val="20"/>
          <w:szCs w:val="20"/>
        </w:rPr>
      </w:pPr>
      <w:r w:rsidRPr="00CF5437">
        <w:rPr>
          <w:sz w:val="20"/>
          <w:szCs w:val="20"/>
        </w:rPr>
        <w:t>The auxin combinations exert a profound effect on hairy roo</w:t>
      </w:r>
      <w:r w:rsidR="00EE5DDB">
        <w:rPr>
          <w:sz w:val="20"/>
          <w:szCs w:val="20"/>
        </w:rPr>
        <w:t>t induction in the tested sample</w:t>
      </w:r>
      <w:r w:rsidRPr="00CF5437">
        <w:rPr>
          <w:sz w:val="20"/>
          <w:szCs w:val="20"/>
        </w:rPr>
        <w:t xml:space="preserve">, while individual auxin treatments (IAA, IBA, or NAA) </w:t>
      </w:r>
      <w:r w:rsidR="00EE5DDB">
        <w:rPr>
          <w:sz w:val="20"/>
          <w:szCs w:val="20"/>
        </w:rPr>
        <w:t xml:space="preserve">somewhat </w:t>
      </w:r>
      <w:r w:rsidRPr="00CF5437">
        <w:rPr>
          <w:sz w:val="20"/>
          <w:szCs w:val="20"/>
        </w:rPr>
        <w:t>failed to induce any response. Among the combinations tested, th</w:t>
      </w:r>
      <w:r w:rsidR="00EC5D48">
        <w:rPr>
          <w:sz w:val="20"/>
          <w:szCs w:val="20"/>
        </w:rPr>
        <w:t>e synergistic effect of NAA and</w:t>
      </w:r>
      <w:r w:rsidRPr="00CF5437">
        <w:rPr>
          <w:sz w:val="20"/>
          <w:szCs w:val="20"/>
        </w:rPr>
        <w:t xml:space="preserve"> IAA with induction frequency increasing proportionally with auxin concentration. The highest induction</w:t>
      </w:r>
      <w:r w:rsidR="00EC5D48">
        <w:rPr>
          <w:sz w:val="20"/>
          <w:szCs w:val="20"/>
        </w:rPr>
        <w:t xml:space="preserve"> (99%)</w:t>
      </w:r>
      <w:r w:rsidRPr="00CF5437">
        <w:rPr>
          <w:sz w:val="20"/>
          <w:szCs w:val="20"/>
        </w:rPr>
        <w:t xml:space="preserve"> </w:t>
      </w:r>
      <w:r w:rsidR="00EC5D48">
        <w:rPr>
          <w:sz w:val="20"/>
          <w:szCs w:val="20"/>
        </w:rPr>
        <w:t xml:space="preserve">and </w:t>
      </w:r>
      <w:r w:rsidRPr="00CF5437">
        <w:rPr>
          <w:sz w:val="20"/>
          <w:szCs w:val="20"/>
        </w:rPr>
        <w:t xml:space="preserve">relative efficiency was achieved with </w:t>
      </w:r>
      <w:r w:rsidRPr="00CF5437">
        <w:rPr>
          <w:rStyle w:val="Strong"/>
          <w:rFonts w:eastAsiaTheme="majorEastAsia"/>
          <w:b w:val="0"/>
          <w:sz w:val="20"/>
          <w:szCs w:val="20"/>
        </w:rPr>
        <w:t xml:space="preserve">NAA 2.15 </w:t>
      </w:r>
      <w:proofErr w:type="spellStart"/>
      <w:r w:rsidRPr="00CF5437">
        <w:rPr>
          <w:rStyle w:val="Strong"/>
          <w:rFonts w:eastAsiaTheme="majorEastAsia"/>
          <w:b w:val="0"/>
          <w:sz w:val="20"/>
          <w:szCs w:val="20"/>
        </w:rPr>
        <w:t>μM</w:t>
      </w:r>
      <w:proofErr w:type="spellEnd"/>
      <w:r w:rsidRPr="00CF5437">
        <w:rPr>
          <w:rStyle w:val="Strong"/>
          <w:rFonts w:eastAsiaTheme="majorEastAsia"/>
          <w:b w:val="0"/>
          <w:sz w:val="20"/>
          <w:szCs w:val="20"/>
        </w:rPr>
        <w:t xml:space="preserve"> + IAA 2.28 </w:t>
      </w:r>
      <w:proofErr w:type="spellStart"/>
      <w:r w:rsidRPr="00CF5437">
        <w:rPr>
          <w:rStyle w:val="Strong"/>
          <w:rFonts w:eastAsiaTheme="majorEastAsia"/>
          <w:b w:val="0"/>
          <w:sz w:val="20"/>
          <w:szCs w:val="20"/>
        </w:rPr>
        <w:t>μM</w:t>
      </w:r>
      <w:proofErr w:type="spellEnd"/>
      <w:r w:rsidRPr="00CF5437">
        <w:rPr>
          <w:sz w:val="20"/>
          <w:szCs w:val="20"/>
        </w:rPr>
        <w:t xml:space="preserve">, followed by moderate responses at lower concentrations of the same combination (55% and 45%). A comparatively low induction (25%) was observed with </w:t>
      </w:r>
      <w:r w:rsidRPr="00CF5437">
        <w:rPr>
          <w:rStyle w:val="Strong"/>
          <w:rFonts w:eastAsiaTheme="majorEastAsia"/>
          <w:b w:val="0"/>
          <w:sz w:val="20"/>
          <w:szCs w:val="20"/>
        </w:rPr>
        <w:t xml:space="preserve">NAA 1.07 </w:t>
      </w:r>
      <w:proofErr w:type="spellStart"/>
      <w:r w:rsidRPr="00CF5437">
        <w:rPr>
          <w:rStyle w:val="Strong"/>
          <w:rFonts w:eastAsiaTheme="majorEastAsia"/>
          <w:b w:val="0"/>
          <w:sz w:val="20"/>
          <w:szCs w:val="20"/>
        </w:rPr>
        <w:t>μM</w:t>
      </w:r>
      <w:proofErr w:type="spellEnd"/>
      <w:r w:rsidRPr="00CF5437">
        <w:rPr>
          <w:rStyle w:val="Strong"/>
          <w:rFonts w:eastAsiaTheme="majorEastAsia"/>
          <w:b w:val="0"/>
          <w:sz w:val="20"/>
          <w:szCs w:val="20"/>
        </w:rPr>
        <w:t xml:space="preserve"> + IAA 1.14 </w:t>
      </w:r>
      <w:proofErr w:type="spellStart"/>
      <w:r w:rsidRPr="00CF5437">
        <w:rPr>
          <w:rStyle w:val="Strong"/>
          <w:rFonts w:eastAsiaTheme="majorEastAsia"/>
          <w:b w:val="0"/>
          <w:sz w:val="20"/>
          <w:szCs w:val="20"/>
        </w:rPr>
        <w:t>μM</w:t>
      </w:r>
      <w:proofErr w:type="spellEnd"/>
      <w:r w:rsidRPr="00CF5437">
        <w:rPr>
          <w:sz w:val="20"/>
          <w:szCs w:val="20"/>
        </w:rPr>
        <w:t xml:space="preserve">, while all combinations of NAA with IBA were ineffective. These findings suggest that </w:t>
      </w:r>
      <w:r w:rsidRPr="00CF5437">
        <w:rPr>
          <w:rStyle w:val="Strong"/>
          <w:rFonts w:eastAsiaTheme="majorEastAsia"/>
          <w:b w:val="0"/>
          <w:sz w:val="20"/>
          <w:szCs w:val="20"/>
        </w:rPr>
        <w:t>IAA acts synergistically with NAA to trigger hairy root induction, whereas IBA does not contribute positively</w:t>
      </w:r>
      <w:r w:rsidRPr="00CF5437">
        <w:rPr>
          <w:sz w:val="20"/>
          <w:szCs w:val="20"/>
        </w:rPr>
        <w:t>.</w:t>
      </w:r>
    </w:p>
    <w:tbl>
      <w:tblPr>
        <w:tblStyle w:val="TableGrid"/>
        <w:tblW w:w="7488" w:type="dxa"/>
        <w:tblLook w:val="04A0" w:firstRow="1" w:lastRow="0" w:firstColumn="1" w:lastColumn="0" w:noHBand="0" w:noVBand="1"/>
      </w:tblPr>
      <w:tblGrid>
        <w:gridCol w:w="2620"/>
        <w:gridCol w:w="2978"/>
        <w:gridCol w:w="1890"/>
      </w:tblGrid>
      <w:tr w:rsidR="00FD0B64" w:rsidRPr="000F10F2" w14:paraId="562A163E" w14:textId="77777777" w:rsidTr="006B45F2">
        <w:trPr>
          <w:trHeight w:val="300"/>
        </w:trPr>
        <w:tc>
          <w:tcPr>
            <w:tcW w:w="2620" w:type="dxa"/>
            <w:noWrap/>
            <w:hideMark/>
          </w:tcPr>
          <w:p w14:paraId="5D34E507"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Treatment (</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978" w:type="dxa"/>
            <w:noWrap/>
            <w:hideMark/>
          </w:tcPr>
          <w:p w14:paraId="51433487"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Hairy root </w:t>
            </w:r>
          </w:p>
          <w:p w14:paraId="1A4309F8"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Induction frequency (%) </w:t>
            </w:r>
          </w:p>
        </w:tc>
        <w:tc>
          <w:tcPr>
            <w:tcW w:w="1890" w:type="dxa"/>
          </w:tcPr>
          <w:p w14:paraId="18E22A4A"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Relative Efficiency </w:t>
            </w:r>
          </w:p>
          <w:p w14:paraId="377D1F64"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w:t>
            </w:r>
          </w:p>
        </w:tc>
      </w:tr>
      <w:tr w:rsidR="00FD0B64" w:rsidRPr="000F10F2" w14:paraId="2932586A" w14:textId="77777777" w:rsidTr="006B45F2">
        <w:trPr>
          <w:trHeight w:val="300"/>
        </w:trPr>
        <w:tc>
          <w:tcPr>
            <w:tcW w:w="2620" w:type="dxa"/>
            <w:noWrap/>
            <w:hideMark/>
          </w:tcPr>
          <w:p w14:paraId="27A43D5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978" w:type="dxa"/>
            <w:noWrap/>
            <w:hideMark/>
          </w:tcPr>
          <w:p w14:paraId="62D1ECE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2A7A198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28CDE5A" w14:textId="77777777" w:rsidTr="006B45F2">
        <w:trPr>
          <w:trHeight w:val="300"/>
        </w:trPr>
        <w:tc>
          <w:tcPr>
            <w:tcW w:w="2620" w:type="dxa"/>
            <w:noWrap/>
            <w:hideMark/>
          </w:tcPr>
          <w:p w14:paraId="0B76A47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2.85</w:t>
            </w:r>
          </w:p>
        </w:tc>
        <w:tc>
          <w:tcPr>
            <w:tcW w:w="2978" w:type="dxa"/>
            <w:noWrap/>
            <w:hideMark/>
          </w:tcPr>
          <w:p w14:paraId="6190276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72452AE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30D93C03" w14:textId="77777777" w:rsidTr="006B45F2">
        <w:trPr>
          <w:trHeight w:val="300"/>
        </w:trPr>
        <w:tc>
          <w:tcPr>
            <w:tcW w:w="2620" w:type="dxa"/>
            <w:noWrap/>
            <w:hideMark/>
          </w:tcPr>
          <w:p w14:paraId="513B002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5.71</w:t>
            </w:r>
          </w:p>
        </w:tc>
        <w:tc>
          <w:tcPr>
            <w:tcW w:w="2978" w:type="dxa"/>
            <w:noWrap/>
            <w:hideMark/>
          </w:tcPr>
          <w:p w14:paraId="5F80DF3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6E00D43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002597F5" w14:textId="77777777" w:rsidTr="006B45F2">
        <w:trPr>
          <w:trHeight w:val="300"/>
        </w:trPr>
        <w:tc>
          <w:tcPr>
            <w:tcW w:w="2620" w:type="dxa"/>
            <w:noWrap/>
            <w:hideMark/>
          </w:tcPr>
          <w:p w14:paraId="18DFFB4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4.92</w:t>
            </w:r>
          </w:p>
        </w:tc>
        <w:tc>
          <w:tcPr>
            <w:tcW w:w="2978" w:type="dxa"/>
            <w:noWrap/>
            <w:hideMark/>
          </w:tcPr>
          <w:p w14:paraId="63B6E75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7AD6090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06EC148E" w14:textId="77777777" w:rsidTr="006B45F2">
        <w:trPr>
          <w:trHeight w:val="300"/>
        </w:trPr>
        <w:tc>
          <w:tcPr>
            <w:tcW w:w="2620" w:type="dxa"/>
            <w:noWrap/>
            <w:hideMark/>
          </w:tcPr>
          <w:p w14:paraId="3D4344E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9.84</w:t>
            </w:r>
          </w:p>
        </w:tc>
        <w:tc>
          <w:tcPr>
            <w:tcW w:w="2978" w:type="dxa"/>
            <w:noWrap/>
            <w:hideMark/>
          </w:tcPr>
          <w:p w14:paraId="58B6526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6583A8B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079A9C27" w14:textId="77777777" w:rsidTr="006B45F2">
        <w:trPr>
          <w:trHeight w:val="300"/>
        </w:trPr>
        <w:tc>
          <w:tcPr>
            <w:tcW w:w="2620" w:type="dxa"/>
            <w:noWrap/>
            <w:hideMark/>
          </w:tcPr>
          <w:p w14:paraId="29DD352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2.69</w:t>
            </w:r>
          </w:p>
        </w:tc>
        <w:tc>
          <w:tcPr>
            <w:tcW w:w="2978" w:type="dxa"/>
            <w:noWrap/>
            <w:hideMark/>
          </w:tcPr>
          <w:p w14:paraId="264DAB8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0CBB46D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3771FDE" w14:textId="77777777" w:rsidTr="006B45F2">
        <w:trPr>
          <w:trHeight w:val="300"/>
        </w:trPr>
        <w:tc>
          <w:tcPr>
            <w:tcW w:w="2620" w:type="dxa"/>
            <w:noWrap/>
            <w:hideMark/>
          </w:tcPr>
          <w:p w14:paraId="51652E0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w:t>
            </w:r>
          </w:p>
        </w:tc>
        <w:tc>
          <w:tcPr>
            <w:tcW w:w="2978" w:type="dxa"/>
            <w:noWrap/>
            <w:hideMark/>
          </w:tcPr>
          <w:p w14:paraId="31A4972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12481C6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9599CAC" w14:textId="77777777" w:rsidTr="006B45F2">
        <w:trPr>
          <w:trHeight w:val="300"/>
        </w:trPr>
        <w:tc>
          <w:tcPr>
            <w:tcW w:w="2620" w:type="dxa"/>
            <w:noWrap/>
            <w:hideMark/>
          </w:tcPr>
          <w:p w14:paraId="3C0E702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IAA 5.71</w:t>
            </w:r>
          </w:p>
        </w:tc>
        <w:tc>
          <w:tcPr>
            <w:tcW w:w="2978" w:type="dxa"/>
            <w:noWrap/>
            <w:hideMark/>
          </w:tcPr>
          <w:p w14:paraId="10F230D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62.5±7.21ᵇ</w:t>
            </w:r>
          </w:p>
        </w:tc>
        <w:tc>
          <w:tcPr>
            <w:tcW w:w="1890" w:type="dxa"/>
          </w:tcPr>
          <w:p w14:paraId="36475376"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66.67</w:t>
            </w:r>
          </w:p>
        </w:tc>
      </w:tr>
      <w:tr w:rsidR="00FD0B64" w:rsidRPr="000F10F2" w14:paraId="6DC8E4E4" w14:textId="77777777" w:rsidTr="006B45F2">
        <w:trPr>
          <w:trHeight w:val="300"/>
        </w:trPr>
        <w:tc>
          <w:tcPr>
            <w:tcW w:w="2620" w:type="dxa"/>
            <w:noWrap/>
            <w:hideMark/>
          </w:tcPr>
          <w:p w14:paraId="2DDC654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IAA 11.42</w:t>
            </w:r>
          </w:p>
        </w:tc>
        <w:tc>
          <w:tcPr>
            <w:tcW w:w="2978" w:type="dxa"/>
            <w:noWrap/>
            <w:hideMark/>
          </w:tcPr>
          <w:p w14:paraId="7B2612C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31.25±11.96ᶜ</w:t>
            </w:r>
          </w:p>
        </w:tc>
        <w:tc>
          <w:tcPr>
            <w:tcW w:w="1890" w:type="dxa"/>
          </w:tcPr>
          <w:p w14:paraId="7EAA7EA1"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33.33</w:t>
            </w:r>
          </w:p>
        </w:tc>
      </w:tr>
      <w:tr w:rsidR="00FD0B64" w:rsidRPr="000F10F2" w14:paraId="2F486571" w14:textId="77777777" w:rsidTr="006B45F2">
        <w:trPr>
          <w:trHeight w:val="300"/>
        </w:trPr>
        <w:tc>
          <w:tcPr>
            <w:tcW w:w="2620" w:type="dxa"/>
            <w:noWrap/>
            <w:hideMark/>
          </w:tcPr>
          <w:p w14:paraId="4F01E92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IAA 5.71</w:t>
            </w:r>
          </w:p>
        </w:tc>
        <w:tc>
          <w:tcPr>
            <w:tcW w:w="2978" w:type="dxa"/>
            <w:noWrap/>
            <w:hideMark/>
          </w:tcPr>
          <w:p w14:paraId="175A4D6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75±10.20ᵃᵇ</w:t>
            </w:r>
          </w:p>
        </w:tc>
        <w:tc>
          <w:tcPr>
            <w:tcW w:w="1890" w:type="dxa"/>
          </w:tcPr>
          <w:p w14:paraId="7E58C9F3"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80.00</w:t>
            </w:r>
          </w:p>
        </w:tc>
      </w:tr>
      <w:tr w:rsidR="00FD0B64" w:rsidRPr="000F10F2" w14:paraId="1F4D63E0" w14:textId="77777777" w:rsidTr="006B45F2">
        <w:trPr>
          <w:trHeight w:val="300"/>
        </w:trPr>
        <w:tc>
          <w:tcPr>
            <w:tcW w:w="2620" w:type="dxa"/>
            <w:noWrap/>
            <w:hideMark/>
          </w:tcPr>
          <w:p w14:paraId="076864C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IAA 11.42</w:t>
            </w:r>
          </w:p>
        </w:tc>
        <w:tc>
          <w:tcPr>
            <w:tcW w:w="2978" w:type="dxa"/>
            <w:noWrap/>
            <w:hideMark/>
          </w:tcPr>
          <w:p w14:paraId="4AEE55F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93.75±6.25ᵃ</w:t>
            </w:r>
          </w:p>
        </w:tc>
        <w:tc>
          <w:tcPr>
            <w:tcW w:w="1890" w:type="dxa"/>
          </w:tcPr>
          <w:p w14:paraId="3464EFB9" w14:textId="77777777" w:rsidR="00FD0B64" w:rsidRPr="000F10F2" w:rsidRDefault="00FD0B64" w:rsidP="006B45F2">
            <w:pPr>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100</w:t>
            </w:r>
          </w:p>
        </w:tc>
      </w:tr>
      <w:tr w:rsidR="00FD0B64" w:rsidRPr="000F10F2" w14:paraId="79DB0CDE" w14:textId="77777777" w:rsidTr="006B45F2">
        <w:trPr>
          <w:trHeight w:val="300"/>
        </w:trPr>
        <w:tc>
          <w:tcPr>
            <w:tcW w:w="2620" w:type="dxa"/>
            <w:noWrap/>
            <w:hideMark/>
          </w:tcPr>
          <w:p w14:paraId="76FD4FC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IBA 4.92</w:t>
            </w:r>
          </w:p>
        </w:tc>
        <w:tc>
          <w:tcPr>
            <w:tcW w:w="2978" w:type="dxa"/>
            <w:noWrap/>
            <w:hideMark/>
          </w:tcPr>
          <w:p w14:paraId="6EEA897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36A883F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AA5B4FB" w14:textId="77777777" w:rsidTr="006B45F2">
        <w:trPr>
          <w:trHeight w:val="300"/>
        </w:trPr>
        <w:tc>
          <w:tcPr>
            <w:tcW w:w="2620" w:type="dxa"/>
            <w:noWrap/>
            <w:hideMark/>
          </w:tcPr>
          <w:p w14:paraId="638989B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5.37/ IBA 9.84</w:t>
            </w:r>
          </w:p>
        </w:tc>
        <w:tc>
          <w:tcPr>
            <w:tcW w:w="2978" w:type="dxa"/>
            <w:noWrap/>
            <w:hideMark/>
          </w:tcPr>
          <w:p w14:paraId="2E7464F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4252B99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301B6C83" w14:textId="77777777" w:rsidTr="006B45F2">
        <w:trPr>
          <w:trHeight w:val="300"/>
        </w:trPr>
        <w:tc>
          <w:tcPr>
            <w:tcW w:w="2620" w:type="dxa"/>
            <w:noWrap/>
            <w:hideMark/>
          </w:tcPr>
          <w:p w14:paraId="421D020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IBA 4.92</w:t>
            </w:r>
          </w:p>
        </w:tc>
        <w:tc>
          <w:tcPr>
            <w:tcW w:w="2978" w:type="dxa"/>
            <w:noWrap/>
            <w:hideMark/>
          </w:tcPr>
          <w:p w14:paraId="6DE4E37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00F773A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164618C1" w14:textId="77777777" w:rsidTr="006B45F2">
        <w:trPr>
          <w:trHeight w:val="300"/>
        </w:trPr>
        <w:tc>
          <w:tcPr>
            <w:tcW w:w="2620" w:type="dxa"/>
            <w:noWrap/>
            <w:hideMark/>
          </w:tcPr>
          <w:p w14:paraId="271E979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10.74/ IBA 9.84</w:t>
            </w:r>
          </w:p>
        </w:tc>
        <w:tc>
          <w:tcPr>
            <w:tcW w:w="2978" w:type="dxa"/>
            <w:noWrap/>
            <w:hideMark/>
          </w:tcPr>
          <w:p w14:paraId="5BAA2B1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890" w:type="dxa"/>
          </w:tcPr>
          <w:p w14:paraId="2A4438D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14:paraId="1A306CDF" w14:textId="77777777" w:rsidR="00FD0B64" w:rsidRPr="000F10F2" w:rsidRDefault="00FD0B64" w:rsidP="00FD0B64">
      <w:pPr>
        <w:pStyle w:val="NormalWeb"/>
        <w:jc w:val="both"/>
        <w:rPr>
          <w:b/>
          <w:sz w:val="20"/>
          <w:szCs w:val="20"/>
        </w:rPr>
      </w:pPr>
      <w:r w:rsidRPr="000F10F2">
        <w:rPr>
          <w:b/>
          <w:sz w:val="20"/>
          <w:szCs w:val="20"/>
        </w:rPr>
        <w:t>Table 3: The effect of</w:t>
      </w:r>
      <w:r w:rsidRPr="000F10F2">
        <w:rPr>
          <w:sz w:val="20"/>
          <w:szCs w:val="20"/>
        </w:rPr>
        <w:t xml:space="preserve"> </w:t>
      </w:r>
      <w:r w:rsidRPr="000F10F2">
        <w:rPr>
          <w:rStyle w:val="Strong"/>
          <w:sz w:val="20"/>
          <w:szCs w:val="20"/>
        </w:rPr>
        <w:t xml:space="preserve">auxins (IAA, IBA, NAA) </w:t>
      </w:r>
      <w:r w:rsidRPr="000F10F2">
        <w:rPr>
          <w:b/>
          <w:sz w:val="20"/>
          <w:szCs w:val="20"/>
        </w:rPr>
        <w:t>on</w:t>
      </w:r>
      <w:r w:rsidRPr="000F10F2">
        <w:rPr>
          <w:sz w:val="20"/>
          <w:szCs w:val="20"/>
        </w:rPr>
        <w:t xml:space="preserve"> </w:t>
      </w:r>
      <w:r w:rsidRPr="000F10F2">
        <w:rPr>
          <w:rStyle w:val="Strong"/>
          <w:sz w:val="20"/>
          <w:szCs w:val="20"/>
        </w:rPr>
        <w:t>hairy root induction in indirectly regenerated shoot. Hairy root induction frequency (%)</w:t>
      </w:r>
      <w:r w:rsidRPr="000F10F2">
        <w:rPr>
          <w:b/>
          <w:sz w:val="20"/>
          <w:szCs w:val="20"/>
        </w:rPr>
        <w:t xml:space="preserve"> is expressed as</w:t>
      </w:r>
      <w:r w:rsidRPr="000F10F2">
        <w:rPr>
          <w:sz w:val="20"/>
          <w:szCs w:val="20"/>
        </w:rPr>
        <w:t xml:space="preserve"> </w:t>
      </w:r>
      <w:r w:rsidRPr="000F10F2">
        <w:rPr>
          <w:rStyle w:val="Strong"/>
          <w:sz w:val="20"/>
          <w:szCs w:val="20"/>
        </w:rPr>
        <w:t>mean ± SE</w:t>
      </w:r>
      <w:r w:rsidRPr="000F10F2">
        <w:rPr>
          <w:sz w:val="20"/>
          <w:szCs w:val="20"/>
        </w:rPr>
        <w:t xml:space="preserve">, </w:t>
      </w:r>
      <w:r w:rsidRPr="000F10F2">
        <w:rPr>
          <w:b/>
          <w:sz w:val="20"/>
          <w:szCs w:val="20"/>
        </w:rPr>
        <w:t xml:space="preserve">with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Pr="000F10F2">
        <w:rPr>
          <w:sz w:val="20"/>
          <w:szCs w:val="20"/>
        </w:rPr>
        <w:t xml:space="preserve"> </w:t>
      </w:r>
      <w:r w:rsidRPr="000F10F2">
        <w:rPr>
          <w:b/>
          <w:sz w:val="20"/>
          <w:szCs w:val="20"/>
        </w:rPr>
        <w:t>calculated using</w:t>
      </w:r>
      <w:r w:rsidRPr="000F10F2">
        <w:rPr>
          <w:sz w:val="20"/>
          <w:szCs w:val="20"/>
        </w:rPr>
        <w:t xml:space="preserve"> </w:t>
      </w:r>
      <w:r w:rsidRPr="000F10F2">
        <w:rPr>
          <w:rStyle w:val="Strong"/>
          <w:sz w:val="20"/>
          <w:szCs w:val="20"/>
        </w:rPr>
        <w:t>NAA 10.74 / IAA 11.42 (93.75%) as 100%</w:t>
      </w:r>
      <w:r w:rsidRPr="000F10F2">
        <w:rPr>
          <w:b/>
          <w:sz w:val="20"/>
          <w:szCs w:val="20"/>
        </w:rPr>
        <w:t>. Treatments with</w:t>
      </w:r>
      <w:r w:rsidRPr="000F10F2">
        <w:rPr>
          <w:sz w:val="20"/>
          <w:szCs w:val="20"/>
        </w:rPr>
        <w:t xml:space="preserve"> </w:t>
      </w:r>
      <w:r w:rsidRPr="000F10F2">
        <w:rPr>
          <w:rStyle w:val="Strong"/>
          <w:sz w:val="20"/>
          <w:szCs w:val="20"/>
        </w:rPr>
        <w:t>0% induction</w:t>
      </w:r>
      <w:r w:rsidRPr="000F10F2">
        <w:rPr>
          <w:sz w:val="20"/>
          <w:szCs w:val="20"/>
        </w:rPr>
        <w:t xml:space="preserve"> </w:t>
      </w:r>
      <w:r w:rsidRPr="000F10F2">
        <w:rPr>
          <w:b/>
          <w:sz w:val="20"/>
          <w:szCs w:val="20"/>
        </w:rPr>
        <w:t>showed no response.</w:t>
      </w:r>
    </w:p>
    <w:p w14:paraId="4ECD68CC" w14:textId="77777777" w:rsidR="00FD0B64" w:rsidRPr="000F10F2" w:rsidRDefault="00EB6458" w:rsidP="00FD0B64">
      <w:pPr>
        <w:pStyle w:val="NormalWeb"/>
        <w:jc w:val="both"/>
        <w:rPr>
          <w:sz w:val="20"/>
          <w:szCs w:val="20"/>
        </w:rPr>
      </w:pPr>
      <w:r>
        <w:rPr>
          <w:noProof/>
          <w:sz w:val="20"/>
          <w:szCs w:val="20"/>
        </w:rPr>
        <w:lastRenderedPageBreak/>
        <w:pict w14:anchorId="0CE66D4C">
          <v:shape id="_x0000_s1036" type="#_x0000_t202" style="position:absolute;left:0;text-align:left;margin-left:-9.7pt;margin-top:-1.05pt;width:22.55pt;height:139.7pt;z-index:251656192" strokecolor="white [3212]">
            <v:textbox style="layout-flow:vertical;mso-layout-flow-alt:bottom-to-top">
              <w:txbxContent>
                <w:p w14:paraId="5F0E7280" w14:textId="77777777" w:rsidR="00DB0039" w:rsidRPr="0008547C" w:rsidRDefault="00DB0039" w:rsidP="00FD0B64">
                  <w:pPr>
                    <w:rPr>
                      <w:b/>
                    </w:rPr>
                  </w:pPr>
                  <w:r w:rsidRPr="0008547C">
                    <w:rPr>
                      <w:rFonts w:ascii="Times New Roman" w:hAnsi="Times New Roman" w:cs="Times New Roman"/>
                      <w:b/>
                      <w:sz w:val="16"/>
                      <w:szCs w:val="16"/>
                    </w:rPr>
                    <w:t>Hairy root induction frequency</w:t>
                  </w:r>
                  <w:r>
                    <w:rPr>
                      <w:rFonts w:ascii="Times New Roman" w:hAnsi="Times New Roman" w:cs="Times New Roman"/>
                      <w:b/>
                      <w:sz w:val="16"/>
                      <w:szCs w:val="16"/>
                    </w:rPr>
                    <w:t xml:space="preserve"> (%)</w:t>
                  </w:r>
                </w:p>
              </w:txbxContent>
            </v:textbox>
          </v:shape>
        </w:pict>
      </w:r>
      <w:r>
        <w:rPr>
          <w:noProof/>
          <w:sz w:val="20"/>
          <w:szCs w:val="20"/>
        </w:rPr>
        <w:pict w14:anchorId="7EFBC284">
          <v:shape id="_x0000_s1035" type="#_x0000_t202" style="position:absolute;left:0;text-align:left;margin-left:118.75pt;margin-top:204.7pt;width:85.95pt;height:17.2pt;z-index:251657216" strokecolor="white [3212]">
            <v:textbox>
              <w:txbxContent>
                <w:p w14:paraId="1453E3EA" w14:textId="77777777" w:rsidR="00DB0039" w:rsidRPr="00311852" w:rsidRDefault="00DB0039" w:rsidP="00FD0B64">
                  <w:pPr>
                    <w:rPr>
                      <w:rFonts w:ascii="Times New Roman" w:hAnsi="Times New Roman" w:cs="Times New Roman"/>
                      <w:b/>
                      <w:sz w:val="16"/>
                      <w:szCs w:val="16"/>
                    </w:rPr>
                  </w:pPr>
                  <w:r w:rsidRPr="00311852">
                    <w:rPr>
                      <w:rFonts w:ascii="Times New Roman" w:hAnsi="Times New Roman" w:cs="Times New Roman"/>
                      <w:b/>
                      <w:sz w:val="16"/>
                      <w:szCs w:val="16"/>
                    </w:rPr>
                    <w:t>Treatment</w:t>
                  </w:r>
                  <w:r>
                    <w:rPr>
                      <w:rFonts w:ascii="Times New Roman" w:hAnsi="Times New Roman" w:cs="Times New Roman"/>
                      <w:b/>
                      <w:sz w:val="16"/>
                      <w:szCs w:val="16"/>
                    </w:rPr>
                    <w:t xml:space="preserve"> </w:t>
                  </w:r>
                  <w:r w:rsidRPr="00FC76D7">
                    <w:rPr>
                      <w:rFonts w:ascii="Times New Roman" w:eastAsia="Times New Roman" w:hAnsi="Times New Roman" w:cs="Times New Roman"/>
                      <w:b/>
                      <w:bCs/>
                      <w:sz w:val="16"/>
                      <w:szCs w:val="16"/>
                    </w:rPr>
                    <w:t>(</w:t>
                  </w:r>
                  <w:r w:rsidRPr="00FC76D7">
                    <w:rPr>
                      <w:rFonts w:ascii="Times New Roman" w:hAnsi="Times New Roman" w:cs="Times New Roman"/>
                      <w:b/>
                      <w:bCs/>
                      <w:sz w:val="16"/>
                      <w:szCs w:val="16"/>
                      <w:lang w:val="el-GR"/>
                    </w:rPr>
                    <w:t>μ</w:t>
                  </w:r>
                  <w:r w:rsidRPr="00FC76D7">
                    <w:rPr>
                      <w:rFonts w:ascii="Times New Roman" w:hAnsi="Times New Roman" w:cs="Times New Roman"/>
                      <w:b/>
                      <w:bCs/>
                      <w:sz w:val="16"/>
                      <w:szCs w:val="16"/>
                    </w:rPr>
                    <w:t>M</w:t>
                  </w:r>
                  <w:r w:rsidRPr="00CE4EE1">
                    <w:rPr>
                      <w:rFonts w:ascii="Times New Roman" w:hAnsi="Times New Roman" w:cs="Times New Roman"/>
                      <w:b/>
                      <w:bCs/>
                      <w:sz w:val="20"/>
                      <w:szCs w:val="20"/>
                    </w:rPr>
                    <w:t>)</w:t>
                  </w:r>
                </w:p>
              </w:txbxContent>
            </v:textbox>
          </v:shape>
        </w:pict>
      </w:r>
      <w:r w:rsidR="00FD0B64" w:rsidRPr="000F10F2">
        <w:rPr>
          <w:noProof/>
          <w:sz w:val="20"/>
          <w:szCs w:val="20"/>
        </w:rPr>
        <w:drawing>
          <wp:inline distT="0" distB="0" distL="0" distR="0" wp14:anchorId="1B622DDA" wp14:editId="032CA980">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3A4662" w14:textId="04067FDC" w:rsidR="00FD0B64" w:rsidRDefault="00FD0B64" w:rsidP="00FD0B64">
      <w:pPr>
        <w:pStyle w:val="NormalWeb"/>
        <w:jc w:val="both"/>
        <w:rPr>
          <w:sz w:val="20"/>
          <w:szCs w:val="20"/>
        </w:rPr>
      </w:pPr>
      <w:r w:rsidRPr="000F10F2">
        <w:rPr>
          <w:b/>
          <w:sz w:val="20"/>
          <w:szCs w:val="20"/>
        </w:rPr>
        <w:t>Fig 1</w:t>
      </w:r>
      <w:r w:rsidR="004C7746">
        <w:rPr>
          <w:b/>
          <w:sz w:val="20"/>
          <w:szCs w:val="20"/>
        </w:rPr>
        <w:t>1</w:t>
      </w:r>
      <w:r w:rsidRPr="000F10F2">
        <w:rPr>
          <w:b/>
          <w:sz w:val="20"/>
          <w:szCs w:val="20"/>
        </w:rPr>
        <w:t>: The bar graph shows the effects of different plant growth regulators (NAA, IAA and IBA). NAA 10.74/ IAA 11.42</w:t>
      </w:r>
      <w:r w:rsidRPr="000F10F2">
        <w:rPr>
          <w:b/>
          <w:bCs/>
          <w:sz w:val="20"/>
          <w:szCs w:val="20"/>
        </w:rPr>
        <w:t>μM</w:t>
      </w:r>
      <w:r w:rsidRPr="000F10F2">
        <w:rPr>
          <w:b/>
          <w:sz w:val="20"/>
          <w:szCs w:val="20"/>
        </w:rPr>
        <w:t xml:space="preserve"> exhibit the highest response. No response was observed in NAA and IBA</w:t>
      </w:r>
      <w:r w:rsidRPr="000F10F2">
        <w:rPr>
          <w:sz w:val="20"/>
          <w:szCs w:val="20"/>
        </w:rPr>
        <w:t xml:space="preserve">. </w:t>
      </w:r>
    </w:p>
    <w:p w14:paraId="0BAAE323" w14:textId="77777777" w:rsidR="0007229A" w:rsidRPr="00DF60BC" w:rsidRDefault="007F12CA" w:rsidP="00DF60BC">
      <w:pPr>
        <w:pStyle w:val="NormalWeb"/>
        <w:spacing w:line="360" w:lineRule="auto"/>
        <w:jc w:val="both"/>
        <w:rPr>
          <w:sz w:val="20"/>
          <w:szCs w:val="20"/>
        </w:rPr>
      </w:pPr>
      <w:r w:rsidRPr="00DF60BC">
        <w:rPr>
          <w:sz w:val="20"/>
          <w:szCs w:val="20"/>
        </w:rPr>
        <w:t>T</w:t>
      </w:r>
      <w:r w:rsidR="0007229A" w:rsidRPr="00DF60BC">
        <w:rPr>
          <w:sz w:val="20"/>
          <w:szCs w:val="20"/>
        </w:rPr>
        <w:t>reatme</w:t>
      </w:r>
      <w:r w:rsidRPr="00DF60BC">
        <w:rPr>
          <w:sz w:val="20"/>
          <w:szCs w:val="20"/>
        </w:rPr>
        <w:t xml:space="preserve">nt of auxins such as IAA, IBA </w:t>
      </w:r>
      <w:r w:rsidR="0007229A" w:rsidRPr="00DF60BC">
        <w:rPr>
          <w:sz w:val="20"/>
          <w:szCs w:val="20"/>
        </w:rPr>
        <w:t>and NAA</w:t>
      </w:r>
      <w:r w:rsidRPr="00DF60BC">
        <w:rPr>
          <w:sz w:val="20"/>
          <w:szCs w:val="20"/>
        </w:rPr>
        <w:t xml:space="preserve"> when treated alone</w:t>
      </w:r>
      <w:r w:rsidR="0007229A" w:rsidRPr="00DF60BC">
        <w:rPr>
          <w:sz w:val="20"/>
          <w:szCs w:val="20"/>
        </w:rPr>
        <w:t xml:space="preserve"> at different concentrations does not induce hairy roots, as indicated by 0% induction frequency. However, combinations of NAA with IAA significantly enhanced hairy root induction.</w:t>
      </w:r>
      <w:r w:rsidRPr="00DF60BC">
        <w:rPr>
          <w:sz w:val="20"/>
          <w:szCs w:val="20"/>
        </w:rPr>
        <w:t xml:space="preserve"> Among the different </w:t>
      </w:r>
      <w:r w:rsidR="0007229A" w:rsidRPr="00DF60BC">
        <w:rPr>
          <w:sz w:val="20"/>
          <w:szCs w:val="20"/>
        </w:rPr>
        <w:t xml:space="preserve">combinations, NAA (10.74 </w:t>
      </w:r>
      <w:proofErr w:type="spellStart"/>
      <w:r w:rsidR="0007229A" w:rsidRPr="00DF60BC">
        <w:rPr>
          <w:sz w:val="20"/>
          <w:szCs w:val="20"/>
        </w:rPr>
        <w:t>μM</w:t>
      </w:r>
      <w:proofErr w:type="spellEnd"/>
      <w:r w:rsidR="0007229A" w:rsidRPr="00DF60BC">
        <w:rPr>
          <w:sz w:val="20"/>
          <w:szCs w:val="20"/>
        </w:rPr>
        <w:t xml:space="preserve">) with IAA (11.42 </w:t>
      </w:r>
      <w:proofErr w:type="spellStart"/>
      <w:r w:rsidR="0007229A" w:rsidRPr="00DF60BC">
        <w:rPr>
          <w:sz w:val="20"/>
          <w:szCs w:val="20"/>
        </w:rPr>
        <w:t>μM</w:t>
      </w:r>
      <w:proofErr w:type="spellEnd"/>
      <w:r w:rsidR="0007229A" w:rsidRPr="00DF60BC">
        <w:rPr>
          <w:sz w:val="20"/>
          <w:szCs w:val="20"/>
        </w:rPr>
        <w:t>) exhibited the maximum response, achieving a hairy root induction frequency of 93.75% with 100% relative efficienc</w:t>
      </w:r>
      <w:r w:rsidRPr="00DF60BC">
        <w:rPr>
          <w:sz w:val="20"/>
          <w:szCs w:val="20"/>
        </w:rPr>
        <w:t xml:space="preserve">y, followed by NAA (10.74 </w:t>
      </w:r>
      <w:proofErr w:type="spellStart"/>
      <w:r w:rsidRPr="00DF60BC">
        <w:rPr>
          <w:sz w:val="20"/>
          <w:szCs w:val="20"/>
        </w:rPr>
        <w:t>μM</w:t>
      </w:r>
      <w:proofErr w:type="spellEnd"/>
      <w:r w:rsidRPr="00DF60BC">
        <w:rPr>
          <w:sz w:val="20"/>
          <w:szCs w:val="20"/>
        </w:rPr>
        <w:t xml:space="preserve">) and </w:t>
      </w:r>
      <w:r w:rsidR="0007229A" w:rsidRPr="00DF60BC">
        <w:rPr>
          <w:sz w:val="20"/>
          <w:szCs w:val="20"/>
        </w:rPr>
        <w:t xml:space="preserve">IAA (5.71 </w:t>
      </w:r>
      <w:proofErr w:type="spellStart"/>
      <w:r w:rsidR="0007229A" w:rsidRPr="00DF60BC">
        <w:rPr>
          <w:sz w:val="20"/>
          <w:szCs w:val="20"/>
        </w:rPr>
        <w:t>μM</w:t>
      </w:r>
      <w:proofErr w:type="spellEnd"/>
      <w:r w:rsidR="0007229A" w:rsidRPr="00DF60BC">
        <w:rPr>
          <w:sz w:val="20"/>
          <w:szCs w:val="20"/>
        </w:rPr>
        <w:t>), which yielded 75% induction and 80% relative efficiency. Moderate induction w</w:t>
      </w:r>
      <w:r w:rsidRPr="00DF60BC">
        <w:rPr>
          <w:sz w:val="20"/>
          <w:szCs w:val="20"/>
        </w:rPr>
        <w:t xml:space="preserve">as observed with NAA (5.37 </w:t>
      </w:r>
      <w:proofErr w:type="spellStart"/>
      <w:r w:rsidRPr="00DF60BC">
        <w:rPr>
          <w:sz w:val="20"/>
          <w:szCs w:val="20"/>
        </w:rPr>
        <w:t>μM</w:t>
      </w:r>
      <w:proofErr w:type="spellEnd"/>
      <w:r w:rsidRPr="00DF60BC">
        <w:rPr>
          <w:sz w:val="20"/>
          <w:szCs w:val="20"/>
        </w:rPr>
        <w:t>) and IAA (5.7</w:t>
      </w:r>
      <w:r w:rsidR="00DF60BC" w:rsidRPr="00DF60BC">
        <w:rPr>
          <w:sz w:val="20"/>
          <w:szCs w:val="20"/>
        </w:rPr>
        <w:t xml:space="preserve">1 </w:t>
      </w:r>
      <w:proofErr w:type="spellStart"/>
      <w:r w:rsidR="00DF60BC" w:rsidRPr="00DF60BC">
        <w:rPr>
          <w:sz w:val="20"/>
          <w:szCs w:val="20"/>
        </w:rPr>
        <w:t>μM</w:t>
      </w:r>
      <w:proofErr w:type="spellEnd"/>
      <w:r w:rsidR="00DF60BC" w:rsidRPr="00DF60BC">
        <w:rPr>
          <w:sz w:val="20"/>
          <w:szCs w:val="20"/>
        </w:rPr>
        <w:t>) (62.5%)</w:t>
      </w:r>
      <w:r w:rsidRPr="00DF60BC">
        <w:rPr>
          <w:sz w:val="20"/>
          <w:szCs w:val="20"/>
        </w:rPr>
        <w:t xml:space="preserve">, NAA (5.37 </w:t>
      </w:r>
      <w:proofErr w:type="spellStart"/>
      <w:r w:rsidRPr="00DF60BC">
        <w:rPr>
          <w:sz w:val="20"/>
          <w:szCs w:val="20"/>
        </w:rPr>
        <w:t>μM</w:t>
      </w:r>
      <w:proofErr w:type="spellEnd"/>
      <w:r w:rsidRPr="00DF60BC">
        <w:rPr>
          <w:sz w:val="20"/>
          <w:szCs w:val="20"/>
        </w:rPr>
        <w:t xml:space="preserve">) and </w:t>
      </w:r>
      <w:r w:rsidR="0007229A" w:rsidRPr="00DF60BC">
        <w:rPr>
          <w:sz w:val="20"/>
          <w:szCs w:val="20"/>
        </w:rPr>
        <w:t xml:space="preserve">IAA (11.42 </w:t>
      </w:r>
      <w:proofErr w:type="spellStart"/>
      <w:r w:rsidR="0007229A" w:rsidRPr="00DF60BC">
        <w:rPr>
          <w:sz w:val="20"/>
          <w:szCs w:val="20"/>
        </w:rPr>
        <w:t>μM</w:t>
      </w:r>
      <w:proofErr w:type="spellEnd"/>
      <w:r w:rsidR="0007229A" w:rsidRPr="00DF60BC">
        <w:rPr>
          <w:sz w:val="20"/>
          <w:szCs w:val="20"/>
        </w:rPr>
        <w:t xml:space="preserve">) (31.25%). By contrast, combinations of NAA with IBA were completely ineffective, showing 0% induction across all tested concentrations. These findings suggest that </w:t>
      </w:r>
      <w:r w:rsidR="00DF60BC" w:rsidRPr="00DF60BC">
        <w:rPr>
          <w:sz w:val="20"/>
          <w:szCs w:val="20"/>
        </w:rPr>
        <w:t>combinations of NAA and IAA are</w:t>
      </w:r>
      <w:r w:rsidR="0007229A" w:rsidRPr="00DF60BC">
        <w:rPr>
          <w:sz w:val="20"/>
          <w:szCs w:val="20"/>
        </w:rPr>
        <w:t xml:space="preserve"> crucial for hairy root induction, whereas IBA in combination with NAA does not support this response.</w:t>
      </w:r>
    </w:p>
    <w:p w14:paraId="35D87EC5" w14:textId="77777777" w:rsidR="00FD0B64" w:rsidRPr="000F10F2" w:rsidRDefault="00FD0B64" w:rsidP="00FD0B64">
      <w:pPr>
        <w:pStyle w:val="NormalWeb"/>
        <w:jc w:val="both"/>
        <w:rPr>
          <w:sz w:val="20"/>
          <w:szCs w:val="20"/>
        </w:rPr>
      </w:pPr>
    </w:p>
    <w:tbl>
      <w:tblPr>
        <w:tblStyle w:val="TableGrid"/>
        <w:tblpPr w:leftFromText="180" w:rightFromText="180" w:vertAnchor="text" w:horzAnchor="margin" w:tblpYSpec="bottom"/>
        <w:tblW w:w="5778" w:type="dxa"/>
        <w:tblLook w:val="04A0" w:firstRow="1" w:lastRow="0" w:firstColumn="1" w:lastColumn="0" w:noHBand="0" w:noVBand="1"/>
      </w:tblPr>
      <w:tblGrid>
        <w:gridCol w:w="2268"/>
        <w:gridCol w:w="2430"/>
        <w:gridCol w:w="1080"/>
      </w:tblGrid>
      <w:tr w:rsidR="00FD0B64" w:rsidRPr="000F10F2" w14:paraId="6D3A4AA9" w14:textId="77777777" w:rsidTr="006B45F2">
        <w:trPr>
          <w:trHeight w:val="300"/>
        </w:trPr>
        <w:tc>
          <w:tcPr>
            <w:tcW w:w="2268" w:type="dxa"/>
            <w:noWrap/>
            <w:hideMark/>
          </w:tcPr>
          <w:p w14:paraId="4D84293A"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Treatment (</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430" w:type="dxa"/>
            <w:noWrap/>
            <w:hideMark/>
          </w:tcPr>
          <w:p w14:paraId="622E71DB"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Hairy root </w:t>
            </w:r>
          </w:p>
          <w:p w14:paraId="2AD2CBF5"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Induction frequency (%)</w:t>
            </w:r>
          </w:p>
        </w:tc>
        <w:tc>
          <w:tcPr>
            <w:tcW w:w="1080" w:type="dxa"/>
          </w:tcPr>
          <w:p w14:paraId="73E730F8"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 xml:space="preserve">Relative Efficiency  </w:t>
            </w:r>
          </w:p>
          <w:p w14:paraId="074E986D" w14:textId="77777777" w:rsidR="00FD0B64" w:rsidRPr="000F10F2" w:rsidRDefault="00FD0B64" w:rsidP="006B45F2">
            <w:pPr>
              <w:jc w:val="center"/>
              <w:rPr>
                <w:rFonts w:ascii="Times New Roman" w:eastAsia="Times New Roman" w:hAnsi="Times New Roman" w:cs="Times New Roman"/>
                <w:b/>
                <w:bCs/>
                <w:sz w:val="20"/>
                <w:szCs w:val="20"/>
              </w:rPr>
            </w:pPr>
            <w:r w:rsidRPr="000F10F2">
              <w:rPr>
                <w:rFonts w:ascii="Times New Roman" w:eastAsia="Times New Roman" w:hAnsi="Times New Roman" w:cs="Times New Roman"/>
                <w:b/>
                <w:bCs/>
                <w:sz w:val="20"/>
                <w:szCs w:val="20"/>
              </w:rPr>
              <w:t>(%)</w:t>
            </w:r>
          </w:p>
        </w:tc>
      </w:tr>
      <w:tr w:rsidR="00FD0B64" w:rsidRPr="000F10F2" w14:paraId="5DED7717" w14:textId="77777777" w:rsidTr="006B45F2">
        <w:trPr>
          <w:trHeight w:val="300"/>
        </w:trPr>
        <w:tc>
          <w:tcPr>
            <w:tcW w:w="2268" w:type="dxa"/>
            <w:noWrap/>
            <w:hideMark/>
          </w:tcPr>
          <w:p w14:paraId="704F370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430" w:type="dxa"/>
            <w:noWrap/>
            <w:hideMark/>
          </w:tcPr>
          <w:p w14:paraId="29FE9DF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27FE32B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203362B7" w14:textId="77777777" w:rsidTr="006B45F2">
        <w:trPr>
          <w:trHeight w:val="300"/>
        </w:trPr>
        <w:tc>
          <w:tcPr>
            <w:tcW w:w="2268" w:type="dxa"/>
            <w:noWrap/>
            <w:hideMark/>
          </w:tcPr>
          <w:p w14:paraId="79FEA5E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2.28</w:t>
            </w:r>
          </w:p>
        </w:tc>
        <w:tc>
          <w:tcPr>
            <w:tcW w:w="2430" w:type="dxa"/>
            <w:noWrap/>
            <w:hideMark/>
          </w:tcPr>
          <w:p w14:paraId="392FE5D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7D90344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40430521" w14:textId="77777777" w:rsidTr="006B45F2">
        <w:trPr>
          <w:trHeight w:val="300"/>
        </w:trPr>
        <w:tc>
          <w:tcPr>
            <w:tcW w:w="2268" w:type="dxa"/>
            <w:noWrap/>
            <w:hideMark/>
          </w:tcPr>
          <w:p w14:paraId="6E5EB9F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3.42</w:t>
            </w:r>
          </w:p>
        </w:tc>
        <w:tc>
          <w:tcPr>
            <w:tcW w:w="2430" w:type="dxa"/>
            <w:noWrap/>
            <w:hideMark/>
          </w:tcPr>
          <w:p w14:paraId="4310BDA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74496F6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1FD2FB8" w14:textId="77777777" w:rsidTr="006B45F2">
        <w:trPr>
          <w:trHeight w:val="300"/>
        </w:trPr>
        <w:tc>
          <w:tcPr>
            <w:tcW w:w="2268" w:type="dxa"/>
            <w:noWrap/>
            <w:hideMark/>
          </w:tcPr>
          <w:p w14:paraId="662886A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1.97</w:t>
            </w:r>
          </w:p>
        </w:tc>
        <w:tc>
          <w:tcPr>
            <w:tcW w:w="2430" w:type="dxa"/>
            <w:noWrap/>
            <w:hideMark/>
          </w:tcPr>
          <w:p w14:paraId="3BC268F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2C41C3B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45D0EF99" w14:textId="77777777" w:rsidTr="006B45F2">
        <w:trPr>
          <w:trHeight w:val="300"/>
        </w:trPr>
        <w:tc>
          <w:tcPr>
            <w:tcW w:w="2268" w:type="dxa"/>
            <w:noWrap/>
            <w:hideMark/>
          </w:tcPr>
          <w:p w14:paraId="191C9E8E" w14:textId="77777777" w:rsidR="00FD0B64" w:rsidRPr="000F10F2" w:rsidRDefault="00FD0B64" w:rsidP="006B45F2">
            <w:pPr>
              <w:ind w:right="-388"/>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2.95</w:t>
            </w:r>
          </w:p>
        </w:tc>
        <w:tc>
          <w:tcPr>
            <w:tcW w:w="2430" w:type="dxa"/>
            <w:noWrap/>
            <w:hideMark/>
          </w:tcPr>
          <w:p w14:paraId="79FB790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31.25±3.60ᵇᶜ</w:t>
            </w:r>
          </w:p>
        </w:tc>
        <w:tc>
          <w:tcPr>
            <w:tcW w:w="1080" w:type="dxa"/>
          </w:tcPr>
          <w:p w14:paraId="3F5F4B1A" w14:textId="77777777" w:rsidR="00FD0B64" w:rsidRPr="000F10F2" w:rsidRDefault="00FD0B64" w:rsidP="006B45F2">
            <w:pPr>
              <w:ind w:right="-388"/>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33.33</w:t>
            </w:r>
          </w:p>
        </w:tc>
      </w:tr>
      <w:tr w:rsidR="00FD0B64" w:rsidRPr="000F10F2" w14:paraId="68C142D7" w14:textId="77777777" w:rsidTr="006B45F2">
        <w:trPr>
          <w:trHeight w:val="300"/>
        </w:trPr>
        <w:tc>
          <w:tcPr>
            <w:tcW w:w="2268" w:type="dxa"/>
            <w:noWrap/>
            <w:hideMark/>
          </w:tcPr>
          <w:p w14:paraId="7B84A18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w:t>
            </w:r>
          </w:p>
        </w:tc>
        <w:tc>
          <w:tcPr>
            <w:tcW w:w="2430" w:type="dxa"/>
            <w:noWrap/>
            <w:hideMark/>
          </w:tcPr>
          <w:p w14:paraId="2A36069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37.5±5.10ᵇ</w:t>
            </w:r>
          </w:p>
        </w:tc>
        <w:tc>
          <w:tcPr>
            <w:tcW w:w="1080" w:type="dxa"/>
          </w:tcPr>
          <w:p w14:paraId="75A8D35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40</w:t>
            </w:r>
          </w:p>
        </w:tc>
      </w:tr>
      <w:tr w:rsidR="00FD0B64" w:rsidRPr="000F10F2" w14:paraId="0CAF9ADF" w14:textId="77777777" w:rsidTr="006B45F2">
        <w:trPr>
          <w:trHeight w:val="300"/>
        </w:trPr>
        <w:tc>
          <w:tcPr>
            <w:tcW w:w="2268" w:type="dxa"/>
            <w:noWrap/>
            <w:hideMark/>
          </w:tcPr>
          <w:p w14:paraId="592E2AD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w:t>
            </w:r>
          </w:p>
        </w:tc>
        <w:tc>
          <w:tcPr>
            <w:tcW w:w="2430" w:type="dxa"/>
            <w:noWrap/>
            <w:hideMark/>
          </w:tcPr>
          <w:p w14:paraId="5B2D5F4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76AE02D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8A12293" w14:textId="77777777" w:rsidTr="006B45F2">
        <w:trPr>
          <w:trHeight w:val="300"/>
        </w:trPr>
        <w:tc>
          <w:tcPr>
            <w:tcW w:w="2268" w:type="dxa"/>
            <w:noWrap/>
            <w:hideMark/>
          </w:tcPr>
          <w:p w14:paraId="47D5094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IAA2.28</w:t>
            </w:r>
          </w:p>
        </w:tc>
        <w:tc>
          <w:tcPr>
            <w:tcW w:w="2430" w:type="dxa"/>
            <w:noWrap/>
            <w:hideMark/>
          </w:tcPr>
          <w:p w14:paraId="52D2697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6D26128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1C20420B" w14:textId="77777777" w:rsidTr="006B45F2">
        <w:trPr>
          <w:trHeight w:val="300"/>
        </w:trPr>
        <w:tc>
          <w:tcPr>
            <w:tcW w:w="2268" w:type="dxa"/>
            <w:noWrap/>
            <w:hideMark/>
          </w:tcPr>
          <w:p w14:paraId="08B84C5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3.42</w:t>
            </w:r>
          </w:p>
        </w:tc>
        <w:tc>
          <w:tcPr>
            <w:tcW w:w="2430" w:type="dxa"/>
            <w:noWrap/>
            <w:hideMark/>
          </w:tcPr>
          <w:p w14:paraId="2154EDB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523025A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24B2DF5" w14:textId="77777777" w:rsidTr="006B45F2">
        <w:trPr>
          <w:trHeight w:val="300"/>
        </w:trPr>
        <w:tc>
          <w:tcPr>
            <w:tcW w:w="2268" w:type="dxa"/>
            <w:noWrap/>
            <w:hideMark/>
          </w:tcPr>
          <w:p w14:paraId="1C926E7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lastRenderedPageBreak/>
              <w:t>NAA 3.22/ IAA 2.28</w:t>
            </w:r>
          </w:p>
        </w:tc>
        <w:tc>
          <w:tcPr>
            <w:tcW w:w="2430" w:type="dxa"/>
            <w:noWrap/>
            <w:hideMark/>
          </w:tcPr>
          <w:p w14:paraId="38A3EC1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03A4548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053E89A7" w14:textId="77777777" w:rsidTr="006B45F2">
        <w:trPr>
          <w:trHeight w:val="300"/>
        </w:trPr>
        <w:tc>
          <w:tcPr>
            <w:tcW w:w="2268" w:type="dxa"/>
            <w:noWrap/>
            <w:hideMark/>
          </w:tcPr>
          <w:p w14:paraId="292F005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IAA3.42</w:t>
            </w:r>
          </w:p>
        </w:tc>
        <w:tc>
          <w:tcPr>
            <w:tcW w:w="2430" w:type="dxa"/>
            <w:noWrap/>
            <w:hideMark/>
          </w:tcPr>
          <w:p w14:paraId="0B2C2E5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38FAB6A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2F51A90F" w14:textId="77777777" w:rsidTr="006B45F2">
        <w:trPr>
          <w:trHeight w:val="300"/>
        </w:trPr>
        <w:tc>
          <w:tcPr>
            <w:tcW w:w="2268" w:type="dxa"/>
            <w:noWrap/>
            <w:hideMark/>
          </w:tcPr>
          <w:p w14:paraId="4B3382B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1.97</w:t>
            </w:r>
          </w:p>
        </w:tc>
        <w:tc>
          <w:tcPr>
            <w:tcW w:w="2430" w:type="dxa"/>
            <w:noWrap/>
            <w:hideMark/>
          </w:tcPr>
          <w:p w14:paraId="122B79E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21.87±3.12ᶜ</w:t>
            </w:r>
          </w:p>
        </w:tc>
        <w:tc>
          <w:tcPr>
            <w:tcW w:w="1080" w:type="dxa"/>
          </w:tcPr>
          <w:p w14:paraId="28F08CA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23.33</w:t>
            </w:r>
          </w:p>
        </w:tc>
      </w:tr>
      <w:tr w:rsidR="00FD0B64" w:rsidRPr="000F10F2" w14:paraId="7BDC327D" w14:textId="77777777" w:rsidTr="006B45F2">
        <w:trPr>
          <w:trHeight w:val="300"/>
        </w:trPr>
        <w:tc>
          <w:tcPr>
            <w:tcW w:w="2268" w:type="dxa"/>
            <w:noWrap/>
            <w:hideMark/>
          </w:tcPr>
          <w:p w14:paraId="6ACF609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2.95</w:t>
            </w:r>
          </w:p>
        </w:tc>
        <w:tc>
          <w:tcPr>
            <w:tcW w:w="2430" w:type="dxa"/>
            <w:noWrap/>
            <w:hideMark/>
          </w:tcPr>
          <w:p w14:paraId="30BA61C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93.75±3.60ᵃ</w:t>
            </w:r>
          </w:p>
        </w:tc>
        <w:tc>
          <w:tcPr>
            <w:tcW w:w="1080" w:type="dxa"/>
          </w:tcPr>
          <w:p w14:paraId="79458A6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100</w:t>
            </w:r>
          </w:p>
        </w:tc>
      </w:tr>
      <w:tr w:rsidR="00FD0B64" w:rsidRPr="000F10F2" w14:paraId="0D5A720A" w14:textId="77777777" w:rsidTr="006B45F2">
        <w:trPr>
          <w:trHeight w:val="300"/>
        </w:trPr>
        <w:tc>
          <w:tcPr>
            <w:tcW w:w="2268" w:type="dxa"/>
            <w:noWrap/>
            <w:hideMark/>
          </w:tcPr>
          <w:p w14:paraId="4989DCE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1.97</w:t>
            </w:r>
          </w:p>
        </w:tc>
        <w:tc>
          <w:tcPr>
            <w:tcW w:w="2430" w:type="dxa"/>
            <w:noWrap/>
            <w:hideMark/>
          </w:tcPr>
          <w:p w14:paraId="48ED18C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4ADCA2B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B95DB5C" w14:textId="77777777" w:rsidTr="006B45F2">
        <w:trPr>
          <w:trHeight w:val="300"/>
        </w:trPr>
        <w:tc>
          <w:tcPr>
            <w:tcW w:w="2268" w:type="dxa"/>
            <w:noWrap/>
            <w:hideMark/>
          </w:tcPr>
          <w:p w14:paraId="61D5A84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2.95</w:t>
            </w:r>
          </w:p>
        </w:tc>
        <w:tc>
          <w:tcPr>
            <w:tcW w:w="2430" w:type="dxa"/>
            <w:noWrap/>
            <w:hideMark/>
          </w:tcPr>
          <w:p w14:paraId="5CA5599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0±0ᵈ</w:t>
            </w:r>
          </w:p>
        </w:tc>
        <w:tc>
          <w:tcPr>
            <w:tcW w:w="1080" w:type="dxa"/>
          </w:tcPr>
          <w:p w14:paraId="4E6A359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14:paraId="1F0D308A" w14:textId="77777777" w:rsidR="00FD0B64" w:rsidRPr="000F10F2" w:rsidRDefault="00FD0B64" w:rsidP="00FD0B64">
      <w:pPr>
        <w:pStyle w:val="NormalWeb"/>
        <w:jc w:val="both"/>
        <w:rPr>
          <w:sz w:val="20"/>
          <w:szCs w:val="20"/>
        </w:rPr>
      </w:pPr>
    </w:p>
    <w:p w14:paraId="580BE8FC" w14:textId="77777777" w:rsidR="00FD0B64" w:rsidRPr="000F10F2" w:rsidRDefault="00FD0B64" w:rsidP="00FD0B64">
      <w:pPr>
        <w:pStyle w:val="NormalWeb"/>
        <w:jc w:val="both"/>
        <w:rPr>
          <w:sz w:val="20"/>
          <w:szCs w:val="20"/>
        </w:rPr>
      </w:pPr>
    </w:p>
    <w:p w14:paraId="5BF5F6FE" w14:textId="77777777" w:rsidR="00FD0B64" w:rsidRPr="000F10F2" w:rsidRDefault="00FD0B64" w:rsidP="00FD0B64">
      <w:pPr>
        <w:pStyle w:val="NormalWeb"/>
        <w:jc w:val="both"/>
        <w:rPr>
          <w:sz w:val="20"/>
          <w:szCs w:val="20"/>
        </w:rPr>
      </w:pPr>
    </w:p>
    <w:p w14:paraId="06115A40" w14:textId="77777777" w:rsidR="00FD0B64" w:rsidRPr="000F10F2" w:rsidRDefault="00FD0B64" w:rsidP="00FD0B64">
      <w:pPr>
        <w:pStyle w:val="NormalWeb"/>
        <w:jc w:val="both"/>
        <w:rPr>
          <w:sz w:val="20"/>
          <w:szCs w:val="20"/>
        </w:rPr>
      </w:pPr>
    </w:p>
    <w:p w14:paraId="62BFF2E9" w14:textId="77777777" w:rsidR="00FD0B64" w:rsidRPr="000F10F2" w:rsidRDefault="00FD0B64" w:rsidP="00FD0B64">
      <w:pPr>
        <w:pStyle w:val="NormalWeb"/>
        <w:jc w:val="both"/>
        <w:rPr>
          <w:sz w:val="20"/>
          <w:szCs w:val="20"/>
        </w:rPr>
      </w:pPr>
    </w:p>
    <w:p w14:paraId="78D6AE2E" w14:textId="77777777" w:rsidR="00FD0B64" w:rsidRPr="000F10F2" w:rsidRDefault="00FD0B64" w:rsidP="00FD0B64">
      <w:pPr>
        <w:pStyle w:val="NormalWeb"/>
        <w:jc w:val="both"/>
        <w:rPr>
          <w:sz w:val="20"/>
          <w:szCs w:val="20"/>
        </w:rPr>
      </w:pPr>
    </w:p>
    <w:p w14:paraId="5EE51D3C" w14:textId="77777777" w:rsidR="00FD0B64" w:rsidRPr="000F10F2" w:rsidRDefault="00FD0B64" w:rsidP="00FD0B64">
      <w:pPr>
        <w:pStyle w:val="NormalWeb"/>
        <w:jc w:val="both"/>
        <w:rPr>
          <w:sz w:val="20"/>
          <w:szCs w:val="20"/>
        </w:rPr>
      </w:pPr>
    </w:p>
    <w:p w14:paraId="169F70D3" w14:textId="77777777" w:rsidR="00FD0B64" w:rsidRPr="000F10F2" w:rsidRDefault="00FD0B64" w:rsidP="00FD0B64">
      <w:pPr>
        <w:pStyle w:val="NormalWeb"/>
        <w:jc w:val="both"/>
        <w:rPr>
          <w:sz w:val="20"/>
          <w:szCs w:val="20"/>
        </w:rPr>
      </w:pPr>
    </w:p>
    <w:p w14:paraId="7DB802F3" w14:textId="77777777" w:rsidR="00FD0B64" w:rsidRPr="000F10F2" w:rsidRDefault="00FD0B64" w:rsidP="00FD0B64">
      <w:pPr>
        <w:pStyle w:val="NormalWeb"/>
        <w:jc w:val="both"/>
        <w:rPr>
          <w:sz w:val="20"/>
          <w:szCs w:val="20"/>
        </w:rPr>
      </w:pPr>
    </w:p>
    <w:p w14:paraId="17561C3E" w14:textId="77777777" w:rsidR="00FD0B64" w:rsidRPr="000F10F2" w:rsidRDefault="00FD0B64" w:rsidP="00FD0B64">
      <w:pPr>
        <w:pStyle w:val="NormalWeb"/>
        <w:jc w:val="both"/>
        <w:rPr>
          <w:b/>
          <w:sz w:val="20"/>
          <w:szCs w:val="20"/>
        </w:rPr>
      </w:pPr>
    </w:p>
    <w:p w14:paraId="5D8622A8" w14:textId="77777777" w:rsidR="00FD0B64" w:rsidRPr="000F10F2" w:rsidRDefault="00FD0B64" w:rsidP="00FD0B64">
      <w:pPr>
        <w:pStyle w:val="NormalWeb"/>
        <w:jc w:val="both"/>
        <w:rPr>
          <w:b/>
          <w:sz w:val="20"/>
          <w:szCs w:val="20"/>
        </w:rPr>
      </w:pPr>
    </w:p>
    <w:p w14:paraId="7DEC6058" w14:textId="77777777" w:rsidR="00FD0B64" w:rsidRPr="000F10F2" w:rsidRDefault="00FD0B64" w:rsidP="00FD0B64">
      <w:pPr>
        <w:pStyle w:val="NormalWeb"/>
        <w:jc w:val="both"/>
        <w:rPr>
          <w:b/>
          <w:sz w:val="20"/>
          <w:szCs w:val="20"/>
        </w:rPr>
      </w:pPr>
      <w:r w:rsidRPr="000F10F2">
        <w:rPr>
          <w:b/>
          <w:sz w:val="20"/>
          <w:szCs w:val="20"/>
        </w:rPr>
        <w:t>Table 4: The effect of</w:t>
      </w:r>
      <w:r w:rsidRPr="000F10F2">
        <w:rPr>
          <w:sz w:val="20"/>
          <w:szCs w:val="20"/>
        </w:rPr>
        <w:t xml:space="preserve"> </w:t>
      </w:r>
      <w:r w:rsidRPr="000F10F2">
        <w:rPr>
          <w:rStyle w:val="Strong"/>
          <w:sz w:val="20"/>
          <w:szCs w:val="20"/>
        </w:rPr>
        <w:t xml:space="preserve">auxins (IAA, IBA, NAA) </w:t>
      </w:r>
      <w:r w:rsidRPr="000F10F2">
        <w:rPr>
          <w:b/>
          <w:sz w:val="20"/>
          <w:szCs w:val="20"/>
        </w:rPr>
        <w:t>on</w:t>
      </w:r>
      <w:r w:rsidRPr="000F10F2">
        <w:rPr>
          <w:sz w:val="20"/>
          <w:szCs w:val="20"/>
        </w:rPr>
        <w:t xml:space="preserve"> </w:t>
      </w:r>
      <w:r w:rsidRPr="000F10F2">
        <w:rPr>
          <w:rStyle w:val="Strong"/>
          <w:sz w:val="20"/>
          <w:szCs w:val="20"/>
        </w:rPr>
        <w:t>hairy root induction from leaves</w:t>
      </w:r>
      <w:r w:rsidRPr="000F10F2">
        <w:rPr>
          <w:sz w:val="20"/>
          <w:szCs w:val="20"/>
        </w:rPr>
        <w:t xml:space="preserve">. </w:t>
      </w:r>
      <w:r w:rsidRPr="000F10F2">
        <w:rPr>
          <w:rStyle w:val="Strong"/>
          <w:sz w:val="20"/>
          <w:szCs w:val="20"/>
        </w:rPr>
        <w:t>Hairy Root Induction frequency (%)</w:t>
      </w:r>
      <w:r w:rsidRPr="000F10F2">
        <w:rPr>
          <w:sz w:val="20"/>
          <w:szCs w:val="20"/>
        </w:rPr>
        <w:t xml:space="preserve"> </w:t>
      </w:r>
      <w:r w:rsidRPr="000F10F2">
        <w:rPr>
          <w:b/>
          <w:sz w:val="20"/>
          <w:szCs w:val="20"/>
        </w:rPr>
        <w:t>is expressed as</w:t>
      </w:r>
      <w:r w:rsidRPr="000F10F2">
        <w:rPr>
          <w:sz w:val="20"/>
          <w:szCs w:val="20"/>
        </w:rPr>
        <w:t xml:space="preserve"> </w:t>
      </w:r>
      <w:r w:rsidRPr="000F10F2">
        <w:rPr>
          <w:rStyle w:val="Strong"/>
          <w:sz w:val="20"/>
          <w:szCs w:val="20"/>
        </w:rPr>
        <w:t>mean ± SE</w:t>
      </w:r>
      <w:r w:rsidRPr="000F10F2">
        <w:rPr>
          <w:sz w:val="20"/>
          <w:szCs w:val="20"/>
        </w:rPr>
        <w:t xml:space="preserve"> </w:t>
      </w:r>
      <w:r w:rsidRPr="000F10F2">
        <w:rPr>
          <w:b/>
          <w:sz w:val="20"/>
          <w:szCs w:val="20"/>
        </w:rPr>
        <w:t>with</w:t>
      </w:r>
      <w:r w:rsidRPr="000F10F2">
        <w:rPr>
          <w:sz w:val="20"/>
          <w:szCs w:val="20"/>
        </w:rPr>
        <w:t xml:space="preserve">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Pr="000F10F2">
        <w:rPr>
          <w:sz w:val="20"/>
          <w:szCs w:val="20"/>
        </w:rPr>
        <w:t xml:space="preserve"> </w:t>
      </w:r>
      <w:r w:rsidRPr="000F10F2">
        <w:rPr>
          <w:b/>
          <w:sz w:val="20"/>
          <w:szCs w:val="20"/>
        </w:rPr>
        <w:t>calculated using</w:t>
      </w:r>
      <w:r w:rsidRPr="000F10F2">
        <w:rPr>
          <w:sz w:val="20"/>
          <w:szCs w:val="20"/>
        </w:rPr>
        <w:t xml:space="preserve"> </w:t>
      </w:r>
      <w:r w:rsidRPr="000F10F2">
        <w:rPr>
          <w:rStyle w:val="Strong"/>
          <w:sz w:val="20"/>
          <w:szCs w:val="20"/>
        </w:rPr>
        <w:t>NAA 2.15 / IBA 2.95 (93.75%) as 100%</w:t>
      </w:r>
      <w:r w:rsidRPr="000F10F2">
        <w:rPr>
          <w:b/>
          <w:sz w:val="20"/>
          <w:szCs w:val="20"/>
        </w:rPr>
        <w:t xml:space="preserve">. </w:t>
      </w:r>
    </w:p>
    <w:p w14:paraId="7038FD96" w14:textId="77777777" w:rsidR="00FD0B64" w:rsidRPr="000F10F2" w:rsidRDefault="00EB6458" w:rsidP="00FD0B64">
      <w:pPr>
        <w:pStyle w:val="NormalWeb"/>
        <w:jc w:val="both"/>
        <w:rPr>
          <w:sz w:val="20"/>
          <w:szCs w:val="20"/>
        </w:rPr>
      </w:pPr>
      <w:r>
        <w:rPr>
          <w:noProof/>
          <w:sz w:val="20"/>
          <w:szCs w:val="20"/>
        </w:rPr>
        <w:pict w14:anchorId="481FEDE9">
          <v:shape id="_x0000_s1038" type="#_x0000_t202" style="position:absolute;left:0;text-align:left;margin-left:-10.2pt;margin-top:7.5pt;width:23.1pt;height:134.9pt;z-index:251658240" strokecolor="white [3212]">
            <v:textbox style="layout-flow:vertical;mso-layout-flow-alt:bottom-to-top">
              <w:txbxContent>
                <w:p w14:paraId="5598439D" w14:textId="77777777" w:rsidR="00DB0039" w:rsidRPr="0008547C" w:rsidRDefault="00DB0039" w:rsidP="00FD0B64">
                  <w:pPr>
                    <w:rPr>
                      <w:rFonts w:ascii="Times New Roman" w:hAnsi="Times New Roman" w:cs="Times New Roman"/>
                      <w:b/>
                      <w:sz w:val="16"/>
                      <w:szCs w:val="16"/>
                    </w:rPr>
                  </w:pPr>
                  <w:r w:rsidRPr="0008547C">
                    <w:rPr>
                      <w:rFonts w:ascii="Times New Roman" w:hAnsi="Times New Roman" w:cs="Times New Roman"/>
                      <w:b/>
                      <w:sz w:val="16"/>
                      <w:szCs w:val="16"/>
                    </w:rPr>
                    <w:t>Hairy root induction frequency</w:t>
                  </w:r>
                  <w:r>
                    <w:rPr>
                      <w:rFonts w:ascii="Times New Roman" w:hAnsi="Times New Roman" w:cs="Times New Roman"/>
                      <w:b/>
                      <w:sz w:val="16"/>
                      <w:szCs w:val="16"/>
                    </w:rPr>
                    <w:t xml:space="preserve"> (%)</w:t>
                  </w:r>
                </w:p>
              </w:txbxContent>
            </v:textbox>
          </v:shape>
        </w:pict>
      </w:r>
      <w:r>
        <w:rPr>
          <w:noProof/>
          <w:sz w:val="20"/>
          <w:szCs w:val="20"/>
        </w:rPr>
        <w:pict w14:anchorId="0BF6DF6F">
          <v:shape id="_x0000_s1037" type="#_x0000_t202" style="position:absolute;left:0;text-align:left;margin-left:126.8pt;margin-top:203.65pt;width:126.25pt;height:18.25pt;z-index:251659264" strokecolor="white [3212]">
            <v:textbox>
              <w:txbxContent>
                <w:p w14:paraId="7863E126" w14:textId="77777777" w:rsidR="00DB0039" w:rsidRPr="0008547C" w:rsidRDefault="00DB0039" w:rsidP="00FD0B64">
                  <w:pPr>
                    <w:rPr>
                      <w:rFonts w:ascii="Times New Roman" w:hAnsi="Times New Roman" w:cs="Times New Roman"/>
                      <w:b/>
                      <w:sz w:val="16"/>
                      <w:szCs w:val="16"/>
                    </w:rPr>
                  </w:pPr>
                  <w:r w:rsidRPr="0008547C">
                    <w:rPr>
                      <w:rFonts w:ascii="Times New Roman" w:hAnsi="Times New Roman" w:cs="Times New Roman"/>
                      <w:b/>
                      <w:sz w:val="16"/>
                      <w:szCs w:val="16"/>
                    </w:rPr>
                    <w:t>Treatment</w:t>
                  </w:r>
                  <w:r>
                    <w:rPr>
                      <w:rFonts w:ascii="Times New Roman" w:hAnsi="Times New Roman" w:cs="Times New Roman"/>
                      <w:b/>
                      <w:sz w:val="16"/>
                      <w:szCs w:val="16"/>
                    </w:rPr>
                    <w:t xml:space="preserve"> </w:t>
                  </w:r>
                  <w:r w:rsidRPr="0008547C">
                    <w:rPr>
                      <w:rFonts w:ascii="Times New Roman" w:hAnsi="Times New Roman" w:cs="Times New Roman"/>
                      <w:b/>
                      <w:sz w:val="16"/>
                      <w:szCs w:val="16"/>
                    </w:rPr>
                    <w:t>(</w:t>
                  </w:r>
                  <w:proofErr w:type="spellStart"/>
                  <w:r w:rsidRPr="0008547C">
                    <w:rPr>
                      <w:rFonts w:ascii="Times New Roman" w:hAnsi="Times New Roman" w:cs="Times New Roman"/>
                      <w:b/>
                      <w:bCs/>
                      <w:sz w:val="16"/>
                      <w:szCs w:val="16"/>
                    </w:rPr>
                    <w:t>μM</w:t>
                  </w:r>
                  <w:proofErr w:type="spellEnd"/>
                  <w:r w:rsidRPr="0008547C">
                    <w:rPr>
                      <w:rFonts w:ascii="Times New Roman" w:hAnsi="Times New Roman" w:cs="Times New Roman"/>
                      <w:b/>
                      <w:bCs/>
                      <w:sz w:val="16"/>
                      <w:szCs w:val="16"/>
                    </w:rPr>
                    <w:t>)</w:t>
                  </w:r>
                </w:p>
              </w:txbxContent>
            </v:textbox>
          </v:shape>
        </w:pict>
      </w:r>
      <w:r w:rsidR="00FD0B64" w:rsidRPr="000F10F2">
        <w:rPr>
          <w:noProof/>
          <w:sz w:val="20"/>
          <w:szCs w:val="20"/>
        </w:rPr>
        <w:drawing>
          <wp:inline distT="0" distB="0" distL="0" distR="0" wp14:anchorId="18E66C5C" wp14:editId="35CD80C7">
            <wp:extent cx="4572000" cy="2743200"/>
            <wp:effectExtent l="0" t="0" r="0" b="0"/>
            <wp:docPr id="4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6559CE" w14:textId="75F5279D" w:rsidR="00FD0B64" w:rsidRDefault="00FD0B64" w:rsidP="00FD0B64">
      <w:pPr>
        <w:pStyle w:val="NormalWeb"/>
        <w:jc w:val="both"/>
        <w:rPr>
          <w:sz w:val="20"/>
          <w:szCs w:val="20"/>
        </w:rPr>
      </w:pPr>
      <w:r w:rsidRPr="000F10F2">
        <w:rPr>
          <w:b/>
          <w:sz w:val="20"/>
          <w:szCs w:val="20"/>
        </w:rPr>
        <w:t>Fig 1</w:t>
      </w:r>
      <w:r w:rsidR="004C7746">
        <w:rPr>
          <w:b/>
          <w:sz w:val="20"/>
          <w:szCs w:val="20"/>
        </w:rPr>
        <w:t>2</w:t>
      </w:r>
      <w:r w:rsidRPr="000F10F2">
        <w:rPr>
          <w:b/>
          <w:sz w:val="20"/>
          <w:szCs w:val="20"/>
        </w:rPr>
        <w:t>: The bar graph shows the effects of different auxins (NAA, IAA and IBA). NAA 2.15/ IBA 2.95</w:t>
      </w:r>
      <w:r w:rsidRPr="000F10F2">
        <w:rPr>
          <w:b/>
          <w:bCs/>
          <w:sz w:val="20"/>
          <w:szCs w:val="20"/>
        </w:rPr>
        <w:t>μM</w:t>
      </w:r>
      <w:r w:rsidRPr="000F10F2">
        <w:rPr>
          <w:b/>
          <w:sz w:val="20"/>
          <w:szCs w:val="20"/>
        </w:rPr>
        <w:t xml:space="preserve"> exhibit the highest response, while certain combinations also show moderate effects. No response was observed in NAA and IAA.</w:t>
      </w:r>
      <w:r w:rsidRPr="000F10F2">
        <w:rPr>
          <w:sz w:val="20"/>
          <w:szCs w:val="20"/>
        </w:rPr>
        <w:t xml:space="preserve"> </w:t>
      </w:r>
    </w:p>
    <w:p w14:paraId="2C33067C" w14:textId="77777777" w:rsidR="0007229A" w:rsidRPr="0081433B" w:rsidRDefault="0081433B" w:rsidP="0081433B">
      <w:pPr>
        <w:pStyle w:val="NormalWeb"/>
        <w:spacing w:line="360" w:lineRule="auto"/>
        <w:jc w:val="both"/>
        <w:rPr>
          <w:sz w:val="20"/>
          <w:szCs w:val="20"/>
        </w:rPr>
      </w:pPr>
      <w:r w:rsidRPr="0081433B">
        <w:rPr>
          <w:sz w:val="20"/>
          <w:szCs w:val="20"/>
        </w:rPr>
        <w:t>I</w:t>
      </w:r>
      <w:r w:rsidR="0007229A" w:rsidRPr="0081433B">
        <w:rPr>
          <w:sz w:val="20"/>
          <w:szCs w:val="20"/>
        </w:rPr>
        <w:t xml:space="preserve">ndividual treatments of IAA at both concentrations tested did not induce hairy roots, whereas IBA (2.95 </w:t>
      </w:r>
      <w:proofErr w:type="spellStart"/>
      <w:r w:rsidR="0007229A" w:rsidRPr="0081433B">
        <w:rPr>
          <w:sz w:val="20"/>
          <w:szCs w:val="20"/>
        </w:rPr>
        <w:t>μM</w:t>
      </w:r>
      <w:proofErr w:type="spellEnd"/>
      <w:r w:rsidR="0007229A" w:rsidRPr="0081433B">
        <w:rPr>
          <w:sz w:val="20"/>
          <w:szCs w:val="20"/>
        </w:rPr>
        <w:t xml:space="preserve">) and NAA (2.15 </w:t>
      </w:r>
      <w:proofErr w:type="spellStart"/>
      <w:r w:rsidR="0007229A" w:rsidRPr="0081433B">
        <w:rPr>
          <w:sz w:val="20"/>
          <w:szCs w:val="20"/>
        </w:rPr>
        <w:t>μM</w:t>
      </w:r>
      <w:proofErr w:type="spellEnd"/>
      <w:r w:rsidR="0007229A" w:rsidRPr="0081433B">
        <w:rPr>
          <w:sz w:val="20"/>
          <w:szCs w:val="20"/>
        </w:rPr>
        <w:t xml:space="preserve">) alone produced moderate responses with 31.25% and 37.5% induction frequency, corresponding to </w:t>
      </w:r>
      <w:r w:rsidR="0007229A" w:rsidRPr="0081433B">
        <w:rPr>
          <w:sz w:val="20"/>
          <w:szCs w:val="20"/>
        </w:rPr>
        <w:lastRenderedPageBreak/>
        <w:t xml:space="preserve">relative efficiencies of 33.33% and 40%, respectively. </w:t>
      </w:r>
      <w:r>
        <w:rPr>
          <w:sz w:val="20"/>
          <w:szCs w:val="20"/>
        </w:rPr>
        <w:t>T</w:t>
      </w:r>
      <w:r w:rsidR="0007229A" w:rsidRPr="0081433B">
        <w:rPr>
          <w:sz w:val="20"/>
          <w:szCs w:val="20"/>
        </w:rPr>
        <w:t xml:space="preserve">he combination of </w:t>
      </w:r>
      <w:r>
        <w:rPr>
          <w:sz w:val="20"/>
          <w:szCs w:val="20"/>
        </w:rPr>
        <w:t xml:space="preserve">NAA (2.15 </w:t>
      </w:r>
      <w:proofErr w:type="spellStart"/>
      <w:r>
        <w:rPr>
          <w:sz w:val="20"/>
          <w:szCs w:val="20"/>
        </w:rPr>
        <w:t>μM</w:t>
      </w:r>
      <w:proofErr w:type="spellEnd"/>
      <w:r>
        <w:rPr>
          <w:sz w:val="20"/>
          <w:szCs w:val="20"/>
        </w:rPr>
        <w:t xml:space="preserve">) and IBA (2.95 </w:t>
      </w:r>
      <w:proofErr w:type="spellStart"/>
      <w:r>
        <w:rPr>
          <w:sz w:val="20"/>
          <w:szCs w:val="20"/>
        </w:rPr>
        <w:t>μM</w:t>
      </w:r>
      <w:proofErr w:type="spellEnd"/>
      <w:r>
        <w:rPr>
          <w:sz w:val="20"/>
          <w:szCs w:val="20"/>
        </w:rPr>
        <w:t>)</w:t>
      </w:r>
      <w:r w:rsidR="0007229A" w:rsidRPr="0081433B">
        <w:rPr>
          <w:sz w:val="20"/>
          <w:szCs w:val="20"/>
        </w:rPr>
        <w:t xml:space="preserve"> resulted in a significantly higher induction frequency of 93.75% with 100% relative efficiency, indicating a strong synergistic effect of these auxins. In contrast, higher NAA concentration (3.22 </w:t>
      </w:r>
      <w:proofErr w:type="spellStart"/>
      <w:r w:rsidR="0007229A" w:rsidRPr="0081433B">
        <w:rPr>
          <w:sz w:val="20"/>
          <w:szCs w:val="20"/>
        </w:rPr>
        <w:t>μM</w:t>
      </w:r>
      <w:proofErr w:type="spellEnd"/>
      <w:r w:rsidR="0007229A" w:rsidRPr="0081433B">
        <w:rPr>
          <w:sz w:val="20"/>
          <w:szCs w:val="20"/>
        </w:rPr>
        <w:t xml:space="preserve">) alone or in combination with either IAA or IBA failed to induce hairy roots. The combination of NAA (2.15 </w:t>
      </w:r>
      <w:proofErr w:type="spellStart"/>
      <w:r w:rsidR="0007229A" w:rsidRPr="0081433B">
        <w:rPr>
          <w:sz w:val="20"/>
          <w:szCs w:val="20"/>
        </w:rPr>
        <w:t>μM</w:t>
      </w:r>
      <w:proofErr w:type="spellEnd"/>
      <w:r w:rsidR="0007229A" w:rsidRPr="0081433B">
        <w:rPr>
          <w:sz w:val="20"/>
          <w:szCs w:val="20"/>
        </w:rPr>
        <w:t xml:space="preserve">) with a lower concentration of IBA (1.97 </w:t>
      </w:r>
      <w:proofErr w:type="spellStart"/>
      <w:r w:rsidR="0007229A" w:rsidRPr="0081433B">
        <w:rPr>
          <w:sz w:val="20"/>
          <w:szCs w:val="20"/>
        </w:rPr>
        <w:t>μM</w:t>
      </w:r>
      <w:proofErr w:type="spellEnd"/>
      <w:r w:rsidR="0007229A" w:rsidRPr="0081433B">
        <w:rPr>
          <w:sz w:val="20"/>
          <w:szCs w:val="20"/>
        </w:rPr>
        <w:t>) showed limited ind</w:t>
      </w:r>
      <w:r>
        <w:rPr>
          <w:sz w:val="20"/>
          <w:szCs w:val="20"/>
        </w:rPr>
        <w:t>uction (21.87%), while all NAA and</w:t>
      </w:r>
      <w:r w:rsidR="0007229A" w:rsidRPr="0081433B">
        <w:rPr>
          <w:sz w:val="20"/>
          <w:szCs w:val="20"/>
        </w:rPr>
        <w:t xml:space="preserve"> IAA combinations remained ineffective. These findings suggest that optimum concentrations of NAA and IBA act synergistically to promote hairy root induction, whereas IAA alone or in combination with NAA does not contribute effectively.</w:t>
      </w:r>
    </w:p>
    <w:p w14:paraId="3C8C83EF" w14:textId="77777777" w:rsidR="00FD0B64" w:rsidRPr="000F10F2" w:rsidRDefault="00FD0B64" w:rsidP="00FD0B64">
      <w:pPr>
        <w:pStyle w:val="NormalWeb"/>
        <w:jc w:val="both"/>
        <w:rPr>
          <w:sz w:val="20"/>
          <w:szCs w:val="20"/>
        </w:rPr>
      </w:pPr>
    </w:p>
    <w:tbl>
      <w:tblPr>
        <w:tblStyle w:val="TableGrid"/>
        <w:tblW w:w="6948" w:type="dxa"/>
        <w:tblLook w:val="04A0" w:firstRow="1" w:lastRow="0" w:firstColumn="1" w:lastColumn="0" w:noHBand="0" w:noVBand="1"/>
      </w:tblPr>
      <w:tblGrid>
        <w:gridCol w:w="2358"/>
        <w:gridCol w:w="2340"/>
        <w:gridCol w:w="2250"/>
      </w:tblGrid>
      <w:tr w:rsidR="00FD0B64" w:rsidRPr="000F10F2" w14:paraId="58E79325" w14:textId="77777777" w:rsidTr="006B45F2">
        <w:trPr>
          <w:trHeight w:val="300"/>
        </w:trPr>
        <w:tc>
          <w:tcPr>
            <w:tcW w:w="2358" w:type="dxa"/>
            <w:noWrap/>
            <w:hideMark/>
          </w:tcPr>
          <w:p w14:paraId="75AE4D33" w14:textId="77777777" w:rsidR="00FD0B64" w:rsidRPr="000F10F2" w:rsidRDefault="00FD0B64" w:rsidP="006B45F2">
            <w:pPr>
              <w:rPr>
                <w:rFonts w:ascii="Times New Roman" w:eastAsia="Times New Roman" w:hAnsi="Times New Roman" w:cs="Times New Roman"/>
                <w:b/>
                <w:bCs/>
                <w:color w:val="000000"/>
                <w:sz w:val="20"/>
                <w:szCs w:val="20"/>
              </w:rPr>
            </w:pPr>
            <w:r w:rsidRPr="000F10F2">
              <w:rPr>
                <w:rFonts w:ascii="Times New Roman" w:eastAsia="Times New Roman" w:hAnsi="Times New Roman" w:cs="Times New Roman"/>
                <w:b/>
                <w:bCs/>
                <w:color w:val="000000"/>
                <w:sz w:val="20"/>
                <w:szCs w:val="20"/>
              </w:rPr>
              <w:t xml:space="preserve">Treatment </w:t>
            </w:r>
            <w:r w:rsidRPr="000F10F2">
              <w:rPr>
                <w:rFonts w:ascii="Times New Roman" w:eastAsia="Times New Roman" w:hAnsi="Times New Roman" w:cs="Times New Roman"/>
                <w:b/>
                <w:bCs/>
                <w:sz w:val="20"/>
                <w:szCs w:val="20"/>
              </w:rPr>
              <w:t>(</w:t>
            </w:r>
            <w:r w:rsidRPr="000F10F2">
              <w:rPr>
                <w:rFonts w:ascii="Times New Roman" w:hAnsi="Times New Roman" w:cs="Times New Roman"/>
                <w:b/>
                <w:bCs/>
                <w:sz w:val="20"/>
                <w:szCs w:val="20"/>
                <w:lang w:val="el-GR"/>
              </w:rPr>
              <w:t>μ</w:t>
            </w:r>
            <w:r w:rsidRPr="000F10F2">
              <w:rPr>
                <w:rFonts w:ascii="Times New Roman" w:hAnsi="Times New Roman" w:cs="Times New Roman"/>
                <w:b/>
                <w:bCs/>
                <w:sz w:val="20"/>
                <w:szCs w:val="20"/>
              </w:rPr>
              <w:t>M)</w:t>
            </w:r>
          </w:p>
        </w:tc>
        <w:tc>
          <w:tcPr>
            <w:tcW w:w="2340" w:type="dxa"/>
            <w:noWrap/>
            <w:hideMark/>
          </w:tcPr>
          <w:p w14:paraId="3AD49484" w14:textId="77777777" w:rsidR="00FD0B64" w:rsidRPr="000F10F2" w:rsidRDefault="00FD0B64" w:rsidP="006B45F2">
            <w:pPr>
              <w:rPr>
                <w:rFonts w:ascii="Times New Roman" w:eastAsia="Times New Roman" w:hAnsi="Times New Roman" w:cs="Times New Roman"/>
                <w:b/>
                <w:bCs/>
                <w:color w:val="000000"/>
                <w:sz w:val="20"/>
                <w:szCs w:val="20"/>
              </w:rPr>
            </w:pPr>
            <w:r w:rsidRPr="000F10F2">
              <w:rPr>
                <w:rFonts w:ascii="Times New Roman" w:eastAsia="Times New Roman" w:hAnsi="Times New Roman" w:cs="Times New Roman"/>
                <w:b/>
                <w:bCs/>
                <w:color w:val="000000"/>
                <w:sz w:val="20"/>
                <w:szCs w:val="20"/>
              </w:rPr>
              <w:t>Hairy root induction frequency (%)</w:t>
            </w:r>
          </w:p>
        </w:tc>
        <w:tc>
          <w:tcPr>
            <w:tcW w:w="2250" w:type="dxa"/>
          </w:tcPr>
          <w:p w14:paraId="08525084" w14:textId="77777777" w:rsidR="00FD0B64" w:rsidRPr="000F10F2" w:rsidRDefault="00FD0B64" w:rsidP="006B45F2">
            <w:pPr>
              <w:ind w:right="-108"/>
              <w:rPr>
                <w:rFonts w:ascii="Times New Roman" w:eastAsia="Times New Roman" w:hAnsi="Times New Roman" w:cs="Times New Roman"/>
                <w:b/>
                <w:bCs/>
                <w:color w:val="000000"/>
                <w:sz w:val="20"/>
                <w:szCs w:val="20"/>
              </w:rPr>
            </w:pPr>
            <w:r w:rsidRPr="000F10F2">
              <w:rPr>
                <w:rFonts w:ascii="Times New Roman" w:eastAsia="Times New Roman" w:hAnsi="Times New Roman" w:cs="Times New Roman"/>
                <w:b/>
                <w:bCs/>
                <w:color w:val="000000"/>
                <w:sz w:val="20"/>
                <w:szCs w:val="20"/>
              </w:rPr>
              <w:t xml:space="preserve">Relative Efficiency </w:t>
            </w:r>
            <w:proofErr w:type="gramStart"/>
            <w:r w:rsidRPr="000F10F2">
              <w:rPr>
                <w:rFonts w:ascii="Times New Roman" w:eastAsia="Times New Roman" w:hAnsi="Times New Roman" w:cs="Times New Roman"/>
                <w:b/>
                <w:bCs/>
                <w:color w:val="000000"/>
                <w:sz w:val="20"/>
                <w:szCs w:val="20"/>
              </w:rPr>
              <w:t xml:space="preserve">   (</w:t>
            </w:r>
            <w:proofErr w:type="gramEnd"/>
            <w:r w:rsidRPr="000F10F2">
              <w:rPr>
                <w:rFonts w:ascii="Times New Roman" w:eastAsia="Times New Roman" w:hAnsi="Times New Roman" w:cs="Times New Roman"/>
                <w:b/>
                <w:bCs/>
                <w:color w:val="000000"/>
                <w:sz w:val="20"/>
                <w:szCs w:val="20"/>
              </w:rPr>
              <w:t>%)</w:t>
            </w:r>
          </w:p>
        </w:tc>
      </w:tr>
      <w:tr w:rsidR="00FD0B64" w:rsidRPr="000F10F2" w14:paraId="7DED0C81" w14:textId="77777777" w:rsidTr="006B45F2">
        <w:trPr>
          <w:trHeight w:val="300"/>
        </w:trPr>
        <w:tc>
          <w:tcPr>
            <w:tcW w:w="2358" w:type="dxa"/>
            <w:noWrap/>
            <w:hideMark/>
          </w:tcPr>
          <w:p w14:paraId="4704DF5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Control</w:t>
            </w:r>
          </w:p>
        </w:tc>
        <w:tc>
          <w:tcPr>
            <w:tcW w:w="2340" w:type="dxa"/>
            <w:noWrap/>
            <w:hideMark/>
          </w:tcPr>
          <w:p w14:paraId="20F7D6F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5EFF29A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3C3323AC" w14:textId="77777777" w:rsidTr="006B45F2">
        <w:trPr>
          <w:trHeight w:val="300"/>
        </w:trPr>
        <w:tc>
          <w:tcPr>
            <w:tcW w:w="2358" w:type="dxa"/>
            <w:noWrap/>
            <w:hideMark/>
          </w:tcPr>
          <w:p w14:paraId="0A05BD3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2.28</w:t>
            </w:r>
          </w:p>
        </w:tc>
        <w:tc>
          <w:tcPr>
            <w:tcW w:w="2340" w:type="dxa"/>
            <w:noWrap/>
            <w:hideMark/>
          </w:tcPr>
          <w:p w14:paraId="193855F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2147026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2A8C2080" w14:textId="77777777" w:rsidTr="006B45F2">
        <w:trPr>
          <w:trHeight w:val="300"/>
        </w:trPr>
        <w:tc>
          <w:tcPr>
            <w:tcW w:w="2358" w:type="dxa"/>
            <w:noWrap/>
            <w:hideMark/>
          </w:tcPr>
          <w:p w14:paraId="10EC4E8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IAA 3.42</w:t>
            </w:r>
          </w:p>
        </w:tc>
        <w:tc>
          <w:tcPr>
            <w:tcW w:w="2340" w:type="dxa"/>
            <w:noWrap/>
            <w:hideMark/>
          </w:tcPr>
          <w:p w14:paraId="548E8BF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7B9BFED5"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5E83C7D" w14:textId="77777777" w:rsidTr="006B45F2">
        <w:trPr>
          <w:trHeight w:val="300"/>
        </w:trPr>
        <w:tc>
          <w:tcPr>
            <w:tcW w:w="2358" w:type="dxa"/>
            <w:noWrap/>
            <w:hideMark/>
          </w:tcPr>
          <w:p w14:paraId="5CC7905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1.97</w:t>
            </w:r>
          </w:p>
        </w:tc>
        <w:tc>
          <w:tcPr>
            <w:tcW w:w="2340" w:type="dxa"/>
            <w:noWrap/>
            <w:hideMark/>
          </w:tcPr>
          <w:p w14:paraId="6EFA0CA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09C4972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0CC8584" w14:textId="77777777" w:rsidTr="006B45F2">
        <w:trPr>
          <w:trHeight w:val="300"/>
        </w:trPr>
        <w:tc>
          <w:tcPr>
            <w:tcW w:w="2358" w:type="dxa"/>
            <w:noWrap/>
            <w:hideMark/>
          </w:tcPr>
          <w:p w14:paraId="4965688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IBA 2.95</w:t>
            </w:r>
          </w:p>
        </w:tc>
        <w:tc>
          <w:tcPr>
            <w:tcW w:w="2340" w:type="dxa"/>
            <w:noWrap/>
            <w:hideMark/>
          </w:tcPr>
          <w:p w14:paraId="5267796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66A8478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9346D32" w14:textId="77777777" w:rsidTr="006B45F2">
        <w:trPr>
          <w:trHeight w:val="300"/>
        </w:trPr>
        <w:tc>
          <w:tcPr>
            <w:tcW w:w="2358" w:type="dxa"/>
            <w:noWrap/>
            <w:hideMark/>
          </w:tcPr>
          <w:p w14:paraId="212B0EBE"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w:t>
            </w:r>
          </w:p>
        </w:tc>
        <w:tc>
          <w:tcPr>
            <w:tcW w:w="2340" w:type="dxa"/>
            <w:noWrap/>
            <w:hideMark/>
          </w:tcPr>
          <w:p w14:paraId="0BE1572F"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93.75±6.25ᵃ</w:t>
            </w:r>
          </w:p>
        </w:tc>
        <w:tc>
          <w:tcPr>
            <w:tcW w:w="2250" w:type="dxa"/>
          </w:tcPr>
          <w:p w14:paraId="5EDA567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100</w:t>
            </w:r>
          </w:p>
        </w:tc>
      </w:tr>
      <w:tr w:rsidR="00FD0B64" w:rsidRPr="000F10F2" w14:paraId="19BC9140" w14:textId="77777777" w:rsidTr="006B45F2">
        <w:trPr>
          <w:trHeight w:val="300"/>
        </w:trPr>
        <w:tc>
          <w:tcPr>
            <w:tcW w:w="2358" w:type="dxa"/>
            <w:noWrap/>
            <w:hideMark/>
          </w:tcPr>
          <w:p w14:paraId="6B4E001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w:t>
            </w:r>
          </w:p>
        </w:tc>
        <w:tc>
          <w:tcPr>
            <w:tcW w:w="2340" w:type="dxa"/>
            <w:noWrap/>
            <w:hideMark/>
          </w:tcPr>
          <w:p w14:paraId="2A654B0B"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0AFCA7C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15E949F1" w14:textId="77777777" w:rsidTr="006B45F2">
        <w:trPr>
          <w:trHeight w:val="300"/>
        </w:trPr>
        <w:tc>
          <w:tcPr>
            <w:tcW w:w="2358" w:type="dxa"/>
            <w:noWrap/>
            <w:hideMark/>
          </w:tcPr>
          <w:p w14:paraId="721CFA9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2.28</w:t>
            </w:r>
          </w:p>
        </w:tc>
        <w:tc>
          <w:tcPr>
            <w:tcW w:w="2340" w:type="dxa"/>
            <w:noWrap/>
            <w:hideMark/>
          </w:tcPr>
          <w:p w14:paraId="5CC5A75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18.75±6.25ᵇ</w:t>
            </w:r>
          </w:p>
        </w:tc>
        <w:tc>
          <w:tcPr>
            <w:tcW w:w="2250" w:type="dxa"/>
          </w:tcPr>
          <w:p w14:paraId="25B117C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20</w:t>
            </w:r>
          </w:p>
        </w:tc>
      </w:tr>
      <w:tr w:rsidR="00FD0B64" w:rsidRPr="000F10F2" w14:paraId="721690BD" w14:textId="77777777" w:rsidTr="006B45F2">
        <w:trPr>
          <w:trHeight w:val="300"/>
        </w:trPr>
        <w:tc>
          <w:tcPr>
            <w:tcW w:w="2358" w:type="dxa"/>
            <w:noWrap/>
            <w:hideMark/>
          </w:tcPr>
          <w:p w14:paraId="31C65B9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IAA 3.42</w:t>
            </w:r>
          </w:p>
        </w:tc>
        <w:tc>
          <w:tcPr>
            <w:tcW w:w="2340" w:type="dxa"/>
            <w:noWrap/>
            <w:hideMark/>
          </w:tcPr>
          <w:p w14:paraId="21B3D2A6"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0AA4DF48"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70FCB2E" w14:textId="77777777" w:rsidTr="006B45F2">
        <w:trPr>
          <w:trHeight w:val="300"/>
        </w:trPr>
        <w:tc>
          <w:tcPr>
            <w:tcW w:w="2358" w:type="dxa"/>
            <w:noWrap/>
            <w:hideMark/>
          </w:tcPr>
          <w:p w14:paraId="66BB9CB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IAA 2.28</w:t>
            </w:r>
          </w:p>
        </w:tc>
        <w:tc>
          <w:tcPr>
            <w:tcW w:w="2340" w:type="dxa"/>
            <w:noWrap/>
            <w:hideMark/>
          </w:tcPr>
          <w:p w14:paraId="467814A3"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07BC8A3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722618FE" w14:textId="77777777" w:rsidTr="006B45F2">
        <w:trPr>
          <w:trHeight w:val="300"/>
        </w:trPr>
        <w:tc>
          <w:tcPr>
            <w:tcW w:w="2358" w:type="dxa"/>
            <w:noWrap/>
            <w:hideMark/>
          </w:tcPr>
          <w:p w14:paraId="63F2841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IAA 3.42</w:t>
            </w:r>
          </w:p>
        </w:tc>
        <w:tc>
          <w:tcPr>
            <w:tcW w:w="2340" w:type="dxa"/>
            <w:noWrap/>
            <w:hideMark/>
          </w:tcPr>
          <w:p w14:paraId="69C170A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3D0B361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1BF39511" w14:textId="77777777" w:rsidTr="006B45F2">
        <w:trPr>
          <w:trHeight w:val="300"/>
        </w:trPr>
        <w:tc>
          <w:tcPr>
            <w:tcW w:w="2358" w:type="dxa"/>
            <w:noWrap/>
            <w:hideMark/>
          </w:tcPr>
          <w:p w14:paraId="3A99BAE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1.97</w:t>
            </w:r>
          </w:p>
        </w:tc>
        <w:tc>
          <w:tcPr>
            <w:tcW w:w="2340" w:type="dxa"/>
            <w:noWrap/>
            <w:hideMark/>
          </w:tcPr>
          <w:p w14:paraId="36A4798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5ED7E831"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487F82A4" w14:textId="77777777" w:rsidTr="006B45F2">
        <w:trPr>
          <w:trHeight w:val="300"/>
        </w:trPr>
        <w:tc>
          <w:tcPr>
            <w:tcW w:w="2358" w:type="dxa"/>
            <w:noWrap/>
            <w:hideMark/>
          </w:tcPr>
          <w:p w14:paraId="6AAA6AEA"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2.15/ IBA 2.95</w:t>
            </w:r>
          </w:p>
        </w:tc>
        <w:tc>
          <w:tcPr>
            <w:tcW w:w="2340" w:type="dxa"/>
            <w:noWrap/>
            <w:hideMark/>
          </w:tcPr>
          <w:p w14:paraId="26D486A0"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423D6604"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6BA12E91" w14:textId="77777777" w:rsidTr="006B45F2">
        <w:trPr>
          <w:trHeight w:val="300"/>
        </w:trPr>
        <w:tc>
          <w:tcPr>
            <w:tcW w:w="2358" w:type="dxa"/>
            <w:noWrap/>
            <w:hideMark/>
          </w:tcPr>
          <w:p w14:paraId="5EC3A99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1.97</w:t>
            </w:r>
          </w:p>
        </w:tc>
        <w:tc>
          <w:tcPr>
            <w:tcW w:w="2340" w:type="dxa"/>
            <w:noWrap/>
            <w:hideMark/>
          </w:tcPr>
          <w:p w14:paraId="134DE1CC"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2DDBFDB7"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r w:rsidR="00FD0B64" w:rsidRPr="000F10F2" w14:paraId="59ED851A" w14:textId="77777777" w:rsidTr="006B45F2">
        <w:trPr>
          <w:trHeight w:val="300"/>
        </w:trPr>
        <w:tc>
          <w:tcPr>
            <w:tcW w:w="2358" w:type="dxa"/>
            <w:noWrap/>
            <w:hideMark/>
          </w:tcPr>
          <w:p w14:paraId="21846FC2"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NAA 3.22/ IBA 2.95</w:t>
            </w:r>
          </w:p>
        </w:tc>
        <w:tc>
          <w:tcPr>
            <w:tcW w:w="2340" w:type="dxa"/>
            <w:noWrap/>
            <w:hideMark/>
          </w:tcPr>
          <w:p w14:paraId="70C01B59"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0±0ᶜ</w:t>
            </w:r>
          </w:p>
        </w:tc>
        <w:tc>
          <w:tcPr>
            <w:tcW w:w="2250" w:type="dxa"/>
          </w:tcPr>
          <w:p w14:paraId="14E6162D" w14:textId="77777777" w:rsidR="00FD0B64" w:rsidRPr="000F10F2" w:rsidRDefault="00FD0B64" w:rsidP="006B45F2">
            <w:pPr>
              <w:rPr>
                <w:rFonts w:ascii="Times New Roman" w:eastAsia="Times New Roman" w:hAnsi="Times New Roman" w:cs="Times New Roman"/>
                <w:color w:val="000000"/>
                <w:sz w:val="20"/>
                <w:szCs w:val="20"/>
              </w:rPr>
            </w:pPr>
            <w:r w:rsidRPr="000F10F2">
              <w:rPr>
                <w:rFonts w:ascii="Times New Roman" w:eastAsia="Times New Roman" w:hAnsi="Times New Roman" w:cs="Times New Roman"/>
                <w:color w:val="000000"/>
                <w:sz w:val="20"/>
                <w:szCs w:val="20"/>
              </w:rPr>
              <w:t>-</w:t>
            </w:r>
          </w:p>
        </w:tc>
      </w:tr>
    </w:tbl>
    <w:p w14:paraId="08181E99" w14:textId="77777777" w:rsidR="00FD0B64" w:rsidRPr="000F10F2" w:rsidRDefault="00FD0B64" w:rsidP="00FD0B64">
      <w:pPr>
        <w:pStyle w:val="NormalWeb"/>
        <w:jc w:val="both"/>
        <w:rPr>
          <w:sz w:val="20"/>
          <w:szCs w:val="20"/>
        </w:rPr>
      </w:pPr>
      <w:r w:rsidRPr="000F10F2">
        <w:rPr>
          <w:b/>
          <w:sz w:val="20"/>
          <w:szCs w:val="20"/>
        </w:rPr>
        <w:t>Table 5: The effect of</w:t>
      </w:r>
      <w:r w:rsidRPr="000F10F2">
        <w:rPr>
          <w:sz w:val="20"/>
          <w:szCs w:val="20"/>
        </w:rPr>
        <w:t xml:space="preserve"> </w:t>
      </w:r>
      <w:r w:rsidRPr="000F10F2">
        <w:rPr>
          <w:b/>
          <w:sz w:val="20"/>
          <w:szCs w:val="20"/>
        </w:rPr>
        <w:t>auxins</w:t>
      </w:r>
      <w:r w:rsidRPr="000F10F2">
        <w:rPr>
          <w:rStyle w:val="Strong"/>
          <w:sz w:val="20"/>
          <w:szCs w:val="20"/>
        </w:rPr>
        <w:t xml:space="preserve"> (NAA, IAA and IBA)</w:t>
      </w:r>
      <w:r w:rsidRPr="000F10F2">
        <w:rPr>
          <w:sz w:val="20"/>
          <w:szCs w:val="20"/>
        </w:rPr>
        <w:t xml:space="preserve"> </w:t>
      </w:r>
      <w:r w:rsidRPr="000F10F2">
        <w:rPr>
          <w:b/>
          <w:sz w:val="20"/>
          <w:szCs w:val="20"/>
        </w:rPr>
        <w:t>on</w:t>
      </w:r>
      <w:r w:rsidRPr="000F10F2">
        <w:rPr>
          <w:sz w:val="20"/>
          <w:szCs w:val="20"/>
        </w:rPr>
        <w:t xml:space="preserve"> </w:t>
      </w:r>
      <w:r w:rsidRPr="000F10F2">
        <w:rPr>
          <w:rStyle w:val="Strong"/>
          <w:sz w:val="20"/>
          <w:szCs w:val="20"/>
        </w:rPr>
        <w:t>hairy root induction from nodal explants</w:t>
      </w:r>
      <w:r w:rsidRPr="000F10F2">
        <w:rPr>
          <w:sz w:val="20"/>
          <w:szCs w:val="20"/>
        </w:rPr>
        <w:t xml:space="preserve">. </w:t>
      </w:r>
      <w:r w:rsidRPr="000F10F2">
        <w:rPr>
          <w:rStyle w:val="Strong"/>
          <w:sz w:val="20"/>
          <w:szCs w:val="20"/>
        </w:rPr>
        <w:t>Hairy Root Induction frequency (%)</w:t>
      </w:r>
      <w:r w:rsidRPr="000F10F2">
        <w:rPr>
          <w:sz w:val="20"/>
          <w:szCs w:val="20"/>
        </w:rPr>
        <w:t xml:space="preserve"> </w:t>
      </w:r>
      <w:r w:rsidRPr="000F10F2">
        <w:rPr>
          <w:b/>
          <w:sz w:val="20"/>
          <w:szCs w:val="20"/>
        </w:rPr>
        <w:t>is expressed as</w:t>
      </w:r>
      <w:r w:rsidRPr="000F10F2">
        <w:rPr>
          <w:sz w:val="20"/>
          <w:szCs w:val="20"/>
        </w:rPr>
        <w:t xml:space="preserve"> </w:t>
      </w:r>
      <w:r w:rsidRPr="000F10F2">
        <w:rPr>
          <w:rStyle w:val="Strong"/>
          <w:sz w:val="20"/>
          <w:szCs w:val="20"/>
        </w:rPr>
        <w:t>mean ± SE</w:t>
      </w:r>
      <w:r w:rsidRPr="000F10F2">
        <w:rPr>
          <w:sz w:val="20"/>
          <w:szCs w:val="20"/>
        </w:rPr>
        <w:t>,</w:t>
      </w:r>
      <w:r w:rsidRPr="000F10F2">
        <w:rPr>
          <w:b/>
          <w:sz w:val="20"/>
          <w:szCs w:val="20"/>
        </w:rPr>
        <w:t xml:space="preserve"> with </w:t>
      </w:r>
      <w:r w:rsidRPr="000F10F2">
        <w:rPr>
          <w:rStyle w:val="Strong"/>
          <w:sz w:val="20"/>
          <w:szCs w:val="20"/>
        </w:rPr>
        <w:t>statistical significance (p &lt; 0.05)</w:t>
      </w:r>
      <w:r w:rsidRPr="000F10F2">
        <w:rPr>
          <w:sz w:val="20"/>
          <w:szCs w:val="20"/>
        </w:rPr>
        <w:t xml:space="preserve">. </w:t>
      </w:r>
      <w:r w:rsidRPr="000F10F2">
        <w:rPr>
          <w:rStyle w:val="Strong"/>
          <w:sz w:val="20"/>
          <w:szCs w:val="20"/>
        </w:rPr>
        <w:t>Relative Efficiency (%)</w:t>
      </w:r>
      <w:r w:rsidRPr="000F10F2">
        <w:rPr>
          <w:sz w:val="20"/>
          <w:szCs w:val="20"/>
        </w:rPr>
        <w:t xml:space="preserve"> </w:t>
      </w:r>
      <w:r w:rsidRPr="000F10F2">
        <w:rPr>
          <w:b/>
          <w:sz w:val="20"/>
          <w:szCs w:val="20"/>
        </w:rPr>
        <w:t>calculated using</w:t>
      </w:r>
      <w:r w:rsidRPr="000F10F2">
        <w:rPr>
          <w:sz w:val="20"/>
          <w:szCs w:val="20"/>
        </w:rPr>
        <w:t xml:space="preserve"> </w:t>
      </w:r>
      <w:r w:rsidRPr="000F10F2">
        <w:rPr>
          <w:rStyle w:val="Strong"/>
          <w:sz w:val="20"/>
          <w:szCs w:val="20"/>
        </w:rPr>
        <w:t xml:space="preserve">NAA (2.15 </w:t>
      </w:r>
      <w:proofErr w:type="spellStart"/>
      <w:r w:rsidRPr="000F10F2">
        <w:rPr>
          <w:rStyle w:val="Strong"/>
          <w:sz w:val="20"/>
          <w:szCs w:val="20"/>
        </w:rPr>
        <w:t>μM</w:t>
      </w:r>
      <w:proofErr w:type="spellEnd"/>
      <w:r w:rsidRPr="000F10F2">
        <w:rPr>
          <w:rStyle w:val="Strong"/>
          <w:sz w:val="20"/>
          <w:szCs w:val="20"/>
        </w:rPr>
        <w:t>) (93.75%) as 100%</w:t>
      </w:r>
      <w:r w:rsidRPr="000F10F2">
        <w:rPr>
          <w:sz w:val="20"/>
          <w:szCs w:val="20"/>
        </w:rPr>
        <w:t xml:space="preserve">. </w:t>
      </w:r>
    </w:p>
    <w:p w14:paraId="39C36711" w14:textId="77777777" w:rsidR="00284003" w:rsidRDefault="000458CC" w:rsidP="00FD0B64">
      <w:pPr>
        <w:pStyle w:val="NormalWeb"/>
        <w:jc w:val="both"/>
        <w:rPr>
          <w:sz w:val="20"/>
          <w:szCs w:val="20"/>
        </w:rPr>
      </w:pPr>
      <w:r>
        <w:rPr>
          <w:noProof/>
        </w:rPr>
        <w:lastRenderedPageBreak/>
        <w:drawing>
          <wp:inline distT="0" distB="0" distL="0" distR="0" wp14:anchorId="55F2BC55" wp14:editId="4EA3A740">
            <wp:extent cx="5943600" cy="3407410"/>
            <wp:effectExtent l="0" t="0" r="0" b="0"/>
            <wp:docPr id="131769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91845" name=""/>
                    <pic:cNvPicPr/>
                  </pic:nvPicPr>
                  <pic:blipFill>
                    <a:blip r:embed="rId22"/>
                    <a:stretch>
                      <a:fillRect/>
                    </a:stretch>
                  </pic:blipFill>
                  <pic:spPr>
                    <a:xfrm>
                      <a:off x="0" y="0"/>
                      <a:ext cx="5943600" cy="3407410"/>
                    </a:xfrm>
                    <a:prstGeom prst="rect">
                      <a:avLst/>
                    </a:prstGeom>
                  </pic:spPr>
                </pic:pic>
              </a:graphicData>
            </a:graphic>
          </wp:inline>
        </w:drawing>
      </w:r>
    </w:p>
    <w:p w14:paraId="4EBF3C4E" w14:textId="2E886067" w:rsidR="00FD0B64" w:rsidRPr="000F10F2" w:rsidRDefault="00FD0B64" w:rsidP="00FD0B64">
      <w:pPr>
        <w:pStyle w:val="NormalWeb"/>
        <w:jc w:val="both"/>
        <w:rPr>
          <w:b/>
          <w:sz w:val="20"/>
          <w:szCs w:val="20"/>
        </w:rPr>
      </w:pPr>
      <w:r w:rsidRPr="000F10F2">
        <w:rPr>
          <w:b/>
          <w:sz w:val="20"/>
          <w:szCs w:val="20"/>
        </w:rPr>
        <w:t>Fig 1</w:t>
      </w:r>
      <w:r w:rsidR="004C7746">
        <w:rPr>
          <w:b/>
          <w:sz w:val="20"/>
          <w:szCs w:val="20"/>
        </w:rPr>
        <w:t>3</w:t>
      </w:r>
      <w:r w:rsidRPr="000F10F2">
        <w:rPr>
          <w:b/>
          <w:sz w:val="20"/>
          <w:szCs w:val="20"/>
        </w:rPr>
        <w:t>: The bar graph shows the effects of different auxins (NAA, IAA and IBA). NAA (2.15</w:t>
      </w:r>
      <w:r w:rsidRPr="000F10F2">
        <w:rPr>
          <w:rStyle w:val="Strong"/>
          <w:sz w:val="20"/>
          <w:szCs w:val="20"/>
        </w:rPr>
        <w:t xml:space="preserve"> </w:t>
      </w:r>
      <w:proofErr w:type="spellStart"/>
      <w:r w:rsidRPr="000F10F2">
        <w:rPr>
          <w:rStyle w:val="Strong"/>
          <w:sz w:val="20"/>
          <w:szCs w:val="20"/>
        </w:rPr>
        <w:t>μM</w:t>
      </w:r>
      <w:proofErr w:type="spellEnd"/>
      <w:r w:rsidRPr="000F10F2">
        <w:rPr>
          <w:rStyle w:val="Strong"/>
          <w:sz w:val="20"/>
          <w:szCs w:val="20"/>
        </w:rPr>
        <w:t>)</w:t>
      </w:r>
      <w:r w:rsidRPr="000F10F2">
        <w:rPr>
          <w:b/>
          <w:sz w:val="20"/>
          <w:szCs w:val="20"/>
        </w:rPr>
        <w:t xml:space="preserve"> exhibit the highest response. No response was observed in NAA and IBA. </w:t>
      </w:r>
    </w:p>
    <w:p w14:paraId="19796BC2" w14:textId="77777777" w:rsidR="00FD0B64" w:rsidRPr="0081433B" w:rsidRDefault="00754AA2" w:rsidP="0081433B">
      <w:pPr>
        <w:pStyle w:val="NormalWeb"/>
        <w:spacing w:line="360" w:lineRule="auto"/>
        <w:jc w:val="both"/>
        <w:rPr>
          <w:b/>
          <w:sz w:val="20"/>
          <w:szCs w:val="20"/>
        </w:rPr>
      </w:pPr>
      <w:r>
        <w:rPr>
          <w:sz w:val="20"/>
          <w:szCs w:val="20"/>
        </w:rPr>
        <w:t>An individual treatment of IAA or IBA at the tested concentrations does not induce</w:t>
      </w:r>
      <w:r w:rsidR="0007229A" w:rsidRPr="0081433B">
        <w:rPr>
          <w:sz w:val="20"/>
          <w:szCs w:val="20"/>
        </w:rPr>
        <w:t xml:space="preserve"> hairy roots, and similar ineffectiveness was also recorded for their combinations with NAA</w:t>
      </w:r>
      <w:r>
        <w:rPr>
          <w:sz w:val="20"/>
          <w:szCs w:val="20"/>
        </w:rPr>
        <w:t>, except in one case. A prominent</w:t>
      </w:r>
      <w:r w:rsidR="0007229A" w:rsidRPr="0081433B">
        <w:rPr>
          <w:sz w:val="20"/>
          <w:szCs w:val="20"/>
        </w:rPr>
        <w:t xml:space="preserve"> response was observed with NAA (2.15 </w:t>
      </w:r>
      <w:proofErr w:type="spellStart"/>
      <w:r w:rsidR="0007229A" w:rsidRPr="0081433B">
        <w:rPr>
          <w:sz w:val="20"/>
          <w:szCs w:val="20"/>
        </w:rPr>
        <w:t>μM</w:t>
      </w:r>
      <w:proofErr w:type="spellEnd"/>
      <w:r w:rsidR="0007229A" w:rsidRPr="0081433B">
        <w:rPr>
          <w:sz w:val="20"/>
          <w:szCs w:val="20"/>
        </w:rPr>
        <w:t xml:space="preserve">) alone, which exhibited the highest hairy root induction frequency of 93.75% and a relative efficiency of 100%, indicating that this concentration was highly effective in triggering root induction. A minor induction (18.75%) was noted with the combination of NAA (2.15 </w:t>
      </w:r>
      <w:proofErr w:type="spellStart"/>
      <w:r w:rsidR="0007229A" w:rsidRPr="0081433B">
        <w:rPr>
          <w:sz w:val="20"/>
          <w:szCs w:val="20"/>
        </w:rPr>
        <w:t>μM</w:t>
      </w:r>
      <w:proofErr w:type="spellEnd"/>
      <w:r w:rsidR="0007229A" w:rsidRPr="0081433B">
        <w:rPr>
          <w:sz w:val="20"/>
          <w:szCs w:val="20"/>
        </w:rPr>
        <w:t xml:space="preserve">) and IAA (2.28 </w:t>
      </w:r>
      <w:proofErr w:type="spellStart"/>
      <w:r w:rsidR="0007229A" w:rsidRPr="0081433B">
        <w:rPr>
          <w:sz w:val="20"/>
          <w:szCs w:val="20"/>
        </w:rPr>
        <w:t>μM</w:t>
      </w:r>
      <w:proofErr w:type="spellEnd"/>
      <w:r w:rsidR="0007229A" w:rsidRPr="0081433B">
        <w:rPr>
          <w:sz w:val="20"/>
          <w:szCs w:val="20"/>
        </w:rPr>
        <w:t xml:space="preserve">), but this was substantially lower compared to NAA alone. Increasing the NAA concentration to 3.22 </w:t>
      </w:r>
      <w:proofErr w:type="spellStart"/>
      <w:r w:rsidR="0007229A" w:rsidRPr="0081433B">
        <w:rPr>
          <w:sz w:val="20"/>
          <w:szCs w:val="20"/>
        </w:rPr>
        <w:t>μM</w:t>
      </w:r>
      <w:proofErr w:type="spellEnd"/>
      <w:r w:rsidR="0007229A" w:rsidRPr="0081433B">
        <w:rPr>
          <w:sz w:val="20"/>
          <w:szCs w:val="20"/>
        </w:rPr>
        <w:t>, either singly or in combination with IAA or IBA, completely suppressed root induction. These results highlight that low-dose NAA is the most potent auxin for hairy root induction under the tested conditions, whereas IAA and IBA, either individually or in combination, do not significantly contribute to the response.</w:t>
      </w:r>
    </w:p>
    <w:p w14:paraId="6227A8C6" w14:textId="77777777" w:rsidR="006C11A2" w:rsidRDefault="006C11A2" w:rsidP="00FD0B64">
      <w:pPr>
        <w:spacing w:line="360" w:lineRule="auto"/>
        <w:ind w:left="720"/>
        <w:jc w:val="both"/>
        <w:rPr>
          <w:rFonts w:ascii="Times New Roman" w:hAnsi="Times New Roman" w:cs="Times New Roman"/>
          <w:b/>
          <w:noProof/>
          <w:sz w:val="24"/>
          <w:szCs w:val="24"/>
        </w:rPr>
      </w:pPr>
    </w:p>
    <w:p w14:paraId="26828FB8" w14:textId="77777777" w:rsidR="006C11A2" w:rsidRDefault="006C11A2" w:rsidP="00FD0B64">
      <w:pPr>
        <w:spacing w:line="360" w:lineRule="auto"/>
        <w:ind w:left="720"/>
        <w:jc w:val="both"/>
        <w:rPr>
          <w:rFonts w:ascii="Times New Roman" w:hAnsi="Times New Roman" w:cs="Times New Roman"/>
          <w:b/>
          <w:noProof/>
          <w:sz w:val="24"/>
          <w:szCs w:val="24"/>
        </w:rPr>
      </w:pPr>
    </w:p>
    <w:p w14:paraId="79D04CDF" w14:textId="77777777" w:rsidR="00FD0B64" w:rsidRPr="000F10F2" w:rsidRDefault="00FD0B64" w:rsidP="00FD0B64">
      <w:pPr>
        <w:spacing w:line="360" w:lineRule="auto"/>
        <w:ind w:left="720"/>
        <w:jc w:val="both"/>
        <w:rPr>
          <w:rFonts w:ascii="Times New Roman" w:hAnsi="Times New Roman" w:cs="Times New Roman"/>
          <w:b/>
          <w:noProof/>
          <w:sz w:val="24"/>
          <w:szCs w:val="24"/>
        </w:rPr>
      </w:pPr>
      <w:r>
        <w:rPr>
          <w:rFonts w:ascii="Times New Roman" w:hAnsi="Times New Roman" w:cs="Times New Roman"/>
          <w:b/>
          <w:noProof/>
          <w:sz w:val="24"/>
          <w:szCs w:val="24"/>
        </w:rPr>
        <w:t>Suspension culture</w:t>
      </w:r>
    </w:p>
    <w:p w14:paraId="47220EB5" w14:textId="77777777" w:rsidR="00FD0B64" w:rsidRPr="000F10F2" w:rsidRDefault="00FD0B64" w:rsidP="00FD0B64">
      <w:pPr>
        <w:spacing w:line="360" w:lineRule="auto"/>
        <w:ind w:left="720"/>
        <w:jc w:val="both"/>
        <w:rPr>
          <w:rFonts w:ascii="Times New Roman" w:hAnsi="Times New Roman" w:cs="Times New Roman"/>
          <w:noProof/>
          <w:sz w:val="20"/>
          <w:szCs w:val="20"/>
        </w:rPr>
      </w:pPr>
      <w:r w:rsidRPr="000F10F2">
        <w:rPr>
          <w:rFonts w:ascii="Times New Roman" w:hAnsi="Times New Roman" w:cs="Times New Roman"/>
          <w:noProof/>
          <w:sz w:val="20"/>
          <w:szCs w:val="20"/>
        </w:rPr>
        <w:t xml:space="preserve">Hairy roots were suspended </w:t>
      </w:r>
      <w:r w:rsidRPr="000F10F2">
        <w:rPr>
          <w:rFonts w:ascii="Times New Roman" w:hAnsi="Times New Roman" w:cs="Times New Roman"/>
          <w:i/>
          <w:noProof/>
          <w:sz w:val="20"/>
          <w:szCs w:val="20"/>
        </w:rPr>
        <w:t>in vitro</w:t>
      </w:r>
      <w:r w:rsidRPr="000F10F2">
        <w:rPr>
          <w:rFonts w:ascii="Times New Roman" w:hAnsi="Times New Roman" w:cs="Times New Roman"/>
          <w:noProof/>
          <w:sz w:val="20"/>
          <w:szCs w:val="20"/>
        </w:rPr>
        <w:t xml:space="preserve"> growth media in suitable vessels in shaking environment. Such suspension cultures were analysed to possess high biosynthetic capacity and biochemical stability. Hairy roots were  observed to synthesize more than one bioactive metabolite and therefore such suspension cultures might be better economically during commercial efforts toward bioactive principles [35]. High </w:t>
      </w:r>
      <w:r w:rsidRPr="000F10F2">
        <w:rPr>
          <w:rFonts w:ascii="Times New Roman" w:hAnsi="Times New Roman" w:cs="Times New Roman"/>
          <w:noProof/>
          <w:sz w:val="20"/>
          <w:szCs w:val="20"/>
        </w:rPr>
        <w:lastRenderedPageBreak/>
        <w:t>level of lateral branching resulted into faster growth rate, enhancing biomass accumulation leading to production efficiency in terms of bioactive metabolites.</w:t>
      </w:r>
    </w:p>
    <w:p w14:paraId="009B0DCD" w14:textId="77777777" w:rsidR="00FD0B64" w:rsidRPr="000F10F2" w:rsidRDefault="00FD0B64" w:rsidP="00FD0B64">
      <w:pPr>
        <w:pStyle w:val="NormalWeb"/>
        <w:spacing w:line="360" w:lineRule="auto"/>
        <w:ind w:left="720"/>
        <w:jc w:val="both"/>
        <w:rPr>
          <w:b/>
        </w:rPr>
      </w:pPr>
      <w:r w:rsidRPr="000F10F2">
        <w:rPr>
          <w:b/>
        </w:rPr>
        <w:t>High Performance Liquid</w:t>
      </w:r>
      <w:r>
        <w:rPr>
          <w:b/>
        </w:rPr>
        <w:t xml:space="preserve"> Chromatography (HPLC) analysis</w:t>
      </w:r>
    </w:p>
    <w:p w14:paraId="576D0EFE" w14:textId="41EDB06D" w:rsidR="00FD0B64" w:rsidRPr="000F10F2" w:rsidRDefault="00EB6458" w:rsidP="00FD0B64">
      <w:pPr>
        <w:pStyle w:val="NormalWeb"/>
        <w:spacing w:line="360" w:lineRule="auto"/>
        <w:ind w:left="720"/>
        <w:jc w:val="both"/>
        <w:rPr>
          <w:sz w:val="20"/>
          <w:szCs w:val="20"/>
        </w:rPr>
      </w:pPr>
      <w:r>
        <w:rPr>
          <w:noProof/>
        </w:rPr>
        <w:pict w14:anchorId="7AD0DE95">
          <v:shape id="_x0000_s1026" type="#_x0000_t202" style="position:absolute;left:0;text-align:left;margin-left:86.8pt;margin-top:121.95pt;width:22.5pt;height:23.25pt;z-index:251665408;mso-position-horizontal-relative:text;mso-position-vertical-relative:text">
            <v:textbox>
              <w:txbxContent>
                <w:p w14:paraId="3346E3F1" w14:textId="77777777" w:rsidR="00DB0039" w:rsidRDefault="00DB0039" w:rsidP="00FD0B64">
                  <w:r>
                    <w:t>A</w:t>
                  </w:r>
                </w:p>
              </w:txbxContent>
            </v:textbox>
          </v:shape>
        </w:pict>
      </w:r>
      <w:r w:rsidR="00FD0B64" w:rsidRPr="000F10F2">
        <w:rPr>
          <w:sz w:val="20"/>
          <w:szCs w:val="20"/>
        </w:rPr>
        <w:t xml:space="preserve">Qualitative and Quantitative determination of </w:t>
      </w:r>
      <w:proofErr w:type="spellStart"/>
      <w:r w:rsidR="00FD0B64" w:rsidRPr="000F10F2">
        <w:rPr>
          <w:sz w:val="20"/>
          <w:szCs w:val="20"/>
        </w:rPr>
        <w:t>picroside</w:t>
      </w:r>
      <w:proofErr w:type="spellEnd"/>
      <w:r w:rsidR="00FD0B64" w:rsidRPr="000F10F2">
        <w:rPr>
          <w:sz w:val="20"/>
          <w:szCs w:val="20"/>
        </w:rPr>
        <w:t xml:space="preserve">-II: A principal iridoid glycoside in </w:t>
      </w:r>
      <w:proofErr w:type="spellStart"/>
      <w:r w:rsidR="00FD0B64" w:rsidRPr="000F10F2">
        <w:rPr>
          <w:i/>
          <w:iCs/>
          <w:sz w:val="20"/>
          <w:szCs w:val="20"/>
        </w:rPr>
        <w:t>Picrorhiza</w:t>
      </w:r>
      <w:proofErr w:type="spellEnd"/>
      <w:r w:rsidR="00FD0B64" w:rsidRPr="000F10F2">
        <w:rPr>
          <w:i/>
          <w:iCs/>
          <w:sz w:val="20"/>
          <w:szCs w:val="20"/>
        </w:rPr>
        <w:t xml:space="preserve"> </w:t>
      </w:r>
      <w:proofErr w:type="spellStart"/>
      <w:r w:rsidR="00FD0B64" w:rsidRPr="000F10F2">
        <w:rPr>
          <w:i/>
          <w:iCs/>
          <w:sz w:val="20"/>
          <w:szCs w:val="20"/>
        </w:rPr>
        <w:t>kurroa</w:t>
      </w:r>
      <w:proofErr w:type="spellEnd"/>
      <w:r w:rsidR="00FD0B64" w:rsidRPr="000F10F2">
        <w:rPr>
          <w:sz w:val="20"/>
          <w:szCs w:val="20"/>
        </w:rPr>
        <w:t xml:space="preserve"> was analyzed upon High-Performance Liquid Chromatography (HPLC) system. This analytical technique enabled precise quantification of this bioactive compound through standardization. Quality assessment of the plant material thus could be made after comparative analytics. The HPLC profile of </w:t>
      </w:r>
      <w:proofErr w:type="spellStart"/>
      <w:r w:rsidR="00FD0B64" w:rsidRPr="000F10F2">
        <w:rPr>
          <w:sz w:val="20"/>
          <w:szCs w:val="20"/>
        </w:rPr>
        <w:t>picroside</w:t>
      </w:r>
      <w:proofErr w:type="spellEnd"/>
      <w:r w:rsidR="00FD0B64" w:rsidRPr="000F10F2">
        <w:rPr>
          <w:sz w:val="20"/>
          <w:szCs w:val="20"/>
        </w:rPr>
        <w:t>-II is characterized by a distinct retention time under optimized chromatographic conditions, typically using a C18 column with mobile phase comprising water and acetonitrile (75:25) v/v. Detection was performed at UV wavelengths at 270 nm.</w:t>
      </w:r>
    </w:p>
    <w:p w14:paraId="0DE515D9" w14:textId="7236F8A4" w:rsidR="00FD0B64" w:rsidRPr="000F10F2" w:rsidRDefault="00EA3B1B" w:rsidP="00FD0B64">
      <w:pPr>
        <w:pStyle w:val="NormalWeb"/>
        <w:spacing w:line="360" w:lineRule="auto"/>
        <w:jc w:val="both"/>
        <w:rPr>
          <w:b/>
        </w:rPr>
      </w:pPr>
      <w:r>
        <w:rPr>
          <w:noProof/>
        </w:rPr>
        <w:drawing>
          <wp:inline distT="0" distB="0" distL="0" distR="0" wp14:anchorId="4D5D23FA" wp14:editId="78EF00B6">
            <wp:extent cx="5943600" cy="3815715"/>
            <wp:effectExtent l="0" t="0" r="0" b="0"/>
            <wp:docPr id="34722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29758" name=""/>
                    <pic:cNvPicPr/>
                  </pic:nvPicPr>
                  <pic:blipFill>
                    <a:blip r:embed="rId23"/>
                    <a:stretch>
                      <a:fillRect/>
                    </a:stretch>
                  </pic:blipFill>
                  <pic:spPr>
                    <a:xfrm>
                      <a:off x="0" y="0"/>
                      <a:ext cx="5943600" cy="3815715"/>
                    </a:xfrm>
                    <a:prstGeom prst="rect">
                      <a:avLst/>
                    </a:prstGeom>
                  </pic:spPr>
                </pic:pic>
              </a:graphicData>
            </a:graphic>
          </wp:inline>
        </w:drawing>
      </w:r>
      <w:r w:rsidR="00FD0B64" w:rsidRPr="000F10F2">
        <w:t xml:space="preserve">       </w:t>
      </w:r>
    </w:p>
    <w:p w14:paraId="2883D02B" w14:textId="77777777" w:rsidR="00FD0B64" w:rsidRPr="000F10F2" w:rsidRDefault="00FD0B64" w:rsidP="00FD0B64">
      <w:pPr>
        <w:pStyle w:val="NormalWeb"/>
        <w:spacing w:line="360" w:lineRule="auto"/>
        <w:jc w:val="both"/>
        <w:rPr>
          <w:b/>
          <w:sz w:val="20"/>
          <w:szCs w:val="20"/>
        </w:rPr>
      </w:pPr>
    </w:p>
    <w:p w14:paraId="63D5CD26" w14:textId="77777777" w:rsidR="00FD0B64" w:rsidRPr="000F10F2" w:rsidRDefault="00EB6458" w:rsidP="00FD0B64">
      <w:pPr>
        <w:pStyle w:val="NormalWeb"/>
        <w:spacing w:line="360" w:lineRule="auto"/>
        <w:jc w:val="both"/>
        <w:rPr>
          <w:b/>
          <w:sz w:val="20"/>
          <w:szCs w:val="20"/>
        </w:rPr>
      </w:pPr>
      <w:r>
        <w:rPr>
          <w:b/>
          <w:noProof/>
          <w:sz w:val="20"/>
          <w:szCs w:val="20"/>
        </w:rPr>
        <w:lastRenderedPageBreak/>
        <w:pict w14:anchorId="39F7E0DB">
          <v:shape id="_x0000_s1033" type="#_x0000_t202" style="position:absolute;left:0;text-align:left;margin-left:19.95pt;margin-top:-44.05pt;width:22.5pt;height:23.25pt;z-index:251662336">
            <v:textbox>
              <w:txbxContent>
                <w:p w14:paraId="351F6BE4" w14:textId="77777777" w:rsidR="00DB0039" w:rsidRDefault="00DB0039" w:rsidP="00FD0B64">
                  <w:r>
                    <w:t>B</w:t>
                  </w:r>
                </w:p>
              </w:txbxContent>
            </v:textbox>
          </v:shape>
        </w:pict>
      </w:r>
      <w:r w:rsidR="00FD0B64" w:rsidRPr="000F10F2">
        <w:rPr>
          <w:noProof/>
          <w:sz w:val="20"/>
          <w:szCs w:val="20"/>
        </w:rPr>
        <w:drawing>
          <wp:inline distT="0" distB="0" distL="0" distR="0" wp14:anchorId="757A0C98" wp14:editId="664217A8">
            <wp:extent cx="5223494" cy="3127436"/>
            <wp:effectExtent l="19050" t="0" r="0" b="0"/>
            <wp:docPr id="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4" cstate="print"/>
                    <a:stretch>
                      <a:fillRect/>
                    </a:stretch>
                  </pic:blipFill>
                  <pic:spPr>
                    <a:xfrm>
                      <a:off x="0" y="0"/>
                      <a:ext cx="5227493" cy="3129830"/>
                    </a:xfrm>
                    <a:prstGeom prst="rect">
                      <a:avLst/>
                    </a:prstGeom>
                  </pic:spPr>
                </pic:pic>
              </a:graphicData>
            </a:graphic>
          </wp:inline>
        </w:drawing>
      </w:r>
    </w:p>
    <w:p w14:paraId="1C2C083E" w14:textId="77777777" w:rsidR="00FD0B64" w:rsidRPr="000F10F2" w:rsidRDefault="00EB6458" w:rsidP="00FD0B64">
      <w:pPr>
        <w:pStyle w:val="NormalWeb"/>
        <w:spacing w:line="360" w:lineRule="auto"/>
        <w:jc w:val="both"/>
        <w:rPr>
          <w:b/>
          <w:sz w:val="20"/>
          <w:szCs w:val="20"/>
        </w:rPr>
      </w:pPr>
      <w:r>
        <w:rPr>
          <w:b/>
          <w:noProof/>
          <w:sz w:val="20"/>
          <w:szCs w:val="20"/>
        </w:rPr>
        <w:pict w14:anchorId="10926C5D">
          <v:shape id="_x0000_s1034" type="#_x0000_t202" style="position:absolute;left:0;text-align:left;margin-left:27.55pt;margin-top:-18.7pt;width:22.5pt;height:23.25pt;z-index:251663360">
            <v:textbox>
              <w:txbxContent>
                <w:p w14:paraId="2FD96730" w14:textId="77777777" w:rsidR="00DB0039" w:rsidRDefault="00DB0039" w:rsidP="00FD0B64">
                  <w:r>
                    <w:t>C</w:t>
                  </w:r>
                </w:p>
              </w:txbxContent>
            </v:textbox>
          </v:shape>
        </w:pict>
      </w:r>
    </w:p>
    <w:p w14:paraId="6044F967" w14:textId="77777777" w:rsidR="00FD0B64" w:rsidRPr="000F10F2" w:rsidRDefault="00FD0B64" w:rsidP="00FD0B64">
      <w:pPr>
        <w:pStyle w:val="NormalWeb"/>
        <w:spacing w:line="360" w:lineRule="auto"/>
        <w:jc w:val="both"/>
        <w:rPr>
          <w:sz w:val="20"/>
          <w:szCs w:val="20"/>
        </w:rPr>
      </w:pPr>
      <w:r w:rsidRPr="000F10F2">
        <w:rPr>
          <w:noProof/>
          <w:sz w:val="20"/>
          <w:szCs w:val="20"/>
        </w:rPr>
        <w:drawing>
          <wp:inline distT="0" distB="0" distL="0" distR="0" wp14:anchorId="5C53E794" wp14:editId="19E7F0A9">
            <wp:extent cx="5552828" cy="3063834"/>
            <wp:effectExtent l="19050" t="0" r="0" b="0"/>
            <wp:docPr id="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5557233" cy="3066265"/>
                    </a:xfrm>
                    <a:prstGeom prst="rect">
                      <a:avLst/>
                    </a:prstGeom>
                  </pic:spPr>
                </pic:pic>
              </a:graphicData>
            </a:graphic>
          </wp:inline>
        </w:drawing>
      </w:r>
    </w:p>
    <w:p w14:paraId="5120DE2D" w14:textId="77777777" w:rsidR="00FD0B64" w:rsidRPr="000F10F2" w:rsidRDefault="00EB6458" w:rsidP="00FD0B64">
      <w:pPr>
        <w:pStyle w:val="NormalWeb"/>
        <w:spacing w:line="360" w:lineRule="auto"/>
        <w:jc w:val="both"/>
        <w:rPr>
          <w:sz w:val="20"/>
          <w:szCs w:val="20"/>
        </w:rPr>
      </w:pPr>
      <w:r>
        <w:rPr>
          <w:noProof/>
          <w:sz w:val="20"/>
          <w:szCs w:val="20"/>
        </w:rPr>
        <w:pict w14:anchorId="72083957">
          <v:shape id="_x0000_s1028" type="#_x0000_t202" style="position:absolute;left:0;text-align:left;margin-left:11.8pt;margin-top:3.85pt;width:430.65pt;height:32.6pt;z-index:251664384" strokecolor="black [3213]">
            <v:textbox>
              <w:txbxContent>
                <w:p w14:paraId="5254A64A" w14:textId="0DF4AEFF" w:rsidR="00DB0039" w:rsidRPr="00381494" w:rsidRDefault="00DB0039" w:rsidP="00FD0B64">
                  <w:pPr>
                    <w:rPr>
                      <w:rFonts w:ascii="Times New Roman" w:hAnsi="Times New Roman" w:cs="Times New Roman"/>
                      <w:sz w:val="20"/>
                      <w:szCs w:val="20"/>
                    </w:rPr>
                  </w:pPr>
                  <w:r w:rsidRPr="00381494">
                    <w:rPr>
                      <w:rFonts w:ascii="Times New Roman" w:hAnsi="Times New Roman" w:cs="Times New Roman"/>
                      <w:sz w:val="20"/>
                      <w:szCs w:val="20"/>
                    </w:rPr>
                    <w:t>Fig 1</w:t>
                  </w:r>
                  <w:r w:rsidR="004C7746">
                    <w:rPr>
                      <w:rFonts w:ascii="Times New Roman" w:hAnsi="Times New Roman" w:cs="Times New Roman"/>
                      <w:sz w:val="20"/>
                      <w:szCs w:val="20"/>
                    </w:rPr>
                    <w:t>4</w:t>
                  </w:r>
                  <w:r w:rsidRPr="00381494">
                    <w:rPr>
                      <w:rFonts w:ascii="Times New Roman" w:hAnsi="Times New Roman" w:cs="Times New Roman"/>
                      <w:sz w:val="20"/>
                      <w:szCs w:val="20"/>
                    </w:rPr>
                    <w:t xml:space="preserve">: A) Calibration curve of </w:t>
                  </w:r>
                  <w:proofErr w:type="spellStart"/>
                  <w:r w:rsidRPr="00381494">
                    <w:rPr>
                      <w:rFonts w:ascii="Times New Roman" w:hAnsi="Times New Roman" w:cs="Times New Roman"/>
                      <w:sz w:val="20"/>
                      <w:szCs w:val="20"/>
                    </w:rPr>
                    <w:t>Picroside</w:t>
                  </w:r>
                  <w:proofErr w:type="spellEnd"/>
                  <w:r w:rsidRPr="00381494">
                    <w:rPr>
                      <w:rFonts w:ascii="Times New Roman" w:hAnsi="Times New Roman" w:cs="Times New Roman"/>
                      <w:sz w:val="20"/>
                      <w:szCs w:val="20"/>
                    </w:rPr>
                    <w:t xml:space="preserve"> II B) HPLC analysis of </w:t>
                  </w:r>
                  <w:proofErr w:type="spellStart"/>
                  <w:r w:rsidRPr="00381494">
                    <w:rPr>
                      <w:rFonts w:ascii="Times New Roman" w:hAnsi="Times New Roman" w:cs="Times New Roman"/>
                      <w:sz w:val="20"/>
                      <w:szCs w:val="20"/>
                    </w:rPr>
                    <w:t>picroside</w:t>
                  </w:r>
                  <w:proofErr w:type="spellEnd"/>
                  <w:r w:rsidRPr="00381494">
                    <w:rPr>
                      <w:rFonts w:ascii="Times New Roman" w:hAnsi="Times New Roman" w:cs="Times New Roman"/>
                      <w:sz w:val="20"/>
                      <w:szCs w:val="20"/>
                    </w:rPr>
                    <w:t xml:space="preserve"> II (Standard) C) HPLC analysis of </w:t>
                  </w:r>
                  <w:proofErr w:type="spellStart"/>
                  <w:r w:rsidRPr="00381494">
                    <w:rPr>
                      <w:rFonts w:ascii="Times New Roman" w:hAnsi="Times New Roman" w:cs="Times New Roman"/>
                      <w:sz w:val="20"/>
                      <w:szCs w:val="20"/>
                    </w:rPr>
                    <w:t>picroside</w:t>
                  </w:r>
                  <w:proofErr w:type="spellEnd"/>
                  <w:r w:rsidRPr="00381494">
                    <w:rPr>
                      <w:rFonts w:ascii="Times New Roman" w:hAnsi="Times New Roman" w:cs="Times New Roman"/>
                      <w:sz w:val="20"/>
                      <w:szCs w:val="20"/>
                    </w:rPr>
                    <w:t xml:space="preserve"> II (sample) in the roots of </w:t>
                  </w:r>
                  <w:proofErr w:type="spellStart"/>
                  <w:r w:rsidRPr="00381494">
                    <w:rPr>
                      <w:rFonts w:ascii="Times New Roman" w:hAnsi="Times New Roman" w:cs="Times New Roman"/>
                      <w:i/>
                      <w:sz w:val="20"/>
                      <w:szCs w:val="20"/>
                    </w:rPr>
                    <w:t>Picrorhiza</w:t>
                  </w:r>
                  <w:proofErr w:type="spellEnd"/>
                  <w:r w:rsidRPr="00381494">
                    <w:rPr>
                      <w:rFonts w:ascii="Times New Roman" w:hAnsi="Times New Roman" w:cs="Times New Roman"/>
                      <w:i/>
                      <w:sz w:val="20"/>
                      <w:szCs w:val="20"/>
                    </w:rPr>
                    <w:t xml:space="preserve"> </w:t>
                  </w:r>
                  <w:proofErr w:type="spellStart"/>
                  <w:r w:rsidRPr="00381494">
                    <w:rPr>
                      <w:rFonts w:ascii="Times New Roman" w:hAnsi="Times New Roman" w:cs="Times New Roman"/>
                      <w:i/>
                      <w:sz w:val="20"/>
                      <w:szCs w:val="20"/>
                    </w:rPr>
                    <w:t>kurroa</w:t>
                  </w:r>
                  <w:proofErr w:type="spellEnd"/>
                  <w:r w:rsidRPr="00381494">
                    <w:rPr>
                      <w:rFonts w:ascii="Times New Roman" w:hAnsi="Times New Roman" w:cs="Times New Roman"/>
                      <w:sz w:val="20"/>
                      <w:szCs w:val="20"/>
                    </w:rPr>
                    <w:t xml:space="preserve"> </w:t>
                  </w:r>
                </w:p>
                <w:p w14:paraId="147C4698" w14:textId="77777777" w:rsidR="00DB0039" w:rsidRDefault="00DB0039" w:rsidP="00FD0B64"/>
              </w:txbxContent>
            </v:textbox>
          </v:shape>
        </w:pict>
      </w:r>
    </w:p>
    <w:p w14:paraId="74F8448D" w14:textId="77777777" w:rsidR="00FD0B64" w:rsidRPr="000F10F2" w:rsidRDefault="00FD0B64" w:rsidP="00FD0B64">
      <w:pPr>
        <w:pStyle w:val="Heading2"/>
        <w:rPr>
          <w:sz w:val="20"/>
          <w:szCs w:val="20"/>
        </w:rPr>
      </w:pPr>
    </w:p>
    <w:p w14:paraId="736ADE1D" w14:textId="77777777" w:rsidR="002B3CBB" w:rsidRDefault="002B3CBB" w:rsidP="00FD0B64">
      <w:pPr>
        <w:pStyle w:val="Heading2"/>
        <w:rPr>
          <w:sz w:val="24"/>
          <w:szCs w:val="24"/>
        </w:rPr>
      </w:pPr>
    </w:p>
    <w:p w14:paraId="65D7F957" w14:textId="77777777" w:rsidR="00FD0B64" w:rsidRPr="000F10F2" w:rsidRDefault="00FD0B64" w:rsidP="00FD0B64">
      <w:pPr>
        <w:pStyle w:val="Heading2"/>
        <w:rPr>
          <w:sz w:val="24"/>
          <w:szCs w:val="24"/>
        </w:rPr>
      </w:pPr>
      <w:r w:rsidRPr="000F10F2">
        <w:rPr>
          <w:sz w:val="24"/>
          <w:szCs w:val="24"/>
        </w:rPr>
        <w:lastRenderedPageBreak/>
        <w:t>Discussion</w:t>
      </w:r>
    </w:p>
    <w:p w14:paraId="298573B8" w14:textId="77777777" w:rsidR="00754AA2" w:rsidRPr="002B3CBB" w:rsidRDefault="00FD0B64" w:rsidP="002B3CBB">
      <w:pPr>
        <w:spacing w:before="100" w:beforeAutospacing="1" w:after="100" w:afterAutospacing="1" w:line="360" w:lineRule="auto"/>
        <w:jc w:val="both"/>
        <w:rPr>
          <w:rFonts w:ascii="Times New Roman" w:eastAsia="Times New Roman" w:hAnsi="Times New Roman" w:cs="Times New Roman"/>
          <w:sz w:val="20"/>
          <w:szCs w:val="20"/>
        </w:rPr>
      </w:pPr>
      <w:r w:rsidRPr="002B3CBB">
        <w:rPr>
          <w:rFonts w:ascii="Times New Roman" w:eastAsia="Times New Roman" w:hAnsi="Times New Roman" w:cs="Times New Roman"/>
          <w:sz w:val="20"/>
          <w:szCs w:val="20"/>
        </w:rPr>
        <w:t xml:space="preserve">The present study demonstrates successful induction and proliferation of hairy roots in </w:t>
      </w:r>
      <w:proofErr w:type="spellStart"/>
      <w:r w:rsidRPr="002B3CBB">
        <w:rPr>
          <w:rFonts w:ascii="Times New Roman" w:eastAsia="Times New Roman" w:hAnsi="Times New Roman" w:cs="Times New Roman"/>
          <w:i/>
          <w:iCs/>
          <w:sz w:val="20"/>
          <w:szCs w:val="20"/>
        </w:rPr>
        <w:t>Picrorhiza</w:t>
      </w:r>
      <w:proofErr w:type="spellEnd"/>
      <w:r w:rsidRPr="002B3CBB">
        <w:rPr>
          <w:rFonts w:ascii="Times New Roman" w:eastAsia="Times New Roman" w:hAnsi="Times New Roman" w:cs="Times New Roman"/>
          <w:i/>
          <w:iCs/>
          <w:sz w:val="20"/>
          <w:szCs w:val="20"/>
        </w:rPr>
        <w:t xml:space="preserve"> </w:t>
      </w:r>
      <w:proofErr w:type="spellStart"/>
      <w:r w:rsidRPr="002B3CBB">
        <w:rPr>
          <w:rFonts w:ascii="Times New Roman" w:eastAsia="Times New Roman" w:hAnsi="Times New Roman" w:cs="Times New Roman"/>
          <w:i/>
          <w:iCs/>
          <w:sz w:val="20"/>
          <w:szCs w:val="20"/>
        </w:rPr>
        <w:t>kurroa</w:t>
      </w:r>
      <w:proofErr w:type="spellEnd"/>
      <w:r w:rsidRPr="002B3CBB">
        <w:rPr>
          <w:rFonts w:ascii="Times New Roman" w:eastAsia="Times New Roman" w:hAnsi="Times New Roman" w:cs="Times New Roman"/>
          <w:sz w:val="20"/>
          <w:szCs w:val="20"/>
        </w:rPr>
        <w:t xml:space="preserve"> through an indirect organogenesis approach utilizing various explants types and auxin combinations. The efficacy of TDZ (2.27 </w:t>
      </w:r>
      <w:proofErr w:type="spellStart"/>
      <w:r w:rsidRPr="002B3CBB">
        <w:rPr>
          <w:rFonts w:ascii="Times New Roman" w:eastAsia="Times New Roman" w:hAnsi="Times New Roman" w:cs="Times New Roman"/>
          <w:sz w:val="20"/>
          <w:szCs w:val="20"/>
        </w:rPr>
        <w:t>μM</w:t>
      </w:r>
      <w:proofErr w:type="spellEnd"/>
      <w:r w:rsidRPr="002B3CBB">
        <w:rPr>
          <w:rFonts w:ascii="Times New Roman" w:eastAsia="Times New Roman" w:hAnsi="Times New Roman" w:cs="Times New Roman"/>
          <w:sz w:val="20"/>
          <w:szCs w:val="20"/>
        </w:rPr>
        <w:t>) for callus induction from leaf explants aligns with previous findings on TDZ's potent cytokinin-like activity in medicinally important plant tissue culture (</w:t>
      </w:r>
      <w:proofErr w:type="spellStart"/>
      <w:r w:rsidRPr="002B3CBB">
        <w:rPr>
          <w:rFonts w:ascii="Times New Roman" w:eastAsia="Times New Roman" w:hAnsi="Times New Roman" w:cs="Times New Roman"/>
          <w:sz w:val="20"/>
          <w:szCs w:val="20"/>
        </w:rPr>
        <w:t>Giri</w:t>
      </w:r>
      <w:proofErr w:type="spellEnd"/>
      <w:r w:rsidRPr="002B3CBB">
        <w:rPr>
          <w:rFonts w:ascii="Times New Roman" w:eastAsia="Times New Roman" w:hAnsi="Times New Roman" w:cs="Times New Roman"/>
          <w:sz w:val="20"/>
          <w:szCs w:val="20"/>
        </w:rPr>
        <w:t xml:space="preserve"> and </w:t>
      </w:r>
      <w:proofErr w:type="spellStart"/>
      <w:r w:rsidRPr="002B3CBB">
        <w:rPr>
          <w:rFonts w:ascii="Times New Roman" w:eastAsia="Times New Roman" w:hAnsi="Times New Roman" w:cs="Times New Roman"/>
          <w:sz w:val="20"/>
          <w:szCs w:val="20"/>
        </w:rPr>
        <w:t>Narasu</w:t>
      </w:r>
      <w:proofErr w:type="spellEnd"/>
      <w:r w:rsidRPr="002B3CBB">
        <w:rPr>
          <w:rFonts w:ascii="Times New Roman" w:eastAsia="Times New Roman" w:hAnsi="Times New Roman" w:cs="Times New Roman"/>
          <w:sz w:val="20"/>
          <w:szCs w:val="20"/>
        </w:rPr>
        <w:t xml:space="preserve"> 2000).</w:t>
      </w:r>
      <w:r w:rsidR="00587BB8" w:rsidRPr="002B3CBB">
        <w:rPr>
          <w:rFonts w:ascii="Times New Roman" w:hAnsi="Times New Roman" w:cs="Times New Roman"/>
          <w:sz w:val="20"/>
          <w:szCs w:val="20"/>
        </w:rPr>
        <w:t xml:space="preserve"> TDZ proved to be the most effective cytokinin for callus induction, particularly at lower concentrations, while IBA in combination with TDZ further enhanced callus formation, suggesting a synergistic interaction between auxin and cytokinin in promoting morphogenic callus.</w:t>
      </w:r>
      <w:r w:rsidRPr="002B3CBB">
        <w:rPr>
          <w:rFonts w:ascii="Times New Roman" w:eastAsia="Times New Roman" w:hAnsi="Times New Roman" w:cs="Times New Roman"/>
          <w:sz w:val="20"/>
          <w:szCs w:val="20"/>
        </w:rPr>
        <w:t xml:space="preserve"> </w:t>
      </w:r>
      <w:r w:rsidR="00587BB8" w:rsidRPr="002B3CBB">
        <w:rPr>
          <w:rFonts w:ascii="Times New Roman" w:hAnsi="Times New Roman" w:cs="Times New Roman"/>
          <w:sz w:val="20"/>
          <w:szCs w:val="20"/>
        </w:rPr>
        <w:t xml:space="preserve">In contrast, BAP and KIN were largely ineffective, indicating their limited role under the tested </w:t>
      </w:r>
      <w:proofErr w:type="spellStart"/>
      <w:proofErr w:type="gramStart"/>
      <w:r w:rsidR="00587BB8" w:rsidRPr="002B3CBB">
        <w:rPr>
          <w:rFonts w:ascii="Times New Roman" w:hAnsi="Times New Roman" w:cs="Times New Roman"/>
          <w:sz w:val="20"/>
          <w:szCs w:val="20"/>
        </w:rPr>
        <w:t>conditions</w:t>
      </w:r>
      <w:r w:rsidR="00587BB8" w:rsidRPr="002B3CBB">
        <w:rPr>
          <w:rFonts w:ascii="Times New Roman" w:eastAsia="Times New Roman" w:hAnsi="Times New Roman" w:cs="Times New Roman"/>
          <w:sz w:val="20"/>
          <w:szCs w:val="20"/>
        </w:rPr>
        <w:t>.</w:t>
      </w:r>
      <w:r w:rsidRPr="002B3CBB">
        <w:rPr>
          <w:rFonts w:ascii="Times New Roman" w:eastAsia="Times New Roman" w:hAnsi="Times New Roman" w:cs="Times New Roman"/>
          <w:sz w:val="20"/>
          <w:szCs w:val="20"/>
        </w:rPr>
        <w:t>Our</w:t>
      </w:r>
      <w:proofErr w:type="spellEnd"/>
      <w:proofErr w:type="gramEnd"/>
      <w:r w:rsidRPr="002B3CBB">
        <w:rPr>
          <w:rFonts w:ascii="Times New Roman" w:eastAsia="Times New Roman" w:hAnsi="Times New Roman" w:cs="Times New Roman"/>
          <w:sz w:val="20"/>
          <w:szCs w:val="20"/>
        </w:rPr>
        <w:t xml:space="preserve"> results reveal that hairy root induction requires specific auxin concentrations and combinations as well, with NAA (2.15 </w:t>
      </w:r>
      <w:proofErr w:type="spellStart"/>
      <w:r w:rsidRPr="002B3CBB">
        <w:rPr>
          <w:rFonts w:ascii="Times New Roman" w:eastAsia="Times New Roman" w:hAnsi="Times New Roman" w:cs="Times New Roman"/>
          <w:sz w:val="20"/>
          <w:szCs w:val="20"/>
        </w:rPr>
        <w:t>μM</w:t>
      </w:r>
      <w:proofErr w:type="spellEnd"/>
      <w:r w:rsidRPr="002B3CBB">
        <w:rPr>
          <w:rFonts w:ascii="Times New Roman" w:eastAsia="Times New Roman" w:hAnsi="Times New Roman" w:cs="Times New Roman"/>
          <w:sz w:val="20"/>
          <w:szCs w:val="20"/>
        </w:rPr>
        <w:t>) emerging as a crucial component across multiple experimental conditions. The differential response observed across explant types suggests tissue-specific sensitivity to auxin treatments.</w:t>
      </w:r>
      <w:r w:rsidR="00587BB8" w:rsidRPr="002B3CBB">
        <w:rPr>
          <w:rFonts w:ascii="Times New Roman" w:hAnsi="Times New Roman" w:cs="Times New Roman"/>
          <w:sz w:val="20"/>
          <w:szCs w:val="20"/>
        </w:rPr>
        <w:t xml:space="preserve"> Hairy root induction responses showed strong variability depending on auxin type and concentration. While some experiments highlighted the synergistic role of NAA and IAA, others demonstrated that NAA in combination with IBA, or even NAA alone at optimal levels, could achieve maximum induction. This variability indicates that auxin balance plays a decisive role, and the effectiveness of a particular auxin or combination may be species- and explant-specific. Overall, the results emphasize the importance of optimizing both the type and concentration of PGRs for successful </w:t>
      </w:r>
      <w:r w:rsidR="00587BB8" w:rsidRPr="002B3CBB">
        <w:rPr>
          <w:rFonts w:ascii="Times New Roman" w:hAnsi="Times New Roman" w:cs="Times New Roman"/>
          <w:i/>
          <w:sz w:val="20"/>
          <w:szCs w:val="20"/>
        </w:rPr>
        <w:t>in vitro</w:t>
      </w:r>
      <w:r w:rsidR="00587BB8" w:rsidRPr="002B3CBB">
        <w:rPr>
          <w:rFonts w:ascii="Times New Roman" w:hAnsi="Times New Roman" w:cs="Times New Roman"/>
          <w:sz w:val="20"/>
          <w:szCs w:val="20"/>
        </w:rPr>
        <w:t xml:space="preserve"> morphogenesis.</w:t>
      </w:r>
      <w:r w:rsidRPr="002B3CBB">
        <w:rPr>
          <w:rFonts w:ascii="Times New Roman" w:eastAsia="Times New Roman" w:hAnsi="Times New Roman" w:cs="Times New Roman"/>
          <w:sz w:val="20"/>
          <w:szCs w:val="20"/>
        </w:rPr>
        <w:t xml:space="preserve"> This variation in auxin requirements indicates distinct physiological and biochemical states across different tissue types, potentially related to endogenous hormone levels or receptor expression. The simultaneous induction of shoots and hairy roots on media demonstrates the potential for developing complete regeneration protocols alongside hairy root production systems. Such morphogenesis pathway particularly becomes valuable when rapid propagation is also required while maintaining hairy root production capacity. High Performance Liquid Chromatography (HPLC) analysis confirming </w:t>
      </w:r>
      <w:proofErr w:type="spellStart"/>
      <w:r w:rsidRPr="002B3CBB">
        <w:rPr>
          <w:rFonts w:ascii="Times New Roman" w:eastAsia="Times New Roman" w:hAnsi="Times New Roman" w:cs="Times New Roman"/>
          <w:sz w:val="20"/>
          <w:szCs w:val="20"/>
        </w:rPr>
        <w:t>picroside</w:t>
      </w:r>
      <w:proofErr w:type="spellEnd"/>
      <w:r w:rsidRPr="002B3CBB">
        <w:rPr>
          <w:rFonts w:ascii="Times New Roman" w:eastAsia="Times New Roman" w:hAnsi="Times New Roman" w:cs="Times New Roman"/>
          <w:sz w:val="20"/>
          <w:szCs w:val="20"/>
        </w:rPr>
        <w:t>-II content in the induced hairy roots validates their biosynthetic capacity for this medicinally important iridoid glycoside. Production of metabolites with such practices sustained production of valuable metabolites without disturbing wild diminishing population.</w:t>
      </w:r>
    </w:p>
    <w:p w14:paraId="7FB53002" w14:textId="77777777" w:rsidR="00FD0B64" w:rsidRPr="000F10F2" w:rsidRDefault="00FD0B64" w:rsidP="00FD0B64">
      <w:pPr>
        <w:spacing w:before="100" w:beforeAutospacing="1" w:after="100" w:afterAutospacing="1" w:line="360" w:lineRule="auto"/>
        <w:jc w:val="both"/>
        <w:rPr>
          <w:rFonts w:ascii="Times New Roman" w:eastAsia="Times New Roman" w:hAnsi="Times New Roman" w:cs="Times New Roman"/>
          <w:sz w:val="24"/>
          <w:szCs w:val="24"/>
        </w:rPr>
      </w:pPr>
      <w:r w:rsidRPr="000F10F2">
        <w:rPr>
          <w:rFonts w:ascii="Times New Roman" w:eastAsia="Times New Roman" w:hAnsi="Times New Roman" w:cs="Times New Roman"/>
          <w:b/>
          <w:bCs/>
          <w:sz w:val="24"/>
          <w:szCs w:val="24"/>
        </w:rPr>
        <w:t>Conclusion</w:t>
      </w:r>
    </w:p>
    <w:p w14:paraId="64FFB895" w14:textId="77777777" w:rsidR="00FD0B64" w:rsidRDefault="00FD0B64" w:rsidP="00FD0B64">
      <w:pPr>
        <w:spacing w:before="100" w:beforeAutospacing="1" w:after="100" w:afterAutospacing="1" w:line="360" w:lineRule="auto"/>
        <w:jc w:val="both"/>
        <w:rPr>
          <w:rFonts w:ascii="Times New Roman" w:eastAsia="Times New Roman" w:hAnsi="Times New Roman" w:cs="Times New Roman"/>
          <w:sz w:val="20"/>
          <w:szCs w:val="20"/>
        </w:rPr>
      </w:pPr>
      <w:r w:rsidRPr="000F10F2">
        <w:rPr>
          <w:rFonts w:ascii="Times New Roman" w:eastAsia="Times New Roman" w:hAnsi="Times New Roman" w:cs="Times New Roman"/>
          <w:sz w:val="20"/>
          <w:szCs w:val="20"/>
        </w:rPr>
        <w:t xml:space="preserve">Study could be able to decipher growth behavior </w:t>
      </w:r>
      <w:r w:rsidRPr="000F10F2">
        <w:rPr>
          <w:rFonts w:ascii="Times New Roman" w:eastAsia="Times New Roman" w:hAnsi="Times New Roman" w:cs="Times New Roman"/>
          <w:i/>
          <w:sz w:val="20"/>
          <w:szCs w:val="20"/>
        </w:rPr>
        <w:t>in vitro</w:t>
      </w:r>
      <w:r w:rsidRPr="000F10F2">
        <w:rPr>
          <w:rFonts w:ascii="Times New Roman" w:eastAsia="Times New Roman" w:hAnsi="Times New Roman" w:cs="Times New Roman"/>
          <w:sz w:val="20"/>
          <w:szCs w:val="20"/>
        </w:rPr>
        <w:t xml:space="preserve"> with response to phytohormone concentrations at each stage while further optimizing this process for production of biomass and yield of compound. TDZ (2.27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was effective for initial callus induction under specific auxin combinations, particularly NAA (2.15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with either IAA (2.28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or IBA (2.95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with promoting hairy root development from </w:t>
      </w:r>
      <w:r w:rsidRPr="000F10F2">
        <w:rPr>
          <w:rFonts w:ascii="Times New Roman" w:eastAsia="Times New Roman" w:hAnsi="Times New Roman" w:cs="Times New Roman"/>
          <w:i/>
          <w:sz w:val="20"/>
          <w:szCs w:val="20"/>
        </w:rPr>
        <w:t>in vitro</w:t>
      </w:r>
      <w:r w:rsidRPr="000F10F2">
        <w:rPr>
          <w:rFonts w:ascii="Times New Roman" w:eastAsia="Times New Roman" w:hAnsi="Times New Roman" w:cs="Times New Roman"/>
          <w:sz w:val="20"/>
          <w:szCs w:val="20"/>
        </w:rPr>
        <w:t xml:space="preserve"> developed leave explants and nodal explants. Findings revealed explant specific responses to auxin treatments, when indirectly regenerated leaves used as explants, superior hairy roots could be developed upon NAA (2.15 </w:t>
      </w:r>
      <w:proofErr w:type="spellStart"/>
      <w:r w:rsidRPr="000F10F2">
        <w:rPr>
          <w:rFonts w:ascii="Times New Roman" w:eastAsia="Times New Roman" w:hAnsi="Times New Roman" w:cs="Times New Roman"/>
          <w:sz w:val="20"/>
          <w:szCs w:val="20"/>
        </w:rPr>
        <w:t>μM</w:t>
      </w:r>
      <w:proofErr w:type="spellEnd"/>
      <w:r w:rsidRPr="000F10F2">
        <w:rPr>
          <w:rFonts w:ascii="Times New Roman" w:eastAsia="Times New Roman" w:hAnsi="Times New Roman" w:cs="Times New Roman"/>
          <w:sz w:val="20"/>
          <w:szCs w:val="20"/>
        </w:rPr>
        <w:t xml:space="preserve">) and IBA (2.95μM) supplementations. Nodal segments required only NAA (2.15μM) for effective induction of hairy roots. Findings contribute valuable insights into tissue-specific sensitivity and response of specific plant growth regulators in </w:t>
      </w:r>
      <w:r w:rsidRPr="000F10F2">
        <w:rPr>
          <w:rFonts w:ascii="Times New Roman" w:eastAsia="Times New Roman" w:hAnsi="Times New Roman" w:cs="Times New Roman"/>
          <w:i/>
          <w:iCs/>
          <w:sz w:val="20"/>
          <w:szCs w:val="20"/>
        </w:rPr>
        <w:t xml:space="preserve">P. </w:t>
      </w:r>
      <w:proofErr w:type="spellStart"/>
      <w:r w:rsidRPr="000F10F2">
        <w:rPr>
          <w:rFonts w:ascii="Times New Roman" w:eastAsia="Times New Roman" w:hAnsi="Times New Roman" w:cs="Times New Roman"/>
          <w:i/>
          <w:iCs/>
          <w:sz w:val="20"/>
          <w:szCs w:val="20"/>
        </w:rPr>
        <w:t>kurroa</w:t>
      </w:r>
      <w:proofErr w:type="spellEnd"/>
      <w:r w:rsidRPr="000F10F2">
        <w:rPr>
          <w:rFonts w:ascii="Times New Roman" w:eastAsia="Times New Roman" w:hAnsi="Times New Roman" w:cs="Times New Roman"/>
          <w:sz w:val="20"/>
          <w:szCs w:val="20"/>
        </w:rPr>
        <w:t xml:space="preserve">, providing basis for modifying culture conditions according to specific morphogenic outcomes with respect to desired metabolites. In this study, HPLC analysis confirmed the presence of </w:t>
      </w:r>
      <w:proofErr w:type="spellStart"/>
      <w:r w:rsidRPr="000F10F2">
        <w:rPr>
          <w:rFonts w:ascii="Times New Roman" w:eastAsia="Times New Roman" w:hAnsi="Times New Roman" w:cs="Times New Roman"/>
          <w:sz w:val="20"/>
          <w:szCs w:val="20"/>
        </w:rPr>
        <w:t>picroside</w:t>
      </w:r>
      <w:proofErr w:type="spellEnd"/>
      <w:r w:rsidRPr="000F10F2">
        <w:rPr>
          <w:rFonts w:ascii="Times New Roman" w:eastAsia="Times New Roman" w:hAnsi="Times New Roman" w:cs="Times New Roman"/>
          <w:sz w:val="20"/>
          <w:szCs w:val="20"/>
        </w:rPr>
        <w:t xml:space="preserve">-II in the induced hairy </w:t>
      </w:r>
      <w:r w:rsidRPr="000F10F2">
        <w:rPr>
          <w:rFonts w:ascii="Times New Roman" w:eastAsia="Times New Roman" w:hAnsi="Times New Roman" w:cs="Times New Roman"/>
          <w:sz w:val="20"/>
          <w:szCs w:val="20"/>
        </w:rPr>
        <w:lastRenderedPageBreak/>
        <w:t xml:space="preserve">roots, which further validating biosynthetic capacity of this medicinally important compound.  Bioactive metabolite production also demonstrated the potential of the established culture system for sustainable production of medicinally valuable compounds relatively assured availability without relying on wild harvesting and cultivation practice. The established methods of our study could be further modified for optimization for further scale up of process from hairy root biomass. Subsequently extraction of fair amount of </w:t>
      </w:r>
      <w:proofErr w:type="spellStart"/>
      <w:r w:rsidRPr="000F10F2">
        <w:rPr>
          <w:rFonts w:ascii="Times New Roman" w:eastAsia="Times New Roman" w:hAnsi="Times New Roman" w:cs="Times New Roman"/>
          <w:sz w:val="20"/>
          <w:szCs w:val="20"/>
        </w:rPr>
        <w:t>picroside</w:t>
      </w:r>
      <w:proofErr w:type="spellEnd"/>
      <w:r w:rsidRPr="000F10F2">
        <w:rPr>
          <w:rFonts w:ascii="Times New Roman" w:eastAsia="Times New Roman" w:hAnsi="Times New Roman" w:cs="Times New Roman"/>
          <w:sz w:val="20"/>
          <w:szCs w:val="20"/>
        </w:rPr>
        <w:t>-II and other valuable bioactive metabolites can be achieved.</w:t>
      </w:r>
    </w:p>
    <w:p w14:paraId="38D56C8F" w14:textId="77777777" w:rsidR="003C4D9D" w:rsidRDefault="003C4D9D" w:rsidP="00FD0B64">
      <w:pPr>
        <w:pStyle w:val="NormalWeb"/>
        <w:shd w:val="clear" w:color="auto" w:fill="FFFFFF"/>
        <w:spacing w:before="388" w:beforeAutospacing="0" w:after="388" w:afterAutospacing="0" w:line="360" w:lineRule="auto"/>
        <w:ind w:left="90"/>
        <w:jc w:val="both"/>
        <w:rPr>
          <w:sz w:val="20"/>
          <w:szCs w:val="20"/>
        </w:rPr>
      </w:pPr>
      <w:bookmarkStart w:id="0" w:name="_GoBack"/>
      <w:bookmarkEnd w:id="0"/>
    </w:p>
    <w:p w14:paraId="636F1801" w14:textId="77777777" w:rsidR="003C4D9D" w:rsidRPr="003C4D9D" w:rsidRDefault="003C4D9D" w:rsidP="003C4D9D">
      <w:pPr>
        <w:pStyle w:val="NormalWeb"/>
        <w:shd w:val="clear" w:color="auto" w:fill="FFFFFF"/>
        <w:spacing w:before="388" w:after="388" w:line="360" w:lineRule="auto"/>
        <w:ind w:left="90"/>
        <w:jc w:val="both"/>
        <w:rPr>
          <w:sz w:val="20"/>
          <w:szCs w:val="20"/>
        </w:rPr>
      </w:pPr>
      <w:r w:rsidRPr="003C4D9D">
        <w:rPr>
          <w:sz w:val="20"/>
          <w:szCs w:val="20"/>
        </w:rPr>
        <w:t>COMPETING INTERESTS DISCLAIMER:</w:t>
      </w:r>
    </w:p>
    <w:p w14:paraId="4EE46BAB" w14:textId="37F8D2E1" w:rsidR="003C4D9D" w:rsidRPr="000F10F2" w:rsidRDefault="003C4D9D" w:rsidP="003C4D9D">
      <w:pPr>
        <w:pStyle w:val="NormalWeb"/>
        <w:shd w:val="clear" w:color="auto" w:fill="FFFFFF"/>
        <w:spacing w:before="388" w:beforeAutospacing="0" w:after="388" w:afterAutospacing="0" w:line="360" w:lineRule="auto"/>
        <w:ind w:left="90"/>
        <w:jc w:val="both"/>
        <w:rPr>
          <w:sz w:val="20"/>
          <w:szCs w:val="20"/>
        </w:rPr>
      </w:pPr>
      <w:r w:rsidRPr="003C4D9D">
        <w:rPr>
          <w:sz w:val="20"/>
          <w:szCs w:val="20"/>
        </w:rPr>
        <w:t>Authors have declared that they have no known competing financial interests OR non-financial interests OR personal relationships that could have appeared to influence the work reported in this paper.</w:t>
      </w:r>
    </w:p>
    <w:p w14:paraId="010B02C2" w14:textId="77777777" w:rsidR="00FD0B64" w:rsidRDefault="00FD0B64" w:rsidP="00FD0B64">
      <w:pPr>
        <w:rPr>
          <w:rFonts w:ascii="Times New Roman" w:hAnsi="Times New Roman" w:cs="Times New Roman"/>
          <w:b/>
          <w:sz w:val="24"/>
          <w:szCs w:val="24"/>
        </w:rPr>
      </w:pPr>
      <w:r w:rsidRPr="000F10F2">
        <w:rPr>
          <w:rFonts w:ascii="Times New Roman" w:hAnsi="Times New Roman" w:cs="Times New Roman"/>
          <w:b/>
          <w:sz w:val="24"/>
          <w:szCs w:val="24"/>
        </w:rPr>
        <w:t>References:</w:t>
      </w:r>
    </w:p>
    <w:p w14:paraId="1E75771D"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Almeleebia</w:t>
      </w:r>
      <w:proofErr w:type="spellEnd"/>
      <w:r w:rsidRPr="007467AC">
        <w:rPr>
          <w:rFonts w:ascii="Times New Roman" w:hAnsi="Times New Roman" w:cs="Times New Roman"/>
          <w:sz w:val="20"/>
          <w:szCs w:val="20"/>
          <w:shd w:val="clear" w:color="auto" w:fill="FFFFFF"/>
        </w:rPr>
        <w:t xml:space="preserve">, T. M., </w:t>
      </w:r>
      <w:proofErr w:type="spellStart"/>
      <w:r w:rsidRPr="007467AC">
        <w:rPr>
          <w:rFonts w:ascii="Times New Roman" w:hAnsi="Times New Roman" w:cs="Times New Roman"/>
          <w:sz w:val="20"/>
          <w:szCs w:val="20"/>
          <w:shd w:val="clear" w:color="auto" w:fill="FFFFFF"/>
        </w:rPr>
        <w:t>Alsayari</w:t>
      </w:r>
      <w:proofErr w:type="spellEnd"/>
      <w:r w:rsidRPr="007467AC">
        <w:rPr>
          <w:rFonts w:ascii="Times New Roman" w:hAnsi="Times New Roman" w:cs="Times New Roman"/>
          <w:sz w:val="20"/>
          <w:szCs w:val="20"/>
          <w:shd w:val="clear" w:color="auto" w:fill="FFFFFF"/>
        </w:rPr>
        <w:t xml:space="preserve">, A., &amp; Wahab, S. (2022). Pharmacological and clinical efficacy of </w:t>
      </w:r>
      <w:proofErr w:type="spellStart"/>
      <w:r w:rsidRPr="007467AC">
        <w:rPr>
          <w:rFonts w:ascii="Times New Roman" w:hAnsi="Times New Roman" w:cs="Times New Roman"/>
          <w:sz w:val="20"/>
          <w:szCs w:val="20"/>
          <w:shd w:val="clear" w:color="auto" w:fill="FFFFFF"/>
        </w:rPr>
        <w:t>Picrorhiza</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kurroa</w:t>
      </w:r>
      <w:proofErr w:type="spellEnd"/>
      <w:r w:rsidRPr="007467AC">
        <w:rPr>
          <w:rFonts w:ascii="Times New Roman" w:hAnsi="Times New Roman" w:cs="Times New Roman"/>
          <w:sz w:val="20"/>
          <w:szCs w:val="20"/>
          <w:shd w:val="clear" w:color="auto" w:fill="FFFFFF"/>
        </w:rPr>
        <w:t xml:space="preserve"> and its secondary metabolites: A comprehensive review. </w:t>
      </w:r>
      <w:r w:rsidRPr="007467AC">
        <w:rPr>
          <w:rFonts w:ascii="Times New Roman" w:hAnsi="Times New Roman" w:cs="Times New Roman"/>
          <w:i/>
          <w:iCs/>
          <w:sz w:val="20"/>
          <w:szCs w:val="20"/>
          <w:shd w:val="clear" w:color="auto" w:fill="FFFFFF"/>
        </w:rPr>
        <w:t>Molecules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27</w:t>
      </w:r>
      <w:r w:rsidRPr="007467AC">
        <w:rPr>
          <w:rFonts w:ascii="Times New Roman" w:hAnsi="Times New Roman" w:cs="Times New Roman"/>
          <w:sz w:val="20"/>
          <w:szCs w:val="20"/>
          <w:shd w:val="clear" w:color="auto" w:fill="FFFFFF"/>
        </w:rPr>
        <w:t>(23), 8316.</w:t>
      </w:r>
    </w:p>
    <w:p w14:paraId="1B675494"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Bagal</w:t>
      </w:r>
      <w:proofErr w:type="spellEnd"/>
      <w:r w:rsidRPr="007467AC">
        <w:rPr>
          <w:rFonts w:ascii="Times New Roman" w:hAnsi="Times New Roman" w:cs="Times New Roman"/>
          <w:sz w:val="20"/>
          <w:szCs w:val="20"/>
        </w:rPr>
        <w:t xml:space="preserve"> D, Chowdhary AA, Mehrotra S, Mishra S, Rathore </w:t>
      </w:r>
      <w:proofErr w:type="gramStart"/>
      <w:r w:rsidRPr="007467AC">
        <w:rPr>
          <w:rFonts w:ascii="Times New Roman" w:hAnsi="Times New Roman" w:cs="Times New Roman"/>
          <w:sz w:val="20"/>
          <w:szCs w:val="20"/>
        </w:rPr>
        <w:t>S,  Srivastava</w:t>
      </w:r>
      <w:proofErr w:type="gramEnd"/>
      <w:r w:rsidRPr="007467AC">
        <w:rPr>
          <w:rFonts w:ascii="Times New Roman" w:hAnsi="Times New Roman" w:cs="Times New Roman"/>
          <w:sz w:val="20"/>
          <w:szCs w:val="20"/>
        </w:rPr>
        <w:t xml:space="preserve"> V (2023) Metabolic engineering in hairy roots: An outlook on production of plant secondary metabolites. </w:t>
      </w:r>
      <w:r w:rsidRPr="007467AC">
        <w:rPr>
          <w:rFonts w:ascii="Times New Roman" w:hAnsi="Times New Roman" w:cs="Times New Roman"/>
          <w:i/>
          <w:iCs/>
          <w:sz w:val="20"/>
          <w:szCs w:val="20"/>
        </w:rPr>
        <w:t>Plant Physiology and Biochemistry</w:t>
      </w:r>
      <w:r w:rsidRPr="007467AC">
        <w:rPr>
          <w:rFonts w:ascii="Times New Roman" w:hAnsi="Times New Roman" w:cs="Times New Roman"/>
          <w:sz w:val="20"/>
          <w:szCs w:val="20"/>
        </w:rPr>
        <w:t> </w:t>
      </w:r>
      <w:r w:rsidRPr="007467AC">
        <w:rPr>
          <w:rFonts w:ascii="Times New Roman" w:hAnsi="Times New Roman" w:cs="Times New Roman"/>
          <w:iCs/>
          <w:sz w:val="20"/>
          <w:szCs w:val="20"/>
        </w:rPr>
        <w:t>201</w:t>
      </w:r>
      <w:r w:rsidRPr="007467AC">
        <w:rPr>
          <w:rFonts w:ascii="Times New Roman" w:hAnsi="Times New Roman" w:cs="Times New Roman"/>
          <w:sz w:val="20"/>
          <w:szCs w:val="20"/>
        </w:rPr>
        <w:t>, 107847.</w:t>
      </w:r>
      <w:r w:rsidRPr="007467AC">
        <w:rPr>
          <w:rFonts w:ascii="Times New Roman" w:hAnsi="Times New Roman" w:cs="Times New Roman"/>
          <w:color w:val="222222"/>
          <w:sz w:val="20"/>
          <w:szCs w:val="20"/>
          <w:shd w:val="clear" w:color="auto" w:fill="FFFFFF"/>
        </w:rPr>
        <w:t xml:space="preserve"> </w:t>
      </w:r>
    </w:p>
    <w:p w14:paraId="662463DA"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Beara, I., Živković, J., Lesjak, M., Ristić, J., </w:t>
      </w:r>
      <w:proofErr w:type="spellStart"/>
      <w:r w:rsidRPr="007467AC">
        <w:rPr>
          <w:rFonts w:ascii="Times New Roman" w:hAnsi="Times New Roman" w:cs="Times New Roman"/>
          <w:sz w:val="20"/>
          <w:szCs w:val="20"/>
          <w:shd w:val="clear" w:color="auto" w:fill="FFFFFF"/>
        </w:rPr>
        <w:t>Šavikin</w:t>
      </w:r>
      <w:proofErr w:type="spellEnd"/>
      <w:r w:rsidRPr="007467AC">
        <w:rPr>
          <w:rFonts w:ascii="Times New Roman" w:hAnsi="Times New Roman" w:cs="Times New Roman"/>
          <w:sz w:val="20"/>
          <w:szCs w:val="20"/>
          <w:shd w:val="clear" w:color="auto" w:fill="FFFFFF"/>
        </w:rPr>
        <w:t>, K., Maksimović, Z., &amp; Janković, T. (2015). Phenolic profile and anti-inflammatory activity of three Veronica species. </w:t>
      </w:r>
      <w:r w:rsidRPr="007467AC">
        <w:rPr>
          <w:rFonts w:ascii="Times New Roman" w:hAnsi="Times New Roman" w:cs="Times New Roman"/>
          <w:i/>
          <w:iCs/>
          <w:sz w:val="20"/>
          <w:szCs w:val="20"/>
          <w:shd w:val="clear" w:color="auto" w:fill="FFFFFF"/>
        </w:rPr>
        <w:t>Industrial Crops and Products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63</w:t>
      </w:r>
      <w:r w:rsidRPr="007467AC">
        <w:rPr>
          <w:rFonts w:ascii="Times New Roman" w:hAnsi="Times New Roman" w:cs="Times New Roman"/>
          <w:sz w:val="20"/>
          <w:szCs w:val="20"/>
          <w:shd w:val="clear" w:color="auto" w:fill="FFFFFF"/>
        </w:rPr>
        <w:t>, 276-280.</w:t>
      </w:r>
    </w:p>
    <w:p w14:paraId="1D179F97"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Bisht AS, Chauhan RS (2018) Phenological Studies of High Value Endangered Medicinal Herbs: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kurroa</w:t>
      </w:r>
      <w:proofErr w:type="spellEnd"/>
      <w:r w:rsidRPr="007467AC">
        <w:rPr>
          <w:rFonts w:ascii="Times New Roman" w:hAnsi="Times New Roman" w:cs="Times New Roman"/>
          <w:sz w:val="20"/>
          <w:szCs w:val="20"/>
        </w:rPr>
        <w:t xml:space="preserve"> and </w:t>
      </w:r>
      <w:proofErr w:type="spellStart"/>
      <w:r w:rsidRPr="007467AC">
        <w:rPr>
          <w:rFonts w:ascii="Times New Roman" w:hAnsi="Times New Roman" w:cs="Times New Roman"/>
          <w:sz w:val="20"/>
          <w:szCs w:val="20"/>
        </w:rPr>
        <w:t>Saussurea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costus</w:t>
      </w:r>
      <w:proofErr w:type="spellEnd"/>
      <w:r w:rsidRPr="007467AC">
        <w:rPr>
          <w:rFonts w:ascii="Times New Roman" w:hAnsi="Times New Roman" w:cs="Times New Roman"/>
          <w:sz w:val="20"/>
          <w:szCs w:val="20"/>
        </w:rPr>
        <w:t xml:space="preserve"> in Sub-alpine Regions of Garhwal </w:t>
      </w:r>
      <w:proofErr w:type="spellStart"/>
      <w:r w:rsidRPr="007467AC">
        <w:rPr>
          <w:rFonts w:ascii="Times New Roman" w:hAnsi="Times New Roman" w:cs="Times New Roman"/>
          <w:sz w:val="20"/>
          <w:szCs w:val="20"/>
        </w:rPr>
        <w:t>Hiamalya</w:t>
      </w:r>
      <w:proofErr w:type="spellEnd"/>
      <w:r w:rsidRPr="007467AC">
        <w:rPr>
          <w:rFonts w:ascii="Times New Roman" w:hAnsi="Times New Roman" w:cs="Times New Roman"/>
          <w:sz w:val="20"/>
          <w:szCs w:val="20"/>
        </w:rPr>
        <w:t>. </w:t>
      </w:r>
      <w:r w:rsidRPr="007467AC">
        <w:rPr>
          <w:rFonts w:ascii="Times New Roman" w:hAnsi="Times New Roman" w:cs="Times New Roman"/>
          <w:iCs/>
          <w:sz w:val="20"/>
          <w:szCs w:val="20"/>
        </w:rPr>
        <w:t>Uttarakhand India</w:t>
      </w:r>
      <w:r w:rsidRPr="007467AC">
        <w:rPr>
          <w:rFonts w:ascii="Times New Roman" w:hAnsi="Times New Roman" w:cs="Times New Roman"/>
          <w:sz w:val="20"/>
          <w:szCs w:val="20"/>
        </w:rPr>
        <w:t>.</w:t>
      </w:r>
    </w:p>
    <w:p w14:paraId="2E52298A"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Biswas D, Chakraborty A, Mukherjee S, Ghosh B (2023) Hairy root culture: a potent method for improved secondary metabolite production of Solanaceous plants.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14</w:t>
      </w:r>
      <w:r w:rsidRPr="007467AC">
        <w:rPr>
          <w:rFonts w:ascii="Times New Roman" w:hAnsi="Times New Roman" w:cs="Times New Roman"/>
          <w:sz w:val="20"/>
          <w:szCs w:val="20"/>
        </w:rPr>
        <w:t>, 1197555.</w:t>
      </w:r>
    </w:p>
    <w:p w14:paraId="21106A20"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Brown PJ, Chang JH, Fuqua C (2023) Agrobacterium tumefaciens: a transformative agent for fundamental insights into host-microbe interactions, genome biology, chemical signaling, and cell biology. </w:t>
      </w:r>
      <w:r w:rsidRPr="007467AC">
        <w:rPr>
          <w:rFonts w:ascii="Times New Roman" w:hAnsi="Times New Roman" w:cs="Times New Roman"/>
          <w:i/>
          <w:iCs/>
          <w:sz w:val="20"/>
          <w:szCs w:val="20"/>
        </w:rPr>
        <w:t>Journal of Bacteriology</w:t>
      </w:r>
      <w:r w:rsidRPr="007467AC">
        <w:rPr>
          <w:rFonts w:ascii="Times New Roman" w:hAnsi="Times New Roman" w:cs="Times New Roman"/>
          <w:sz w:val="20"/>
          <w:szCs w:val="20"/>
        </w:rPr>
        <w:t> </w:t>
      </w:r>
      <w:r w:rsidRPr="007467AC">
        <w:rPr>
          <w:rFonts w:ascii="Times New Roman" w:hAnsi="Times New Roman" w:cs="Times New Roman"/>
          <w:iCs/>
          <w:sz w:val="20"/>
          <w:szCs w:val="20"/>
        </w:rPr>
        <w:t>205</w:t>
      </w:r>
      <w:r w:rsidRPr="007467AC">
        <w:rPr>
          <w:rFonts w:ascii="Times New Roman" w:hAnsi="Times New Roman" w:cs="Times New Roman"/>
          <w:sz w:val="20"/>
          <w:szCs w:val="20"/>
        </w:rPr>
        <w:t>(4), e00005-23.</w:t>
      </w:r>
    </w:p>
    <w:p w14:paraId="0DC4230C"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Chandra N, Singh G, </w:t>
      </w:r>
      <w:proofErr w:type="spellStart"/>
      <w:r w:rsidRPr="007467AC">
        <w:rPr>
          <w:rFonts w:ascii="Times New Roman" w:hAnsi="Times New Roman" w:cs="Times New Roman"/>
          <w:color w:val="222222"/>
          <w:sz w:val="20"/>
          <w:szCs w:val="20"/>
          <w:shd w:val="clear" w:color="auto" w:fill="FFFFFF"/>
        </w:rPr>
        <w:t>Lingwal</w:t>
      </w:r>
      <w:proofErr w:type="spellEnd"/>
      <w:r w:rsidRPr="007467AC">
        <w:rPr>
          <w:rFonts w:ascii="Times New Roman" w:hAnsi="Times New Roman" w:cs="Times New Roman"/>
          <w:color w:val="222222"/>
          <w:sz w:val="20"/>
          <w:szCs w:val="20"/>
          <w:shd w:val="clear" w:color="auto" w:fill="FFFFFF"/>
        </w:rPr>
        <w:t xml:space="preserve"> S, Bisht MP, Tiwari LM (2021) Population assessment and habitat distribution modelling of the threatened medicinal plant </w:t>
      </w:r>
      <w:proofErr w:type="spellStart"/>
      <w:r w:rsidRPr="007467AC">
        <w:rPr>
          <w:rFonts w:ascii="Times New Roman" w:hAnsi="Times New Roman" w:cs="Times New Roman"/>
          <w:color w:val="222222"/>
          <w:sz w:val="20"/>
          <w:szCs w:val="20"/>
          <w:shd w:val="clear" w:color="auto" w:fill="FFFFFF"/>
        </w:rPr>
        <w:t>Picrorhiza</w:t>
      </w:r>
      <w:proofErr w:type="spellEnd"/>
      <w:r w:rsidRPr="007467AC">
        <w:rPr>
          <w:rFonts w:ascii="Times New Roman" w:hAnsi="Times New Roman" w:cs="Times New Roman"/>
          <w:color w:val="222222"/>
          <w:sz w:val="20"/>
          <w:szCs w:val="20"/>
          <w:shd w:val="clear" w:color="auto" w:fill="FFFFFF"/>
        </w:rPr>
        <w:t xml:space="preserve"> </w:t>
      </w:r>
      <w:proofErr w:type="spellStart"/>
      <w:r w:rsidRPr="007467AC">
        <w:rPr>
          <w:rFonts w:ascii="Times New Roman" w:hAnsi="Times New Roman" w:cs="Times New Roman"/>
          <w:color w:val="222222"/>
          <w:sz w:val="20"/>
          <w:szCs w:val="20"/>
          <w:shd w:val="clear" w:color="auto" w:fill="FFFFFF"/>
        </w:rPr>
        <w:t>kurroa</w:t>
      </w:r>
      <w:proofErr w:type="spellEnd"/>
      <w:r w:rsidRPr="007467AC">
        <w:rPr>
          <w:rFonts w:ascii="Times New Roman" w:hAnsi="Times New Roman" w:cs="Times New Roman"/>
          <w:color w:val="222222"/>
          <w:sz w:val="20"/>
          <w:szCs w:val="20"/>
          <w:shd w:val="clear" w:color="auto" w:fill="FFFFFF"/>
        </w:rPr>
        <w:t xml:space="preserve"> </w:t>
      </w:r>
      <w:proofErr w:type="spellStart"/>
      <w:r w:rsidRPr="007467AC">
        <w:rPr>
          <w:rFonts w:ascii="Times New Roman" w:hAnsi="Times New Roman" w:cs="Times New Roman"/>
          <w:color w:val="222222"/>
          <w:sz w:val="20"/>
          <w:szCs w:val="20"/>
          <w:shd w:val="clear" w:color="auto" w:fill="FFFFFF"/>
        </w:rPr>
        <w:t>Royle</w:t>
      </w:r>
      <w:proofErr w:type="spellEnd"/>
      <w:r w:rsidRPr="007467AC">
        <w:rPr>
          <w:rFonts w:ascii="Times New Roman" w:hAnsi="Times New Roman" w:cs="Times New Roman"/>
          <w:color w:val="222222"/>
          <w:sz w:val="20"/>
          <w:szCs w:val="20"/>
          <w:shd w:val="clear" w:color="auto" w:fill="FFFFFF"/>
        </w:rPr>
        <w:t xml:space="preserve"> ex Benth. in the </w:t>
      </w:r>
      <w:proofErr w:type="spellStart"/>
      <w:r w:rsidRPr="007467AC">
        <w:rPr>
          <w:rFonts w:ascii="Times New Roman" w:hAnsi="Times New Roman" w:cs="Times New Roman"/>
          <w:color w:val="222222"/>
          <w:sz w:val="20"/>
          <w:szCs w:val="20"/>
          <w:shd w:val="clear" w:color="auto" w:fill="FFFFFF"/>
        </w:rPr>
        <w:t>Kumaun</w:t>
      </w:r>
      <w:proofErr w:type="spellEnd"/>
      <w:r w:rsidRPr="007467AC">
        <w:rPr>
          <w:rFonts w:ascii="Times New Roman" w:hAnsi="Times New Roman" w:cs="Times New Roman"/>
          <w:color w:val="222222"/>
          <w:sz w:val="20"/>
          <w:szCs w:val="20"/>
          <w:shd w:val="clear" w:color="auto" w:fill="FFFFFF"/>
        </w:rPr>
        <w:t xml:space="preserve"> Himalaya, India. </w:t>
      </w:r>
      <w:r w:rsidRPr="007467AC">
        <w:rPr>
          <w:rFonts w:ascii="Times New Roman" w:hAnsi="Times New Roman" w:cs="Times New Roman"/>
          <w:i/>
          <w:color w:val="222222"/>
          <w:sz w:val="20"/>
          <w:szCs w:val="20"/>
          <w:shd w:val="clear" w:color="auto" w:fill="FFFFFF"/>
        </w:rPr>
        <w:t>Journal of Threatened Taxa</w:t>
      </w:r>
      <w:r w:rsidRPr="007467AC">
        <w:rPr>
          <w:rFonts w:ascii="Times New Roman" w:hAnsi="Times New Roman" w:cs="Times New Roman"/>
          <w:color w:val="222222"/>
          <w:sz w:val="20"/>
          <w:szCs w:val="20"/>
          <w:shd w:val="clear" w:color="auto" w:fill="FFFFFF"/>
        </w:rPr>
        <w:t xml:space="preserve"> 13(7):18868-77.</w:t>
      </w:r>
    </w:p>
    <w:p w14:paraId="38813989"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Chesney, L. E., Carnovale, F., Huson, K. M., Rutherford, N., &amp; Patterson, D. (2025). Plantain (Plantago lanceolata L.) as an Alternative Forage to Build Resilience and Reduce the Environmental Footprint of Grazing Dairy Systems in Temperate Northern Climates: A Review. </w:t>
      </w:r>
      <w:r w:rsidRPr="007467AC">
        <w:rPr>
          <w:rFonts w:ascii="Times New Roman" w:hAnsi="Times New Roman" w:cs="Times New Roman"/>
          <w:i/>
          <w:iCs/>
          <w:sz w:val="20"/>
          <w:szCs w:val="20"/>
          <w:shd w:val="clear" w:color="auto" w:fill="FFFFFF"/>
        </w:rPr>
        <w:t>Sustainability (2071-1050)</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17</w:t>
      </w:r>
      <w:r w:rsidRPr="007467AC">
        <w:rPr>
          <w:rFonts w:ascii="Times New Roman" w:hAnsi="Times New Roman" w:cs="Times New Roman"/>
          <w:sz w:val="20"/>
          <w:szCs w:val="20"/>
          <w:shd w:val="clear" w:color="auto" w:fill="FFFFFF"/>
        </w:rPr>
        <w:t>(7).</w:t>
      </w:r>
    </w:p>
    <w:p w14:paraId="5088FCC2"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 Cheng Y, Wang X, Cao L, Ji J, Liu T, Duan K (2021) Highly efficient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-mediated hairy root transformation for gene functional and gene editing analysis in soybean. </w:t>
      </w:r>
      <w:r w:rsidRPr="007467AC">
        <w:rPr>
          <w:rFonts w:ascii="Times New Roman" w:hAnsi="Times New Roman" w:cs="Times New Roman"/>
          <w:i/>
          <w:iCs/>
          <w:sz w:val="20"/>
          <w:szCs w:val="20"/>
        </w:rPr>
        <w:t>Plant Methods</w:t>
      </w:r>
      <w:r w:rsidRPr="007467AC">
        <w:rPr>
          <w:rFonts w:ascii="Times New Roman" w:hAnsi="Times New Roman" w:cs="Times New Roman"/>
          <w:sz w:val="20"/>
          <w:szCs w:val="20"/>
        </w:rPr>
        <w:t> </w:t>
      </w:r>
      <w:r w:rsidRPr="007467AC">
        <w:rPr>
          <w:rFonts w:ascii="Times New Roman" w:hAnsi="Times New Roman" w:cs="Times New Roman"/>
          <w:iCs/>
          <w:sz w:val="20"/>
          <w:szCs w:val="20"/>
        </w:rPr>
        <w:t>17</w:t>
      </w:r>
      <w:r w:rsidRPr="007467AC">
        <w:rPr>
          <w:rFonts w:ascii="Times New Roman" w:hAnsi="Times New Roman" w:cs="Times New Roman"/>
          <w:sz w:val="20"/>
          <w:szCs w:val="20"/>
        </w:rPr>
        <w:t>, 1-12.</w:t>
      </w:r>
    </w:p>
    <w:p w14:paraId="32557CF6"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Chilton MD, Tepfer DA, Petit A, David C, </w:t>
      </w:r>
      <w:proofErr w:type="spellStart"/>
      <w:r w:rsidRPr="007467AC">
        <w:rPr>
          <w:rFonts w:ascii="Times New Roman" w:hAnsi="Times New Roman" w:cs="Times New Roman"/>
          <w:sz w:val="20"/>
          <w:szCs w:val="20"/>
        </w:rPr>
        <w:t>Casse</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Delbart</w:t>
      </w:r>
      <w:proofErr w:type="spellEnd"/>
      <w:r w:rsidRPr="007467AC">
        <w:rPr>
          <w:rFonts w:ascii="Times New Roman" w:hAnsi="Times New Roman" w:cs="Times New Roman"/>
          <w:sz w:val="20"/>
          <w:szCs w:val="20"/>
        </w:rPr>
        <w:t xml:space="preserve"> F, </w:t>
      </w:r>
      <w:proofErr w:type="spellStart"/>
      <w:r w:rsidRPr="007467AC">
        <w:rPr>
          <w:rFonts w:ascii="Times New Roman" w:hAnsi="Times New Roman" w:cs="Times New Roman"/>
          <w:sz w:val="20"/>
          <w:szCs w:val="20"/>
        </w:rPr>
        <w:t>Tempé</w:t>
      </w:r>
      <w:proofErr w:type="spellEnd"/>
      <w:r w:rsidRPr="007467AC">
        <w:rPr>
          <w:rFonts w:ascii="Times New Roman" w:hAnsi="Times New Roman" w:cs="Times New Roman"/>
          <w:sz w:val="20"/>
          <w:szCs w:val="20"/>
        </w:rPr>
        <w:t xml:space="preserve"> J (1982)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 inserts T-DNA into the genomes of the host plant root cells. </w:t>
      </w:r>
      <w:r w:rsidRPr="007467AC">
        <w:rPr>
          <w:rFonts w:ascii="Times New Roman" w:hAnsi="Times New Roman" w:cs="Times New Roman"/>
          <w:i/>
          <w:iCs/>
          <w:sz w:val="20"/>
          <w:szCs w:val="20"/>
        </w:rPr>
        <w:t>Nature</w:t>
      </w:r>
      <w:r w:rsidRPr="007467AC">
        <w:rPr>
          <w:rFonts w:ascii="Times New Roman" w:hAnsi="Times New Roman" w:cs="Times New Roman"/>
          <w:i/>
          <w:sz w:val="20"/>
          <w:szCs w:val="20"/>
        </w:rPr>
        <w:t> </w:t>
      </w:r>
      <w:r w:rsidRPr="007467AC">
        <w:rPr>
          <w:rFonts w:ascii="Times New Roman" w:hAnsi="Times New Roman" w:cs="Times New Roman"/>
          <w:sz w:val="20"/>
          <w:szCs w:val="20"/>
        </w:rPr>
        <w:t xml:space="preserve">295, 432–434. </w:t>
      </w:r>
      <w:proofErr w:type="spellStart"/>
      <w:r w:rsidRPr="007467AC">
        <w:rPr>
          <w:rFonts w:ascii="Times New Roman" w:hAnsi="Times New Roman" w:cs="Times New Roman"/>
          <w:sz w:val="20"/>
          <w:szCs w:val="20"/>
        </w:rPr>
        <w:t>doi</w:t>
      </w:r>
      <w:proofErr w:type="spellEnd"/>
      <w:r w:rsidRPr="007467AC">
        <w:rPr>
          <w:rFonts w:ascii="Times New Roman" w:hAnsi="Times New Roman" w:cs="Times New Roman"/>
          <w:sz w:val="20"/>
          <w:szCs w:val="20"/>
        </w:rPr>
        <w:t>: 10.1038/295432a0</w:t>
      </w:r>
    </w:p>
    <w:p w14:paraId="14A7C515"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Clemow SR, Clairmont L, Madsen LH, </w:t>
      </w:r>
      <w:proofErr w:type="spellStart"/>
      <w:r w:rsidRPr="007467AC">
        <w:rPr>
          <w:rFonts w:ascii="Times New Roman" w:hAnsi="Times New Roman" w:cs="Times New Roman"/>
          <w:sz w:val="20"/>
          <w:szCs w:val="20"/>
        </w:rPr>
        <w:t>Guinel</w:t>
      </w:r>
      <w:proofErr w:type="spellEnd"/>
      <w:r w:rsidRPr="007467AC">
        <w:rPr>
          <w:rFonts w:ascii="Times New Roman" w:hAnsi="Times New Roman" w:cs="Times New Roman"/>
          <w:sz w:val="20"/>
          <w:szCs w:val="20"/>
        </w:rPr>
        <w:t xml:space="preserve"> FC (2011) Reproducible hairy root transformation and spot-inoculation methods to study root symbioses of pea. </w:t>
      </w:r>
      <w:r w:rsidRPr="007467AC">
        <w:rPr>
          <w:rFonts w:ascii="Times New Roman" w:hAnsi="Times New Roman" w:cs="Times New Roman"/>
          <w:i/>
          <w:iCs/>
          <w:sz w:val="20"/>
          <w:szCs w:val="20"/>
        </w:rPr>
        <w:t>Plant methods</w:t>
      </w:r>
      <w:r w:rsidRPr="007467AC">
        <w:rPr>
          <w:rFonts w:ascii="Times New Roman" w:hAnsi="Times New Roman" w:cs="Times New Roman"/>
          <w:sz w:val="20"/>
          <w:szCs w:val="20"/>
        </w:rPr>
        <w:t> </w:t>
      </w:r>
      <w:r w:rsidRPr="007467AC">
        <w:rPr>
          <w:rFonts w:ascii="Times New Roman" w:hAnsi="Times New Roman" w:cs="Times New Roman"/>
          <w:iCs/>
          <w:sz w:val="20"/>
          <w:szCs w:val="20"/>
        </w:rPr>
        <w:t>7</w:t>
      </w:r>
      <w:r w:rsidRPr="007467AC">
        <w:rPr>
          <w:rFonts w:ascii="Times New Roman" w:hAnsi="Times New Roman" w:cs="Times New Roman"/>
          <w:sz w:val="20"/>
          <w:szCs w:val="20"/>
        </w:rPr>
        <w:t>, 1-15.</w:t>
      </w:r>
    </w:p>
    <w:p w14:paraId="034076B2"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lastRenderedPageBreak/>
        <w:t>Cornelius, F., Kanai, R., &amp; Toyoshima, C. (2013). A structural view on the functional importance of the sugar moiety and steroid hydroxyls of cardiotonic steroids in binding to Na, K-ATPase. </w:t>
      </w:r>
      <w:r w:rsidRPr="007467AC">
        <w:rPr>
          <w:rFonts w:ascii="Times New Roman" w:hAnsi="Times New Roman" w:cs="Times New Roman"/>
          <w:i/>
          <w:iCs/>
          <w:sz w:val="20"/>
          <w:szCs w:val="20"/>
          <w:shd w:val="clear" w:color="auto" w:fill="FFFFFF"/>
        </w:rPr>
        <w:t>Journal of Biological Chemistry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288</w:t>
      </w:r>
      <w:r w:rsidRPr="007467AC">
        <w:rPr>
          <w:rFonts w:ascii="Times New Roman" w:hAnsi="Times New Roman" w:cs="Times New Roman"/>
          <w:sz w:val="20"/>
          <w:szCs w:val="20"/>
          <w:shd w:val="clear" w:color="auto" w:fill="FFFFFF"/>
        </w:rPr>
        <w:t>(9), 6602-6616.</w:t>
      </w:r>
    </w:p>
    <w:p w14:paraId="5B1649C1"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r w:rsidRPr="007467AC">
        <w:rPr>
          <w:rFonts w:ascii="Times New Roman" w:hAnsi="Times New Roman" w:cs="Times New Roman"/>
          <w:sz w:val="20"/>
          <w:szCs w:val="20"/>
        </w:rPr>
        <w:t xml:space="preserve">Debnath P, Rathore S, Walia S, Kumar M, Devi R, Kumar R (2020)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kurroa</w:t>
      </w:r>
      <w:proofErr w:type="spellEnd"/>
      <w:r w:rsidRPr="007467AC">
        <w:rPr>
          <w:rFonts w:ascii="Times New Roman" w:hAnsi="Times New Roman" w:cs="Times New Roman"/>
          <w:sz w:val="20"/>
          <w:szCs w:val="20"/>
        </w:rPr>
        <w:t>: a promising traditional therapeutic herb from higher altitude of western Himalayas. </w:t>
      </w:r>
      <w:r w:rsidRPr="007467AC">
        <w:rPr>
          <w:rFonts w:ascii="Times New Roman" w:hAnsi="Times New Roman" w:cs="Times New Roman"/>
          <w:i/>
          <w:iCs/>
          <w:sz w:val="20"/>
          <w:szCs w:val="20"/>
        </w:rPr>
        <w:t>Journal of Herbal Medicine</w:t>
      </w:r>
      <w:r w:rsidRPr="007467AC">
        <w:rPr>
          <w:rFonts w:ascii="Times New Roman" w:hAnsi="Times New Roman" w:cs="Times New Roman"/>
          <w:i/>
          <w:sz w:val="20"/>
          <w:szCs w:val="20"/>
        </w:rPr>
        <w:t xml:space="preserve"> </w:t>
      </w:r>
      <w:r w:rsidRPr="007467AC">
        <w:rPr>
          <w:rFonts w:ascii="Times New Roman" w:hAnsi="Times New Roman" w:cs="Times New Roman"/>
          <w:iCs/>
          <w:sz w:val="20"/>
          <w:szCs w:val="20"/>
        </w:rPr>
        <w:t>23</w:t>
      </w:r>
      <w:r w:rsidRPr="007467AC">
        <w:rPr>
          <w:rFonts w:ascii="Times New Roman" w:hAnsi="Times New Roman" w:cs="Times New Roman"/>
          <w:sz w:val="20"/>
          <w:szCs w:val="20"/>
        </w:rPr>
        <w:t>, 100358.</w:t>
      </w:r>
    </w:p>
    <w:p w14:paraId="011848B6"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Elbaz, H. A., Stueckle, T. A., Tse, W., </w:t>
      </w:r>
      <w:proofErr w:type="spellStart"/>
      <w:r w:rsidRPr="007467AC">
        <w:rPr>
          <w:rFonts w:ascii="Times New Roman" w:hAnsi="Times New Roman" w:cs="Times New Roman"/>
          <w:sz w:val="20"/>
          <w:szCs w:val="20"/>
          <w:shd w:val="clear" w:color="auto" w:fill="FFFFFF"/>
        </w:rPr>
        <w:t>Rojanasakul</w:t>
      </w:r>
      <w:proofErr w:type="spellEnd"/>
      <w:r w:rsidRPr="007467AC">
        <w:rPr>
          <w:rFonts w:ascii="Times New Roman" w:hAnsi="Times New Roman" w:cs="Times New Roman"/>
          <w:sz w:val="20"/>
          <w:szCs w:val="20"/>
          <w:shd w:val="clear" w:color="auto" w:fill="FFFFFF"/>
        </w:rPr>
        <w:t>, Y., &amp; Dinu, C. Z. (2012). Digitoxin and its analogs as novel cancer therapeutics. </w:t>
      </w:r>
      <w:r w:rsidRPr="007467AC">
        <w:rPr>
          <w:rFonts w:ascii="Times New Roman" w:hAnsi="Times New Roman" w:cs="Times New Roman"/>
          <w:i/>
          <w:iCs/>
          <w:sz w:val="20"/>
          <w:szCs w:val="20"/>
          <w:shd w:val="clear" w:color="auto" w:fill="FFFFFF"/>
        </w:rPr>
        <w:t>Experimental hematology &amp; oncology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w:t>
      </w:r>
      <w:r w:rsidRPr="007467AC">
        <w:rPr>
          <w:rFonts w:ascii="Times New Roman" w:hAnsi="Times New Roman" w:cs="Times New Roman"/>
          <w:sz w:val="20"/>
          <w:szCs w:val="20"/>
          <w:shd w:val="clear" w:color="auto" w:fill="FFFFFF"/>
        </w:rPr>
        <w:t>, 1-10.</w:t>
      </w:r>
    </w:p>
    <w:p w14:paraId="1BAA1F33"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r w:rsidRPr="007467AC">
        <w:rPr>
          <w:rFonts w:ascii="Times New Roman" w:hAnsi="Times New Roman" w:cs="Times New Roman"/>
          <w:sz w:val="20"/>
          <w:szCs w:val="20"/>
        </w:rPr>
        <w:t>Faist H, Keller A, Hentschel U, Deeken R (2016) Grapevine (Vitis vinifera) crown galls host distinct microbiota. </w:t>
      </w:r>
      <w:r w:rsidRPr="007467AC">
        <w:rPr>
          <w:rFonts w:ascii="Times New Roman" w:hAnsi="Times New Roman" w:cs="Times New Roman"/>
          <w:i/>
          <w:iCs/>
          <w:sz w:val="20"/>
          <w:szCs w:val="20"/>
        </w:rPr>
        <w:t>Applied and Environmental Microbiology</w:t>
      </w:r>
      <w:r w:rsidRPr="007467AC">
        <w:rPr>
          <w:rFonts w:ascii="Times New Roman" w:hAnsi="Times New Roman" w:cs="Times New Roman"/>
          <w:sz w:val="20"/>
          <w:szCs w:val="20"/>
        </w:rPr>
        <w:t> </w:t>
      </w:r>
      <w:r w:rsidRPr="007467AC">
        <w:rPr>
          <w:rFonts w:ascii="Times New Roman" w:hAnsi="Times New Roman" w:cs="Times New Roman"/>
          <w:iCs/>
          <w:sz w:val="20"/>
          <w:szCs w:val="20"/>
        </w:rPr>
        <w:t>82</w:t>
      </w:r>
      <w:r w:rsidRPr="007467AC">
        <w:rPr>
          <w:rFonts w:ascii="Times New Roman" w:hAnsi="Times New Roman" w:cs="Times New Roman"/>
          <w:sz w:val="20"/>
          <w:szCs w:val="20"/>
        </w:rPr>
        <w:t>(18), 5542-5552.</w:t>
      </w:r>
    </w:p>
    <w:p w14:paraId="687B9A07"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Flores-Félix JD, Menéndez E, Peix A, García-Fraile P, Velázquez E (2020) History and current taxonomic status of genus Agrobacterium. </w:t>
      </w:r>
      <w:r w:rsidRPr="007467AC">
        <w:rPr>
          <w:rFonts w:ascii="Times New Roman" w:hAnsi="Times New Roman" w:cs="Times New Roman"/>
          <w:i/>
          <w:iCs/>
          <w:sz w:val="20"/>
          <w:szCs w:val="20"/>
        </w:rPr>
        <w:t>Systematic and applied Microbiology</w:t>
      </w:r>
      <w:r w:rsidRPr="007467AC">
        <w:rPr>
          <w:rFonts w:ascii="Times New Roman" w:hAnsi="Times New Roman" w:cs="Times New Roman"/>
          <w:sz w:val="20"/>
          <w:szCs w:val="20"/>
        </w:rPr>
        <w:t> </w:t>
      </w:r>
      <w:r w:rsidRPr="007467AC">
        <w:rPr>
          <w:rFonts w:ascii="Times New Roman" w:hAnsi="Times New Roman" w:cs="Times New Roman"/>
          <w:iCs/>
          <w:sz w:val="20"/>
          <w:szCs w:val="20"/>
        </w:rPr>
        <w:t>43</w:t>
      </w:r>
      <w:r w:rsidRPr="007467AC">
        <w:rPr>
          <w:rFonts w:ascii="Times New Roman" w:hAnsi="Times New Roman" w:cs="Times New Roman"/>
          <w:sz w:val="20"/>
          <w:szCs w:val="20"/>
        </w:rPr>
        <w:t>(1), 126046.</w:t>
      </w:r>
    </w:p>
    <w:p w14:paraId="68D0F437"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Gai QY, Jiao J, Luo M, Wei ZF, Zu YG, Ma W, Fu YJ (2015) Establishment of hairy root cultures by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 mediated transformation of </w:t>
      </w:r>
      <w:proofErr w:type="spellStart"/>
      <w:r w:rsidRPr="007467AC">
        <w:rPr>
          <w:rFonts w:ascii="Times New Roman" w:hAnsi="Times New Roman" w:cs="Times New Roman"/>
          <w:sz w:val="20"/>
          <w:szCs w:val="20"/>
        </w:rPr>
        <w:t>Isatis</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tinctoria</w:t>
      </w:r>
      <w:proofErr w:type="spellEnd"/>
      <w:r w:rsidRPr="007467AC">
        <w:rPr>
          <w:rFonts w:ascii="Times New Roman" w:hAnsi="Times New Roman" w:cs="Times New Roman"/>
          <w:sz w:val="20"/>
          <w:szCs w:val="20"/>
        </w:rPr>
        <w:t xml:space="preserve"> L. for the efficient production of flavonoids and evaluation of antioxidant activities. </w:t>
      </w:r>
      <w:proofErr w:type="spellStart"/>
      <w:r w:rsidRPr="007467AC">
        <w:rPr>
          <w:rFonts w:ascii="Times New Roman" w:hAnsi="Times New Roman" w:cs="Times New Roman"/>
          <w:i/>
          <w:iCs/>
          <w:sz w:val="20"/>
          <w:szCs w:val="20"/>
        </w:rPr>
        <w:t>PLoS</w:t>
      </w:r>
      <w:proofErr w:type="spellEnd"/>
      <w:r w:rsidRPr="007467AC">
        <w:rPr>
          <w:rFonts w:ascii="Times New Roman" w:hAnsi="Times New Roman" w:cs="Times New Roman"/>
          <w:i/>
          <w:iCs/>
          <w:sz w:val="20"/>
          <w:szCs w:val="20"/>
        </w:rPr>
        <w:t xml:space="preserve"> One</w:t>
      </w:r>
      <w:r w:rsidRPr="007467AC">
        <w:rPr>
          <w:rFonts w:ascii="Times New Roman" w:hAnsi="Times New Roman" w:cs="Times New Roman"/>
          <w:sz w:val="20"/>
          <w:szCs w:val="20"/>
        </w:rPr>
        <w:t> </w:t>
      </w:r>
      <w:r w:rsidRPr="007467AC">
        <w:rPr>
          <w:rFonts w:ascii="Times New Roman" w:hAnsi="Times New Roman" w:cs="Times New Roman"/>
          <w:iCs/>
          <w:sz w:val="20"/>
          <w:szCs w:val="20"/>
        </w:rPr>
        <w:t>10</w:t>
      </w:r>
      <w:r w:rsidRPr="007467AC">
        <w:rPr>
          <w:rFonts w:ascii="Times New Roman" w:hAnsi="Times New Roman" w:cs="Times New Roman"/>
          <w:sz w:val="20"/>
          <w:szCs w:val="20"/>
        </w:rPr>
        <w:t>(3), e0119022.</w:t>
      </w:r>
    </w:p>
    <w:p w14:paraId="3335D944"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Gardiner, P., Phillips, R., &amp; Shaughnessy, A. F. (2008). Herbal and dietary supplement–drug interactions in patients with chronic illnesses. </w:t>
      </w:r>
      <w:r w:rsidRPr="007467AC">
        <w:rPr>
          <w:rFonts w:ascii="Times New Roman" w:hAnsi="Times New Roman" w:cs="Times New Roman"/>
          <w:i/>
          <w:iCs/>
          <w:sz w:val="20"/>
          <w:szCs w:val="20"/>
          <w:shd w:val="clear" w:color="auto" w:fill="FFFFFF"/>
        </w:rPr>
        <w:t>American family physician</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77</w:t>
      </w:r>
      <w:r w:rsidRPr="007467AC">
        <w:rPr>
          <w:rFonts w:ascii="Times New Roman" w:hAnsi="Times New Roman" w:cs="Times New Roman"/>
          <w:sz w:val="20"/>
          <w:szCs w:val="20"/>
          <w:shd w:val="clear" w:color="auto" w:fill="FFFFFF"/>
        </w:rPr>
        <w:t>(1), 73-78.</w:t>
      </w:r>
    </w:p>
    <w:p w14:paraId="33DCE623"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Gelvin SB (2003) Agrobacterium-mediated plant transformation: the biology behind the “gene-jockeying” tool. </w:t>
      </w:r>
      <w:r w:rsidRPr="007467AC">
        <w:rPr>
          <w:rFonts w:ascii="Times New Roman" w:hAnsi="Times New Roman" w:cs="Times New Roman"/>
          <w:i/>
          <w:iCs/>
          <w:sz w:val="20"/>
          <w:szCs w:val="20"/>
        </w:rPr>
        <w:t>Microbiology and molecular biology reviews</w:t>
      </w:r>
      <w:r w:rsidRPr="007467AC">
        <w:rPr>
          <w:rFonts w:ascii="Times New Roman" w:hAnsi="Times New Roman" w:cs="Times New Roman"/>
          <w:sz w:val="20"/>
          <w:szCs w:val="20"/>
        </w:rPr>
        <w:t> </w:t>
      </w:r>
      <w:r w:rsidRPr="007467AC">
        <w:rPr>
          <w:rFonts w:ascii="Times New Roman" w:hAnsi="Times New Roman" w:cs="Times New Roman"/>
          <w:iCs/>
          <w:sz w:val="20"/>
          <w:szCs w:val="20"/>
        </w:rPr>
        <w:t>67</w:t>
      </w:r>
      <w:r w:rsidRPr="007467AC">
        <w:rPr>
          <w:rFonts w:ascii="Times New Roman" w:hAnsi="Times New Roman" w:cs="Times New Roman"/>
          <w:sz w:val="20"/>
          <w:szCs w:val="20"/>
        </w:rPr>
        <w:t>(1), 16-37.</w:t>
      </w:r>
    </w:p>
    <w:p w14:paraId="3C759DCA"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Gelvin SB (2009) Agrobacterium in the genomics age. </w:t>
      </w:r>
      <w:r w:rsidRPr="007467AC">
        <w:rPr>
          <w:rFonts w:ascii="Times New Roman" w:hAnsi="Times New Roman" w:cs="Times New Roman"/>
          <w:i/>
          <w:iCs/>
          <w:sz w:val="20"/>
          <w:szCs w:val="20"/>
        </w:rPr>
        <w:t xml:space="preserve">Plant </w:t>
      </w:r>
      <w:proofErr w:type="spellStart"/>
      <w:r w:rsidRPr="007467AC">
        <w:rPr>
          <w:rFonts w:ascii="Times New Roman" w:hAnsi="Times New Roman" w:cs="Times New Roman"/>
          <w:i/>
          <w:iCs/>
          <w:sz w:val="20"/>
          <w:szCs w:val="20"/>
        </w:rPr>
        <w:t>Physiol</w:t>
      </w:r>
      <w:proofErr w:type="spellEnd"/>
      <w:r w:rsidRPr="007467AC">
        <w:rPr>
          <w:rFonts w:ascii="Times New Roman" w:hAnsi="Times New Roman" w:cs="Times New Roman"/>
          <w:sz w:val="20"/>
          <w:szCs w:val="20"/>
        </w:rPr>
        <w:t xml:space="preserve"> 150, 1665–1676. </w:t>
      </w:r>
      <w:proofErr w:type="spellStart"/>
      <w:r w:rsidRPr="007467AC">
        <w:rPr>
          <w:rFonts w:ascii="Times New Roman" w:hAnsi="Times New Roman" w:cs="Times New Roman"/>
          <w:sz w:val="20"/>
          <w:szCs w:val="20"/>
        </w:rPr>
        <w:t>doi</w:t>
      </w:r>
      <w:proofErr w:type="spellEnd"/>
      <w:r w:rsidRPr="007467AC">
        <w:rPr>
          <w:rFonts w:ascii="Times New Roman" w:hAnsi="Times New Roman" w:cs="Times New Roman"/>
          <w:sz w:val="20"/>
          <w:szCs w:val="20"/>
        </w:rPr>
        <w:t>: 10.1104/pp.109.139873</w:t>
      </w:r>
    </w:p>
    <w:p w14:paraId="07331665"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Giri</w:t>
      </w:r>
      <w:proofErr w:type="spellEnd"/>
      <w:r w:rsidRPr="007467AC">
        <w:rPr>
          <w:rFonts w:ascii="Times New Roman" w:hAnsi="Times New Roman" w:cs="Times New Roman"/>
          <w:sz w:val="20"/>
          <w:szCs w:val="20"/>
        </w:rPr>
        <w:t xml:space="preserve"> A, </w:t>
      </w:r>
      <w:proofErr w:type="spellStart"/>
      <w:r w:rsidRPr="007467AC">
        <w:rPr>
          <w:rFonts w:ascii="Times New Roman" w:hAnsi="Times New Roman" w:cs="Times New Roman"/>
          <w:sz w:val="20"/>
          <w:szCs w:val="20"/>
        </w:rPr>
        <w:t>Narasu</w:t>
      </w:r>
      <w:proofErr w:type="spellEnd"/>
      <w:r w:rsidRPr="007467AC">
        <w:rPr>
          <w:rFonts w:ascii="Times New Roman" w:hAnsi="Times New Roman" w:cs="Times New Roman"/>
          <w:sz w:val="20"/>
          <w:szCs w:val="20"/>
        </w:rPr>
        <w:t xml:space="preserve"> ML (2000) Transgenic hairy roots: recent trends and applications. </w:t>
      </w:r>
      <w:proofErr w:type="spellStart"/>
      <w:r w:rsidRPr="007467AC">
        <w:rPr>
          <w:rFonts w:ascii="Times New Roman" w:hAnsi="Times New Roman" w:cs="Times New Roman"/>
          <w:i/>
          <w:sz w:val="20"/>
          <w:szCs w:val="20"/>
        </w:rPr>
        <w:t>Biotechnol</w:t>
      </w:r>
      <w:proofErr w:type="spellEnd"/>
      <w:r w:rsidRPr="007467AC">
        <w:rPr>
          <w:rFonts w:ascii="Times New Roman" w:hAnsi="Times New Roman" w:cs="Times New Roman"/>
          <w:i/>
          <w:sz w:val="20"/>
          <w:szCs w:val="20"/>
        </w:rPr>
        <w:t>. Advan</w:t>
      </w:r>
      <w:r w:rsidRPr="007467AC">
        <w:rPr>
          <w:rFonts w:ascii="Times New Roman" w:hAnsi="Times New Roman" w:cs="Times New Roman"/>
          <w:sz w:val="20"/>
          <w:szCs w:val="20"/>
        </w:rPr>
        <w:t xml:space="preserve"> 18:1-22; http://dx.doi.org/10.1016/S0734-9750(99) 00016-6</w:t>
      </w:r>
    </w:p>
    <w:p w14:paraId="4DEEC328"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Gutierrez-Valdes N, </w:t>
      </w:r>
      <w:proofErr w:type="spellStart"/>
      <w:r w:rsidRPr="007467AC">
        <w:rPr>
          <w:rFonts w:ascii="Times New Roman" w:hAnsi="Times New Roman" w:cs="Times New Roman"/>
          <w:sz w:val="20"/>
          <w:szCs w:val="20"/>
        </w:rPr>
        <w:t>Häkkinen</w:t>
      </w:r>
      <w:proofErr w:type="spellEnd"/>
      <w:r w:rsidRPr="007467AC">
        <w:rPr>
          <w:rFonts w:ascii="Times New Roman" w:hAnsi="Times New Roman" w:cs="Times New Roman"/>
          <w:sz w:val="20"/>
          <w:szCs w:val="20"/>
        </w:rPr>
        <w:t xml:space="preserve"> ST, </w:t>
      </w:r>
      <w:proofErr w:type="spellStart"/>
      <w:r w:rsidRPr="007467AC">
        <w:rPr>
          <w:rFonts w:ascii="Times New Roman" w:hAnsi="Times New Roman" w:cs="Times New Roman"/>
          <w:sz w:val="20"/>
          <w:szCs w:val="20"/>
        </w:rPr>
        <w:t>Lemasson</w:t>
      </w:r>
      <w:proofErr w:type="spellEnd"/>
      <w:r w:rsidRPr="007467AC">
        <w:rPr>
          <w:rFonts w:ascii="Times New Roman" w:hAnsi="Times New Roman" w:cs="Times New Roman"/>
          <w:sz w:val="20"/>
          <w:szCs w:val="20"/>
        </w:rPr>
        <w:t xml:space="preserve"> C, </w:t>
      </w:r>
      <w:proofErr w:type="spellStart"/>
      <w:r w:rsidRPr="007467AC">
        <w:rPr>
          <w:rFonts w:ascii="Times New Roman" w:hAnsi="Times New Roman" w:cs="Times New Roman"/>
          <w:sz w:val="20"/>
          <w:szCs w:val="20"/>
        </w:rPr>
        <w:t>Guillet</w:t>
      </w:r>
      <w:proofErr w:type="spellEnd"/>
      <w:r w:rsidRPr="007467AC">
        <w:rPr>
          <w:rFonts w:ascii="Times New Roman" w:hAnsi="Times New Roman" w:cs="Times New Roman"/>
          <w:sz w:val="20"/>
          <w:szCs w:val="20"/>
        </w:rPr>
        <w:t xml:space="preserve"> M, </w:t>
      </w:r>
      <w:proofErr w:type="spellStart"/>
      <w:r w:rsidRPr="007467AC">
        <w:rPr>
          <w:rFonts w:ascii="Times New Roman" w:hAnsi="Times New Roman" w:cs="Times New Roman"/>
          <w:sz w:val="20"/>
          <w:szCs w:val="20"/>
        </w:rPr>
        <w:t>Oksman-Caldentey</w:t>
      </w:r>
      <w:proofErr w:type="spellEnd"/>
      <w:r w:rsidRPr="007467AC">
        <w:rPr>
          <w:rFonts w:ascii="Times New Roman" w:hAnsi="Times New Roman" w:cs="Times New Roman"/>
          <w:sz w:val="20"/>
          <w:szCs w:val="20"/>
        </w:rPr>
        <w:t xml:space="preserve"> KM, </w:t>
      </w:r>
      <w:proofErr w:type="spellStart"/>
      <w:r w:rsidRPr="007467AC">
        <w:rPr>
          <w:rFonts w:ascii="Times New Roman" w:hAnsi="Times New Roman" w:cs="Times New Roman"/>
          <w:sz w:val="20"/>
          <w:szCs w:val="20"/>
        </w:rPr>
        <w:t>Ritala</w:t>
      </w:r>
      <w:proofErr w:type="spellEnd"/>
      <w:r w:rsidRPr="007467AC">
        <w:rPr>
          <w:rFonts w:ascii="Times New Roman" w:hAnsi="Times New Roman" w:cs="Times New Roman"/>
          <w:sz w:val="20"/>
          <w:szCs w:val="20"/>
        </w:rPr>
        <w:t xml:space="preserve"> A, Cardon F (2020) Hairy root cultures—a versatile tool with multiple applications.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11</w:t>
      </w:r>
      <w:r w:rsidRPr="007467AC">
        <w:rPr>
          <w:rFonts w:ascii="Times New Roman" w:hAnsi="Times New Roman" w:cs="Times New Roman"/>
          <w:sz w:val="20"/>
          <w:szCs w:val="20"/>
        </w:rPr>
        <w:t>, 33.</w:t>
      </w:r>
    </w:p>
    <w:p w14:paraId="5BC1C4A6"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Han, H., Li, Z., Gao, Z., Yin, X., Dong, P., Yang, B., &amp; Kuang, H. (2019). Synthesis and biological evaluation of </w:t>
      </w:r>
      <w:proofErr w:type="spellStart"/>
      <w:r w:rsidRPr="007467AC">
        <w:rPr>
          <w:rFonts w:ascii="Times New Roman" w:hAnsi="Times New Roman" w:cs="Times New Roman"/>
          <w:sz w:val="20"/>
          <w:szCs w:val="20"/>
          <w:shd w:val="clear" w:color="auto" w:fill="FFFFFF"/>
        </w:rPr>
        <w:t>picroside</w:t>
      </w:r>
      <w:proofErr w:type="spellEnd"/>
      <w:r w:rsidRPr="007467AC">
        <w:rPr>
          <w:rFonts w:ascii="Times New Roman" w:hAnsi="Times New Roman" w:cs="Times New Roman"/>
          <w:sz w:val="20"/>
          <w:szCs w:val="20"/>
          <w:shd w:val="clear" w:color="auto" w:fill="FFFFFF"/>
        </w:rPr>
        <w:t xml:space="preserve"> derivatives as hepatoprotective agents. </w:t>
      </w:r>
      <w:r w:rsidRPr="007467AC">
        <w:rPr>
          <w:rFonts w:ascii="Times New Roman" w:hAnsi="Times New Roman" w:cs="Times New Roman"/>
          <w:i/>
          <w:iCs/>
          <w:sz w:val="20"/>
          <w:szCs w:val="20"/>
          <w:shd w:val="clear" w:color="auto" w:fill="FFFFFF"/>
        </w:rPr>
        <w:t>Natural Product Research</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33</w:t>
      </w:r>
      <w:r w:rsidRPr="007467AC">
        <w:rPr>
          <w:rFonts w:ascii="Times New Roman" w:hAnsi="Times New Roman" w:cs="Times New Roman"/>
          <w:sz w:val="20"/>
          <w:szCs w:val="20"/>
          <w:shd w:val="clear" w:color="auto" w:fill="FFFFFF"/>
        </w:rPr>
        <w:t>(19), 2845-2850.</w:t>
      </w:r>
    </w:p>
    <w:p w14:paraId="33A1FC75"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Herlache TC, Triplett EW (2002) Expression of a crown gall biological control phenotype in an avirulent strain of Agrobacterium </w:t>
      </w:r>
      <w:proofErr w:type="spellStart"/>
      <w:r w:rsidRPr="007467AC">
        <w:rPr>
          <w:rFonts w:ascii="Times New Roman" w:hAnsi="Times New Roman" w:cs="Times New Roman"/>
          <w:sz w:val="20"/>
          <w:szCs w:val="20"/>
        </w:rPr>
        <w:t>vitis</w:t>
      </w:r>
      <w:proofErr w:type="spellEnd"/>
      <w:r w:rsidRPr="007467AC">
        <w:rPr>
          <w:rFonts w:ascii="Times New Roman" w:hAnsi="Times New Roman" w:cs="Times New Roman"/>
          <w:sz w:val="20"/>
          <w:szCs w:val="20"/>
        </w:rPr>
        <w:t xml:space="preserve"> by addition of the </w:t>
      </w:r>
      <w:proofErr w:type="spellStart"/>
      <w:r w:rsidRPr="007467AC">
        <w:rPr>
          <w:rFonts w:ascii="Times New Roman" w:hAnsi="Times New Roman" w:cs="Times New Roman"/>
          <w:sz w:val="20"/>
          <w:szCs w:val="20"/>
        </w:rPr>
        <w:t>trifolitoxin</w:t>
      </w:r>
      <w:proofErr w:type="spellEnd"/>
      <w:r w:rsidRPr="007467AC">
        <w:rPr>
          <w:rFonts w:ascii="Times New Roman" w:hAnsi="Times New Roman" w:cs="Times New Roman"/>
          <w:sz w:val="20"/>
          <w:szCs w:val="20"/>
        </w:rPr>
        <w:t xml:space="preserve"> production and resistance genes. </w:t>
      </w:r>
      <w:r w:rsidRPr="007467AC">
        <w:rPr>
          <w:rFonts w:ascii="Times New Roman" w:hAnsi="Times New Roman" w:cs="Times New Roman"/>
          <w:i/>
          <w:iCs/>
          <w:sz w:val="20"/>
          <w:szCs w:val="20"/>
        </w:rPr>
        <w:t>BMC biotechnology</w:t>
      </w:r>
      <w:r w:rsidRPr="007467AC">
        <w:rPr>
          <w:rFonts w:ascii="Times New Roman" w:hAnsi="Times New Roman" w:cs="Times New Roman"/>
          <w:sz w:val="20"/>
          <w:szCs w:val="20"/>
        </w:rPr>
        <w:t> </w:t>
      </w:r>
      <w:r w:rsidRPr="007467AC">
        <w:rPr>
          <w:rFonts w:ascii="Times New Roman" w:hAnsi="Times New Roman" w:cs="Times New Roman"/>
          <w:iCs/>
          <w:sz w:val="20"/>
          <w:szCs w:val="20"/>
        </w:rPr>
        <w:t>2</w:t>
      </w:r>
      <w:r w:rsidRPr="007467AC">
        <w:rPr>
          <w:rFonts w:ascii="Times New Roman" w:hAnsi="Times New Roman" w:cs="Times New Roman"/>
          <w:sz w:val="20"/>
          <w:szCs w:val="20"/>
        </w:rPr>
        <w:t>, 1-7.</w:t>
      </w:r>
    </w:p>
    <w:p w14:paraId="685EDA69"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Huan, C., Zhang, R., Xie, L., Wang, X., Wang, X., Wang, X., ... &amp; Gao, S. (2024). Plantago asiatica L. polysaccharides: Physiochemical properties, structural characteristics, biological activity and application prospects: A review. </w:t>
      </w:r>
      <w:r w:rsidRPr="007467AC">
        <w:rPr>
          <w:rFonts w:ascii="Times New Roman" w:hAnsi="Times New Roman" w:cs="Times New Roman"/>
          <w:i/>
          <w:iCs/>
          <w:sz w:val="20"/>
          <w:szCs w:val="20"/>
          <w:shd w:val="clear" w:color="auto" w:fill="FFFFFF"/>
        </w:rPr>
        <w:t>International Journal of Biological Macromolecules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258</w:t>
      </w:r>
      <w:r w:rsidRPr="007467AC">
        <w:rPr>
          <w:rFonts w:ascii="Times New Roman" w:hAnsi="Times New Roman" w:cs="Times New Roman"/>
          <w:sz w:val="20"/>
          <w:szCs w:val="20"/>
          <w:shd w:val="clear" w:color="auto" w:fill="FFFFFF"/>
        </w:rPr>
        <w:t>, 128990.</w:t>
      </w:r>
    </w:p>
    <w:p w14:paraId="19EDDA0B"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proofErr w:type="spellStart"/>
      <w:r w:rsidRPr="007467AC">
        <w:rPr>
          <w:rFonts w:ascii="Times New Roman" w:hAnsi="Times New Roman" w:cs="Times New Roman"/>
          <w:sz w:val="20"/>
          <w:szCs w:val="20"/>
        </w:rPr>
        <w:t>Jariani</w:t>
      </w:r>
      <w:proofErr w:type="spellEnd"/>
      <w:r w:rsidRPr="007467AC">
        <w:rPr>
          <w:rFonts w:ascii="Times New Roman" w:hAnsi="Times New Roman" w:cs="Times New Roman"/>
          <w:sz w:val="20"/>
          <w:szCs w:val="20"/>
        </w:rPr>
        <w:t xml:space="preserve"> P, </w:t>
      </w:r>
      <w:proofErr w:type="spellStart"/>
      <w:r w:rsidRPr="007467AC">
        <w:rPr>
          <w:rFonts w:ascii="Times New Roman" w:hAnsi="Times New Roman" w:cs="Times New Roman"/>
          <w:sz w:val="20"/>
          <w:szCs w:val="20"/>
        </w:rPr>
        <w:t>Naghavi</w:t>
      </w:r>
      <w:proofErr w:type="spellEnd"/>
      <w:r w:rsidRPr="007467AC">
        <w:rPr>
          <w:rFonts w:ascii="Times New Roman" w:hAnsi="Times New Roman" w:cs="Times New Roman"/>
          <w:sz w:val="20"/>
          <w:szCs w:val="20"/>
        </w:rPr>
        <w:t xml:space="preserve"> MR (2024) Hairy roots as a platform for recombinant protein expression and secondary metabolite production: current status and future prospects. </w:t>
      </w:r>
      <w:r w:rsidRPr="007467AC">
        <w:rPr>
          <w:rFonts w:ascii="Times New Roman" w:hAnsi="Times New Roman" w:cs="Times New Roman"/>
          <w:i/>
          <w:iCs/>
          <w:sz w:val="20"/>
          <w:szCs w:val="20"/>
        </w:rPr>
        <w:t>In Vitro Cellular &amp; Developmental Biology-Plant</w:t>
      </w:r>
      <w:r w:rsidRPr="007467AC">
        <w:rPr>
          <w:rFonts w:ascii="Times New Roman" w:hAnsi="Times New Roman" w:cs="Times New Roman"/>
          <w:sz w:val="20"/>
          <w:szCs w:val="20"/>
        </w:rPr>
        <w:t xml:space="preserve"> 1-17.</w:t>
      </w:r>
    </w:p>
    <w:p w14:paraId="54D2A10D"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Kafle, G., Bhattarai, I., Siwakoti, M., &amp; Shrestha, A. K. (2018). Demand, End</w:t>
      </w:r>
      <w:r w:rsidRPr="007467AC">
        <w:rPr>
          <w:rFonts w:ascii="Cambria Math" w:hAnsi="Cambria Math" w:cs="Times New Roman"/>
          <w:sz w:val="20"/>
          <w:szCs w:val="20"/>
          <w:shd w:val="clear" w:color="auto" w:fill="FFFFFF"/>
        </w:rPr>
        <w:t>‐</w:t>
      </w:r>
      <w:r w:rsidRPr="007467AC">
        <w:rPr>
          <w:rFonts w:ascii="Times New Roman" w:hAnsi="Times New Roman" w:cs="Times New Roman"/>
          <w:sz w:val="20"/>
          <w:szCs w:val="20"/>
          <w:shd w:val="clear" w:color="auto" w:fill="FFFFFF"/>
        </w:rPr>
        <w:t xml:space="preserve">Uses, and Conservation of Alpine Medicinal Plant </w:t>
      </w:r>
      <w:proofErr w:type="spellStart"/>
      <w:r w:rsidRPr="007467AC">
        <w:rPr>
          <w:rFonts w:ascii="Times New Roman" w:hAnsi="Times New Roman" w:cs="Times New Roman"/>
          <w:sz w:val="20"/>
          <w:szCs w:val="20"/>
          <w:shd w:val="clear" w:color="auto" w:fill="FFFFFF"/>
        </w:rPr>
        <w:t>Neopicrorhiza</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scrophulariiflora</w:t>
      </w:r>
      <w:proofErr w:type="spellEnd"/>
      <w:r w:rsidRPr="007467AC">
        <w:rPr>
          <w:rFonts w:ascii="Times New Roman" w:hAnsi="Times New Roman" w:cs="Times New Roman"/>
          <w:sz w:val="20"/>
          <w:szCs w:val="20"/>
          <w:shd w:val="clear" w:color="auto" w:fill="FFFFFF"/>
        </w:rPr>
        <w:t xml:space="preserve"> (Pennell) DY Hong in Central Himalaya. </w:t>
      </w:r>
      <w:r w:rsidRPr="007467AC">
        <w:rPr>
          <w:rFonts w:ascii="Times New Roman" w:hAnsi="Times New Roman" w:cs="Times New Roman"/>
          <w:i/>
          <w:iCs/>
          <w:sz w:val="20"/>
          <w:szCs w:val="20"/>
          <w:shd w:val="clear" w:color="auto" w:fill="FFFFFF"/>
        </w:rPr>
        <w:t>Evidence</w:t>
      </w:r>
      <w:r w:rsidRPr="007467AC">
        <w:rPr>
          <w:rFonts w:ascii="Cambria Math" w:hAnsi="Cambria Math" w:cs="Times New Roman"/>
          <w:i/>
          <w:iCs/>
          <w:sz w:val="20"/>
          <w:szCs w:val="20"/>
          <w:shd w:val="clear" w:color="auto" w:fill="FFFFFF"/>
        </w:rPr>
        <w:t>‐</w:t>
      </w:r>
      <w:r w:rsidRPr="007467AC">
        <w:rPr>
          <w:rFonts w:ascii="Times New Roman" w:hAnsi="Times New Roman" w:cs="Times New Roman"/>
          <w:i/>
          <w:iCs/>
          <w:sz w:val="20"/>
          <w:szCs w:val="20"/>
          <w:shd w:val="clear" w:color="auto" w:fill="FFFFFF"/>
        </w:rPr>
        <w:t>Based Complementary and Alternative Medicine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2018</w:t>
      </w:r>
      <w:r w:rsidRPr="007467AC">
        <w:rPr>
          <w:rFonts w:ascii="Times New Roman" w:hAnsi="Times New Roman" w:cs="Times New Roman"/>
          <w:sz w:val="20"/>
          <w:szCs w:val="20"/>
          <w:shd w:val="clear" w:color="auto" w:fill="FFFFFF"/>
        </w:rPr>
        <w:t>(1), 6024263.</w:t>
      </w:r>
    </w:p>
    <w:p w14:paraId="2F794D62"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Kairuz</w:t>
      </w:r>
      <w:proofErr w:type="spellEnd"/>
      <w:r w:rsidRPr="007467AC">
        <w:rPr>
          <w:rFonts w:ascii="Times New Roman" w:hAnsi="Times New Roman" w:cs="Times New Roman"/>
          <w:sz w:val="20"/>
          <w:szCs w:val="20"/>
          <w:shd w:val="clear" w:color="auto" w:fill="FFFFFF"/>
        </w:rPr>
        <w:t xml:space="preserve">, E., Pérez-Alonso, N., Capote-Pérez, A., Pérez-Pérez, A., Espinosa-Antón, A. A., </w:t>
      </w:r>
      <w:proofErr w:type="spellStart"/>
      <w:r w:rsidRPr="007467AC">
        <w:rPr>
          <w:rFonts w:ascii="Times New Roman" w:hAnsi="Times New Roman" w:cs="Times New Roman"/>
          <w:sz w:val="20"/>
          <w:szCs w:val="20"/>
          <w:shd w:val="clear" w:color="auto" w:fill="FFFFFF"/>
        </w:rPr>
        <w:t>Angenon</w:t>
      </w:r>
      <w:proofErr w:type="spellEnd"/>
      <w:r w:rsidRPr="007467AC">
        <w:rPr>
          <w:rFonts w:ascii="Times New Roman" w:hAnsi="Times New Roman" w:cs="Times New Roman"/>
          <w:sz w:val="20"/>
          <w:szCs w:val="20"/>
          <w:shd w:val="clear" w:color="auto" w:fill="FFFFFF"/>
        </w:rPr>
        <w:t>, G., ... &amp; Chong-Pérez, B. (2020). Enhancement of cardenolide production in transgenic Digitalis purpurea L. by expressing a progesterone-5β-reductase from Arabidopsis thaliana L. </w:t>
      </w:r>
      <w:r w:rsidRPr="007467AC">
        <w:rPr>
          <w:rFonts w:ascii="Times New Roman" w:hAnsi="Times New Roman" w:cs="Times New Roman"/>
          <w:i/>
          <w:iCs/>
          <w:sz w:val="20"/>
          <w:szCs w:val="20"/>
          <w:shd w:val="clear" w:color="auto" w:fill="FFFFFF"/>
        </w:rPr>
        <w:t>Industrial Crops and Products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146</w:t>
      </w:r>
      <w:r w:rsidRPr="007467AC">
        <w:rPr>
          <w:rFonts w:ascii="Times New Roman" w:hAnsi="Times New Roman" w:cs="Times New Roman"/>
          <w:sz w:val="20"/>
          <w:szCs w:val="20"/>
          <w:shd w:val="clear" w:color="auto" w:fill="FFFFFF"/>
        </w:rPr>
        <w:t>, 112166.</w:t>
      </w:r>
    </w:p>
    <w:p w14:paraId="5B9A8463"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rPr>
        <w:t>Kuzmanović</w:t>
      </w:r>
      <w:proofErr w:type="spellEnd"/>
      <w:r w:rsidRPr="007467AC">
        <w:rPr>
          <w:rFonts w:ascii="Times New Roman" w:hAnsi="Times New Roman" w:cs="Times New Roman"/>
          <w:sz w:val="20"/>
          <w:szCs w:val="20"/>
        </w:rPr>
        <w:t xml:space="preserve"> N, </w:t>
      </w:r>
      <w:proofErr w:type="spellStart"/>
      <w:r w:rsidRPr="007467AC">
        <w:rPr>
          <w:rFonts w:ascii="Times New Roman" w:hAnsi="Times New Roman" w:cs="Times New Roman"/>
          <w:sz w:val="20"/>
          <w:szCs w:val="20"/>
        </w:rPr>
        <w:t>Smalla</w:t>
      </w:r>
      <w:proofErr w:type="spellEnd"/>
      <w:r w:rsidRPr="007467AC">
        <w:rPr>
          <w:rFonts w:ascii="Times New Roman" w:hAnsi="Times New Roman" w:cs="Times New Roman"/>
          <w:sz w:val="20"/>
          <w:szCs w:val="20"/>
        </w:rPr>
        <w:t xml:space="preserve"> K, </w:t>
      </w:r>
      <w:proofErr w:type="spellStart"/>
      <w:r w:rsidRPr="007467AC">
        <w:rPr>
          <w:rFonts w:ascii="Times New Roman" w:hAnsi="Times New Roman" w:cs="Times New Roman"/>
          <w:sz w:val="20"/>
          <w:szCs w:val="20"/>
        </w:rPr>
        <w:t>Gronow</w:t>
      </w:r>
      <w:proofErr w:type="spellEnd"/>
      <w:r w:rsidRPr="007467AC">
        <w:rPr>
          <w:rFonts w:ascii="Times New Roman" w:hAnsi="Times New Roman" w:cs="Times New Roman"/>
          <w:sz w:val="20"/>
          <w:szCs w:val="20"/>
        </w:rPr>
        <w:t xml:space="preserve"> S, </w:t>
      </w:r>
      <w:proofErr w:type="spellStart"/>
      <w:r w:rsidRPr="007467AC">
        <w:rPr>
          <w:rFonts w:ascii="Times New Roman" w:hAnsi="Times New Roman" w:cs="Times New Roman"/>
          <w:sz w:val="20"/>
          <w:szCs w:val="20"/>
        </w:rPr>
        <w:t>Puławska</w:t>
      </w:r>
      <w:proofErr w:type="spellEnd"/>
      <w:r w:rsidRPr="007467AC">
        <w:rPr>
          <w:rFonts w:ascii="Times New Roman" w:hAnsi="Times New Roman" w:cs="Times New Roman"/>
          <w:sz w:val="20"/>
          <w:szCs w:val="20"/>
        </w:rPr>
        <w:t xml:space="preserve"> J (2018) Rhizobium </w:t>
      </w:r>
      <w:proofErr w:type="spellStart"/>
      <w:r w:rsidRPr="007467AC">
        <w:rPr>
          <w:rFonts w:ascii="Times New Roman" w:hAnsi="Times New Roman" w:cs="Times New Roman"/>
          <w:sz w:val="20"/>
          <w:szCs w:val="20"/>
        </w:rPr>
        <w:t>tumorigenes</w:t>
      </w:r>
      <w:proofErr w:type="spellEnd"/>
      <w:r w:rsidRPr="007467AC">
        <w:rPr>
          <w:rFonts w:ascii="Times New Roman" w:hAnsi="Times New Roman" w:cs="Times New Roman"/>
          <w:sz w:val="20"/>
          <w:szCs w:val="20"/>
        </w:rPr>
        <w:t xml:space="preserve"> sp. </w:t>
      </w:r>
      <w:proofErr w:type="spellStart"/>
      <w:r w:rsidRPr="007467AC">
        <w:rPr>
          <w:rFonts w:ascii="Times New Roman" w:hAnsi="Times New Roman" w:cs="Times New Roman"/>
          <w:sz w:val="20"/>
          <w:szCs w:val="20"/>
        </w:rPr>
        <w:t>nov.</w:t>
      </w:r>
      <w:proofErr w:type="spellEnd"/>
      <w:r w:rsidRPr="007467AC">
        <w:rPr>
          <w:rFonts w:ascii="Times New Roman" w:hAnsi="Times New Roman" w:cs="Times New Roman"/>
          <w:sz w:val="20"/>
          <w:szCs w:val="20"/>
        </w:rPr>
        <w:t>, a novel plant tumorigenic bacterium isolated from cane gall tumors on thornless blackberry. </w:t>
      </w:r>
      <w:r w:rsidRPr="007467AC">
        <w:rPr>
          <w:rFonts w:ascii="Times New Roman" w:hAnsi="Times New Roman" w:cs="Times New Roman"/>
          <w:i/>
          <w:iCs/>
          <w:sz w:val="20"/>
          <w:szCs w:val="20"/>
        </w:rPr>
        <w:t>Scientific reports</w:t>
      </w:r>
      <w:r w:rsidRPr="007467AC">
        <w:rPr>
          <w:rFonts w:ascii="Times New Roman" w:hAnsi="Times New Roman" w:cs="Times New Roman"/>
          <w:sz w:val="20"/>
          <w:szCs w:val="20"/>
        </w:rPr>
        <w:t> </w:t>
      </w:r>
      <w:r w:rsidRPr="007467AC">
        <w:rPr>
          <w:rFonts w:ascii="Times New Roman" w:hAnsi="Times New Roman" w:cs="Times New Roman"/>
          <w:iCs/>
          <w:sz w:val="20"/>
          <w:szCs w:val="20"/>
        </w:rPr>
        <w:t>8</w:t>
      </w:r>
      <w:r w:rsidRPr="007467AC">
        <w:rPr>
          <w:rFonts w:ascii="Times New Roman" w:hAnsi="Times New Roman" w:cs="Times New Roman"/>
          <w:sz w:val="20"/>
          <w:szCs w:val="20"/>
        </w:rPr>
        <w:t>(1), 1-8.</w:t>
      </w:r>
    </w:p>
    <w:p w14:paraId="51D5B75C"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r w:rsidRPr="007467AC">
        <w:rPr>
          <w:rFonts w:ascii="Times New Roman" w:hAnsi="Times New Roman" w:cs="Times New Roman"/>
          <w:sz w:val="20"/>
          <w:szCs w:val="20"/>
        </w:rPr>
        <w:t xml:space="preserve">Lee CW, </w:t>
      </w:r>
      <w:proofErr w:type="spellStart"/>
      <w:r w:rsidRPr="007467AC">
        <w:rPr>
          <w:rFonts w:ascii="Times New Roman" w:hAnsi="Times New Roman" w:cs="Times New Roman"/>
          <w:sz w:val="20"/>
          <w:szCs w:val="20"/>
        </w:rPr>
        <w:t>Efetova</w:t>
      </w:r>
      <w:proofErr w:type="spellEnd"/>
      <w:r w:rsidRPr="007467AC">
        <w:rPr>
          <w:rFonts w:ascii="Times New Roman" w:hAnsi="Times New Roman" w:cs="Times New Roman"/>
          <w:sz w:val="20"/>
          <w:szCs w:val="20"/>
        </w:rPr>
        <w:t xml:space="preserve"> M, Engelmann JC, </w:t>
      </w:r>
      <w:proofErr w:type="spellStart"/>
      <w:r w:rsidRPr="007467AC">
        <w:rPr>
          <w:rFonts w:ascii="Times New Roman" w:hAnsi="Times New Roman" w:cs="Times New Roman"/>
          <w:sz w:val="20"/>
          <w:szCs w:val="20"/>
        </w:rPr>
        <w:t>Kramell</w:t>
      </w:r>
      <w:proofErr w:type="spellEnd"/>
      <w:r w:rsidRPr="007467AC">
        <w:rPr>
          <w:rFonts w:ascii="Times New Roman" w:hAnsi="Times New Roman" w:cs="Times New Roman"/>
          <w:sz w:val="20"/>
          <w:szCs w:val="20"/>
        </w:rPr>
        <w:t xml:space="preserve"> R, </w:t>
      </w:r>
      <w:proofErr w:type="spellStart"/>
      <w:r w:rsidRPr="007467AC">
        <w:rPr>
          <w:rFonts w:ascii="Times New Roman" w:hAnsi="Times New Roman" w:cs="Times New Roman"/>
          <w:sz w:val="20"/>
          <w:szCs w:val="20"/>
        </w:rPr>
        <w:t>Wasternack</w:t>
      </w:r>
      <w:proofErr w:type="spellEnd"/>
      <w:r w:rsidRPr="007467AC">
        <w:rPr>
          <w:rFonts w:ascii="Times New Roman" w:hAnsi="Times New Roman" w:cs="Times New Roman"/>
          <w:sz w:val="20"/>
          <w:szCs w:val="20"/>
        </w:rPr>
        <w:t xml:space="preserve"> C, Ludwig-Muller J, Deeken R (2009) Agrobacterium tumefaciens promotes tumor induction by modulating pathogen defense in Arabidopsis thaliana. </w:t>
      </w:r>
      <w:r w:rsidRPr="007467AC">
        <w:rPr>
          <w:rFonts w:ascii="Times New Roman" w:hAnsi="Times New Roman" w:cs="Times New Roman"/>
          <w:i/>
          <w:iCs/>
          <w:sz w:val="20"/>
          <w:szCs w:val="20"/>
        </w:rPr>
        <w:t>The Plant Cell</w:t>
      </w:r>
      <w:r w:rsidRPr="007467AC">
        <w:rPr>
          <w:rFonts w:ascii="Times New Roman" w:hAnsi="Times New Roman" w:cs="Times New Roman"/>
          <w:sz w:val="20"/>
          <w:szCs w:val="20"/>
        </w:rPr>
        <w:t> </w:t>
      </w:r>
      <w:r w:rsidRPr="007467AC">
        <w:rPr>
          <w:rFonts w:ascii="Times New Roman" w:hAnsi="Times New Roman" w:cs="Times New Roman"/>
          <w:iCs/>
          <w:sz w:val="20"/>
          <w:szCs w:val="20"/>
        </w:rPr>
        <w:t>21</w:t>
      </w:r>
      <w:r w:rsidRPr="007467AC">
        <w:rPr>
          <w:rFonts w:ascii="Times New Roman" w:hAnsi="Times New Roman" w:cs="Times New Roman"/>
          <w:sz w:val="20"/>
          <w:szCs w:val="20"/>
        </w:rPr>
        <w:t>(9), 2948-2962.</w:t>
      </w:r>
    </w:p>
    <w:p w14:paraId="0EE825C2"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lastRenderedPageBreak/>
        <w:t xml:space="preserve">Malik, Z. A., Bhat, J. A., </w:t>
      </w:r>
      <w:proofErr w:type="spellStart"/>
      <w:r w:rsidRPr="007467AC">
        <w:rPr>
          <w:rFonts w:ascii="Times New Roman" w:hAnsi="Times New Roman" w:cs="Times New Roman"/>
          <w:sz w:val="20"/>
          <w:szCs w:val="20"/>
          <w:shd w:val="clear" w:color="auto" w:fill="FFFFFF"/>
        </w:rPr>
        <w:t>Ballabha</w:t>
      </w:r>
      <w:proofErr w:type="spellEnd"/>
      <w:r w:rsidRPr="007467AC">
        <w:rPr>
          <w:rFonts w:ascii="Times New Roman" w:hAnsi="Times New Roman" w:cs="Times New Roman"/>
          <w:sz w:val="20"/>
          <w:szCs w:val="20"/>
          <w:shd w:val="clear" w:color="auto" w:fill="FFFFFF"/>
        </w:rPr>
        <w:t>, R., Bussmann, R. W., &amp; Bhatt, A. B. (2015). Ethnomedicinal plants traditionally used in health care practices by inhabitants of Western Himalaya. </w:t>
      </w:r>
      <w:r w:rsidRPr="007467AC">
        <w:rPr>
          <w:rFonts w:ascii="Times New Roman" w:hAnsi="Times New Roman" w:cs="Times New Roman"/>
          <w:i/>
          <w:iCs/>
          <w:sz w:val="20"/>
          <w:szCs w:val="20"/>
          <w:shd w:val="clear" w:color="auto" w:fill="FFFFFF"/>
        </w:rPr>
        <w:t>Journal of Ethnopharmacology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172</w:t>
      </w:r>
      <w:r w:rsidRPr="007467AC">
        <w:rPr>
          <w:rFonts w:ascii="Times New Roman" w:hAnsi="Times New Roman" w:cs="Times New Roman"/>
          <w:sz w:val="20"/>
          <w:szCs w:val="20"/>
          <w:shd w:val="clear" w:color="auto" w:fill="FFFFFF"/>
        </w:rPr>
        <w:t>, 133-144.</w:t>
      </w:r>
    </w:p>
    <w:p w14:paraId="7AFD3513"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r w:rsidRPr="007467AC">
        <w:rPr>
          <w:rFonts w:ascii="Times New Roman" w:hAnsi="Times New Roman" w:cs="Times New Roman"/>
          <w:sz w:val="20"/>
          <w:szCs w:val="20"/>
        </w:rPr>
        <w:t xml:space="preserve">Meyer T, </w:t>
      </w:r>
      <w:proofErr w:type="spellStart"/>
      <w:r w:rsidRPr="007467AC">
        <w:rPr>
          <w:rFonts w:ascii="Times New Roman" w:hAnsi="Times New Roman" w:cs="Times New Roman"/>
          <w:sz w:val="20"/>
          <w:szCs w:val="20"/>
        </w:rPr>
        <w:t>Thiour-Mauprivez</w:t>
      </w:r>
      <w:proofErr w:type="spellEnd"/>
      <w:r w:rsidRPr="007467AC">
        <w:rPr>
          <w:rFonts w:ascii="Times New Roman" w:hAnsi="Times New Roman" w:cs="Times New Roman"/>
          <w:sz w:val="20"/>
          <w:szCs w:val="20"/>
        </w:rPr>
        <w:t xml:space="preserve"> C, Wisniewski-</w:t>
      </w:r>
      <w:proofErr w:type="spellStart"/>
      <w:r w:rsidRPr="007467AC">
        <w:rPr>
          <w:rFonts w:ascii="Times New Roman" w:hAnsi="Times New Roman" w:cs="Times New Roman"/>
          <w:sz w:val="20"/>
          <w:szCs w:val="20"/>
        </w:rPr>
        <w:t>Dyé</w:t>
      </w:r>
      <w:proofErr w:type="spellEnd"/>
      <w:r w:rsidRPr="007467AC">
        <w:rPr>
          <w:rFonts w:ascii="Times New Roman" w:hAnsi="Times New Roman" w:cs="Times New Roman"/>
          <w:sz w:val="20"/>
          <w:szCs w:val="20"/>
        </w:rPr>
        <w:t xml:space="preserve"> F, </w:t>
      </w:r>
      <w:proofErr w:type="spellStart"/>
      <w:r w:rsidRPr="007467AC">
        <w:rPr>
          <w:rFonts w:ascii="Times New Roman" w:hAnsi="Times New Roman" w:cs="Times New Roman"/>
          <w:sz w:val="20"/>
          <w:szCs w:val="20"/>
        </w:rPr>
        <w:t>Kerzaon</w:t>
      </w:r>
      <w:proofErr w:type="spellEnd"/>
      <w:r w:rsidRPr="007467AC">
        <w:rPr>
          <w:rFonts w:ascii="Times New Roman" w:hAnsi="Times New Roman" w:cs="Times New Roman"/>
          <w:sz w:val="20"/>
          <w:szCs w:val="20"/>
        </w:rPr>
        <w:t xml:space="preserve"> I, Comte G, Vial </w:t>
      </w:r>
      <w:proofErr w:type="gramStart"/>
      <w:r w:rsidRPr="007467AC">
        <w:rPr>
          <w:rFonts w:ascii="Times New Roman" w:hAnsi="Times New Roman" w:cs="Times New Roman"/>
          <w:sz w:val="20"/>
          <w:szCs w:val="20"/>
        </w:rPr>
        <w:t xml:space="preserve">L,  </w:t>
      </w:r>
      <w:proofErr w:type="spellStart"/>
      <w:r w:rsidRPr="007467AC">
        <w:rPr>
          <w:rFonts w:ascii="Times New Roman" w:hAnsi="Times New Roman" w:cs="Times New Roman"/>
          <w:sz w:val="20"/>
          <w:szCs w:val="20"/>
        </w:rPr>
        <w:t>Lavire</w:t>
      </w:r>
      <w:proofErr w:type="spellEnd"/>
      <w:proofErr w:type="gramEnd"/>
      <w:r w:rsidRPr="007467AC">
        <w:rPr>
          <w:rFonts w:ascii="Times New Roman" w:hAnsi="Times New Roman" w:cs="Times New Roman"/>
          <w:sz w:val="20"/>
          <w:szCs w:val="20"/>
        </w:rPr>
        <w:t xml:space="preserve"> C (2019) Ecological conditions and molecular determinants involved in Agrobacterium lifestyle in tumors.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10</w:t>
      </w:r>
      <w:r w:rsidRPr="007467AC">
        <w:rPr>
          <w:rFonts w:ascii="Times New Roman" w:hAnsi="Times New Roman" w:cs="Times New Roman"/>
          <w:sz w:val="20"/>
          <w:szCs w:val="20"/>
        </w:rPr>
        <w:t>, 978.</w:t>
      </w:r>
    </w:p>
    <w:p w14:paraId="5EEA238B"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Mijatovic, T., Van Quaquebeke, E., </w:t>
      </w:r>
      <w:proofErr w:type="spellStart"/>
      <w:r w:rsidRPr="007467AC">
        <w:rPr>
          <w:rFonts w:ascii="Times New Roman" w:hAnsi="Times New Roman" w:cs="Times New Roman"/>
          <w:sz w:val="20"/>
          <w:szCs w:val="20"/>
          <w:shd w:val="clear" w:color="auto" w:fill="FFFFFF"/>
        </w:rPr>
        <w:t>Delest</w:t>
      </w:r>
      <w:proofErr w:type="spellEnd"/>
      <w:r w:rsidRPr="007467AC">
        <w:rPr>
          <w:rFonts w:ascii="Times New Roman" w:hAnsi="Times New Roman" w:cs="Times New Roman"/>
          <w:sz w:val="20"/>
          <w:szCs w:val="20"/>
          <w:shd w:val="clear" w:color="auto" w:fill="FFFFFF"/>
        </w:rPr>
        <w:t xml:space="preserve">, B., </w:t>
      </w:r>
      <w:proofErr w:type="spellStart"/>
      <w:r w:rsidRPr="007467AC">
        <w:rPr>
          <w:rFonts w:ascii="Times New Roman" w:hAnsi="Times New Roman" w:cs="Times New Roman"/>
          <w:sz w:val="20"/>
          <w:szCs w:val="20"/>
          <w:shd w:val="clear" w:color="auto" w:fill="FFFFFF"/>
        </w:rPr>
        <w:t>Debeir</w:t>
      </w:r>
      <w:proofErr w:type="spellEnd"/>
      <w:r w:rsidRPr="007467AC">
        <w:rPr>
          <w:rFonts w:ascii="Times New Roman" w:hAnsi="Times New Roman" w:cs="Times New Roman"/>
          <w:sz w:val="20"/>
          <w:szCs w:val="20"/>
          <w:shd w:val="clear" w:color="auto" w:fill="FFFFFF"/>
        </w:rPr>
        <w:t>, O., Darro, F., &amp; Kiss, R. (2007). Cardiotonic steroids on the road to anti-cancer therapy. </w:t>
      </w:r>
      <w:proofErr w:type="spellStart"/>
      <w:r w:rsidRPr="007467AC">
        <w:rPr>
          <w:rFonts w:ascii="Times New Roman" w:hAnsi="Times New Roman" w:cs="Times New Roman"/>
          <w:i/>
          <w:iCs/>
          <w:sz w:val="20"/>
          <w:szCs w:val="20"/>
          <w:shd w:val="clear" w:color="auto" w:fill="FFFFFF"/>
        </w:rPr>
        <w:t>Biochimica</w:t>
      </w:r>
      <w:proofErr w:type="spellEnd"/>
      <w:r w:rsidRPr="007467AC">
        <w:rPr>
          <w:rFonts w:ascii="Times New Roman" w:hAnsi="Times New Roman" w:cs="Times New Roman"/>
          <w:i/>
          <w:iCs/>
          <w:sz w:val="20"/>
          <w:szCs w:val="20"/>
          <w:shd w:val="clear" w:color="auto" w:fill="FFFFFF"/>
        </w:rPr>
        <w:t xml:space="preserve"> et </w:t>
      </w:r>
      <w:proofErr w:type="spellStart"/>
      <w:r w:rsidRPr="007467AC">
        <w:rPr>
          <w:rFonts w:ascii="Times New Roman" w:hAnsi="Times New Roman" w:cs="Times New Roman"/>
          <w:i/>
          <w:iCs/>
          <w:sz w:val="20"/>
          <w:szCs w:val="20"/>
          <w:shd w:val="clear" w:color="auto" w:fill="FFFFFF"/>
        </w:rPr>
        <w:t>Biophysica</w:t>
      </w:r>
      <w:proofErr w:type="spellEnd"/>
      <w:r w:rsidRPr="007467AC">
        <w:rPr>
          <w:rFonts w:ascii="Times New Roman" w:hAnsi="Times New Roman" w:cs="Times New Roman"/>
          <w:i/>
          <w:iCs/>
          <w:sz w:val="20"/>
          <w:szCs w:val="20"/>
          <w:shd w:val="clear" w:color="auto" w:fill="FFFFFF"/>
        </w:rPr>
        <w:t xml:space="preserve"> Acta (BBA)-Reviews on Cancer</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1776</w:t>
      </w:r>
      <w:r w:rsidRPr="007467AC">
        <w:rPr>
          <w:rFonts w:ascii="Times New Roman" w:hAnsi="Times New Roman" w:cs="Times New Roman"/>
          <w:sz w:val="20"/>
          <w:szCs w:val="20"/>
          <w:shd w:val="clear" w:color="auto" w:fill="FFFFFF"/>
        </w:rPr>
        <w:t>(1), 32-57.</w:t>
      </w:r>
    </w:p>
    <w:p w14:paraId="57627F42"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r w:rsidRPr="007467AC">
        <w:rPr>
          <w:rFonts w:ascii="Times New Roman" w:hAnsi="Times New Roman" w:cs="Times New Roman"/>
          <w:sz w:val="20"/>
          <w:szCs w:val="20"/>
        </w:rPr>
        <w:t xml:space="preserve">Mishra J, Bhandari H, Singh M, Rawat S, Agnihotri RK, Mishra S, Purohit S (2011) Hairy root culture of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kurroa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Royle</w:t>
      </w:r>
      <w:proofErr w:type="spellEnd"/>
      <w:r w:rsidRPr="007467AC">
        <w:rPr>
          <w:rFonts w:ascii="Times New Roman" w:hAnsi="Times New Roman" w:cs="Times New Roman"/>
          <w:sz w:val="20"/>
          <w:szCs w:val="20"/>
        </w:rPr>
        <w:t xml:space="preserve"> ex Benth.: a promising approach for the production of </w:t>
      </w:r>
      <w:proofErr w:type="spellStart"/>
      <w:r w:rsidRPr="007467AC">
        <w:rPr>
          <w:rFonts w:ascii="Times New Roman" w:hAnsi="Times New Roman" w:cs="Times New Roman"/>
          <w:sz w:val="20"/>
          <w:szCs w:val="20"/>
        </w:rPr>
        <w:t>picrotin</w:t>
      </w:r>
      <w:proofErr w:type="spellEnd"/>
      <w:r w:rsidRPr="007467AC">
        <w:rPr>
          <w:rFonts w:ascii="Times New Roman" w:hAnsi="Times New Roman" w:cs="Times New Roman"/>
          <w:sz w:val="20"/>
          <w:szCs w:val="20"/>
        </w:rPr>
        <w:t xml:space="preserve"> and picrotoxinin. </w:t>
      </w:r>
      <w:r w:rsidRPr="007467AC">
        <w:rPr>
          <w:rFonts w:ascii="Times New Roman" w:hAnsi="Times New Roman" w:cs="Times New Roman"/>
          <w:i/>
          <w:iCs/>
          <w:sz w:val="20"/>
          <w:szCs w:val="20"/>
        </w:rPr>
        <w:t xml:space="preserve">Acta </w:t>
      </w:r>
      <w:proofErr w:type="spellStart"/>
      <w:r w:rsidRPr="007467AC">
        <w:rPr>
          <w:rFonts w:ascii="Times New Roman" w:hAnsi="Times New Roman" w:cs="Times New Roman"/>
          <w:i/>
          <w:iCs/>
          <w:sz w:val="20"/>
          <w:szCs w:val="20"/>
        </w:rPr>
        <w:t>physiologiae</w:t>
      </w:r>
      <w:proofErr w:type="spellEnd"/>
      <w:r w:rsidRPr="007467AC">
        <w:rPr>
          <w:rFonts w:ascii="Times New Roman" w:hAnsi="Times New Roman" w:cs="Times New Roman"/>
          <w:i/>
          <w:iCs/>
          <w:sz w:val="20"/>
          <w:szCs w:val="20"/>
        </w:rPr>
        <w:t xml:space="preserve"> plantarum</w:t>
      </w:r>
      <w:r w:rsidRPr="007467AC">
        <w:rPr>
          <w:rFonts w:ascii="Times New Roman" w:hAnsi="Times New Roman" w:cs="Times New Roman"/>
          <w:sz w:val="20"/>
          <w:szCs w:val="20"/>
        </w:rPr>
        <w:t> </w:t>
      </w:r>
      <w:r w:rsidRPr="007467AC">
        <w:rPr>
          <w:rFonts w:ascii="Times New Roman" w:hAnsi="Times New Roman" w:cs="Times New Roman"/>
          <w:iCs/>
          <w:sz w:val="20"/>
          <w:szCs w:val="20"/>
        </w:rPr>
        <w:t>33</w:t>
      </w:r>
      <w:r w:rsidRPr="007467AC">
        <w:rPr>
          <w:rFonts w:ascii="Times New Roman" w:hAnsi="Times New Roman" w:cs="Times New Roman"/>
          <w:sz w:val="20"/>
          <w:szCs w:val="20"/>
        </w:rPr>
        <w:t>, 1841-1846.</w:t>
      </w:r>
    </w:p>
    <w:p w14:paraId="78B8F92A"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 Mondal TK, </w:t>
      </w:r>
      <w:proofErr w:type="spellStart"/>
      <w:r w:rsidRPr="007467AC">
        <w:rPr>
          <w:rFonts w:ascii="Times New Roman" w:hAnsi="Times New Roman" w:cs="Times New Roman"/>
          <w:sz w:val="20"/>
          <w:szCs w:val="20"/>
        </w:rPr>
        <w:t>Bantawa</w:t>
      </w:r>
      <w:proofErr w:type="spellEnd"/>
      <w:r w:rsidRPr="007467AC">
        <w:rPr>
          <w:rFonts w:ascii="Times New Roman" w:hAnsi="Times New Roman" w:cs="Times New Roman"/>
          <w:sz w:val="20"/>
          <w:szCs w:val="20"/>
        </w:rPr>
        <w:t xml:space="preserve"> P, Sarkar B, Ghosh P, Chand PK (2013) Cellular differentiation, regeneration, and secondary metabolite production in medicinal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spp. </w:t>
      </w:r>
      <w:r w:rsidRPr="007467AC">
        <w:rPr>
          <w:rFonts w:ascii="Times New Roman" w:hAnsi="Times New Roman" w:cs="Times New Roman"/>
          <w:i/>
          <w:iCs/>
          <w:sz w:val="20"/>
          <w:szCs w:val="20"/>
        </w:rPr>
        <w:t>Plant Cell, Tissue and Organ Culture</w:t>
      </w:r>
      <w:r w:rsidRPr="007467AC">
        <w:rPr>
          <w:rFonts w:ascii="Times New Roman" w:hAnsi="Times New Roman" w:cs="Times New Roman"/>
          <w:iCs/>
          <w:sz w:val="20"/>
          <w:szCs w:val="20"/>
        </w:rPr>
        <w:t xml:space="preserve"> (PCTOC)</w:t>
      </w:r>
      <w:r w:rsidRPr="007467AC">
        <w:rPr>
          <w:rFonts w:ascii="Times New Roman" w:hAnsi="Times New Roman" w:cs="Times New Roman"/>
          <w:sz w:val="20"/>
          <w:szCs w:val="20"/>
        </w:rPr>
        <w:t> </w:t>
      </w:r>
      <w:r w:rsidRPr="007467AC">
        <w:rPr>
          <w:rFonts w:ascii="Times New Roman" w:hAnsi="Times New Roman" w:cs="Times New Roman"/>
          <w:iCs/>
          <w:sz w:val="20"/>
          <w:szCs w:val="20"/>
        </w:rPr>
        <w:t>112</w:t>
      </w:r>
      <w:r w:rsidRPr="007467AC">
        <w:rPr>
          <w:rFonts w:ascii="Times New Roman" w:hAnsi="Times New Roman" w:cs="Times New Roman"/>
          <w:sz w:val="20"/>
          <w:szCs w:val="20"/>
        </w:rPr>
        <w:t>, 143-158.</w:t>
      </w:r>
    </w:p>
    <w:p w14:paraId="6B3BB990"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Nazir, R., Reshi, Z., &amp; </w:t>
      </w:r>
      <w:proofErr w:type="spellStart"/>
      <w:r w:rsidRPr="007467AC">
        <w:rPr>
          <w:rFonts w:ascii="Times New Roman" w:hAnsi="Times New Roman" w:cs="Times New Roman"/>
          <w:sz w:val="20"/>
          <w:szCs w:val="20"/>
          <w:shd w:val="clear" w:color="auto" w:fill="FFFFFF"/>
        </w:rPr>
        <w:t>Wafai</w:t>
      </w:r>
      <w:proofErr w:type="spellEnd"/>
      <w:r w:rsidRPr="007467AC">
        <w:rPr>
          <w:rFonts w:ascii="Times New Roman" w:hAnsi="Times New Roman" w:cs="Times New Roman"/>
          <w:sz w:val="20"/>
          <w:szCs w:val="20"/>
          <w:shd w:val="clear" w:color="auto" w:fill="FFFFFF"/>
        </w:rPr>
        <w:t>, B. A. (2008). Reproductive ecology of medicinally important Kashmir Himalayan species of Digitalis L. </w:t>
      </w:r>
      <w:r w:rsidRPr="007467AC">
        <w:rPr>
          <w:rFonts w:ascii="Times New Roman" w:hAnsi="Times New Roman" w:cs="Times New Roman"/>
          <w:i/>
          <w:iCs/>
          <w:sz w:val="20"/>
          <w:szCs w:val="20"/>
          <w:shd w:val="clear" w:color="auto" w:fill="FFFFFF"/>
        </w:rPr>
        <w:t>Plant Species Biology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23</w:t>
      </w:r>
      <w:r w:rsidRPr="007467AC">
        <w:rPr>
          <w:rFonts w:ascii="Times New Roman" w:hAnsi="Times New Roman" w:cs="Times New Roman"/>
          <w:sz w:val="20"/>
          <w:szCs w:val="20"/>
          <w:shd w:val="clear" w:color="auto" w:fill="FFFFFF"/>
        </w:rPr>
        <w:t>(2), 59-70.</w:t>
      </w:r>
    </w:p>
    <w:p w14:paraId="6D4ACC82"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Pandey, B., &amp; Gaur, A. K. (2025). </w:t>
      </w:r>
      <w:proofErr w:type="spellStart"/>
      <w:r w:rsidRPr="007467AC">
        <w:rPr>
          <w:rFonts w:ascii="Times New Roman" w:hAnsi="Times New Roman" w:cs="Times New Roman"/>
          <w:sz w:val="20"/>
          <w:szCs w:val="20"/>
          <w:shd w:val="clear" w:color="auto" w:fill="FFFFFF"/>
        </w:rPr>
        <w:t>Picrorhiza</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kurroa</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Royle</w:t>
      </w:r>
      <w:proofErr w:type="spellEnd"/>
      <w:r w:rsidRPr="007467AC">
        <w:rPr>
          <w:rFonts w:ascii="Times New Roman" w:hAnsi="Times New Roman" w:cs="Times New Roman"/>
          <w:sz w:val="20"/>
          <w:szCs w:val="20"/>
          <w:shd w:val="clear" w:color="auto" w:fill="FFFFFF"/>
        </w:rPr>
        <w:t xml:space="preserve"> ex Benth: potential of hairy root cultures for bioactive metabolic principles. </w:t>
      </w:r>
      <w:r w:rsidRPr="007467AC">
        <w:rPr>
          <w:rFonts w:ascii="Times New Roman" w:hAnsi="Times New Roman" w:cs="Times New Roman"/>
          <w:i/>
          <w:iCs/>
          <w:sz w:val="20"/>
          <w:szCs w:val="20"/>
          <w:shd w:val="clear" w:color="auto" w:fill="FFFFFF"/>
        </w:rPr>
        <w:t>Proceedings of the Indian National Science Academy</w:t>
      </w:r>
      <w:r w:rsidRPr="007467AC">
        <w:rPr>
          <w:rFonts w:ascii="Times New Roman" w:hAnsi="Times New Roman" w:cs="Times New Roman"/>
          <w:sz w:val="20"/>
          <w:szCs w:val="20"/>
          <w:shd w:val="clear" w:color="auto" w:fill="FFFFFF"/>
        </w:rPr>
        <w:t>, 1-8.</w:t>
      </w:r>
    </w:p>
    <w:p w14:paraId="69949986"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 Patial V, Devi K, Sharma M, Bhattacharya </w:t>
      </w:r>
      <w:proofErr w:type="gramStart"/>
      <w:r w:rsidRPr="007467AC">
        <w:rPr>
          <w:rFonts w:ascii="Times New Roman" w:hAnsi="Times New Roman" w:cs="Times New Roman"/>
          <w:sz w:val="20"/>
          <w:szCs w:val="20"/>
        </w:rPr>
        <w:t>A,  Ahuja</w:t>
      </w:r>
      <w:proofErr w:type="gramEnd"/>
      <w:r w:rsidRPr="007467AC">
        <w:rPr>
          <w:rFonts w:ascii="Times New Roman" w:hAnsi="Times New Roman" w:cs="Times New Roman"/>
          <w:sz w:val="20"/>
          <w:szCs w:val="20"/>
        </w:rPr>
        <w:t xml:space="preserve"> PS (2012) Propagation of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kurroa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Royle</w:t>
      </w:r>
      <w:proofErr w:type="spellEnd"/>
      <w:r w:rsidRPr="007467AC">
        <w:rPr>
          <w:rFonts w:ascii="Times New Roman" w:hAnsi="Times New Roman" w:cs="Times New Roman"/>
          <w:sz w:val="20"/>
          <w:szCs w:val="20"/>
        </w:rPr>
        <w:t xml:space="preserve"> ex Benth: An important medicinal plant of Western Himalaya. </w:t>
      </w:r>
      <w:r w:rsidRPr="007467AC">
        <w:rPr>
          <w:rFonts w:ascii="Times New Roman" w:hAnsi="Times New Roman" w:cs="Times New Roman"/>
          <w:i/>
          <w:iCs/>
          <w:sz w:val="20"/>
          <w:szCs w:val="20"/>
        </w:rPr>
        <w:t>J Med Plant Res</w:t>
      </w:r>
      <w:r w:rsidRPr="007467AC">
        <w:rPr>
          <w:rFonts w:ascii="Times New Roman" w:hAnsi="Times New Roman" w:cs="Times New Roman"/>
          <w:sz w:val="20"/>
          <w:szCs w:val="20"/>
        </w:rPr>
        <w:t> </w:t>
      </w:r>
      <w:r w:rsidRPr="007467AC">
        <w:rPr>
          <w:rFonts w:ascii="Times New Roman" w:hAnsi="Times New Roman" w:cs="Times New Roman"/>
          <w:iCs/>
          <w:sz w:val="20"/>
          <w:szCs w:val="20"/>
        </w:rPr>
        <w:t>6</w:t>
      </w:r>
      <w:r w:rsidRPr="007467AC">
        <w:rPr>
          <w:rFonts w:ascii="Times New Roman" w:hAnsi="Times New Roman" w:cs="Times New Roman"/>
          <w:sz w:val="20"/>
          <w:szCs w:val="20"/>
        </w:rPr>
        <w:t>(34), 4848-4860.</w:t>
      </w:r>
    </w:p>
    <w:p w14:paraId="04D2A517"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Prakash, V., Kumari, A., Kaur, H., Kumar, M., Gupta, S., &amp; Bala, R. (2020). Chemical constituents and biological activities of genus </w:t>
      </w:r>
      <w:proofErr w:type="spellStart"/>
      <w:r w:rsidRPr="007467AC">
        <w:rPr>
          <w:rFonts w:ascii="Times New Roman" w:hAnsi="Times New Roman" w:cs="Times New Roman"/>
          <w:sz w:val="20"/>
          <w:szCs w:val="20"/>
          <w:shd w:val="clear" w:color="auto" w:fill="FFFFFF"/>
        </w:rPr>
        <w:t>picrorhiza</w:t>
      </w:r>
      <w:proofErr w:type="spellEnd"/>
      <w:r w:rsidRPr="007467AC">
        <w:rPr>
          <w:rFonts w:ascii="Times New Roman" w:hAnsi="Times New Roman" w:cs="Times New Roman"/>
          <w:sz w:val="20"/>
          <w:szCs w:val="20"/>
          <w:shd w:val="clear" w:color="auto" w:fill="FFFFFF"/>
        </w:rPr>
        <w:t>: an update. </w:t>
      </w:r>
      <w:r w:rsidRPr="007467AC">
        <w:rPr>
          <w:rFonts w:ascii="Times New Roman" w:hAnsi="Times New Roman" w:cs="Times New Roman"/>
          <w:i/>
          <w:iCs/>
          <w:sz w:val="20"/>
          <w:szCs w:val="20"/>
          <w:shd w:val="clear" w:color="auto" w:fill="FFFFFF"/>
        </w:rPr>
        <w:t>Indian J Pharm Sci</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82</w:t>
      </w:r>
      <w:r w:rsidRPr="007467AC">
        <w:rPr>
          <w:rFonts w:ascii="Times New Roman" w:hAnsi="Times New Roman" w:cs="Times New Roman"/>
          <w:sz w:val="20"/>
          <w:szCs w:val="20"/>
          <w:shd w:val="clear" w:color="auto" w:fill="FFFFFF"/>
        </w:rPr>
        <w:t>(4), 562-577.</w:t>
      </w:r>
    </w:p>
    <w:p w14:paraId="20141D0D"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Rady, M. R., &amp; Rady, M. R. (2019). Plant biotechnology and foxglove. </w:t>
      </w:r>
      <w:r w:rsidRPr="007467AC">
        <w:rPr>
          <w:rFonts w:ascii="Times New Roman" w:hAnsi="Times New Roman" w:cs="Times New Roman"/>
          <w:i/>
          <w:iCs/>
          <w:sz w:val="20"/>
          <w:szCs w:val="20"/>
          <w:shd w:val="clear" w:color="auto" w:fill="FFFFFF"/>
        </w:rPr>
        <w:t>Plant Biotechnology and Medicinal Plants: Periwinkle, Milk Thistle and Foxglove</w:t>
      </w:r>
      <w:r w:rsidRPr="007467AC">
        <w:rPr>
          <w:rFonts w:ascii="Times New Roman" w:hAnsi="Times New Roman" w:cs="Times New Roman"/>
          <w:sz w:val="20"/>
          <w:szCs w:val="20"/>
          <w:shd w:val="clear" w:color="auto" w:fill="FFFFFF"/>
        </w:rPr>
        <w:t>, 149-197.</w:t>
      </w:r>
    </w:p>
    <w:p w14:paraId="3EAB5051"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Rahamouz-Haghighi, S. (2023). Biological activities and analytical methods for detecting </w:t>
      </w:r>
      <w:proofErr w:type="spellStart"/>
      <w:r w:rsidRPr="007467AC">
        <w:rPr>
          <w:rFonts w:ascii="Times New Roman" w:hAnsi="Times New Roman" w:cs="Times New Roman"/>
          <w:sz w:val="20"/>
          <w:szCs w:val="20"/>
          <w:shd w:val="clear" w:color="auto" w:fill="FFFFFF"/>
        </w:rPr>
        <w:t>aucubin</w:t>
      </w:r>
      <w:proofErr w:type="spellEnd"/>
      <w:r w:rsidRPr="007467AC">
        <w:rPr>
          <w:rFonts w:ascii="Times New Roman" w:hAnsi="Times New Roman" w:cs="Times New Roman"/>
          <w:sz w:val="20"/>
          <w:szCs w:val="20"/>
          <w:shd w:val="clear" w:color="auto" w:fill="FFFFFF"/>
        </w:rPr>
        <w:t xml:space="preserve"> and </w:t>
      </w:r>
      <w:proofErr w:type="spellStart"/>
      <w:r w:rsidRPr="007467AC">
        <w:rPr>
          <w:rFonts w:ascii="Times New Roman" w:hAnsi="Times New Roman" w:cs="Times New Roman"/>
          <w:sz w:val="20"/>
          <w:szCs w:val="20"/>
          <w:shd w:val="clear" w:color="auto" w:fill="FFFFFF"/>
        </w:rPr>
        <w:t>catalpol</w:t>
      </w:r>
      <w:proofErr w:type="spellEnd"/>
      <w:r w:rsidRPr="007467AC">
        <w:rPr>
          <w:rFonts w:ascii="Times New Roman" w:hAnsi="Times New Roman" w:cs="Times New Roman"/>
          <w:sz w:val="20"/>
          <w:szCs w:val="20"/>
          <w:shd w:val="clear" w:color="auto" w:fill="FFFFFF"/>
        </w:rPr>
        <w:t xml:space="preserve"> iridoid glycosides in </w:t>
      </w:r>
      <w:proofErr w:type="spellStart"/>
      <w:r w:rsidRPr="007467AC">
        <w:rPr>
          <w:rFonts w:ascii="Times New Roman" w:hAnsi="Times New Roman" w:cs="Times New Roman"/>
          <w:sz w:val="20"/>
          <w:szCs w:val="20"/>
          <w:shd w:val="clear" w:color="auto" w:fill="FFFFFF"/>
        </w:rPr>
        <w:t>plantago</w:t>
      </w:r>
      <w:proofErr w:type="spellEnd"/>
      <w:r w:rsidRPr="007467AC">
        <w:rPr>
          <w:rFonts w:ascii="Times New Roman" w:hAnsi="Times New Roman" w:cs="Times New Roman"/>
          <w:sz w:val="20"/>
          <w:szCs w:val="20"/>
          <w:shd w:val="clear" w:color="auto" w:fill="FFFFFF"/>
        </w:rPr>
        <w:t xml:space="preserve"> species: A review study. </w:t>
      </w:r>
      <w:r w:rsidRPr="007467AC">
        <w:rPr>
          <w:rFonts w:ascii="Times New Roman" w:hAnsi="Times New Roman" w:cs="Times New Roman"/>
          <w:i/>
          <w:iCs/>
          <w:sz w:val="20"/>
          <w:szCs w:val="20"/>
          <w:shd w:val="clear" w:color="auto" w:fill="FFFFFF"/>
        </w:rPr>
        <w:t>Pharmaceutical and Biomedical Research</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9</w:t>
      </w:r>
      <w:r w:rsidRPr="007467AC">
        <w:rPr>
          <w:rFonts w:ascii="Times New Roman" w:hAnsi="Times New Roman" w:cs="Times New Roman"/>
          <w:sz w:val="20"/>
          <w:szCs w:val="20"/>
          <w:shd w:val="clear" w:color="auto" w:fill="FFFFFF"/>
        </w:rPr>
        <w:t>(2), 85-114.</w:t>
      </w:r>
    </w:p>
    <w:p w14:paraId="4D351009"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Rao, K., Liu, S., Tang, X., Jia, G., Yang, S., Ren, C., &amp; Pei, J. (2025). Integrative analysis of metabolite and transcriptome reveals the biosynthetic pathway and candidate genes for iridoid glycoside biosynthesis in </w:t>
      </w:r>
      <w:proofErr w:type="spellStart"/>
      <w:r w:rsidRPr="007467AC">
        <w:rPr>
          <w:rFonts w:ascii="Times New Roman" w:hAnsi="Times New Roman" w:cs="Times New Roman"/>
          <w:sz w:val="20"/>
          <w:szCs w:val="20"/>
          <w:shd w:val="clear" w:color="auto" w:fill="FFFFFF"/>
        </w:rPr>
        <w:t>Neopicrorhiza</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scrophulariiflora</w:t>
      </w:r>
      <w:proofErr w:type="spellEnd"/>
      <w:r w:rsidRPr="007467AC">
        <w:rPr>
          <w:rFonts w:ascii="Times New Roman" w:hAnsi="Times New Roman" w:cs="Times New Roman"/>
          <w:sz w:val="20"/>
          <w:szCs w:val="20"/>
          <w:shd w:val="clear" w:color="auto" w:fill="FFFFFF"/>
        </w:rPr>
        <w:t xml:space="preserve"> (Pennell) DY Hong. </w:t>
      </w:r>
      <w:r w:rsidRPr="007467AC">
        <w:rPr>
          <w:rFonts w:ascii="Times New Roman" w:hAnsi="Times New Roman" w:cs="Times New Roman"/>
          <w:i/>
          <w:iCs/>
          <w:sz w:val="20"/>
          <w:szCs w:val="20"/>
          <w:shd w:val="clear" w:color="auto" w:fill="FFFFFF"/>
        </w:rPr>
        <w:t>Frontiers in Plant Science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16</w:t>
      </w:r>
      <w:r w:rsidRPr="007467AC">
        <w:rPr>
          <w:rFonts w:ascii="Times New Roman" w:hAnsi="Times New Roman" w:cs="Times New Roman"/>
          <w:sz w:val="20"/>
          <w:szCs w:val="20"/>
          <w:shd w:val="clear" w:color="auto" w:fill="FFFFFF"/>
        </w:rPr>
        <w:t>, 1527477.</w:t>
      </w:r>
    </w:p>
    <w:p w14:paraId="07B51698"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Rocha, M. E. B., Kakuda, L., Souto, E. B., &amp; Oliveira, W. P. (2024). Extraction and characterization of Plantago major L. mucilage as a potential natural alternative over synthetic polymers for pharmaceutical formulations. </w:t>
      </w:r>
      <w:r w:rsidRPr="007467AC">
        <w:rPr>
          <w:rFonts w:ascii="Times New Roman" w:hAnsi="Times New Roman" w:cs="Times New Roman"/>
          <w:i/>
          <w:iCs/>
          <w:sz w:val="20"/>
          <w:szCs w:val="20"/>
          <w:shd w:val="clear" w:color="auto" w:fill="FFFFFF"/>
        </w:rPr>
        <w:t>Sustainable Chemistry and Pharmacy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42</w:t>
      </w:r>
      <w:r w:rsidRPr="007467AC">
        <w:rPr>
          <w:rFonts w:ascii="Times New Roman" w:hAnsi="Times New Roman" w:cs="Times New Roman"/>
          <w:sz w:val="20"/>
          <w:szCs w:val="20"/>
          <w:shd w:val="clear" w:color="auto" w:fill="FFFFFF"/>
        </w:rPr>
        <w:t>, 101764.</w:t>
      </w:r>
    </w:p>
    <w:p w14:paraId="49307938"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Rønsted, N., Göbel, E., Franzyk, H., Jensen, S. R., &amp; Olsen, C. E. (2000). Chemotaxonomy of Plantago. Iridoid glucosides and caffeoyl phenylethanoid glycosides. </w:t>
      </w:r>
      <w:r w:rsidRPr="007467AC">
        <w:rPr>
          <w:rFonts w:ascii="Times New Roman" w:hAnsi="Times New Roman" w:cs="Times New Roman"/>
          <w:i/>
          <w:iCs/>
          <w:sz w:val="20"/>
          <w:szCs w:val="20"/>
          <w:shd w:val="clear" w:color="auto" w:fill="FFFFFF"/>
        </w:rPr>
        <w:t>Phytochemistry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55</w:t>
      </w:r>
      <w:r w:rsidRPr="007467AC">
        <w:rPr>
          <w:rFonts w:ascii="Times New Roman" w:hAnsi="Times New Roman" w:cs="Times New Roman"/>
          <w:sz w:val="20"/>
          <w:szCs w:val="20"/>
          <w:shd w:val="clear" w:color="auto" w:fill="FFFFFF"/>
        </w:rPr>
        <w:t>(4), 337-348.</w:t>
      </w:r>
    </w:p>
    <w:p w14:paraId="63A7356E"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Salehi, B., Shivaprasad Shetty, M., V. Anil Kumar, N., Živković, J., Calina, D., </w:t>
      </w:r>
      <w:proofErr w:type="spellStart"/>
      <w:r w:rsidRPr="007467AC">
        <w:rPr>
          <w:rFonts w:ascii="Times New Roman" w:hAnsi="Times New Roman" w:cs="Times New Roman"/>
          <w:sz w:val="20"/>
          <w:szCs w:val="20"/>
          <w:shd w:val="clear" w:color="auto" w:fill="FFFFFF"/>
        </w:rPr>
        <w:t>Oana</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Docea</w:t>
      </w:r>
      <w:proofErr w:type="spellEnd"/>
      <w:r w:rsidRPr="007467AC">
        <w:rPr>
          <w:rFonts w:ascii="Times New Roman" w:hAnsi="Times New Roman" w:cs="Times New Roman"/>
          <w:sz w:val="20"/>
          <w:szCs w:val="20"/>
          <w:shd w:val="clear" w:color="auto" w:fill="FFFFFF"/>
        </w:rPr>
        <w:t>, A., ... &amp; Sharifi-Rad, J. (2019). Veronica plants—Drifting from farm to traditional healing, food application, and phytopharmacology. </w:t>
      </w:r>
      <w:r w:rsidRPr="007467AC">
        <w:rPr>
          <w:rFonts w:ascii="Times New Roman" w:hAnsi="Times New Roman" w:cs="Times New Roman"/>
          <w:i/>
          <w:iCs/>
          <w:sz w:val="20"/>
          <w:szCs w:val="20"/>
          <w:shd w:val="clear" w:color="auto" w:fill="FFFFFF"/>
        </w:rPr>
        <w:t>Molecules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24</w:t>
      </w:r>
      <w:r w:rsidRPr="007467AC">
        <w:rPr>
          <w:rFonts w:ascii="Times New Roman" w:hAnsi="Times New Roman" w:cs="Times New Roman"/>
          <w:sz w:val="20"/>
          <w:szCs w:val="20"/>
          <w:shd w:val="clear" w:color="auto" w:fill="FFFFFF"/>
        </w:rPr>
        <w:t>(13), 2454.</w:t>
      </w:r>
    </w:p>
    <w:p w14:paraId="20B99FDE"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Saracoglu</w:t>
      </w:r>
      <w:proofErr w:type="spellEnd"/>
      <w:r w:rsidRPr="007467AC">
        <w:rPr>
          <w:rFonts w:ascii="Times New Roman" w:hAnsi="Times New Roman" w:cs="Times New Roman"/>
          <w:sz w:val="20"/>
          <w:szCs w:val="20"/>
          <w:shd w:val="clear" w:color="auto" w:fill="FFFFFF"/>
        </w:rPr>
        <w:t xml:space="preserve">, I., &amp; </w:t>
      </w:r>
      <w:proofErr w:type="spellStart"/>
      <w:r w:rsidRPr="007467AC">
        <w:rPr>
          <w:rFonts w:ascii="Times New Roman" w:hAnsi="Times New Roman" w:cs="Times New Roman"/>
          <w:sz w:val="20"/>
          <w:szCs w:val="20"/>
          <w:shd w:val="clear" w:color="auto" w:fill="FFFFFF"/>
        </w:rPr>
        <w:t>Harput</w:t>
      </w:r>
      <w:proofErr w:type="spellEnd"/>
      <w:r w:rsidRPr="007467AC">
        <w:rPr>
          <w:rFonts w:ascii="Times New Roman" w:hAnsi="Times New Roman" w:cs="Times New Roman"/>
          <w:sz w:val="20"/>
          <w:szCs w:val="20"/>
          <w:shd w:val="clear" w:color="auto" w:fill="FFFFFF"/>
        </w:rPr>
        <w:t>, U. S. (2012). In vitro cytotoxic activity and structure activity relationships of iridoid glucosides derived from Veronica species. </w:t>
      </w:r>
      <w:r w:rsidRPr="007467AC">
        <w:rPr>
          <w:rFonts w:ascii="Times New Roman" w:hAnsi="Times New Roman" w:cs="Times New Roman"/>
          <w:i/>
          <w:iCs/>
          <w:sz w:val="20"/>
          <w:szCs w:val="20"/>
          <w:shd w:val="clear" w:color="auto" w:fill="FFFFFF"/>
        </w:rPr>
        <w:t>Phytotherapy Research</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26</w:t>
      </w:r>
      <w:r w:rsidRPr="007467AC">
        <w:rPr>
          <w:rFonts w:ascii="Times New Roman" w:hAnsi="Times New Roman" w:cs="Times New Roman"/>
          <w:sz w:val="20"/>
          <w:szCs w:val="20"/>
          <w:shd w:val="clear" w:color="auto" w:fill="FFFFFF"/>
        </w:rPr>
        <w:t>(1), 148-152.</w:t>
      </w:r>
    </w:p>
    <w:p w14:paraId="0C36D880"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Sathasivam R, Choi M, Radhakrishnan R, Kwon H, Yoon J, Yang SH, ...  Park SU (2022) Effects of various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 strains on hairy root induction and analyses of primary and secondary metabolites in </w:t>
      </w:r>
      <w:proofErr w:type="spellStart"/>
      <w:r w:rsidRPr="007467AC">
        <w:rPr>
          <w:rFonts w:ascii="Times New Roman" w:hAnsi="Times New Roman" w:cs="Times New Roman"/>
          <w:sz w:val="20"/>
          <w:szCs w:val="20"/>
        </w:rPr>
        <w:t>Ocimum</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basilicum</w:t>
      </w:r>
      <w:proofErr w:type="spellEnd"/>
      <w:r w:rsidRPr="007467AC">
        <w:rPr>
          <w:rFonts w:ascii="Times New Roman" w:hAnsi="Times New Roman" w:cs="Times New Roman"/>
          <w:sz w:val="20"/>
          <w:szCs w:val="20"/>
        </w:rPr>
        <w:t>. </w:t>
      </w:r>
      <w:r w:rsidRPr="007467AC">
        <w:rPr>
          <w:rFonts w:ascii="Times New Roman" w:hAnsi="Times New Roman" w:cs="Times New Roman"/>
          <w:i/>
          <w:iCs/>
          <w:sz w:val="20"/>
          <w:szCs w:val="20"/>
        </w:rPr>
        <w:t>Frontiers in Plant Science</w:t>
      </w:r>
      <w:r w:rsidRPr="007467AC">
        <w:rPr>
          <w:rFonts w:ascii="Times New Roman" w:hAnsi="Times New Roman" w:cs="Times New Roman"/>
          <w:sz w:val="20"/>
          <w:szCs w:val="20"/>
        </w:rPr>
        <w:t> </w:t>
      </w:r>
      <w:r w:rsidRPr="007467AC">
        <w:rPr>
          <w:rFonts w:ascii="Times New Roman" w:hAnsi="Times New Roman" w:cs="Times New Roman"/>
          <w:iCs/>
          <w:sz w:val="20"/>
          <w:szCs w:val="20"/>
        </w:rPr>
        <w:t>13</w:t>
      </w:r>
      <w:r w:rsidRPr="007467AC">
        <w:rPr>
          <w:rFonts w:ascii="Times New Roman" w:hAnsi="Times New Roman" w:cs="Times New Roman"/>
          <w:sz w:val="20"/>
          <w:szCs w:val="20"/>
        </w:rPr>
        <w:t>, 983776.</w:t>
      </w:r>
    </w:p>
    <w:p w14:paraId="2F1C599A"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Shahzad, A., Parveen, S., &amp; Fatema, M. (2011). Development of a regeneration system via nodal segment culture in Veronica anagallis-aquatica L.–an amphibious medicinal plant. </w:t>
      </w:r>
      <w:r w:rsidRPr="007467AC">
        <w:rPr>
          <w:rFonts w:ascii="Times New Roman" w:hAnsi="Times New Roman" w:cs="Times New Roman"/>
          <w:i/>
          <w:iCs/>
          <w:sz w:val="20"/>
          <w:szCs w:val="20"/>
          <w:shd w:val="clear" w:color="auto" w:fill="FFFFFF"/>
        </w:rPr>
        <w:t>Journal of Plant Interactions</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6</w:t>
      </w:r>
      <w:r w:rsidRPr="007467AC">
        <w:rPr>
          <w:rFonts w:ascii="Times New Roman" w:hAnsi="Times New Roman" w:cs="Times New Roman"/>
          <w:sz w:val="20"/>
          <w:szCs w:val="20"/>
          <w:shd w:val="clear" w:color="auto" w:fill="FFFFFF"/>
        </w:rPr>
        <w:t>(1), 61-68.</w:t>
      </w:r>
    </w:p>
    <w:p w14:paraId="6DA63E23"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lastRenderedPageBreak/>
        <w:t xml:space="preserve">Sharan S, Sarin NB, Mukhopadhyay K (2019) Elicitor-mediated enhanced accumulation of </w:t>
      </w:r>
      <w:proofErr w:type="spellStart"/>
      <w:r w:rsidRPr="007467AC">
        <w:rPr>
          <w:rFonts w:ascii="Times New Roman" w:hAnsi="Times New Roman" w:cs="Times New Roman"/>
          <w:sz w:val="20"/>
          <w:szCs w:val="20"/>
        </w:rPr>
        <w:t>ursolic</w:t>
      </w:r>
      <w:proofErr w:type="spellEnd"/>
      <w:r w:rsidRPr="007467AC">
        <w:rPr>
          <w:rFonts w:ascii="Times New Roman" w:hAnsi="Times New Roman" w:cs="Times New Roman"/>
          <w:sz w:val="20"/>
          <w:szCs w:val="20"/>
        </w:rPr>
        <w:t xml:space="preserve"> acid and eugenol in hairy root cultures of </w:t>
      </w:r>
      <w:proofErr w:type="spellStart"/>
      <w:r w:rsidRPr="007467AC">
        <w:rPr>
          <w:rFonts w:ascii="Times New Roman" w:hAnsi="Times New Roman" w:cs="Times New Roman"/>
          <w:sz w:val="20"/>
          <w:szCs w:val="20"/>
        </w:rPr>
        <w:t>Ocimum</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tenuiflorum</w:t>
      </w:r>
      <w:proofErr w:type="spellEnd"/>
      <w:r w:rsidRPr="007467AC">
        <w:rPr>
          <w:rFonts w:ascii="Times New Roman" w:hAnsi="Times New Roman" w:cs="Times New Roman"/>
          <w:sz w:val="20"/>
          <w:szCs w:val="20"/>
        </w:rPr>
        <w:t xml:space="preserve"> L. is age, dose, and duration dependent. </w:t>
      </w:r>
      <w:r w:rsidRPr="007467AC">
        <w:rPr>
          <w:rFonts w:ascii="Times New Roman" w:hAnsi="Times New Roman" w:cs="Times New Roman"/>
          <w:i/>
          <w:iCs/>
          <w:sz w:val="20"/>
          <w:szCs w:val="20"/>
        </w:rPr>
        <w:t>South African Journal of Botany</w:t>
      </w:r>
      <w:r w:rsidRPr="007467AC">
        <w:rPr>
          <w:rFonts w:ascii="Times New Roman" w:hAnsi="Times New Roman" w:cs="Times New Roman"/>
          <w:sz w:val="20"/>
          <w:szCs w:val="20"/>
        </w:rPr>
        <w:t> </w:t>
      </w:r>
      <w:r w:rsidRPr="007467AC">
        <w:rPr>
          <w:rFonts w:ascii="Times New Roman" w:hAnsi="Times New Roman" w:cs="Times New Roman"/>
          <w:iCs/>
          <w:sz w:val="20"/>
          <w:szCs w:val="20"/>
        </w:rPr>
        <w:t>124</w:t>
      </w:r>
      <w:r w:rsidRPr="007467AC">
        <w:rPr>
          <w:rFonts w:ascii="Times New Roman" w:hAnsi="Times New Roman" w:cs="Times New Roman"/>
          <w:sz w:val="20"/>
          <w:szCs w:val="20"/>
        </w:rPr>
        <w:t>, 199-210.</w:t>
      </w:r>
    </w:p>
    <w:p w14:paraId="1DAAB2B6"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Sharma, N. (2021). </w:t>
      </w:r>
      <w:proofErr w:type="spellStart"/>
      <w:r w:rsidRPr="007467AC">
        <w:rPr>
          <w:rFonts w:ascii="Times New Roman" w:hAnsi="Times New Roman" w:cs="Times New Roman"/>
          <w:sz w:val="20"/>
          <w:szCs w:val="20"/>
          <w:shd w:val="clear" w:color="auto" w:fill="FFFFFF"/>
        </w:rPr>
        <w:t>Picrorhiza</w:t>
      </w:r>
      <w:proofErr w:type="spellEnd"/>
      <w:r w:rsidRPr="007467AC">
        <w:rPr>
          <w:rFonts w:ascii="Times New Roman" w:hAnsi="Times New Roman" w:cs="Times New Roman"/>
          <w:sz w:val="20"/>
          <w:szCs w:val="20"/>
          <w:shd w:val="clear" w:color="auto" w:fill="FFFFFF"/>
        </w:rPr>
        <w:t xml:space="preserve"> </w:t>
      </w:r>
      <w:proofErr w:type="spellStart"/>
      <w:r w:rsidRPr="007467AC">
        <w:rPr>
          <w:rFonts w:ascii="Times New Roman" w:hAnsi="Times New Roman" w:cs="Times New Roman"/>
          <w:sz w:val="20"/>
          <w:szCs w:val="20"/>
          <w:shd w:val="clear" w:color="auto" w:fill="FFFFFF"/>
        </w:rPr>
        <w:t>kurroa</w:t>
      </w:r>
      <w:proofErr w:type="spellEnd"/>
      <w:r w:rsidRPr="007467AC">
        <w:rPr>
          <w:rFonts w:ascii="Times New Roman" w:hAnsi="Times New Roman" w:cs="Times New Roman"/>
          <w:sz w:val="20"/>
          <w:szCs w:val="20"/>
          <w:shd w:val="clear" w:color="auto" w:fill="FFFFFF"/>
        </w:rPr>
        <w:t>. In </w:t>
      </w:r>
      <w:r w:rsidRPr="007467AC">
        <w:rPr>
          <w:rFonts w:ascii="Times New Roman" w:hAnsi="Times New Roman" w:cs="Times New Roman"/>
          <w:i/>
          <w:iCs/>
          <w:sz w:val="20"/>
          <w:szCs w:val="20"/>
          <w:shd w:val="clear" w:color="auto" w:fill="FFFFFF"/>
        </w:rPr>
        <w:t>Himalayan Medicinal Plants</w:t>
      </w:r>
      <w:r w:rsidRPr="007467AC">
        <w:rPr>
          <w:rFonts w:ascii="Times New Roman" w:hAnsi="Times New Roman" w:cs="Times New Roman"/>
          <w:sz w:val="20"/>
          <w:szCs w:val="20"/>
          <w:shd w:val="clear" w:color="auto" w:fill="FFFFFF"/>
        </w:rPr>
        <w:t> (pp. 67-83). Academic Press.</w:t>
      </w:r>
    </w:p>
    <w:p w14:paraId="3896BC78"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Shereen, S., </w:t>
      </w:r>
      <w:proofErr w:type="spellStart"/>
      <w:r w:rsidRPr="007467AC">
        <w:rPr>
          <w:rFonts w:ascii="Times New Roman" w:hAnsi="Times New Roman" w:cs="Times New Roman"/>
          <w:sz w:val="20"/>
          <w:szCs w:val="20"/>
          <w:shd w:val="clear" w:color="auto" w:fill="FFFFFF"/>
        </w:rPr>
        <w:t>Fareedullah</w:t>
      </w:r>
      <w:proofErr w:type="spellEnd"/>
      <w:r w:rsidRPr="007467AC">
        <w:rPr>
          <w:rFonts w:ascii="Times New Roman" w:hAnsi="Times New Roman" w:cs="Times New Roman"/>
          <w:sz w:val="20"/>
          <w:szCs w:val="20"/>
          <w:shd w:val="clear" w:color="auto" w:fill="FFFFFF"/>
        </w:rPr>
        <w:t>, M., &amp; Jabeen, R. (2024). A case report on digoxin toxicity. </w:t>
      </w:r>
      <w:r w:rsidRPr="007467AC">
        <w:rPr>
          <w:rFonts w:ascii="Times New Roman" w:hAnsi="Times New Roman" w:cs="Times New Roman"/>
          <w:i/>
          <w:iCs/>
          <w:sz w:val="20"/>
          <w:szCs w:val="20"/>
          <w:shd w:val="clear" w:color="auto" w:fill="FFFFFF"/>
        </w:rPr>
        <w:t>International Journal of Basic &amp; Clinical Pharmacology</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13</w:t>
      </w:r>
      <w:r w:rsidRPr="007467AC">
        <w:rPr>
          <w:rFonts w:ascii="Times New Roman" w:hAnsi="Times New Roman" w:cs="Times New Roman"/>
          <w:sz w:val="20"/>
          <w:szCs w:val="20"/>
          <w:shd w:val="clear" w:color="auto" w:fill="FFFFFF"/>
        </w:rPr>
        <w:t>(3), 389.</w:t>
      </w:r>
    </w:p>
    <w:p w14:paraId="09C924F5"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Shi M, Liao P, Nile SH, Georgiev MI, Kai G (2021) Biotechnological exploration of transformed root culture for value-added products. </w:t>
      </w:r>
      <w:r w:rsidRPr="007467AC">
        <w:rPr>
          <w:rFonts w:ascii="Times New Roman" w:hAnsi="Times New Roman" w:cs="Times New Roman"/>
          <w:i/>
          <w:iCs/>
          <w:sz w:val="20"/>
          <w:szCs w:val="20"/>
        </w:rPr>
        <w:t>Trends in Biotechnology</w:t>
      </w:r>
      <w:r w:rsidRPr="007467AC">
        <w:rPr>
          <w:rFonts w:ascii="Times New Roman" w:hAnsi="Times New Roman" w:cs="Times New Roman"/>
          <w:sz w:val="20"/>
          <w:szCs w:val="20"/>
        </w:rPr>
        <w:t> </w:t>
      </w:r>
      <w:r w:rsidRPr="007467AC">
        <w:rPr>
          <w:rFonts w:ascii="Times New Roman" w:hAnsi="Times New Roman" w:cs="Times New Roman"/>
          <w:iCs/>
          <w:sz w:val="20"/>
          <w:szCs w:val="20"/>
        </w:rPr>
        <w:t>39</w:t>
      </w:r>
      <w:r w:rsidRPr="007467AC">
        <w:rPr>
          <w:rFonts w:ascii="Times New Roman" w:hAnsi="Times New Roman" w:cs="Times New Roman"/>
          <w:sz w:val="20"/>
          <w:szCs w:val="20"/>
        </w:rPr>
        <w:t>(2), 137-149.</w:t>
      </w:r>
    </w:p>
    <w:p w14:paraId="049B8AEC"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shd w:val="clear" w:color="auto" w:fill="FFFFFF"/>
        </w:rPr>
        <w:t xml:space="preserve">Tan, S., Lu, Q., Shu, Y., Sun, Y., Chen, F., &amp; Tang, L. (2017). Iridoid Glycosides Fraction Isolated from Veronica </w:t>
      </w:r>
      <w:proofErr w:type="spellStart"/>
      <w:r w:rsidRPr="007467AC">
        <w:rPr>
          <w:rFonts w:ascii="Times New Roman" w:hAnsi="Times New Roman" w:cs="Times New Roman"/>
          <w:sz w:val="20"/>
          <w:szCs w:val="20"/>
          <w:shd w:val="clear" w:color="auto" w:fill="FFFFFF"/>
        </w:rPr>
        <w:t>ciliata</w:t>
      </w:r>
      <w:proofErr w:type="spellEnd"/>
      <w:r w:rsidRPr="007467AC">
        <w:rPr>
          <w:rFonts w:ascii="Times New Roman" w:hAnsi="Times New Roman" w:cs="Times New Roman"/>
          <w:sz w:val="20"/>
          <w:szCs w:val="20"/>
          <w:shd w:val="clear" w:color="auto" w:fill="FFFFFF"/>
        </w:rPr>
        <w:t xml:space="preserve"> Fisch. Protects against Acetaminophen</w:t>
      </w:r>
      <w:r w:rsidRPr="007467AC">
        <w:rPr>
          <w:rFonts w:ascii="Cambria Math" w:hAnsi="Cambria Math" w:cs="Times New Roman"/>
          <w:sz w:val="20"/>
          <w:szCs w:val="20"/>
          <w:shd w:val="clear" w:color="auto" w:fill="FFFFFF"/>
        </w:rPr>
        <w:t>‐</w:t>
      </w:r>
      <w:r w:rsidRPr="007467AC">
        <w:rPr>
          <w:rFonts w:ascii="Times New Roman" w:hAnsi="Times New Roman" w:cs="Times New Roman"/>
          <w:sz w:val="20"/>
          <w:szCs w:val="20"/>
          <w:shd w:val="clear" w:color="auto" w:fill="FFFFFF"/>
        </w:rPr>
        <w:t>Induced Liver Injury in Mice. </w:t>
      </w:r>
      <w:r w:rsidRPr="007467AC">
        <w:rPr>
          <w:rFonts w:ascii="Times New Roman" w:hAnsi="Times New Roman" w:cs="Times New Roman"/>
          <w:i/>
          <w:iCs/>
          <w:sz w:val="20"/>
          <w:szCs w:val="20"/>
          <w:shd w:val="clear" w:color="auto" w:fill="FFFFFF"/>
        </w:rPr>
        <w:t>Evidence</w:t>
      </w:r>
      <w:r w:rsidRPr="007467AC">
        <w:rPr>
          <w:rFonts w:ascii="Cambria Math" w:hAnsi="Cambria Math" w:cs="Times New Roman"/>
          <w:i/>
          <w:iCs/>
          <w:sz w:val="20"/>
          <w:szCs w:val="20"/>
          <w:shd w:val="clear" w:color="auto" w:fill="FFFFFF"/>
        </w:rPr>
        <w:t>‐</w:t>
      </w:r>
      <w:r w:rsidRPr="007467AC">
        <w:rPr>
          <w:rFonts w:ascii="Times New Roman" w:hAnsi="Times New Roman" w:cs="Times New Roman"/>
          <w:i/>
          <w:iCs/>
          <w:sz w:val="20"/>
          <w:szCs w:val="20"/>
          <w:shd w:val="clear" w:color="auto" w:fill="FFFFFF"/>
        </w:rPr>
        <w:t>Based Complementary and Alternative Medicine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2017</w:t>
      </w:r>
      <w:r w:rsidRPr="007467AC">
        <w:rPr>
          <w:rFonts w:ascii="Times New Roman" w:hAnsi="Times New Roman" w:cs="Times New Roman"/>
          <w:sz w:val="20"/>
          <w:szCs w:val="20"/>
          <w:shd w:val="clear" w:color="auto" w:fill="FFFFFF"/>
        </w:rPr>
        <w:t>(1), 6106572.</w:t>
      </w:r>
    </w:p>
    <w:p w14:paraId="5E2D30E3"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Tewari VP, Verma </w:t>
      </w:r>
      <w:proofErr w:type="spellStart"/>
      <w:proofErr w:type="gramStart"/>
      <w:r w:rsidRPr="007467AC">
        <w:rPr>
          <w:rFonts w:ascii="Times New Roman" w:hAnsi="Times New Roman" w:cs="Times New Roman"/>
          <w:sz w:val="20"/>
          <w:szCs w:val="20"/>
        </w:rPr>
        <w:t>RK,Von</w:t>
      </w:r>
      <w:proofErr w:type="spellEnd"/>
      <w:proofErr w:type="gram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Gadow</w:t>
      </w:r>
      <w:proofErr w:type="spellEnd"/>
      <w:r w:rsidRPr="007467AC">
        <w:rPr>
          <w:rFonts w:ascii="Times New Roman" w:hAnsi="Times New Roman" w:cs="Times New Roman"/>
          <w:sz w:val="20"/>
          <w:szCs w:val="20"/>
        </w:rPr>
        <w:t xml:space="preserve"> K (2017) Climate change effects in the Western Himalayan ecosystems of India: evidence and strategies. </w:t>
      </w:r>
      <w:r w:rsidRPr="007467AC">
        <w:rPr>
          <w:rFonts w:ascii="Times New Roman" w:hAnsi="Times New Roman" w:cs="Times New Roman"/>
          <w:i/>
          <w:iCs/>
          <w:sz w:val="20"/>
          <w:szCs w:val="20"/>
        </w:rPr>
        <w:t>Forest Ecosystems</w:t>
      </w:r>
      <w:r w:rsidRPr="007467AC">
        <w:rPr>
          <w:rFonts w:ascii="Times New Roman" w:hAnsi="Times New Roman" w:cs="Times New Roman"/>
          <w:sz w:val="20"/>
          <w:szCs w:val="20"/>
        </w:rPr>
        <w:t> </w:t>
      </w:r>
      <w:r w:rsidRPr="007467AC">
        <w:rPr>
          <w:rFonts w:ascii="Times New Roman" w:hAnsi="Times New Roman" w:cs="Times New Roman"/>
          <w:iCs/>
          <w:sz w:val="20"/>
          <w:szCs w:val="20"/>
        </w:rPr>
        <w:t>4</w:t>
      </w:r>
      <w:r w:rsidRPr="007467AC">
        <w:rPr>
          <w:rFonts w:ascii="Times New Roman" w:hAnsi="Times New Roman" w:cs="Times New Roman"/>
          <w:sz w:val="20"/>
          <w:szCs w:val="20"/>
        </w:rPr>
        <w:t>(1), 1-9.</w:t>
      </w:r>
    </w:p>
    <w:p w14:paraId="06B9544D"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Thiruvengadam M, Rekha K, Chung IM (2016) Induction of hairy roots by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-mediated transformation of spine gourd (Momordica </w:t>
      </w:r>
      <w:proofErr w:type="spellStart"/>
      <w:r w:rsidRPr="007467AC">
        <w:rPr>
          <w:rFonts w:ascii="Times New Roman" w:hAnsi="Times New Roman" w:cs="Times New Roman"/>
          <w:sz w:val="20"/>
          <w:szCs w:val="20"/>
        </w:rPr>
        <w:t>dioica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Roxb</w:t>
      </w:r>
      <w:proofErr w:type="spellEnd"/>
      <w:r w:rsidRPr="007467AC">
        <w:rPr>
          <w:rFonts w:ascii="Times New Roman" w:hAnsi="Times New Roman" w:cs="Times New Roman"/>
          <w:sz w:val="20"/>
          <w:szCs w:val="20"/>
        </w:rPr>
        <w:t xml:space="preserve">. ex. </w:t>
      </w:r>
      <w:proofErr w:type="spellStart"/>
      <w:r w:rsidRPr="007467AC">
        <w:rPr>
          <w:rFonts w:ascii="Times New Roman" w:hAnsi="Times New Roman" w:cs="Times New Roman"/>
          <w:sz w:val="20"/>
          <w:szCs w:val="20"/>
        </w:rPr>
        <w:t>willd</w:t>
      </w:r>
      <w:proofErr w:type="spellEnd"/>
      <w:r w:rsidRPr="007467AC">
        <w:rPr>
          <w:rFonts w:ascii="Times New Roman" w:hAnsi="Times New Roman" w:cs="Times New Roman"/>
          <w:sz w:val="20"/>
          <w:szCs w:val="20"/>
        </w:rPr>
        <w:t>) for the assessment of phenolic compounds and biological activities. </w:t>
      </w:r>
      <w:r w:rsidRPr="007467AC">
        <w:rPr>
          <w:rFonts w:ascii="Times New Roman" w:hAnsi="Times New Roman" w:cs="Times New Roman"/>
          <w:i/>
          <w:iCs/>
          <w:sz w:val="20"/>
          <w:szCs w:val="20"/>
        </w:rPr>
        <w:t xml:space="preserve">Scientia </w:t>
      </w:r>
      <w:proofErr w:type="spellStart"/>
      <w:r w:rsidRPr="007467AC">
        <w:rPr>
          <w:rFonts w:ascii="Times New Roman" w:hAnsi="Times New Roman" w:cs="Times New Roman"/>
          <w:i/>
          <w:iCs/>
          <w:sz w:val="20"/>
          <w:szCs w:val="20"/>
        </w:rPr>
        <w:t>horticulturae</w:t>
      </w:r>
      <w:proofErr w:type="spellEnd"/>
      <w:r w:rsidRPr="007467AC">
        <w:rPr>
          <w:rFonts w:ascii="Times New Roman" w:hAnsi="Times New Roman" w:cs="Times New Roman"/>
          <w:sz w:val="20"/>
          <w:szCs w:val="20"/>
        </w:rPr>
        <w:t> </w:t>
      </w:r>
      <w:r w:rsidRPr="007467AC">
        <w:rPr>
          <w:rFonts w:ascii="Times New Roman" w:hAnsi="Times New Roman" w:cs="Times New Roman"/>
          <w:iCs/>
          <w:sz w:val="20"/>
          <w:szCs w:val="20"/>
        </w:rPr>
        <w:t>198</w:t>
      </w:r>
      <w:r w:rsidRPr="007467AC">
        <w:rPr>
          <w:rFonts w:ascii="Times New Roman" w:hAnsi="Times New Roman" w:cs="Times New Roman"/>
          <w:sz w:val="20"/>
          <w:szCs w:val="20"/>
        </w:rPr>
        <w:t>, 132-141.</w:t>
      </w:r>
    </w:p>
    <w:p w14:paraId="0EE3CDAA"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proofErr w:type="spellStart"/>
      <w:r w:rsidRPr="007467AC">
        <w:rPr>
          <w:rFonts w:ascii="Times New Roman" w:hAnsi="Times New Roman" w:cs="Times New Roman"/>
          <w:sz w:val="20"/>
          <w:szCs w:val="20"/>
        </w:rPr>
        <w:t>Trémouillaux-Guiller</w:t>
      </w:r>
      <w:proofErr w:type="spellEnd"/>
      <w:r w:rsidRPr="007467AC">
        <w:rPr>
          <w:rFonts w:ascii="Times New Roman" w:hAnsi="Times New Roman" w:cs="Times New Roman"/>
          <w:sz w:val="20"/>
          <w:szCs w:val="20"/>
        </w:rPr>
        <w:t xml:space="preserve"> J (2013) Hairy root culture: an alternative terpenoid expression platform. </w:t>
      </w:r>
      <w:r w:rsidRPr="007467AC">
        <w:rPr>
          <w:rFonts w:ascii="Times New Roman" w:hAnsi="Times New Roman" w:cs="Times New Roman"/>
          <w:iCs/>
          <w:sz w:val="20"/>
          <w:szCs w:val="20"/>
        </w:rPr>
        <w:t xml:space="preserve">Natural Products; </w:t>
      </w:r>
      <w:proofErr w:type="spellStart"/>
      <w:r w:rsidRPr="007467AC">
        <w:rPr>
          <w:rFonts w:ascii="Times New Roman" w:hAnsi="Times New Roman" w:cs="Times New Roman"/>
          <w:iCs/>
          <w:sz w:val="20"/>
          <w:szCs w:val="20"/>
        </w:rPr>
        <w:t>Ramawat</w:t>
      </w:r>
      <w:proofErr w:type="spellEnd"/>
      <w:r w:rsidRPr="007467AC">
        <w:rPr>
          <w:rFonts w:ascii="Times New Roman" w:hAnsi="Times New Roman" w:cs="Times New Roman"/>
          <w:iCs/>
          <w:sz w:val="20"/>
          <w:szCs w:val="20"/>
        </w:rPr>
        <w:t xml:space="preserve">, K., </w:t>
      </w:r>
      <w:proofErr w:type="spellStart"/>
      <w:r w:rsidRPr="007467AC">
        <w:rPr>
          <w:rFonts w:ascii="Times New Roman" w:hAnsi="Times New Roman" w:cs="Times New Roman"/>
          <w:iCs/>
          <w:sz w:val="20"/>
          <w:szCs w:val="20"/>
        </w:rPr>
        <w:t>Mérillon</w:t>
      </w:r>
      <w:proofErr w:type="spellEnd"/>
      <w:r w:rsidRPr="007467AC">
        <w:rPr>
          <w:rFonts w:ascii="Times New Roman" w:hAnsi="Times New Roman" w:cs="Times New Roman"/>
          <w:iCs/>
          <w:sz w:val="20"/>
          <w:szCs w:val="20"/>
        </w:rPr>
        <w:t>, JM, Eds.; Springer: Berlin/Heidelberg, Germany</w:t>
      </w:r>
      <w:r w:rsidRPr="007467AC">
        <w:rPr>
          <w:rFonts w:ascii="Times New Roman" w:hAnsi="Times New Roman" w:cs="Times New Roman"/>
          <w:sz w:val="20"/>
          <w:szCs w:val="20"/>
        </w:rPr>
        <w:t xml:space="preserve"> 2941-2970.</w:t>
      </w:r>
    </w:p>
    <w:p w14:paraId="5455B55E"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Van Montagu M, Pauwels </w:t>
      </w:r>
      <w:proofErr w:type="gramStart"/>
      <w:r w:rsidRPr="007467AC">
        <w:rPr>
          <w:rFonts w:ascii="Times New Roman" w:hAnsi="Times New Roman" w:cs="Times New Roman"/>
          <w:sz w:val="20"/>
          <w:szCs w:val="20"/>
        </w:rPr>
        <w:t>L,  De</w:t>
      </w:r>
      <w:proofErr w:type="gramEnd"/>
      <w:r w:rsidRPr="007467AC">
        <w:rPr>
          <w:rFonts w:ascii="Times New Roman" w:hAnsi="Times New Roman" w:cs="Times New Roman"/>
          <w:sz w:val="20"/>
          <w:szCs w:val="20"/>
        </w:rPr>
        <w:t xml:space="preserve"> Coninck B (2022) Agrobacterium and Ti Plasmids.</w:t>
      </w:r>
    </w:p>
    <w:p w14:paraId="771BC358"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proofErr w:type="spellStart"/>
      <w:r w:rsidRPr="007467AC">
        <w:rPr>
          <w:rFonts w:ascii="Times New Roman" w:hAnsi="Times New Roman" w:cs="Times New Roman"/>
          <w:sz w:val="20"/>
          <w:szCs w:val="20"/>
          <w:shd w:val="clear" w:color="auto" w:fill="FFFFFF"/>
        </w:rPr>
        <w:t>Vendruscolo</w:t>
      </w:r>
      <w:proofErr w:type="spellEnd"/>
      <w:r w:rsidRPr="007467AC">
        <w:rPr>
          <w:rFonts w:ascii="Times New Roman" w:hAnsi="Times New Roman" w:cs="Times New Roman"/>
          <w:sz w:val="20"/>
          <w:szCs w:val="20"/>
          <w:shd w:val="clear" w:color="auto" w:fill="FFFFFF"/>
        </w:rPr>
        <w:t>, M. H., Von Poser, G. L., Henriques, A. T., &amp; Nemitz, M. C. (2022). Herbal products of Plantago species: International patents survey. </w:t>
      </w:r>
      <w:r w:rsidRPr="007467AC">
        <w:rPr>
          <w:rFonts w:ascii="Times New Roman" w:hAnsi="Times New Roman" w:cs="Times New Roman"/>
          <w:i/>
          <w:iCs/>
          <w:sz w:val="20"/>
          <w:szCs w:val="20"/>
          <w:shd w:val="clear" w:color="auto" w:fill="FFFFFF"/>
        </w:rPr>
        <w:t>Journal of Herbal Medicine</w:t>
      </w:r>
      <w:r w:rsidRPr="007467AC">
        <w:rPr>
          <w:rFonts w:ascii="Times New Roman" w:hAnsi="Times New Roman" w:cs="Times New Roman"/>
          <w:sz w:val="20"/>
          <w:szCs w:val="20"/>
          <w:shd w:val="clear" w:color="auto" w:fill="FFFFFF"/>
        </w:rPr>
        <w:t>, </w:t>
      </w:r>
      <w:r w:rsidRPr="007467AC">
        <w:rPr>
          <w:rFonts w:ascii="Times New Roman" w:hAnsi="Times New Roman" w:cs="Times New Roman"/>
          <w:i/>
          <w:iCs/>
          <w:sz w:val="20"/>
          <w:szCs w:val="20"/>
          <w:shd w:val="clear" w:color="auto" w:fill="FFFFFF"/>
        </w:rPr>
        <w:t>36</w:t>
      </w:r>
      <w:r w:rsidRPr="007467AC">
        <w:rPr>
          <w:rFonts w:ascii="Times New Roman" w:hAnsi="Times New Roman" w:cs="Times New Roman"/>
          <w:sz w:val="20"/>
          <w:szCs w:val="20"/>
          <w:shd w:val="clear" w:color="auto" w:fill="FFFFFF"/>
        </w:rPr>
        <w:t>, 100603.</w:t>
      </w:r>
    </w:p>
    <w:p w14:paraId="7F21EBE5"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Verma PC, </w:t>
      </w:r>
      <w:proofErr w:type="spellStart"/>
      <w:r w:rsidRPr="007467AC">
        <w:rPr>
          <w:rFonts w:ascii="Times New Roman" w:hAnsi="Times New Roman" w:cs="Times New Roman"/>
          <w:sz w:val="20"/>
          <w:szCs w:val="20"/>
        </w:rPr>
        <w:t>ur</w:t>
      </w:r>
      <w:proofErr w:type="spellEnd"/>
      <w:r w:rsidRPr="007467AC">
        <w:rPr>
          <w:rFonts w:ascii="Times New Roman" w:hAnsi="Times New Roman" w:cs="Times New Roman"/>
          <w:sz w:val="20"/>
          <w:szCs w:val="20"/>
        </w:rPr>
        <w:t xml:space="preserve"> Rahman L, Negi AS, Jain DC, Khanuja SPS, Banerjee S (2007) Agrobacterium </w:t>
      </w:r>
      <w:proofErr w:type="spellStart"/>
      <w:r w:rsidRPr="007467AC">
        <w:rPr>
          <w:rFonts w:ascii="Times New Roman" w:hAnsi="Times New Roman" w:cs="Times New Roman"/>
          <w:sz w:val="20"/>
          <w:szCs w:val="20"/>
        </w:rPr>
        <w:t>rhizogenes</w:t>
      </w:r>
      <w:proofErr w:type="spellEnd"/>
      <w:r w:rsidRPr="007467AC">
        <w:rPr>
          <w:rFonts w:ascii="Times New Roman" w:hAnsi="Times New Roman" w:cs="Times New Roman"/>
          <w:sz w:val="20"/>
          <w:szCs w:val="20"/>
        </w:rPr>
        <w:t xml:space="preserve">-mediated transformation of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kurroa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Royle</w:t>
      </w:r>
      <w:proofErr w:type="spellEnd"/>
      <w:r w:rsidRPr="007467AC">
        <w:rPr>
          <w:rFonts w:ascii="Times New Roman" w:hAnsi="Times New Roman" w:cs="Times New Roman"/>
          <w:sz w:val="20"/>
          <w:szCs w:val="20"/>
        </w:rPr>
        <w:t xml:space="preserve"> ex </w:t>
      </w:r>
      <w:proofErr w:type="spellStart"/>
      <w:r w:rsidRPr="007467AC">
        <w:rPr>
          <w:rFonts w:ascii="Times New Roman" w:hAnsi="Times New Roman" w:cs="Times New Roman"/>
          <w:sz w:val="20"/>
          <w:szCs w:val="20"/>
        </w:rPr>
        <w:t>Benth</w:t>
      </w:r>
      <w:proofErr w:type="spellEnd"/>
      <w:r w:rsidRPr="007467AC">
        <w:rPr>
          <w:rFonts w:ascii="Times New Roman" w:hAnsi="Times New Roman" w:cs="Times New Roman"/>
          <w:sz w:val="20"/>
          <w:szCs w:val="20"/>
        </w:rPr>
        <w:t>.: establishment and selection of superior hairy root clone. </w:t>
      </w:r>
      <w:r w:rsidRPr="007467AC">
        <w:rPr>
          <w:rFonts w:ascii="Times New Roman" w:hAnsi="Times New Roman" w:cs="Times New Roman"/>
          <w:i/>
          <w:iCs/>
          <w:sz w:val="20"/>
          <w:szCs w:val="20"/>
        </w:rPr>
        <w:t>Plant Biotechnology Reports</w:t>
      </w:r>
      <w:r w:rsidRPr="007467AC">
        <w:rPr>
          <w:rFonts w:ascii="Times New Roman" w:hAnsi="Times New Roman" w:cs="Times New Roman"/>
          <w:sz w:val="20"/>
          <w:szCs w:val="20"/>
        </w:rPr>
        <w:t>, </w:t>
      </w:r>
      <w:r w:rsidRPr="007467AC">
        <w:rPr>
          <w:rFonts w:ascii="Times New Roman" w:hAnsi="Times New Roman" w:cs="Times New Roman"/>
          <w:iCs/>
          <w:sz w:val="20"/>
          <w:szCs w:val="20"/>
        </w:rPr>
        <w:t>1</w:t>
      </w:r>
      <w:r w:rsidRPr="007467AC">
        <w:rPr>
          <w:rFonts w:ascii="Times New Roman" w:hAnsi="Times New Roman" w:cs="Times New Roman"/>
          <w:sz w:val="20"/>
          <w:szCs w:val="20"/>
        </w:rPr>
        <w:t>, 169-174.</w:t>
      </w:r>
    </w:p>
    <w:p w14:paraId="5363A3CE"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color w:val="222222"/>
          <w:sz w:val="20"/>
          <w:szCs w:val="20"/>
          <w:shd w:val="clear" w:color="auto" w:fill="FFFFFF"/>
        </w:rPr>
        <w:t xml:space="preserve"> </w:t>
      </w:r>
      <w:r w:rsidRPr="007467AC">
        <w:rPr>
          <w:rFonts w:ascii="Times New Roman" w:hAnsi="Times New Roman" w:cs="Times New Roman"/>
          <w:sz w:val="20"/>
          <w:szCs w:val="20"/>
        </w:rPr>
        <w:t xml:space="preserve">Verma PC, Singh H, Negi AS, Saxena G, Rahman LU, Banerjee S (2015) Yield enhancement strategies for the production of </w:t>
      </w:r>
      <w:proofErr w:type="spellStart"/>
      <w:r w:rsidRPr="007467AC">
        <w:rPr>
          <w:rFonts w:ascii="Times New Roman" w:hAnsi="Times New Roman" w:cs="Times New Roman"/>
          <w:sz w:val="20"/>
          <w:szCs w:val="20"/>
        </w:rPr>
        <w:t>picroliv</w:t>
      </w:r>
      <w:proofErr w:type="spellEnd"/>
      <w:r w:rsidRPr="007467AC">
        <w:rPr>
          <w:rFonts w:ascii="Times New Roman" w:hAnsi="Times New Roman" w:cs="Times New Roman"/>
          <w:sz w:val="20"/>
          <w:szCs w:val="20"/>
        </w:rPr>
        <w:t xml:space="preserve"> from hairy root culture of </w:t>
      </w:r>
      <w:proofErr w:type="spellStart"/>
      <w:r w:rsidRPr="007467AC">
        <w:rPr>
          <w:rFonts w:ascii="Times New Roman" w:hAnsi="Times New Roman" w:cs="Times New Roman"/>
          <w:sz w:val="20"/>
          <w:szCs w:val="20"/>
        </w:rPr>
        <w:t>Picrorhiza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kurroa</w:t>
      </w:r>
      <w:proofErr w:type="spellEnd"/>
      <w:r w:rsidRPr="007467AC">
        <w:rPr>
          <w:rFonts w:ascii="Times New Roman" w:hAnsi="Times New Roman" w:cs="Times New Roman"/>
          <w:sz w:val="20"/>
          <w:szCs w:val="20"/>
        </w:rPr>
        <w:t xml:space="preserve"> </w:t>
      </w:r>
      <w:proofErr w:type="spellStart"/>
      <w:r w:rsidRPr="007467AC">
        <w:rPr>
          <w:rFonts w:ascii="Times New Roman" w:hAnsi="Times New Roman" w:cs="Times New Roman"/>
          <w:sz w:val="20"/>
          <w:szCs w:val="20"/>
        </w:rPr>
        <w:t>Royle</w:t>
      </w:r>
      <w:proofErr w:type="spellEnd"/>
      <w:r w:rsidRPr="007467AC">
        <w:rPr>
          <w:rFonts w:ascii="Times New Roman" w:hAnsi="Times New Roman" w:cs="Times New Roman"/>
          <w:sz w:val="20"/>
          <w:szCs w:val="20"/>
        </w:rPr>
        <w:t xml:space="preserve"> ex Benth. </w:t>
      </w:r>
      <w:r w:rsidRPr="007467AC">
        <w:rPr>
          <w:rFonts w:ascii="Times New Roman" w:hAnsi="Times New Roman" w:cs="Times New Roman"/>
          <w:i/>
          <w:iCs/>
          <w:sz w:val="20"/>
          <w:szCs w:val="20"/>
        </w:rPr>
        <w:t>Plant signaling &amp; behavior</w:t>
      </w:r>
      <w:r w:rsidRPr="007467AC">
        <w:rPr>
          <w:rFonts w:ascii="Times New Roman" w:hAnsi="Times New Roman" w:cs="Times New Roman"/>
          <w:i/>
          <w:sz w:val="20"/>
          <w:szCs w:val="20"/>
        </w:rPr>
        <w:t> </w:t>
      </w:r>
      <w:r w:rsidRPr="007467AC">
        <w:rPr>
          <w:rFonts w:ascii="Times New Roman" w:hAnsi="Times New Roman" w:cs="Times New Roman"/>
          <w:iCs/>
          <w:sz w:val="20"/>
          <w:szCs w:val="20"/>
        </w:rPr>
        <w:t>10</w:t>
      </w:r>
      <w:r w:rsidRPr="007467AC">
        <w:rPr>
          <w:rFonts w:ascii="Times New Roman" w:hAnsi="Times New Roman" w:cs="Times New Roman"/>
          <w:sz w:val="20"/>
          <w:szCs w:val="20"/>
        </w:rPr>
        <w:t>(5), e1023976.</w:t>
      </w:r>
    </w:p>
    <w:p w14:paraId="308FFA2B" w14:textId="77777777" w:rsidR="00FD0B64" w:rsidRPr="007467AC" w:rsidRDefault="00FD0B64" w:rsidP="00FD0B64">
      <w:pPr>
        <w:pStyle w:val="ListParagraph"/>
        <w:numPr>
          <w:ilvl w:val="0"/>
          <w:numId w:val="2"/>
        </w:numPr>
        <w:jc w:val="both"/>
        <w:rPr>
          <w:rFonts w:ascii="Times New Roman" w:hAnsi="Times New Roman" w:cs="Times New Roman"/>
          <w:sz w:val="20"/>
          <w:szCs w:val="20"/>
        </w:rPr>
      </w:pPr>
      <w:r w:rsidRPr="007467AC">
        <w:rPr>
          <w:rFonts w:ascii="Times New Roman" w:hAnsi="Times New Roman" w:cs="Times New Roman"/>
          <w:sz w:val="20"/>
          <w:szCs w:val="20"/>
        </w:rPr>
        <w:t xml:space="preserve">Verma, S. K., Das, A. K., </w:t>
      </w:r>
      <w:proofErr w:type="spellStart"/>
      <w:r w:rsidRPr="007467AC">
        <w:rPr>
          <w:rFonts w:ascii="Times New Roman" w:hAnsi="Times New Roman" w:cs="Times New Roman"/>
          <w:sz w:val="20"/>
          <w:szCs w:val="20"/>
        </w:rPr>
        <w:t>Cingoz</w:t>
      </w:r>
      <w:proofErr w:type="spellEnd"/>
      <w:r w:rsidRPr="007467AC">
        <w:rPr>
          <w:rFonts w:ascii="Times New Roman" w:hAnsi="Times New Roman" w:cs="Times New Roman"/>
          <w:sz w:val="20"/>
          <w:szCs w:val="20"/>
        </w:rPr>
        <w:t xml:space="preserve">, G. S., &amp; Gurel, E. (2016). In vitro culture of Digitalis </w:t>
      </w:r>
      <w:proofErr w:type="gramStart"/>
      <w:r w:rsidRPr="007467AC">
        <w:rPr>
          <w:rFonts w:ascii="Times New Roman" w:hAnsi="Times New Roman" w:cs="Times New Roman"/>
          <w:sz w:val="20"/>
          <w:szCs w:val="20"/>
        </w:rPr>
        <w:t>L.(</w:t>
      </w:r>
      <w:proofErr w:type="gramEnd"/>
      <w:r w:rsidRPr="007467AC">
        <w:rPr>
          <w:rFonts w:ascii="Times New Roman" w:hAnsi="Times New Roman" w:cs="Times New Roman"/>
          <w:sz w:val="20"/>
          <w:szCs w:val="20"/>
        </w:rPr>
        <w:t>Foxglove) and the production of cardenolides: An up-to-date review. </w:t>
      </w:r>
      <w:r w:rsidRPr="007467AC">
        <w:rPr>
          <w:rFonts w:ascii="Times New Roman" w:hAnsi="Times New Roman" w:cs="Times New Roman"/>
          <w:i/>
          <w:iCs/>
          <w:sz w:val="20"/>
          <w:szCs w:val="20"/>
        </w:rPr>
        <w:t>Industrial Crops and Products</w:t>
      </w:r>
      <w:r w:rsidRPr="007467AC">
        <w:rPr>
          <w:rFonts w:ascii="Times New Roman" w:hAnsi="Times New Roman" w:cs="Times New Roman"/>
          <w:sz w:val="20"/>
          <w:szCs w:val="20"/>
        </w:rPr>
        <w:t>, </w:t>
      </w:r>
      <w:r w:rsidRPr="007467AC">
        <w:rPr>
          <w:rFonts w:ascii="Times New Roman" w:hAnsi="Times New Roman" w:cs="Times New Roman"/>
          <w:i/>
          <w:iCs/>
          <w:sz w:val="20"/>
          <w:szCs w:val="20"/>
        </w:rPr>
        <w:t>94</w:t>
      </w:r>
      <w:r w:rsidRPr="007467AC">
        <w:rPr>
          <w:rFonts w:ascii="Times New Roman" w:hAnsi="Times New Roman" w:cs="Times New Roman"/>
          <w:sz w:val="20"/>
          <w:szCs w:val="20"/>
        </w:rPr>
        <w:t>, 20-51.</w:t>
      </w:r>
    </w:p>
    <w:p w14:paraId="1E7CFF6B" w14:textId="77777777" w:rsidR="00FD0B64" w:rsidRPr="001227A0" w:rsidRDefault="00FD0B64" w:rsidP="00FD0B64">
      <w:pPr>
        <w:jc w:val="both"/>
        <w:rPr>
          <w:rFonts w:ascii="Times New Roman" w:hAnsi="Times New Roman" w:cs="Times New Roman"/>
          <w:sz w:val="20"/>
          <w:szCs w:val="20"/>
        </w:rPr>
      </w:pPr>
    </w:p>
    <w:p w14:paraId="3C5F5D66" w14:textId="77777777" w:rsidR="00FD0B64" w:rsidRPr="000F10F2" w:rsidRDefault="00FD0B64" w:rsidP="00FD0B64">
      <w:pPr>
        <w:jc w:val="both"/>
        <w:rPr>
          <w:rFonts w:ascii="Times New Roman" w:hAnsi="Times New Roman" w:cs="Times New Roman"/>
          <w:sz w:val="20"/>
          <w:szCs w:val="20"/>
        </w:rPr>
      </w:pPr>
    </w:p>
    <w:p w14:paraId="318EEE5E" w14:textId="77777777" w:rsidR="00FD0B64" w:rsidRPr="000F10F2" w:rsidRDefault="00FD0B64" w:rsidP="00FD0B64">
      <w:pPr>
        <w:rPr>
          <w:rFonts w:ascii="Times New Roman" w:hAnsi="Times New Roman" w:cs="Times New Roman"/>
          <w:sz w:val="20"/>
          <w:szCs w:val="20"/>
        </w:rPr>
      </w:pPr>
    </w:p>
    <w:p w14:paraId="535B5D98" w14:textId="77777777" w:rsidR="00FD0B64" w:rsidRPr="000F10F2" w:rsidRDefault="00FD0B64" w:rsidP="00FD0B64">
      <w:pPr>
        <w:spacing w:before="100" w:beforeAutospacing="1" w:after="100" w:afterAutospacing="1" w:line="360" w:lineRule="auto"/>
        <w:jc w:val="both"/>
        <w:rPr>
          <w:rFonts w:ascii="Times New Roman" w:eastAsia="Times New Roman" w:hAnsi="Times New Roman" w:cs="Times New Roman"/>
          <w:sz w:val="20"/>
          <w:szCs w:val="20"/>
        </w:rPr>
      </w:pPr>
    </w:p>
    <w:p w14:paraId="73227B10" w14:textId="77777777" w:rsidR="00FD0B64" w:rsidRPr="000F10F2" w:rsidRDefault="00FD0B64" w:rsidP="00FD0B64">
      <w:pPr>
        <w:rPr>
          <w:rFonts w:ascii="Times New Roman" w:hAnsi="Times New Roman" w:cs="Times New Roman"/>
          <w:sz w:val="20"/>
          <w:szCs w:val="20"/>
        </w:rPr>
      </w:pPr>
    </w:p>
    <w:p w14:paraId="0CD815C4" w14:textId="77777777" w:rsidR="00FD0B64" w:rsidRPr="000F10F2" w:rsidRDefault="00FD0B64" w:rsidP="00FD0B64">
      <w:pPr>
        <w:rPr>
          <w:rFonts w:ascii="Times New Roman" w:hAnsi="Times New Roman" w:cs="Times New Roman"/>
          <w:sz w:val="20"/>
          <w:szCs w:val="20"/>
        </w:rPr>
      </w:pPr>
    </w:p>
    <w:p w14:paraId="58C7CAE8" w14:textId="77777777" w:rsidR="00806D9A" w:rsidRDefault="00806D9A"/>
    <w:sectPr w:rsidR="00806D9A" w:rsidSect="00806D9A">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45BCA" w14:textId="77777777" w:rsidR="00EB6458" w:rsidRDefault="00EB6458" w:rsidP="00057B98">
      <w:pPr>
        <w:spacing w:after="0" w:line="240" w:lineRule="auto"/>
      </w:pPr>
      <w:r>
        <w:separator/>
      </w:r>
    </w:p>
  </w:endnote>
  <w:endnote w:type="continuationSeparator" w:id="0">
    <w:p w14:paraId="709774C7" w14:textId="77777777" w:rsidR="00EB6458" w:rsidRDefault="00EB6458" w:rsidP="00057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45CD0" w14:textId="77777777" w:rsidR="00057B98" w:rsidRDefault="00057B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48C77" w14:textId="77777777" w:rsidR="00057B98" w:rsidRDefault="00057B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E04FB" w14:textId="77777777" w:rsidR="00057B98" w:rsidRDefault="00057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BA722" w14:textId="77777777" w:rsidR="00EB6458" w:rsidRDefault="00EB6458" w:rsidP="00057B98">
      <w:pPr>
        <w:spacing w:after="0" w:line="240" w:lineRule="auto"/>
      </w:pPr>
      <w:r>
        <w:separator/>
      </w:r>
    </w:p>
  </w:footnote>
  <w:footnote w:type="continuationSeparator" w:id="0">
    <w:p w14:paraId="1B922E56" w14:textId="77777777" w:rsidR="00EB6458" w:rsidRDefault="00EB6458" w:rsidP="00057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F5C4A" w14:textId="34AE5D80" w:rsidR="00057B98" w:rsidRDefault="00057B98">
    <w:pPr>
      <w:pStyle w:val="Header"/>
    </w:pPr>
    <w:r>
      <w:rPr>
        <w:noProof/>
      </w:rPr>
      <w:pict w14:anchorId="190A2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07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A5831" w14:textId="700D48C5" w:rsidR="00057B98" w:rsidRDefault="00057B98">
    <w:pPr>
      <w:pStyle w:val="Header"/>
    </w:pPr>
    <w:r>
      <w:rPr>
        <w:noProof/>
      </w:rPr>
      <w:pict w14:anchorId="2CA925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07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F7BA9" w14:textId="0081195F" w:rsidR="00057B98" w:rsidRDefault="00057B98">
    <w:pPr>
      <w:pStyle w:val="Header"/>
    </w:pPr>
    <w:r>
      <w:rPr>
        <w:noProof/>
      </w:rPr>
      <w:pict w14:anchorId="163EC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807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306"/>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25506"/>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E5B6A"/>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D7564"/>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F446C"/>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06047"/>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2266A"/>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37145"/>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733A2"/>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C574C"/>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20DD8"/>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8E4891"/>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755CA"/>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EC7DB0"/>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2D7EFB"/>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2F59A8"/>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665554"/>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CF7B6B"/>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C010E8"/>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39369E"/>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8432A6"/>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D9694C"/>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DB083B"/>
    <w:multiLevelType w:val="multilevel"/>
    <w:tmpl w:val="C6E6F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707B3"/>
    <w:multiLevelType w:val="hybridMultilevel"/>
    <w:tmpl w:val="01DCC91A"/>
    <w:lvl w:ilvl="0" w:tplc="82149AD2">
      <w:start w:val="1"/>
      <w:numFmt w:val="decimal"/>
      <w:lvlText w:val="%1)"/>
      <w:lvlJc w:val="left"/>
      <w:pPr>
        <w:ind w:left="720" w:hanging="360"/>
      </w:pPr>
      <w:rPr>
        <w:rFonts w:ascii="Arial" w:hAnsi="Arial" w:cs="Arial" w:hint="default"/>
        <w:color w:val="222222"/>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9"/>
  </w:num>
  <w:num w:numId="3">
    <w:abstractNumId w:val="21"/>
  </w:num>
  <w:num w:numId="4">
    <w:abstractNumId w:val="2"/>
  </w:num>
  <w:num w:numId="5">
    <w:abstractNumId w:val="3"/>
  </w:num>
  <w:num w:numId="6">
    <w:abstractNumId w:val="14"/>
  </w:num>
  <w:num w:numId="7">
    <w:abstractNumId w:val="12"/>
  </w:num>
  <w:num w:numId="8">
    <w:abstractNumId w:val="8"/>
  </w:num>
  <w:num w:numId="9">
    <w:abstractNumId w:val="23"/>
  </w:num>
  <w:num w:numId="10">
    <w:abstractNumId w:val="10"/>
  </w:num>
  <w:num w:numId="11">
    <w:abstractNumId w:val="13"/>
  </w:num>
  <w:num w:numId="12">
    <w:abstractNumId w:val="6"/>
  </w:num>
  <w:num w:numId="13">
    <w:abstractNumId w:val="0"/>
  </w:num>
  <w:num w:numId="14">
    <w:abstractNumId w:val="7"/>
  </w:num>
  <w:num w:numId="15">
    <w:abstractNumId w:val="18"/>
  </w:num>
  <w:num w:numId="16">
    <w:abstractNumId w:val="16"/>
  </w:num>
  <w:num w:numId="17">
    <w:abstractNumId w:val="5"/>
  </w:num>
  <w:num w:numId="18">
    <w:abstractNumId w:val="9"/>
  </w:num>
  <w:num w:numId="19">
    <w:abstractNumId w:val="20"/>
  </w:num>
  <w:num w:numId="20">
    <w:abstractNumId w:val="15"/>
  </w:num>
  <w:num w:numId="21">
    <w:abstractNumId w:val="11"/>
  </w:num>
  <w:num w:numId="22">
    <w:abstractNumId w:val="17"/>
  </w:num>
  <w:num w:numId="23">
    <w:abstractNumId w:val="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0B64"/>
    <w:rsid w:val="000458CC"/>
    <w:rsid w:val="00057B98"/>
    <w:rsid w:val="00060781"/>
    <w:rsid w:val="0007229A"/>
    <w:rsid w:val="00081883"/>
    <w:rsid w:val="00126A70"/>
    <w:rsid w:val="001628D7"/>
    <w:rsid w:val="00183614"/>
    <w:rsid w:val="001D1E80"/>
    <w:rsid w:val="001D6453"/>
    <w:rsid w:val="001D6D62"/>
    <w:rsid w:val="00232874"/>
    <w:rsid w:val="00247AD0"/>
    <w:rsid w:val="00284003"/>
    <w:rsid w:val="002B3CBB"/>
    <w:rsid w:val="002F1970"/>
    <w:rsid w:val="00340665"/>
    <w:rsid w:val="00387ECC"/>
    <w:rsid w:val="00390280"/>
    <w:rsid w:val="003A68E5"/>
    <w:rsid w:val="003C39DC"/>
    <w:rsid w:val="003C4D9D"/>
    <w:rsid w:val="00416994"/>
    <w:rsid w:val="00444D05"/>
    <w:rsid w:val="00474696"/>
    <w:rsid w:val="004C7746"/>
    <w:rsid w:val="004C77B4"/>
    <w:rsid w:val="0050013C"/>
    <w:rsid w:val="0050665F"/>
    <w:rsid w:val="00585EA0"/>
    <w:rsid w:val="00587BB8"/>
    <w:rsid w:val="00590740"/>
    <w:rsid w:val="00593D82"/>
    <w:rsid w:val="00640173"/>
    <w:rsid w:val="006666F2"/>
    <w:rsid w:val="006B45F2"/>
    <w:rsid w:val="006C11A2"/>
    <w:rsid w:val="006D5465"/>
    <w:rsid w:val="006F5008"/>
    <w:rsid w:val="00754AA2"/>
    <w:rsid w:val="00762FAC"/>
    <w:rsid w:val="00786693"/>
    <w:rsid w:val="007A1AA6"/>
    <w:rsid w:val="007B57C4"/>
    <w:rsid w:val="007C5351"/>
    <w:rsid w:val="007E3ED5"/>
    <w:rsid w:val="007F12CA"/>
    <w:rsid w:val="007F1CF9"/>
    <w:rsid w:val="00806D9A"/>
    <w:rsid w:val="0081433B"/>
    <w:rsid w:val="00823D1C"/>
    <w:rsid w:val="0085148C"/>
    <w:rsid w:val="00876682"/>
    <w:rsid w:val="008A3B76"/>
    <w:rsid w:val="00A0369F"/>
    <w:rsid w:val="00A26E92"/>
    <w:rsid w:val="00A325A9"/>
    <w:rsid w:val="00A41EB0"/>
    <w:rsid w:val="00AA27ED"/>
    <w:rsid w:val="00B010A3"/>
    <w:rsid w:val="00B8338C"/>
    <w:rsid w:val="00BB043A"/>
    <w:rsid w:val="00BC5B6E"/>
    <w:rsid w:val="00BE4569"/>
    <w:rsid w:val="00CF5437"/>
    <w:rsid w:val="00DB0039"/>
    <w:rsid w:val="00DE2078"/>
    <w:rsid w:val="00DF60BC"/>
    <w:rsid w:val="00E716EA"/>
    <w:rsid w:val="00EA3B1B"/>
    <w:rsid w:val="00EB6458"/>
    <w:rsid w:val="00EC5D48"/>
    <w:rsid w:val="00EE5DDB"/>
    <w:rsid w:val="00F4060A"/>
    <w:rsid w:val="00F6265D"/>
    <w:rsid w:val="00FD0B64"/>
    <w:rsid w:val="00FF6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9E0839"/>
  <w15:docId w15:val="{704DC18C-12FB-4F75-88A1-69C3D2A7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0B64"/>
  </w:style>
  <w:style w:type="paragraph" w:styleId="Heading1">
    <w:name w:val="heading 1"/>
    <w:basedOn w:val="Normal"/>
    <w:next w:val="Normal"/>
    <w:link w:val="Heading1Char"/>
    <w:uiPriority w:val="9"/>
    <w:qFormat/>
    <w:rsid w:val="00FD0B6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link w:val="Heading2Char"/>
    <w:uiPriority w:val="9"/>
    <w:qFormat/>
    <w:rsid w:val="00FD0B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B6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FD0B6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D0B64"/>
    <w:rPr>
      <w:color w:val="0000FF"/>
      <w:u w:val="single"/>
    </w:rPr>
  </w:style>
  <w:style w:type="paragraph" w:styleId="NormalWeb">
    <w:name w:val="Normal (Web)"/>
    <w:basedOn w:val="Normal"/>
    <w:uiPriority w:val="99"/>
    <w:unhideWhenUsed/>
    <w:rsid w:val="00FD0B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0B64"/>
    <w:rPr>
      <w:i/>
      <w:iCs/>
    </w:rPr>
  </w:style>
  <w:style w:type="paragraph" w:styleId="BodyText">
    <w:name w:val="Body Text"/>
    <w:basedOn w:val="Normal"/>
    <w:link w:val="BodyTextChar"/>
    <w:uiPriority w:val="99"/>
    <w:unhideWhenUsed/>
    <w:rsid w:val="00FD0B64"/>
    <w:pPr>
      <w:spacing w:after="120"/>
    </w:pPr>
  </w:style>
  <w:style w:type="character" w:customStyle="1" w:styleId="BodyTextChar">
    <w:name w:val="Body Text Char"/>
    <w:basedOn w:val="DefaultParagraphFont"/>
    <w:link w:val="BodyText"/>
    <w:uiPriority w:val="99"/>
    <w:rsid w:val="00FD0B64"/>
  </w:style>
  <w:style w:type="paragraph" w:styleId="ListParagraph">
    <w:name w:val="List Paragraph"/>
    <w:basedOn w:val="Normal"/>
    <w:uiPriority w:val="34"/>
    <w:qFormat/>
    <w:rsid w:val="00FD0B64"/>
    <w:pPr>
      <w:ind w:left="720"/>
      <w:contextualSpacing/>
    </w:pPr>
  </w:style>
  <w:style w:type="character" w:styleId="Strong">
    <w:name w:val="Strong"/>
    <w:basedOn w:val="DefaultParagraphFont"/>
    <w:uiPriority w:val="22"/>
    <w:qFormat/>
    <w:rsid w:val="00FD0B64"/>
    <w:rPr>
      <w:b/>
      <w:bCs/>
    </w:rPr>
  </w:style>
  <w:style w:type="table" w:styleId="TableGrid">
    <w:name w:val="Table Grid"/>
    <w:basedOn w:val="TableNormal"/>
    <w:uiPriority w:val="59"/>
    <w:rsid w:val="00FD0B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D0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B64"/>
    <w:rPr>
      <w:rFonts w:ascii="Tahoma" w:hAnsi="Tahoma" w:cs="Tahoma"/>
      <w:sz w:val="16"/>
      <w:szCs w:val="16"/>
    </w:rPr>
  </w:style>
  <w:style w:type="paragraph" w:styleId="Header">
    <w:name w:val="header"/>
    <w:basedOn w:val="Normal"/>
    <w:link w:val="HeaderChar"/>
    <w:uiPriority w:val="99"/>
    <w:unhideWhenUsed/>
    <w:rsid w:val="00FD0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B64"/>
  </w:style>
  <w:style w:type="paragraph" w:styleId="Footer">
    <w:name w:val="footer"/>
    <w:basedOn w:val="Normal"/>
    <w:link w:val="FooterChar"/>
    <w:uiPriority w:val="99"/>
    <w:unhideWhenUsed/>
    <w:rsid w:val="00FD0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B64"/>
  </w:style>
  <w:style w:type="character" w:customStyle="1" w:styleId="overflow-hidden">
    <w:name w:val="overflow-hidden"/>
    <w:basedOn w:val="DefaultParagraphFont"/>
    <w:rsid w:val="00FD0B64"/>
  </w:style>
  <w:style w:type="character" w:styleId="UnresolvedMention">
    <w:name w:val="Unresolved Mention"/>
    <w:basedOn w:val="DefaultParagraphFont"/>
    <w:uiPriority w:val="99"/>
    <w:semiHidden/>
    <w:unhideWhenUsed/>
    <w:rsid w:val="00E71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02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new%20data%20(Autosaved)%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ocuments\new%20data%20(Autosaved)%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cust"/>
            <c:noEndCap val="0"/>
            <c:plus>
              <c:numRef>
                <c:f>Sheet4!$AE$38:$AE$52</c:f>
                <c:numCache>
                  <c:formatCode>General</c:formatCode>
                  <c:ptCount val="15"/>
                  <c:pt idx="0">
                    <c:v>0</c:v>
                  </c:pt>
                  <c:pt idx="1">
                    <c:v>0</c:v>
                  </c:pt>
                  <c:pt idx="2">
                    <c:v>0</c:v>
                  </c:pt>
                  <c:pt idx="3">
                    <c:v>0</c:v>
                  </c:pt>
                  <c:pt idx="4">
                    <c:v>0</c:v>
                  </c:pt>
                  <c:pt idx="5">
                    <c:v>0</c:v>
                  </c:pt>
                  <c:pt idx="6">
                    <c:v>0</c:v>
                  </c:pt>
                  <c:pt idx="7">
                    <c:v>7.21</c:v>
                  </c:pt>
                  <c:pt idx="8">
                    <c:v>11.96</c:v>
                  </c:pt>
                  <c:pt idx="9">
                    <c:v>10.200000000000001</c:v>
                  </c:pt>
                  <c:pt idx="10">
                    <c:v>6.25</c:v>
                  </c:pt>
                  <c:pt idx="11">
                    <c:v>0</c:v>
                  </c:pt>
                  <c:pt idx="12">
                    <c:v>0</c:v>
                  </c:pt>
                  <c:pt idx="13">
                    <c:v>0</c:v>
                  </c:pt>
                  <c:pt idx="14">
                    <c:v>0</c:v>
                  </c:pt>
                </c:numCache>
              </c:numRef>
            </c:plus>
            <c:minus>
              <c:numRef>
                <c:f>Sheet4!$AE$38:$AE$52</c:f>
                <c:numCache>
                  <c:formatCode>General</c:formatCode>
                  <c:ptCount val="15"/>
                  <c:pt idx="0">
                    <c:v>0</c:v>
                  </c:pt>
                  <c:pt idx="1">
                    <c:v>0</c:v>
                  </c:pt>
                  <c:pt idx="2">
                    <c:v>0</c:v>
                  </c:pt>
                  <c:pt idx="3">
                    <c:v>0</c:v>
                  </c:pt>
                  <c:pt idx="4">
                    <c:v>0</c:v>
                  </c:pt>
                  <c:pt idx="5">
                    <c:v>0</c:v>
                  </c:pt>
                  <c:pt idx="6">
                    <c:v>0</c:v>
                  </c:pt>
                  <c:pt idx="7">
                    <c:v>7.21</c:v>
                  </c:pt>
                  <c:pt idx="8">
                    <c:v>11.96</c:v>
                  </c:pt>
                  <c:pt idx="9">
                    <c:v>10.200000000000001</c:v>
                  </c:pt>
                  <c:pt idx="10">
                    <c:v>6.25</c:v>
                  </c:pt>
                  <c:pt idx="11">
                    <c:v>0</c:v>
                  </c:pt>
                  <c:pt idx="12">
                    <c:v>0</c:v>
                  </c:pt>
                  <c:pt idx="13">
                    <c:v>0</c:v>
                  </c:pt>
                  <c:pt idx="14">
                    <c:v>0</c:v>
                  </c:pt>
                </c:numCache>
              </c:numRef>
            </c:minus>
          </c:errBars>
          <c:cat>
            <c:strRef>
              <c:f>Sheet4!$AC$38:$AC$52</c:f>
              <c:strCache>
                <c:ptCount val="15"/>
                <c:pt idx="0">
                  <c:v>control</c:v>
                </c:pt>
                <c:pt idx="1">
                  <c:v>IAA 2.85</c:v>
                </c:pt>
                <c:pt idx="2">
                  <c:v>IAA 5.71</c:v>
                </c:pt>
                <c:pt idx="3">
                  <c:v>IBA 4.92</c:v>
                </c:pt>
                <c:pt idx="4">
                  <c:v>IBA 9.84</c:v>
                </c:pt>
                <c:pt idx="5">
                  <c:v>NAA 2.69</c:v>
                </c:pt>
                <c:pt idx="6">
                  <c:v>NAA 5.37</c:v>
                </c:pt>
                <c:pt idx="7">
                  <c:v>NAA 5.37/ IAA 5.71</c:v>
                </c:pt>
                <c:pt idx="8">
                  <c:v>NAA 5.37/ IAA 11.42</c:v>
                </c:pt>
                <c:pt idx="9">
                  <c:v>NAA 10.74/ IAA 5.71</c:v>
                </c:pt>
                <c:pt idx="10">
                  <c:v>NAA 10.74/ IAA 11.42</c:v>
                </c:pt>
                <c:pt idx="11">
                  <c:v>NAA 5.37/ IBA 4.92</c:v>
                </c:pt>
                <c:pt idx="12">
                  <c:v>NAA 5.37/ IBA 9.84</c:v>
                </c:pt>
                <c:pt idx="13">
                  <c:v>NAA 10.74/ IBA 4.92</c:v>
                </c:pt>
                <c:pt idx="14">
                  <c:v>NAA 10.74/ IBA 9.84</c:v>
                </c:pt>
              </c:strCache>
            </c:strRef>
          </c:cat>
          <c:val>
            <c:numRef>
              <c:f>Sheet4!$AD$38:$AD$52</c:f>
              <c:numCache>
                <c:formatCode>General</c:formatCode>
                <c:ptCount val="15"/>
                <c:pt idx="0">
                  <c:v>0</c:v>
                </c:pt>
                <c:pt idx="1">
                  <c:v>0</c:v>
                </c:pt>
                <c:pt idx="2">
                  <c:v>0</c:v>
                </c:pt>
                <c:pt idx="3">
                  <c:v>0</c:v>
                </c:pt>
                <c:pt idx="4">
                  <c:v>0</c:v>
                </c:pt>
                <c:pt idx="5">
                  <c:v>0</c:v>
                </c:pt>
                <c:pt idx="6">
                  <c:v>0</c:v>
                </c:pt>
                <c:pt idx="7">
                  <c:v>62.5</c:v>
                </c:pt>
                <c:pt idx="8">
                  <c:v>31.25</c:v>
                </c:pt>
                <c:pt idx="9">
                  <c:v>75</c:v>
                </c:pt>
                <c:pt idx="10">
                  <c:v>93.75</c:v>
                </c:pt>
                <c:pt idx="11">
                  <c:v>0</c:v>
                </c:pt>
                <c:pt idx="12">
                  <c:v>0</c:v>
                </c:pt>
                <c:pt idx="13">
                  <c:v>0</c:v>
                </c:pt>
                <c:pt idx="14">
                  <c:v>0</c:v>
                </c:pt>
              </c:numCache>
            </c:numRef>
          </c:val>
          <c:extLst>
            <c:ext xmlns:c16="http://schemas.microsoft.com/office/drawing/2014/chart" uri="{C3380CC4-5D6E-409C-BE32-E72D297353CC}">
              <c16:uniqueId val="{00000000-931B-4DCF-9E49-FAF62C4222F0}"/>
            </c:ext>
          </c:extLst>
        </c:ser>
        <c:dLbls>
          <c:showLegendKey val="0"/>
          <c:showVal val="0"/>
          <c:showCatName val="0"/>
          <c:showSerName val="0"/>
          <c:showPercent val="0"/>
          <c:showBubbleSize val="0"/>
        </c:dLbls>
        <c:gapWidth val="150"/>
        <c:axId val="92553600"/>
        <c:axId val="92555136"/>
      </c:barChart>
      <c:catAx>
        <c:axId val="92553600"/>
        <c:scaling>
          <c:orientation val="minMax"/>
        </c:scaling>
        <c:delete val="0"/>
        <c:axPos val="b"/>
        <c:numFmt formatCode="General" sourceLinked="0"/>
        <c:majorTickMark val="out"/>
        <c:minorTickMark val="none"/>
        <c:tickLblPos val="nextTo"/>
        <c:txPr>
          <a:bodyPr/>
          <a:lstStyle/>
          <a:p>
            <a:pPr>
              <a:defRPr sz="800"/>
            </a:pPr>
            <a:endParaRPr lang="en-US"/>
          </a:p>
        </c:txPr>
        <c:crossAx val="92555136"/>
        <c:crosses val="autoZero"/>
        <c:auto val="1"/>
        <c:lblAlgn val="ctr"/>
        <c:lblOffset val="100"/>
        <c:noMultiLvlLbl val="0"/>
      </c:catAx>
      <c:valAx>
        <c:axId val="92555136"/>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92553600"/>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cust"/>
            <c:noEndCap val="0"/>
            <c:plus>
              <c:numRef>
                <c:f>Sheet5!$AD$66:$AD$80</c:f>
                <c:numCache>
                  <c:formatCode>General</c:formatCode>
                  <c:ptCount val="15"/>
                  <c:pt idx="0">
                    <c:v>0</c:v>
                  </c:pt>
                  <c:pt idx="1">
                    <c:v>0</c:v>
                  </c:pt>
                  <c:pt idx="2">
                    <c:v>0</c:v>
                  </c:pt>
                  <c:pt idx="3">
                    <c:v>0</c:v>
                  </c:pt>
                  <c:pt idx="4">
                    <c:v>3.6</c:v>
                  </c:pt>
                  <c:pt idx="5">
                    <c:v>5.0999999999999996</c:v>
                  </c:pt>
                  <c:pt idx="6">
                    <c:v>0</c:v>
                  </c:pt>
                  <c:pt idx="7">
                    <c:v>0</c:v>
                  </c:pt>
                  <c:pt idx="8">
                    <c:v>0</c:v>
                  </c:pt>
                  <c:pt idx="9">
                    <c:v>0</c:v>
                  </c:pt>
                  <c:pt idx="10">
                    <c:v>0</c:v>
                  </c:pt>
                  <c:pt idx="11">
                    <c:v>3.12</c:v>
                  </c:pt>
                  <c:pt idx="12">
                    <c:v>3.6</c:v>
                  </c:pt>
                  <c:pt idx="13">
                    <c:v>0</c:v>
                  </c:pt>
                  <c:pt idx="14">
                    <c:v>0</c:v>
                  </c:pt>
                </c:numCache>
              </c:numRef>
            </c:plus>
            <c:minus>
              <c:numRef>
                <c:f>Sheet5!$AD$66:$AD$80</c:f>
                <c:numCache>
                  <c:formatCode>General</c:formatCode>
                  <c:ptCount val="15"/>
                  <c:pt idx="0">
                    <c:v>0</c:v>
                  </c:pt>
                  <c:pt idx="1">
                    <c:v>0</c:v>
                  </c:pt>
                  <c:pt idx="2">
                    <c:v>0</c:v>
                  </c:pt>
                  <c:pt idx="3">
                    <c:v>0</c:v>
                  </c:pt>
                  <c:pt idx="4">
                    <c:v>3.6</c:v>
                  </c:pt>
                  <c:pt idx="5">
                    <c:v>5.0999999999999996</c:v>
                  </c:pt>
                  <c:pt idx="6">
                    <c:v>0</c:v>
                  </c:pt>
                  <c:pt idx="7">
                    <c:v>0</c:v>
                  </c:pt>
                  <c:pt idx="8">
                    <c:v>0</c:v>
                  </c:pt>
                  <c:pt idx="9">
                    <c:v>0</c:v>
                  </c:pt>
                  <c:pt idx="10">
                    <c:v>0</c:v>
                  </c:pt>
                  <c:pt idx="11">
                    <c:v>3.12</c:v>
                  </c:pt>
                  <c:pt idx="12">
                    <c:v>3.6</c:v>
                  </c:pt>
                  <c:pt idx="13">
                    <c:v>0</c:v>
                  </c:pt>
                  <c:pt idx="14">
                    <c:v>0</c:v>
                  </c:pt>
                </c:numCache>
              </c:numRef>
            </c:minus>
          </c:errBars>
          <c:cat>
            <c:strRef>
              <c:f>Sheet5!$AB$66:$AB$80</c:f>
              <c:strCache>
                <c:ptCount val="15"/>
                <c:pt idx="0">
                  <c:v>control</c:v>
                </c:pt>
                <c:pt idx="1">
                  <c:v>IAA 2.28</c:v>
                </c:pt>
                <c:pt idx="2">
                  <c:v>IAA 3.42</c:v>
                </c:pt>
                <c:pt idx="3">
                  <c:v>IBA 1.97</c:v>
                </c:pt>
                <c:pt idx="4">
                  <c:v>IBA 2.95</c:v>
                </c:pt>
                <c:pt idx="5">
                  <c:v>NAA 2.15</c:v>
                </c:pt>
                <c:pt idx="6">
                  <c:v>NAA 3.22</c:v>
                </c:pt>
                <c:pt idx="7">
                  <c:v>NAA 2.15/ IAA2.28</c:v>
                </c:pt>
                <c:pt idx="8">
                  <c:v>NAA 2.15/ IAA 3.42</c:v>
                </c:pt>
                <c:pt idx="9">
                  <c:v>NAA 3.22/ IAA 2.28</c:v>
                </c:pt>
                <c:pt idx="10">
                  <c:v>NAA 3.22/ IAA3.42</c:v>
                </c:pt>
                <c:pt idx="11">
                  <c:v>NAA 2.15/ IBA 1.97</c:v>
                </c:pt>
                <c:pt idx="12">
                  <c:v>NAA 2.15/ IBA 2.95</c:v>
                </c:pt>
                <c:pt idx="13">
                  <c:v>NAA 3.22/ IBA 1.97</c:v>
                </c:pt>
                <c:pt idx="14">
                  <c:v>NAA 3.22/ IBA 2.95</c:v>
                </c:pt>
              </c:strCache>
            </c:strRef>
          </c:cat>
          <c:val>
            <c:numRef>
              <c:f>Sheet5!$AC$66:$AC$80</c:f>
              <c:numCache>
                <c:formatCode>General</c:formatCode>
                <c:ptCount val="15"/>
                <c:pt idx="0">
                  <c:v>0</c:v>
                </c:pt>
                <c:pt idx="1">
                  <c:v>0</c:v>
                </c:pt>
                <c:pt idx="2">
                  <c:v>0</c:v>
                </c:pt>
                <c:pt idx="3">
                  <c:v>0</c:v>
                </c:pt>
                <c:pt idx="4">
                  <c:v>31.25</c:v>
                </c:pt>
                <c:pt idx="5">
                  <c:v>37.5</c:v>
                </c:pt>
                <c:pt idx="6">
                  <c:v>0</c:v>
                </c:pt>
                <c:pt idx="7">
                  <c:v>0</c:v>
                </c:pt>
                <c:pt idx="8">
                  <c:v>0</c:v>
                </c:pt>
                <c:pt idx="9">
                  <c:v>0</c:v>
                </c:pt>
                <c:pt idx="10">
                  <c:v>0</c:v>
                </c:pt>
                <c:pt idx="11">
                  <c:v>21.87</c:v>
                </c:pt>
                <c:pt idx="12">
                  <c:v>93.75</c:v>
                </c:pt>
                <c:pt idx="13">
                  <c:v>0</c:v>
                </c:pt>
                <c:pt idx="14">
                  <c:v>0</c:v>
                </c:pt>
              </c:numCache>
            </c:numRef>
          </c:val>
          <c:extLst>
            <c:ext xmlns:c16="http://schemas.microsoft.com/office/drawing/2014/chart" uri="{C3380CC4-5D6E-409C-BE32-E72D297353CC}">
              <c16:uniqueId val="{00000000-CEFA-428E-B3EA-88F98749523E}"/>
            </c:ext>
          </c:extLst>
        </c:ser>
        <c:dLbls>
          <c:showLegendKey val="0"/>
          <c:showVal val="0"/>
          <c:showCatName val="0"/>
          <c:showSerName val="0"/>
          <c:showPercent val="0"/>
          <c:showBubbleSize val="0"/>
        </c:dLbls>
        <c:gapWidth val="150"/>
        <c:axId val="102844288"/>
        <c:axId val="102895616"/>
      </c:barChart>
      <c:catAx>
        <c:axId val="102844288"/>
        <c:scaling>
          <c:orientation val="minMax"/>
        </c:scaling>
        <c:delete val="0"/>
        <c:axPos val="b"/>
        <c:numFmt formatCode="General" sourceLinked="0"/>
        <c:majorTickMark val="out"/>
        <c:minorTickMark val="none"/>
        <c:tickLblPos val="nextTo"/>
        <c:crossAx val="102895616"/>
        <c:crosses val="autoZero"/>
        <c:auto val="1"/>
        <c:lblAlgn val="ctr"/>
        <c:lblOffset val="100"/>
        <c:noMultiLvlLbl val="0"/>
      </c:catAx>
      <c:valAx>
        <c:axId val="102895616"/>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02844288"/>
        <c:crosses val="autoZero"/>
        <c:crossBetween val="between"/>
      </c:valAx>
    </c:plotArea>
    <c:plotVisOnly val="1"/>
    <c:dispBlanksAs val="gap"/>
    <c:showDLblsOverMax val="0"/>
  </c:chart>
  <c:spPr>
    <a:ln>
      <a:solidFill>
        <a:schemeClr val="bg1"/>
      </a:solid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AC3DF-61F9-4D6F-9133-42B8C4C6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14371</TotalTime>
  <Pages>25</Pages>
  <Words>6957</Words>
  <Characters>39660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58</cp:revision>
  <dcterms:created xsi:type="dcterms:W3CDTF">2025-05-31T05:39:00Z</dcterms:created>
  <dcterms:modified xsi:type="dcterms:W3CDTF">2025-09-02T13:56:00Z</dcterms:modified>
</cp:coreProperties>
</file>