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195C" w14:textId="77777777" w:rsidR="00754C9A" w:rsidRDefault="00754C9A" w:rsidP="00441B6F">
      <w:pPr>
        <w:pStyle w:val="Title"/>
        <w:spacing w:after="0"/>
        <w:jc w:val="both"/>
        <w:rPr>
          <w:rFonts w:ascii="Arial" w:hAnsi="Arial" w:cs="Arial"/>
        </w:rPr>
      </w:pPr>
      <w:bookmarkStart w:id="0" w:name="_GoBack"/>
      <w:bookmarkEnd w:id="0"/>
    </w:p>
    <w:p w14:paraId="04742A5E" w14:textId="77777777" w:rsidR="007135BC" w:rsidRDefault="007135BC" w:rsidP="00441B6F">
      <w:pPr>
        <w:pStyle w:val="Author"/>
        <w:spacing w:line="240" w:lineRule="auto"/>
        <w:rPr>
          <w:rFonts w:ascii="Arial" w:hAnsi="Arial" w:cs="Arial"/>
          <w:bCs/>
          <w:iCs/>
          <w:kern w:val="28"/>
          <w:sz w:val="36"/>
        </w:rPr>
      </w:pPr>
      <w:r w:rsidRPr="007135BC">
        <w:rPr>
          <w:rFonts w:ascii="Arial" w:hAnsi="Arial" w:cs="Arial"/>
          <w:bCs/>
          <w:iCs/>
          <w:kern w:val="28"/>
          <w:sz w:val="36"/>
        </w:rPr>
        <w:t xml:space="preserve">Original Research Article </w:t>
      </w:r>
    </w:p>
    <w:p w14:paraId="06559EF0" w14:textId="2EC2DBBA" w:rsidR="00163BC4" w:rsidRPr="00163BC4" w:rsidRDefault="00B63EDF" w:rsidP="00441B6F">
      <w:pPr>
        <w:pStyle w:val="Author"/>
        <w:spacing w:line="240" w:lineRule="auto"/>
        <w:rPr>
          <w:rFonts w:ascii="Arial" w:hAnsi="Arial" w:cs="Arial"/>
          <w:bCs/>
          <w:iCs/>
          <w:kern w:val="28"/>
          <w:sz w:val="36"/>
        </w:rPr>
      </w:pPr>
      <w:r w:rsidRPr="00B63EDF">
        <w:rPr>
          <w:rFonts w:ascii="Arial" w:hAnsi="Arial" w:cs="Arial"/>
          <w:bCs/>
          <w:iCs/>
          <w:kern w:val="28"/>
          <w:sz w:val="36"/>
        </w:rPr>
        <w:t xml:space="preserve">Diversity and conservation value of the woody flora of the </w:t>
      </w:r>
      <w:proofErr w:type="spellStart"/>
      <w:r w:rsidRPr="00B63EDF">
        <w:rPr>
          <w:rFonts w:ascii="Arial" w:hAnsi="Arial" w:cs="Arial"/>
          <w:bCs/>
          <w:iCs/>
          <w:kern w:val="28"/>
          <w:sz w:val="36"/>
        </w:rPr>
        <w:t>Peleforo</w:t>
      </w:r>
      <w:proofErr w:type="spellEnd"/>
      <w:r w:rsidRPr="00B63EDF">
        <w:rPr>
          <w:rFonts w:ascii="Arial" w:hAnsi="Arial" w:cs="Arial"/>
          <w:bCs/>
          <w:iCs/>
          <w:kern w:val="28"/>
          <w:sz w:val="36"/>
        </w:rPr>
        <w:t xml:space="preserve"> Gon Coulibaly University Campus (Côte d’Ivoire)</w:t>
      </w:r>
      <w:r w:rsidR="00401927">
        <w:rPr>
          <w:rFonts w:ascii="Arial" w:hAnsi="Arial" w:cs="Arial"/>
          <w:bCs/>
          <w:iCs/>
          <w:kern w:val="28"/>
          <w:sz w:val="36"/>
        </w:rPr>
        <w:t xml:space="preserve"> </w:t>
      </w:r>
    </w:p>
    <w:p w14:paraId="5EAFF33D" w14:textId="04332FB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1360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5A838AB" w14:textId="77777777" w:rsidTr="001E44FE">
        <w:tc>
          <w:tcPr>
            <w:tcW w:w="9576" w:type="dxa"/>
            <w:shd w:val="clear" w:color="auto" w:fill="F2F2F2"/>
          </w:tcPr>
          <w:p w14:paraId="1B11CC4C" w14:textId="77777777" w:rsidR="00E3114E" w:rsidRDefault="00E3114E" w:rsidP="00441B6F">
            <w:pPr>
              <w:pStyle w:val="Body"/>
              <w:spacing w:after="0"/>
              <w:rPr>
                <w:rFonts w:ascii="Arial" w:eastAsia="Calibri" w:hAnsi="Arial" w:cs="Arial"/>
                <w:b/>
                <w:szCs w:val="22"/>
              </w:rPr>
            </w:pPr>
          </w:p>
          <w:p w14:paraId="07D230D6" w14:textId="53688773" w:rsidR="00505F06" w:rsidRPr="00BA1B01" w:rsidRDefault="00DD0078" w:rsidP="00441B6F">
            <w:pPr>
              <w:pStyle w:val="Body"/>
              <w:spacing w:after="0"/>
              <w:rPr>
                <w:rFonts w:ascii="Arial" w:eastAsia="Calibri" w:hAnsi="Arial" w:cs="Arial"/>
                <w:szCs w:val="22"/>
              </w:rPr>
            </w:pPr>
            <w:r w:rsidRPr="00DD0078">
              <w:rPr>
                <w:rFonts w:ascii="Arial" w:eastAsia="Calibri" w:hAnsi="Arial" w:cs="Arial"/>
                <w:szCs w:val="22"/>
              </w:rPr>
              <w:t xml:space="preserve">Urban green spaces play a major role in the conservation of woody plant diversity. However, there is limited data on the woody floristic composition and the biodiversity conservation value of these areas in northern Côte d’Ivoire. This study aims to establish the woody species list and assess the biodiversity conservation value of the green space at the </w:t>
            </w:r>
            <w:proofErr w:type="spellStart"/>
            <w:r w:rsidRPr="00DD0078">
              <w:rPr>
                <w:rFonts w:ascii="Arial" w:eastAsia="Calibri" w:hAnsi="Arial" w:cs="Arial"/>
                <w:szCs w:val="22"/>
              </w:rPr>
              <w:t>Peleforo</w:t>
            </w:r>
            <w:proofErr w:type="spellEnd"/>
            <w:r w:rsidRPr="00DD0078">
              <w:rPr>
                <w:rFonts w:ascii="Arial" w:eastAsia="Calibri" w:hAnsi="Arial" w:cs="Arial"/>
                <w:szCs w:val="22"/>
              </w:rPr>
              <w:t xml:space="preserve"> Gon Coulibaly University campus in </w:t>
            </w:r>
            <w:proofErr w:type="spellStart"/>
            <w:r w:rsidRPr="00DD0078">
              <w:rPr>
                <w:rFonts w:ascii="Arial" w:eastAsia="Calibri" w:hAnsi="Arial" w:cs="Arial"/>
                <w:szCs w:val="22"/>
              </w:rPr>
              <w:t>Korhogo</w:t>
            </w:r>
            <w:proofErr w:type="spellEnd"/>
            <w:r w:rsidRPr="00DD0078">
              <w:rPr>
                <w:rFonts w:ascii="Arial" w:eastAsia="Calibri" w:hAnsi="Arial" w:cs="Arial"/>
                <w:szCs w:val="22"/>
              </w:rPr>
              <w:t>.</w:t>
            </w:r>
            <w:r w:rsidR="00206AD8">
              <w:rPr>
                <w:rFonts w:ascii="Arial" w:eastAsia="Calibri" w:hAnsi="Arial" w:cs="Arial"/>
                <w:szCs w:val="22"/>
              </w:rPr>
              <w:t xml:space="preserve"> </w:t>
            </w:r>
            <w:r w:rsidRPr="00DD0078">
              <w:rPr>
                <w:rFonts w:ascii="Arial" w:eastAsia="Calibri" w:hAnsi="Arial" w:cs="Arial"/>
                <w:szCs w:val="22"/>
              </w:rPr>
              <w:t xml:space="preserve">Surface surveys were carried out on the campus site. Species richness, floristic composition, and </w:t>
            </w:r>
            <w:proofErr w:type="spellStart"/>
            <w:r w:rsidRPr="00DD0078">
              <w:rPr>
                <w:rFonts w:ascii="Arial" w:eastAsia="Calibri" w:hAnsi="Arial" w:cs="Arial"/>
                <w:szCs w:val="22"/>
              </w:rPr>
              <w:t>biocenotic</w:t>
            </w:r>
            <w:proofErr w:type="spellEnd"/>
            <w:r w:rsidRPr="00DD0078">
              <w:rPr>
                <w:rFonts w:ascii="Arial" w:eastAsia="Calibri" w:hAnsi="Arial" w:cs="Arial"/>
                <w:szCs w:val="22"/>
              </w:rPr>
              <w:t xml:space="preserve"> diversity indices were used for the floristic analysis. The conservation value of the site’s </w:t>
            </w:r>
            <w:proofErr w:type="spellStart"/>
            <w:r w:rsidRPr="00DD0078">
              <w:rPr>
                <w:rFonts w:ascii="Arial" w:eastAsia="Calibri" w:hAnsi="Arial" w:cs="Arial"/>
                <w:szCs w:val="22"/>
              </w:rPr>
              <w:t>phytodiversity</w:t>
            </w:r>
            <w:proofErr w:type="spellEnd"/>
            <w:r w:rsidRPr="00DD0078">
              <w:rPr>
                <w:rFonts w:ascii="Arial" w:eastAsia="Calibri" w:hAnsi="Arial" w:cs="Arial"/>
                <w:szCs w:val="22"/>
              </w:rPr>
              <w:t xml:space="preserve"> was assessed through the presence of species with status.</w:t>
            </w:r>
            <w:r w:rsidR="00206AD8">
              <w:rPr>
                <w:rFonts w:ascii="Arial" w:eastAsia="Calibri" w:hAnsi="Arial" w:cs="Arial"/>
                <w:szCs w:val="22"/>
              </w:rPr>
              <w:t xml:space="preserve"> </w:t>
            </w:r>
            <w:r w:rsidRPr="00DD0078">
              <w:rPr>
                <w:rFonts w:ascii="Arial" w:eastAsia="Calibri" w:hAnsi="Arial" w:cs="Arial"/>
                <w:szCs w:val="22"/>
              </w:rPr>
              <w:t>The</w:t>
            </w:r>
            <w:r w:rsidR="00840AD4">
              <w:rPr>
                <w:rFonts w:ascii="Arial" w:eastAsia="Calibri" w:hAnsi="Arial" w:cs="Arial"/>
                <w:szCs w:val="22"/>
              </w:rPr>
              <w:t xml:space="preserve"> </w:t>
            </w:r>
            <w:r w:rsidR="00840AD4" w:rsidRPr="00840AD4">
              <w:rPr>
                <w:rFonts w:ascii="Arial" w:eastAsia="Calibri" w:hAnsi="Arial" w:cs="Arial"/>
                <w:szCs w:val="22"/>
              </w:rPr>
              <w:t>study</w:t>
            </w:r>
            <w:r w:rsidRPr="00DD0078">
              <w:rPr>
                <w:rFonts w:ascii="Arial" w:eastAsia="Calibri" w:hAnsi="Arial" w:cs="Arial"/>
                <w:szCs w:val="22"/>
              </w:rPr>
              <w:t xml:space="preserve"> identified 57 woody species belonging to 44 genera and 19 families. Fabaceae and </w:t>
            </w:r>
            <w:proofErr w:type="spellStart"/>
            <w:r w:rsidRPr="00DD0078">
              <w:rPr>
                <w:rFonts w:ascii="Arial" w:eastAsia="Calibri" w:hAnsi="Arial" w:cs="Arial"/>
                <w:szCs w:val="22"/>
              </w:rPr>
              <w:t>Moraceae</w:t>
            </w:r>
            <w:proofErr w:type="spellEnd"/>
            <w:r w:rsidRPr="00DD0078">
              <w:rPr>
                <w:rFonts w:ascii="Arial" w:eastAsia="Calibri" w:hAnsi="Arial" w:cs="Arial"/>
                <w:szCs w:val="22"/>
              </w:rPr>
              <w:t xml:space="preserve"> are the most represented families in terms of species number. The </w:t>
            </w:r>
            <w:proofErr w:type="spellStart"/>
            <w:r w:rsidRPr="00DD0078">
              <w:rPr>
                <w:rFonts w:ascii="Arial" w:eastAsia="Calibri" w:hAnsi="Arial" w:cs="Arial"/>
                <w:szCs w:val="22"/>
              </w:rPr>
              <w:t>biocenotic</w:t>
            </w:r>
            <w:proofErr w:type="spellEnd"/>
            <w:r w:rsidRPr="00DD0078">
              <w:rPr>
                <w:rFonts w:ascii="Arial" w:eastAsia="Calibri" w:hAnsi="Arial" w:cs="Arial"/>
                <w:szCs w:val="22"/>
              </w:rPr>
              <w:t xml:space="preserve"> index values highlight the contribution of native species to the aesthetic of the campus green space. Seven families and ten species are found to have significant ecological importance. The most important species are predominantly native (e.g., </w:t>
            </w:r>
            <w:proofErr w:type="spellStart"/>
            <w:r w:rsidRPr="00840AD4">
              <w:rPr>
                <w:rFonts w:ascii="Arial" w:eastAsia="Calibri" w:hAnsi="Arial" w:cs="Arial"/>
                <w:i/>
                <w:iCs/>
                <w:szCs w:val="22"/>
              </w:rPr>
              <w:t>Isoberlinia</w:t>
            </w:r>
            <w:proofErr w:type="spellEnd"/>
            <w:r w:rsidRPr="00840AD4">
              <w:rPr>
                <w:rFonts w:ascii="Arial" w:eastAsia="Calibri" w:hAnsi="Arial" w:cs="Arial"/>
                <w:i/>
                <w:iCs/>
                <w:szCs w:val="22"/>
              </w:rPr>
              <w:t xml:space="preserve"> </w:t>
            </w:r>
            <w:proofErr w:type="spellStart"/>
            <w:r w:rsidRPr="00840AD4">
              <w:rPr>
                <w:rFonts w:ascii="Arial" w:eastAsia="Calibri" w:hAnsi="Arial" w:cs="Arial"/>
                <w:i/>
                <w:iCs/>
                <w:szCs w:val="22"/>
              </w:rPr>
              <w:t>doka</w:t>
            </w:r>
            <w:proofErr w:type="spellEnd"/>
            <w:r w:rsidRPr="00840AD4">
              <w:rPr>
                <w:rFonts w:ascii="Arial" w:eastAsia="Calibri" w:hAnsi="Arial" w:cs="Arial"/>
                <w:i/>
                <w:iCs/>
                <w:szCs w:val="22"/>
              </w:rPr>
              <w:t xml:space="preserve">, </w:t>
            </w:r>
            <w:proofErr w:type="spellStart"/>
            <w:r w:rsidRPr="00840AD4">
              <w:rPr>
                <w:rFonts w:ascii="Arial" w:eastAsia="Calibri" w:hAnsi="Arial" w:cs="Arial"/>
                <w:i/>
                <w:iCs/>
                <w:szCs w:val="22"/>
              </w:rPr>
              <w:t>Daniellia</w:t>
            </w:r>
            <w:proofErr w:type="spellEnd"/>
            <w:r w:rsidRPr="00840AD4">
              <w:rPr>
                <w:rFonts w:ascii="Arial" w:eastAsia="Calibri" w:hAnsi="Arial" w:cs="Arial"/>
                <w:i/>
                <w:iCs/>
                <w:szCs w:val="22"/>
              </w:rPr>
              <w:t xml:space="preserve"> </w:t>
            </w:r>
            <w:proofErr w:type="spellStart"/>
            <w:r w:rsidRPr="00840AD4">
              <w:rPr>
                <w:rFonts w:ascii="Arial" w:eastAsia="Calibri" w:hAnsi="Arial" w:cs="Arial"/>
                <w:i/>
                <w:iCs/>
                <w:szCs w:val="22"/>
              </w:rPr>
              <w:t>oliveri</w:t>
            </w:r>
            <w:proofErr w:type="spellEnd"/>
            <w:r w:rsidRPr="00840AD4">
              <w:rPr>
                <w:rFonts w:ascii="Arial" w:eastAsia="Calibri" w:hAnsi="Arial" w:cs="Arial"/>
                <w:i/>
                <w:iCs/>
                <w:szCs w:val="22"/>
              </w:rPr>
              <w:t>, Khaya senegalensis</w:t>
            </w:r>
            <w:r w:rsidRPr="00DD0078">
              <w:rPr>
                <w:rFonts w:ascii="Arial" w:eastAsia="Calibri" w:hAnsi="Arial" w:cs="Arial"/>
                <w:szCs w:val="22"/>
              </w:rPr>
              <w:t xml:space="preserve">). Among the recorded species, 44 are listed as threatened by the </w:t>
            </w:r>
            <w:proofErr w:type="spellStart"/>
            <w:r w:rsidRPr="00DD0078">
              <w:rPr>
                <w:rFonts w:ascii="Arial" w:eastAsia="Calibri" w:hAnsi="Arial" w:cs="Arial"/>
                <w:szCs w:val="22"/>
              </w:rPr>
              <w:t>IUCN.</w:t>
            </w:r>
            <w:r w:rsidR="00B4506B" w:rsidRPr="00B4506B">
              <w:rPr>
                <w:rFonts w:ascii="Arial" w:eastAsia="Calibri" w:hAnsi="Arial" w:cs="Arial"/>
                <w:szCs w:val="22"/>
              </w:rPr>
              <w:t>The</w:t>
            </w:r>
            <w:proofErr w:type="spellEnd"/>
            <w:r w:rsidR="00B4506B" w:rsidRPr="00B4506B">
              <w:rPr>
                <w:rFonts w:ascii="Arial" w:eastAsia="Calibri" w:hAnsi="Arial" w:cs="Arial"/>
                <w:szCs w:val="22"/>
              </w:rPr>
              <w:t xml:space="preserve"> green space of the </w:t>
            </w:r>
            <w:proofErr w:type="spellStart"/>
            <w:r w:rsidR="00B4506B" w:rsidRPr="00B4506B">
              <w:rPr>
                <w:rFonts w:ascii="Arial" w:eastAsia="Calibri" w:hAnsi="Arial" w:cs="Arial"/>
                <w:szCs w:val="22"/>
              </w:rPr>
              <w:t>Peleforo</w:t>
            </w:r>
            <w:proofErr w:type="spellEnd"/>
            <w:r w:rsidR="00B4506B" w:rsidRPr="00B4506B">
              <w:rPr>
                <w:rFonts w:ascii="Arial" w:eastAsia="Calibri" w:hAnsi="Arial" w:cs="Arial"/>
                <w:szCs w:val="22"/>
              </w:rPr>
              <w:t xml:space="preserve"> Gon Coulibaly University campus thus represents a significant site for </w:t>
            </w:r>
            <w:proofErr w:type="spellStart"/>
            <w:r w:rsidR="00B4506B" w:rsidRPr="00B4506B">
              <w:rPr>
                <w:rFonts w:ascii="Arial" w:eastAsia="Calibri" w:hAnsi="Arial" w:cs="Arial"/>
                <w:szCs w:val="22"/>
              </w:rPr>
              <w:t>phytodiversity</w:t>
            </w:r>
            <w:proofErr w:type="spellEnd"/>
            <w:r w:rsidR="00B4506B" w:rsidRPr="00B4506B">
              <w:rPr>
                <w:rFonts w:ascii="Arial" w:eastAsia="Calibri" w:hAnsi="Arial" w:cs="Arial"/>
                <w:szCs w:val="22"/>
              </w:rPr>
              <w:t xml:space="preserve"> conservation, underlining the importance of preserving and enhancing the density and diversity of its threatened species to promote a more sustainable urban ecological balance.</w:t>
            </w:r>
          </w:p>
        </w:tc>
      </w:tr>
    </w:tbl>
    <w:p w14:paraId="4192B111" w14:textId="77777777" w:rsidR="00636EB2" w:rsidRDefault="00636EB2" w:rsidP="00441B6F">
      <w:pPr>
        <w:pStyle w:val="Body"/>
        <w:spacing w:after="0"/>
        <w:rPr>
          <w:rFonts w:ascii="Arial" w:hAnsi="Arial" w:cs="Arial"/>
          <w:i/>
        </w:rPr>
      </w:pPr>
    </w:p>
    <w:p w14:paraId="339FB4D0" w14:textId="28EDA88B" w:rsidR="00A24E7E" w:rsidRDefault="00A24E7E" w:rsidP="00441B6F">
      <w:pPr>
        <w:pStyle w:val="Body"/>
        <w:spacing w:after="0"/>
        <w:rPr>
          <w:rFonts w:ascii="Arial" w:hAnsi="Arial" w:cs="Arial"/>
          <w:i/>
        </w:rPr>
      </w:pPr>
      <w:r>
        <w:rPr>
          <w:rFonts w:ascii="Arial" w:hAnsi="Arial" w:cs="Arial"/>
          <w:i/>
        </w:rPr>
        <w:t xml:space="preserve">Keywords: </w:t>
      </w:r>
      <w:r w:rsidR="00B4506B" w:rsidRPr="00B4506B">
        <w:rPr>
          <w:rFonts w:ascii="Arial" w:hAnsi="Arial" w:cs="Arial"/>
          <w:i/>
        </w:rPr>
        <w:t xml:space="preserve">Floristic diversity, shade trees, green space, </w:t>
      </w:r>
      <w:proofErr w:type="spellStart"/>
      <w:r w:rsidR="00B4506B" w:rsidRPr="00B4506B">
        <w:rPr>
          <w:rFonts w:ascii="Arial" w:hAnsi="Arial" w:cs="Arial"/>
          <w:i/>
        </w:rPr>
        <w:t>Korhogo</w:t>
      </w:r>
      <w:proofErr w:type="spellEnd"/>
      <w:r w:rsidR="00B4506B" w:rsidRPr="00B4506B">
        <w:rPr>
          <w:rFonts w:ascii="Arial" w:hAnsi="Arial" w:cs="Arial"/>
          <w:i/>
        </w:rPr>
        <w:t>, Côte d’Ivoire.</w:t>
      </w:r>
    </w:p>
    <w:p w14:paraId="10E86F06" w14:textId="77777777" w:rsidR="00790ADA" w:rsidRDefault="00790ADA" w:rsidP="00441B6F">
      <w:pPr>
        <w:pStyle w:val="Body"/>
        <w:spacing w:after="0"/>
        <w:rPr>
          <w:rFonts w:ascii="Arial" w:hAnsi="Arial" w:cs="Arial"/>
          <w:i/>
        </w:rPr>
      </w:pPr>
    </w:p>
    <w:p w14:paraId="69F9E576" w14:textId="77777777" w:rsidR="0024282C" w:rsidRDefault="0024282C" w:rsidP="00441B6F">
      <w:pPr>
        <w:pStyle w:val="Body"/>
        <w:spacing w:after="0"/>
        <w:rPr>
          <w:rFonts w:ascii="Arial" w:hAnsi="Arial" w:cs="Arial"/>
          <w:i/>
          <w:sz w:val="18"/>
        </w:rPr>
      </w:pPr>
    </w:p>
    <w:p w14:paraId="32E4C758" w14:textId="77777777" w:rsidR="00505F06" w:rsidRPr="00A24E7E" w:rsidRDefault="00505F06" w:rsidP="00441B6F">
      <w:pPr>
        <w:pStyle w:val="Body"/>
        <w:spacing w:after="0"/>
        <w:rPr>
          <w:rFonts w:ascii="Arial" w:hAnsi="Arial" w:cs="Arial"/>
          <w:i/>
        </w:rPr>
      </w:pPr>
    </w:p>
    <w:p w14:paraId="0DC04EE4" w14:textId="23B4BF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9F4517" w14:textId="77777777" w:rsidR="00790ADA" w:rsidRPr="00FB3A86" w:rsidRDefault="00790ADA" w:rsidP="00441B6F">
      <w:pPr>
        <w:pStyle w:val="AbstHead"/>
        <w:spacing w:after="0"/>
        <w:jc w:val="both"/>
        <w:rPr>
          <w:rFonts w:ascii="Arial" w:hAnsi="Arial" w:cs="Arial"/>
        </w:rPr>
      </w:pPr>
    </w:p>
    <w:p w14:paraId="1A483C4D" w14:textId="67C25ABB" w:rsidR="001033AB" w:rsidRDefault="00B4506B" w:rsidP="001033AB">
      <w:pPr>
        <w:pStyle w:val="Body"/>
        <w:spacing w:after="0"/>
        <w:rPr>
          <w:rFonts w:ascii="Arial" w:hAnsi="Arial" w:cs="Arial"/>
        </w:rPr>
      </w:pPr>
      <w:r w:rsidRPr="00B4506B">
        <w:rPr>
          <w:rFonts w:ascii="Arial" w:hAnsi="Arial" w:cs="Arial"/>
        </w:rPr>
        <w:t>In the urban environment, trees are important factor in maintaining diversity and constitute green spaces that enhance the quality of life and the attractiveness of cities (</w:t>
      </w:r>
      <w:proofErr w:type="spellStart"/>
      <w:r w:rsidRPr="00B4506B">
        <w:rPr>
          <w:rFonts w:ascii="Arial" w:hAnsi="Arial" w:cs="Arial"/>
        </w:rPr>
        <w:t>Clergeau</w:t>
      </w:r>
      <w:proofErr w:type="spellEnd"/>
      <w:r w:rsidRPr="00B4506B">
        <w:rPr>
          <w:rFonts w:ascii="Arial" w:hAnsi="Arial" w:cs="Arial"/>
        </w:rPr>
        <w:t xml:space="preserve">, 1996; </w:t>
      </w:r>
      <w:proofErr w:type="spellStart"/>
      <w:r w:rsidRPr="00B4506B">
        <w:rPr>
          <w:rFonts w:ascii="Arial" w:hAnsi="Arial" w:cs="Arial"/>
        </w:rPr>
        <w:t>Laïlle</w:t>
      </w:r>
      <w:proofErr w:type="spellEnd"/>
      <w:r w:rsidRPr="00B4506B">
        <w:rPr>
          <w:rFonts w:ascii="Arial" w:hAnsi="Arial" w:cs="Arial"/>
        </w:rPr>
        <w:t xml:space="preserve"> et al., 2013). These green spaces, which range from isolated plants to much larger formations, include parks, public and private gardens, roadside and shade trees, fallows, etc. (Mehdi et al., 2012). They help to reduce the effects of suffocating tropical heat, improve microclimate, provide protection against wind, noise, and dust, and serve as spaces for relaxation, leisure, recreation, and ornamentation, all essential to human life (</w:t>
      </w:r>
      <w:proofErr w:type="spellStart"/>
      <w:r w:rsidRPr="00B4506B">
        <w:rPr>
          <w:rFonts w:ascii="Arial" w:hAnsi="Arial" w:cs="Arial"/>
        </w:rPr>
        <w:t>N’Zala</w:t>
      </w:r>
      <w:proofErr w:type="spellEnd"/>
      <w:r w:rsidRPr="00B4506B">
        <w:rPr>
          <w:rFonts w:ascii="Arial" w:hAnsi="Arial" w:cs="Arial"/>
        </w:rPr>
        <w:t xml:space="preserve"> &amp;</w:t>
      </w:r>
      <w:r>
        <w:rPr>
          <w:rFonts w:ascii="Arial" w:hAnsi="Arial" w:cs="Arial"/>
        </w:rPr>
        <w:t xml:space="preserve"> </w:t>
      </w:r>
      <w:proofErr w:type="spellStart"/>
      <w:r w:rsidRPr="00B4506B">
        <w:rPr>
          <w:rFonts w:ascii="Arial" w:hAnsi="Arial" w:cs="Arial"/>
        </w:rPr>
        <w:t>Miankodila</w:t>
      </w:r>
      <w:proofErr w:type="spellEnd"/>
      <w:r w:rsidRPr="00B4506B">
        <w:rPr>
          <w:rFonts w:ascii="Arial" w:hAnsi="Arial" w:cs="Arial"/>
        </w:rPr>
        <w:t>, 2002).</w:t>
      </w:r>
    </w:p>
    <w:p w14:paraId="63958405" w14:textId="4AD1D5BA" w:rsidR="001033AB" w:rsidRDefault="001033AB" w:rsidP="001033AB">
      <w:pPr>
        <w:pStyle w:val="Body"/>
        <w:spacing w:after="0"/>
        <w:rPr>
          <w:rFonts w:ascii="Arial" w:hAnsi="Arial" w:cs="Arial"/>
        </w:rPr>
      </w:pPr>
      <w:r w:rsidRPr="001033AB">
        <w:rPr>
          <w:rFonts w:ascii="Arial" w:hAnsi="Arial" w:cs="Arial"/>
        </w:rPr>
        <w:t>In Africa, the incorporation of trees into urban areas has been part of colonial policies that promoted social, economic, and spatial separation from local populations (</w:t>
      </w:r>
      <w:proofErr w:type="spellStart"/>
      <w:r w:rsidRPr="001033AB">
        <w:rPr>
          <w:rFonts w:ascii="Arial" w:hAnsi="Arial" w:cs="Arial"/>
        </w:rPr>
        <w:t>Samsahatou</w:t>
      </w:r>
      <w:proofErr w:type="spellEnd"/>
      <w:r w:rsidRPr="001033AB">
        <w:rPr>
          <w:rFonts w:ascii="Arial" w:hAnsi="Arial" w:cs="Arial"/>
        </w:rPr>
        <w:t xml:space="preserve"> et al., 2020). Since then, many countries have implemented greening policies to better cope with heatwaves. This vegetation </w:t>
      </w:r>
      <w:r w:rsidR="009D71EA" w:rsidRPr="001033AB">
        <w:rPr>
          <w:rFonts w:ascii="Arial" w:hAnsi="Arial" w:cs="Arial"/>
        </w:rPr>
        <w:t>has materialized</w:t>
      </w:r>
      <w:r w:rsidRPr="001033AB">
        <w:rPr>
          <w:rFonts w:ascii="Arial" w:hAnsi="Arial" w:cs="Arial"/>
        </w:rPr>
        <w:t xml:space="preserve"> by species that have regenerated naturally and have been able to grow freely. On the other hand, in many cases, other species are planted.</w:t>
      </w:r>
      <w:r>
        <w:rPr>
          <w:rFonts w:ascii="Arial" w:hAnsi="Arial" w:cs="Arial"/>
        </w:rPr>
        <w:t xml:space="preserve"> </w:t>
      </w:r>
      <w:r w:rsidRPr="001033AB">
        <w:rPr>
          <w:rFonts w:ascii="Arial" w:hAnsi="Arial" w:cs="Arial"/>
        </w:rPr>
        <w:t>They can be found along streets, in the courtyards of houses, in frontages, on woodland, etc., forming a kind of urban forest (</w:t>
      </w:r>
      <w:proofErr w:type="spellStart"/>
      <w:r w:rsidRPr="001033AB">
        <w:rPr>
          <w:rFonts w:ascii="Arial" w:hAnsi="Arial" w:cs="Arial"/>
        </w:rPr>
        <w:t>Samsahatou</w:t>
      </w:r>
      <w:proofErr w:type="spellEnd"/>
      <w:r w:rsidRPr="001033AB">
        <w:rPr>
          <w:rFonts w:ascii="Arial" w:hAnsi="Arial" w:cs="Arial"/>
        </w:rPr>
        <w:t xml:space="preserve"> et al., 2020).</w:t>
      </w:r>
    </w:p>
    <w:p w14:paraId="00D3E630" w14:textId="1777A22E" w:rsidR="001033AB" w:rsidRDefault="001033AB" w:rsidP="001033AB">
      <w:pPr>
        <w:pStyle w:val="Body"/>
        <w:rPr>
          <w:rFonts w:ascii="Arial" w:hAnsi="Arial" w:cs="Arial"/>
        </w:rPr>
      </w:pPr>
      <w:r w:rsidRPr="001033AB">
        <w:rPr>
          <w:rFonts w:ascii="Arial" w:hAnsi="Arial" w:cs="Arial"/>
        </w:rPr>
        <w:lastRenderedPageBreak/>
        <w:t>Unfortunately, green spaces in general, and street trees in particular, are under intense anthropogenic pressure. These trees are very often eliminated as soon as their presence is a nuisance, without even considering their ecological role for humans (</w:t>
      </w:r>
      <w:proofErr w:type="spellStart"/>
      <w:r w:rsidRPr="001033AB">
        <w:rPr>
          <w:rFonts w:ascii="Arial" w:hAnsi="Arial" w:cs="Arial"/>
        </w:rPr>
        <w:t>Kouadio</w:t>
      </w:r>
      <w:proofErr w:type="spellEnd"/>
      <w:r w:rsidRPr="001033AB">
        <w:rPr>
          <w:rFonts w:ascii="Arial" w:hAnsi="Arial" w:cs="Arial"/>
        </w:rPr>
        <w:t xml:space="preserve"> et al., 2016). In such a context, the question arises regarding the long-term sustainability of street and shade trees in urban areas. To support the case for preserving street trees and other types of green spaces, studies have been carried out in major cities, including Porto-Novo (</w:t>
      </w:r>
      <w:proofErr w:type="spellStart"/>
      <w:r w:rsidRPr="001033AB">
        <w:rPr>
          <w:rFonts w:ascii="Arial" w:hAnsi="Arial" w:cs="Arial"/>
        </w:rPr>
        <w:t>Osseni</w:t>
      </w:r>
      <w:proofErr w:type="spellEnd"/>
      <w:r w:rsidRPr="001033AB">
        <w:rPr>
          <w:rFonts w:ascii="Arial" w:hAnsi="Arial" w:cs="Arial"/>
        </w:rPr>
        <w:t xml:space="preserve"> et al., 2014), Marrakech (El </w:t>
      </w:r>
      <w:proofErr w:type="spellStart"/>
      <w:r w:rsidRPr="001033AB">
        <w:rPr>
          <w:rFonts w:ascii="Arial" w:hAnsi="Arial" w:cs="Arial"/>
        </w:rPr>
        <w:t>Faiz</w:t>
      </w:r>
      <w:proofErr w:type="spellEnd"/>
      <w:r w:rsidRPr="001033AB">
        <w:rPr>
          <w:rFonts w:ascii="Arial" w:hAnsi="Arial" w:cs="Arial"/>
        </w:rPr>
        <w:t xml:space="preserve"> et al., 2016), Grand </w:t>
      </w:r>
      <w:proofErr w:type="spellStart"/>
      <w:r w:rsidRPr="001033AB">
        <w:rPr>
          <w:rFonts w:ascii="Arial" w:hAnsi="Arial" w:cs="Arial"/>
        </w:rPr>
        <w:t>Nokoué</w:t>
      </w:r>
      <w:proofErr w:type="spellEnd"/>
      <w:r w:rsidRPr="001033AB">
        <w:rPr>
          <w:rFonts w:ascii="Arial" w:hAnsi="Arial" w:cs="Arial"/>
        </w:rPr>
        <w:t xml:space="preserve"> (</w:t>
      </w:r>
      <w:proofErr w:type="spellStart"/>
      <w:r w:rsidRPr="001033AB">
        <w:rPr>
          <w:rFonts w:ascii="Arial" w:hAnsi="Arial" w:cs="Arial"/>
        </w:rPr>
        <w:t>Amontcha</w:t>
      </w:r>
      <w:proofErr w:type="spellEnd"/>
      <w:r w:rsidRPr="001033AB">
        <w:rPr>
          <w:rFonts w:ascii="Arial" w:hAnsi="Arial" w:cs="Arial"/>
        </w:rPr>
        <w:t xml:space="preserve"> et al., 2017), </w:t>
      </w:r>
      <w:proofErr w:type="spellStart"/>
      <w:r w:rsidRPr="001033AB">
        <w:rPr>
          <w:rFonts w:ascii="Arial" w:hAnsi="Arial" w:cs="Arial"/>
        </w:rPr>
        <w:t>Ziguinchor</w:t>
      </w:r>
      <w:proofErr w:type="spellEnd"/>
      <w:r w:rsidRPr="001033AB">
        <w:rPr>
          <w:rFonts w:ascii="Arial" w:hAnsi="Arial" w:cs="Arial"/>
        </w:rPr>
        <w:t xml:space="preserve"> (</w:t>
      </w:r>
      <w:proofErr w:type="spellStart"/>
      <w:r w:rsidRPr="001033AB">
        <w:rPr>
          <w:rFonts w:ascii="Arial" w:hAnsi="Arial" w:cs="Arial"/>
        </w:rPr>
        <w:t>Charahabil</w:t>
      </w:r>
      <w:proofErr w:type="spellEnd"/>
      <w:r w:rsidRPr="001033AB">
        <w:rPr>
          <w:rFonts w:ascii="Arial" w:hAnsi="Arial" w:cs="Arial"/>
        </w:rPr>
        <w:t xml:space="preserve"> et al., 2018), and Bobo-</w:t>
      </w:r>
      <w:proofErr w:type="spellStart"/>
      <w:r w:rsidRPr="001033AB">
        <w:rPr>
          <w:rFonts w:ascii="Arial" w:hAnsi="Arial" w:cs="Arial"/>
        </w:rPr>
        <w:t>Dioulasso</w:t>
      </w:r>
      <w:proofErr w:type="spellEnd"/>
      <w:r w:rsidRPr="001033AB">
        <w:rPr>
          <w:rFonts w:ascii="Arial" w:hAnsi="Arial" w:cs="Arial"/>
        </w:rPr>
        <w:t xml:space="preserve"> (</w:t>
      </w:r>
      <w:proofErr w:type="spellStart"/>
      <w:r w:rsidRPr="001033AB">
        <w:rPr>
          <w:rFonts w:ascii="Arial" w:hAnsi="Arial" w:cs="Arial"/>
        </w:rPr>
        <w:t>Gomgnimbou</w:t>
      </w:r>
      <w:proofErr w:type="spellEnd"/>
      <w:r w:rsidRPr="001033AB">
        <w:rPr>
          <w:rFonts w:ascii="Arial" w:hAnsi="Arial" w:cs="Arial"/>
        </w:rPr>
        <w:t xml:space="preserve"> et al., 2019). These studies have shown that urban areas still support considerable vegetation, which can help mitigate the impacts of climate change.</w:t>
      </w:r>
    </w:p>
    <w:p w14:paraId="32D5D709" w14:textId="47533684" w:rsidR="00790ADA" w:rsidRPr="00FB3A86" w:rsidRDefault="001033AB" w:rsidP="001033AB">
      <w:pPr>
        <w:pStyle w:val="Body"/>
        <w:rPr>
          <w:rFonts w:ascii="Arial" w:hAnsi="Arial" w:cs="Arial"/>
        </w:rPr>
      </w:pPr>
      <w:r w:rsidRPr="001033AB">
        <w:rPr>
          <w:rFonts w:ascii="Arial" w:hAnsi="Arial" w:cs="Arial"/>
        </w:rPr>
        <w:t>In Côte d'Ivoire, most of studies on vegetation in urban areas have been carried out in cities located below the eighth parallel, particularly in the district of Abidjan in the communes of Plateau (</w:t>
      </w:r>
      <w:proofErr w:type="spellStart"/>
      <w:r w:rsidRPr="001033AB">
        <w:rPr>
          <w:rFonts w:ascii="Arial" w:hAnsi="Arial" w:cs="Arial"/>
        </w:rPr>
        <w:t>Vroh</w:t>
      </w:r>
      <w:proofErr w:type="spellEnd"/>
      <w:r w:rsidRPr="001033AB">
        <w:rPr>
          <w:rFonts w:ascii="Arial" w:hAnsi="Arial" w:cs="Arial"/>
        </w:rPr>
        <w:t xml:space="preserve"> et al., 2014 ; </w:t>
      </w:r>
      <w:proofErr w:type="spellStart"/>
      <w:r w:rsidRPr="001033AB">
        <w:rPr>
          <w:rFonts w:ascii="Arial" w:hAnsi="Arial" w:cs="Arial"/>
        </w:rPr>
        <w:t>Kouadio</w:t>
      </w:r>
      <w:proofErr w:type="spellEnd"/>
      <w:r w:rsidRPr="001033AB">
        <w:rPr>
          <w:rFonts w:ascii="Arial" w:hAnsi="Arial" w:cs="Arial"/>
        </w:rPr>
        <w:t xml:space="preserve"> et al., 2016) and </w:t>
      </w:r>
      <w:proofErr w:type="spellStart"/>
      <w:r w:rsidRPr="001033AB">
        <w:rPr>
          <w:rFonts w:ascii="Arial" w:hAnsi="Arial" w:cs="Arial"/>
        </w:rPr>
        <w:t>Bingerville</w:t>
      </w:r>
      <w:proofErr w:type="spellEnd"/>
      <w:r w:rsidRPr="001033AB">
        <w:rPr>
          <w:rFonts w:ascii="Arial" w:hAnsi="Arial" w:cs="Arial"/>
        </w:rPr>
        <w:t xml:space="preserve"> (</w:t>
      </w:r>
      <w:proofErr w:type="spellStart"/>
      <w:r w:rsidRPr="001033AB">
        <w:rPr>
          <w:rFonts w:ascii="Arial" w:hAnsi="Arial" w:cs="Arial"/>
        </w:rPr>
        <w:t>Moussou</w:t>
      </w:r>
      <w:proofErr w:type="spellEnd"/>
      <w:r w:rsidRPr="001033AB">
        <w:rPr>
          <w:rFonts w:ascii="Arial" w:hAnsi="Arial" w:cs="Arial"/>
        </w:rPr>
        <w:t xml:space="preserve"> et al., 2016), and in a few inland cities such as </w:t>
      </w:r>
      <w:proofErr w:type="spellStart"/>
      <w:r w:rsidRPr="001033AB">
        <w:rPr>
          <w:rFonts w:ascii="Arial" w:hAnsi="Arial" w:cs="Arial"/>
        </w:rPr>
        <w:t>Daloa</w:t>
      </w:r>
      <w:proofErr w:type="spellEnd"/>
      <w:r w:rsidRPr="001033AB">
        <w:rPr>
          <w:rFonts w:ascii="Arial" w:hAnsi="Arial" w:cs="Arial"/>
        </w:rPr>
        <w:t xml:space="preserve"> (</w:t>
      </w:r>
      <w:proofErr w:type="spellStart"/>
      <w:r w:rsidRPr="001033AB">
        <w:rPr>
          <w:rFonts w:ascii="Arial" w:hAnsi="Arial" w:cs="Arial"/>
        </w:rPr>
        <w:t>Kouassi</w:t>
      </w:r>
      <w:proofErr w:type="spellEnd"/>
      <w:r w:rsidRPr="001033AB">
        <w:rPr>
          <w:rFonts w:ascii="Arial" w:hAnsi="Arial" w:cs="Arial"/>
        </w:rPr>
        <w:t xml:space="preserve"> et al., 2018) and Yamoussoukro (</w:t>
      </w:r>
      <w:proofErr w:type="spellStart"/>
      <w:r w:rsidRPr="001033AB">
        <w:rPr>
          <w:rFonts w:ascii="Arial" w:hAnsi="Arial" w:cs="Arial"/>
        </w:rPr>
        <w:t>Nomel</w:t>
      </w:r>
      <w:proofErr w:type="spellEnd"/>
      <w:r w:rsidRPr="001033AB">
        <w:rPr>
          <w:rFonts w:ascii="Arial" w:hAnsi="Arial" w:cs="Arial"/>
        </w:rPr>
        <w:t xml:space="preserve"> et al., 2019). However, no study has focused on urban plant diversity in the northern part of the country, particularly in the city of </w:t>
      </w:r>
      <w:proofErr w:type="spellStart"/>
      <w:r w:rsidRPr="001033AB">
        <w:rPr>
          <w:rFonts w:ascii="Arial" w:hAnsi="Arial" w:cs="Arial"/>
        </w:rPr>
        <w:t>Korhogo</w:t>
      </w:r>
      <w:proofErr w:type="spellEnd"/>
      <w:r w:rsidRPr="001033AB">
        <w:rPr>
          <w:rFonts w:ascii="Arial" w:hAnsi="Arial" w:cs="Arial"/>
        </w:rPr>
        <w:t xml:space="preserve">. Yet, this city contains significant floristic diversity that contributes to the well-being of its inhabitants, such as the woody landscape of the </w:t>
      </w:r>
      <w:proofErr w:type="spellStart"/>
      <w:r w:rsidRPr="001033AB">
        <w:rPr>
          <w:rFonts w:ascii="Arial" w:hAnsi="Arial" w:cs="Arial"/>
        </w:rPr>
        <w:t>Peleforo</w:t>
      </w:r>
      <w:proofErr w:type="spellEnd"/>
      <w:r w:rsidRPr="001033AB">
        <w:rPr>
          <w:rFonts w:ascii="Arial" w:hAnsi="Arial" w:cs="Arial"/>
        </w:rPr>
        <w:t xml:space="preserve"> Gon Coulibaly University campus. The objective of this study is to assess the diversity and importance of the woody flora within this public green space in </w:t>
      </w:r>
      <w:proofErr w:type="spellStart"/>
      <w:r w:rsidRPr="001033AB">
        <w:rPr>
          <w:rFonts w:ascii="Arial" w:hAnsi="Arial" w:cs="Arial"/>
        </w:rPr>
        <w:t>Korhogo</w:t>
      </w:r>
      <w:proofErr w:type="spellEnd"/>
      <w:r w:rsidRPr="001033AB">
        <w:rPr>
          <w:rFonts w:ascii="Arial" w:hAnsi="Arial" w:cs="Arial"/>
        </w:rPr>
        <w:t>. Specifically, it aims is (</w:t>
      </w:r>
      <w:proofErr w:type="spellStart"/>
      <w:r w:rsidRPr="001033AB">
        <w:rPr>
          <w:rFonts w:ascii="Arial" w:hAnsi="Arial" w:cs="Arial"/>
        </w:rPr>
        <w:t>i</w:t>
      </w:r>
      <w:proofErr w:type="spellEnd"/>
      <w:r w:rsidRPr="001033AB">
        <w:rPr>
          <w:rFonts w:ascii="Arial" w:hAnsi="Arial" w:cs="Arial"/>
        </w:rPr>
        <w:t>) to determine species richness and floristic composition, and (ii) to characterize this flora through the analysis of ecological parameters.</w:t>
      </w:r>
    </w:p>
    <w:p w14:paraId="50A73442" w14:textId="47F12B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0CDBAF4" w14:textId="28A7FEA6" w:rsidR="001033AB" w:rsidRDefault="001033AB" w:rsidP="001033AB">
      <w:pPr>
        <w:pStyle w:val="AbstHead"/>
        <w:spacing w:before="240" w:after="0"/>
        <w:jc w:val="both"/>
        <w:rPr>
          <w:rFonts w:ascii="Arial" w:hAnsi="Arial" w:cs="Arial"/>
        </w:rPr>
      </w:pPr>
      <w:bookmarkStart w:id="1" w:name="_Hlk195208059"/>
      <w:r w:rsidRPr="001033AB">
        <w:rPr>
          <w:rFonts w:ascii="Arial" w:hAnsi="Arial" w:cs="Arial"/>
        </w:rPr>
        <w:t>2.1</w:t>
      </w:r>
      <w:r>
        <w:rPr>
          <w:rFonts w:ascii="Arial" w:hAnsi="Arial" w:cs="Arial"/>
        </w:rPr>
        <w:t xml:space="preserve">. </w:t>
      </w:r>
      <w:bookmarkEnd w:id="1"/>
      <w:r w:rsidRPr="001033AB">
        <w:rPr>
          <w:rFonts w:ascii="Arial" w:hAnsi="Arial" w:cs="Arial"/>
          <w:caps w:val="0"/>
        </w:rPr>
        <w:t>Study Area</w:t>
      </w:r>
    </w:p>
    <w:p w14:paraId="398CA676" w14:textId="77777777" w:rsidR="00790ADA" w:rsidRPr="00FB3A86" w:rsidRDefault="00790ADA" w:rsidP="00441B6F">
      <w:pPr>
        <w:pStyle w:val="AbstHead"/>
        <w:spacing w:after="0"/>
        <w:jc w:val="both"/>
        <w:rPr>
          <w:rFonts w:ascii="Arial" w:hAnsi="Arial" w:cs="Arial"/>
        </w:rPr>
      </w:pPr>
    </w:p>
    <w:p w14:paraId="388E4CB8" w14:textId="23D5032A" w:rsidR="00CF53E6" w:rsidRDefault="00CF53E6" w:rsidP="00CF53E6">
      <w:pPr>
        <w:pStyle w:val="Body"/>
        <w:spacing w:after="0"/>
        <w:rPr>
          <w:rFonts w:ascii="Arial" w:hAnsi="Arial" w:cs="Arial"/>
        </w:rPr>
      </w:pPr>
      <w:proofErr w:type="spellStart"/>
      <w:r w:rsidRPr="00CF53E6">
        <w:rPr>
          <w:rFonts w:ascii="Arial" w:hAnsi="Arial" w:cs="Arial"/>
        </w:rPr>
        <w:t>Peleforo</w:t>
      </w:r>
      <w:proofErr w:type="spellEnd"/>
      <w:r w:rsidRPr="00CF53E6">
        <w:rPr>
          <w:rFonts w:ascii="Arial" w:hAnsi="Arial" w:cs="Arial"/>
        </w:rPr>
        <w:t xml:space="preserve"> Gon Coulibaly University </w:t>
      </w:r>
      <w:r w:rsidR="00B5426B" w:rsidRPr="00CF53E6">
        <w:rPr>
          <w:rFonts w:ascii="Arial" w:hAnsi="Arial" w:cs="Arial"/>
        </w:rPr>
        <w:t>is in</w:t>
      </w:r>
      <w:r w:rsidRPr="00CF53E6">
        <w:rPr>
          <w:rFonts w:ascii="Arial" w:hAnsi="Arial" w:cs="Arial"/>
        </w:rPr>
        <w:t xml:space="preserve"> the commune of </w:t>
      </w:r>
      <w:proofErr w:type="spellStart"/>
      <w:r w:rsidRPr="00CF53E6">
        <w:rPr>
          <w:rFonts w:ascii="Arial" w:hAnsi="Arial" w:cs="Arial"/>
        </w:rPr>
        <w:t>Korhogo</w:t>
      </w:r>
      <w:proofErr w:type="spellEnd"/>
      <w:r w:rsidRPr="00CF53E6">
        <w:rPr>
          <w:rFonts w:ascii="Arial" w:hAnsi="Arial" w:cs="Arial"/>
        </w:rPr>
        <w:t xml:space="preserve">, the regional capital of the </w:t>
      </w:r>
      <w:proofErr w:type="spellStart"/>
      <w:r w:rsidRPr="00CF53E6">
        <w:rPr>
          <w:rFonts w:ascii="Arial" w:hAnsi="Arial" w:cs="Arial"/>
        </w:rPr>
        <w:t>Poro</w:t>
      </w:r>
      <w:proofErr w:type="spellEnd"/>
      <w:r w:rsidRPr="00CF53E6">
        <w:rPr>
          <w:rFonts w:ascii="Arial" w:hAnsi="Arial" w:cs="Arial"/>
        </w:rPr>
        <w:t xml:space="preserve"> region. It lies between longitudes 5°38’6’’ and 5°37’30’’ West and latitudes 5°25’30’’ and 5°25’48’’ North (Figure 1). According to the work of </w:t>
      </w:r>
      <w:proofErr w:type="spellStart"/>
      <w:r w:rsidRPr="00CF53E6">
        <w:rPr>
          <w:rFonts w:ascii="Arial" w:hAnsi="Arial" w:cs="Arial"/>
        </w:rPr>
        <w:t>Guillaumet</w:t>
      </w:r>
      <w:proofErr w:type="spellEnd"/>
      <w:r w:rsidRPr="00CF53E6">
        <w:rPr>
          <w:rFonts w:ascii="Arial" w:hAnsi="Arial" w:cs="Arial"/>
        </w:rPr>
        <w:t xml:space="preserve"> and </w:t>
      </w:r>
      <w:proofErr w:type="spellStart"/>
      <w:r w:rsidRPr="00CF53E6">
        <w:rPr>
          <w:rFonts w:ascii="Arial" w:hAnsi="Arial" w:cs="Arial"/>
        </w:rPr>
        <w:t>Adjanohoun</w:t>
      </w:r>
      <w:proofErr w:type="spellEnd"/>
      <w:r w:rsidRPr="00CF53E6">
        <w:rPr>
          <w:rFonts w:ascii="Arial" w:hAnsi="Arial" w:cs="Arial"/>
        </w:rPr>
        <w:t xml:space="preserve"> (1971), the university is situated within the sub-</w:t>
      </w:r>
      <w:proofErr w:type="spellStart"/>
      <w:r w:rsidRPr="00CF53E6">
        <w:rPr>
          <w:rFonts w:ascii="Arial" w:hAnsi="Arial" w:cs="Arial"/>
        </w:rPr>
        <w:t>Sudanian</w:t>
      </w:r>
      <w:proofErr w:type="spellEnd"/>
      <w:r w:rsidRPr="00CF53E6">
        <w:rPr>
          <w:rFonts w:ascii="Arial" w:hAnsi="Arial" w:cs="Arial"/>
        </w:rPr>
        <w:t xml:space="preserve"> ecological zone. This sector is characterized by natural vegetation composed of dense dry forests, open forests, wooded savannas, and shrub savannas (</w:t>
      </w:r>
      <w:proofErr w:type="spellStart"/>
      <w:r w:rsidRPr="00CF53E6">
        <w:rPr>
          <w:rFonts w:ascii="Arial" w:hAnsi="Arial" w:cs="Arial"/>
        </w:rPr>
        <w:t>Kouamé</w:t>
      </w:r>
      <w:proofErr w:type="spellEnd"/>
      <w:r w:rsidRPr="00CF53E6">
        <w:rPr>
          <w:rFonts w:ascii="Arial" w:hAnsi="Arial" w:cs="Arial"/>
        </w:rPr>
        <w:t xml:space="preserve"> et al., 2010). The study area is located between the 800 mm and 1200 mm isohyets and experiences two alternating seasons: a dry season from November to March, and a rainy season from May to October. The average annual rainfall is about 1200 mm, with considerable interannual variability. Average annual temperatures range from 24°C to 29°C. The soils are mainly ferruginous and </w:t>
      </w:r>
      <w:proofErr w:type="spellStart"/>
      <w:r w:rsidRPr="00CF53E6">
        <w:rPr>
          <w:rFonts w:ascii="Arial" w:hAnsi="Arial" w:cs="Arial"/>
        </w:rPr>
        <w:t>ferralitic</w:t>
      </w:r>
      <w:proofErr w:type="spellEnd"/>
      <w:r w:rsidRPr="00CF53E6">
        <w:rPr>
          <w:rFonts w:ascii="Arial" w:hAnsi="Arial" w:cs="Arial"/>
        </w:rPr>
        <w:t xml:space="preserve"> (</w:t>
      </w:r>
      <w:proofErr w:type="spellStart"/>
      <w:r w:rsidRPr="00CF53E6">
        <w:rPr>
          <w:rFonts w:ascii="Arial" w:hAnsi="Arial" w:cs="Arial"/>
        </w:rPr>
        <w:t>Koné</w:t>
      </w:r>
      <w:proofErr w:type="spellEnd"/>
      <w:r w:rsidRPr="00CF53E6">
        <w:rPr>
          <w:rFonts w:ascii="Arial" w:hAnsi="Arial" w:cs="Arial"/>
        </w:rPr>
        <w:t>, 2004).</w:t>
      </w:r>
    </w:p>
    <w:p w14:paraId="4938F86C" w14:textId="77777777" w:rsidR="00CF53E6" w:rsidRDefault="00CF53E6" w:rsidP="00CF53E6">
      <w:pPr>
        <w:pStyle w:val="Body"/>
        <w:spacing w:after="0"/>
        <w:rPr>
          <w:rFonts w:ascii="Arial" w:hAnsi="Arial" w:cs="Arial"/>
        </w:rPr>
      </w:pPr>
    </w:p>
    <w:p w14:paraId="66D27DA2" w14:textId="1A9667A9" w:rsidR="00CF53E6" w:rsidRDefault="00CF53E6" w:rsidP="00CF53E6">
      <w:pPr>
        <w:pStyle w:val="Body"/>
        <w:spacing w:after="0"/>
        <w:jc w:val="center"/>
        <w:rPr>
          <w:rFonts w:ascii="Arial" w:hAnsi="Arial" w:cs="Arial"/>
        </w:rPr>
      </w:pPr>
      <w:r>
        <w:rPr>
          <w:rFonts w:ascii="Arial" w:hAnsi="Arial" w:cs="Arial"/>
          <w:noProof/>
        </w:rPr>
        <w:lastRenderedPageBreak/>
        <w:drawing>
          <wp:inline distT="0" distB="0" distL="0" distR="0" wp14:anchorId="20AFF27A" wp14:editId="4EA2E3F5">
            <wp:extent cx="4681357" cy="3486150"/>
            <wp:effectExtent l="0" t="0" r="0" b="0"/>
            <wp:docPr id="2094708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7537" cy="3513093"/>
                    </a:xfrm>
                    <a:prstGeom prst="rect">
                      <a:avLst/>
                    </a:prstGeom>
                    <a:noFill/>
                  </pic:spPr>
                </pic:pic>
              </a:graphicData>
            </a:graphic>
          </wp:inline>
        </w:drawing>
      </w:r>
    </w:p>
    <w:p w14:paraId="28EE3858" w14:textId="21A00655" w:rsidR="00CF53E6" w:rsidRPr="00CF53E6" w:rsidRDefault="00CF53E6" w:rsidP="00CF53E6">
      <w:pPr>
        <w:pStyle w:val="Body"/>
        <w:spacing w:after="0"/>
        <w:jc w:val="center"/>
        <w:rPr>
          <w:rFonts w:ascii="Arial" w:hAnsi="Arial" w:cs="Arial"/>
          <w:b/>
          <w:bCs/>
        </w:rPr>
      </w:pPr>
      <w:r w:rsidRPr="00CF53E6">
        <w:rPr>
          <w:rFonts w:ascii="Arial" w:hAnsi="Arial" w:cs="Arial"/>
          <w:b/>
          <w:bCs/>
        </w:rPr>
        <w:t>Fig.</w:t>
      </w:r>
      <w:r>
        <w:rPr>
          <w:rFonts w:ascii="Arial" w:hAnsi="Arial" w:cs="Arial"/>
          <w:b/>
          <w:bCs/>
        </w:rPr>
        <w:t xml:space="preserve"> </w:t>
      </w:r>
      <w:r w:rsidRPr="00CF53E6">
        <w:rPr>
          <w:rFonts w:ascii="Arial" w:hAnsi="Arial" w:cs="Arial"/>
          <w:b/>
          <w:bCs/>
        </w:rPr>
        <w:t>1. Geographic location of the study area</w:t>
      </w:r>
    </w:p>
    <w:p w14:paraId="1A7461EA" w14:textId="77777777" w:rsidR="00FD6AB9" w:rsidRDefault="00FD6AB9" w:rsidP="00441B6F">
      <w:pPr>
        <w:pStyle w:val="Body"/>
        <w:spacing w:after="0"/>
        <w:rPr>
          <w:rFonts w:ascii="Arial" w:hAnsi="Arial" w:cs="Arial"/>
          <w:b/>
          <w:bCs/>
          <w:sz w:val="22"/>
          <w:szCs w:val="22"/>
        </w:rPr>
      </w:pPr>
      <w:bookmarkStart w:id="2" w:name="_Hlk195208326"/>
    </w:p>
    <w:p w14:paraId="5DB38C31" w14:textId="3255A3A9" w:rsidR="00790ADA" w:rsidRPr="00B5426B" w:rsidRDefault="00CF53E6" w:rsidP="00441B6F">
      <w:pPr>
        <w:pStyle w:val="Body"/>
        <w:spacing w:after="0"/>
        <w:rPr>
          <w:rFonts w:ascii="Arial" w:hAnsi="Arial" w:cs="Arial"/>
          <w:b/>
          <w:bCs/>
          <w:sz w:val="22"/>
          <w:szCs w:val="22"/>
        </w:rPr>
      </w:pPr>
      <w:r w:rsidRPr="00B5426B">
        <w:rPr>
          <w:rFonts w:ascii="Arial" w:hAnsi="Arial" w:cs="Arial"/>
          <w:b/>
          <w:bCs/>
          <w:sz w:val="22"/>
          <w:szCs w:val="22"/>
        </w:rPr>
        <w:t xml:space="preserve">2.2. </w:t>
      </w:r>
      <w:bookmarkStart w:id="3" w:name="_Hlk205634369"/>
      <w:bookmarkEnd w:id="2"/>
      <w:r w:rsidRPr="00B5426B">
        <w:rPr>
          <w:rFonts w:ascii="Arial" w:hAnsi="Arial" w:cs="Arial"/>
          <w:b/>
          <w:bCs/>
          <w:sz w:val="22"/>
          <w:szCs w:val="22"/>
        </w:rPr>
        <w:t>Data Collection</w:t>
      </w:r>
      <w:bookmarkEnd w:id="3"/>
    </w:p>
    <w:p w14:paraId="2514FEDB" w14:textId="77777777" w:rsidR="00CF53E6" w:rsidRDefault="00CF53E6" w:rsidP="00441B6F">
      <w:pPr>
        <w:pStyle w:val="Body"/>
        <w:spacing w:after="0"/>
        <w:rPr>
          <w:rFonts w:ascii="Arial" w:hAnsi="Arial" w:cs="Arial"/>
        </w:rPr>
      </w:pPr>
    </w:p>
    <w:p w14:paraId="4C161941" w14:textId="6A53B397" w:rsidR="00502516" w:rsidRDefault="00CF53E6" w:rsidP="00441B6F">
      <w:pPr>
        <w:pStyle w:val="Body"/>
        <w:spacing w:after="0"/>
        <w:rPr>
          <w:rFonts w:ascii="Arial" w:hAnsi="Arial" w:cs="Arial"/>
        </w:rPr>
      </w:pPr>
      <w:r w:rsidRPr="00CF53E6">
        <w:rPr>
          <w:rFonts w:ascii="Arial" w:hAnsi="Arial" w:cs="Arial"/>
        </w:rPr>
        <w:t xml:space="preserve">A purposive sampling approach was used for data collection. Five compartments within the university campus were selected and served as plots for vegetation surveys. Within each plot, all woody species (trees, shrubs, and small trees) encountered were identified, and the number of individuals per species was recorded on a </w:t>
      </w:r>
      <w:r w:rsidR="009376F9" w:rsidRPr="00CF53E6">
        <w:rPr>
          <w:rFonts w:ascii="Arial" w:hAnsi="Arial" w:cs="Arial"/>
        </w:rPr>
        <w:t>data sheet</w:t>
      </w:r>
      <w:r w:rsidRPr="00CF53E6">
        <w:rPr>
          <w:rFonts w:ascii="Arial" w:hAnsi="Arial" w:cs="Arial"/>
        </w:rPr>
        <w:t xml:space="preserve"> labeled with the plot number. The inventory focused on species with a diameter at breast height (</w:t>
      </w:r>
      <w:proofErr w:type="spellStart"/>
      <w:r w:rsidRPr="00CF53E6">
        <w:rPr>
          <w:rFonts w:ascii="Arial" w:hAnsi="Arial" w:cs="Arial"/>
        </w:rPr>
        <w:t>dbh</w:t>
      </w:r>
      <w:proofErr w:type="spellEnd"/>
      <w:r w:rsidRPr="00CF53E6">
        <w:rPr>
          <w:rFonts w:ascii="Arial" w:hAnsi="Arial" w:cs="Arial"/>
        </w:rPr>
        <w:t xml:space="preserve">) greater than or equal to 5 cm and a total height of at least 2 meters. This minimum </w:t>
      </w:r>
      <w:proofErr w:type="spellStart"/>
      <w:r w:rsidRPr="00CF53E6">
        <w:rPr>
          <w:rFonts w:ascii="Arial" w:hAnsi="Arial" w:cs="Arial"/>
        </w:rPr>
        <w:t>dbh</w:t>
      </w:r>
      <w:proofErr w:type="spellEnd"/>
      <w:r w:rsidRPr="00CF53E6">
        <w:rPr>
          <w:rFonts w:ascii="Arial" w:hAnsi="Arial" w:cs="Arial"/>
        </w:rPr>
        <w:t xml:space="preserve"> threshold was chosen to include a greater number of individuals and thereby maximize species diversity (</w:t>
      </w:r>
      <w:proofErr w:type="spellStart"/>
      <w:r w:rsidRPr="00CF53E6">
        <w:rPr>
          <w:rFonts w:ascii="Arial" w:hAnsi="Arial" w:cs="Arial"/>
        </w:rPr>
        <w:t>Gueulou</w:t>
      </w:r>
      <w:proofErr w:type="spellEnd"/>
      <w:r w:rsidRPr="00CF53E6">
        <w:rPr>
          <w:rFonts w:ascii="Arial" w:hAnsi="Arial" w:cs="Arial"/>
        </w:rPr>
        <w:t xml:space="preserve"> et al., 2019). Several species were identified in situ. For those that could not be identified in the field, plant samples were collected for later identification.</w:t>
      </w:r>
    </w:p>
    <w:p w14:paraId="4A0E285C" w14:textId="28C2D51E" w:rsidR="009376F9" w:rsidRPr="009376F9" w:rsidRDefault="009376F9" w:rsidP="009376F9">
      <w:pPr>
        <w:pStyle w:val="Body"/>
        <w:spacing w:before="240" w:after="0"/>
        <w:rPr>
          <w:rFonts w:ascii="Arial" w:hAnsi="Arial" w:cs="Arial"/>
          <w:b/>
          <w:sz w:val="22"/>
          <w:szCs w:val="22"/>
        </w:rPr>
      </w:pPr>
      <w:bookmarkStart w:id="4" w:name="_Hlk195208361"/>
      <w:r w:rsidRPr="00B5426B">
        <w:rPr>
          <w:rFonts w:ascii="Arial" w:hAnsi="Arial" w:cs="Arial"/>
          <w:b/>
          <w:sz w:val="22"/>
          <w:szCs w:val="22"/>
        </w:rPr>
        <w:t xml:space="preserve">2.3. </w:t>
      </w:r>
      <w:bookmarkEnd w:id="4"/>
      <w:r w:rsidRPr="009376F9">
        <w:rPr>
          <w:rFonts w:ascii="Arial" w:hAnsi="Arial" w:cs="Arial"/>
          <w:b/>
          <w:sz w:val="22"/>
          <w:szCs w:val="22"/>
        </w:rPr>
        <w:t>Data Analysis</w:t>
      </w:r>
    </w:p>
    <w:p w14:paraId="1C2F1E00" w14:textId="44DFB988" w:rsidR="009376F9" w:rsidRPr="009376F9" w:rsidRDefault="009376F9" w:rsidP="009376F9">
      <w:pPr>
        <w:pStyle w:val="Body"/>
        <w:spacing w:before="240"/>
        <w:rPr>
          <w:rFonts w:ascii="Arial" w:hAnsi="Arial" w:cs="Arial"/>
          <w:b/>
        </w:rPr>
      </w:pPr>
      <w:bookmarkStart w:id="5" w:name="_Hlk195208775"/>
      <w:r w:rsidRPr="009376F9">
        <w:rPr>
          <w:rFonts w:ascii="Arial" w:hAnsi="Arial" w:cs="Arial"/>
          <w:b/>
        </w:rPr>
        <w:t>2.3.</w:t>
      </w:r>
      <w:r>
        <w:rPr>
          <w:rFonts w:ascii="Arial" w:hAnsi="Arial" w:cs="Arial"/>
          <w:b/>
        </w:rPr>
        <w:t>1.</w:t>
      </w:r>
      <w:r w:rsidRPr="009376F9">
        <w:rPr>
          <w:rFonts w:ascii="Arial" w:hAnsi="Arial" w:cs="Arial"/>
          <w:b/>
        </w:rPr>
        <w:t xml:space="preserve"> </w:t>
      </w:r>
      <w:bookmarkEnd w:id="5"/>
      <w:r w:rsidR="0080080A" w:rsidRPr="0080080A">
        <w:rPr>
          <w:rFonts w:ascii="Arial" w:hAnsi="Arial" w:cs="Arial"/>
          <w:b/>
        </w:rPr>
        <w:t>Determination of richness and floristic composition</w:t>
      </w:r>
    </w:p>
    <w:p w14:paraId="0A2EBBF9" w14:textId="2846C32E" w:rsidR="009376F9" w:rsidRDefault="009376F9" w:rsidP="00441B6F">
      <w:pPr>
        <w:pStyle w:val="Body"/>
        <w:spacing w:after="0"/>
        <w:rPr>
          <w:rFonts w:ascii="Arial" w:hAnsi="Arial" w:cs="Arial"/>
        </w:rPr>
      </w:pPr>
      <w:r w:rsidRPr="009376F9">
        <w:rPr>
          <w:rFonts w:ascii="Arial" w:hAnsi="Arial" w:cs="Arial"/>
        </w:rPr>
        <w:t>Floristic richness was assessed by counting the total number of woody species recorded on the campus, along with the genera and families to which they belong. Floristic composition was analyzed by determining the biological types (</w:t>
      </w:r>
      <w:proofErr w:type="spellStart"/>
      <w:r w:rsidRPr="009376F9">
        <w:rPr>
          <w:rFonts w:ascii="Arial" w:hAnsi="Arial" w:cs="Arial"/>
        </w:rPr>
        <w:t>Raunkiaer</w:t>
      </w:r>
      <w:proofErr w:type="spellEnd"/>
      <w:r w:rsidRPr="009376F9">
        <w:rPr>
          <w:rFonts w:ascii="Arial" w:hAnsi="Arial" w:cs="Arial"/>
        </w:rPr>
        <w:t xml:space="preserve">, 1934) and chorological types (White, 1986) of the recorded species. The main biological types considered were megaphanerophytes (MP), </w:t>
      </w:r>
      <w:proofErr w:type="spellStart"/>
      <w:r w:rsidRPr="009376F9">
        <w:rPr>
          <w:rFonts w:ascii="Arial" w:hAnsi="Arial" w:cs="Arial"/>
        </w:rPr>
        <w:t>mesophanerophytes</w:t>
      </w:r>
      <w:proofErr w:type="spellEnd"/>
      <w:r w:rsidRPr="009376F9">
        <w:rPr>
          <w:rFonts w:ascii="Arial" w:hAnsi="Arial" w:cs="Arial"/>
        </w:rPr>
        <w:t xml:space="preserve"> (</w:t>
      </w:r>
      <w:proofErr w:type="spellStart"/>
      <w:r w:rsidRPr="009376F9">
        <w:rPr>
          <w:rFonts w:ascii="Arial" w:hAnsi="Arial" w:cs="Arial"/>
        </w:rPr>
        <w:t>mP</w:t>
      </w:r>
      <w:proofErr w:type="spellEnd"/>
      <w:r w:rsidRPr="009376F9">
        <w:rPr>
          <w:rFonts w:ascii="Arial" w:hAnsi="Arial" w:cs="Arial"/>
        </w:rPr>
        <w:t>), microphanerophytes (</w:t>
      </w:r>
      <w:proofErr w:type="spellStart"/>
      <w:r w:rsidRPr="009376F9">
        <w:rPr>
          <w:rFonts w:ascii="Arial" w:hAnsi="Arial" w:cs="Arial"/>
        </w:rPr>
        <w:t>mp</w:t>
      </w:r>
      <w:proofErr w:type="spellEnd"/>
      <w:r w:rsidRPr="009376F9">
        <w:rPr>
          <w:rFonts w:ascii="Arial" w:hAnsi="Arial" w:cs="Arial"/>
        </w:rPr>
        <w:t xml:space="preserve">), and nanophanerophytes (np). The principal chorological types were </w:t>
      </w:r>
      <w:proofErr w:type="spellStart"/>
      <w:r w:rsidRPr="009376F9">
        <w:rPr>
          <w:rFonts w:ascii="Arial" w:hAnsi="Arial" w:cs="Arial"/>
        </w:rPr>
        <w:t>Sudanian</w:t>
      </w:r>
      <w:proofErr w:type="spellEnd"/>
      <w:r w:rsidRPr="009376F9">
        <w:rPr>
          <w:rFonts w:ascii="Arial" w:hAnsi="Arial" w:cs="Arial"/>
        </w:rPr>
        <w:t xml:space="preserve">-Zambezian (SZ), </w:t>
      </w:r>
      <w:proofErr w:type="spellStart"/>
      <w:r w:rsidRPr="009376F9">
        <w:rPr>
          <w:rFonts w:ascii="Arial" w:hAnsi="Arial" w:cs="Arial"/>
        </w:rPr>
        <w:t>Guineo-Congolian</w:t>
      </w:r>
      <w:proofErr w:type="spellEnd"/>
      <w:r w:rsidRPr="009376F9">
        <w:rPr>
          <w:rFonts w:ascii="Arial" w:hAnsi="Arial" w:cs="Arial"/>
        </w:rPr>
        <w:t xml:space="preserve"> (GC), and </w:t>
      </w:r>
      <w:proofErr w:type="spellStart"/>
      <w:r w:rsidRPr="009376F9">
        <w:rPr>
          <w:rFonts w:ascii="Arial" w:hAnsi="Arial" w:cs="Arial"/>
        </w:rPr>
        <w:t>Guineo-Congolian</w:t>
      </w:r>
      <w:proofErr w:type="spellEnd"/>
      <w:r w:rsidRPr="009376F9">
        <w:rPr>
          <w:rFonts w:ascii="Arial" w:hAnsi="Arial" w:cs="Arial"/>
        </w:rPr>
        <w:t>–</w:t>
      </w:r>
      <w:proofErr w:type="spellStart"/>
      <w:r w:rsidRPr="009376F9">
        <w:rPr>
          <w:rFonts w:ascii="Arial" w:hAnsi="Arial" w:cs="Arial"/>
        </w:rPr>
        <w:t>Sudanian</w:t>
      </w:r>
      <w:proofErr w:type="spellEnd"/>
      <w:r w:rsidRPr="009376F9">
        <w:rPr>
          <w:rFonts w:ascii="Arial" w:hAnsi="Arial" w:cs="Arial"/>
        </w:rPr>
        <w:t>-Zambezian (GC-SZ). Introduced species have been associated with these major chorological types.</w:t>
      </w:r>
    </w:p>
    <w:p w14:paraId="3F29B348" w14:textId="3ADD5C7B" w:rsidR="009376F9" w:rsidRPr="009740DA" w:rsidRDefault="009740DA" w:rsidP="009740DA">
      <w:pPr>
        <w:pStyle w:val="Body"/>
        <w:spacing w:before="240" w:after="0"/>
        <w:rPr>
          <w:rFonts w:ascii="Arial" w:hAnsi="Arial" w:cs="Arial"/>
          <w:b/>
          <w:bCs/>
        </w:rPr>
      </w:pPr>
      <w:bookmarkStart w:id="6" w:name="_Hlk195210959"/>
      <w:r w:rsidRPr="009740DA">
        <w:rPr>
          <w:rFonts w:ascii="Arial" w:hAnsi="Arial" w:cs="Arial"/>
          <w:b/>
          <w:bCs/>
        </w:rPr>
        <w:t>2.3.</w:t>
      </w:r>
      <w:r>
        <w:rPr>
          <w:rFonts w:ascii="Arial" w:hAnsi="Arial" w:cs="Arial"/>
          <w:b/>
          <w:bCs/>
        </w:rPr>
        <w:t>2</w:t>
      </w:r>
      <w:r w:rsidRPr="009740DA">
        <w:rPr>
          <w:rFonts w:ascii="Arial" w:hAnsi="Arial" w:cs="Arial"/>
          <w:b/>
          <w:bCs/>
        </w:rPr>
        <w:t xml:space="preserve">. </w:t>
      </w:r>
      <w:bookmarkEnd w:id="6"/>
      <w:r w:rsidR="006B0761" w:rsidRPr="006B0761">
        <w:rPr>
          <w:rFonts w:ascii="Arial" w:hAnsi="Arial" w:cs="Arial"/>
          <w:b/>
          <w:bCs/>
        </w:rPr>
        <w:t>Assessment of quantitative floristic diversity</w:t>
      </w:r>
    </w:p>
    <w:p w14:paraId="06D3AA35" w14:textId="77777777" w:rsidR="002E0D56" w:rsidRDefault="002E0D56" w:rsidP="00441B6F">
      <w:pPr>
        <w:pStyle w:val="Body"/>
        <w:spacing w:after="0"/>
        <w:rPr>
          <w:rFonts w:ascii="Arial" w:hAnsi="Arial" w:cs="Arial"/>
        </w:rPr>
      </w:pPr>
    </w:p>
    <w:p w14:paraId="4BABF045" w14:textId="77777777" w:rsidR="009740DA" w:rsidRDefault="009740DA" w:rsidP="009740DA">
      <w:pPr>
        <w:pStyle w:val="Body"/>
        <w:rPr>
          <w:rFonts w:ascii="Arial" w:hAnsi="Arial" w:cs="Arial"/>
        </w:rPr>
      </w:pPr>
      <w:r w:rsidRPr="009740DA">
        <w:rPr>
          <w:rFonts w:ascii="Arial" w:hAnsi="Arial" w:cs="Arial"/>
        </w:rPr>
        <w:lastRenderedPageBreak/>
        <w:t xml:space="preserve">Quantitative floristic diversity was assessed using three ecological </w:t>
      </w:r>
      <w:proofErr w:type="gramStart"/>
      <w:r w:rsidRPr="009740DA">
        <w:rPr>
          <w:rFonts w:ascii="Arial" w:hAnsi="Arial" w:cs="Arial"/>
        </w:rPr>
        <w:t>indices :</w:t>
      </w:r>
      <w:proofErr w:type="gramEnd"/>
      <w:r w:rsidRPr="009740DA">
        <w:rPr>
          <w:rFonts w:ascii="Arial" w:hAnsi="Arial" w:cs="Arial"/>
        </w:rPr>
        <w:t xml:space="preserve"> </w:t>
      </w:r>
      <w:proofErr w:type="spellStart"/>
      <w:r w:rsidRPr="009740DA">
        <w:rPr>
          <w:rFonts w:ascii="Arial" w:hAnsi="Arial" w:cs="Arial"/>
        </w:rPr>
        <w:t>Margalef’s</w:t>
      </w:r>
      <w:proofErr w:type="spellEnd"/>
      <w:r w:rsidRPr="009740DA">
        <w:rPr>
          <w:rFonts w:ascii="Arial" w:hAnsi="Arial" w:cs="Arial"/>
        </w:rPr>
        <w:t xml:space="preserve"> index (RMG), Shannon’s index (H’), and </w:t>
      </w:r>
      <w:proofErr w:type="spellStart"/>
      <w:r w:rsidRPr="009740DA">
        <w:rPr>
          <w:rFonts w:ascii="Arial" w:hAnsi="Arial" w:cs="Arial"/>
        </w:rPr>
        <w:t>Pielou’s</w:t>
      </w:r>
      <w:proofErr w:type="spellEnd"/>
      <w:r w:rsidRPr="009740DA">
        <w:rPr>
          <w:rFonts w:ascii="Arial" w:hAnsi="Arial" w:cs="Arial"/>
        </w:rPr>
        <w:t xml:space="preserve"> evenness index (E). </w:t>
      </w:r>
      <w:proofErr w:type="spellStart"/>
      <w:r w:rsidRPr="009740DA">
        <w:rPr>
          <w:rFonts w:ascii="Arial" w:hAnsi="Arial" w:cs="Arial"/>
        </w:rPr>
        <w:t>Margalef’s</w:t>
      </w:r>
      <w:proofErr w:type="spellEnd"/>
      <w:r w:rsidRPr="009740DA">
        <w:rPr>
          <w:rFonts w:ascii="Arial" w:hAnsi="Arial" w:cs="Arial"/>
        </w:rPr>
        <w:t xml:space="preserve"> index (RMG) is used to evaluate habitat diversity based on the relationship between species richness and the total number of individuals. It does not consider the distribution of individuals across species.</w:t>
      </w:r>
    </w:p>
    <w:p w14:paraId="013573B2" w14:textId="2A0CE4A2" w:rsidR="00502516" w:rsidRDefault="009740DA" w:rsidP="009740DA">
      <w:pPr>
        <w:pStyle w:val="Body"/>
        <w:rPr>
          <w:rFonts w:ascii="Arial" w:hAnsi="Arial" w:cs="Arial"/>
        </w:rPr>
      </w:pPr>
      <w:proofErr w:type="spellStart"/>
      <w:r w:rsidRPr="009740DA">
        <w:rPr>
          <w:rFonts w:ascii="Arial" w:hAnsi="Arial" w:cs="Arial"/>
        </w:rPr>
        <w:t>Margalef’s</w:t>
      </w:r>
      <w:proofErr w:type="spellEnd"/>
      <w:r w:rsidRPr="009740DA">
        <w:rPr>
          <w:rFonts w:ascii="Arial" w:hAnsi="Arial" w:cs="Arial"/>
        </w:rPr>
        <w:t xml:space="preserve"> Index is defined by the formula:</w:t>
      </w:r>
    </w:p>
    <w:p w14:paraId="76FB5B6A" w14:textId="0569DA52" w:rsidR="009740DA" w:rsidRPr="009740DA" w:rsidRDefault="00554916" w:rsidP="009740DA">
      <w:pPr>
        <w:pStyle w:val="Body"/>
        <w:jc w:val="center"/>
        <w:rPr>
          <w:rFonts w:ascii="Arial" w:hAnsi="Arial" w:cs="Arial"/>
          <w:lang w:val="fr-FR"/>
        </w:rPr>
      </w:pPr>
      <m:oMathPara>
        <m:oMath>
          <m:sSub>
            <m:sSubPr>
              <m:ctrlPr>
                <w:rPr>
                  <w:rFonts w:ascii="Cambria Math" w:hAnsi="Cambria Math" w:cs="Arial"/>
                  <w:lang w:val="fr-FR"/>
                </w:rPr>
              </m:ctrlPr>
            </m:sSubPr>
            <m:e>
              <m:r>
                <m:rPr>
                  <m:nor/>
                </m:rPr>
                <w:rPr>
                  <w:rFonts w:ascii="Arial" w:hAnsi="Arial" w:cs="Arial"/>
                  <w:lang w:val="fr-FR"/>
                </w:rPr>
                <m:t>R</m:t>
              </m:r>
            </m:e>
            <m:sub>
              <m:r>
                <m:rPr>
                  <m:nor/>
                </m:rPr>
                <w:rPr>
                  <w:rFonts w:ascii="Arial" w:hAnsi="Arial" w:cs="Arial"/>
                  <w:lang w:val="fr-FR"/>
                </w:rPr>
                <m:t>MG</m:t>
              </m:r>
            </m:sub>
          </m:sSub>
          <m:r>
            <m:rPr>
              <m:nor/>
            </m:rPr>
            <w:rPr>
              <w:rFonts w:ascii="Arial" w:hAnsi="Arial" w:cs="Arial"/>
              <w:lang w:val="fr-FR"/>
            </w:rPr>
            <m:t>=</m:t>
          </m:r>
          <m:f>
            <m:fPr>
              <m:ctrlPr>
                <w:rPr>
                  <w:rFonts w:ascii="Cambria Math" w:hAnsi="Cambria Math" w:cs="Arial"/>
                  <w:lang w:val="fr-FR"/>
                </w:rPr>
              </m:ctrlPr>
            </m:fPr>
            <m:num>
              <m:r>
                <m:rPr>
                  <m:nor/>
                </m:rPr>
                <w:rPr>
                  <w:rFonts w:ascii="Arial" w:hAnsi="Arial" w:cs="Arial"/>
                  <w:lang w:val="fr-FR"/>
                </w:rPr>
                <m:t>S-1</m:t>
              </m:r>
            </m:num>
            <m:den>
              <m:r>
                <m:rPr>
                  <m:nor/>
                </m:rPr>
                <w:rPr>
                  <w:rFonts w:ascii="Arial" w:hAnsi="Arial" w:cs="Arial"/>
                  <w:lang w:val="fr-FR"/>
                </w:rPr>
                <m:t>ln(N)</m:t>
              </m:r>
            </m:den>
          </m:f>
        </m:oMath>
      </m:oMathPara>
    </w:p>
    <w:p w14:paraId="0C0C174B" w14:textId="77777777" w:rsidR="009740DA" w:rsidRPr="009740DA" w:rsidRDefault="009740DA" w:rsidP="009740DA">
      <w:pPr>
        <w:pStyle w:val="Body"/>
        <w:rPr>
          <w:rFonts w:ascii="Arial" w:hAnsi="Arial" w:cs="Arial"/>
          <w:lang w:val="fr-FR"/>
        </w:rPr>
      </w:pPr>
      <w:proofErr w:type="spellStart"/>
      <w:r w:rsidRPr="009740DA">
        <w:rPr>
          <w:rFonts w:ascii="Arial" w:hAnsi="Arial" w:cs="Arial"/>
          <w:lang w:val="fr-FR"/>
        </w:rPr>
        <w:t>Where</w:t>
      </w:r>
      <w:proofErr w:type="spellEnd"/>
      <w:r w:rsidRPr="009740DA">
        <w:rPr>
          <w:rFonts w:ascii="Arial" w:hAnsi="Arial" w:cs="Arial"/>
          <w:lang w:val="fr-FR"/>
        </w:rPr>
        <w:t xml:space="preserve"> S </w:t>
      </w:r>
      <w:proofErr w:type="spellStart"/>
      <w:r w:rsidRPr="009740DA">
        <w:rPr>
          <w:rFonts w:ascii="Arial" w:hAnsi="Arial" w:cs="Arial"/>
          <w:lang w:val="fr-FR"/>
        </w:rPr>
        <w:t>is</w:t>
      </w:r>
      <w:proofErr w:type="spellEnd"/>
      <w:r w:rsidRPr="009740DA">
        <w:rPr>
          <w:rFonts w:ascii="Arial" w:hAnsi="Arial" w:cs="Arial"/>
          <w:lang w:val="fr-FR"/>
        </w:rPr>
        <w:t xml:space="preserve"> the </w:t>
      </w:r>
      <w:proofErr w:type="spellStart"/>
      <w:r w:rsidRPr="009740DA">
        <w:rPr>
          <w:rFonts w:ascii="Arial" w:hAnsi="Arial" w:cs="Arial"/>
          <w:lang w:val="fr-FR"/>
        </w:rPr>
        <w:t>number</w:t>
      </w:r>
      <w:proofErr w:type="spellEnd"/>
      <w:r w:rsidRPr="009740DA">
        <w:rPr>
          <w:rFonts w:ascii="Arial" w:hAnsi="Arial" w:cs="Arial"/>
          <w:lang w:val="fr-FR"/>
        </w:rPr>
        <w:t xml:space="preserve"> of </w:t>
      </w:r>
      <w:proofErr w:type="spellStart"/>
      <w:r w:rsidRPr="009740DA">
        <w:rPr>
          <w:rFonts w:ascii="Arial" w:hAnsi="Arial" w:cs="Arial"/>
          <w:lang w:val="fr-FR"/>
        </w:rPr>
        <w:t>species</w:t>
      </w:r>
      <w:proofErr w:type="spellEnd"/>
      <w:r w:rsidRPr="009740DA">
        <w:rPr>
          <w:rFonts w:ascii="Arial" w:hAnsi="Arial" w:cs="Arial"/>
          <w:lang w:val="fr-FR"/>
        </w:rPr>
        <w:t xml:space="preserve">, and N </w:t>
      </w:r>
      <w:proofErr w:type="spellStart"/>
      <w:r w:rsidRPr="009740DA">
        <w:rPr>
          <w:rFonts w:ascii="Arial" w:hAnsi="Arial" w:cs="Arial"/>
          <w:lang w:val="fr-FR"/>
        </w:rPr>
        <w:t>is</w:t>
      </w:r>
      <w:proofErr w:type="spellEnd"/>
      <w:r w:rsidRPr="009740DA">
        <w:rPr>
          <w:rFonts w:ascii="Arial" w:hAnsi="Arial" w:cs="Arial"/>
          <w:lang w:val="fr-FR"/>
        </w:rPr>
        <w:t xml:space="preserve"> the total </w:t>
      </w:r>
      <w:proofErr w:type="spellStart"/>
      <w:r w:rsidRPr="009740DA">
        <w:rPr>
          <w:rFonts w:ascii="Arial" w:hAnsi="Arial" w:cs="Arial"/>
          <w:lang w:val="fr-FR"/>
        </w:rPr>
        <w:t>number</w:t>
      </w:r>
      <w:proofErr w:type="spellEnd"/>
      <w:r w:rsidRPr="009740DA">
        <w:rPr>
          <w:rFonts w:ascii="Arial" w:hAnsi="Arial" w:cs="Arial"/>
          <w:lang w:val="fr-FR"/>
        </w:rPr>
        <w:t xml:space="preserve"> of </w:t>
      </w:r>
      <w:proofErr w:type="spellStart"/>
      <w:r w:rsidRPr="009740DA">
        <w:rPr>
          <w:rFonts w:ascii="Arial" w:hAnsi="Arial" w:cs="Arial"/>
          <w:lang w:val="fr-FR"/>
        </w:rPr>
        <w:t>individuals</w:t>
      </w:r>
      <w:proofErr w:type="spellEnd"/>
      <w:r w:rsidRPr="009740DA">
        <w:rPr>
          <w:rFonts w:ascii="Arial" w:hAnsi="Arial" w:cs="Arial"/>
          <w:lang w:val="fr-FR"/>
        </w:rPr>
        <w:t>.</w:t>
      </w:r>
    </w:p>
    <w:p w14:paraId="46E65EAE" w14:textId="60A55C8C" w:rsidR="009740DA" w:rsidRPr="009740DA" w:rsidRDefault="009740DA" w:rsidP="009740DA">
      <w:pPr>
        <w:pStyle w:val="Body"/>
        <w:rPr>
          <w:rFonts w:ascii="Arial" w:hAnsi="Arial" w:cs="Arial"/>
          <w:lang w:val="fr-FR"/>
        </w:rPr>
      </w:pPr>
      <w:r w:rsidRPr="009740DA">
        <w:rPr>
          <w:rFonts w:ascii="Arial" w:hAnsi="Arial" w:cs="Arial"/>
          <w:lang w:val="fr-FR"/>
        </w:rPr>
        <w:t xml:space="preserve">The </w:t>
      </w:r>
      <w:proofErr w:type="spellStart"/>
      <w:r w:rsidRPr="009740DA">
        <w:rPr>
          <w:rFonts w:ascii="Arial" w:hAnsi="Arial" w:cs="Arial"/>
          <w:lang w:val="fr-FR"/>
        </w:rPr>
        <w:t>diversity</w:t>
      </w:r>
      <w:proofErr w:type="spellEnd"/>
      <w:r w:rsidRPr="009740DA">
        <w:rPr>
          <w:rFonts w:ascii="Arial" w:hAnsi="Arial" w:cs="Arial"/>
          <w:lang w:val="fr-FR"/>
        </w:rPr>
        <w:t xml:space="preserve"> of a </w:t>
      </w:r>
      <w:proofErr w:type="spellStart"/>
      <w:r w:rsidRPr="009740DA">
        <w:rPr>
          <w:rFonts w:ascii="Arial" w:hAnsi="Arial" w:cs="Arial"/>
          <w:lang w:val="fr-FR"/>
        </w:rPr>
        <w:t>given</w:t>
      </w:r>
      <w:proofErr w:type="spellEnd"/>
      <w:r w:rsidRPr="009740DA">
        <w:rPr>
          <w:rFonts w:ascii="Arial" w:hAnsi="Arial" w:cs="Arial"/>
          <w:lang w:val="fr-FR"/>
        </w:rPr>
        <w:t xml:space="preserve"> </w:t>
      </w:r>
      <w:proofErr w:type="spellStart"/>
      <w:r w:rsidRPr="009740DA">
        <w:rPr>
          <w:rFonts w:ascii="Arial" w:hAnsi="Arial" w:cs="Arial"/>
          <w:lang w:val="fr-FR"/>
        </w:rPr>
        <w:t>environment</w:t>
      </w:r>
      <w:proofErr w:type="spellEnd"/>
      <w:r w:rsidRPr="009740DA">
        <w:rPr>
          <w:rFonts w:ascii="Arial" w:hAnsi="Arial" w:cs="Arial"/>
          <w:lang w:val="fr-FR"/>
        </w:rPr>
        <w:t xml:space="preserve"> </w:t>
      </w:r>
      <w:proofErr w:type="spellStart"/>
      <w:r w:rsidRPr="009740DA">
        <w:rPr>
          <w:rFonts w:ascii="Arial" w:hAnsi="Arial" w:cs="Arial"/>
          <w:lang w:val="fr-FR"/>
        </w:rPr>
        <w:t>is</w:t>
      </w:r>
      <w:proofErr w:type="spellEnd"/>
      <w:r w:rsidRPr="009740DA">
        <w:rPr>
          <w:rFonts w:ascii="Arial" w:hAnsi="Arial" w:cs="Arial"/>
          <w:lang w:val="fr-FR"/>
        </w:rPr>
        <w:t xml:space="preserve"> </w:t>
      </w:r>
      <w:proofErr w:type="spellStart"/>
      <w:r w:rsidRPr="009740DA">
        <w:rPr>
          <w:rFonts w:ascii="Arial" w:hAnsi="Arial" w:cs="Arial"/>
          <w:lang w:val="fr-FR"/>
        </w:rPr>
        <w:t>considered</w:t>
      </w:r>
      <w:proofErr w:type="spellEnd"/>
      <w:r>
        <w:rPr>
          <w:rFonts w:ascii="Arial" w:hAnsi="Arial" w:cs="Arial"/>
          <w:lang w:val="fr-FR"/>
        </w:rPr>
        <w:t xml:space="preserve"> </w:t>
      </w:r>
      <w:r w:rsidRPr="009740DA">
        <w:rPr>
          <w:rFonts w:ascii="Arial" w:hAnsi="Arial" w:cs="Arial"/>
          <w:lang w:val="fr-FR"/>
        </w:rPr>
        <w:t>:</w:t>
      </w:r>
    </w:p>
    <w:p w14:paraId="0ECB14AA" w14:textId="0C2E0867" w:rsidR="009740DA" w:rsidRPr="009740DA" w:rsidRDefault="009740DA" w:rsidP="00B5426B">
      <w:pPr>
        <w:pStyle w:val="Body"/>
        <w:numPr>
          <w:ilvl w:val="0"/>
          <w:numId w:val="31"/>
        </w:numPr>
        <w:spacing w:after="0"/>
        <w:rPr>
          <w:rFonts w:ascii="Arial" w:hAnsi="Arial" w:cs="Arial"/>
          <w:lang w:val="fr-FR"/>
        </w:rPr>
      </w:pPr>
      <w:proofErr w:type="spellStart"/>
      <w:proofErr w:type="gramStart"/>
      <w:r w:rsidRPr="009740DA">
        <w:rPr>
          <w:rFonts w:ascii="Arial" w:hAnsi="Arial" w:cs="Arial"/>
          <w:lang w:val="fr-FR"/>
        </w:rPr>
        <w:t>low</w:t>
      </w:r>
      <w:proofErr w:type="spellEnd"/>
      <w:proofErr w:type="gramEnd"/>
      <w:r w:rsidRPr="009740DA">
        <w:rPr>
          <w:rFonts w:ascii="Arial" w:hAnsi="Arial" w:cs="Arial"/>
          <w:lang w:val="fr-FR"/>
        </w:rPr>
        <w:t xml:space="preserve"> </w:t>
      </w:r>
      <w:proofErr w:type="spellStart"/>
      <w:r w:rsidRPr="009740DA">
        <w:rPr>
          <w:rFonts w:ascii="Arial" w:hAnsi="Arial" w:cs="Arial"/>
          <w:lang w:val="fr-FR"/>
        </w:rPr>
        <w:t>when</w:t>
      </w:r>
      <w:proofErr w:type="spellEnd"/>
      <w:r w:rsidRPr="009740DA">
        <w:rPr>
          <w:rFonts w:ascii="Arial" w:hAnsi="Arial" w:cs="Arial"/>
          <w:lang w:val="fr-FR"/>
        </w:rPr>
        <w:t xml:space="preserve"> RMG </w:t>
      </w:r>
      <w:bookmarkStart w:id="7" w:name="_Hlk195209234"/>
      <w:proofErr w:type="spellStart"/>
      <w:r w:rsidRPr="009740DA">
        <w:rPr>
          <w:rFonts w:ascii="Arial" w:hAnsi="Arial" w:cs="Arial"/>
          <w:lang w:val="fr-FR"/>
        </w:rPr>
        <w:t>is</w:t>
      </w:r>
      <w:proofErr w:type="spellEnd"/>
      <w:r w:rsidRPr="009740DA">
        <w:rPr>
          <w:rFonts w:ascii="Arial" w:hAnsi="Arial" w:cs="Arial"/>
          <w:lang w:val="fr-FR"/>
        </w:rPr>
        <w:t xml:space="preserve"> </w:t>
      </w:r>
      <w:proofErr w:type="spellStart"/>
      <w:r w:rsidRPr="009740DA">
        <w:rPr>
          <w:rFonts w:ascii="Arial" w:hAnsi="Arial" w:cs="Arial"/>
          <w:lang w:val="fr-FR"/>
        </w:rPr>
        <w:t>less</w:t>
      </w:r>
      <w:proofErr w:type="spellEnd"/>
      <w:r w:rsidRPr="009740DA">
        <w:rPr>
          <w:rFonts w:ascii="Arial" w:hAnsi="Arial" w:cs="Arial"/>
          <w:lang w:val="fr-FR"/>
        </w:rPr>
        <w:t xml:space="preserve"> </w:t>
      </w:r>
      <w:proofErr w:type="spellStart"/>
      <w:r w:rsidRPr="009740DA">
        <w:rPr>
          <w:rFonts w:ascii="Arial" w:hAnsi="Arial" w:cs="Arial"/>
          <w:lang w:val="fr-FR"/>
        </w:rPr>
        <w:t>than</w:t>
      </w:r>
      <w:proofErr w:type="spellEnd"/>
      <w:r w:rsidRPr="009740DA">
        <w:rPr>
          <w:rFonts w:ascii="Arial" w:hAnsi="Arial" w:cs="Arial"/>
          <w:lang w:val="fr-FR"/>
        </w:rPr>
        <w:t xml:space="preserve"> </w:t>
      </w:r>
      <w:bookmarkEnd w:id="7"/>
      <w:r w:rsidRPr="009740DA">
        <w:rPr>
          <w:rFonts w:ascii="Arial" w:hAnsi="Arial" w:cs="Arial"/>
          <w:lang w:val="fr-FR"/>
        </w:rPr>
        <w:t>2 ;</w:t>
      </w:r>
    </w:p>
    <w:p w14:paraId="1FE478A7" w14:textId="665C92B1" w:rsidR="009740DA" w:rsidRPr="009740DA" w:rsidRDefault="009740DA" w:rsidP="00B5426B">
      <w:pPr>
        <w:pStyle w:val="Body"/>
        <w:numPr>
          <w:ilvl w:val="0"/>
          <w:numId w:val="31"/>
        </w:numPr>
        <w:spacing w:after="0"/>
        <w:rPr>
          <w:rFonts w:ascii="Arial" w:hAnsi="Arial" w:cs="Arial"/>
          <w:lang w:val="fr-FR"/>
        </w:rPr>
      </w:pPr>
      <w:proofErr w:type="gramStart"/>
      <w:r w:rsidRPr="009740DA">
        <w:rPr>
          <w:rFonts w:ascii="Arial" w:hAnsi="Arial" w:cs="Arial"/>
          <w:lang w:val="fr-FR"/>
        </w:rPr>
        <w:t>high</w:t>
      </w:r>
      <w:proofErr w:type="gramEnd"/>
      <w:r w:rsidRPr="009740DA">
        <w:rPr>
          <w:rFonts w:ascii="Arial" w:hAnsi="Arial" w:cs="Arial"/>
          <w:lang w:val="fr-FR"/>
        </w:rPr>
        <w:t xml:space="preserve"> </w:t>
      </w:r>
      <w:proofErr w:type="spellStart"/>
      <w:r w:rsidRPr="009740DA">
        <w:rPr>
          <w:rFonts w:ascii="Arial" w:hAnsi="Arial" w:cs="Arial"/>
          <w:lang w:val="fr-FR"/>
        </w:rPr>
        <w:t>when</w:t>
      </w:r>
      <w:proofErr w:type="spellEnd"/>
      <w:r w:rsidRPr="009740DA">
        <w:rPr>
          <w:rFonts w:ascii="Arial" w:hAnsi="Arial" w:cs="Arial"/>
          <w:lang w:val="fr-FR"/>
        </w:rPr>
        <w:t xml:space="preserve"> RMG </w:t>
      </w:r>
      <w:bookmarkStart w:id="8" w:name="_Hlk195209272"/>
      <w:proofErr w:type="spellStart"/>
      <w:r w:rsidRPr="009740DA">
        <w:rPr>
          <w:rFonts w:ascii="Arial" w:hAnsi="Arial" w:cs="Arial"/>
          <w:lang w:val="fr-FR"/>
        </w:rPr>
        <w:t>is</w:t>
      </w:r>
      <w:proofErr w:type="spellEnd"/>
      <w:r w:rsidRPr="009740DA">
        <w:rPr>
          <w:rFonts w:ascii="Arial" w:hAnsi="Arial" w:cs="Arial"/>
          <w:lang w:val="fr-FR"/>
        </w:rPr>
        <w:t xml:space="preserve"> </w:t>
      </w:r>
      <w:proofErr w:type="spellStart"/>
      <w:r w:rsidRPr="009740DA">
        <w:rPr>
          <w:rFonts w:ascii="Arial" w:hAnsi="Arial" w:cs="Arial"/>
          <w:lang w:val="fr-FR"/>
        </w:rPr>
        <w:t>greater</w:t>
      </w:r>
      <w:proofErr w:type="spellEnd"/>
      <w:r w:rsidRPr="009740DA">
        <w:rPr>
          <w:rFonts w:ascii="Arial" w:hAnsi="Arial" w:cs="Arial"/>
          <w:lang w:val="fr-FR"/>
        </w:rPr>
        <w:t xml:space="preserve"> </w:t>
      </w:r>
      <w:proofErr w:type="spellStart"/>
      <w:r w:rsidRPr="009740DA">
        <w:rPr>
          <w:rFonts w:ascii="Arial" w:hAnsi="Arial" w:cs="Arial"/>
          <w:lang w:val="fr-FR"/>
        </w:rPr>
        <w:t>than</w:t>
      </w:r>
      <w:proofErr w:type="spellEnd"/>
      <w:r w:rsidRPr="009740DA">
        <w:rPr>
          <w:rFonts w:ascii="Arial" w:hAnsi="Arial" w:cs="Arial"/>
          <w:lang w:val="fr-FR"/>
        </w:rPr>
        <w:t xml:space="preserve"> </w:t>
      </w:r>
      <w:bookmarkEnd w:id="8"/>
      <w:r w:rsidRPr="009740DA">
        <w:rPr>
          <w:rFonts w:ascii="Arial" w:hAnsi="Arial" w:cs="Arial"/>
          <w:lang w:val="fr-FR"/>
        </w:rPr>
        <w:t>6 ;</w:t>
      </w:r>
    </w:p>
    <w:p w14:paraId="23EEDA2F" w14:textId="53354861" w:rsidR="009740DA" w:rsidRPr="009740DA" w:rsidRDefault="009740DA" w:rsidP="009740DA">
      <w:pPr>
        <w:pStyle w:val="Body"/>
        <w:numPr>
          <w:ilvl w:val="0"/>
          <w:numId w:val="31"/>
        </w:numPr>
        <w:rPr>
          <w:rFonts w:ascii="Arial" w:hAnsi="Arial" w:cs="Arial"/>
          <w:lang w:val="fr-FR"/>
        </w:rPr>
      </w:pPr>
      <w:proofErr w:type="spellStart"/>
      <w:proofErr w:type="gramStart"/>
      <w:r w:rsidRPr="009740DA">
        <w:rPr>
          <w:rFonts w:ascii="Arial" w:hAnsi="Arial" w:cs="Arial"/>
          <w:lang w:val="fr-FR"/>
        </w:rPr>
        <w:t>moderate</w:t>
      </w:r>
      <w:proofErr w:type="spellEnd"/>
      <w:proofErr w:type="gramEnd"/>
      <w:r w:rsidRPr="009740DA">
        <w:rPr>
          <w:rFonts w:ascii="Arial" w:hAnsi="Arial" w:cs="Arial"/>
          <w:lang w:val="fr-FR"/>
        </w:rPr>
        <w:t xml:space="preserve"> </w:t>
      </w:r>
      <w:proofErr w:type="spellStart"/>
      <w:r w:rsidRPr="009740DA">
        <w:rPr>
          <w:rFonts w:ascii="Arial" w:hAnsi="Arial" w:cs="Arial"/>
          <w:lang w:val="fr-FR"/>
        </w:rPr>
        <w:t>when</w:t>
      </w:r>
      <w:proofErr w:type="spellEnd"/>
      <w:r w:rsidRPr="009740DA">
        <w:rPr>
          <w:rFonts w:ascii="Arial" w:hAnsi="Arial" w:cs="Arial"/>
          <w:lang w:val="fr-FR"/>
        </w:rPr>
        <w:t xml:space="preserve"> RMG </w:t>
      </w:r>
      <w:proofErr w:type="spellStart"/>
      <w:r w:rsidRPr="009740DA">
        <w:rPr>
          <w:rFonts w:ascii="Arial" w:hAnsi="Arial" w:cs="Arial"/>
          <w:lang w:val="fr-FR"/>
        </w:rPr>
        <w:t>is</w:t>
      </w:r>
      <w:proofErr w:type="spellEnd"/>
      <w:r w:rsidRPr="009740DA">
        <w:rPr>
          <w:rFonts w:ascii="Arial" w:hAnsi="Arial" w:cs="Arial"/>
          <w:lang w:val="fr-FR"/>
        </w:rPr>
        <w:t xml:space="preserve"> </w:t>
      </w:r>
      <w:proofErr w:type="spellStart"/>
      <w:r w:rsidRPr="009740DA">
        <w:rPr>
          <w:rFonts w:ascii="Arial" w:hAnsi="Arial" w:cs="Arial"/>
          <w:lang w:val="fr-FR"/>
        </w:rPr>
        <w:t>between</w:t>
      </w:r>
      <w:proofErr w:type="spellEnd"/>
      <w:r w:rsidRPr="009740DA">
        <w:rPr>
          <w:rFonts w:ascii="Arial" w:hAnsi="Arial" w:cs="Arial"/>
          <w:lang w:val="fr-FR"/>
        </w:rPr>
        <w:t xml:space="preserve"> 2 and 6.</w:t>
      </w:r>
    </w:p>
    <w:p w14:paraId="3B7D77B3" w14:textId="28AD762E" w:rsidR="009740DA" w:rsidRDefault="009740DA" w:rsidP="009740DA">
      <w:pPr>
        <w:pStyle w:val="Body"/>
        <w:rPr>
          <w:rFonts w:ascii="Arial" w:hAnsi="Arial" w:cs="Arial"/>
        </w:rPr>
      </w:pPr>
      <w:r w:rsidRPr="009740DA">
        <w:rPr>
          <w:rFonts w:ascii="Arial" w:hAnsi="Arial" w:cs="Arial"/>
        </w:rPr>
        <w:t>Shannon's Diversity Index (H’) is used to assess the diversity of a plant community, considering species richness and the relative abundance of species. It is calculated as follows:</w:t>
      </w:r>
    </w:p>
    <w:p w14:paraId="53E0D036" w14:textId="3CD6DFA6" w:rsidR="009740DA" w:rsidRPr="009740DA" w:rsidRDefault="009740DA" w:rsidP="009740DA">
      <w:pPr>
        <w:pStyle w:val="Body"/>
        <w:rPr>
          <w:rFonts w:ascii="Arial" w:hAnsi="Arial" w:cs="Arial"/>
          <w:bCs/>
          <w:lang w:val="fr-FR"/>
        </w:rPr>
      </w:pPr>
      <m:oMathPara>
        <m:oMath>
          <m:r>
            <m:rPr>
              <m:sty m:val="p"/>
            </m:rPr>
            <w:rPr>
              <w:rFonts w:ascii="Cambria Math" w:hAnsi="Cambria Math" w:cs="Arial"/>
              <w:lang w:val="fr-FR"/>
            </w:rPr>
            <m:t>H</m:t>
          </m:r>
          <m:r>
            <m:rPr>
              <m:sty m:val="p"/>
            </m:rPr>
            <w:rPr>
              <w:rFonts w:ascii="Cambria Math" w:hAnsi="Cambria Math" w:cs="Arial"/>
            </w:rPr>
            <m:t>'</m:t>
          </m:r>
          <m:r>
            <m:rPr>
              <m:sty m:val="p"/>
            </m:rPr>
            <w:rPr>
              <w:rFonts w:ascii="Cambria Math" w:hAnsi="Cambria Math" w:cs="Arial"/>
              <w:lang w:val="fr-FR"/>
            </w:rPr>
            <m:t>=</m:t>
          </m:r>
          <m:nary>
            <m:naryPr>
              <m:chr m:val="∑"/>
              <m:limLoc m:val="undOvr"/>
              <m:subHide m:val="1"/>
              <m:supHide m:val="1"/>
              <m:ctrlPr>
                <w:rPr>
                  <w:rFonts w:ascii="Cambria Math" w:hAnsi="Cambria Math" w:cs="Arial"/>
                  <w:bCs/>
                  <w:lang w:val="fr-CI"/>
                </w:rPr>
              </m:ctrlPr>
            </m:naryPr>
            <m:sub/>
            <m:sup/>
            <m:e>
              <m:r>
                <m:rPr>
                  <m:sty m:val="p"/>
                </m:rPr>
                <w:rPr>
                  <w:rFonts w:ascii="Cambria Math" w:hAnsi="Cambria Math" w:cs="Arial"/>
                  <w:lang w:val="fr-FR"/>
                </w:rPr>
                <m:t>(</m:t>
              </m:r>
              <m:f>
                <m:fPr>
                  <m:ctrlPr>
                    <w:rPr>
                      <w:rFonts w:ascii="Cambria Math" w:hAnsi="Cambria Math" w:cs="Arial"/>
                      <w:bCs/>
                      <w:lang w:val="fr-CI"/>
                    </w:rPr>
                  </m:ctrlPr>
                </m:fPr>
                <m:num>
                  <m:r>
                    <m:rPr>
                      <m:sty m:val="p"/>
                    </m:rPr>
                    <w:rPr>
                      <w:rFonts w:ascii="Cambria Math" w:hAnsi="Cambria Math" w:cs="Arial"/>
                      <w:lang w:val="fr-FR"/>
                    </w:rPr>
                    <m:t>ni</m:t>
                  </m:r>
                </m:num>
                <m:den>
                  <m:r>
                    <m:rPr>
                      <m:sty m:val="p"/>
                    </m:rPr>
                    <w:rPr>
                      <w:rFonts w:ascii="Cambria Math" w:hAnsi="Cambria Math" w:cs="Arial"/>
                      <w:lang w:val="fr-FR"/>
                    </w:rPr>
                    <m:t>N</m:t>
                  </m:r>
                </m:den>
              </m:f>
            </m:e>
          </m:nary>
          <m:r>
            <m:rPr>
              <m:sty m:val="p"/>
            </m:rPr>
            <w:rPr>
              <w:rFonts w:ascii="Cambria Math" w:hAnsi="Cambria Math" w:cs="Arial"/>
              <w:lang w:val="fr-FR"/>
            </w:rPr>
            <m:t>×ln</m:t>
          </m:r>
          <m:f>
            <m:fPr>
              <m:ctrlPr>
                <w:rPr>
                  <w:rFonts w:ascii="Cambria Math" w:hAnsi="Cambria Math" w:cs="Arial"/>
                  <w:bCs/>
                  <w:lang w:val="fr-CI"/>
                </w:rPr>
              </m:ctrlPr>
            </m:fPr>
            <m:num>
              <m:r>
                <m:rPr>
                  <m:sty m:val="p"/>
                </m:rPr>
                <w:rPr>
                  <w:rFonts w:ascii="Cambria Math" w:hAnsi="Cambria Math" w:cs="Arial"/>
                  <w:lang w:val="fr-FR"/>
                </w:rPr>
                <m:t>ni</m:t>
              </m:r>
            </m:num>
            <m:den>
              <m:r>
                <m:rPr>
                  <m:sty m:val="p"/>
                </m:rPr>
                <w:rPr>
                  <w:rFonts w:ascii="Cambria Math" w:hAnsi="Cambria Math" w:cs="Arial"/>
                  <w:lang w:val="fr-FR"/>
                </w:rPr>
                <m:t>N</m:t>
              </m:r>
            </m:den>
          </m:f>
          <m:r>
            <m:rPr>
              <m:sty m:val="p"/>
            </m:rPr>
            <w:rPr>
              <w:rFonts w:ascii="Cambria Math" w:hAnsi="Cambria Math" w:cs="Arial"/>
              <w:lang w:val="fr-FR"/>
            </w:rPr>
            <m:t>)</m:t>
          </m:r>
        </m:oMath>
      </m:oMathPara>
    </w:p>
    <w:p w14:paraId="57476017" w14:textId="77777777" w:rsidR="009740DA" w:rsidRPr="009740DA" w:rsidRDefault="009740DA" w:rsidP="009740DA">
      <w:pPr>
        <w:pStyle w:val="Body"/>
        <w:rPr>
          <w:rFonts w:ascii="Arial" w:hAnsi="Arial" w:cs="Arial"/>
        </w:rPr>
      </w:pPr>
      <w:r w:rsidRPr="009740DA">
        <w:rPr>
          <w:rFonts w:ascii="Arial" w:hAnsi="Arial" w:cs="Arial"/>
        </w:rPr>
        <w:t xml:space="preserve">Where nᵢ </w:t>
      </w:r>
      <w:bookmarkStart w:id="9" w:name="_Hlk195211626"/>
      <w:r w:rsidRPr="009740DA">
        <w:rPr>
          <w:rFonts w:ascii="Arial" w:hAnsi="Arial" w:cs="Arial"/>
        </w:rPr>
        <w:t xml:space="preserve">is the </w:t>
      </w:r>
      <w:bookmarkEnd w:id="9"/>
      <w:r w:rsidRPr="009740DA">
        <w:rPr>
          <w:rFonts w:ascii="Arial" w:hAnsi="Arial" w:cs="Arial"/>
        </w:rPr>
        <w:t xml:space="preserve">number of individuals of species </w:t>
      </w:r>
      <w:proofErr w:type="spellStart"/>
      <w:r w:rsidRPr="009740DA">
        <w:rPr>
          <w:rFonts w:ascii="Arial" w:hAnsi="Arial" w:cs="Arial"/>
        </w:rPr>
        <w:t>i</w:t>
      </w:r>
      <w:proofErr w:type="spellEnd"/>
      <w:r w:rsidRPr="009740DA">
        <w:rPr>
          <w:rFonts w:ascii="Arial" w:hAnsi="Arial" w:cs="Arial"/>
        </w:rPr>
        <w:t>, and N is the total number of individuals across all species.</w:t>
      </w:r>
    </w:p>
    <w:p w14:paraId="683E2A18" w14:textId="5B3C75B1" w:rsidR="009740DA" w:rsidRPr="009740DA" w:rsidRDefault="009740DA" w:rsidP="009740DA">
      <w:pPr>
        <w:pStyle w:val="Body"/>
        <w:rPr>
          <w:rFonts w:ascii="Arial" w:hAnsi="Arial" w:cs="Arial"/>
        </w:rPr>
      </w:pPr>
      <w:r w:rsidRPr="009740DA">
        <w:rPr>
          <w:rFonts w:ascii="Arial" w:hAnsi="Arial" w:cs="Arial"/>
        </w:rPr>
        <w:t xml:space="preserve">According to </w:t>
      </w:r>
      <w:proofErr w:type="spellStart"/>
      <w:r w:rsidRPr="009740DA">
        <w:rPr>
          <w:rFonts w:ascii="Arial" w:hAnsi="Arial" w:cs="Arial"/>
        </w:rPr>
        <w:t>Djego</w:t>
      </w:r>
      <w:proofErr w:type="spellEnd"/>
      <w:r w:rsidRPr="009740DA">
        <w:rPr>
          <w:rFonts w:ascii="Arial" w:hAnsi="Arial" w:cs="Arial"/>
        </w:rPr>
        <w:t xml:space="preserve"> et al. (2012), the diversity is</w:t>
      </w:r>
      <w:r w:rsidR="00AB189B">
        <w:rPr>
          <w:rFonts w:ascii="Arial" w:hAnsi="Arial" w:cs="Arial"/>
        </w:rPr>
        <w:t>:</w:t>
      </w:r>
    </w:p>
    <w:p w14:paraId="33E1CF75" w14:textId="42134B9A" w:rsidR="009740DA" w:rsidRPr="009740DA" w:rsidRDefault="009740DA" w:rsidP="00B5426B">
      <w:pPr>
        <w:pStyle w:val="Body"/>
        <w:numPr>
          <w:ilvl w:val="0"/>
          <w:numId w:val="33"/>
        </w:numPr>
        <w:spacing w:after="0"/>
        <w:rPr>
          <w:rFonts w:ascii="Arial" w:hAnsi="Arial" w:cs="Arial"/>
        </w:rPr>
      </w:pPr>
      <w:r w:rsidRPr="009740DA">
        <w:rPr>
          <w:rFonts w:ascii="Arial" w:hAnsi="Arial" w:cs="Arial"/>
        </w:rPr>
        <w:t>low if H'</w:t>
      </w:r>
      <w:r w:rsidRPr="009740DA">
        <w:t xml:space="preserve"> </w:t>
      </w:r>
      <w:r w:rsidRPr="009740DA">
        <w:rPr>
          <w:rFonts w:ascii="Arial" w:hAnsi="Arial" w:cs="Arial"/>
        </w:rPr>
        <w:t>is less than 3</w:t>
      </w:r>
      <w:r w:rsidR="00AB189B">
        <w:rPr>
          <w:rFonts w:ascii="Arial" w:hAnsi="Arial" w:cs="Arial"/>
        </w:rPr>
        <w:t>;</w:t>
      </w:r>
    </w:p>
    <w:p w14:paraId="78E09531" w14:textId="2D8F8D8F" w:rsidR="009740DA" w:rsidRPr="009740DA" w:rsidRDefault="009740DA" w:rsidP="00B5426B">
      <w:pPr>
        <w:pStyle w:val="Body"/>
        <w:numPr>
          <w:ilvl w:val="0"/>
          <w:numId w:val="33"/>
        </w:numPr>
        <w:spacing w:after="0"/>
        <w:rPr>
          <w:rFonts w:ascii="Arial" w:hAnsi="Arial" w:cs="Arial"/>
        </w:rPr>
      </w:pPr>
      <w:r w:rsidRPr="009740DA">
        <w:rPr>
          <w:rFonts w:ascii="Arial" w:hAnsi="Arial" w:cs="Arial"/>
        </w:rPr>
        <w:t>high if H'</w:t>
      </w:r>
      <w:r w:rsidRPr="009740DA">
        <w:t xml:space="preserve"> </w:t>
      </w:r>
      <w:r w:rsidRPr="009740DA">
        <w:rPr>
          <w:rFonts w:ascii="Arial" w:hAnsi="Arial" w:cs="Arial"/>
        </w:rPr>
        <w:t>is greater than 4</w:t>
      </w:r>
      <w:r w:rsidR="00AB189B">
        <w:rPr>
          <w:rFonts w:ascii="Arial" w:hAnsi="Arial" w:cs="Arial"/>
        </w:rPr>
        <w:t>;</w:t>
      </w:r>
    </w:p>
    <w:p w14:paraId="3661EB40" w14:textId="22C97B3F" w:rsidR="009740DA" w:rsidRDefault="009740DA" w:rsidP="009740DA">
      <w:pPr>
        <w:pStyle w:val="Body"/>
        <w:numPr>
          <w:ilvl w:val="0"/>
          <w:numId w:val="33"/>
        </w:numPr>
        <w:rPr>
          <w:rFonts w:ascii="Arial" w:hAnsi="Arial" w:cs="Arial"/>
        </w:rPr>
      </w:pPr>
      <w:r w:rsidRPr="009740DA">
        <w:rPr>
          <w:rFonts w:ascii="Arial" w:hAnsi="Arial" w:cs="Arial"/>
        </w:rPr>
        <w:t>moderate if H</w:t>
      </w:r>
      <w:bookmarkStart w:id="10" w:name="_Hlk195209566"/>
      <w:r w:rsidRPr="009740DA">
        <w:rPr>
          <w:rFonts w:ascii="Arial" w:hAnsi="Arial" w:cs="Arial"/>
        </w:rPr>
        <w:t>'</w:t>
      </w:r>
      <w:bookmarkEnd w:id="10"/>
      <w:r w:rsidRPr="009740DA">
        <w:rPr>
          <w:rFonts w:ascii="Arial" w:hAnsi="Arial" w:cs="Arial"/>
        </w:rPr>
        <w:t xml:space="preserve"> ranges between 3 and 4.</w:t>
      </w:r>
    </w:p>
    <w:p w14:paraId="7AA42F3B" w14:textId="06835B1E" w:rsidR="00790ADA" w:rsidRDefault="00AB189B" w:rsidP="00441B6F">
      <w:pPr>
        <w:pStyle w:val="Body"/>
        <w:spacing w:after="0"/>
        <w:rPr>
          <w:rFonts w:ascii="Arial" w:hAnsi="Arial" w:cs="Arial"/>
        </w:rPr>
      </w:pPr>
      <w:proofErr w:type="spellStart"/>
      <w:r w:rsidRPr="00AB189B">
        <w:rPr>
          <w:rFonts w:ascii="Arial" w:hAnsi="Arial" w:cs="Arial"/>
        </w:rPr>
        <w:t>Pielou’s</w:t>
      </w:r>
      <w:proofErr w:type="spellEnd"/>
      <w:r w:rsidRPr="00AB189B">
        <w:rPr>
          <w:rFonts w:ascii="Arial" w:hAnsi="Arial" w:cs="Arial"/>
        </w:rPr>
        <w:t xml:space="preserve"> Evenness Index (E) measures how evenly individuals are distributed among the species present. It is calculated using:</w:t>
      </w:r>
    </w:p>
    <w:p w14:paraId="11602EF1" w14:textId="77777777" w:rsidR="00AB189B" w:rsidRDefault="00AB189B" w:rsidP="00441B6F">
      <w:pPr>
        <w:pStyle w:val="Body"/>
        <w:spacing w:after="0"/>
        <w:rPr>
          <w:rFonts w:ascii="Arial" w:hAnsi="Arial" w:cs="Arial"/>
        </w:rPr>
      </w:pPr>
    </w:p>
    <w:p w14:paraId="2DD78290" w14:textId="5864C8B6" w:rsidR="00AB189B" w:rsidRPr="00AB189B" w:rsidRDefault="00AB189B" w:rsidP="00AB189B">
      <w:pPr>
        <w:pStyle w:val="Body"/>
        <w:rPr>
          <w:rFonts w:ascii="Arial" w:hAnsi="Arial" w:cs="Arial"/>
          <w:bCs/>
          <w:lang w:val="fr-FR"/>
        </w:rPr>
      </w:pPr>
      <m:oMathPara>
        <m:oMathParaPr>
          <m:jc m:val="center"/>
        </m:oMathParaPr>
        <m:oMath>
          <m:r>
            <m:rPr>
              <m:nor/>
            </m:rPr>
            <w:rPr>
              <w:rFonts w:ascii="Arial" w:hAnsi="Arial" w:cs="Arial"/>
              <w:bCs/>
              <w:lang w:val="fr-FR"/>
            </w:rPr>
            <m:t>E=</m:t>
          </m:r>
          <m:f>
            <m:fPr>
              <m:ctrlPr>
                <w:rPr>
                  <w:rFonts w:ascii="Cambria Math" w:hAnsi="Cambria Math" w:cs="Arial"/>
                  <w:bCs/>
                  <w:i/>
                  <w:lang w:val="fr-FR"/>
                </w:rPr>
              </m:ctrlPr>
            </m:fPr>
            <m:num>
              <m:r>
                <m:rPr>
                  <m:nor/>
                </m:rPr>
                <w:rPr>
                  <w:rFonts w:ascii="Arial" w:hAnsi="Arial" w:cs="Arial"/>
                  <w:bCs/>
                  <w:lang w:val="fr-FR"/>
                </w:rPr>
                <m:t>H</m:t>
              </m:r>
              <m:r>
                <m:rPr>
                  <m:nor/>
                </m:rPr>
                <w:rPr>
                  <w:rFonts w:ascii="Cambria Math" w:hAnsi="Arial" w:cs="Arial"/>
                  <w:bCs/>
                </w:rPr>
                <m:t>'</m:t>
              </m:r>
            </m:num>
            <m:den>
              <m:r>
                <m:rPr>
                  <m:nor/>
                </m:rPr>
                <w:rPr>
                  <w:rFonts w:ascii="Arial" w:hAnsi="Arial" w:cs="Arial"/>
                  <w:bCs/>
                  <w:lang w:val="fr-FR"/>
                </w:rPr>
                <m:t>ln</m:t>
              </m:r>
              <m:r>
                <m:rPr>
                  <m:nor/>
                </m:rPr>
                <w:rPr>
                  <w:rFonts w:ascii="Cambria Math" w:hAnsi="Arial" w:cs="Arial"/>
                  <w:bCs/>
                  <w:lang w:val="fr-FR"/>
                </w:rPr>
                <m:t xml:space="preserve"> </m:t>
              </m:r>
              <m:r>
                <m:rPr>
                  <m:nor/>
                </m:rPr>
                <w:rPr>
                  <w:rFonts w:ascii="Arial" w:hAnsi="Arial" w:cs="Arial"/>
                  <w:bCs/>
                  <w:lang w:val="fr-FR"/>
                </w:rPr>
                <m:t>S</m:t>
              </m:r>
            </m:den>
          </m:f>
        </m:oMath>
      </m:oMathPara>
    </w:p>
    <w:p w14:paraId="14996BC5" w14:textId="783F2D50" w:rsidR="00AB189B" w:rsidRDefault="00AB189B" w:rsidP="00441B6F">
      <w:pPr>
        <w:pStyle w:val="Body"/>
        <w:spacing w:after="0"/>
        <w:rPr>
          <w:rFonts w:ascii="Arial" w:hAnsi="Arial" w:cs="Arial"/>
        </w:rPr>
      </w:pPr>
      <w:r w:rsidRPr="00AB189B">
        <w:rPr>
          <w:rFonts w:ascii="Arial" w:hAnsi="Arial" w:cs="Arial"/>
        </w:rPr>
        <w:t>Where H' is Shannon’s diversity index, and S is the total number of species. This index reflects the degree of uniformity in species distribution.</w:t>
      </w:r>
    </w:p>
    <w:p w14:paraId="25B73B5B" w14:textId="77777777" w:rsidR="00AB189B" w:rsidRPr="00502516" w:rsidRDefault="00AB189B" w:rsidP="00441B6F">
      <w:pPr>
        <w:pStyle w:val="Body"/>
        <w:spacing w:after="0"/>
        <w:rPr>
          <w:rFonts w:ascii="Arial" w:hAnsi="Arial" w:cs="Arial"/>
        </w:rPr>
      </w:pPr>
    </w:p>
    <w:p w14:paraId="3F2D93DF" w14:textId="49E543D3" w:rsidR="00A03B96" w:rsidRPr="006B0761" w:rsidRDefault="006B0761" w:rsidP="00441B6F">
      <w:pPr>
        <w:pStyle w:val="Body"/>
        <w:spacing w:after="0"/>
        <w:rPr>
          <w:rFonts w:ascii="Arial" w:hAnsi="Arial" w:cs="Arial"/>
          <w:b/>
          <w:bCs/>
        </w:rPr>
      </w:pPr>
      <w:bookmarkStart w:id="11" w:name="_Hlk195211892"/>
      <w:r w:rsidRPr="006B0761">
        <w:rPr>
          <w:rFonts w:ascii="Arial" w:hAnsi="Arial" w:cs="Arial"/>
          <w:b/>
          <w:bCs/>
        </w:rPr>
        <w:t>2.3.</w:t>
      </w:r>
      <w:r w:rsidR="00B5426B">
        <w:rPr>
          <w:rFonts w:ascii="Arial" w:hAnsi="Arial" w:cs="Arial"/>
          <w:b/>
          <w:bCs/>
        </w:rPr>
        <w:t>3</w:t>
      </w:r>
      <w:r w:rsidRPr="006B0761">
        <w:rPr>
          <w:rFonts w:ascii="Arial" w:hAnsi="Arial" w:cs="Arial"/>
          <w:b/>
          <w:bCs/>
        </w:rPr>
        <w:t xml:space="preserve">. </w:t>
      </w:r>
      <w:bookmarkEnd w:id="11"/>
      <w:r w:rsidRPr="006B0761">
        <w:rPr>
          <w:rFonts w:ascii="Arial" w:hAnsi="Arial" w:cs="Arial"/>
          <w:b/>
          <w:bCs/>
        </w:rPr>
        <w:t xml:space="preserve">Assessment of </w:t>
      </w:r>
      <w:bookmarkStart w:id="12" w:name="_Hlk195211141"/>
      <w:r w:rsidRPr="006B0761">
        <w:rPr>
          <w:rFonts w:ascii="Arial" w:hAnsi="Arial" w:cs="Arial"/>
          <w:b/>
          <w:bCs/>
        </w:rPr>
        <w:t>the relative importance of flora</w:t>
      </w:r>
      <w:bookmarkEnd w:id="12"/>
    </w:p>
    <w:p w14:paraId="252DF2A4" w14:textId="77777777" w:rsidR="006B0761" w:rsidRDefault="006B0761" w:rsidP="00441B6F">
      <w:pPr>
        <w:pStyle w:val="Body"/>
        <w:spacing w:after="0"/>
        <w:rPr>
          <w:rFonts w:ascii="Arial" w:hAnsi="Arial" w:cs="Arial"/>
        </w:rPr>
      </w:pPr>
    </w:p>
    <w:p w14:paraId="6720C3A3" w14:textId="77777777" w:rsidR="00F411CC" w:rsidRDefault="00F411CC" w:rsidP="006B0761">
      <w:pPr>
        <w:pStyle w:val="Body"/>
        <w:rPr>
          <w:rFonts w:ascii="Arial" w:hAnsi="Arial" w:cs="Arial"/>
        </w:rPr>
      </w:pPr>
      <w:r w:rsidRPr="00F411CC">
        <w:rPr>
          <w:rFonts w:ascii="Arial" w:hAnsi="Arial" w:cs="Arial"/>
        </w:rPr>
        <w:t xml:space="preserve">The relative importance of </w:t>
      </w:r>
      <w:bookmarkStart w:id="13" w:name="_Hlk195211737"/>
      <w:r w:rsidRPr="00F411CC">
        <w:rPr>
          <w:rFonts w:ascii="Arial" w:hAnsi="Arial" w:cs="Arial"/>
        </w:rPr>
        <w:t>the</w:t>
      </w:r>
      <w:bookmarkEnd w:id="13"/>
      <w:r w:rsidRPr="00F411CC">
        <w:rPr>
          <w:rFonts w:ascii="Arial" w:hAnsi="Arial" w:cs="Arial"/>
        </w:rPr>
        <w:t xml:space="preserve"> flora was assessed using the Species Importance Value Indices (SIVI) and Family Importance Value Indices (FIVI)</w:t>
      </w:r>
      <w:r>
        <w:rPr>
          <w:rFonts w:ascii="Arial" w:hAnsi="Arial" w:cs="Arial"/>
        </w:rPr>
        <w:t xml:space="preserve">. </w:t>
      </w:r>
      <w:r w:rsidR="006B0761" w:rsidRPr="006B0761">
        <w:rPr>
          <w:rFonts w:ascii="Arial" w:hAnsi="Arial" w:cs="Arial"/>
        </w:rPr>
        <w:t xml:space="preserve">The </w:t>
      </w:r>
      <w:r>
        <w:rPr>
          <w:rFonts w:ascii="Arial" w:hAnsi="Arial" w:cs="Arial"/>
        </w:rPr>
        <w:t>S</w:t>
      </w:r>
      <w:r w:rsidRPr="00F411CC">
        <w:rPr>
          <w:rFonts w:ascii="Arial" w:hAnsi="Arial" w:cs="Arial"/>
        </w:rPr>
        <w:t xml:space="preserve">pecies </w:t>
      </w:r>
      <w:r w:rsidR="006B0761" w:rsidRPr="006B0761">
        <w:rPr>
          <w:rFonts w:ascii="Arial" w:hAnsi="Arial" w:cs="Arial"/>
        </w:rPr>
        <w:t>Importance Value Index (</w:t>
      </w:r>
      <w:r>
        <w:rPr>
          <w:rFonts w:ascii="Arial" w:hAnsi="Arial" w:cs="Arial"/>
        </w:rPr>
        <w:t>S</w:t>
      </w:r>
      <w:r w:rsidR="006B0761" w:rsidRPr="006B0761">
        <w:rPr>
          <w:rFonts w:ascii="Arial" w:hAnsi="Arial" w:cs="Arial"/>
        </w:rPr>
        <w:t>IVI) and the Family Importance Value Index (FIV</w:t>
      </w:r>
      <w:r>
        <w:rPr>
          <w:rFonts w:ascii="Arial" w:hAnsi="Arial" w:cs="Arial"/>
        </w:rPr>
        <w:t>I</w:t>
      </w:r>
      <w:r w:rsidR="006B0761" w:rsidRPr="006B0761">
        <w:rPr>
          <w:rFonts w:ascii="Arial" w:hAnsi="Arial" w:cs="Arial"/>
        </w:rPr>
        <w:t xml:space="preserve">) are used to identify dominant ecological entities within a community or ecological compartment. These indices help determine which species or families have the highest ecological value </w:t>
      </w:r>
      <w:r w:rsidRPr="006B0761">
        <w:rPr>
          <w:rFonts w:ascii="Arial" w:hAnsi="Arial" w:cs="Arial"/>
        </w:rPr>
        <w:t>in each</w:t>
      </w:r>
      <w:r w:rsidR="006B0761" w:rsidRPr="006B0761">
        <w:rPr>
          <w:rFonts w:ascii="Arial" w:hAnsi="Arial" w:cs="Arial"/>
        </w:rPr>
        <w:t xml:space="preserve"> habitat. </w:t>
      </w:r>
      <w:r w:rsidR="006B0761" w:rsidRPr="006B0761">
        <w:rPr>
          <w:rFonts w:ascii="Arial" w:hAnsi="Arial" w:cs="Arial"/>
        </w:rPr>
        <w:lastRenderedPageBreak/>
        <w:t xml:space="preserve">According to </w:t>
      </w:r>
      <w:proofErr w:type="spellStart"/>
      <w:r w:rsidR="006B0761" w:rsidRPr="006B0761">
        <w:rPr>
          <w:rFonts w:ascii="Arial" w:hAnsi="Arial" w:cs="Arial"/>
        </w:rPr>
        <w:t>Reitsma</w:t>
      </w:r>
      <w:proofErr w:type="spellEnd"/>
      <w:r w:rsidR="006B0761" w:rsidRPr="006B0761">
        <w:rPr>
          <w:rFonts w:ascii="Arial" w:hAnsi="Arial" w:cs="Arial"/>
        </w:rPr>
        <w:t xml:space="preserve"> (1988), cited in </w:t>
      </w:r>
      <w:proofErr w:type="spellStart"/>
      <w:r w:rsidR="006B0761" w:rsidRPr="006B0761">
        <w:rPr>
          <w:rFonts w:ascii="Arial" w:hAnsi="Arial" w:cs="Arial"/>
        </w:rPr>
        <w:t>Nsangua</w:t>
      </w:r>
      <w:proofErr w:type="spellEnd"/>
      <w:r w:rsidR="006B0761" w:rsidRPr="006B0761">
        <w:rPr>
          <w:rFonts w:ascii="Arial" w:hAnsi="Arial" w:cs="Arial"/>
        </w:rPr>
        <w:t xml:space="preserve"> et al. (2018), a species or family is considered ecologically significant when </w:t>
      </w:r>
      <w:r>
        <w:rPr>
          <w:rFonts w:ascii="Arial" w:hAnsi="Arial" w:cs="Arial"/>
        </w:rPr>
        <w:t>S</w:t>
      </w:r>
      <w:r w:rsidR="006B0761" w:rsidRPr="006B0761">
        <w:rPr>
          <w:rFonts w:ascii="Arial" w:hAnsi="Arial" w:cs="Arial"/>
        </w:rPr>
        <w:t>IVI or FIV</w:t>
      </w:r>
      <w:r>
        <w:rPr>
          <w:rFonts w:ascii="Arial" w:hAnsi="Arial" w:cs="Arial"/>
        </w:rPr>
        <w:t>I</w:t>
      </w:r>
      <w:r w:rsidR="006B0761" w:rsidRPr="006B0761">
        <w:rPr>
          <w:rFonts w:ascii="Arial" w:hAnsi="Arial" w:cs="Arial"/>
        </w:rPr>
        <w:t xml:space="preserve"> ≥ 10.</w:t>
      </w:r>
      <w:r>
        <w:rPr>
          <w:rFonts w:ascii="Arial" w:hAnsi="Arial" w:cs="Arial"/>
        </w:rPr>
        <w:t xml:space="preserve"> </w:t>
      </w:r>
    </w:p>
    <w:p w14:paraId="6C493802" w14:textId="3252CA1E" w:rsidR="006B0761" w:rsidRDefault="00F411CC" w:rsidP="006B0761">
      <w:pPr>
        <w:pStyle w:val="Body"/>
        <w:rPr>
          <w:rFonts w:ascii="Arial" w:hAnsi="Arial" w:cs="Arial"/>
        </w:rPr>
      </w:pPr>
      <w:r w:rsidRPr="00F411CC">
        <w:rPr>
          <w:rFonts w:ascii="Arial" w:hAnsi="Arial" w:cs="Arial"/>
        </w:rPr>
        <w:t xml:space="preserve">According to </w:t>
      </w:r>
      <w:proofErr w:type="spellStart"/>
      <w:r w:rsidRPr="00F411CC">
        <w:rPr>
          <w:rFonts w:ascii="Arial" w:hAnsi="Arial" w:cs="Arial"/>
        </w:rPr>
        <w:t>Sabongo</w:t>
      </w:r>
      <w:proofErr w:type="spellEnd"/>
      <w:r w:rsidRPr="00F411CC">
        <w:rPr>
          <w:rFonts w:ascii="Arial" w:hAnsi="Arial" w:cs="Arial"/>
        </w:rPr>
        <w:t xml:space="preserve"> (2015), the </w:t>
      </w:r>
      <w:r>
        <w:rPr>
          <w:rFonts w:ascii="Arial" w:hAnsi="Arial" w:cs="Arial"/>
        </w:rPr>
        <w:t>S</w:t>
      </w:r>
      <w:r w:rsidRPr="00F411CC">
        <w:rPr>
          <w:rFonts w:ascii="Arial" w:hAnsi="Arial" w:cs="Arial"/>
        </w:rPr>
        <w:t>IVI and FIV</w:t>
      </w:r>
      <w:r>
        <w:rPr>
          <w:rFonts w:ascii="Arial" w:hAnsi="Arial" w:cs="Arial"/>
        </w:rPr>
        <w:t>I</w:t>
      </w:r>
      <w:r w:rsidRPr="00F411CC">
        <w:rPr>
          <w:rFonts w:ascii="Arial" w:hAnsi="Arial" w:cs="Arial"/>
        </w:rPr>
        <w:t xml:space="preserve"> are calculated using the following formulas:</w:t>
      </w:r>
    </w:p>
    <w:p w14:paraId="5AB0C9F8" w14:textId="435FBC66" w:rsidR="00F411CC" w:rsidRPr="00F411CC" w:rsidRDefault="00F411CC" w:rsidP="00F411CC">
      <w:pPr>
        <w:pStyle w:val="Body"/>
        <w:jc w:val="center"/>
        <w:rPr>
          <w:rFonts w:ascii="Arial" w:hAnsi="Arial" w:cs="Arial"/>
          <w:lang w:val="fr-FR"/>
        </w:rPr>
      </w:pPr>
      <m:oMathPara>
        <m:oMath>
          <m:r>
            <m:rPr>
              <m:nor/>
            </m:rPr>
            <w:rPr>
              <w:rFonts w:ascii="Arial" w:hAnsi="Arial" w:cs="Arial"/>
              <w:lang w:val="fr-FR"/>
            </w:rPr>
            <m:t xml:space="preserve">SIVI = </m:t>
          </m:r>
          <w:proofErr w:type="spellStart"/>
          <m:r>
            <m:rPr>
              <m:nor/>
            </m:rPr>
            <w:rPr>
              <w:rFonts w:ascii="Arial" w:hAnsi="Arial" w:cs="Arial"/>
              <w:lang w:val="fr-FR"/>
            </w:rPr>
            <m:t>DoR</m:t>
          </m:r>
          <w:proofErr w:type="spellEnd"/>
          <m:r>
            <m:rPr>
              <m:nor/>
            </m:rPr>
            <w:rPr>
              <w:rFonts w:ascii="Arial" w:hAnsi="Arial" w:cs="Arial"/>
              <w:lang w:val="fr-FR"/>
            </w:rPr>
            <m:t xml:space="preserve"> + </m:t>
          </m:r>
          <w:proofErr w:type="spellStart"/>
          <m:r>
            <m:rPr>
              <m:nor/>
            </m:rPr>
            <w:rPr>
              <w:rFonts w:ascii="Arial" w:hAnsi="Arial" w:cs="Arial"/>
              <w:lang w:val="fr-FR"/>
            </w:rPr>
            <m:t>DeR</m:t>
          </m:r>
          <w:proofErr w:type="spellEnd"/>
          <m:r>
            <m:rPr>
              <m:nor/>
            </m:rPr>
            <w:rPr>
              <w:rFonts w:ascii="Arial" w:hAnsi="Arial" w:cs="Arial"/>
              <w:lang w:val="fr-FR"/>
            </w:rPr>
            <m:t xml:space="preserve"> + </m:t>
          </m:r>
          <w:proofErr w:type="spellStart"/>
          <m:r>
            <m:rPr>
              <m:nor/>
            </m:rPr>
            <w:rPr>
              <w:rFonts w:ascii="Arial" w:hAnsi="Arial" w:cs="Arial"/>
              <w:lang w:val="fr-FR"/>
            </w:rPr>
            <m:t>F</m:t>
          </m:r>
          <m:r>
            <m:rPr>
              <m:nor/>
            </m:rPr>
            <w:rPr>
              <w:rFonts w:ascii="Cambria Math" w:hAnsi="Arial" w:cs="Arial"/>
              <w:lang w:val="fr-FR"/>
            </w:rPr>
            <m:t>e</m:t>
          </m:r>
          <m:r>
            <m:rPr>
              <m:nor/>
            </m:rPr>
            <w:rPr>
              <w:rFonts w:ascii="Arial" w:hAnsi="Arial" w:cs="Arial"/>
              <w:lang w:val="fr-FR"/>
            </w:rPr>
            <m:t>R</m:t>
          </m:r>
          <w:proofErr w:type="spellEnd"/>
          <m:r>
            <m:rPr>
              <m:nor/>
            </m:rPr>
            <w:rPr>
              <w:rFonts w:ascii="Arial" w:hAnsi="Arial" w:cs="Arial"/>
              <w:lang w:val="fr-FR"/>
            </w:rPr>
            <m:t xml:space="preserve">  =</m:t>
          </m:r>
          <m:d>
            <m:dPr>
              <m:begChr m:val="["/>
              <m:endChr m:val="]"/>
              <m:ctrlPr>
                <w:rPr>
                  <w:rFonts w:ascii="Cambria Math" w:hAnsi="Cambria Math" w:cs="Arial"/>
                  <w:i/>
                  <w:lang w:val="fr-FR"/>
                </w:rPr>
              </m:ctrlPr>
            </m:dPr>
            <m:e>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ni</m:t>
                      </m:r>
                    </m:num>
                    <m:den>
                      <m:r>
                        <m:rPr>
                          <m:nor/>
                        </m:rPr>
                        <w:rPr>
                          <w:rFonts w:ascii="Arial" w:hAnsi="Arial" w:cs="Arial"/>
                          <w:lang w:val="fr-FR"/>
                        </w:rPr>
                        <m:t>∑ni</m:t>
                      </m:r>
                    </m:den>
                  </m:f>
                </m:e>
              </m:d>
              <m:r>
                <m:rPr>
                  <m:nor/>
                </m:rPr>
                <w:rPr>
                  <w:rFonts w:ascii="Arial" w:hAnsi="Arial" w:cs="Arial"/>
                  <w:lang w:val="fr-FR"/>
                </w:rPr>
                <m:t>+</m:t>
              </m:r>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gi</m:t>
                      </m:r>
                    </m:num>
                    <m:den>
                      <m:r>
                        <m:rPr>
                          <m:nor/>
                        </m:rPr>
                        <w:rPr>
                          <w:rFonts w:ascii="Arial" w:hAnsi="Arial" w:cs="Arial"/>
                          <w:lang w:val="fr-FR"/>
                        </w:rPr>
                        <m:t>∑gi</m:t>
                      </m:r>
                    </m:den>
                  </m:f>
                </m:e>
              </m:d>
              <m:r>
                <m:rPr>
                  <m:nor/>
                </m:rPr>
                <w:rPr>
                  <w:rFonts w:ascii="Arial" w:hAnsi="Arial" w:cs="Arial"/>
                  <w:lang w:val="fr-FR"/>
                </w:rPr>
                <m:t>+</m:t>
              </m:r>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fi</m:t>
                      </m:r>
                    </m:num>
                    <m:den>
                      <m:r>
                        <m:rPr>
                          <m:nor/>
                        </m:rPr>
                        <w:rPr>
                          <w:rFonts w:ascii="Arial" w:hAnsi="Arial" w:cs="Arial"/>
                          <w:lang w:val="fr-FR"/>
                        </w:rPr>
                        <m:t>∑fi</m:t>
                      </m:r>
                    </m:den>
                  </m:f>
                </m:e>
              </m:d>
            </m:e>
          </m:d>
          <m:r>
            <m:rPr>
              <m:nor/>
            </m:rPr>
            <w:rPr>
              <w:rFonts w:ascii="Arial" w:hAnsi="Arial" w:cs="Arial"/>
              <w:lang w:val="fr-FR"/>
            </w:rPr>
            <m:t>×100</m:t>
          </m:r>
        </m:oMath>
      </m:oMathPara>
    </w:p>
    <w:p w14:paraId="4B411C57" w14:textId="333B647C" w:rsidR="00F411CC" w:rsidRPr="00F411CC" w:rsidRDefault="00F411CC" w:rsidP="00F411CC">
      <w:pPr>
        <w:pStyle w:val="Body"/>
        <w:jc w:val="center"/>
        <w:rPr>
          <w:rFonts w:ascii="Arial" w:hAnsi="Arial" w:cs="Arial"/>
          <w:lang w:val="fr-FR"/>
        </w:rPr>
      </w:pPr>
      <m:oMathPara>
        <m:oMathParaPr>
          <m:jc m:val="center"/>
        </m:oMathParaPr>
        <m:oMath>
          <m:r>
            <m:rPr>
              <m:nor/>
            </m:rPr>
            <w:rPr>
              <w:rFonts w:ascii="Arial" w:hAnsi="Arial" w:cs="Arial"/>
              <w:lang w:val="fr-FR"/>
            </w:rPr>
            <m:t>FIV</m:t>
          </m:r>
          <m:r>
            <m:rPr>
              <m:nor/>
            </m:rPr>
            <w:rPr>
              <w:rFonts w:ascii="Cambria Math" w:hAnsi="Arial" w:cs="Arial"/>
              <w:lang w:val="fr-FR"/>
            </w:rPr>
            <m:t>I</m:t>
          </m:r>
          <m:r>
            <m:rPr>
              <m:nor/>
            </m:rPr>
            <w:rPr>
              <w:rFonts w:ascii="Arial" w:hAnsi="Arial" w:cs="Arial"/>
              <w:lang w:val="fr-FR"/>
            </w:rPr>
            <m:t xml:space="preserve"> = </m:t>
          </m:r>
          <w:proofErr w:type="spellStart"/>
          <m:r>
            <m:rPr>
              <m:nor/>
            </m:rPr>
            <w:rPr>
              <w:rFonts w:ascii="Arial" w:hAnsi="Arial" w:cs="Arial"/>
              <w:lang w:val="fr-FR"/>
            </w:rPr>
            <m:t>DoR</m:t>
          </m:r>
          <w:proofErr w:type="spellEnd"/>
          <m:r>
            <m:rPr>
              <m:nor/>
            </m:rPr>
            <w:rPr>
              <w:rFonts w:ascii="Arial" w:hAnsi="Arial" w:cs="Arial"/>
              <w:lang w:val="fr-FR"/>
            </w:rPr>
            <m:t xml:space="preserve"> + </m:t>
          </m:r>
          <w:proofErr w:type="spellStart"/>
          <m:r>
            <m:rPr>
              <m:nor/>
            </m:rPr>
            <w:rPr>
              <w:rFonts w:ascii="Arial" w:hAnsi="Arial" w:cs="Arial"/>
              <w:lang w:val="fr-FR"/>
            </w:rPr>
            <m:t>DeR</m:t>
          </m:r>
          <w:proofErr w:type="spellEnd"/>
          <m:r>
            <m:rPr>
              <m:nor/>
            </m:rPr>
            <w:rPr>
              <w:rFonts w:ascii="Arial" w:hAnsi="Arial" w:cs="Arial"/>
              <w:lang w:val="fr-FR"/>
            </w:rPr>
            <m:t xml:space="preserve"> + </m:t>
          </m:r>
          <w:proofErr w:type="spellStart"/>
          <m:r>
            <m:rPr>
              <m:nor/>
            </m:rPr>
            <w:rPr>
              <w:rFonts w:ascii="Arial" w:hAnsi="Arial" w:cs="Arial"/>
              <w:lang w:val="fr-FR"/>
            </w:rPr>
            <m:t>DiR</m:t>
          </m:r>
          <w:proofErr w:type="spellEnd"/>
          <m:r>
            <m:rPr>
              <m:nor/>
            </m:rPr>
            <w:rPr>
              <w:rFonts w:ascii="Arial" w:hAnsi="Arial" w:cs="Arial"/>
              <w:lang w:val="fr-FR"/>
            </w:rPr>
            <m:t xml:space="preserve"> =</m:t>
          </m:r>
          <m:d>
            <m:dPr>
              <m:begChr m:val="["/>
              <m:endChr m:val="]"/>
              <m:ctrlPr>
                <w:rPr>
                  <w:rFonts w:ascii="Cambria Math" w:hAnsi="Cambria Math" w:cs="Arial"/>
                  <w:i/>
                  <w:lang w:val="fr-FR"/>
                </w:rPr>
              </m:ctrlPr>
            </m:dPr>
            <m:e>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ni</m:t>
                      </m:r>
                    </m:num>
                    <m:den>
                      <m:r>
                        <m:rPr>
                          <m:nor/>
                        </m:rPr>
                        <w:rPr>
                          <w:rFonts w:ascii="Arial" w:hAnsi="Arial" w:cs="Arial"/>
                          <w:lang w:val="fr-FR"/>
                        </w:rPr>
                        <m:t>∑ni</m:t>
                      </m:r>
                    </m:den>
                  </m:f>
                </m:e>
              </m:d>
              <m:r>
                <m:rPr>
                  <m:nor/>
                </m:rPr>
                <w:rPr>
                  <w:rFonts w:ascii="Arial" w:hAnsi="Arial" w:cs="Arial"/>
                  <w:lang w:val="fr-FR"/>
                </w:rPr>
                <m:t>+</m:t>
              </m:r>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gi</m:t>
                      </m:r>
                    </m:num>
                    <m:den>
                      <m:r>
                        <m:rPr>
                          <m:nor/>
                        </m:rPr>
                        <w:rPr>
                          <w:rFonts w:ascii="Arial" w:hAnsi="Arial" w:cs="Arial"/>
                          <w:lang w:val="fr-FR"/>
                        </w:rPr>
                        <m:t>∑gi</m:t>
                      </m:r>
                    </m:den>
                  </m:f>
                </m:e>
              </m:d>
              <m:r>
                <m:rPr>
                  <m:nor/>
                </m:rPr>
                <w:rPr>
                  <w:rFonts w:ascii="Arial" w:hAnsi="Arial" w:cs="Arial"/>
                  <w:lang w:val="fr-FR"/>
                </w:rPr>
                <m:t>+</m:t>
              </m:r>
              <m:d>
                <m:dPr>
                  <m:ctrlPr>
                    <w:rPr>
                      <w:rFonts w:ascii="Cambria Math" w:hAnsi="Cambria Math" w:cs="Arial"/>
                      <w:i/>
                      <w:lang w:val="fr-FR"/>
                    </w:rPr>
                  </m:ctrlPr>
                </m:dPr>
                <m:e>
                  <m:f>
                    <m:fPr>
                      <m:ctrlPr>
                        <w:rPr>
                          <w:rFonts w:ascii="Cambria Math" w:hAnsi="Cambria Math" w:cs="Arial"/>
                          <w:i/>
                          <w:lang w:val="fr-FR"/>
                        </w:rPr>
                      </m:ctrlPr>
                    </m:fPr>
                    <m:num>
                      <m:r>
                        <m:rPr>
                          <m:nor/>
                        </m:rPr>
                        <w:rPr>
                          <w:rFonts w:ascii="Arial" w:hAnsi="Arial" w:cs="Arial"/>
                          <w:lang w:val="fr-FR"/>
                        </w:rPr>
                        <m:t>fi</m:t>
                      </m:r>
                    </m:num>
                    <m:den>
                      <m:r>
                        <m:rPr>
                          <m:nor/>
                        </m:rPr>
                        <w:rPr>
                          <w:rFonts w:ascii="Arial" w:hAnsi="Arial" w:cs="Arial"/>
                          <w:lang w:val="fr-FR"/>
                        </w:rPr>
                        <m:t>∑fi</m:t>
                      </m:r>
                    </m:den>
                  </m:f>
                </m:e>
              </m:d>
            </m:e>
          </m:d>
          <m:r>
            <m:rPr>
              <m:nor/>
            </m:rPr>
            <w:rPr>
              <w:rFonts w:ascii="Arial" w:hAnsi="Arial" w:cs="Arial"/>
              <w:lang w:val="fr-FR"/>
            </w:rPr>
            <m:t>×100</m:t>
          </m:r>
        </m:oMath>
      </m:oMathPara>
    </w:p>
    <w:p w14:paraId="0FCFC997" w14:textId="77777777" w:rsidR="00F411CC" w:rsidRPr="00F411CC" w:rsidRDefault="00F411CC" w:rsidP="00B5426B">
      <w:pPr>
        <w:pStyle w:val="Body"/>
        <w:spacing w:after="0"/>
        <w:rPr>
          <w:rFonts w:ascii="Arial" w:hAnsi="Arial" w:cs="Arial"/>
        </w:rPr>
      </w:pPr>
      <w:r w:rsidRPr="00F411CC">
        <w:rPr>
          <w:rFonts w:ascii="Arial" w:hAnsi="Arial" w:cs="Arial"/>
        </w:rPr>
        <w:t>Where:</w:t>
      </w:r>
    </w:p>
    <w:p w14:paraId="317560C0" w14:textId="53791350" w:rsidR="00F411CC" w:rsidRPr="00F411CC" w:rsidRDefault="00F411CC" w:rsidP="00B5426B">
      <w:pPr>
        <w:pStyle w:val="Body"/>
        <w:numPr>
          <w:ilvl w:val="0"/>
          <w:numId w:val="35"/>
        </w:numPr>
        <w:spacing w:after="0"/>
        <w:rPr>
          <w:rFonts w:ascii="Arial" w:hAnsi="Arial" w:cs="Arial"/>
        </w:rPr>
      </w:pPr>
      <w:proofErr w:type="spellStart"/>
      <w:r w:rsidRPr="00F411CC">
        <w:rPr>
          <w:rFonts w:ascii="Arial" w:hAnsi="Arial" w:cs="Arial"/>
        </w:rPr>
        <w:t>DoR</w:t>
      </w:r>
      <w:proofErr w:type="spellEnd"/>
      <w:r w:rsidRPr="00F411CC">
        <w:t xml:space="preserve"> </w:t>
      </w:r>
      <w:r w:rsidRPr="00F411CC">
        <w:rPr>
          <w:rFonts w:ascii="Arial" w:hAnsi="Arial" w:cs="Arial"/>
        </w:rPr>
        <w:t>is Relative Dominance</w:t>
      </w:r>
      <w:r w:rsidR="008C6B8B">
        <w:rPr>
          <w:rFonts w:ascii="Arial" w:hAnsi="Arial" w:cs="Arial"/>
        </w:rPr>
        <w:t>;</w:t>
      </w:r>
    </w:p>
    <w:p w14:paraId="7F0D76BE" w14:textId="28D9F9BE" w:rsidR="00F411CC" w:rsidRPr="00F411CC" w:rsidRDefault="00F411CC" w:rsidP="00B5426B">
      <w:pPr>
        <w:pStyle w:val="Body"/>
        <w:numPr>
          <w:ilvl w:val="0"/>
          <w:numId w:val="35"/>
        </w:numPr>
        <w:spacing w:after="0"/>
        <w:rPr>
          <w:rFonts w:ascii="Arial" w:hAnsi="Arial" w:cs="Arial"/>
        </w:rPr>
      </w:pPr>
      <w:proofErr w:type="spellStart"/>
      <w:r w:rsidRPr="00F411CC">
        <w:rPr>
          <w:rFonts w:ascii="Arial" w:hAnsi="Arial" w:cs="Arial"/>
        </w:rPr>
        <w:t>DeR</w:t>
      </w:r>
      <w:proofErr w:type="spellEnd"/>
      <w:r w:rsidRPr="00F411CC">
        <w:rPr>
          <w:rFonts w:ascii="Arial" w:hAnsi="Arial" w:cs="Arial"/>
        </w:rPr>
        <w:t xml:space="preserve"> </w:t>
      </w:r>
      <w:bookmarkStart w:id="14" w:name="_Hlk195211675"/>
      <w:r w:rsidRPr="00F411CC">
        <w:rPr>
          <w:rFonts w:ascii="Arial" w:hAnsi="Arial" w:cs="Arial"/>
        </w:rPr>
        <w:t>is</w:t>
      </w:r>
      <w:bookmarkEnd w:id="14"/>
      <w:r w:rsidRPr="00F411CC">
        <w:rPr>
          <w:rFonts w:ascii="Arial" w:hAnsi="Arial" w:cs="Arial"/>
        </w:rPr>
        <w:t xml:space="preserve"> Relative Density</w:t>
      </w:r>
      <w:r w:rsidR="008C6B8B">
        <w:rPr>
          <w:rFonts w:ascii="Arial" w:hAnsi="Arial" w:cs="Arial"/>
        </w:rPr>
        <w:t>;</w:t>
      </w:r>
    </w:p>
    <w:p w14:paraId="429164CA" w14:textId="42A2F8DD" w:rsidR="00F411CC" w:rsidRPr="00F411CC" w:rsidRDefault="00F411CC" w:rsidP="00B5426B">
      <w:pPr>
        <w:pStyle w:val="Body"/>
        <w:numPr>
          <w:ilvl w:val="0"/>
          <w:numId w:val="35"/>
        </w:numPr>
        <w:spacing w:after="0"/>
        <w:rPr>
          <w:rFonts w:ascii="Arial" w:hAnsi="Arial" w:cs="Arial"/>
        </w:rPr>
      </w:pPr>
      <w:proofErr w:type="spellStart"/>
      <w:r w:rsidRPr="00F411CC">
        <w:rPr>
          <w:rFonts w:ascii="Arial" w:hAnsi="Arial" w:cs="Arial"/>
        </w:rPr>
        <w:t>F</w:t>
      </w:r>
      <w:r w:rsidR="008C6B8B">
        <w:rPr>
          <w:rFonts w:ascii="Arial" w:hAnsi="Arial" w:cs="Arial"/>
        </w:rPr>
        <w:t>e</w:t>
      </w:r>
      <w:r w:rsidRPr="00F411CC">
        <w:rPr>
          <w:rFonts w:ascii="Arial" w:hAnsi="Arial" w:cs="Arial"/>
        </w:rPr>
        <w:t>R</w:t>
      </w:r>
      <w:proofErr w:type="spellEnd"/>
      <w:r w:rsidRPr="00F411CC">
        <w:rPr>
          <w:rFonts w:ascii="Arial" w:hAnsi="Arial" w:cs="Arial"/>
        </w:rPr>
        <w:t xml:space="preserve"> = Relative Frequency (for species)</w:t>
      </w:r>
      <w:r w:rsidR="008C6B8B">
        <w:rPr>
          <w:rFonts w:ascii="Arial" w:hAnsi="Arial" w:cs="Arial"/>
        </w:rPr>
        <w:t>;</w:t>
      </w:r>
    </w:p>
    <w:p w14:paraId="5ED46655" w14:textId="426765FF" w:rsidR="00F411CC" w:rsidRPr="00F411CC" w:rsidRDefault="00F411CC" w:rsidP="00B5426B">
      <w:pPr>
        <w:pStyle w:val="Body"/>
        <w:numPr>
          <w:ilvl w:val="0"/>
          <w:numId w:val="35"/>
        </w:numPr>
        <w:spacing w:after="0"/>
        <w:rPr>
          <w:rFonts w:ascii="Arial" w:hAnsi="Arial" w:cs="Arial"/>
        </w:rPr>
      </w:pPr>
      <w:proofErr w:type="spellStart"/>
      <w:r w:rsidRPr="00F411CC">
        <w:rPr>
          <w:rFonts w:ascii="Arial" w:hAnsi="Arial" w:cs="Arial"/>
        </w:rPr>
        <w:t>DiR</w:t>
      </w:r>
      <w:proofErr w:type="spellEnd"/>
      <w:r w:rsidRPr="00F411CC">
        <w:rPr>
          <w:rFonts w:ascii="Arial" w:hAnsi="Arial" w:cs="Arial"/>
        </w:rPr>
        <w:t xml:space="preserve"> is Relative Diversity (for families)</w:t>
      </w:r>
      <w:r w:rsidR="008C6B8B">
        <w:rPr>
          <w:rFonts w:ascii="Arial" w:hAnsi="Arial" w:cs="Arial"/>
        </w:rPr>
        <w:t>;</w:t>
      </w:r>
    </w:p>
    <w:p w14:paraId="1566B9A0" w14:textId="7125F1E1" w:rsidR="00F411CC" w:rsidRPr="00F411CC" w:rsidRDefault="00F411CC" w:rsidP="00B5426B">
      <w:pPr>
        <w:pStyle w:val="Body"/>
        <w:numPr>
          <w:ilvl w:val="0"/>
          <w:numId w:val="35"/>
        </w:numPr>
        <w:spacing w:after="0"/>
        <w:rPr>
          <w:rFonts w:ascii="Arial" w:hAnsi="Arial" w:cs="Arial"/>
        </w:rPr>
      </w:pPr>
      <w:r w:rsidRPr="00F411CC">
        <w:rPr>
          <w:rFonts w:ascii="Arial" w:hAnsi="Arial" w:cs="Arial"/>
        </w:rPr>
        <w:t>nᵢ</w:t>
      </w:r>
      <w:r w:rsidRPr="00F411CC">
        <w:t xml:space="preserve"> </w:t>
      </w:r>
      <w:bookmarkStart w:id="15" w:name="_Hlk195211764"/>
      <w:r w:rsidRPr="00F411CC">
        <w:rPr>
          <w:rFonts w:ascii="Arial" w:hAnsi="Arial" w:cs="Arial"/>
        </w:rPr>
        <w:t xml:space="preserve">is the </w:t>
      </w:r>
      <w:bookmarkEnd w:id="15"/>
      <w:r w:rsidRPr="00F411CC">
        <w:rPr>
          <w:rFonts w:ascii="Arial" w:hAnsi="Arial" w:cs="Arial"/>
        </w:rPr>
        <w:t xml:space="preserve">number of individuals of species </w:t>
      </w:r>
      <w:proofErr w:type="spellStart"/>
      <w:r w:rsidRPr="00F411CC">
        <w:rPr>
          <w:rFonts w:ascii="Arial" w:hAnsi="Arial" w:cs="Arial"/>
        </w:rPr>
        <w:t>i</w:t>
      </w:r>
      <w:proofErr w:type="spellEnd"/>
      <w:r w:rsidRPr="00F411CC">
        <w:rPr>
          <w:rFonts w:ascii="Arial" w:hAnsi="Arial" w:cs="Arial"/>
        </w:rPr>
        <w:t xml:space="preserve"> or family </w:t>
      </w:r>
      <w:r w:rsidR="008C6B8B">
        <w:rPr>
          <w:rFonts w:ascii="Arial" w:hAnsi="Arial" w:cs="Arial"/>
        </w:rPr>
        <w:t>I;</w:t>
      </w:r>
    </w:p>
    <w:p w14:paraId="20EBF470" w14:textId="07F82A96" w:rsidR="00F411CC" w:rsidRPr="00F411CC" w:rsidRDefault="00F411CC" w:rsidP="00B5426B">
      <w:pPr>
        <w:pStyle w:val="Body"/>
        <w:numPr>
          <w:ilvl w:val="0"/>
          <w:numId w:val="35"/>
        </w:numPr>
        <w:spacing w:after="0"/>
        <w:rPr>
          <w:rFonts w:ascii="Arial" w:hAnsi="Arial" w:cs="Arial"/>
        </w:rPr>
      </w:pPr>
      <w:r w:rsidRPr="00F411CC">
        <w:rPr>
          <w:rFonts w:ascii="Arial" w:hAnsi="Arial" w:cs="Arial"/>
        </w:rPr>
        <w:t>gᵢ</w:t>
      </w:r>
      <w:r w:rsidR="00B5426B" w:rsidRPr="00B5426B">
        <w:t xml:space="preserve"> </w:t>
      </w:r>
      <w:r w:rsidR="00B5426B" w:rsidRPr="00B5426B">
        <w:rPr>
          <w:rFonts w:ascii="Arial" w:hAnsi="Arial" w:cs="Arial"/>
        </w:rPr>
        <w:t>is the</w:t>
      </w:r>
      <w:r w:rsidRPr="00F411CC">
        <w:rPr>
          <w:rFonts w:ascii="Arial" w:hAnsi="Arial" w:cs="Arial"/>
        </w:rPr>
        <w:t xml:space="preserve"> basal area of species </w:t>
      </w:r>
      <w:proofErr w:type="spellStart"/>
      <w:r w:rsidRPr="00F411CC">
        <w:rPr>
          <w:rFonts w:ascii="Arial" w:hAnsi="Arial" w:cs="Arial"/>
        </w:rPr>
        <w:t>i</w:t>
      </w:r>
      <w:proofErr w:type="spellEnd"/>
      <w:r w:rsidRPr="00F411CC">
        <w:rPr>
          <w:rFonts w:ascii="Arial" w:hAnsi="Arial" w:cs="Arial"/>
        </w:rPr>
        <w:t xml:space="preserve"> or family </w:t>
      </w:r>
      <w:r w:rsidR="008C6B8B">
        <w:rPr>
          <w:rFonts w:ascii="Arial" w:hAnsi="Arial" w:cs="Arial"/>
        </w:rPr>
        <w:t>I;</w:t>
      </w:r>
    </w:p>
    <w:p w14:paraId="5A0B3BE1" w14:textId="27BEE706" w:rsidR="00F411CC" w:rsidRPr="006B0761" w:rsidRDefault="00F411CC" w:rsidP="00F411CC">
      <w:pPr>
        <w:pStyle w:val="Body"/>
        <w:numPr>
          <w:ilvl w:val="0"/>
          <w:numId w:val="35"/>
        </w:numPr>
        <w:rPr>
          <w:rFonts w:ascii="Arial" w:hAnsi="Arial" w:cs="Arial"/>
        </w:rPr>
      </w:pPr>
      <w:r w:rsidRPr="00F411CC">
        <w:rPr>
          <w:rFonts w:ascii="Arial" w:hAnsi="Arial" w:cs="Arial"/>
        </w:rPr>
        <w:t xml:space="preserve">fᵢ </w:t>
      </w:r>
      <w:r w:rsidR="00B5426B" w:rsidRPr="00B5426B">
        <w:rPr>
          <w:rFonts w:ascii="Arial" w:hAnsi="Arial" w:cs="Arial"/>
        </w:rPr>
        <w:t xml:space="preserve">is the </w:t>
      </w:r>
      <w:r w:rsidRPr="00F411CC">
        <w:rPr>
          <w:rFonts w:ascii="Arial" w:hAnsi="Arial" w:cs="Arial"/>
        </w:rPr>
        <w:t xml:space="preserve">number of plots containing species </w:t>
      </w:r>
      <w:proofErr w:type="spellStart"/>
      <w:r w:rsidRPr="00F411CC">
        <w:rPr>
          <w:rFonts w:ascii="Arial" w:hAnsi="Arial" w:cs="Arial"/>
        </w:rPr>
        <w:t>i</w:t>
      </w:r>
      <w:proofErr w:type="spellEnd"/>
      <w:r w:rsidRPr="00F411CC">
        <w:rPr>
          <w:rFonts w:ascii="Arial" w:hAnsi="Arial" w:cs="Arial"/>
        </w:rPr>
        <w:t xml:space="preserve"> or family </w:t>
      </w:r>
      <w:proofErr w:type="spellStart"/>
      <w:r w:rsidR="008C6B8B">
        <w:rPr>
          <w:rFonts w:ascii="Arial" w:hAnsi="Arial" w:cs="Arial"/>
        </w:rPr>
        <w:t>i</w:t>
      </w:r>
      <w:proofErr w:type="spellEnd"/>
      <w:r w:rsidR="008C6B8B">
        <w:rPr>
          <w:rFonts w:ascii="Arial" w:hAnsi="Arial" w:cs="Arial"/>
        </w:rPr>
        <w:t>.</w:t>
      </w:r>
    </w:p>
    <w:p w14:paraId="188D6035" w14:textId="767DD266" w:rsidR="00B5426B" w:rsidRPr="00B5426B" w:rsidRDefault="00B5426B" w:rsidP="00441B6F">
      <w:pPr>
        <w:pStyle w:val="Body"/>
        <w:spacing w:after="0"/>
        <w:rPr>
          <w:rFonts w:ascii="Arial" w:hAnsi="Arial" w:cs="Arial"/>
          <w:b/>
          <w:bCs/>
        </w:rPr>
      </w:pPr>
      <w:bookmarkStart w:id="16" w:name="_Hlk195212057"/>
      <w:r w:rsidRPr="00B5426B">
        <w:rPr>
          <w:rFonts w:ascii="Arial" w:hAnsi="Arial" w:cs="Arial"/>
          <w:b/>
          <w:bCs/>
        </w:rPr>
        <w:t>2.3.</w:t>
      </w:r>
      <w:r>
        <w:rPr>
          <w:rFonts w:ascii="Arial" w:hAnsi="Arial" w:cs="Arial"/>
          <w:b/>
          <w:bCs/>
        </w:rPr>
        <w:t>4</w:t>
      </w:r>
      <w:r w:rsidRPr="00B5426B">
        <w:rPr>
          <w:rFonts w:ascii="Arial" w:hAnsi="Arial" w:cs="Arial"/>
          <w:b/>
          <w:bCs/>
        </w:rPr>
        <w:t xml:space="preserve">. </w:t>
      </w:r>
      <w:bookmarkEnd w:id="16"/>
      <w:r w:rsidRPr="00B5426B">
        <w:rPr>
          <w:rFonts w:ascii="Arial" w:hAnsi="Arial" w:cs="Arial"/>
          <w:b/>
          <w:bCs/>
        </w:rPr>
        <w:t xml:space="preserve">Assessment of the conservation value of </w:t>
      </w:r>
      <w:proofErr w:type="spellStart"/>
      <w:r w:rsidRPr="00B5426B">
        <w:rPr>
          <w:rFonts w:ascii="Arial" w:hAnsi="Arial" w:cs="Arial"/>
          <w:b/>
          <w:bCs/>
        </w:rPr>
        <w:t>phytodiversity</w:t>
      </w:r>
      <w:proofErr w:type="spellEnd"/>
    </w:p>
    <w:p w14:paraId="66D17296" w14:textId="77777777" w:rsidR="00B5426B" w:rsidRDefault="00B5426B" w:rsidP="00441B6F">
      <w:pPr>
        <w:pStyle w:val="Body"/>
        <w:spacing w:after="0"/>
        <w:rPr>
          <w:rFonts w:ascii="Arial" w:hAnsi="Arial" w:cs="Arial"/>
        </w:rPr>
      </w:pPr>
    </w:p>
    <w:p w14:paraId="18FA037C" w14:textId="40967BB4" w:rsidR="00B5426B" w:rsidRDefault="00B5426B" w:rsidP="00441B6F">
      <w:pPr>
        <w:pStyle w:val="Body"/>
        <w:spacing w:after="0"/>
        <w:rPr>
          <w:rFonts w:ascii="Arial" w:hAnsi="Arial" w:cs="Arial"/>
        </w:rPr>
      </w:pPr>
      <w:r w:rsidRPr="00B5426B">
        <w:rPr>
          <w:rFonts w:ascii="Arial" w:hAnsi="Arial" w:cs="Arial"/>
        </w:rPr>
        <w:t xml:space="preserve">The conservation value of </w:t>
      </w:r>
      <w:proofErr w:type="spellStart"/>
      <w:r w:rsidRPr="00B5426B">
        <w:rPr>
          <w:rFonts w:ascii="Arial" w:hAnsi="Arial" w:cs="Arial"/>
        </w:rPr>
        <w:t>phytodiversity</w:t>
      </w:r>
      <w:proofErr w:type="spellEnd"/>
      <w:r w:rsidRPr="00B5426B">
        <w:rPr>
          <w:rFonts w:ascii="Arial" w:hAnsi="Arial" w:cs="Arial"/>
        </w:rPr>
        <w:t xml:space="preserve"> in the study area was evaluated based on the presence of species with special conservation status. Specifically, we identified Ivorian endemic species (</w:t>
      </w:r>
      <w:proofErr w:type="spellStart"/>
      <w:r w:rsidRPr="00B5426B">
        <w:rPr>
          <w:rFonts w:ascii="Arial" w:hAnsi="Arial" w:cs="Arial"/>
        </w:rPr>
        <w:t>GCi</w:t>
      </w:r>
      <w:proofErr w:type="spellEnd"/>
      <w:r w:rsidRPr="00B5426B">
        <w:rPr>
          <w:rFonts w:ascii="Arial" w:hAnsi="Arial" w:cs="Arial"/>
        </w:rPr>
        <w:t xml:space="preserve">), species endemic to the Upper Guinean forests (HG), or to the West African forest block (GCW), using the pre-established species lists by </w:t>
      </w:r>
      <w:proofErr w:type="spellStart"/>
      <w:r w:rsidRPr="00B5426B">
        <w:rPr>
          <w:rFonts w:ascii="Arial" w:hAnsi="Arial" w:cs="Arial"/>
        </w:rPr>
        <w:t>Aké-Assi</w:t>
      </w:r>
      <w:proofErr w:type="spellEnd"/>
      <w:r w:rsidRPr="00B5426B">
        <w:rPr>
          <w:rFonts w:ascii="Arial" w:hAnsi="Arial" w:cs="Arial"/>
        </w:rPr>
        <w:t xml:space="preserve"> (2001, 2002) and Pooter et al. (2004). In addition to these endemic species, we included the list of rare or threatened plant species in Côte d'Ivoire according to the IUCN (2024).</w:t>
      </w:r>
    </w:p>
    <w:p w14:paraId="27918187" w14:textId="77777777" w:rsidR="00B5426B" w:rsidRDefault="00B5426B" w:rsidP="00441B6F">
      <w:pPr>
        <w:pStyle w:val="Body"/>
        <w:spacing w:after="0"/>
        <w:rPr>
          <w:rFonts w:ascii="Arial" w:hAnsi="Arial" w:cs="Arial"/>
        </w:rPr>
      </w:pPr>
    </w:p>
    <w:p w14:paraId="35A880B1" w14:textId="559C4D96" w:rsidR="00B5426B" w:rsidRPr="00B5426B" w:rsidRDefault="00B5426B" w:rsidP="00441B6F">
      <w:pPr>
        <w:pStyle w:val="Body"/>
        <w:spacing w:after="0"/>
        <w:rPr>
          <w:rFonts w:ascii="Arial" w:hAnsi="Arial" w:cs="Arial"/>
          <w:b/>
          <w:bCs/>
          <w:sz w:val="22"/>
          <w:szCs w:val="22"/>
        </w:rPr>
      </w:pPr>
      <w:bookmarkStart w:id="17" w:name="_Hlk195584252"/>
      <w:r w:rsidRPr="00B5426B">
        <w:rPr>
          <w:rFonts w:ascii="Arial" w:hAnsi="Arial" w:cs="Arial"/>
          <w:b/>
          <w:bCs/>
          <w:sz w:val="22"/>
          <w:szCs w:val="22"/>
        </w:rPr>
        <w:t>2.4. Statistical Analysis</w:t>
      </w:r>
    </w:p>
    <w:bookmarkEnd w:id="17"/>
    <w:p w14:paraId="410F93A5" w14:textId="77777777" w:rsidR="00B5426B" w:rsidRDefault="00B5426B" w:rsidP="00441B6F">
      <w:pPr>
        <w:pStyle w:val="Body"/>
        <w:spacing w:after="0"/>
        <w:rPr>
          <w:rFonts w:ascii="Arial" w:hAnsi="Arial" w:cs="Arial"/>
        </w:rPr>
      </w:pPr>
    </w:p>
    <w:p w14:paraId="163D5939" w14:textId="38490D2C" w:rsidR="00B5426B" w:rsidRDefault="00B5426B" w:rsidP="00441B6F">
      <w:pPr>
        <w:pStyle w:val="Body"/>
        <w:spacing w:after="0"/>
        <w:rPr>
          <w:rFonts w:ascii="Arial" w:hAnsi="Arial" w:cs="Arial"/>
        </w:rPr>
      </w:pPr>
      <w:r w:rsidRPr="00B5426B">
        <w:rPr>
          <w:rFonts w:ascii="Arial" w:hAnsi="Arial" w:cs="Arial"/>
        </w:rPr>
        <w:t>The collected data were entered into Microsoft Excel for descriptive statistical analysis (sums, means, percentages, and cross-tabulated lists), along with illustrative graphs. For the calculation of diversity indices, the MVSP 3.1 software was used.</w:t>
      </w:r>
    </w:p>
    <w:p w14:paraId="2748E6A4" w14:textId="77777777" w:rsidR="00790ADA" w:rsidRPr="00FB3A86" w:rsidRDefault="00790ADA" w:rsidP="00441B6F">
      <w:pPr>
        <w:pStyle w:val="Body"/>
        <w:spacing w:after="0"/>
        <w:rPr>
          <w:rFonts w:ascii="Arial" w:hAnsi="Arial" w:cs="Arial"/>
        </w:rPr>
      </w:pPr>
    </w:p>
    <w:p w14:paraId="32C4E0E5" w14:textId="12D2FB4D" w:rsidR="00902823" w:rsidRDefault="00000F8F" w:rsidP="00441B6F">
      <w:pPr>
        <w:pStyle w:val="Head1"/>
        <w:spacing w:after="0"/>
        <w:jc w:val="both"/>
        <w:rPr>
          <w:rFonts w:ascii="Arial" w:hAnsi="Arial" w:cs="Arial"/>
        </w:rPr>
      </w:pPr>
      <w:bookmarkStart w:id="18" w:name="_Hlk195212454"/>
      <w:r>
        <w:rPr>
          <w:rFonts w:ascii="Arial" w:hAnsi="Arial" w:cs="Arial"/>
        </w:rPr>
        <w:t>3</w:t>
      </w:r>
      <w:r w:rsidR="00902823">
        <w:rPr>
          <w:rFonts w:ascii="Arial" w:hAnsi="Arial" w:cs="Arial"/>
        </w:rPr>
        <w:t xml:space="preserve">. </w:t>
      </w:r>
      <w:r>
        <w:rPr>
          <w:rFonts w:ascii="Arial" w:hAnsi="Arial" w:cs="Arial"/>
        </w:rPr>
        <w:t>results</w:t>
      </w:r>
    </w:p>
    <w:p w14:paraId="3AC46433" w14:textId="6D3D343F" w:rsidR="005F4760" w:rsidRPr="00B5426B" w:rsidRDefault="005F4760" w:rsidP="005F4760">
      <w:pPr>
        <w:pStyle w:val="Body"/>
        <w:spacing w:before="240" w:after="0"/>
        <w:rPr>
          <w:rFonts w:ascii="Arial" w:hAnsi="Arial" w:cs="Arial"/>
          <w:b/>
          <w:bCs/>
          <w:sz w:val="22"/>
          <w:szCs w:val="22"/>
        </w:rPr>
      </w:pPr>
      <w:bookmarkStart w:id="19" w:name="_Hlk195586212"/>
      <w:r>
        <w:rPr>
          <w:rFonts w:ascii="Arial" w:hAnsi="Arial" w:cs="Arial"/>
          <w:b/>
          <w:bCs/>
          <w:sz w:val="22"/>
          <w:szCs w:val="22"/>
        </w:rPr>
        <w:t>3</w:t>
      </w:r>
      <w:r w:rsidRPr="00B5426B">
        <w:rPr>
          <w:rFonts w:ascii="Arial" w:hAnsi="Arial" w:cs="Arial"/>
          <w:b/>
          <w:bCs/>
          <w:sz w:val="22"/>
          <w:szCs w:val="22"/>
        </w:rPr>
        <w:t>.</w:t>
      </w:r>
      <w:r>
        <w:rPr>
          <w:rFonts w:ascii="Arial" w:hAnsi="Arial" w:cs="Arial"/>
          <w:b/>
          <w:bCs/>
          <w:sz w:val="22"/>
          <w:szCs w:val="22"/>
        </w:rPr>
        <w:t>1</w:t>
      </w:r>
      <w:r w:rsidRPr="00B5426B">
        <w:rPr>
          <w:rFonts w:ascii="Arial" w:hAnsi="Arial" w:cs="Arial"/>
          <w:b/>
          <w:bCs/>
          <w:sz w:val="22"/>
          <w:szCs w:val="22"/>
        </w:rPr>
        <w:t xml:space="preserve">. </w:t>
      </w:r>
      <w:r w:rsidRPr="005F4760">
        <w:rPr>
          <w:rFonts w:ascii="Arial" w:hAnsi="Arial" w:cs="Arial"/>
          <w:b/>
          <w:bCs/>
          <w:sz w:val="22"/>
          <w:szCs w:val="22"/>
        </w:rPr>
        <w:t>Floristic richness and composition</w:t>
      </w:r>
    </w:p>
    <w:bookmarkEnd w:id="19"/>
    <w:p w14:paraId="1575B741" w14:textId="77777777" w:rsidR="005F4760" w:rsidRDefault="005F4760" w:rsidP="00441B6F">
      <w:pPr>
        <w:pStyle w:val="Head1"/>
        <w:spacing w:after="0"/>
        <w:jc w:val="both"/>
        <w:rPr>
          <w:rFonts w:ascii="Arial" w:hAnsi="Arial" w:cs="Arial"/>
        </w:rPr>
      </w:pPr>
    </w:p>
    <w:bookmarkEnd w:id="18"/>
    <w:p w14:paraId="661BD4E9" w14:textId="1ACB3898" w:rsidR="00790ADA" w:rsidRDefault="005F4760" w:rsidP="00441B6F">
      <w:pPr>
        <w:pStyle w:val="Body"/>
        <w:spacing w:after="0"/>
        <w:rPr>
          <w:rFonts w:ascii="Arial" w:hAnsi="Arial" w:cs="Arial"/>
        </w:rPr>
      </w:pPr>
      <w:r w:rsidRPr="005F4760">
        <w:rPr>
          <w:rFonts w:ascii="Arial" w:hAnsi="Arial" w:cs="Arial"/>
        </w:rPr>
        <w:t xml:space="preserve">The inventory of woody species on the </w:t>
      </w:r>
      <w:proofErr w:type="spellStart"/>
      <w:r w:rsidRPr="005F4760">
        <w:rPr>
          <w:rFonts w:ascii="Arial" w:hAnsi="Arial" w:cs="Arial"/>
        </w:rPr>
        <w:t>Peleforo</w:t>
      </w:r>
      <w:proofErr w:type="spellEnd"/>
      <w:r w:rsidRPr="005F4760">
        <w:rPr>
          <w:rFonts w:ascii="Arial" w:hAnsi="Arial" w:cs="Arial"/>
        </w:rPr>
        <w:t xml:space="preserve"> Gon Coulibaly University campus recorded a total of 1,199 individuals. These individuals belong to 57 species, 44 genera, and 19 botanical families (Table 1). The most species-rich families are, Fabaceae (17 species; 30.36%), </w:t>
      </w:r>
      <w:proofErr w:type="spellStart"/>
      <w:r w:rsidRPr="005F4760">
        <w:rPr>
          <w:rFonts w:ascii="Arial" w:hAnsi="Arial" w:cs="Arial"/>
        </w:rPr>
        <w:t>Moraceae</w:t>
      </w:r>
      <w:proofErr w:type="spellEnd"/>
      <w:r w:rsidRPr="005F4760">
        <w:rPr>
          <w:rFonts w:ascii="Arial" w:hAnsi="Arial" w:cs="Arial"/>
        </w:rPr>
        <w:t xml:space="preserve"> (8 species; 14.29%), and the </w:t>
      </w:r>
      <w:proofErr w:type="spellStart"/>
      <w:r w:rsidRPr="005F4760">
        <w:rPr>
          <w:rFonts w:ascii="Arial" w:hAnsi="Arial" w:cs="Arial"/>
        </w:rPr>
        <w:t>Combretaceae</w:t>
      </w:r>
      <w:proofErr w:type="spellEnd"/>
      <w:r w:rsidRPr="005F4760">
        <w:rPr>
          <w:rFonts w:ascii="Arial" w:hAnsi="Arial" w:cs="Arial"/>
        </w:rPr>
        <w:t xml:space="preserve">, </w:t>
      </w:r>
      <w:proofErr w:type="spellStart"/>
      <w:r w:rsidRPr="005F4760">
        <w:rPr>
          <w:rFonts w:ascii="Arial" w:hAnsi="Arial" w:cs="Arial"/>
        </w:rPr>
        <w:t>Meliaceae</w:t>
      </w:r>
      <w:proofErr w:type="spellEnd"/>
      <w:r w:rsidRPr="005F4760">
        <w:rPr>
          <w:rFonts w:ascii="Arial" w:hAnsi="Arial" w:cs="Arial"/>
        </w:rPr>
        <w:t xml:space="preserve">, and </w:t>
      </w:r>
      <w:proofErr w:type="spellStart"/>
      <w:r w:rsidRPr="005F4760">
        <w:rPr>
          <w:rFonts w:ascii="Arial" w:hAnsi="Arial" w:cs="Arial"/>
        </w:rPr>
        <w:t>Verbenaceae</w:t>
      </w:r>
      <w:proofErr w:type="spellEnd"/>
      <w:r w:rsidRPr="005F4760">
        <w:rPr>
          <w:rFonts w:ascii="Arial" w:hAnsi="Arial" w:cs="Arial"/>
        </w:rPr>
        <w:t>, each represented by 4 species (7.14%) (Fig</w:t>
      </w:r>
      <w:r>
        <w:rPr>
          <w:rFonts w:ascii="Arial" w:hAnsi="Arial" w:cs="Arial"/>
        </w:rPr>
        <w:t>.</w:t>
      </w:r>
      <w:r w:rsidRPr="005F4760">
        <w:rPr>
          <w:rFonts w:ascii="Arial" w:hAnsi="Arial" w:cs="Arial"/>
        </w:rPr>
        <w:t xml:space="preserve"> 2). </w:t>
      </w:r>
    </w:p>
    <w:p w14:paraId="4EC0D121" w14:textId="77777777" w:rsidR="00FD6AB9" w:rsidRDefault="00FD6AB9" w:rsidP="00D74637">
      <w:pPr>
        <w:tabs>
          <w:tab w:val="left" w:pos="1080"/>
        </w:tabs>
        <w:spacing w:before="240" w:after="240"/>
        <w:jc w:val="center"/>
        <w:rPr>
          <w:rFonts w:ascii="Arial" w:hAnsi="Arial"/>
          <w:b/>
        </w:rPr>
      </w:pPr>
    </w:p>
    <w:p w14:paraId="49D55061" w14:textId="77777777" w:rsidR="00FD6AB9" w:rsidRDefault="00FD6AB9" w:rsidP="00D74637">
      <w:pPr>
        <w:tabs>
          <w:tab w:val="left" w:pos="1080"/>
        </w:tabs>
        <w:spacing w:before="240" w:after="240"/>
        <w:jc w:val="center"/>
        <w:rPr>
          <w:rFonts w:ascii="Arial" w:hAnsi="Arial"/>
          <w:b/>
        </w:rPr>
      </w:pPr>
    </w:p>
    <w:p w14:paraId="26EC62AA" w14:textId="77777777" w:rsidR="00FD6AB9" w:rsidRDefault="00FD6AB9" w:rsidP="00D74637">
      <w:pPr>
        <w:tabs>
          <w:tab w:val="left" w:pos="1080"/>
        </w:tabs>
        <w:spacing w:before="240" w:after="240"/>
        <w:jc w:val="center"/>
        <w:rPr>
          <w:rFonts w:ascii="Arial" w:hAnsi="Arial"/>
          <w:b/>
        </w:rPr>
      </w:pPr>
    </w:p>
    <w:p w14:paraId="48D0D2FF" w14:textId="04ED83F8" w:rsidR="00C21625" w:rsidRPr="00D74637" w:rsidRDefault="00710B9B" w:rsidP="00D74637">
      <w:pPr>
        <w:tabs>
          <w:tab w:val="left" w:pos="1080"/>
        </w:tabs>
        <w:spacing w:before="240" w:after="240"/>
        <w:jc w:val="center"/>
        <w:rPr>
          <w:rFonts w:ascii="Arial" w:hAnsi="Arial"/>
          <w:b/>
        </w:rPr>
      </w:pPr>
      <w:r>
        <w:rPr>
          <w:rFonts w:ascii="Arial" w:hAnsi="Arial"/>
          <w:b/>
        </w:rPr>
        <w:lastRenderedPageBreak/>
        <w:t xml:space="preserve">Table 1. </w:t>
      </w:r>
      <w:r w:rsidRPr="00710B9B">
        <w:rPr>
          <w:rFonts w:ascii="Arial" w:hAnsi="Arial"/>
          <w:b/>
        </w:rPr>
        <w:t>Taxonomic and floristic data of the woody plant population</w:t>
      </w:r>
    </w:p>
    <w:tbl>
      <w:tblPr>
        <w:tblW w:w="503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75"/>
        <w:gridCol w:w="1559"/>
      </w:tblGrid>
      <w:tr w:rsidR="00C21625" w:rsidRPr="00DC3180" w14:paraId="287C6DAB" w14:textId="77777777" w:rsidTr="00D74637">
        <w:trPr>
          <w:jc w:val="center"/>
        </w:trPr>
        <w:tc>
          <w:tcPr>
            <w:tcW w:w="3475" w:type="dxa"/>
            <w:tcBorders>
              <w:bottom w:val="single" w:sz="4" w:space="0" w:color="auto"/>
            </w:tcBorders>
          </w:tcPr>
          <w:p w14:paraId="6BEC031D" w14:textId="566F7336" w:rsidR="00C21625" w:rsidRPr="00DC3180" w:rsidRDefault="00C21625" w:rsidP="007D1BCA">
            <w:pPr>
              <w:jc w:val="both"/>
              <w:rPr>
                <w:rFonts w:ascii="Arial" w:hAnsi="Arial"/>
                <w:b/>
                <w:bCs/>
              </w:rPr>
            </w:pPr>
            <w:r w:rsidRPr="00C21625">
              <w:rPr>
                <w:rFonts w:ascii="Arial" w:hAnsi="Arial"/>
                <w:b/>
              </w:rPr>
              <w:t>Floristic parameters</w:t>
            </w:r>
          </w:p>
        </w:tc>
        <w:tc>
          <w:tcPr>
            <w:tcW w:w="1559" w:type="dxa"/>
            <w:tcBorders>
              <w:bottom w:val="single" w:sz="4" w:space="0" w:color="auto"/>
            </w:tcBorders>
          </w:tcPr>
          <w:p w14:paraId="584069E4" w14:textId="77777777" w:rsidR="00C21625" w:rsidRPr="00DC3180" w:rsidRDefault="00C21625" w:rsidP="007D1BCA">
            <w:pPr>
              <w:jc w:val="both"/>
              <w:rPr>
                <w:rFonts w:ascii="Arial" w:hAnsi="Arial"/>
                <w:b/>
                <w:bCs/>
              </w:rPr>
            </w:pPr>
            <w:r w:rsidRPr="00DC3180">
              <w:rPr>
                <w:rFonts w:ascii="Arial" w:hAnsi="Arial"/>
                <w:b/>
                <w:bCs/>
              </w:rPr>
              <w:t>Value</w:t>
            </w:r>
          </w:p>
        </w:tc>
      </w:tr>
      <w:tr w:rsidR="00C21625" w:rsidRPr="00DC3180" w14:paraId="09AF55E9" w14:textId="77777777" w:rsidTr="00D74637">
        <w:trPr>
          <w:jc w:val="center"/>
        </w:trPr>
        <w:tc>
          <w:tcPr>
            <w:tcW w:w="3475" w:type="dxa"/>
            <w:tcBorders>
              <w:top w:val="nil"/>
              <w:bottom w:val="nil"/>
            </w:tcBorders>
          </w:tcPr>
          <w:p w14:paraId="73AE917D" w14:textId="3EBA5B31" w:rsidR="00C21625" w:rsidRPr="00DC3180" w:rsidRDefault="00C21625" w:rsidP="007D1BCA">
            <w:pPr>
              <w:jc w:val="both"/>
              <w:rPr>
                <w:rFonts w:ascii="Arial" w:hAnsi="Arial"/>
                <w:vanish/>
              </w:rPr>
            </w:pPr>
            <w:r w:rsidRPr="00C21625">
              <w:rPr>
                <w:rFonts w:ascii="Arial" w:hAnsi="Arial"/>
              </w:rPr>
              <w:t>Number of individuals</w:t>
            </w:r>
          </w:p>
          <w:p w14:paraId="0B106ED6" w14:textId="77777777" w:rsidR="00C21625" w:rsidRPr="00DC3180" w:rsidRDefault="00C21625" w:rsidP="007D1BCA">
            <w:pPr>
              <w:jc w:val="both"/>
              <w:rPr>
                <w:rFonts w:ascii="Arial" w:hAnsi="Arial"/>
              </w:rPr>
            </w:pPr>
          </w:p>
        </w:tc>
        <w:tc>
          <w:tcPr>
            <w:tcW w:w="1559" w:type="dxa"/>
            <w:tcBorders>
              <w:top w:val="nil"/>
              <w:bottom w:val="nil"/>
            </w:tcBorders>
          </w:tcPr>
          <w:p w14:paraId="1078B620" w14:textId="7F4C4DD7" w:rsidR="00C21625" w:rsidRPr="00DC3180" w:rsidRDefault="00D74637" w:rsidP="007D1BCA">
            <w:pPr>
              <w:jc w:val="both"/>
              <w:rPr>
                <w:rFonts w:ascii="Arial" w:hAnsi="Arial"/>
              </w:rPr>
            </w:pPr>
            <w:r w:rsidRPr="00D74637">
              <w:rPr>
                <w:rFonts w:ascii="Arial" w:hAnsi="Arial"/>
              </w:rPr>
              <w:t>1199</w:t>
            </w:r>
          </w:p>
        </w:tc>
      </w:tr>
      <w:tr w:rsidR="00C21625" w:rsidRPr="00DC3180" w14:paraId="009CFEAD" w14:textId="77777777" w:rsidTr="00D74637">
        <w:trPr>
          <w:jc w:val="center"/>
        </w:trPr>
        <w:tc>
          <w:tcPr>
            <w:tcW w:w="3475" w:type="dxa"/>
            <w:tcBorders>
              <w:top w:val="nil"/>
              <w:bottom w:val="nil"/>
            </w:tcBorders>
          </w:tcPr>
          <w:p w14:paraId="267F9154" w14:textId="5B655061" w:rsidR="00C21625" w:rsidRPr="00DC3180" w:rsidRDefault="00C21625" w:rsidP="007D1BCA">
            <w:pPr>
              <w:jc w:val="both"/>
              <w:rPr>
                <w:rFonts w:ascii="Arial" w:hAnsi="Arial"/>
              </w:rPr>
            </w:pPr>
            <w:r w:rsidRPr="00C21625">
              <w:rPr>
                <w:rFonts w:ascii="Arial" w:hAnsi="Arial"/>
              </w:rPr>
              <w:t>Number of species</w:t>
            </w:r>
          </w:p>
        </w:tc>
        <w:tc>
          <w:tcPr>
            <w:tcW w:w="1559" w:type="dxa"/>
            <w:tcBorders>
              <w:top w:val="nil"/>
              <w:bottom w:val="nil"/>
            </w:tcBorders>
          </w:tcPr>
          <w:p w14:paraId="06F71A83" w14:textId="0008A528" w:rsidR="00C21625" w:rsidRPr="00DC3180" w:rsidRDefault="00D74637" w:rsidP="007D1BCA">
            <w:pPr>
              <w:jc w:val="both"/>
              <w:rPr>
                <w:rFonts w:ascii="Arial" w:hAnsi="Arial"/>
              </w:rPr>
            </w:pPr>
            <w:r w:rsidRPr="00D74637">
              <w:rPr>
                <w:rFonts w:ascii="Arial" w:hAnsi="Arial"/>
              </w:rPr>
              <w:t>57</w:t>
            </w:r>
          </w:p>
        </w:tc>
      </w:tr>
      <w:tr w:rsidR="00D74637" w:rsidRPr="00DC3180" w14:paraId="5BDA83A6" w14:textId="77777777" w:rsidTr="00D74637">
        <w:trPr>
          <w:jc w:val="center"/>
        </w:trPr>
        <w:tc>
          <w:tcPr>
            <w:tcW w:w="3475" w:type="dxa"/>
            <w:tcBorders>
              <w:top w:val="nil"/>
              <w:bottom w:val="nil"/>
            </w:tcBorders>
          </w:tcPr>
          <w:p w14:paraId="6107B573" w14:textId="7342AB0F" w:rsidR="00D74637" w:rsidRPr="00C21625" w:rsidRDefault="00D74637" w:rsidP="007D1BCA">
            <w:pPr>
              <w:jc w:val="both"/>
              <w:rPr>
                <w:rFonts w:ascii="Arial" w:hAnsi="Arial"/>
              </w:rPr>
            </w:pPr>
            <w:r w:rsidRPr="00D74637">
              <w:rPr>
                <w:rFonts w:ascii="Arial" w:hAnsi="Arial"/>
              </w:rPr>
              <w:t>Number of genera</w:t>
            </w:r>
          </w:p>
        </w:tc>
        <w:tc>
          <w:tcPr>
            <w:tcW w:w="1559" w:type="dxa"/>
            <w:tcBorders>
              <w:top w:val="nil"/>
              <w:bottom w:val="nil"/>
            </w:tcBorders>
          </w:tcPr>
          <w:p w14:paraId="7FC8F7E2" w14:textId="032F0698" w:rsidR="00D74637" w:rsidRPr="00DC3180" w:rsidRDefault="00D74637" w:rsidP="007D1BCA">
            <w:pPr>
              <w:jc w:val="both"/>
              <w:rPr>
                <w:rFonts w:ascii="Arial" w:hAnsi="Arial"/>
              </w:rPr>
            </w:pPr>
            <w:r w:rsidRPr="00D74637">
              <w:rPr>
                <w:rFonts w:ascii="Arial" w:hAnsi="Arial"/>
              </w:rPr>
              <w:t>44</w:t>
            </w:r>
          </w:p>
        </w:tc>
      </w:tr>
      <w:tr w:rsidR="00C21625" w:rsidRPr="00DC3180" w14:paraId="0B4A648F" w14:textId="77777777" w:rsidTr="00D74637">
        <w:trPr>
          <w:jc w:val="center"/>
        </w:trPr>
        <w:tc>
          <w:tcPr>
            <w:tcW w:w="3475" w:type="dxa"/>
            <w:tcBorders>
              <w:top w:val="nil"/>
              <w:bottom w:val="single" w:sz="4" w:space="0" w:color="auto"/>
            </w:tcBorders>
          </w:tcPr>
          <w:p w14:paraId="21E2EAF9" w14:textId="30F888E0" w:rsidR="00C21625" w:rsidRPr="00DC3180" w:rsidRDefault="00D74637" w:rsidP="007D1BCA">
            <w:pPr>
              <w:jc w:val="both"/>
              <w:rPr>
                <w:rFonts w:ascii="Arial" w:hAnsi="Arial"/>
              </w:rPr>
            </w:pPr>
            <w:r w:rsidRPr="00D74637">
              <w:rPr>
                <w:rFonts w:ascii="Arial" w:hAnsi="Arial"/>
              </w:rPr>
              <w:t>Number of families</w:t>
            </w:r>
          </w:p>
        </w:tc>
        <w:tc>
          <w:tcPr>
            <w:tcW w:w="1559" w:type="dxa"/>
            <w:tcBorders>
              <w:top w:val="nil"/>
              <w:bottom w:val="single" w:sz="4" w:space="0" w:color="auto"/>
            </w:tcBorders>
          </w:tcPr>
          <w:p w14:paraId="195D07CF" w14:textId="32831720" w:rsidR="00C21625" w:rsidRPr="00DC3180" w:rsidRDefault="00D74637" w:rsidP="007D1BCA">
            <w:pPr>
              <w:jc w:val="both"/>
              <w:rPr>
                <w:rFonts w:ascii="Arial" w:hAnsi="Arial"/>
              </w:rPr>
            </w:pPr>
            <w:r w:rsidRPr="00D74637">
              <w:rPr>
                <w:rFonts w:ascii="Arial" w:hAnsi="Arial"/>
              </w:rPr>
              <w:t>19</w:t>
            </w:r>
          </w:p>
        </w:tc>
      </w:tr>
    </w:tbl>
    <w:p w14:paraId="413849B0" w14:textId="77777777" w:rsidR="00C21625" w:rsidRDefault="00C21625" w:rsidP="006A4EF5">
      <w:pPr>
        <w:pStyle w:val="Body"/>
        <w:spacing w:before="240" w:after="0"/>
        <w:jc w:val="center"/>
        <w:rPr>
          <w:rFonts w:ascii="Arial" w:hAnsi="Arial" w:cs="Arial"/>
        </w:rPr>
      </w:pPr>
    </w:p>
    <w:p w14:paraId="15C90014" w14:textId="256AFF9B" w:rsidR="006A4EF5" w:rsidRDefault="006A4EF5" w:rsidP="006A4EF5">
      <w:pPr>
        <w:pStyle w:val="Body"/>
        <w:spacing w:before="240" w:after="0"/>
        <w:jc w:val="center"/>
        <w:rPr>
          <w:rFonts w:ascii="Arial" w:hAnsi="Arial" w:cs="Arial"/>
        </w:rPr>
      </w:pPr>
      <w:r>
        <w:rPr>
          <w:rFonts w:ascii="Arial" w:hAnsi="Arial" w:cs="Arial"/>
          <w:noProof/>
        </w:rPr>
        <w:drawing>
          <wp:inline distT="0" distB="0" distL="0" distR="0" wp14:anchorId="5905B795" wp14:editId="6FC26C10">
            <wp:extent cx="3790950" cy="2480831"/>
            <wp:effectExtent l="0" t="0" r="0" b="0"/>
            <wp:docPr id="14375209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5427" cy="2503393"/>
                    </a:xfrm>
                    <a:prstGeom prst="rect">
                      <a:avLst/>
                    </a:prstGeom>
                    <a:noFill/>
                  </pic:spPr>
                </pic:pic>
              </a:graphicData>
            </a:graphic>
          </wp:inline>
        </w:drawing>
      </w:r>
    </w:p>
    <w:p w14:paraId="0D7F0B57" w14:textId="27BADF95" w:rsidR="009C5C8A" w:rsidRPr="006A4EF5" w:rsidRDefault="009C5C8A" w:rsidP="006A4EF5">
      <w:pPr>
        <w:pStyle w:val="Body"/>
        <w:spacing w:before="240" w:after="0"/>
        <w:jc w:val="center"/>
        <w:rPr>
          <w:rFonts w:ascii="Arial" w:hAnsi="Arial" w:cs="Arial"/>
          <w:b/>
          <w:bCs/>
        </w:rPr>
      </w:pPr>
      <w:r w:rsidRPr="006A4EF5">
        <w:rPr>
          <w:rFonts w:ascii="Arial" w:hAnsi="Arial" w:cs="Arial"/>
          <w:b/>
          <w:bCs/>
        </w:rPr>
        <w:t>Fig</w:t>
      </w:r>
      <w:r w:rsidR="006A4EF5" w:rsidRPr="006A4EF5">
        <w:rPr>
          <w:rFonts w:ascii="Arial" w:hAnsi="Arial" w:cs="Arial"/>
          <w:b/>
          <w:bCs/>
        </w:rPr>
        <w:t>.</w:t>
      </w:r>
      <w:r w:rsidRPr="006A4EF5">
        <w:rPr>
          <w:rFonts w:ascii="Arial" w:hAnsi="Arial" w:cs="Arial"/>
          <w:b/>
          <w:bCs/>
        </w:rPr>
        <w:t xml:space="preserve"> 2</w:t>
      </w:r>
      <w:r w:rsidR="006A4EF5" w:rsidRPr="006A4EF5">
        <w:rPr>
          <w:rFonts w:ascii="Arial" w:hAnsi="Arial" w:cs="Arial"/>
          <w:b/>
          <w:bCs/>
        </w:rPr>
        <w:t>.</w:t>
      </w:r>
      <w:r w:rsidRPr="006A4EF5">
        <w:rPr>
          <w:rFonts w:ascii="Arial" w:hAnsi="Arial" w:cs="Arial"/>
          <w:b/>
          <w:bCs/>
        </w:rPr>
        <w:t xml:space="preserve"> Distribution spectrum of plant species inventoried in the families</w:t>
      </w:r>
    </w:p>
    <w:p w14:paraId="1DF7CC27" w14:textId="1DA06F7E" w:rsidR="006A4EF5" w:rsidRPr="006A4EF5" w:rsidRDefault="006A4EF5" w:rsidP="006A4EF5">
      <w:pPr>
        <w:pStyle w:val="Body"/>
        <w:spacing w:before="240"/>
        <w:rPr>
          <w:rFonts w:ascii="Arial" w:hAnsi="Arial" w:cs="Arial"/>
        </w:rPr>
      </w:pPr>
      <w:r w:rsidRPr="006A4EF5">
        <w:rPr>
          <w:rFonts w:ascii="Arial" w:hAnsi="Arial" w:cs="Arial"/>
        </w:rPr>
        <w:t xml:space="preserve">Analysis of both the unweighted and weighted spectra of the biological types of the flora </w:t>
      </w:r>
      <w:bookmarkStart w:id="20" w:name="_Hlk195585597"/>
      <w:r w:rsidRPr="006A4EF5">
        <w:rPr>
          <w:rFonts w:ascii="Arial" w:hAnsi="Arial" w:cs="Arial"/>
        </w:rPr>
        <w:t>(Fig</w:t>
      </w:r>
      <w:r>
        <w:rPr>
          <w:rFonts w:ascii="Arial" w:hAnsi="Arial" w:cs="Arial"/>
        </w:rPr>
        <w:t xml:space="preserve">. </w:t>
      </w:r>
      <w:r w:rsidRPr="006A4EF5">
        <w:rPr>
          <w:rFonts w:ascii="Arial" w:hAnsi="Arial" w:cs="Arial"/>
        </w:rPr>
        <w:t xml:space="preserve">3) </w:t>
      </w:r>
      <w:bookmarkEnd w:id="20"/>
      <w:r w:rsidRPr="006A4EF5">
        <w:rPr>
          <w:rFonts w:ascii="Arial" w:hAnsi="Arial" w:cs="Arial"/>
        </w:rPr>
        <w:t xml:space="preserve">highlights the dominance of microphanerophytes, accounting for 71.93% of the species and 52.33% of the individuals. They are followed by </w:t>
      </w:r>
      <w:proofErr w:type="spellStart"/>
      <w:r w:rsidRPr="006A4EF5">
        <w:rPr>
          <w:rFonts w:ascii="Arial" w:hAnsi="Arial" w:cs="Arial"/>
        </w:rPr>
        <w:t>mesophanerophytes</w:t>
      </w:r>
      <w:proofErr w:type="spellEnd"/>
      <w:r w:rsidRPr="006A4EF5">
        <w:rPr>
          <w:rFonts w:ascii="Arial" w:hAnsi="Arial" w:cs="Arial"/>
        </w:rPr>
        <w:t>, which represent 21.05% of the unweighted spectrum and 38.60% of the weighted spectrum. Megaphanerophytes and nanophanerophytes show the lowest proportions in the unweighted spectrum (3.51%), while nanophanerophytes are the least represented in terms of individuals (2.49%).</w:t>
      </w:r>
    </w:p>
    <w:p w14:paraId="07AC6E0A" w14:textId="2540DE54" w:rsidR="009C5C8A" w:rsidRDefault="006A4EF5" w:rsidP="006A4EF5">
      <w:pPr>
        <w:pStyle w:val="Body"/>
        <w:spacing w:before="240" w:after="0"/>
        <w:rPr>
          <w:rFonts w:ascii="Arial" w:hAnsi="Arial" w:cs="Arial"/>
        </w:rPr>
      </w:pPr>
      <w:r w:rsidRPr="006A4EF5">
        <w:rPr>
          <w:rFonts w:ascii="Arial" w:hAnsi="Arial" w:cs="Arial"/>
        </w:rPr>
        <w:t>Regarding the chorological types</w:t>
      </w:r>
      <w:r>
        <w:rPr>
          <w:rFonts w:ascii="Arial" w:hAnsi="Arial" w:cs="Arial"/>
        </w:rPr>
        <w:t xml:space="preserve"> </w:t>
      </w:r>
      <w:r w:rsidRPr="006A4EF5">
        <w:rPr>
          <w:rFonts w:ascii="Arial" w:hAnsi="Arial" w:cs="Arial"/>
        </w:rPr>
        <w:t xml:space="preserve">(Fig. </w:t>
      </w:r>
      <w:r>
        <w:rPr>
          <w:rFonts w:ascii="Arial" w:hAnsi="Arial" w:cs="Arial"/>
        </w:rPr>
        <w:t>4</w:t>
      </w:r>
      <w:r w:rsidRPr="006A4EF5">
        <w:rPr>
          <w:rFonts w:ascii="Arial" w:hAnsi="Arial" w:cs="Arial"/>
        </w:rPr>
        <w:t xml:space="preserve">), the </w:t>
      </w:r>
      <w:proofErr w:type="spellStart"/>
      <w:r w:rsidRPr="006A4EF5">
        <w:rPr>
          <w:rFonts w:ascii="Arial" w:hAnsi="Arial" w:cs="Arial"/>
        </w:rPr>
        <w:t>Sudanian</w:t>
      </w:r>
      <w:proofErr w:type="spellEnd"/>
      <w:r w:rsidRPr="006A4EF5">
        <w:rPr>
          <w:rFonts w:ascii="Arial" w:hAnsi="Arial" w:cs="Arial"/>
        </w:rPr>
        <w:t xml:space="preserve">-Zambezian (SZ) species are the most abundant, comprising 35.09% of the species and 43.76% of the recorded individuals. They are followed by </w:t>
      </w:r>
      <w:proofErr w:type="spellStart"/>
      <w:r w:rsidRPr="006A4EF5">
        <w:rPr>
          <w:rFonts w:ascii="Arial" w:hAnsi="Arial" w:cs="Arial"/>
        </w:rPr>
        <w:t>Guineo-Congolian</w:t>
      </w:r>
      <w:proofErr w:type="spellEnd"/>
      <w:r w:rsidRPr="006A4EF5">
        <w:rPr>
          <w:rFonts w:ascii="Arial" w:hAnsi="Arial" w:cs="Arial"/>
        </w:rPr>
        <w:t>–</w:t>
      </w:r>
      <w:proofErr w:type="spellStart"/>
      <w:r w:rsidRPr="006A4EF5">
        <w:rPr>
          <w:rFonts w:ascii="Arial" w:hAnsi="Arial" w:cs="Arial"/>
        </w:rPr>
        <w:t>Sudanian</w:t>
      </w:r>
      <w:proofErr w:type="spellEnd"/>
      <w:r w:rsidRPr="006A4EF5">
        <w:rPr>
          <w:rFonts w:ascii="Arial" w:hAnsi="Arial" w:cs="Arial"/>
        </w:rPr>
        <w:t xml:space="preserve">-Zambezian (GC-SZ) species in the unweighted spectrum (31.58%) and introduced species in the weighted spectrum (31.2%). </w:t>
      </w:r>
      <w:proofErr w:type="spellStart"/>
      <w:r w:rsidRPr="006A4EF5">
        <w:rPr>
          <w:rFonts w:ascii="Arial" w:hAnsi="Arial" w:cs="Arial"/>
        </w:rPr>
        <w:t>Guineo-Congolian</w:t>
      </w:r>
      <w:proofErr w:type="spellEnd"/>
      <w:r w:rsidRPr="006A4EF5">
        <w:rPr>
          <w:rFonts w:ascii="Arial" w:hAnsi="Arial" w:cs="Arial"/>
        </w:rPr>
        <w:t xml:space="preserve"> (GC) species are the least represented, with 3.51% of the species and 0.83% of the individuals recorded.</w:t>
      </w:r>
    </w:p>
    <w:p w14:paraId="7911A5FB" w14:textId="77777777" w:rsidR="006A4EF5" w:rsidRDefault="006A4EF5" w:rsidP="00441B6F">
      <w:pPr>
        <w:pStyle w:val="Body"/>
        <w:spacing w:after="0"/>
        <w:rPr>
          <w:rFonts w:ascii="Arial" w:hAnsi="Arial" w:cs="Arial"/>
        </w:rPr>
      </w:pPr>
    </w:p>
    <w:p w14:paraId="3D17EFCA" w14:textId="77777777" w:rsidR="006A4EF5" w:rsidRDefault="006A4EF5" w:rsidP="00441B6F">
      <w:pPr>
        <w:pStyle w:val="Body"/>
        <w:spacing w:after="0"/>
        <w:rPr>
          <w:rFonts w:ascii="Arial" w:hAnsi="Arial" w:cs="Arial"/>
        </w:rPr>
      </w:pPr>
    </w:p>
    <w:p w14:paraId="5745FDC7" w14:textId="1FDFFF92" w:rsidR="00CE5B3B" w:rsidRDefault="00CE5B3B" w:rsidP="00CE5B3B">
      <w:pPr>
        <w:pStyle w:val="Body"/>
        <w:spacing w:after="0"/>
        <w:jc w:val="center"/>
        <w:rPr>
          <w:rFonts w:ascii="Arial" w:hAnsi="Arial" w:cs="Arial"/>
        </w:rPr>
      </w:pPr>
      <w:r>
        <w:rPr>
          <w:rFonts w:ascii="Arial" w:hAnsi="Arial" w:cs="Arial"/>
          <w:noProof/>
        </w:rPr>
        <w:lastRenderedPageBreak/>
        <w:drawing>
          <wp:inline distT="0" distB="0" distL="0" distR="0" wp14:anchorId="010AAD1A" wp14:editId="2740B94B">
            <wp:extent cx="3756243" cy="2562225"/>
            <wp:effectExtent l="0" t="0" r="0" b="0"/>
            <wp:docPr id="9011565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3573" cy="2574046"/>
                    </a:xfrm>
                    <a:prstGeom prst="rect">
                      <a:avLst/>
                    </a:prstGeom>
                    <a:noFill/>
                  </pic:spPr>
                </pic:pic>
              </a:graphicData>
            </a:graphic>
          </wp:inline>
        </w:drawing>
      </w:r>
    </w:p>
    <w:p w14:paraId="76ACC62E" w14:textId="3DCFC15E" w:rsidR="00790ADA" w:rsidRPr="00CE5B3B" w:rsidRDefault="00CE5B3B" w:rsidP="00CE5B3B">
      <w:pPr>
        <w:pStyle w:val="Body"/>
        <w:spacing w:before="240" w:after="0"/>
        <w:jc w:val="center"/>
        <w:rPr>
          <w:rFonts w:ascii="Arial" w:hAnsi="Arial" w:cs="Arial"/>
          <w:b/>
          <w:bCs/>
        </w:rPr>
      </w:pPr>
      <w:r w:rsidRPr="00CE5B3B">
        <w:rPr>
          <w:rFonts w:ascii="Arial" w:hAnsi="Arial" w:cs="Arial"/>
          <w:b/>
          <w:bCs/>
        </w:rPr>
        <w:t>Fig. 3. Unweighted and Weighted spectra of the biological types of the flora</w:t>
      </w:r>
    </w:p>
    <w:p w14:paraId="0509B742" w14:textId="25078D62" w:rsidR="00CE5B3B" w:rsidRDefault="00CE5B3B" w:rsidP="00CE5B3B">
      <w:pPr>
        <w:pStyle w:val="Body"/>
        <w:spacing w:before="240" w:after="0"/>
        <w:jc w:val="center"/>
        <w:rPr>
          <w:rFonts w:ascii="Arial" w:hAnsi="Arial" w:cs="Arial"/>
        </w:rPr>
      </w:pPr>
      <w:r>
        <w:rPr>
          <w:rFonts w:ascii="Arial" w:hAnsi="Arial" w:cs="Arial"/>
          <w:noProof/>
        </w:rPr>
        <w:drawing>
          <wp:inline distT="0" distB="0" distL="0" distR="0" wp14:anchorId="4A4CC2BC" wp14:editId="283BAB6A">
            <wp:extent cx="3724275" cy="2547382"/>
            <wp:effectExtent l="0" t="0" r="0" b="0"/>
            <wp:docPr id="174543016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398" cy="2555674"/>
                    </a:xfrm>
                    <a:prstGeom prst="rect">
                      <a:avLst/>
                    </a:prstGeom>
                    <a:noFill/>
                  </pic:spPr>
                </pic:pic>
              </a:graphicData>
            </a:graphic>
          </wp:inline>
        </w:drawing>
      </w:r>
    </w:p>
    <w:p w14:paraId="12C5EE1C" w14:textId="4F7540B7" w:rsidR="00CE5B3B" w:rsidRPr="00CE5B3B" w:rsidRDefault="00CE5B3B" w:rsidP="00CE5B3B">
      <w:pPr>
        <w:pStyle w:val="Body"/>
        <w:spacing w:before="240" w:after="0"/>
        <w:jc w:val="center"/>
        <w:rPr>
          <w:rFonts w:ascii="Arial" w:hAnsi="Arial" w:cs="Arial"/>
          <w:b/>
          <w:bCs/>
        </w:rPr>
      </w:pPr>
      <w:r w:rsidRPr="00CE5B3B">
        <w:rPr>
          <w:rFonts w:ascii="Arial" w:hAnsi="Arial" w:cs="Arial"/>
          <w:b/>
          <w:bCs/>
        </w:rPr>
        <w:t>Fig. 4. Unweighted and Weighted spectra of the chorological types of the flora</w:t>
      </w:r>
    </w:p>
    <w:p w14:paraId="3D79CB9E" w14:textId="28CDDE39" w:rsidR="00CE5B3B" w:rsidRPr="00B5426B" w:rsidRDefault="00CE5B3B" w:rsidP="00CE5B3B">
      <w:pPr>
        <w:pStyle w:val="Body"/>
        <w:spacing w:before="240" w:after="0"/>
        <w:rPr>
          <w:rFonts w:ascii="Arial" w:hAnsi="Arial" w:cs="Arial"/>
          <w:b/>
          <w:bCs/>
          <w:sz w:val="22"/>
          <w:szCs w:val="22"/>
        </w:rPr>
      </w:pPr>
      <w:bookmarkStart w:id="21" w:name="_Hlk195591567"/>
      <w:r>
        <w:rPr>
          <w:rFonts w:ascii="Arial" w:hAnsi="Arial" w:cs="Arial"/>
          <w:b/>
          <w:bCs/>
          <w:sz w:val="22"/>
          <w:szCs w:val="22"/>
        </w:rPr>
        <w:t>3</w:t>
      </w:r>
      <w:r w:rsidRPr="00B5426B">
        <w:rPr>
          <w:rFonts w:ascii="Arial" w:hAnsi="Arial" w:cs="Arial"/>
          <w:b/>
          <w:bCs/>
          <w:sz w:val="22"/>
          <w:szCs w:val="22"/>
        </w:rPr>
        <w:t>.</w:t>
      </w:r>
      <w:r>
        <w:rPr>
          <w:rFonts w:ascii="Arial" w:hAnsi="Arial" w:cs="Arial"/>
          <w:b/>
          <w:bCs/>
          <w:sz w:val="22"/>
          <w:szCs w:val="22"/>
        </w:rPr>
        <w:t>2</w:t>
      </w:r>
      <w:r w:rsidRPr="00B5426B">
        <w:rPr>
          <w:rFonts w:ascii="Arial" w:hAnsi="Arial" w:cs="Arial"/>
          <w:b/>
          <w:bCs/>
          <w:sz w:val="22"/>
          <w:szCs w:val="22"/>
        </w:rPr>
        <w:t xml:space="preserve">. </w:t>
      </w:r>
      <w:r w:rsidRPr="00CE5B3B">
        <w:rPr>
          <w:rFonts w:ascii="Arial" w:hAnsi="Arial" w:cs="Arial"/>
          <w:b/>
          <w:bCs/>
          <w:sz w:val="22"/>
          <w:szCs w:val="22"/>
        </w:rPr>
        <w:t>Diversity Indices and importance value of taxa</w:t>
      </w:r>
      <w:bookmarkEnd w:id="21"/>
    </w:p>
    <w:p w14:paraId="5188DED4" w14:textId="77777777" w:rsidR="00B756D1" w:rsidRDefault="00B756D1" w:rsidP="005B3FEF">
      <w:pPr>
        <w:pStyle w:val="Body"/>
        <w:spacing w:before="240" w:after="0"/>
        <w:rPr>
          <w:rFonts w:ascii="Arial" w:hAnsi="Arial" w:cs="Arial"/>
        </w:rPr>
      </w:pPr>
      <w:r w:rsidRPr="00B756D1">
        <w:rPr>
          <w:rFonts w:ascii="Arial" w:hAnsi="Arial" w:cs="Arial"/>
        </w:rPr>
        <w:t xml:space="preserve">The </w:t>
      </w:r>
      <w:proofErr w:type="spellStart"/>
      <w:r w:rsidRPr="00B756D1">
        <w:rPr>
          <w:rFonts w:ascii="Arial" w:hAnsi="Arial" w:cs="Arial"/>
        </w:rPr>
        <w:t>biocenotic</w:t>
      </w:r>
      <w:proofErr w:type="spellEnd"/>
      <w:r w:rsidRPr="00B756D1">
        <w:rPr>
          <w:rFonts w:ascii="Arial" w:hAnsi="Arial" w:cs="Arial"/>
        </w:rPr>
        <w:t xml:space="preserve"> diversity of the flora, according to the Shannon index (H’), </w:t>
      </w:r>
      <w:proofErr w:type="spellStart"/>
      <w:r w:rsidRPr="00B756D1">
        <w:rPr>
          <w:rFonts w:ascii="Arial" w:hAnsi="Arial" w:cs="Arial"/>
        </w:rPr>
        <w:t>Piélou's</w:t>
      </w:r>
      <w:proofErr w:type="spellEnd"/>
      <w:r w:rsidRPr="00B756D1">
        <w:rPr>
          <w:rFonts w:ascii="Arial" w:hAnsi="Arial" w:cs="Arial"/>
        </w:rPr>
        <w:t xml:space="preserve"> Evenness index (EH’), and </w:t>
      </w:r>
      <w:proofErr w:type="spellStart"/>
      <w:r w:rsidRPr="00B756D1">
        <w:rPr>
          <w:rFonts w:ascii="Arial" w:hAnsi="Arial" w:cs="Arial"/>
        </w:rPr>
        <w:t>Margalef</w:t>
      </w:r>
      <w:proofErr w:type="spellEnd"/>
      <w:r w:rsidRPr="00B756D1">
        <w:rPr>
          <w:rFonts w:ascii="Arial" w:hAnsi="Arial" w:cs="Arial"/>
        </w:rPr>
        <w:t xml:space="preserve"> index, is summarized in Table 2. The value of the Shannon index (2.66 ± 0.39), being below 3, indicates a low diversity of the woody flora. Regarding </w:t>
      </w:r>
      <w:proofErr w:type="spellStart"/>
      <w:r w:rsidRPr="00B756D1">
        <w:rPr>
          <w:rFonts w:ascii="Arial" w:hAnsi="Arial" w:cs="Arial"/>
        </w:rPr>
        <w:t>Piélou's</w:t>
      </w:r>
      <w:proofErr w:type="spellEnd"/>
      <w:r w:rsidRPr="00B756D1">
        <w:rPr>
          <w:rFonts w:ascii="Arial" w:hAnsi="Arial" w:cs="Arial"/>
        </w:rPr>
        <w:t xml:space="preserve"> Evenness index, the value (0.81 ± 0.03) is close to 1, suggesting an almost equitable distribution of individuals among the different species inventoried. As for the </w:t>
      </w:r>
      <w:proofErr w:type="spellStart"/>
      <w:r w:rsidRPr="00B756D1">
        <w:rPr>
          <w:rFonts w:ascii="Arial" w:hAnsi="Arial" w:cs="Arial"/>
        </w:rPr>
        <w:t>Margalef</w:t>
      </w:r>
      <w:proofErr w:type="spellEnd"/>
      <w:r w:rsidRPr="00B756D1">
        <w:rPr>
          <w:rFonts w:ascii="Arial" w:hAnsi="Arial" w:cs="Arial"/>
        </w:rPr>
        <w:t xml:space="preserve"> index, the value (5.05 ± 1.63), which falls between 2 and 6, shows that the diversity of the studied flora is moderate.</w:t>
      </w:r>
    </w:p>
    <w:p w14:paraId="048F0C91" w14:textId="77777777" w:rsidR="00B756D1" w:rsidRDefault="00B756D1" w:rsidP="00441B6F">
      <w:pPr>
        <w:pStyle w:val="Body"/>
        <w:spacing w:after="0"/>
        <w:rPr>
          <w:rFonts w:ascii="Arial" w:hAnsi="Arial" w:cs="Arial"/>
        </w:rPr>
      </w:pPr>
    </w:p>
    <w:p w14:paraId="2B61AE50" w14:textId="77777777" w:rsidR="00FD6AB9" w:rsidRDefault="00FD6AB9" w:rsidP="00C21625">
      <w:pPr>
        <w:tabs>
          <w:tab w:val="left" w:pos="1080"/>
        </w:tabs>
        <w:jc w:val="center"/>
        <w:rPr>
          <w:rFonts w:ascii="Arial" w:hAnsi="Arial"/>
          <w:b/>
        </w:rPr>
      </w:pPr>
      <w:bookmarkStart w:id="22" w:name="_Hlk195591874"/>
      <w:bookmarkStart w:id="23" w:name="_Hlk195587895"/>
    </w:p>
    <w:p w14:paraId="7B4F5D5E" w14:textId="77777777" w:rsidR="00FD6AB9" w:rsidRDefault="00FD6AB9" w:rsidP="00C21625">
      <w:pPr>
        <w:tabs>
          <w:tab w:val="left" w:pos="1080"/>
        </w:tabs>
        <w:jc w:val="center"/>
        <w:rPr>
          <w:rFonts w:ascii="Arial" w:hAnsi="Arial"/>
          <w:b/>
        </w:rPr>
      </w:pPr>
    </w:p>
    <w:p w14:paraId="72304096" w14:textId="7B90C12A" w:rsidR="00B756D1" w:rsidRDefault="00B756D1" w:rsidP="00C21625">
      <w:pPr>
        <w:tabs>
          <w:tab w:val="left" w:pos="1080"/>
        </w:tabs>
        <w:jc w:val="center"/>
        <w:rPr>
          <w:rFonts w:ascii="Arial" w:hAnsi="Arial"/>
          <w:b/>
        </w:rPr>
      </w:pPr>
      <w:r>
        <w:rPr>
          <w:rFonts w:ascii="Arial" w:hAnsi="Arial"/>
          <w:b/>
        </w:rPr>
        <w:lastRenderedPageBreak/>
        <w:t xml:space="preserve">Table 2. </w:t>
      </w:r>
      <w:r w:rsidRPr="00B756D1">
        <w:rPr>
          <w:rFonts w:ascii="Arial" w:hAnsi="Arial"/>
          <w:b/>
        </w:rPr>
        <w:t xml:space="preserve">Indices of </w:t>
      </w:r>
      <w:proofErr w:type="spellStart"/>
      <w:r w:rsidRPr="00B756D1">
        <w:rPr>
          <w:rFonts w:ascii="Arial" w:hAnsi="Arial"/>
          <w:b/>
        </w:rPr>
        <w:t>biocenotic</w:t>
      </w:r>
      <w:proofErr w:type="spellEnd"/>
      <w:r w:rsidRPr="00B756D1">
        <w:rPr>
          <w:rFonts w:ascii="Arial" w:hAnsi="Arial"/>
          <w:b/>
        </w:rPr>
        <w:t xml:space="preserve"> diversity of flora</w:t>
      </w:r>
    </w:p>
    <w:p w14:paraId="402AAD35" w14:textId="77777777" w:rsidR="00B756D1" w:rsidRPr="00DC3180" w:rsidRDefault="00B756D1" w:rsidP="00B756D1">
      <w:pPr>
        <w:tabs>
          <w:tab w:val="left" w:pos="1080"/>
        </w:tabs>
        <w:jc w:val="both"/>
        <w:rPr>
          <w:rFonts w:ascii="Arial" w:hAnsi="Arial"/>
          <w:b/>
        </w:rPr>
      </w:pPr>
    </w:p>
    <w:tbl>
      <w:tblPr>
        <w:tblW w:w="510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955"/>
      </w:tblGrid>
      <w:tr w:rsidR="00B756D1" w:rsidRPr="00DC3180" w14:paraId="6DC939E0" w14:textId="77777777" w:rsidTr="00C21625">
        <w:trPr>
          <w:jc w:val="center"/>
        </w:trPr>
        <w:tc>
          <w:tcPr>
            <w:tcW w:w="3150" w:type="dxa"/>
            <w:tcBorders>
              <w:bottom w:val="single" w:sz="4" w:space="0" w:color="auto"/>
            </w:tcBorders>
          </w:tcPr>
          <w:p w14:paraId="4043A7B1" w14:textId="3808502E" w:rsidR="00B756D1" w:rsidRPr="00DC3180" w:rsidRDefault="00B756D1" w:rsidP="007D1BCA">
            <w:pPr>
              <w:jc w:val="both"/>
              <w:rPr>
                <w:rFonts w:ascii="Arial" w:hAnsi="Arial"/>
                <w:b/>
                <w:bCs/>
              </w:rPr>
            </w:pPr>
            <w:r w:rsidRPr="00B756D1">
              <w:rPr>
                <w:rFonts w:ascii="Arial" w:hAnsi="Arial"/>
                <w:b/>
              </w:rPr>
              <w:t>Diversity Indices</w:t>
            </w:r>
          </w:p>
        </w:tc>
        <w:tc>
          <w:tcPr>
            <w:tcW w:w="1955" w:type="dxa"/>
            <w:tcBorders>
              <w:bottom w:val="single" w:sz="4" w:space="0" w:color="auto"/>
            </w:tcBorders>
          </w:tcPr>
          <w:p w14:paraId="7E84F82E" w14:textId="77777777" w:rsidR="00B756D1" w:rsidRPr="00DC3180" w:rsidRDefault="00B756D1" w:rsidP="007D1BCA">
            <w:pPr>
              <w:jc w:val="both"/>
              <w:rPr>
                <w:rFonts w:ascii="Arial" w:hAnsi="Arial"/>
                <w:b/>
                <w:bCs/>
              </w:rPr>
            </w:pPr>
            <w:r w:rsidRPr="00DC3180">
              <w:rPr>
                <w:rFonts w:ascii="Arial" w:hAnsi="Arial"/>
                <w:b/>
                <w:bCs/>
              </w:rPr>
              <w:t>Value</w:t>
            </w:r>
          </w:p>
        </w:tc>
      </w:tr>
      <w:tr w:rsidR="00B756D1" w:rsidRPr="00DC3180" w14:paraId="28D48B5D" w14:textId="77777777" w:rsidTr="00C21625">
        <w:trPr>
          <w:jc w:val="center"/>
        </w:trPr>
        <w:tc>
          <w:tcPr>
            <w:tcW w:w="3150" w:type="dxa"/>
            <w:tcBorders>
              <w:top w:val="single" w:sz="4" w:space="0" w:color="auto"/>
              <w:bottom w:val="nil"/>
            </w:tcBorders>
          </w:tcPr>
          <w:p w14:paraId="1D77C3C3" w14:textId="0B3D6E5F" w:rsidR="00B756D1" w:rsidRPr="00DC3180" w:rsidRDefault="00C21625" w:rsidP="007D1BCA">
            <w:pPr>
              <w:jc w:val="both"/>
              <w:rPr>
                <w:rFonts w:ascii="Arial" w:hAnsi="Arial" w:cs="Arial"/>
                <w:vanish/>
              </w:rPr>
            </w:pPr>
            <w:r w:rsidRPr="00C21625">
              <w:rPr>
                <w:rFonts w:ascii="Arial" w:hAnsi="Arial" w:cs="Arial"/>
              </w:rPr>
              <w:t>Shannon Index</w:t>
            </w:r>
          </w:p>
          <w:p w14:paraId="169DCD6F" w14:textId="77777777" w:rsidR="00B756D1" w:rsidRPr="00DC3180" w:rsidRDefault="00B756D1" w:rsidP="007D1BCA">
            <w:pPr>
              <w:jc w:val="both"/>
              <w:rPr>
                <w:rFonts w:ascii="Arial" w:hAnsi="Arial" w:cs="Arial"/>
              </w:rPr>
            </w:pPr>
          </w:p>
        </w:tc>
        <w:tc>
          <w:tcPr>
            <w:tcW w:w="1955" w:type="dxa"/>
            <w:tcBorders>
              <w:top w:val="single" w:sz="4" w:space="0" w:color="auto"/>
              <w:bottom w:val="nil"/>
            </w:tcBorders>
          </w:tcPr>
          <w:p w14:paraId="3EDEDAA4" w14:textId="0D08A93E" w:rsidR="00B756D1" w:rsidRPr="00DC3180" w:rsidRDefault="00C21625" w:rsidP="007D1BCA">
            <w:pPr>
              <w:jc w:val="both"/>
              <w:rPr>
                <w:rFonts w:ascii="Arial" w:hAnsi="Arial" w:cs="Arial"/>
              </w:rPr>
            </w:pPr>
            <w:r w:rsidRPr="00C21625">
              <w:rPr>
                <w:rFonts w:ascii="Arial" w:hAnsi="Arial" w:cs="Arial"/>
              </w:rPr>
              <w:t>2.66 ± 0.39</w:t>
            </w:r>
          </w:p>
        </w:tc>
      </w:tr>
      <w:tr w:rsidR="00B756D1" w:rsidRPr="00DC3180" w14:paraId="2E07F318" w14:textId="77777777" w:rsidTr="00C21625">
        <w:trPr>
          <w:jc w:val="center"/>
        </w:trPr>
        <w:tc>
          <w:tcPr>
            <w:tcW w:w="3150" w:type="dxa"/>
            <w:tcBorders>
              <w:top w:val="nil"/>
              <w:bottom w:val="nil"/>
            </w:tcBorders>
          </w:tcPr>
          <w:p w14:paraId="7CF34001" w14:textId="09FCA6A7" w:rsidR="00B756D1" w:rsidRPr="00DC3180" w:rsidRDefault="00C21625" w:rsidP="007D1BCA">
            <w:pPr>
              <w:jc w:val="both"/>
              <w:rPr>
                <w:rFonts w:ascii="Arial" w:hAnsi="Arial"/>
                <w:vanish/>
              </w:rPr>
            </w:pPr>
            <w:proofErr w:type="spellStart"/>
            <w:r w:rsidRPr="00C21625">
              <w:rPr>
                <w:rFonts w:ascii="Arial" w:hAnsi="Arial"/>
              </w:rPr>
              <w:t>Piélou</w:t>
            </w:r>
            <w:proofErr w:type="spellEnd"/>
            <w:r w:rsidRPr="00C21625">
              <w:rPr>
                <w:rFonts w:ascii="Arial" w:hAnsi="Arial"/>
              </w:rPr>
              <w:t xml:space="preserve"> Index</w:t>
            </w:r>
          </w:p>
          <w:p w14:paraId="1AEB62AC" w14:textId="77777777" w:rsidR="00B756D1" w:rsidRPr="00DC3180" w:rsidRDefault="00B756D1" w:rsidP="007D1BCA">
            <w:pPr>
              <w:jc w:val="both"/>
              <w:rPr>
                <w:rFonts w:ascii="Arial" w:hAnsi="Arial"/>
              </w:rPr>
            </w:pPr>
          </w:p>
        </w:tc>
        <w:tc>
          <w:tcPr>
            <w:tcW w:w="1955" w:type="dxa"/>
            <w:tcBorders>
              <w:top w:val="nil"/>
              <w:bottom w:val="nil"/>
            </w:tcBorders>
          </w:tcPr>
          <w:p w14:paraId="53352126" w14:textId="6A576FB9" w:rsidR="00B756D1" w:rsidRPr="00DC3180" w:rsidRDefault="00C21625" w:rsidP="007D1BCA">
            <w:pPr>
              <w:jc w:val="both"/>
              <w:rPr>
                <w:rFonts w:ascii="Arial" w:hAnsi="Arial"/>
              </w:rPr>
            </w:pPr>
            <w:r w:rsidRPr="00C21625">
              <w:rPr>
                <w:rFonts w:ascii="Arial" w:hAnsi="Arial"/>
              </w:rPr>
              <w:t>0.81 ± 0.03</w:t>
            </w:r>
          </w:p>
        </w:tc>
      </w:tr>
      <w:tr w:rsidR="00B756D1" w:rsidRPr="00DC3180" w14:paraId="091A56EE" w14:textId="77777777" w:rsidTr="00C21625">
        <w:trPr>
          <w:jc w:val="center"/>
        </w:trPr>
        <w:tc>
          <w:tcPr>
            <w:tcW w:w="3150" w:type="dxa"/>
            <w:tcBorders>
              <w:top w:val="nil"/>
              <w:bottom w:val="single" w:sz="4" w:space="0" w:color="auto"/>
            </w:tcBorders>
          </w:tcPr>
          <w:p w14:paraId="0205A57B" w14:textId="4568AFC3" w:rsidR="00B756D1" w:rsidRPr="00DC3180" w:rsidRDefault="00C21625" w:rsidP="007D1BCA">
            <w:pPr>
              <w:jc w:val="both"/>
              <w:rPr>
                <w:rFonts w:ascii="Arial" w:hAnsi="Arial"/>
              </w:rPr>
            </w:pPr>
            <w:proofErr w:type="spellStart"/>
            <w:r w:rsidRPr="00C21625">
              <w:rPr>
                <w:rFonts w:ascii="Arial" w:hAnsi="Arial"/>
              </w:rPr>
              <w:t>Margalef</w:t>
            </w:r>
            <w:proofErr w:type="spellEnd"/>
            <w:r w:rsidRPr="00C21625">
              <w:rPr>
                <w:rFonts w:ascii="Arial" w:hAnsi="Arial"/>
              </w:rPr>
              <w:t xml:space="preserve"> Index</w:t>
            </w:r>
          </w:p>
        </w:tc>
        <w:tc>
          <w:tcPr>
            <w:tcW w:w="1955" w:type="dxa"/>
            <w:tcBorders>
              <w:top w:val="nil"/>
              <w:bottom w:val="single" w:sz="4" w:space="0" w:color="auto"/>
            </w:tcBorders>
          </w:tcPr>
          <w:p w14:paraId="2DAA1748" w14:textId="5F1B53AB" w:rsidR="00B756D1" w:rsidRPr="00DC3180" w:rsidRDefault="00C21625" w:rsidP="007D1BCA">
            <w:pPr>
              <w:jc w:val="both"/>
              <w:rPr>
                <w:rFonts w:ascii="Arial" w:hAnsi="Arial"/>
              </w:rPr>
            </w:pPr>
            <w:r w:rsidRPr="00C21625">
              <w:rPr>
                <w:rFonts w:ascii="Arial" w:hAnsi="Arial"/>
              </w:rPr>
              <w:t>5.05 ± 1.63</w:t>
            </w:r>
          </w:p>
        </w:tc>
      </w:tr>
      <w:bookmarkEnd w:id="22"/>
    </w:tbl>
    <w:p w14:paraId="4459A704" w14:textId="77777777" w:rsidR="00B756D1" w:rsidRDefault="00B756D1" w:rsidP="00441B6F">
      <w:pPr>
        <w:pStyle w:val="Body"/>
        <w:spacing w:after="0"/>
        <w:rPr>
          <w:rFonts w:ascii="Arial" w:hAnsi="Arial" w:cs="Arial"/>
        </w:rPr>
      </w:pPr>
    </w:p>
    <w:bookmarkEnd w:id="23"/>
    <w:p w14:paraId="0F99BEAF" w14:textId="77777777" w:rsidR="00B756D1" w:rsidRDefault="00B756D1" w:rsidP="00441B6F">
      <w:pPr>
        <w:pStyle w:val="Body"/>
        <w:spacing w:after="0"/>
        <w:rPr>
          <w:rFonts w:ascii="Arial" w:hAnsi="Arial" w:cs="Arial"/>
        </w:rPr>
      </w:pPr>
    </w:p>
    <w:p w14:paraId="7E144E25" w14:textId="77777777" w:rsidR="00D74637" w:rsidRPr="00D74637" w:rsidRDefault="00D74637" w:rsidP="00D74637">
      <w:pPr>
        <w:pStyle w:val="Body"/>
        <w:rPr>
          <w:rFonts w:ascii="Arial" w:hAnsi="Arial" w:cs="Arial"/>
        </w:rPr>
      </w:pPr>
      <w:r w:rsidRPr="00D74637">
        <w:rPr>
          <w:rFonts w:ascii="Arial" w:hAnsi="Arial" w:cs="Arial"/>
        </w:rPr>
        <w:t xml:space="preserve">The evaluation of the relative importance of the inventoried flora reveals ten (10) ecologically dominant species, each having an Importance Value Index (IVI) greater than or equal to 10 (Table 3). The most representative species of this flora is </w:t>
      </w:r>
      <w:proofErr w:type="spellStart"/>
      <w:r w:rsidRPr="0047591F">
        <w:rPr>
          <w:rFonts w:ascii="Arial" w:hAnsi="Arial" w:cs="Arial"/>
          <w:i/>
          <w:iCs/>
        </w:rPr>
        <w:t>Isoberlinia</w:t>
      </w:r>
      <w:proofErr w:type="spellEnd"/>
      <w:r w:rsidRPr="0047591F">
        <w:rPr>
          <w:rFonts w:ascii="Arial" w:hAnsi="Arial" w:cs="Arial"/>
          <w:i/>
          <w:iCs/>
        </w:rPr>
        <w:t xml:space="preserve"> </w:t>
      </w:r>
      <w:proofErr w:type="spellStart"/>
      <w:r w:rsidRPr="0047591F">
        <w:rPr>
          <w:rFonts w:ascii="Arial" w:hAnsi="Arial" w:cs="Arial"/>
          <w:i/>
          <w:iCs/>
        </w:rPr>
        <w:t>doka</w:t>
      </w:r>
      <w:proofErr w:type="spellEnd"/>
      <w:r w:rsidRPr="00D74637">
        <w:rPr>
          <w:rFonts w:ascii="Arial" w:hAnsi="Arial" w:cs="Arial"/>
        </w:rPr>
        <w:t xml:space="preserve">, with an IVI of 29.50. It is followed by </w:t>
      </w:r>
      <w:proofErr w:type="spellStart"/>
      <w:r w:rsidRPr="0047591F">
        <w:rPr>
          <w:rFonts w:ascii="Arial" w:hAnsi="Arial" w:cs="Arial"/>
          <w:i/>
          <w:iCs/>
        </w:rPr>
        <w:t>Azadirachta</w:t>
      </w:r>
      <w:proofErr w:type="spellEnd"/>
      <w:r w:rsidRPr="00D74637">
        <w:rPr>
          <w:rFonts w:ascii="Arial" w:hAnsi="Arial" w:cs="Arial"/>
        </w:rPr>
        <w:t xml:space="preserve"> </w:t>
      </w:r>
      <w:proofErr w:type="spellStart"/>
      <w:r w:rsidRPr="00D74637">
        <w:rPr>
          <w:rFonts w:ascii="Arial" w:hAnsi="Arial" w:cs="Arial"/>
        </w:rPr>
        <w:t>indica</w:t>
      </w:r>
      <w:proofErr w:type="spellEnd"/>
      <w:r w:rsidRPr="00D74637">
        <w:rPr>
          <w:rFonts w:ascii="Arial" w:hAnsi="Arial" w:cs="Arial"/>
        </w:rPr>
        <w:t xml:space="preserve"> (28.62), </w:t>
      </w:r>
      <w:proofErr w:type="spellStart"/>
      <w:r w:rsidRPr="0047591F">
        <w:rPr>
          <w:rFonts w:ascii="Arial" w:hAnsi="Arial" w:cs="Arial"/>
          <w:i/>
          <w:iCs/>
        </w:rPr>
        <w:t>Daniellia</w:t>
      </w:r>
      <w:proofErr w:type="spellEnd"/>
      <w:r w:rsidRPr="0047591F">
        <w:rPr>
          <w:rFonts w:ascii="Arial" w:hAnsi="Arial" w:cs="Arial"/>
          <w:i/>
          <w:iCs/>
        </w:rPr>
        <w:t xml:space="preserve"> </w:t>
      </w:r>
      <w:proofErr w:type="spellStart"/>
      <w:r w:rsidRPr="0047591F">
        <w:rPr>
          <w:rFonts w:ascii="Arial" w:hAnsi="Arial" w:cs="Arial"/>
          <w:i/>
          <w:iCs/>
        </w:rPr>
        <w:t>olivera</w:t>
      </w:r>
      <w:proofErr w:type="spellEnd"/>
      <w:r w:rsidRPr="00D74637">
        <w:rPr>
          <w:rFonts w:ascii="Arial" w:hAnsi="Arial" w:cs="Arial"/>
        </w:rPr>
        <w:t xml:space="preserve"> (21.62), and </w:t>
      </w:r>
      <w:r w:rsidRPr="0047591F">
        <w:rPr>
          <w:rFonts w:ascii="Arial" w:hAnsi="Arial" w:cs="Arial"/>
          <w:i/>
          <w:iCs/>
        </w:rPr>
        <w:t>Khaya senegalensis</w:t>
      </w:r>
      <w:r w:rsidRPr="00D74637">
        <w:rPr>
          <w:rFonts w:ascii="Arial" w:hAnsi="Arial" w:cs="Arial"/>
        </w:rPr>
        <w:t xml:space="preserve"> (21.18). The least important species in this category are </w:t>
      </w:r>
      <w:r w:rsidRPr="0047591F">
        <w:rPr>
          <w:rFonts w:ascii="Arial" w:hAnsi="Arial" w:cs="Arial"/>
          <w:i/>
          <w:iCs/>
        </w:rPr>
        <w:t xml:space="preserve">Pinus </w:t>
      </w:r>
      <w:proofErr w:type="spellStart"/>
      <w:r w:rsidRPr="0047591F">
        <w:rPr>
          <w:rFonts w:ascii="Arial" w:hAnsi="Arial" w:cs="Arial"/>
          <w:i/>
          <w:iCs/>
        </w:rPr>
        <w:t>caribaea</w:t>
      </w:r>
      <w:proofErr w:type="spellEnd"/>
      <w:r w:rsidRPr="00D74637">
        <w:rPr>
          <w:rFonts w:ascii="Arial" w:hAnsi="Arial" w:cs="Arial"/>
        </w:rPr>
        <w:t xml:space="preserve"> (10.91) and </w:t>
      </w:r>
      <w:r w:rsidRPr="0047591F">
        <w:rPr>
          <w:rFonts w:ascii="Arial" w:hAnsi="Arial" w:cs="Arial"/>
          <w:i/>
          <w:iCs/>
        </w:rPr>
        <w:t xml:space="preserve">Cola </w:t>
      </w:r>
      <w:proofErr w:type="spellStart"/>
      <w:r w:rsidRPr="0047591F">
        <w:rPr>
          <w:rFonts w:ascii="Arial" w:hAnsi="Arial" w:cs="Arial"/>
          <w:i/>
          <w:iCs/>
        </w:rPr>
        <w:t>cordifolia</w:t>
      </w:r>
      <w:proofErr w:type="spellEnd"/>
      <w:r w:rsidRPr="00D74637">
        <w:rPr>
          <w:rFonts w:ascii="Arial" w:hAnsi="Arial" w:cs="Arial"/>
        </w:rPr>
        <w:t xml:space="preserve"> (10.01).</w:t>
      </w:r>
    </w:p>
    <w:p w14:paraId="50289A21" w14:textId="6C06D49B" w:rsidR="00B756D1" w:rsidRDefault="00D74637" w:rsidP="00D74637">
      <w:pPr>
        <w:pStyle w:val="Body"/>
        <w:spacing w:after="0"/>
        <w:rPr>
          <w:rFonts w:ascii="Arial" w:hAnsi="Arial" w:cs="Arial"/>
        </w:rPr>
      </w:pPr>
      <w:r w:rsidRPr="00D74637">
        <w:rPr>
          <w:rFonts w:ascii="Arial" w:hAnsi="Arial" w:cs="Arial"/>
        </w:rPr>
        <w:t xml:space="preserve">As for the ecologically predominant families, there are seven (Table 4). These are the families with an Importance Value Index (IVI) greater than or equal to 10. The Fabaceae family is the most important, with an IVI of 106.52. It is followed by </w:t>
      </w:r>
      <w:proofErr w:type="spellStart"/>
      <w:r w:rsidRPr="00D74637">
        <w:rPr>
          <w:rFonts w:ascii="Arial" w:hAnsi="Arial" w:cs="Arial"/>
        </w:rPr>
        <w:t>Meliaceae</w:t>
      </w:r>
      <w:proofErr w:type="spellEnd"/>
      <w:r w:rsidRPr="00D74637">
        <w:rPr>
          <w:rFonts w:ascii="Arial" w:hAnsi="Arial" w:cs="Arial"/>
        </w:rPr>
        <w:t xml:space="preserve"> (37.23) and </w:t>
      </w:r>
      <w:proofErr w:type="spellStart"/>
      <w:r w:rsidRPr="00D74637">
        <w:rPr>
          <w:rFonts w:ascii="Arial" w:hAnsi="Arial" w:cs="Arial"/>
        </w:rPr>
        <w:t>Verbenaceae</w:t>
      </w:r>
      <w:proofErr w:type="spellEnd"/>
      <w:r w:rsidRPr="00D74637">
        <w:rPr>
          <w:rFonts w:ascii="Arial" w:hAnsi="Arial" w:cs="Arial"/>
        </w:rPr>
        <w:t xml:space="preserve"> (34.40).</w:t>
      </w:r>
    </w:p>
    <w:p w14:paraId="1F162D06" w14:textId="77777777" w:rsidR="00D74637" w:rsidRDefault="00D74637" w:rsidP="00441B6F">
      <w:pPr>
        <w:jc w:val="both"/>
        <w:rPr>
          <w:rFonts w:ascii="Arial" w:hAnsi="Arial" w:cs="Arial"/>
          <w:u w:val="single"/>
          <w:lang w:val="en-GB" w:eastAsia="en-GB"/>
        </w:rPr>
      </w:pPr>
    </w:p>
    <w:p w14:paraId="3B77E79A" w14:textId="7062980A" w:rsidR="00D74637" w:rsidRDefault="00D74637" w:rsidP="00D74637">
      <w:pPr>
        <w:tabs>
          <w:tab w:val="left" w:pos="1080"/>
        </w:tabs>
        <w:jc w:val="center"/>
        <w:rPr>
          <w:rFonts w:ascii="Arial" w:hAnsi="Arial"/>
          <w:b/>
        </w:rPr>
      </w:pPr>
      <w:r>
        <w:rPr>
          <w:rFonts w:ascii="Arial" w:hAnsi="Arial"/>
          <w:b/>
        </w:rPr>
        <w:t xml:space="preserve">Table 3. </w:t>
      </w:r>
      <w:r w:rsidRPr="00D74637">
        <w:rPr>
          <w:rFonts w:ascii="Arial" w:hAnsi="Arial"/>
          <w:b/>
        </w:rPr>
        <w:t>List of species with Importance Value Indices ≥ 10</w:t>
      </w:r>
    </w:p>
    <w:p w14:paraId="01FCC263" w14:textId="77777777" w:rsidR="00D74637" w:rsidRPr="00DC3180" w:rsidRDefault="00D74637" w:rsidP="00D74637">
      <w:pPr>
        <w:tabs>
          <w:tab w:val="left" w:pos="1080"/>
        </w:tabs>
        <w:jc w:val="both"/>
        <w:rPr>
          <w:rFonts w:ascii="Arial" w:hAnsi="Arial"/>
          <w:b/>
        </w:rPr>
      </w:pPr>
    </w:p>
    <w:tbl>
      <w:tblPr>
        <w:tblW w:w="75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45"/>
        <w:gridCol w:w="2816"/>
        <w:gridCol w:w="1015"/>
        <w:gridCol w:w="1134"/>
        <w:gridCol w:w="1032"/>
        <w:gridCol w:w="1090"/>
      </w:tblGrid>
      <w:tr w:rsidR="003E5C01" w:rsidRPr="00DC3180" w14:paraId="2903E9E7" w14:textId="7769B164" w:rsidTr="008C6B8B">
        <w:trPr>
          <w:jc w:val="center"/>
        </w:trPr>
        <w:tc>
          <w:tcPr>
            <w:tcW w:w="445" w:type="dxa"/>
            <w:tcBorders>
              <w:bottom w:val="single" w:sz="4" w:space="0" w:color="auto"/>
            </w:tcBorders>
          </w:tcPr>
          <w:p w14:paraId="05F9BE86" w14:textId="4210D019" w:rsidR="00DD3700" w:rsidRPr="00B756D1" w:rsidRDefault="00DD3700" w:rsidP="007D1BCA">
            <w:pPr>
              <w:jc w:val="both"/>
              <w:rPr>
                <w:rFonts w:ascii="Arial" w:hAnsi="Arial"/>
                <w:b/>
              </w:rPr>
            </w:pPr>
            <w:r w:rsidRPr="00DD3700">
              <w:rPr>
                <w:rFonts w:ascii="Arial" w:hAnsi="Arial"/>
                <w:b/>
              </w:rPr>
              <w:t>N°</w:t>
            </w:r>
          </w:p>
        </w:tc>
        <w:tc>
          <w:tcPr>
            <w:tcW w:w="2816" w:type="dxa"/>
            <w:tcBorders>
              <w:bottom w:val="single" w:sz="4" w:space="0" w:color="auto"/>
            </w:tcBorders>
          </w:tcPr>
          <w:p w14:paraId="58B9EF5C" w14:textId="07E0F952" w:rsidR="00DD3700" w:rsidRPr="00DC3180" w:rsidRDefault="00DD3700" w:rsidP="007D1BCA">
            <w:pPr>
              <w:jc w:val="both"/>
              <w:rPr>
                <w:rFonts w:ascii="Arial" w:hAnsi="Arial"/>
                <w:b/>
                <w:bCs/>
              </w:rPr>
            </w:pPr>
            <w:r w:rsidRPr="00DD3700">
              <w:rPr>
                <w:rFonts w:ascii="Arial" w:hAnsi="Arial"/>
                <w:b/>
                <w:bCs/>
              </w:rPr>
              <w:t>Species</w:t>
            </w:r>
          </w:p>
        </w:tc>
        <w:tc>
          <w:tcPr>
            <w:tcW w:w="1015" w:type="dxa"/>
            <w:tcBorders>
              <w:bottom w:val="single" w:sz="4" w:space="0" w:color="auto"/>
            </w:tcBorders>
          </w:tcPr>
          <w:p w14:paraId="70207A62" w14:textId="1275643E" w:rsidR="00DD3700" w:rsidRPr="00DC3180" w:rsidRDefault="00DD3700" w:rsidP="00F02D0B">
            <w:pPr>
              <w:jc w:val="center"/>
              <w:rPr>
                <w:rFonts w:ascii="Arial" w:hAnsi="Arial"/>
                <w:b/>
                <w:bCs/>
              </w:rPr>
            </w:pPr>
            <w:proofErr w:type="spellStart"/>
            <w:r w:rsidRPr="00DD3700">
              <w:rPr>
                <w:rFonts w:ascii="Arial" w:hAnsi="Arial"/>
                <w:b/>
                <w:bCs/>
              </w:rPr>
              <w:t>DeR</w:t>
            </w:r>
            <w:proofErr w:type="spellEnd"/>
            <w:r w:rsidR="003E5C01">
              <w:rPr>
                <w:rFonts w:ascii="Arial" w:hAnsi="Arial"/>
                <w:b/>
                <w:bCs/>
              </w:rPr>
              <w:t xml:space="preserve"> (%)</w:t>
            </w:r>
          </w:p>
        </w:tc>
        <w:tc>
          <w:tcPr>
            <w:tcW w:w="1134" w:type="dxa"/>
            <w:tcBorders>
              <w:bottom w:val="single" w:sz="4" w:space="0" w:color="auto"/>
            </w:tcBorders>
          </w:tcPr>
          <w:p w14:paraId="37978C31" w14:textId="10570A3E" w:rsidR="00DD3700" w:rsidRPr="00DC3180" w:rsidRDefault="00DD3700" w:rsidP="00F02D0B">
            <w:pPr>
              <w:jc w:val="center"/>
              <w:rPr>
                <w:rFonts w:ascii="Arial" w:hAnsi="Arial"/>
                <w:b/>
                <w:bCs/>
              </w:rPr>
            </w:pPr>
            <w:proofErr w:type="spellStart"/>
            <w:r w:rsidRPr="00DD3700">
              <w:rPr>
                <w:rFonts w:ascii="Arial" w:hAnsi="Arial"/>
                <w:b/>
                <w:bCs/>
              </w:rPr>
              <w:t>DoR</w:t>
            </w:r>
            <w:proofErr w:type="spellEnd"/>
            <w:r w:rsidR="003E5C01">
              <w:rPr>
                <w:rFonts w:ascii="Arial" w:hAnsi="Arial"/>
                <w:b/>
                <w:bCs/>
              </w:rPr>
              <w:t xml:space="preserve"> </w:t>
            </w:r>
            <w:r w:rsidR="003E5C01" w:rsidRPr="003E5C01">
              <w:rPr>
                <w:rFonts w:ascii="Arial" w:hAnsi="Arial"/>
                <w:b/>
                <w:bCs/>
              </w:rPr>
              <w:t>(%)</w:t>
            </w:r>
            <w:r w:rsidR="003E5C01">
              <w:rPr>
                <w:rFonts w:ascii="Arial" w:hAnsi="Arial"/>
                <w:b/>
                <w:bCs/>
              </w:rPr>
              <w:t xml:space="preserve"> </w:t>
            </w:r>
          </w:p>
        </w:tc>
        <w:tc>
          <w:tcPr>
            <w:tcW w:w="1032" w:type="dxa"/>
            <w:tcBorders>
              <w:bottom w:val="single" w:sz="4" w:space="0" w:color="auto"/>
            </w:tcBorders>
          </w:tcPr>
          <w:p w14:paraId="577C40B2" w14:textId="260FB19A" w:rsidR="00DD3700" w:rsidRPr="00DC3180" w:rsidRDefault="00DD3700" w:rsidP="00F02D0B">
            <w:pPr>
              <w:jc w:val="center"/>
              <w:rPr>
                <w:rFonts w:ascii="Arial" w:hAnsi="Arial"/>
                <w:b/>
                <w:bCs/>
              </w:rPr>
            </w:pPr>
            <w:proofErr w:type="spellStart"/>
            <w:r w:rsidRPr="00DD3700">
              <w:rPr>
                <w:rFonts w:ascii="Arial" w:hAnsi="Arial"/>
                <w:b/>
                <w:bCs/>
              </w:rPr>
              <w:t>FeR</w:t>
            </w:r>
            <w:proofErr w:type="spellEnd"/>
            <w:r w:rsidR="003E5C01">
              <w:rPr>
                <w:rFonts w:ascii="Arial" w:hAnsi="Arial"/>
                <w:b/>
                <w:bCs/>
              </w:rPr>
              <w:t xml:space="preserve"> </w:t>
            </w:r>
            <w:r w:rsidR="003E5C01" w:rsidRPr="003E5C01">
              <w:rPr>
                <w:rFonts w:ascii="Arial" w:hAnsi="Arial"/>
                <w:b/>
                <w:bCs/>
              </w:rPr>
              <w:t>(%)</w:t>
            </w:r>
          </w:p>
        </w:tc>
        <w:tc>
          <w:tcPr>
            <w:tcW w:w="1090" w:type="dxa"/>
            <w:tcBorders>
              <w:bottom w:val="single" w:sz="4" w:space="0" w:color="auto"/>
            </w:tcBorders>
          </w:tcPr>
          <w:p w14:paraId="2CC74C9B" w14:textId="2E2B60AD" w:rsidR="00DD3700" w:rsidRPr="00DC3180" w:rsidRDefault="008C6B8B" w:rsidP="00F02D0B">
            <w:pPr>
              <w:jc w:val="center"/>
              <w:rPr>
                <w:rFonts w:ascii="Arial" w:hAnsi="Arial"/>
                <w:b/>
                <w:bCs/>
              </w:rPr>
            </w:pPr>
            <w:r>
              <w:rPr>
                <w:rFonts w:ascii="Arial" w:hAnsi="Arial"/>
                <w:b/>
                <w:bCs/>
              </w:rPr>
              <w:t>S</w:t>
            </w:r>
            <w:r w:rsidR="00DD3700" w:rsidRPr="00DD3700">
              <w:rPr>
                <w:rFonts w:ascii="Arial" w:hAnsi="Arial"/>
                <w:b/>
                <w:bCs/>
              </w:rPr>
              <w:t>IVI</w:t>
            </w:r>
            <w:r w:rsidR="003E5C01">
              <w:rPr>
                <w:rFonts w:ascii="Arial" w:hAnsi="Arial"/>
                <w:b/>
                <w:bCs/>
              </w:rPr>
              <w:t xml:space="preserve"> </w:t>
            </w:r>
            <w:r w:rsidR="003E5C01" w:rsidRPr="003E5C01">
              <w:rPr>
                <w:rFonts w:ascii="Arial" w:hAnsi="Arial"/>
                <w:b/>
                <w:bCs/>
              </w:rPr>
              <w:t>(%)</w:t>
            </w:r>
          </w:p>
        </w:tc>
      </w:tr>
      <w:tr w:rsidR="003E5C01" w:rsidRPr="00DC3180" w14:paraId="67A74B3E" w14:textId="74D292C6" w:rsidTr="008C6B8B">
        <w:trPr>
          <w:jc w:val="center"/>
        </w:trPr>
        <w:tc>
          <w:tcPr>
            <w:tcW w:w="445" w:type="dxa"/>
            <w:tcBorders>
              <w:top w:val="single" w:sz="4" w:space="0" w:color="auto"/>
              <w:bottom w:val="nil"/>
            </w:tcBorders>
          </w:tcPr>
          <w:p w14:paraId="2749EEBE" w14:textId="28B076C6" w:rsidR="00DD3700" w:rsidRPr="00C21625" w:rsidRDefault="00DD3700" w:rsidP="007D1BCA">
            <w:pPr>
              <w:jc w:val="both"/>
              <w:rPr>
                <w:rFonts w:ascii="Arial" w:hAnsi="Arial" w:cs="Arial"/>
              </w:rPr>
            </w:pPr>
            <w:r>
              <w:rPr>
                <w:rFonts w:ascii="Arial" w:hAnsi="Arial" w:cs="Arial"/>
              </w:rPr>
              <w:t>1</w:t>
            </w:r>
          </w:p>
        </w:tc>
        <w:tc>
          <w:tcPr>
            <w:tcW w:w="2816" w:type="dxa"/>
            <w:tcBorders>
              <w:top w:val="single" w:sz="4" w:space="0" w:color="auto"/>
              <w:bottom w:val="nil"/>
            </w:tcBorders>
          </w:tcPr>
          <w:p w14:paraId="74431A7E" w14:textId="3B1A988D" w:rsidR="00DD3700" w:rsidRPr="00F02D0B" w:rsidRDefault="00DD3700" w:rsidP="00DD3700">
            <w:pPr>
              <w:jc w:val="both"/>
              <w:rPr>
                <w:rFonts w:ascii="Arial" w:hAnsi="Arial" w:cs="Arial"/>
                <w:i/>
                <w:iCs/>
              </w:rPr>
            </w:pPr>
            <w:proofErr w:type="spellStart"/>
            <w:r w:rsidRPr="00F02D0B">
              <w:rPr>
                <w:rFonts w:ascii="Arial" w:hAnsi="Arial" w:cs="Arial"/>
                <w:i/>
                <w:iCs/>
              </w:rPr>
              <w:t>Isoberlinia</w:t>
            </w:r>
            <w:proofErr w:type="spellEnd"/>
            <w:r w:rsidRPr="00F02D0B">
              <w:rPr>
                <w:rFonts w:ascii="Arial" w:hAnsi="Arial" w:cs="Arial"/>
                <w:i/>
                <w:iCs/>
              </w:rPr>
              <w:t xml:space="preserve"> </w:t>
            </w:r>
            <w:proofErr w:type="spellStart"/>
            <w:r w:rsidRPr="00F02D0B">
              <w:rPr>
                <w:rFonts w:ascii="Arial" w:hAnsi="Arial" w:cs="Arial"/>
                <w:i/>
                <w:iCs/>
              </w:rPr>
              <w:t>doka</w:t>
            </w:r>
            <w:proofErr w:type="spellEnd"/>
          </w:p>
        </w:tc>
        <w:tc>
          <w:tcPr>
            <w:tcW w:w="1015" w:type="dxa"/>
            <w:tcBorders>
              <w:top w:val="single" w:sz="4" w:space="0" w:color="auto"/>
              <w:bottom w:val="nil"/>
            </w:tcBorders>
          </w:tcPr>
          <w:p w14:paraId="4D5C43F1" w14:textId="3EAA9C84" w:rsidR="00DD3700" w:rsidRPr="00DC3180" w:rsidRDefault="00DD3700" w:rsidP="00F02D0B">
            <w:pPr>
              <w:jc w:val="center"/>
              <w:rPr>
                <w:rFonts w:ascii="Arial" w:hAnsi="Arial" w:cs="Arial"/>
              </w:rPr>
            </w:pPr>
            <w:r w:rsidRPr="00DD3700">
              <w:rPr>
                <w:rFonts w:ascii="Arial" w:hAnsi="Arial" w:cs="Arial"/>
              </w:rPr>
              <w:t>9.90</w:t>
            </w:r>
          </w:p>
        </w:tc>
        <w:tc>
          <w:tcPr>
            <w:tcW w:w="1134" w:type="dxa"/>
            <w:tcBorders>
              <w:top w:val="single" w:sz="4" w:space="0" w:color="auto"/>
              <w:bottom w:val="nil"/>
            </w:tcBorders>
          </w:tcPr>
          <w:p w14:paraId="6AFDB690" w14:textId="1B7DFD0C" w:rsidR="00DD3700" w:rsidRPr="00DC3180" w:rsidRDefault="00DD3700" w:rsidP="00F02D0B">
            <w:pPr>
              <w:jc w:val="center"/>
              <w:rPr>
                <w:rFonts w:ascii="Arial" w:hAnsi="Arial" w:cs="Arial"/>
              </w:rPr>
            </w:pPr>
            <w:r w:rsidRPr="00DD3700">
              <w:rPr>
                <w:rFonts w:ascii="Arial" w:hAnsi="Arial" w:cs="Arial"/>
              </w:rPr>
              <w:t>16.81</w:t>
            </w:r>
          </w:p>
        </w:tc>
        <w:tc>
          <w:tcPr>
            <w:tcW w:w="1032" w:type="dxa"/>
            <w:tcBorders>
              <w:top w:val="single" w:sz="4" w:space="0" w:color="auto"/>
              <w:bottom w:val="nil"/>
            </w:tcBorders>
          </w:tcPr>
          <w:p w14:paraId="011D00D3" w14:textId="5540DD80" w:rsidR="00DD3700" w:rsidRPr="00DC3180" w:rsidRDefault="00DD3700" w:rsidP="00F02D0B">
            <w:pPr>
              <w:jc w:val="center"/>
              <w:rPr>
                <w:rFonts w:ascii="Arial" w:hAnsi="Arial" w:cs="Arial"/>
              </w:rPr>
            </w:pPr>
            <w:r w:rsidRPr="00DD3700">
              <w:rPr>
                <w:rFonts w:ascii="Arial" w:hAnsi="Arial" w:cs="Arial"/>
              </w:rPr>
              <w:t>2.80</w:t>
            </w:r>
          </w:p>
        </w:tc>
        <w:tc>
          <w:tcPr>
            <w:tcW w:w="1090" w:type="dxa"/>
            <w:tcBorders>
              <w:top w:val="single" w:sz="4" w:space="0" w:color="auto"/>
              <w:bottom w:val="nil"/>
            </w:tcBorders>
          </w:tcPr>
          <w:p w14:paraId="4D55A62C" w14:textId="0DEC69A4" w:rsidR="00DD3700" w:rsidRPr="00DC3180" w:rsidRDefault="00DD3700" w:rsidP="00F02D0B">
            <w:pPr>
              <w:jc w:val="center"/>
              <w:rPr>
                <w:rFonts w:ascii="Arial" w:hAnsi="Arial" w:cs="Arial"/>
              </w:rPr>
            </w:pPr>
            <w:r w:rsidRPr="00DD3700">
              <w:rPr>
                <w:rFonts w:ascii="Arial" w:hAnsi="Arial" w:cs="Arial"/>
              </w:rPr>
              <w:t>29.50</w:t>
            </w:r>
          </w:p>
        </w:tc>
      </w:tr>
      <w:tr w:rsidR="003E5C01" w:rsidRPr="00DC3180" w14:paraId="589234D7" w14:textId="69D4C3B8" w:rsidTr="008C6B8B">
        <w:trPr>
          <w:jc w:val="center"/>
        </w:trPr>
        <w:tc>
          <w:tcPr>
            <w:tcW w:w="445" w:type="dxa"/>
            <w:tcBorders>
              <w:top w:val="nil"/>
              <w:bottom w:val="nil"/>
            </w:tcBorders>
          </w:tcPr>
          <w:p w14:paraId="15D1D500" w14:textId="14C9443A" w:rsidR="00DD3700" w:rsidRPr="00C21625" w:rsidRDefault="00DD3700" w:rsidP="007D1BCA">
            <w:pPr>
              <w:jc w:val="both"/>
              <w:rPr>
                <w:rFonts w:ascii="Arial" w:hAnsi="Arial"/>
              </w:rPr>
            </w:pPr>
            <w:r>
              <w:rPr>
                <w:rFonts w:ascii="Arial" w:hAnsi="Arial"/>
              </w:rPr>
              <w:t>2</w:t>
            </w:r>
          </w:p>
        </w:tc>
        <w:tc>
          <w:tcPr>
            <w:tcW w:w="2816" w:type="dxa"/>
            <w:tcBorders>
              <w:top w:val="nil"/>
              <w:bottom w:val="nil"/>
            </w:tcBorders>
          </w:tcPr>
          <w:p w14:paraId="17FE696F" w14:textId="59224FD4" w:rsidR="00DD3700" w:rsidRPr="00F02D0B" w:rsidRDefault="00DD3700" w:rsidP="007D1BCA">
            <w:pPr>
              <w:jc w:val="both"/>
              <w:rPr>
                <w:rFonts w:ascii="Arial" w:hAnsi="Arial"/>
                <w:i/>
                <w:iCs/>
                <w:vanish/>
              </w:rPr>
            </w:pPr>
            <w:proofErr w:type="spellStart"/>
            <w:r w:rsidRPr="00F02D0B">
              <w:rPr>
                <w:rFonts w:ascii="Arial" w:hAnsi="Arial"/>
                <w:i/>
                <w:iCs/>
              </w:rPr>
              <w:t>Azadirachta</w:t>
            </w:r>
            <w:proofErr w:type="spellEnd"/>
            <w:r w:rsidRPr="00F02D0B">
              <w:rPr>
                <w:rFonts w:ascii="Arial" w:hAnsi="Arial"/>
                <w:i/>
                <w:iCs/>
              </w:rPr>
              <w:t xml:space="preserve"> </w:t>
            </w:r>
            <w:proofErr w:type="spellStart"/>
            <w:r w:rsidRPr="00F02D0B">
              <w:rPr>
                <w:rFonts w:ascii="Arial" w:hAnsi="Arial"/>
                <w:i/>
                <w:iCs/>
              </w:rPr>
              <w:t>indica</w:t>
            </w:r>
            <w:proofErr w:type="spellEnd"/>
          </w:p>
          <w:p w14:paraId="161F8DFC" w14:textId="77777777" w:rsidR="00DD3700" w:rsidRPr="00F02D0B" w:rsidRDefault="00DD3700" w:rsidP="007D1BCA">
            <w:pPr>
              <w:jc w:val="both"/>
              <w:rPr>
                <w:rFonts w:ascii="Arial" w:hAnsi="Arial"/>
                <w:i/>
                <w:iCs/>
              </w:rPr>
            </w:pPr>
          </w:p>
        </w:tc>
        <w:tc>
          <w:tcPr>
            <w:tcW w:w="1015" w:type="dxa"/>
            <w:tcBorders>
              <w:top w:val="nil"/>
              <w:bottom w:val="nil"/>
            </w:tcBorders>
          </w:tcPr>
          <w:p w14:paraId="5396BB09" w14:textId="153392DD" w:rsidR="00DD3700" w:rsidRPr="00DC3180" w:rsidRDefault="00DD3700" w:rsidP="00F02D0B">
            <w:pPr>
              <w:jc w:val="center"/>
              <w:rPr>
                <w:rFonts w:ascii="Arial" w:hAnsi="Arial"/>
              </w:rPr>
            </w:pPr>
            <w:r w:rsidRPr="00DD3700">
              <w:rPr>
                <w:rFonts w:ascii="Arial" w:hAnsi="Arial"/>
              </w:rPr>
              <w:t>6.66</w:t>
            </w:r>
          </w:p>
        </w:tc>
        <w:tc>
          <w:tcPr>
            <w:tcW w:w="1134" w:type="dxa"/>
            <w:tcBorders>
              <w:top w:val="nil"/>
              <w:bottom w:val="nil"/>
            </w:tcBorders>
          </w:tcPr>
          <w:p w14:paraId="2E88B9C2" w14:textId="48F98C71" w:rsidR="00DD3700" w:rsidRPr="00DC3180" w:rsidRDefault="00DD3700" w:rsidP="00F02D0B">
            <w:pPr>
              <w:jc w:val="center"/>
              <w:rPr>
                <w:rFonts w:ascii="Arial" w:hAnsi="Arial"/>
              </w:rPr>
            </w:pPr>
            <w:r w:rsidRPr="00DD3700">
              <w:rPr>
                <w:rFonts w:ascii="Arial" w:hAnsi="Arial"/>
              </w:rPr>
              <w:t>18.46</w:t>
            </w:r>
          </w:p>
        </w:tc>
        <w:tc>
          <w:tcPr>
            <w:tcW w:w="1032" w:type="dxa"/>
            <w:tcBorders>
              <w:top w:val="nil"/>
              <w:bottom w:val="nil"/>
            </w:tcBorders>
          </w:tcPr>
          <w:p w14:paraId="583920DB" w14:textId="57E77C21" w:rsidR="00DD3700" w:rsidRPr="00DC3180" w:rsidRDefault="00DD3700" w:rsidP="00F02D0B">
            <w:pPr>
              <w:jc w:val="center"/>
              <w:rPr>
                <w:rFonts w:ascii="Arial" w:hAnsi="Arial"/>
              </w:rPr>
            </w:pPr>
            <w:r w:rsidRPr="00DD3700">
              <w:rPr>
                <w:rFonts w:ascii="Arial" w:hAnsi="Arial"/>
              </w:rPr>
              <w:t>3.50</w:t>
            </w:r>
          </w:p>
        </w:tc>
        <w:tc>
          <w:tcPr>
            <w:tcW w:w="1090" w:type="dxa"/>
            <w:tcBorders>
              <w:top w:val="nil"/>
              <w:bottom w:val="nil"/>
            </w:tcBorders>
          </w:tcPr>
          <w:p w14:paraId="22654C9A" w14:textId="2E81024E" w:rsidR="00DD3700" w:rsidRPr="00DC3180" w:rsidRDefault="00F02D0B" w:rsidP="00F02D0B">
            <w:pPr>
              <w:jc w:val="center"/>
              <w:rPr>
                <w:rFonts w:ascii="Arial" w:hAnsi="Arial"/>
              </w:rPr>
            </w:pPr>
            <w:r w:rsidRPr="00F02D0B">
              <w:rPr>
                <w:rFonts w:ascii="Arial" w:hAnsi="Arial"/>
              </w:rPr>
              <w:t>28.62</w:t>
            </w:r>
          </w:p>
        </w:tc>
      </w:tr>
      <w:tr w:rsidR="003E5C01" w:rsidRPr="00DC3180" w14:paraId="614818E9" w14:textId="233872DC" w:rsidTr="008C6B8B">
        <w:trPr>
          <w:jc w:val="center"/>
        </w:trPr>
        <w:tc>
          <w:tcPr>
            <w:tcW w:w="445" w:type="dxa"/>
            <w:tcBorders>
              <w:top w:val="nil"/>
              <w:bottom w:val="nil"/>
            </w:tcBorders>
          </w:tcPr>
          <w:p w14:paraId="4C48F036" w14:textId="084B24B0" w:rsidR="00DD3700" w:rsidRPr="00C21625" w:rsidRDefault="00DD3700" w:rsidP="007D1BCA">
            <w:pPr>
              <w:jc w:val="both"/>
              <w:rPr>
                <w:rFonts w:ascii="Arial" w:hAnsi="Arial"/>
              </w:rPr>
            </w:pPr>
            <w:r>
              <w:rPr>
                <w:rFonts w:ascii="Arial" w:hAnsi="Arial"/>
              </w:rPr>
              <w:t>3</w:t>
            </w:r>
          </w:p>
        </w:tc>
        <w:tc>
          <w:tcPr>
            <w:tcW w:w="2816" w:type="dxa"/>
            <w:tcBorders>
              <w:top w:val="nil"/>
              <w:bottom w:val="nil"/>
            </w:tcBorders>
          </w:tcPr>
          <w:p w14:paraId="7C01FD82" w14:textId="29A75133" w:rsidR="00DD3700" w:rsidRPr="00F02D0B" w:rsidRDefault="00DD3700" w:rsidP="007D1BCA">
            <w:pPr>
              <w:jc w:val="both"/>
              <w:rPr>
                <w:rFonts w:ascii="Arial" w:hAnsi="Arial"/>
                <w:i/>
                <w:iCs/>
              </w:rPr>
            </w:pPr>
            <w:proofErr w:type="spellStart"/>
            <w:r w:rsidRPr="00F02D0B">
              <w:rPr>
                <w:rFonts w:ascii="Arial" w:hAnsi="Arial"/>
                <w:i/>
                <w:iCs/>
              </w:rPr>
              <w:t>Daniellia</w:t>
            </w:r>
            <w:proofErr w:type="spellEnd"/>
            <w:r w:rsidRPr="00F02D0B">
              <w:rPr>
                <w:rFonts w:ascii="Arial" w:hAnsi="Arial"/>
                <w:i/>
                <w:iCs/>
              </w:rPr>
              <w:t xml:space="preserve"> </w:t>
            </w:r>
            <w:proofErr w:type="spellStart"/>
            <w:r w:rsidRPr="00F02D0B">
              <w:rPr>
                <w:rFonts w:ascii="Arial" w:hAnsi="Arial"/>
                <w:i/>
                <w:iCs/>
              </w:rPr>
              <w:t>olivera</w:t>
            </w:r>
            <w:proofErr w:type="spellEnd"/>
          </w:p>
        </w:tc>
        <w:tc>
          <w:tcPr>
            <w:tcW w:w="1015" w:type="dxa"/>
            <w:tcBorders>
              <w:top w:val="nil"/>
              <w:bottom w:val="nil"/>
            </w:tcBorders>
          </w:tcPr>
          <w:p w14:paraId="73676985" w14:textId="0BDF1FB1" w:rsidR="00DD3700" w:rsidRPr="00DC3180" w:rsidRDefault="00F02D0B" w:rsidP="00F02D0B">
            <w:pPr>
              <w:jc w:val="center"/>
              <w:rPr>
                <w:rFonts w:ascii="Arial" w:hAnsi="Arial"/>
              </w:rPr>
            </w:pPr>
            <w:r w:rsidRPr="00F02D0B">
              <w:rPr>
                <w:rFonts w:ascii="Arial" w:hAnsi="Arial"/>
              </w:rPr>
              <w:t>10.23</w:t>
            </w:r>
          </w:p>
        </w:tc>
        <w:tc>
          <w:tcPr>
            <w:tcW w:w="1134" w:type="dxa"/>
            <w:tcBorders>
              <w:top w:val="nil"/>
              <w:bottom w:val="nil"/>
            </w:tcBorders>
          </w:tcPr>
          <w:p w14:paraId="33B44D50" w14:textId="6CD50257" w:rsidR="00DD3700" w:rsidRPr="00DC3180" w:rsidRDefault="00F02D0B" w:rsidP="00F02D0B">
            <w:pPr>
              <w:jc w:val="center"/>
              <w:rPr>
                <w:rFonts w:ascii="Arial" w:hAnsi="Arial"/>
              </w:rPr>
            </w:pPr>
            <w:r w:rsidRPr="00F02D0B">
              <w:rPr>
                <w:rFonts w:ascii="Arial" w:hAnsi="Arial"/>
              </w:rPr>
              <w:t>7.89</w:t>
            </w:r>
          </w:p>
        </w:tc>
        <w:tc>
          <w:tcPr>
            <w:tcW w:w="1032" w:type="dxa"/>
            <w:tcBorders>
              <w:top w:val="nil"/>
              <w:bottom w:val="nil"/>
            </w:tcBorders>
          </w:tcPr>
          <w:p w14:paraId="174F6E89" w14:textId="3C132E42" w:rsidR="00DD3700" w:rsidRPr="00DC3180" w:rsidRDefault="00F02D0B" w:rsidP="00F02D0B">
            <w:pPr>
              <w:jc w:val="center"/>
              <w:rPr>
                <w:rFonts w:ascii="Arial" w:hAnsi="Arial"/>
              </w:rPr>
            </w:pPr>
            <w:r w:rsidRPr="00F02D0B">
              <w:rPr>
                <w:rFonts w:ascii="Arial" w:hAnsi="Arial"/>
              </w:rPr>
              <w:t>3.50</w:t>
            </w:r>
          </w:p>
        </w:tc>
        <w:tc>
          <w:tcPr>
            <w:tcW w:w="1090" w:type="dxa"/>
            <w:tcBorders>
              <w:top w:val="nil"/>
              <w:bottom w:val="nil"/>
            </w:tcBorders>
          </w:tcPr>
          <w:p w14:paraId="479B1D44" w14:textId="7CE5C864" w:rsidR="00DD3700" w:rsidRPr="00DC3180" w:rsidRDefault="00F02D0B" w:rsidP="00F02D0B">
            <w:pPr>
              <w:jc w:val="center"/>
              <w:rPr>
                <w:rFonts w:ascii="Arial" w:hAnsi="Arial"/>
              </w:rPr>
            </w:pPr>
            <w:r w:rsidRPr="00F02D0B">
              <w:rPr>
                <w:rFonts w:ascii="Arial" w:hAnsi="Arial"/>
              </w:rPr>
              <w:t>21.62</w:t>
            </w:r>
          </w:p>
        </w:tc>
      </w:tr>
      <w:tr w:rsidR="003E5C01" w:rsidRPr="00DC3180" w14:paraId="17B590C9" w14:textId="77777777" w:rsidTr="008C6B8B">
        <w:trPr>
          <w:jc w:val="center"/>
        </w:trPr>
        <w:tc>
          <w:tcPr>
            <w:tcW w:w="445" w:type="dxa"/>
            <w:tcBorders>
              <w:top w:val="nil"/>
              <w:bottom w:val="nil"/>
            </w:tcBorders>
          </w:tcPr>
          <w:p w14:paraId="1E35930A" w14:textId="45CB2F95" w:rsidR="00DD3700" w:rsidRPr="00C21625" w:rsidRDefault="00DD3700" w:rsidP="007D1BCA">
            <w:pPr>
              <w:jc w:val="both"/>
              <w:rPr>
                <w:rFonts w:ascii="Arial" w:hAnsi="Arial"/>
              </w:rPr>
            </w:pPr>
            <w:r>
              <w:rPr>
                <w:rFonts w:ascii="Arial" w:hAnsi="Arial"/>
              </w:rPr>
              <w:t>4</w:t>
            </w:r>
          </w:p>
        </w:tc>
        <w:tc>
          <w:tcPr>
            <w:tcW w:w="2816" w:type="dxa"/>
            <w:tcBorders>
              <w:top w:val="nil"/>
              <w:bottom w:val="nil"/>
            </w:tcBorders>
          </w:tcPr>
          <w:p w14:paraId="08569E3C" w14:textId="485D92D2" w:rsidR="00DD3700" w:rsidRPr="00F02D0B" w:rsidRDefault="00DD3700" w:rsidP="007D1BCA">
            <w:pPr>
              <w:jc w:val="both"/>
              <w:rPr>
                <w:rFonts w:ascii="Arial" w:hAnsi="Arial"/>
                <w:i/>
                <w:iCs/>
              </w:rPr>
            </w:pPr>
            <w:r w:rsidRPr="00F02D0B">
              <w:rPr>
                <w:rFonts w:ascii="Arial" w:hAnsi="Arial"/>
                <w:i/>
                <w:iCs/>
              </w:rPr>
              <w:t>Khaya senegalensis</w:t>
            </w:r>
          </w:p>
        </w:tc>
        <w:tc>
          <w:tcPr>
            <w:tcW w:w="1015" w:type="dxa"/>
            <w:tcBorders>
              <w:top w:val="nil"/>
              <w:bottom w:val="nil"/>
            </w:tcBorders>
          </w:tcPr>
          <w:p w14:paraId="7E010EBA" w14:textId="655AC498" w:rsidR="00DD3700" w:rsidRPr="00DC3180" w:rsidRDefault="00F02D0B" w:rsidP="00F02D0B">
            <w:pPr>
              <w:jc w:val="center"/>
              <w:rPr>
                <w:rFonts w:ascii="Arial" w:hAnsi="Arial"/>
              </w:rPr>
            </w:pPr>
            <w:r w:rsidRPr="00F02D0B">
              <w:rPr>
                <w:rFonts w:ascii="Arial" w:hAnsi="Arial"/>
              </w:rPr>
              <w:t>7.57</w:t>
            </w:r>
          </w:p>
        </w:tc>
        <w:tc>
          <w:tcPr>
            <w:tcW w:w="1134" w:type="dxa"/>
            <w:tcBorders>
              <w:top w:val="nil"/>
              <w:bottom w:val="nil"/>
            </w:tcBorders>
          </w:tcPr>
          <w:p w14:paraId="099EF8D9" w14:textId="082D0656" w:rsidR="00DD3700" w:rsidRPr="00DC3180" w:rsidRDefault="00F02D0B" w:rsidP="00F02D0B">
            <w:pPr>
              <w:jc w:val="center"/>
              <w:rPr>
                <w:rFonts w:ascii="Arial" w:hAnsi="Arial"/>
              </w:rPr>
            </w:pPr>
            <w:r w:rsidRPr="00F02D0B">
              <w:rPr>
                <w:rFonts w:ascii="Arial" w:hAnsi="Arial"/>
              </w:rPr>
              <w:t>11.51</w:t>
            </w:r>
          </w:p>
        </w:tc>
        <w:tc>
          <w:tcPr>
            <w:tcW w:w="1032" w:type="dxa"/>
            <w:tcBorders>
              <w:top w:val="nil"/>
              <w:bottom w:val="nil"/>
            </w:tcBorders>
          </w:tcPr>
          <w:p w14:paraId="32BD594D" w14:textId="707E86DE" w:rsidR="00DD3700" w:rsidRPr="00DC3180" w:rsidRDefault="00F02D0B" w:rsidP="00F02D0B">
            <w:pPr>
              <w:jc w:val="center"/>
              <w:rPr>
                <w:rFonts w:ascii="Arial" w:hAnsi="Arial"/>
              </w:rPr>
            </w:pPr>
            <w:r w:rsidRPr="00F02D0B">
              <w:rPr>
                <w:rFonts w:ascii="Arial" w:hAnsi="Arial"/>
              </w:rPr>
              <w:t>2.10</w:t>
            </w:r>
          </w:p>
        </w:tc>
        <w:tc>
          <w:tcPr>
            <w:tcW w:w="1090" w:type="dxa"/>
            <w:tcBorders>
              <w:top w:val="nil"/>
              <w:bottom w:val="nil"/>
            </w:tcBorders>
          </w:tcPr>
          <w:p w14:paraId="2517A8DB" w14:textId="307175AC" w:rsidR="00DD3700" w:rsidRPr="00DC3180" w:rsidRDefault="00F02D0B" w:rsidP="00F02D0B">
            <w:pPr>
              <w:jc w:val="center"/>
              <w:rPr>
                <w:rFonts w:ascii="Arial" w:hAnsi="Arial"/>
              </w:rPr>
            </w:pPr>
            <w:r w:rsidRPr="00F02D0B">
              <w:rPr>
                <w:rFonts w:ascii="Arial" w:hAnsi="Arial"/>
              </w:rPr>
              <w:t>21.18</w:t>
            </w:r>
          </w:p>
        </w:tc>
      </w:tr>
      <w:tr w:rsidR="003E5C01" w:rsidRPr="00DC3180" w14:paraId="65C956BE" w14:textId="77777777" w:rsidTr="008C6B8B">
        <w:trPr>
          <w:jc w:val="center"/>
        </w:trPr>
        <w:tc>
          <w:tcPr>
            <w:tcW w:w="445" w:type="dxa"/>
            <w:tcBorders>
              <w:top w:val="nil"/>
              <w:bottom w:val="nil"/>
            </w:tcBorders>
          </w:tcPr>
          <w:p w14:paraId="2B801D7A" w14:textId="1EED3116" w:rsidR="00DD3700" w:rsidRPr="00C21625" w:rsidRDefault="00DD3700" w:rsidP="007D1BCA">
            <w:pPr>
              <w:jc w:val="both"/>
              <w:rPr>
                <w:rFonts w:ascii="Arial" w:hAnsi="Arial"/>
              </w:rPr>
            </w:pPr>
            <w:r>
              <w:rPr>
                <w:rFonts w:ascii="Arial" w:hAnsi="Arial"/>
              </w:rPr>
              <w:t>5</w:t>
            </w:r>
          </w:p>
        </w:tc>
        <w:tc>
          <w:tcPr>
            <w:tcW w:w="2816" w:type="dxa"/>
            <w:tcBorders>
              <w:top w:val="nil"/>
              <w:bottom w:val="nil"/>
            </w:tcBorders>
          </w:tcPr>
          <w:p w14:paraId="6CF79C79" w14:textId="3E470A60" w:rsidR="00DD3700" w:rsidRPr="00F02D0B" w:rsidRDefault="00DD3700" w:rsidP="007D1BCA">
            <w:pPr>
              <w:jc w:val="both"/>
              <w:rPr>
                <w:rFonts w:ascii="Arial" w:hAnsi="Arial"/>
                <w:i/>
                <w:iCs/>
              </w:rPr>
            </w:pPr>
            <w:proofErr w:type="spellStart"/>
            <w:r w:rsidRPr="00F02D0B">
              <w:rPr>
                <w:rFonts w:ascii="Arial" w:hAnsi="Arial"/>
                <w:i/>
                <w:iCs/>
              </w:rPr>
              <w:t>Tectona</w:t>
            </w:r>
            <w:proofErr w:type="spellEnd"/>
            <w:r w:rsidRPr="00F02D0B">
              <w:rPr>
                <w:rFonts w:ascii="Arial" w:hAnsi="Arial"/>
                <w:i/>
                <w:iCs/>
              </w:rPr>
              <w:t xml:space="preserve"> </w:t>
            </w:r>
            <w:proofErr w:type="spellStart"/>
            <w:r w:rsidRPr="00F02D0B">
              <w:rPr>
                <w:rFonts w:ascii="Arial" w:hAnsi="Arial"/>
                <w:i/>
                <w:iCs/>
              </w:rPr>
              <w:t>grandis</w:t>
            </w:r>
            <w:proofErr w:type="spellEnd"/>
          </w:p>
        </w:tc>
        <w:tc>
          <w:tcPr>
            <w:tcW w:w="1015" w:type="dxa"/>
            <w:tcBorders>
              <w:top w:val="nil"/>
              <w:bottom w:val="nil"/>
            </w:tcBorders>
          </w:tcPr>
          <w:p w14:paraId="723AAEE9" w14:textId="0B8B030B" w:rsidR="00DD3700" w:rsidRPr="00DC3180" w:rsidRDefault="00F02D0B" w:rsidP="00F02D0B">
            <w:pPr>
              <w:jc w:val="center"/>
              <w:rPr>
                <w:rFonts w:ascii="Arial" w:hAnsi="Arial"/>
              </w:rPr>
            </w:pPr>
            <w:r w:rsidRPr="00F02D0B">
              <w:rPr>
                <w:rFonts w:ascii="Arial" w:hAnsi="Arial"/>
              </w:rPr>
              <w:t>8.32</w:t>
            </w:r>
          </w:p>
        </w:tc>
        <w:tc>
          <w:tcPr>
            <w:tcW w:w="1134" w:type="dxa"/>
            <w:tcBorders>
              <w:top w:val="nil"/>
              <w:bottom w:val="nil"/>
            </w:tcBorders>
          </w:tcPr>
          <w:p w14:paraId="505522A5" w14:textId="080BC8EE" w:rsidR="00DD3700" w:rsidRPr="00DC3180" w:rsidRDefault="00F02D0B" w:rsidP="00F02D0B">
            <w:pPr>
              <w:jc w:val="center"/>
              <w:rPr>
                <w:rFonts w:ascii="Arial" w:hAnsi="Arial"/>
              </w:rPr>
            </w:pPr>
            <w:r w:rsidRPr="00F02D0B">
              <w:rPr>
                <w:rFonts w:ascii="Arial" w:hAnsi="Arial"/>
              </w:rPr>
              <w:t>8.11</w:t>
            </w:r>
          </w:p>
        </w:tc>
        <w:tc>
          <w:tcPr>
            <w:tcW w:w="1032" w:type="dxa"/>
            <w:tcBorders>
              <w:top w:val="nil"/>
              <w:bottom w:val="nil"/>
            </w:tcBorders>
          </w:tcPr>
          <w:p w14:paraId="6D1EF379" w14:textId="459D1DCD" w:rsidR="00DD3700" w:rsidRPr="00DC3180" w:rsidRDefault="00F02D0B" w:rsidP="00F02D0B">
            <w:pPr>
              <w:jc w:val="center"/>
              <w:rPr>
                <w:rFonts w:ascii="Arial" w:hAnsi="Arial"/>
              </w:rPr>
            </w:pPr>
            <w:r w:rsidRPr="00F02D0B">
              <w:rPr>
                <w:rFonts w:ascii="Arial" w:hAnsi="Arial"/>
              </w:rPr>
              <w:t>2.10</w:t>
            </w:r>
          </w:p>
        </w:tc>
        <w:tc>
          <w:tcPr>
            <w:tcW w:w="1090" w:type="dxa"/>
            <w:tcBorders>
              <w:top w:val="nil"/>
              <w:bottom w:val="nil"/>
            </w:tcBorders>
          </w:tcPr>
          <w:p w14:paraId="576F5980" w14:textId="47FD3D30" w:rsidR="00DD3700" w:rsidRPr="00DC3180" w:rsidRDefault="00F02D0B" w:rsidP="00F02D0B">
            <w:pPr>
              <w:jc w:val="center"/>
              <w:rPr>
                <w:rFonts w:ascii="Arial" w:hAnsi="Arial"/>
              </w:rPr>
            </w:pPr>
            <w:r w:rsidRPr="00F02D0B">
              <w:rPr>
                <w:rFonts w:ascii="Arial" w:hAnsi="Arial"/>
              </w:rPr>
              <w:t>18.53</w:t>
            </w:r>
          </w:p>
        </w:tc>
      </w:tr>
      <w:tr w:rsidR="003E5C01" w:rsidRPr="00DC3180" w14:paraId="5CAA70D7" w14:textId="77777777" w:rsidTr="008C6B8B">
        <w:trPr>
          <w:jc w:val="center"/>
        </w:trPr>
        <w:tc>
          <w:tcPr>
            <w:tcW w:w="445" w:type="dxa"/>
            <w:tcBorders>
              <w:top w:val="nil"/>
              <w:bottom w:val="nil"/>
            </w:tcBorders>
          </w:tcPr>
          <w:p w14:paraId="2BB374D6" w14:textId="0C80D730" w:rsidR="00DD3700" w:rsidRPr="00C21625" w:rsidRDefault="00DD3700" w:rsidP="007D1BCA">
            <w:pPr>
              <w:jc w:val="both"/>
              <w:rPr>
                <w:rFonts w:ascii="Arial" w:hAnsi="Arial"/>
              </w:rPr>
            </w:pPr>
            <w:r>
              <w:rPr>
                <w:rFonts w:ascii="Arial" w:hAnsi="Arial"/>
              </w:rPr>
              <w:t>6</w:t>
            </w:r>
          </w:p>
        </w:tc>
        <w:tc>
          <w:tcPr>
            <w:tcW w:w="2816" w:type="dxa"/>
            <w:tcBorders>
              <w:top w:val="nil"/>
              <w:bottom w:val="nil"/>
            </w:tcBorders>
          </w:tcPr>
          <w:p w14:paraId="1E95FF79" w14:textId="5EB7DC2F" w:rsidR="00DD3700" w:rsidRPr="00F02D0B" w:rsidRDefault="00DD3700" w:rsidP="007D1BCA">
            <w:pPr>
              <w:jc w:val="both"/>
              <w:rPr>
                <w:rFonts w:ascii="Arial" w:hAnsi="Arial"/>
                <w:i/>
                <w:iCs/>
              </w:rPr>
            </w:pPr>
            <w:proofErr w:type="spellStart"/>
            <w:r w:rsidRPr="00F02D0B">
              <w:rPr>
                <w:rFonts w:ascii="Arial" w:hAnsi="Arial"/>
                <w:i/>
                <w:iCs/>
              </w:rPr>
              <w:t>Parkia</w:t>
            </w:r>
            <w:proofErr w:type="spellEnd"/>
            <w:r w:rsidRPr="00F02D0B">
              <w:rPr>
                <w:rFonts w:ascii="Arial" w:hAnsi="Arial"/>
                <w:i/>
                <w:iCs/>
              </w:rPr>
              <w:t xml:space="preserve"> </w:t>
            </w:r>
            <w:proofErr w:type="spellStart"/>
            <w:r w:rsidRPr="00F02D0B">
              <w:rPr>
                <w:rFonts w:ascii="Arial" w:hAnsi="Arial"/>
                <w:i/>
                <w:iCs/>
              </w:rPr>
              <w:t>biglobosa</w:t>
            </w:r>
            <w:proofErr w:type="spellEnd"/>
          </w:p>
        </w:tc>
        <w:tc>
          <w:tcPr>
            <w:tcW w:w="1015" w:type="dxa"/>
            <w:tcBorders>
              <w:top w:val="nil"/>
              <w:bottom w:val="nil"/>
            </w:tcBorders>
          </w:tcPr>
          <w:p w14:paraId="7B76949A" w14:textId="59908BA8" w:rsidR="00DD3700" w:rsidRPr="00DC3180" w:rsidRDefault="00F02D0B" w:rsidP="00F02D0B">
            <w:pPr>
              <w:jc w:val="center"/>
              <w:rPr>
                <w:rFonts w:ascii="Arial" w:hAnsi="Arial"/>
              </w:rPr>
            </w:pPr>
            <w:r w:rsidRPr="00F02D0B">
              <w:rPr>
                <w:rFonts w:ascii="Arial" w:hAnsi="Arial"/>
              </w:rPr>
              <w:t>4.16</w:t>
            </w:r>
          </w:p>
        </w:tc>
        <w:tc>
          <w:tcPr>
            <w:tcW w:w="1134" w:type="dxa"/>
            <w:tcBorders>
              <w:top w:val="nil"/>
              <w:bottom w:val="nil"/>
            </w:tcBorders>
          </w:tcPr>
          <w:p w14:paraId="0F2FDB5F" w14:textId="41C99E52" w:rsidR="00DD3700" w:rsidRPr="00DC3180" w:rsidRDefault="00F02D0B" w:rsidP="00F02D0B">
            <w:pPr>
              <w:jc w:val="center"/>
              <w:rPr>
                <w:rFonts w:ascii="Arial" w:hAnsi="Arial"/>
              </w:rPr>
            </w:pPr>
            <w:r w:rsidRPr="00F02D0B">
              <w:rPr>
                <w:rFonts w:ascii="Arial" w:hAnsi="Arial"/>
              </w:rPr>
              <w:t>5.99</w:t>
            </w:r>
          </w:p>
        </w:tc>
        <w:tc>
          <w:tcPr>
            <w:tcW w:w="1032" w:type="dxa"/>
            <w:tcBorders>
              <w:top w:val="nil"/>
              <w:bottom w:val="nil"/>
            </w:tcBorders>
          </w:tcPr>
          <w:p w14:paraId="39FF9611" w14:textId="7761089B" w:rsidR="00DD3700" w:rsidRPr="00DC3180" w:rsidRDefault="00F02D0B" w:rsidP="00F02D0B">
            <w:pPr>
              <w:jc w:val="center"/>
              <w:rPr>
                <w:rFonts w:ascii="Arial" w:hAnsi="Arial"/>
              </w:rPr>
            </w:pPr>
            <w:r w:rsidRPr="00F02D0B">
              <w:rPr>
                <w:rFonts w:ascii="Arial" w:hAnsi="Arial"/>
              </w:rPr>
              <w:t>2.80</w:t>
            </w:r>
          </w:p>
        </w:tc>
        <w:tc>
          <w:tcPr>
            <w:tcW w:w="1090" w:type="dxa"/>
            <w:tcBorders>
              <w:top w:val="nil"/>
              <w:bottom w:val="nil"/>
            </w:tcBorders>
          </w:tcPr>
          <w:p w14:paraId="1D2CD9C1" w14:textId="4B08F056" w:rsidR="00DD3700" w:rsidRPr="00DC3180" w:rsidRDefault="00F02D0B" w:rsidP="00F02D0B">
            <w:pPr>
              <w:jc w:val="center"/>
              <w:rPr>
                <w:rFonts w:ascii="Arial" w:hAnsi="Arial"/>
              </w:rPr>
            </w:pPr>
            <w:r w:rsidRPr="00F02D0B">
              <w:rPr>
                <w:rFonts w:ascii="Arial" w:hAnsi="Arial"/>
              </w:rPr>
              <w:t>12.95</w:t>
            </w:r>
          </w:p>
        </w:tc>
      </w:tr>
      <w:tr w:rsidR="003E5C01" w:rsidRPr="00DC3180" w14:paraId="2FA9BFF3" w14:textId="77777777" w:rsidTr="008C6B8B">
        <w:trPr>
          <w:jc w:val="center"/>
        </w:trPr>
        <w:tc>
          <w:tcPr>
            <w:tcW w:w="445" w:type="dxa"/>
            <w:tcBorders>
              <w:top w:val="nil"/>
              <w:bottom w:val="nil"/>
            </w:tcBorders>
          </w:tcPr>
          <w:p w14:paraId="4AB5ABE6" w14:textId="45CBF6C6" w:rsidR="00DD3700" w:rsidRPr="00C21625" w:rsidRDefault="00DD3700" w:rsidP="007D1BCA">
            <w:pPr>
              <w:jc w:val="both"/>
              <w:rPr>
                <w:rFonts w:ascii="Arial" w:hAnsi="Arial"/>
              </w:rPr>
            </w:pPr>
            <w:r>
              <w:rPr>
                <w:rFonts w:ascii="Arial" w:hAnsi="Arial"/>
              </w:rPr>
              <w:t>7</w:t>
            </w:r>
          </w:p>
        </w:tc>
        <w:tc>
          <w:tcPr>
            <w:tcW w:w="2816" w:type="dxa"/>
            <w:tcBorders>
              <w:top w:val="nil"/>
              <w:bottom w:val="nil"/>
            </w:tcBorders>
          </w:tcPr>
          <w:p w14:paraId="369070D8" w14:textId="72B5D5ED" w:rsidR="00DD3700" w:rsidRPr="00F02D0B" w:rsidRDefault="00DD3700" w:rsidP="007D1BCA">
            <w:pPr>
              <w:jc w:val="both"/>
              <w:rPr>
                <w:rFonts w:ascii="Arial" w:hAnsi="Arial"/>
                <w:i/>
                <w:iCs/>
              </w:rPr>
            </w:pPr>
            <w:proofErr w:type="spellStart"/>
            <w:r w:rsidRPr="00F02D0B">
              <w:rPr>
                <w:rFonts w:ascii="Arial" w:hAnsi="Arial"/>
                <w:i/>
                <w:iCs/>
              </w:rPr>
              <w:t>Pericopsis</w:t>
            </w:r>
            <w:proofErr w:type="spellEnd"/>
            <w:r w:rsidRPr="00F02D0B">
              <w:rPr>
                <w:rFonts w:ascii="Arial" w:hAnsi="Arial"/>
                <w:i/>
                <w:iCs/>
              </w:rPr>
              <w:t xml:space="preserve"> </w:t>
            </w:r>
            <w:proofErr w:type="spellStart"/>
            <w:r w:rsidRPr="00F02D0B">
              <w:rPr>
                <w:rFonts w:ascii="Arial" w:hAnsi="Arial"/>
                <w:i/>
                <w:iCs/>
              </w:rPr>
              <w:t>laxiflora</w:t>
            </w:r>
            <w:proofErr w:type="spellEnd"/>
          </w:p>
        </w:tc>
        <w:tc>
          <w:tcPr>
            <w:tcW w:w="1015" w:type="dxa"/>
            <w:tcBorders>
              <w:top w:val="nil"/>
              <w:bottom w:val="nil"/>
            </w:tcBorders>
          </w:tcPr>
          <w:p w14:paraId="5E45E396" w14:textId="68F42330" w:rsidR="00DD3700" w:rsidRPr="00DC3180" w:rsidRDefault="00F02D0B" w:rsidP="00F02D0B">
            <w:pPr>
              <w:jc w:val="center"/>
              <w:rPr>
                <w:rFonts w:ascii="Arial" w:hAnsi="Arial"/>
              </w:rPr>
            </w:pPr>
            <w:r w:rsidRPr="00F02D0B">
              <w:rPr>
                <w:rFonts w:ascii="Arial" w:hAnsi="Arial"/>
              </w:rPr>
              <w:t>6.24</w:t>
            </w:r>
          </w:p>
        </w:tc>
        <w:tc>
          <w:tcPr>
            <w:tcW w:w="1134" w:type="dxa"/>
            <w:tcBorders>
              <w:top w:val="nil"/>
              <w:bottom w:val="nil"/>
            </w:tcBorders>
          </w:tcPr>
          <w:p w14:paraId="3A38D885" w14:textId="185AFAC8" w:rsidR="00DD3700" w:rsidRPr="00DC3180" w:rsidRDefault="00F02D0B" w:rsidP="00F02D0B">
            <w:pPr>
              <w:jc w:val="center"/>
              <w:rPr>
                <w:rFonts w:ascii="Arial" w:hAnsi="Arial"/>
              </w:rPr>
            </w:pPr>
            <w:r w:rsidRPr="00F02D0B">
              <w:rPr>
                <w:rFonts w:ascii="Arial" w:hAnsi="Arial"/>
              </w:rPr>
              <w:t>2.70</w:t>
            </w:r>
          </w:p>
        </w:tc>
        <w:tc>
          <w:tcPr>
            <w:tcW w:w="1032" w:type="dxa"/>
            <w:tcBorders>
              <w:top w:val="nil"/>
              <w:bottom w:val="nil"/>
            </w:tcBorders>
          </w:tcPr>
          <w:p w14:paraId="31D736CA" w14:textId="6A25118E" w:rsidR="00DD3700" w:rsidRPr="00DC3180" w:rsidRDefault="00F02D0B" w:rsidP="00F02D0B">
            <w:pPr>
              <w:jc w:val="center"/>
              <w:rPr>
                <w:rFonts w:ascii="Arial" w:hAnsi="Arial"/>
              </w:rPr>
            </w:pPr>
            <w:r w:rsidRPr="00F02D0B">
              <w:rPr>
                <w:rFonts w:ascii="Arial" w:hAnsi="Arial"/>
              </w:rPr>
              <w:t>3.50</w:t>
            </w:r>
          </w:p>
        </w:tc>
        <w:tc>
          <w:tcPr>
            <w:tcW w:w="1090" w:type="dxa"/>
            <w:tcBorders>
              <w:top w:val="nil"/>
              <w:bottom w:val="nil"/>
            </w:tcBorders>
          </w:tcPr>
          <w:p w14:paraId="285DC05F" w14:textId="10B10F67" w:rsidR="00DD3700" w:rsidRPr="00DC3180" w:rsidRDefault="00F02D0B" w:rsidP="00F02D0B">
            <w:pPr>
              <w:jc w:val="center"/>
              <w:rPr>
                <w:rFonts w:ascii="Arial" w:hAnsi="Arial"/>
              </w:rPr>
            </w:pPr>
            <w:r w:rsidRPr="00F02D0B">
              <w:rPr>
                <w:rFonts w:ascii="Arial" w:hAnsi="Arial"/>
              </w:rPr>
              <w:t>12.43</w:t>
            </w:r>
          </w:p>
        </w:tc>
      </w:tr>
      <w:tr w:rsidR="003E5C01" w:rsidRPr="00DC3180" w14:paraId="7C5410A1" w14:textId="77777777" w:rsidTr="008C6B8B">
        <w:trPr>
          <w:jc w:val="center"/>
        </w:trPr>
        <w:tc>
          <w:tcPr>
            <w:tcW w:w="445" w:type="dxa"/>
            <w:tcBorders>
              <w:top w:val="nil"/>
              <w:bottom w:val="nil"/>
            </w:tcBorders>
          </w:tcPr>
          <w:p w14:paraId="70C4F4EF" w14:textId="3CC6D575" w:rsidR="00DD3700" w:rsidRPr="00C21625" w:rsidRDefault="00DD3700" w:rsidP="007D1BCA">
            <w:pPr>
              <w:jc w:val="both"/>
              <w:rPr>
                <w:rFonts w:ascii="Arial" w:hAnsi="Arial"/>
              </w:rPr>
            </w:pPr>
            <w:r>
              <w:rPr>
                <w:rFonts w:ascii="Arial" w:hAnsi="Arial"/>
              </w:rPr>
              <w:t>8</w:t>
            </w:r>
          </w:p>
        </w:tc>
        <w:tc>
          <w:tcPr>
            <w:tcW w:w="2816" w:type="dxa"/>
            <w:tcBorders>
              <w:top w:val="nil"/>
              <w:bottom w:val="nil"/>
            </w:tcBorders>
          </w:tcPr>
          <w:p w14:paraId="4EF570E8" w14:textId="1BAD398E" w:rsidR="00DD3700" w:rsidRPr="00F02D0B" w:rsidRDefault="00DD3700" w:rsidP="007D1BCA">
            <w:pPr>
              <w:jc w:val="both"/>
              <w:rPr>
                <w:rFonts w:ascii="Arial" w:hAnsi="Arial"/>
                <w:i/>
                <w:iCs/>
              </w:rPr>
            </w:pPr>
            <w:r w:rsidRPr="00F02D0B">
              <w:rPr>
                <w:rFonts w:ascii="Arial" w:hAnsi="Arial"/>
                <w:i/>
                <w:iCs/>
              </w:rPr>
              <w:t xml:space="preserve">Diospyros </w:t>
            </w:r>
            <w:proofErr w:type="spellStart"/>
            <w:r w:rsidRPr="00F02D0B">
              <w:rPr>
                <w:rFonts w:ascii="Arial" w:hAnsi="Arial"/>
                <w:i/>
                <w:iCs/>
              </w:rPr>
              <w:t>mespiIiformis</w:t>
            </w:r>
            <w:proofErr w:type="spellEnd"/>
          </w:p>
        </w:tc>
        <w:tc>
          <w:tcPr>
            <w:tcW w:w="1015" w:type="dxa"/>
            <w:tcBorders>
              <w:top w:val="nil"/>
              <w:bottom w:val="nil"/>
            </w:tcBorders>
          </w:tcPr>
          <w:p w14:paraId="38F94654" w14:textId="00144CE9" w:rsidR="00DD3700" w:rsidRPr="00DC3180" w:rsidRDefault="00F02D0B" w:rsidP="00F02D0B">
            <w:pPr>
              <w:jc w:val="center"/>
              <w:rPr>
                <w:rFonts w:ascii="Arial" w:hAnsi="Arial"/>
              </w:rPr>
            </w:pPr>
            <w:r w:rsidRPr="00F02D0B">
              <w:rPr>
                <w:rFonts w:ascii="Arial" w:hAnsi="Arial"/>
              </w:rPr>
              <w:t>4.33</w:t>
            </w:r>
          </w:p>
        </w:tc>
        <w:tc>
          <w:tcPr>
            <w:tcW w:w="1134" w:type="dxa"/>
            <w:tcBorders>
              <w:top w:val="nil"/>
              <w:bottom w:val="nil"/>
            </w:tcBorders>
          </w:tcPr>
          <w:p w14:paraId="4E0BDA62" w14:textId="53E899AC" w:rsidR="00DD3700" w:rsidRPr="00DC3180" w:rsidRDefault="00F02D0B" w:rsidP="00F02D0B">
            <w:pPr>
              <w:jc w:val="center"/>
              <w:rPr>
                <w:rFonts w:ascii="Arial" w:hAnsi="Arial"/>
              </w:rPr>
            </w:pPr>
            <w:r w:rsidRPr="00F02D0B">
              <w:rPr>
                <w:rFonts w:ascii="Arial" w:hAnsi="Arial"/>
              </w:rPr>
              <w:t>4.07</w:t>
            </w:r>
          </w:p>
        </w:tc>
        <w:tc>
          <w:tcPr>
            <w:tcW w:w="1032" w:type="dxa"/>
            <w:tcBorders>
              <w:top w:val="nil"/>
              <w:bottom w:val="nil"/>
            </w:tcBorders>
          </w:tcPr>
          <w:p w14:paraId="37C5C196" w14:textId="5367563B" w:rsidR="00DD3700" w:rsidRPr="00DC3180" w:rsidRDefault="00F02D0B" w:rsidP="00F02D0B">
            <w:pPr>
              <w:jc w:val="center"/>
              <w:rPr>
                <w:rFonts w:ascii="Arial" w:hAnsi="Arial"/>
              </w:rPr>
            </w:pPr>
            <w:r w:rsidRPr="00F02D0B">
              <w:rPr>
                <w:rFonts w:ascii="Arial" w:hAnsi="Arial"/>
              </w:rPr>
              <w:t>3.50</w:t>
            </w:r>
          </w:p>
        </w:tc>
        <w:tc>
          <w:tcPr>
            <w:tcW w:w="1090" w:type="dxa"/>
            <w:tcBorders>
              <w:top w:val="nil"/>
              <w:bottom w:val="nil"/>
            </w:tcBorders>
          </w:tcPr>
          <w:p w14:paraId="38A0651E" w14:textId="08C956A2" w:rsidR="00DD3700" w:rsidRPr="00DC3180" w:rsidRDefault="00F02D0B" w:rsidP="00F02D0B">
            <w:pPr>
              <w:jc w:val="center"/>
              <w:rPr>
                <w:rFonts w:ascii="Arial" w:hAnsi="Arial"/>
              </w:rPr>
            </w:pPr>
            <w:r w:rsidRPr="00F02D0B">
              <w:rPr>
                <w:rFonts w:ascii="Arial" w:hAnsi="Arial"/>
              </w:rPr>
              <w:t>11.89</w:t>
            </w:r>
          </w:p>
        </w:tc>
      </w:tr>
      <w:tr w:rsidR="003E5C01" w:rsidRPr="00DC3180" w14:paraId="180E416A" w14:textId="77777777" w:rsidTr="008C6B8B">
        <w:trPr>
          <w:jc w:val="center"/>
        </w:trPr>
        <w:tc>
          <w:tcPr>
            <w:tcW w:w="445" w:type="dxa"/>
            <w:tcBorders>
              <w:top w:val="nil"/>
              <w:bottom w:val="nil"/>
            </w:tcBorders>
          </w:tcPr>
          <w:p w14:paraId="400EDD6F" w14:textId="32F7C6F1" w:rsidR="00DD3700" w:rsidRPr="00C21625" w:rsidRDefault="00DD3700" w:rsidP="007D1BCA">
            <w:pPr>
              <w:jc w:val="both"/>
              <w:rPr>
                <w:rFonts w:ascii="Arial" w:hAnsi="Arial"/>
              </w:rPr>
            </w:pPr>
            <w:r>
              <w:rPr>
                <w:rFonts w:ascii="Arial" w:hAnsi="Arial"/>
              </w:rPr>
              <w:t>9</w:t>
            </w:r>
          </w:p>
        </w:tc>
        <w:tc>
          <w:tcPr>
            <w:tcW w:w="2816" w:type="dxa"/>
            <w:tcBorders>
              <w:top w:val="nil"/>
              <w:bottom w:val="nil"/>
            </w:tcBorders>
          </w:tcPr>
          <w:p w14:paraId="1551C95D" w14:textId="14BE50FF" w:rsidR="00DD3700" w:rsidRPr="00F02D0B" w:rsidRDefault="00DD3700" w:rsidP="007D1BCA">
            <w:pPr>
              <w:jc w:val="both"/>
              <w:rPr>
                <w:rFonts w:ascii="Arial" w:hAnsi="Arial"/>
                <w:i/>
                <w:iCs/>
              </w:rPr>
            </w:pPr>
            <w:r w:rsidRPr="00F02D0B">
              <w:rPr>
                <w:rFonts w:ascii="Arial" w:hAnsi="Arial"/>
                <w:i/>
                <w:iCs/>
              </w:rPr>
              <w:t xml:space="preserve">Pinus </w:t>
            </w:r>
            <w:proofErr w:type="spellStart"/>
            <w:r w:rsidRPr="00F02D0B">
              <w:rPr>
                <w:rFonts w:ascii="Arial" w:hAnsi="Arial"/>
                <w:i/>
                <w:iCs/>
              </w:rPr>
              <w:t>caribaea</w:t>
            </w:r>
            <w:proofErr w:type="spellEnd"/>
          </w:p>
        </w:tc>
        <w:tc>
          <w:tcPr>
            <w:tcW w:w="1015" w:type="dxa"/>
            <w:tcBorders>
              <w:top w:val="nil"/>
              <w:bottom w:val="nil"/>
            </w:tcBorders>
          </w:tcPr>
          <w:p w14:paraId="7DA6A6AF" w14:textId="477DE235" w:rsidR="00DD3700" w:rsidRPr="00DC3180" w:rsidRDefault="00F02D0B" w:rsidP="00F02D0B">
            <w:pPr>
              <w:jc w:val="center"/>
              <w:rPr>
                <w:rFonts w:ascii="Arial" w:hAnsi="Arial"/>
              </w:rPr>
            </w:pPr>
            <w:r w:rsidRPr="00F02D0B">
              <w:rPr>
                <w:rFonts w:ascii="Arial" w:hAnsi="Arial"/>
              </w:rPr>
              <w:t>6.57</w:t>
            </w:r>
          </w:p>
        </w:tc>
        <w:tc>
          <w:tcPr>
            <w:tcW w:w="1134" w:type="dxa"/>
            <w:tcBorders>
              <w:top w:val="nil"/>
              <w:bottom w:val="nil"/>
            </w:tcBorders>
          </w:tcPr>
          <w:p w14:paraId="7D5586B9" w14:textId="1DA13E45" w:rsidR="00DD3700" w:rsidRPr="00DC3180" w:rsidRDefault="00F02D0B" w:rsidP="00F02D0B">
            <w:pPr>
              <w:jc w:val="center"/>
              <w:rPr>
                <w:rFonts w:ascii="Arial" w:hAnsi="Arial"/>
              </w:rPr>
            </w:pPr>
            <w:r w:rsidRPr="00F02D0B">
              <w:rPr>
                <w:rFonts w:ascii="Arial" w:hAnsi="Arial"/>
              </w:rPr>
              <w:t>2.24</w:t>
            </w:r>
          </w:p>
        </w:tc>
        <w:tc>
          <w:tcPr>
            <w:tcW w:w="1032" w:type="dxa"/>
            <w:tcBorders>
              <w:top w:val="nil"/>
              <w:bottom w:val="nil"/>
            </w:tcBorders>
          </w:tcPr>
          <w:p w14:paraId="551E70D9" w14:textId="3B275411" w:rsidR="00DD3700" w:rsidRPr="00DC3180" w:rsidRDefault="00F02D0B" w:rsidP="00F02D0B">
            <w:pPr>
              <w:jc w:val="center"/>
              <w:rPr>
                <w:rFonts w:ascii="Arial" w:hAnsi="Arial"/>
              </w:rPr>
            </w:pPr>
            <w:r w:rsidRPr="00F02D0B">
              <w:rPr>
                <w:rFonts w:ascii="Arial" w:hAnsi="Arial"/>
              </w:rPr>
              <w:t>2.10</w:t>
            </w:r>
          </w:p>
        </w:tc>
        <w:tc>
          <w:tcPr>
            <w:tcW w:w="1090" w:type="dxa"/>
            <w:tcBorders>
              <w:top w:val="nil"/>
              <w:bottom w:val="nil"/>
            </w:tcBorders>
          </w:tcPr>
          <w:p w14:paraId="0BDC289A" w14:textId="01E5CD0E" w:rsidR="00DD3700" w:rsidRPr="00DC3180" w:rsidRDefault="00F02D0B" w:rsidP="00F02D0B">
            <w:pPr>
              <w:jc w:val="center"/>
              <w:rPr>
                <w:rFonts w:ascii="Arial" w:hAnsi="Arial"/>
              </w:rPr>
            </w:pPr>
            <w:r w:rsidRPr="00F02D0B">
              <w:rPr>
                <w:rFonts w:ascii="Arial" w:hAnsi="Arial"/>
              </w:rPr>
              <w:t>10.91</w:t>
            </w:r>
          </w:p>
        </w:tc>
      </w:tr>
      <w:tr w:rsidR="003E5C01" w:rsidRPr="00DC3180" w14:paraId="4F685656" w14:textId="77777777" w:rsidTr="008C6B8B">
        <w:trPr>
          <w:jc w:val="center"/>
        </w:trPr>
        <w:tc>
          <w:tcPr>
            <w:tcW w:w="445" w:type="dxa"/>
            <w:tcBorders>
              <w:top w:val="nil"/>
              <w:bottom w:val="single" w:sz="4" w:space="0" w:color="auto"/>
            </w:tcBorders>
          </w:tcPr>
          <w:p w14:paraId="1E4D6CAD" w14:textId="2577D60E" w:rsidR="00DD3700" w:rsidRPr="00C21625" w:rsidRDefault="00DD3700" w:rsidP="007D1BCA">
            <w:pPr>
              <w:jc w:val="both"/>
              <w:rPr>
                <w:rFonts w:ascii="Arial" w:hAnsi="Arial"/>
              </w:rPr>
            </w:pPr>
            <w:r>
              <w:rPr>
                <w:rFonts w:ascii="Arial" w:hAnsi="Arial"/>
              </w:rPr>
              <w:t>10</w:t>
            </w:r>
          </w:p>
        </w:tc>
        <w:tc>
          <w:tcPr>
            <w:tcW w:w="2816" w:type="dxa"/>
            <w:tcBorders>
              <w:top w:val="nil"/>
              <w:bottom w:val="single" w:sz="4" w:space="0" w:color="auto"/>
            </w:tcBorders>
          </w:tcPr>
          <w:p w14:paraId="1B4ED8BB" w14:textId="217A1744" w:rsidR="00DD3700" w:rsidRPr="00F02D0B" w:rsidRDefault="00DD3700" w:rsidP="007D1BCA">
            <w:pPr>
              <w:jc w:val="both"/>
              <w:rPr>
                <w:rFonts w:ascii="Arial" w:hAnsi="Arial"/>
                <w:i/>
                <w:iCs/>
              </w:rPr>
            </w:pPr>
            <w:r w:rsidRPr="00F02D0B">
              <w:rPr>
                <w:rFonts w:ascii="Arial" w:hAnsi="Arial"/>
                <w:i/>
                <w:iCs/>
              </w:rPr>
              <w:t xml:space="preserve">Cola </w:t>
            </w:r>
            <w:proofErr w:type="spellStart"/>
            <w:r w:rsidRPr="00F02D0B">
              <w:rPr>
                <w:rFonts w:ascii="Arial" w:hAnsi="Arial"/>
                <w:i/>
                <w:iCs/>
              </w:rPr>
              <w:t>cordifolia</w:t>
            </w:r>
            <w:proofErr w:type="spellEnd"/>
          </w:p>
        </w:tc>
        <w:tc>
          <w:tcPr>
            <w:tcW w:w="1015" w:type="dxa"/>
            <w:tcBorders>
              <w:top w:val="nil"/>
              <w:bottom w:val="single" w:sz="4" w:space="0" w:color="auto"/>
            </w:tcBorders>
          </w:tcPr>
          <w:p w14:paraId="3ADD3408" w14:textId="62165FD1" w:rsidR="00DD3700" w:rsidRPr="00DC3180" w:rsidRDefault="00F02D0B" w:rsidP="00F02D0B">
            <w:pPr>
              <w:jc w:val="center"/>
              <w:rPr>
                <w:rFonts w:ascii="Arial" w:hAnsi="Arial"/>
              </w:rPr>
            </w:pPr>
            <w:r w:rsidRPr="00F02D0B">
              <w:rPr>
                <w:rFonts w:ascii="Arial" w:hAnsi="Arial"/>
              </w:rPr>
              <w:t>1.83</w:t>
            </w:r>
          </w:p>
        </w:tc>
        <w:tc>
          <w:tcPr>
            <w:tcW w:w="1134" w:type="dxa"/>
            <w:tcBorders>
              <w:top w:val="nil"/>
              <w:bottom w:val="single" w:sz="4" w:space="0" w:color="auto"/>
            </w:tcBorders>
          </w:tcPr>
          <w:p w14:paraId="5321F64A" w14:textId="115E294A" w:rsidR="00DD3700" w:rsidRPr="00DC3180" w:rsidRDefault="00F02D0B" w:rsidP="00F02D0B">
            <w:pPr>
              <w:jc w:val="center"/>
              <w:rPr>
                <w:rFonts w:ascii="Arial" w:hAnsi="Arial"/>
              </w:rPr>
            </w:pPr>
            <w:r w:rsidRPr="00F02D0B">
              <w:rPr>
                <w:rFonts w:ascii="Arial" w:hAnsi="Arial"/>
              </w:rPr>
              <w:t>6.08</w:t>
            </w:r>
          </w:p>
        </w:tc>
        <w:tc>
          <w:tcPr>
            <w:tcW w:w="1032" w:type="dxa"/>
            <w:tcBorders>
              <w:top w:val="nil"/>
              <w:bottom w:val="single" w:sz="4" w:space="0" w:color="auto"/>
            </w:tcBorders>
          </w:tcPr>
          <w:p w14:paraId="58F2577D" w14:textId="6AC9D6B0" w:rsidR="00DD3700" w:rsidRPr="00DC3180" w:rsidRDefault="00F02D0B" w:rsidP="00F02D0B">
            <w:pPr>
              <w:jc w:val="center"/>
              <w:rPr>
                <w:rFonts w:ascii="Arial" w:hAnsi="Arial"/>
              </w:rPr>
            </w:pPr>
            <w:r w:rsidRPr="00F02D0B">
              <w:rPr>
                <w:rFonts w:ascii="Arial" w:hAnsi="Arial"/>
              </w:rPr>
              <w:t>2.10</w:t>
            </w:r>
          </w:p>
        </w:tc>
        <w:tc>
          <w:tcPr>
            <w:tcW w:w="1090" w:type="dxa"/>
            <w:tcBorders>
              <w:top w:val="nil"/>
              <w:bottom w:val="single" w:sz="4" w:space="0" w:color="auto"/>
            </w:tcBorders>
          </w:tcPr>
          <w:p w14:paraId="641331BF" w14:textId="4709BC03" w:rsidR="00DD3700" w:rsidRPr="00DC3180" w:rsidRDefault="00F02D0B" w:rsidP="00F02D0B">
            <w:pPr>
              <w:jc w:val="center"/>
              <w:rPr>
                <w:rFonts w:ascii="Arial" w:hAnsi="Arial"/>
              </w:rPr>
            </w:pPr>
            <w:r w:rsidRPr="00F02D0B">
              <w:rPr>
                <w:rFonts w:ascii="Arial" w:hAnsi="Arial"/>
              </w:rPr>
              <w:t>10.01</w:t>
            </w:r>
          </w:p>
        </w:tc>
      </w:tr>
    </w:tbl>
    <w:p w14:paraId="36B54D3D" w14:textId="77777777" w:rsidR="005B3FEF" w:rsidRDefault="005B3FEF" w:rsidP="00441B6F">
      <w:pPr>
        <w:jc w:val="both"/>
        <w:rPr>
          <w:rFonts w:ascii="Arial" w:hAnsi="Arial" w:cs="Arial"/>
          <w:u w:val="single"/>
          <w:lang w:val="en-GB" w:eastAsia="en-GB"/>
        </w:rPr>
      </w:pPr>
    </w:p>
    <w:p w14:paraId="6D0BFB1A" w14:textId="77777777" w:rsidR="003E5C01" w:rsidRDefault="003E5C01" w:rsidP="00441B6F">
      <w:pPr>
        <w:jc w:val="both"/>
        <w:rPr>
          <w:rFonts w:ascii="Arial" w:hAnsi="Arial" w:cs="Arial"/>
          <w:u w:val="single"/>
          <w:lang w:val="en-GB" w:eastAsia="en-GB"/>
        </w:rPr>
      </w:pPr>
    </w:p>
    <w:p w14:paraId="0B69EC6E" w14:textId="5452F10D" w:rsidR="005B3FEF" w:rsidRPr="003E5C01" w:rsidRDefault="005B3FEF" w:rsidP="005B3FEF">
      <w:pPr>
        <w:tabs>
          <w:tab w:val="left" w:pos="1080"/>
        </w:tabs>
        <w:jc w:val="center"/>
        <w:rPr>
          <w:rFonts w:ascii="Arial" w:hAnsi="Arial" w:cs="Arial"/>
          <w:b/>
        </w:rPr>
      </w:pPr>
      <w:r w:rsidRPr="003E5C01">
        <w:rPr>
          <w:rFonts w:ascii="Arial" w:hAnsi="Arial" w:cs="Arial"/>
          <w:b/>
        </w:rPr>
        <w:t>Table 4. List of families with importance value indices ≥ 10</w:t>
      </w:r>
    </w:p>
    <w:p w14:paraId="799FE211" w14:textId="77777777" w:rsidR="005B3FEF" w:rsidRPr="003E5C01" w:rsidRDefault="005B3FEF" w:rsidP="005B3FEF">
      <w:pPr>
        <w:tabs>
          <w:tab w:val="left" w:pos="1080"/>
        </w:tabs>
        <w:jc w:val="both"/>
        <w:rPr>
          <w:rFonts w:ascii="Arial" w:hAnsi="Arial" w:cs="Arial"/>
          <w:b/>
        </w:rPr>
      </w:pPr>
    </w:p>
    <w:tbl>
      <w:tblPr>
        <w:tblW w:w="693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72"/>
        <w:gridCol w:w="2239"/>
        <w:gridCol w:w="1031"/>
        <w:gridCol w:w="1080"/>
        <w:gridCol w:w="1075"/>
        <w:gridCol w:w="1040"/>
      </w:tblGrid>
      <w:tr w:rsidR="003E5C01" w:rsidRPr="003E5C01" w14:paraId="7774E11C" w14:textId="77777777" w:rsidTr="008C6B8B">
        <w:trPr>
          <w:jc w:val="center"/>
        </w:trPr>
        <w:tc>
          <w:tcPr>
            <w:tcW w:w="472" w:type="dxa"/>
            <w:tcBorders>
              <w:bottom w:val="single" w:sz="4" w:space="0" w:color="auto"/>
            </w:tcBorders>
          </w:tcPr>
          <w:p w14:paraId="05B0A987" w14:textId="77777777" w:rsidR="005B3FEF" w:rsidRPr="003E5C01" w:rsidRDefault="005B3FEF" w:rsidP="007D1BCA">
            <w:pPr>
              <w:jc w:val="both"/>
              <w:rPr>
                <w:rFonts w:ascii="Arial" w:hAnsi="Arial" w:cs="Arial"/>
                <w:b/>
              </w:rPr>
            </w:pPr>
            <w:r w:rsidRPr="003E5C01">
              <w:rPr>
                <w:rFonts w:ascii="Arial" w:hAnsi="Arial" w:cs="Arial"/>
                <w:b/>
              </w:rPr>
              <w:t>N°</w:t>
            </w:r>
          </w:p>
        </w:tc>
        <w:tc>
          <w:tcPr>
            <w:tcW w:w="2239" w:type="dxa"/>
            <w:tcBorders>
              <w:bottom w:val="single" w:sz="4" w:space="0" w:color="auto"/>
            </w:tcBorders>
          </w:tcPr>
          <w:p w14:paraId="6564638D" w14:textId="6247718F" w:rsidR="005B3FEF" w:rsidRPr="003E5C01" w:rsidRDefault="005B3FEF" w:rsidP="007D1BCA">
            <w:pPr>
              <w:jc w:val="both"/>
              <w:rPr>
                <w:rFonts w:ascii="Arial" w:hAnsi="Arial" w:cs="Arial"/>
                <w:b/>
                <w:bCs/>
              </w:rPr>
            </w:pPr>
            <w:r w:rsidRPr="003E5C01">
              <w:rPr>
                <w:rFonts w:ascii="Arial" w:hAnsi="Arial" w:cs="Arial"/>
                <w:b/>
                <w:bCs/>
              </w:rPr>
              <w:t>Families</w:t>
            </w:r>
          </w:p>
        </w:tc>
        <w:tc>
          <w:tcPr>
            <w:tcW w:w="1031" w:type="dxa"/>
            <w:tcBorders>
              <w:bottom w:val="single" w:sz="4" w:space="0" w:color="auto"/>
            </w:tcBorders>
          </w:tcPr>
          <w:p w14:paraId="574C0B50" w14:textId="399C18B1" w:rsidR="005B3FEF" w:rsidRPr="003E5C01" w:rsidRDefault="005B3FEF" w:rsidP="007D1BCA">
            <w:pPr>
              <w:jc w:val="center"/>
              <w:rPr>
                <w:rFonts w:ascii="Arial" w:hAnsi="Arial" w:cs="Arial"/>
                <w:b/>
                <w:bCs/>
              </w:rPr>
            </w:pPr>
            <w:proofErr w:type="spellStart"/>
            <w:r w:rsidRPr="003E5C01">
              <w:rPr>
                <w:rFonts w:ascii="Arial" w:hAnsi="Arial" w:cs="Arial"/>
                <w:b/>
                <w:bCs/>
              </w:rPr>
              <w:t>DeR</w:t>
            </w:r>
            <w:proofErr w:type="spellEnd"/>
            <w:r w:rsidR="003E5C01" w:rsidRPr="003E5C01">
              <w:rPr>
                <w:rFonts w:ascii="Arial" w:hAnsi="Arial" w:cs="Arial"/>
                <w:b/>
                <w:bCs/>
              </w:rPr>
              <w:t xml:space="preserve"> (%)</w:t>
            </w:r>
          </w:p>
        </w:tc>
        <w:tc>
          <w:tcPr>
            <w:tcW w:w="1080" w:type="dxa"/>
            <w:tcBorders>
              <w:bottom w:val="single" w:sz="4" w:space="0" w:color="auto"/>
            </w:tcBorders>
          </w:tcPr>
          <w:p w14:paraId="1B5AD5E7" w14:textId="110DA0C0" w:rsidR="005B3FEF" w:rsidRPr="003E5C01" w:rsidRDefault="005B3FEF" w:rsidP="007D1BCA">
            <w:pPr>
              <w:jc w:val="center"/>
              <w:rPr>
                <w:rFonts w:ascii="Arial" w:hAnsi="Arial" w:cs="Arial"/>
                <w:b/>
                <w:bCs/>
              </w:rPr>
            </w:pPr>
            <w:proofErr w:type="spellStart"/>
            <w:r w:rsidRPr="003E5C01">
              <w:rPr>
                <w:rFonts w:ascii="Arial" w:hAnsi="Arial" w:cs="Arial"/>
                <w:b/>
                <w:bCs/>
              </w:rPr>
              <w:t>DoR</w:t>
            </w:r>
            <w:proofErr w:type="spellEnd"/>
            <w:r w:rsidR="003E5C01" w:rsidRPr="003E5C01">
              <w:rPr>
                <w:rFonts w:ascii="Arial" w:hAnsi="Arial" w:cs="Arial"/>
                <w:b/>
                <w:bCs/>
              </w:rPr>
              <w:t xml:space="preserve"> (%)</w:t>
            </w:r>
          </w:p>
        </w:tc>
        <w:tc>
          <w:tcPr>
            <w:tcW w:w="1075" w:type="dxa"/>
            <w:tcBorders>
              <w:bottom w:val="single" w:sz="4" w:space="0" w:color="auto"/>
            </w:tcBorders>
          </w:tcPr>
          <w:p w14:paraId="06CCD098" w14:textId="29BC3F4A" w:rsidR="005B3FEF" w:rsidRPr="003E5C01" w:rsidRDefault="008C6B8B" w:rsidP="007D1BCA">
            <w:pPr>
              <w:jc w:val="center"/>
              <w:rPr>
                <w:rFonts w:ascii="Arial" w:hAnsi="Arial" w:cs="Arial"/>
                <w:b/>
                <w:bCs/>
              </w:rPr>
            </w:pPr>
            <w:proofErr w:type="spellStart"/>
            <w:r>
              <w:rPr>
                <w:rFonts w:ascii="Arial" w:hAnsi="Arial" w:cs="Arial"/>
                <w:b/>
                <w:bCs/>
              </w:rPr>
              <w:t>Di</w:t>
            </w:r>
            <w:r w:rsidR="005B3FEF" w:rsidRPr="003E5C01">
              <w:rPr>
                <w:rFonts w:ascii="Arial" w:hAnsi="Arial" w:cs="Arial"/>
                <w:b/>
                <w:bCs/>
              </w:rPr>
              <w:t>R</w:t>
            </w:r>
            <w:proofErr w:type="spellEnd"/>
            <w:r w:rsidR="003E5C01" w:rsidRPr="003E5C01">
              <w:rPr>
                <w:rFonts w:ascii="Arial" w:hAnsi="Arial" w:cs="Arial"/>
                <w:b/>
                <w:bCs/>
              </w:rPr>
              <w:t xml:space="preserve"> (%)</w:t>
            </w:r>
          </w:p>
        </w:tc>
        <w:tc>
          <w:tcPr>
            <w:tcW w:w="1040" w:type="dxa"/>
            <w:tcBorders>
              <w:bottom w:val="single" w:sz="4" w:space="0" w:color="auto"/>
            </w:tcBorders>
          </w:tcPr>
          <w:p w14:paraId="7A6B0A3E" w14:textId="574E664F" w:rsidR="005B3FEF" w:rsidRPr="003E5C01" w:rsidRDefault="008C6B8B" w:rsidP="007D1BCA">
            <w:pPr>
              <w:jc w:val="center"/>
              <w:rPr>
                <w:rFonts w:ascii="Arial" w:hAnsi="Arial" w:cs="Arial"/>
                <w:b/>
                <w:bCs/>
              </w:rPr>
            </w:pPr>
            <w:r w:rsidRPr="008C6B8B">
              <w:rPr>
                <w:rFonts w:ascii="Arial" w:hAnsi="Arial" w:cs="Arial"/>
                <w:b/>
                <w:bCs/>
              </w:rPr>
              <w:t>F</w:t>
            </w:r>
            <w:r w:rsidR="005B3FEF" w:rsidRPr="003E5C01">
              <w:rPr>
                <w:rFonts w:ascii="Arial" w:hAnsi="Arial" w:cs="Arial"/>
                <w:b/>
                <w:bCs/>
              </w:rPr>
              <w:t>IVI</w:t>
            </w:r>
            <w:r w:rsidR="003E5C01" w:rsidRPr="003E5C01">
              <w:rPr>
                <w:rFonts w:ascii="Arial" w:hAnsi="Arial" w:cs="Arial"/>
                <w:b/>
                <w:bCs/>
              </w:rPr>
              <w:t xml:space="preserve"> (%)</w:t>
            </w:r>
          </w:p>
        </w:tc>
      </w:tr>
      <w:tr w:rsidR="003E5C01" w:rsidRPr="003E5C01" w14:paraId="3F163A65" w14:textId="77777777" w:rsidTr="008C6B8B">
        <w:trPr>
          <w:jc w:val="center"/>
        </w:trPr>
        <w:tc>
          <w:tcPr>
            <w:tcW w:w="472" w:type="dxa"/>
            <w:tcBorders>
              <w:top w:val="single" w:sz="4" w:space="0" w:color="auto"/>
              <w:bottom w:val="nil"/>
            </w:tcBorders>
          </w:tcPr>
          <w:p w14:paraId="59ECE149" w14:textId="77777777" w:rsidR="003E5C01" w:rsidRPr="003E5C01" w:rsidRDefault="003E5C01" w:rsidP="003E5C01">
            <w:pPr>
              <w:jc w:val="both"/>
              <w:rPr>
                <w:rFonts w:ascii="Arial" w:hAnsi="Arial" w:cs="Arial"/>
              </w:rPr>
            </w:pPr>
            <w:r w:rsidRPr="003E5C01">
              <w:rPr>
                <w:rFonts w:ascii="Arial" w:hAnsi="Arial" w:cs="Arial"/>
              </w:rPr>
              <w:t>1</w:t>
            </w:r>
          </w:p>
        </w:tc>
        <w:tc>
          <w:tcPr>
            <w:tcW w:w="2239" w:type="dxa"/>
            <w:tcBorders>
              <w:top w:val="single" w:sz="4" w:space="0" w:color="auto"/>
              <w:bottom w:val="nil"/>
            </w:tcBorders>
          </w:tcPr>
          <w:p w14:paraId="6F8B9FEF" w14:textId="1D54D88A" w:rsidR="003E5C01" w:rsidRPr="003E5C01" w:rsidRDefault="003E5C01" w:rsidP="003E5C01">
            <w:pPr>
              <w:jc w:val="both"/>
              <w:rPr>
                <w:rFonts w:ascii="Arial" w:hAnsi="Arial" w:cs="Arial"/>
              </w:rPr>
            </w:pPr>
            <w:r w:rsidRPr="003E5C01">
              <w:rPr>
                <w:rFonts w:ascii="Arial" w:hAnsi="Arial" w:cs="Arial"/>
              </w:rPr>
              <w:t>Fabaceae</w:t>
            </w:r>
          </w:p>
        </w:tc>
        <w:tc>
          <w:tcPr>
            <w:tcW w:w="1031" w:type="dxa"/>
            <w:tcBorders>
              <w:top w:val="single" w:sz="4" w:space="0" w:color="auto"/>
              <w:left w:val="nil"/>
              <w:bottom w:val="nil"/>
              <w:right w:val="nil"/>
            </w:tcBorders>
            <w:vAlign w:val="center"/>
          </w:tcPr>
          <w:p w14:paraId="5A837BAC" w14:textId="1E99E719" w:rsidR="003E5C01" w:rsidRPr="003E5C01" w:rsidRDefault="003E5C01" w:rsidP="003E5C01">
            <w:pPr>
              <w:jc w:val="center"/>
              <w:rPr>
                <w:rFonts w:ascii="Arial" w:hAnsi="Arial" w:cs="Arial"/>
              </w:rPr>
            </w:pPr>
            <w:r w:rsidRPr="003E5C01">
              <w:rPr>
                <w:rFonts w:ascii="Arial" w:hAnsi="Arial" w:cs="Arial"/>
                <w:color w:val="000000"/>
              </w:rPr>
              <w:t>44,84</w:t>
            </w:r>
          </w:p>
        </w:tc>
        <w:tc>
          <w:tcPr>
            <w:tcW w:w="1080" w:type="dxa"/>
            <w:tcBorders>
              <w:top w:val="single" w:sz="4" w:space="0" w:color="auto"/>
              <w:left w:val="nil"/>
              <w:bottom w:val="nil"/>
              <w:right w:val="nil"/>
            </w:tcBorders>
            <w:vAlign w:val="center"/>
          </w:tcPr>
          <w:p w14:paraId="012C6C66" w14:textId="11436DBF" w:rsidR="003E5C01" w:rsidRPr="003E5C01" w:rsidRDefault="003E5C01" w:rsidP="003E5C01">
            <w:pPr>
              <w:jc w:val="center"/>
              <w:rPr>
                <w:rFonts w:ascii="Arial" w:hAnsi="Arial" w:cs="Arial"/>
              </w:rPr>
            </w:pPr>
            <w:r w:rsidRPr="003E5C01">
              <w:rPr>
                <w:rFonts w:ascii="Arial" w:hAnsi="Arial" w:cs="Arial"/>
                <w:color w:val="000000"/>
              </w:rPr>
              <w:t>31,32</w:t>
            </w:r>
          </w:p>
        </w:tc>
        <w:tc>
          <w:tcPr>
            <w:tcW w:w="1075" w:type="dxa"/>
            <w:tcBorders>
              <w:top w:val="single" w:sz="4" w:space="0" w:color="auto"/>
              <w:left w:val="nil"/>
              <w:bottom w:val="nil"/>
              <w:right w:val="nil"/>
            </w:tcBorders>
            <w:vAlign w:val="center"/>
          </w:tcPr>
          <w:p w14:paraId="204742A6" w14:textId="62D5ECAF" w:rsidR="003E5C01" w:rsidRPr="003E5C01" w:rsidRDefault="003E5C01" w:rsidP="003E5C01">
            <w:pPr>
              <w:jc w:val="center"/>
              <w:rPr>
                <w:rFonts w:ascii="Arial" w:hAnsi="Arial" w:cs="Arial"/>
              </w:rPr>
            </w:pPr>
            <w:r w:rsidRPr="003E5C01">
              <w:rPr>
                <w:rFonts w:ascii="Arial" w:hAnsi="Arial" w:cs="Arial"/>
                <w:color w:val="000000"/>
              </w:rPr>
              <w:t>30,36</w:t>
            </w:r>
          </w:p>
        </w:tc>
        <w:tc>
          <w:tcPr>
            <w:tcW w:w="1040" w:type="dxa"/>
            <w:tcBorders>
              <w:top w:val="single" w:sz="4" w:space="0" w:color="auto"/>
              <w:left w:val="nil"/>
              <w:bottom w:val="nil"/>
              <w:right w:val="nil"/>
            </w:tcBorders>
            <w:vAlign w:val="center"/>
          </w:tcPr>
          <w:p w14:paraId="68D4999E" w14:textId="43E5ED89" w:rsidR="003E5C01" w:rsidRPr="003E5C01" w:rsidRDefault="003E5C01" w:rsidP="003E5C01">
            <w:pPr>
              <w:jc w:val="center"/>
              <w:rPr>
                <w:rFonts w:ascii="Arial" w:hAnsi="Arial" w:cs="Arial"/>
              </w:rPr>
            </w:pPr>
            <w:r w:rsidRPr="003E5C01">
              <w:rPr>
                <w:rFonts w:ascii="Arial" w:hAnsi="Arial" w:cs="Arial"/>
                <w:color w:val="000000"/>
                <w:lang w:eastAsia="fr-FR"/>
              </w:rPr>
              <w:t>106,52</w:t>
            </w:r>
          </w:p>
        </w:tc>
      </w:tr>
      <w:tr w:rsidR="003E5C01" w:rsidRPr="003E5C01" w14:paraId="5F82817D" w14:textId="77777777" w:rsidTr="008C6B8B">
        <w:trPr>
          <w:jc w:val="center"/>
        </w:trPr>
        <w:tc>
          <w:tcPr>
            <w:tcW w:w="472" w:type="dxa"/>
            <w:tcBorders>
              <w:top w:val="nil"/>
              <w:bottom w:val="nil"/>
            </w:tcBorders>
          </w:tcPr>
          <w:p w14:paraId="52CB1DBD" w14:textId="77777777" w:rsidR="003E5C01" w:rsidRPr="003E5C01" w:rsidRDefault="003E5C01" w:rsidP="003E5C01">
            <w:pPr>
              <w:jc w:val="both"/>
              <w:rPr>
                <w:rFonts w:ascii="Arial" w:hAnsi="Arial" w:cs="Arial"/>
              </w:rPr>
            </w:pPr>
            <w:r w:rsidRPr="003E5C01">
              <w:rPr>
                <w:rFonts w:ascii="Arial" w:hAnsi="Arial" w:cs="Arial"/>
              </w:rPr>
              <w:t>2</w:t>
            </w:r>
          </w:p>
        </w:tc>
        <w:tc>
          <w:tcPr>
            <w:tcW w:w="2239" w:type="dxa"/>
            <w:tcBorders>
              <w:top w:val="nil"/>
              <w:bottom w:val="nil"/>
            </w:tcBorders>
          </w:tcPr>
          <w:p w14:paraId="324B5576" w14:textId="7799C630" w:rsidR="003E5C01" w:rsidRPr="003E5C01" w:rsidRDefault="003E5C01" w:rsidP="003E5C01">
            <w:pPr>
              <w:jc w:val="both"/>
              <w:rPr>
                <w:rFonts w:ascii="Arial" w:hAnsi="Arial" w:cs="Arial"/>
              </w:rPr>
            </w:pPr>
            <w:proofErr w:type="spellStart"/>
            <w:r w:rsidRPr="003E5C01">
              <w:rPr>
                <w:rFonts w:ascii="Arial" w:hAnsi="Arial" w:cs="Arial"/>
              </w:rPr>
              <w:t>Meliaceae</w:t>
            </w:r>
            <w:proofErr w:type="spellEnd"/>
          </w:p>
        </w:tc>
        <w:tc>
          <w:tcPr>
            <w:tcW w:w="1031" w:type="dxa"/>
            <w:tcBorders>
              <w:top w:val="nil"/>
              <w:left w:val="nil"/>
              <w:bottom w:val="nil"/>
              <w:right w:val="nil"/>
            </w:tcBorders>
            <w:vAlign w:val="center"/>
          </w:tcPr>
          <w:p w14:paraId="0F1A5D6C" w14:textId="66D67330" w:rsidR="003E5C01" w:rsidRPr="003E5C01" w:rsidRDefault="003E5C01" w:rsidP="003E5C01">
            <w:pPr>
              <w:jc w:val="center"/>
              <w:rPr>
                <w:rFonts w:ascii="Arial" w:hAnsi="Arial" w:cs="Arial"/>
              </w:rPr>
            </w:pPr>
            <w:r w:rsidRPr="003E5C01">
              <w:rPr>
                <w:rFonts w:ascii="Arial" w:hAnsi="Arial" w:cs="Arial"/>
                <w:color w:val="000000"/>
              </w:rPr>
              <w:t>14,56</w:t>
            </w:r>
          </w:p>
        </w:tc>
        <w:tc>
          <w:tcPr>
            <w:tcW w:w="1080" w:type="dxa"/>
            <w:tcBorders>
              <w:top w:val="nil"/>
              <w:left w:val="nil"/>
              <w:bottom w:val="nil"/>
              <w:right w:val="nil"/>
            </w:tcBorders>
            <w:vAlign w:val="center"/>
          </w:tcPr>
          <w:p w14:paraId="017EABA4" w14:textId="4C0DF126" w:rsidR="003E5C01" w:rsidRPr="003E5C01" w:rsidRDefault="003E5C01" w:rsidP="003E5C01">
            <w:pPr>
              <w:jc w:val="center"/>
              <w:rPr>
                <w:rFonts w:ascii="Arial" w:hAnsi="Arial" w:cs="Arial"/>
              </w:rPr>
            </w:pPr>
            <w:r w:rsidRPr="003E5C01">
              <w:rPr>
                <w:rFonts w:ascii="Arial" w:hAnsi="Arial" w:cs="Arial"/>
                <w:color w:val="000000"/>
              </w:rPr>
              <w:t>15,53</w:t>
            </w:r>
          </w:p>
        </w:tc>
        <w:tc>
          <w:tcPr>
            <w:tcW w:w="1075" w:type="dxa"/>
            <w:tcBorders>
              <w:top w:val="nil"/>
              <w:left w:val="nil"/>
              <w:bottom w:val="nil"/>
              <w:right w:val="nil"/>
            </w:tcBorders>
            <w:vAlign w:val="center"/>
          </w:tcPr>
          <w:p w14:paraId="738B56EA" w14:textId="4DE90A2F" w:rsidR="003E5C01" w:rsidRPr="003E5C01" w:rsidRDefault="003E5C01" w:rsidP="003E5C01">
            <w:pPr>
              <w:jc w:val="center"/>
              <w:rPr>
                <w:rFonts w:ascii="Arial" w:hAnsi="Arial" w:cs="Arial"/>
              </w:rPr>
            </w:pPr>
            <w:r w:rsidRPr="003E5C01">
              <w:rPr>
                <w:rFonts w:ascii="Arial" w:hAnsi="Arial" w:cs="Arial"/>
                <w:color w:val="000000"/>
              </w:rPr>
              <w:t>7,14</w:t>
            </w:r>
          </w:p>
        </w:tc>
        <w:tc>
          <w:tcPr>
            <w:tcW w:w="1040" w:type="dxa"/>
            <w:tcBorders>
              <w:top w:val="nil"/>
              <w:left w:val="nil"/>
              <w:bottom w:val="nil"/>
              <w:right w:val="nil"/>
            </w:tcBorders>
            <w:vAlign w:val="center"/>
          </w:tcPr>
          <w:p w14:paraId="439252E2" w14:textId="00387C94" w:rsidR="003E5C01" w:rsidRPr="003E5C01" w:rsidRDefault="003E5C01" w:rsidP="003E5C01">
            <w:pPr>
              <w:jc w:val="center"/>
              <w:rPr>
                <w:rFonts w:ascii="Arial" w:hAnsi="Arial" w:cs="Arial"/>
              </w:rPr>
            </w:pPr>
            <w:r w:rsidRPr="003E5C01">
              <w:rPr>
                <w:rFonts w:ascii="Arial" w:hAnsi="Arial" w:cs="Arial"/>
                <w:color w:val="000000"/>
                <w:lang w:eastAsia="fr-FR"/>
              </w:rPr>
              <w:t>37,23</w:t>
            </w:r>
          </w:p>
        </w:tc>
      </w:tr>
      <w:tr w:rsidR="003E5C01" w:rsidRPr="003E5C01" w14:paraId="33269187" w14:textId="77777777" w:rsidTr="008C6B8B">
        <w:trPr>
          <w:jc w:val="center"/>
        </w:trPr>
        <w:tc>
          <w:tcPr>
            <w:tcW w:w="472" w:type="dxa"/>
            <w:tcBorders>
              <w:top w:val="nil"/>
              <w:bottom w:val="nil"/>
            </w:tcBorders>
          </w:tcPr>
          <w:p w14:paraId="2CAE8D00" w14:textId="77777777" w:rsidR="003E5C01" w:rsidRPr="003E5C01" w:rsidRDefault="003E5C01" w:rsidP="003E5C01">
            <w:pPr>
              <w:jc w:val="both"/>
              <w:rPr>
                <w:rFonts w:ascii="Arial" w:hAnsi="Arial" w:cs="Arial"/>
              </w:rPr>
            </w:pPr>
            <w:r w:rsidRPr="003E5C01">
              <w:rPr>
                <w:rFonts w:ascii="Arial" w:hAnsi="Arial" w:cs="Arial"/>
              </w:rPr>
              <w:t>3</w:t>
            </w:r>
          </w:p>
        </w:tc>
        <w:tc>
          <w:tcPr>
            <w:tcW w:w="2239" w:type="dxa"/>
            <w:tcBorders>
              <w:top w:val="nil"/>
              <w:bottom w:val="nil"/>
            </w:tcBorders>
          </w:tcPr>
          <w:p w14:paraId="3F6404C1" w14:textId="3E7B7528" w:rsidR="003E5C01" w:rsidRPr="003E5C01" w:rsidRDefault="003E5C01" w:rsidP="003E5C01">
            <w:pPr>
              <w:jc w:val="both"/>
              <w:rPr>
                <w:rFonts w:ascii="Arial" w:hAnsi="Arial" w:cs="Arial"/>
              </w:rPr>
            </w:pPr>
            <w:proofErr w:type="spellStart"/>
            <w:r w:rsidRPr="003E5C01">
              <w:rPr>
                <w:rFonts w:ascii="Arial" w:hAnsi="Arial" w:cs="Arial"/>
              </w:rPr>
              <w:t>Verbenaceae</w:t>
            </w:r>
            <w:proofErr w:type="spellEnd"/>
          </w:p>
        </w:tc>
        <w:tc>
          <w:tcPr>
            <w:tcW w:w="1031" w:type="dxa"/>
            <w:tcBorders>
              <w:top w:val="nil"/>
              <w:left w:val="nil"/>
              <w:bottom w:val="nil"/>
              <w:right w:val="nil"/>
            </w:tcBorders>
            <w:vAlign w:val="center"/>
          </w:tcPr>
          <w:p w14:paraId="7B172C16" w14:textId="120FE288" w:rsidR="003E5C01" w:rsidRPr="003E5C01" w:rsidRDefault="003E5C01" w:rsidP="003E5C01">
            <w:pPr>
              <w:jc w:val="center"/>
              <w:rPr>
                <w:rFonts w:ascii="Arial" w:hAnsi="Arial" w:cs="Arial"/>
              </w:rPr>
            </w:pPr>
            <w:r w:rsidRPr="003E5C01">
              <w:rPr>
                <w:rFonts w:ascii="Arial" w:hAnsi="Arial" w:cs="Arial"/>
                <w:color w:val="000000"/>
              </w:rPr>
              <w:t>11,31</w:t>
            </w:r>
          </w:p>
        </w:tc>
        <w:tc>
          <w:tcPr>
            <w:tcW w:w="1080" w:type="dxa"/>
            <w:tcBorders>
              <w:top w:val="nil"/>
              <w:left w:val="nil"/>
              <w:bottom w:val="nil"/>
              <w:right w:val="nil"/>
            </w:tcBorders>
            <w:vAlign w:val="center"/>
          </w:tcPr>
          <w:p w14:paraId="43034F3D" w14:textId="067227B2" w:rsidR="003E5C01" w:rsidRPr="003E5C01" w:rsidRDefault="003E5C01" w:rsidP="003E5C01">
            <w:pPr>
              <w:jc w:val="center"/>
              <w:rPr>
                <w:rFonts w:ascii="Arial" w:hAnsi="Arial" w:cs="Arial"/>
              </w:rPr>
            </w:pPr>
            <w:r w:rsidRPr="003E5C01">
              <w:rPr>
                <w:rFonts w:ascii="Arial" w:hAnsi="Arial" w:cs="Arial"/>
                <w:color w:val="000000"/>
              </w:rPr>
              <w:t>15,95</w:t>
            </w:r>
          </w:p>
        </w:tc>
        <w:tc>
          <w:tcPr>
            <w:tcW w:w="1075" w:type="dxa"/>
            <w:tcBorders>
              <w:top w:val="nil"/>
              <w:left w:val="nil"/>
              <w:bottom w:val="nil"/>
              <w:right w:val="nil"/>
            </w:tcBorders>
            <w:vAlign w:val="center"/>
          </w:tcPr>
          <w:p w14:paraId="7103ABC0" w14:textId="6469808E" w:rsidR="003E5C01" w:rsidRPr="003E5C01" w:rsidRDefault="003E5C01" w:rsidP="003E5C01">
            <w:pPr>
              <w:jc w:val="center"/>
              <w:rPr>
                <w:rFonts w:ascii="Arial" w:hAnsi="Arial" w:cs="Arial"/>
              </w:rPr>
            </w:pPr>
            <w:r w:rsidRPr="003E5C01">
              <w:rPr>
                <w:rFonts w:ascii="Arial" w:hAnsi="Arial" w:cs="Arial"/>
                <w:color w:val="000000"/>
              </w:rPr>
              <w:t>7,14</w:t>
            </w:r>
          </w:p>
        </w:tc>
        <w:tc>
          <w:tcPr>
            <w:tcW w:w="1040" w:type="dxa"/>
            <w:tcBorders>
              <w:top w:val="nil"/>
              <w:left w:val="nil"/>
              <w:bottom w:val="nil"/>
              <w:right w:val="nil"/>
            </w:tcBorders>
            <w:vAlign w:val="center"/>
          </w:tcPr>
          <w:p w14:paraId="34E0E7BA" w14:textId="3E75B005" w:rsidR="003E5C01" w:rsidRPr="003E5C01" w:rsidRDefault="003E5C01" w:rsidP="003E5C01">
            <w:pPr>
              <w:jc w:val="center"/>
              <w:rPr>
                <w:rFonts w:ascii="Arial" w:hAnsi="Arial" w:cs="Arial"/>
              </w:rPr>
            </w:pPr>
            <w:r w:rsidRPr="003E5C01">
              <w:rPr>
                <w:rFonts w:ascii="Arial" w:hAnsi="Arial" w:cs="Arial"/>
                <w:color w:val="000000"/>
                <w:lang w:eastAsia="fr-FR"/>
              </w:rPr>
              <w:t>34,40</w:t>
            </w:r>
          </w:p>
        </w:tc>
      </w:tr>
      <w:tr w:rsidR="003E5C01" w:rsidRPr="003E5C01" w14:paraId="1AE9EF67" w14:textId="77777777" w:rsidTr="008C6B8B">
        <w:trPr>
          <w:jc w:val="center"/>
        </w:trPr>
        <w:tc>
          <w:tcPr>
            <w:tcW w:w="472" w:type="dxa"/>
            <w:tcBorders>
              <w:top w:val="nil"/>
              <w:bottom w:val="nil"/>
            </w:tcBorders>
          </w:tcPr>
          <w:p w14:paraId="69A9C267" w14:textId="77777777" w:rsidR="003E5C01" w:rsidRPr="003E5C01" w:rsidRDefault="003E5C01" w:rsidP="003E5C01">
            <w:pPr>
              <w:jc w:val="both"/>
              <w:rPr>
                <w:rFonts w:ascii="Arial" w:hAnsi="Arial" w:cs="Arial"/>
              </w:rPr>
            </w:pPr>
            <w:r w:rsidRPr="003E5C01">
              <w:rPr>
                <w:rFonts w:ascii="Arial" w:hAnsi="Arial" w:cs="Arial"/>
              </w:rPr>
              <w:t>4</w:t>
            </w:r>
          </w:p>
        </w:tc>
        <w:tc>
          <w:tcPr>
            <w:tcW w:w="2239" w:type="dxa"/>
            <w:tcBorders>
              <w:top w:val="nil"/>
              <w:bottom w:val="nil"/>
            </w:tcBorders>
          </w:tcPr>
          <w:p w14:paraId="3093EBDF" w14:textId="78568BB4" w:rsidR="003E5C01" w:rsidRPr="003E5C01" w:rsidRDefault="003E5C01" w:rsidP="003E5C01">
            <w:pPr>
              <w:jc w:val="both"/>
              <w:rPr>
                <w:rFonts w:ascii="Arial" w:hAnsi="Arial" w:cs="Arial"/>
              </w:rPr>
            </w:pPr>
            <w:proofErr w:type="spellStart"/>
            <w:r w:rsidRPr="003E5C01">
              <w:rPr>
                <w:rFonts w:ascii="Arial" w:hAnsi="Arial" w:cs="Arial"/>
              </w:rPr>
              <w:t>Malvaceae</w:t>
            </w:r>
            <w:proofErr w:type="spellEnd"/>
          </w:p>
        </w:tc>
        <w:tc>
          <w:tcPr>
            <w:tcW w:w="1031" w:type="dxa"/>
            <w:tcBorders>
              <w:top w:val="nil"/>
              <w:left w:val="nil"/>
              <w:bottom w:val="nil"/>
              <w:right w:val="nil"/>
            </w:tcBorders>
            <w:vAlign w:val="center"/>
          </w:tcPr>
          <w:p w14:paraId="35CC868E" w14:textId="43EE731A" w:rsidR="003E5C01" w:rsidRPr="003E5C01" w:rsidRDefault="003E5C01" w:rsidP="003E5C01">
            <w:pPr>
              <w:jc w:val="center"/>
              <w:rPr>
                <w:rFonts w:ascii="Arial" w:hAnsi="Arial" w:cs="Arial"/>
              </w:rPr>
            </w:pPr>
            <w:r w:rsidRPr="003E5C01">
              <w:rPr>
                <w:rFonts w:ascii="Arial" w:hAnsi="Arial" w:cs="Arial"/>
                <w:color w:val="000000"/>
              </w:rPr>
              <w:t>2,58</w:t>
            </w:r>
          </w:p>
        </w:tc>
        <w:tc>
          <w:tcPr>
            <w:tcW w:w="1080" w:type="dxa"/>
            <w:tcBorders>
              <w:top w:val="nil"/>
              <w:left w:val="nil"/>
              <w:bottom w:val="nil"/>
              <w:right w:val="nil"/>
            </w:tcBorders>
            <w:vAlign w:val="center"/>
          </w:tcPr>
          <w:p w14:paraId="0252C670" w14:textId="2DC28AA2" w:rsidR="003E5C01" w:rsidRPr="003E5C01" w:rsidRDefault="003E5C01" w:rsidP="003E5C01">
            <w:pPr>
              <w:jc w:val="center"/>
              <w:rPr>
                <w:rFonts w:ascii="Arial" w:hAnsi="Arial" w:cs="Arial"/>
              </w:rPr>
            </w:pPr>
            <w:r w:rsidRPr="003E5C01">
              <w:rPr>
                <w:rFonts w:ascii="Arial" w:hAnsi="Arial" w:cs="Arial"/>
                <w:color w:val="000000"/>
              </w:rPr>
              <w:t>17,51</w:t>
            </w:r>
          </w:p>
        </w:tc>
        <w:tc>
          <w:tcPr>
            <w:tcW w:w="1075" w:type="dxa"/>
            <w:tcBorders>
              <w:top w:val="nil"/>
              <w:left w:val="nil"/>
              <w:bottom w:val="nil"/>
              <w:right w:val="nil"/>
            </w:tcBorders>
            <w:vAlign w:val="center"/>
          </w:tcPr>
          <w:p w14:paraId="3C9369CA" w14:textId="1B4D28B1" w:rsidR="003E5C01" w:rsidRPr="003E5C01" w:rsidRDefault="003E5C01" w:rsidP="003E5C01">
            <w:pPr>
              <w:jc w:val="center"/>
              <w:rPr>
                <w:rFonts w:ascii="Arial" w:hAnsi="Arial" w:cs="Arial"/>
              </w:rPr>
            </w:pPr>
            <w:r w:rsidRPr="003E5C01">
              <w:rPr>
                <w:rFonts w:ascii="Arial" w:hAnsi="Arial" w:cs="Arial"/>
                <w:color w:val="000000"/>
              </w:rPr>
              <w:t>5,36</w:t>
            </w:r>
          </w:p>
        </w:tc>
        <w:tc>
          <w:tcPr>
            <w:tcW w:w="1040" w:type="dxa"/>
            <w:tcBorders>
              <w:top w:val="nil"/>
              <w:left w:val="nil"/>
              <w:bottom w:val="nil"/>
              <w:right w:val="nil"/>
            </w:tcBorders>
            <w:vAlign w:val="center"/>
          </w:tcPr>
          <w:p w14:paraId="7E4E3F93" w14:textId="7A1EDED8" w:rsidR="003E5C01" w:rsidRPr="003E5C01" w:rsidRDefault="003E5C01" w:rsidP="003E5C01">
            <w:pPr>
              <w:jc w:val="center"/>
              <w:rPr>
                <w:rFonts w:ascii="Arial" w:hAnsi="Arial" w:cs="Arial"/>
              </w:rPr>
            </w:pPr>
            <w:r w:rsidRPr="003E5C01">
              <w:rPr>
                <w:rFonts w:ascii="Arial" w:hAnsi="Arial" w:cs="Arial"/>
                <w:color w:val="000000"/>
                <w:lang w:eastAsia="fr-FR"/>
              </w:rPr>
              <w:t>25,44</w:t>
            </w:r>
          </w:p>
        </w:tc>
      </w:tr>
      <w:tr w:rsidR="003E5C01" w:rsidRPr="003E5C01" w14:paraId="1E063C5B" w14:textId="77777777" w:rsidTr="008C6B8B">
        <w:trPr>
          <w:jc w:val="center"/>
        </w:trPr>
        <w:tc>
          <w:tcPr>
            <w:tcW w:w="472" w:type="dxa"/>
            <w:tcBorders>
              <w:top w:val="nil"/>
              <w:bottom w:val="nil"/>
            </w:tcBorders>
          </w:tcPr>
          <w:p w14:paraId="1B9205C8" w14:textId="77777777" w:rsidR="003E5C01" w:rsidRPr="003E5C01" w:rsidRDefault="003E5C01" w:rsidP="003E5C01">
            <w:pPr>
              <w:jc w:val="both"/>
              <w:rPr>
                <w:rFonts w:ascii="Arial" w:hAnsi="Arial" w:cs="Arial"/>
              </w:rPr>
            </w:pPr>
            <w:r w:rsidRPr="003E5C01">
              <w:rPr>
                <w:rFonts w:ascii="Arial" w:hAnsi="Arial" w:cs="Arial"/>
              </w:rPr>
              <w:t>5</w:t>
            </w:r>
          </w:p>
        </w:tc>
        <w:tc>
          <w:tcPr>
            <w:tcW w:w="2239" w:type="dxa"/>
            <w:tcBorders>
              <w:top w:val="nil"/>
              <w:bottom w:val="nil"/>
            </w:tcBorders>
          </w:tcPr>
          <w:p w14:paraId="4BF48872" w14:textId="18175449" w:rsidR="003E5C01" w:rsidRPr="003E5C01" w:rsidRDefault="003E5C01" w:rsidP="003E5C01">
            <w:pPr>
              <w:jc w:val="both"/>
              <w:rPr>
                <w:rFonts w:ascii="Arial" w:hAnsi="Arial" w:cs="Arial"/>
              </w:rPr>
            </w:pPr>
            <w:proofErr w:type="spellStart"/>
            <w:r w:rsidRPr="003E5C01">
              <w:rPr>
                <w:rFonts w:ascii="Arial" w:hAnsi="Arial" w:cs="Arial"/>
              </w:rPr>
              <w:t>Moraceae</w:t>
            </w:r>
            <w:proofErr w:type="spellEnd"/>
          </w:p>
        </w:tc>
        <w:tc>
          <w:tcPr>
            <w:tcW w:w="1031" w:type="dxa"/>
            <w:tcBorders>
              <w:top w:val="nil"/>
              <w:left w:val="nil"/>
              <w:bottom w:val="nil"/>
              <w:right w:val="nil"/>
            </w:tcBorders>
            <w:vAlign w:val="center"/>
          </w:tcPr>
          <w:p w14:paraId="7F235F7E" w14:textId="0D580ECA" w:rsidR="003E5C01" w:rsidRPr="003E5C01" w:rsidRDefault="003E5C01" w:rsidP="003E5C01">
            <w:pPr>
              <w:jc w:val="center"/>
              <w:rPr>
                <w:rFonts w:ascii="Arial" w:hAnsi="Arial" w:cs="Arial"/>
              </w:rPr>
            </w:pPr>
            <w:r w:rsidRPr="003E5C01">
              <w:rPr>
                <w:rFonts w:ascii="Arial" w:hAnsi="Arial" w:cs="Arial"/>
                <w:color w:val="000000"/>
              </w:rPr>
              <w:t>2,33</w:t>
            </w:r>
          </w:p>
        </w:tc>
        <w:tc>
          <w:tcPr>
            <w:tcW w:w="1080" w:type="dxa"/>
            <w:tcBorders>
              <w:top w:val="nil"/>
              <w:left w:val="nil"/>
              <w:bottom w:val="nil"/>
              <w:right w:val="nil"/>
            </w:tcBorders>
            <w:vAlign w:val="center"/>
          </w:tcPr>
          <w:p w14:paraId="0B135C10" w14:textId="063C1ADA" w:rsidR="003E5C01" w:rsidRPr="003E5C01" w:rsidRDefault="003E5C01" w:rsidP="003E5C01">
            <w:pPr>
              <w:jc w:val="center"/>
              <w:rPr>
                <w:rFonts w:ascii="Arial" w:hAnsi="Arial" w:cs="Arial"/>
              </w:rPr>
            </w:pPr>
            <w:r w:rsidRPr="003E5C01">
              <w:rPr>
                <w:rFonts w:ascii="Arial" w:hAnsi="Arial" w:cs="Arial"/>
                <w:color w:val="000000"/>
              </w:rPr>
              <w:t>3,72</w:t>
            </w:r>
          </w:p>
        </w:tc>
        <w:tc>
          <w:tcPr>
            <w:tcW w:w="1075" w:type="dxa"/>
            <w:tcBorders>
              <w:top w:val="nil"/>
              <w:left w:val="nil"/>
              <w:bottom w:val="nil"/>
              <w:right w:val="nil"/>
            </w:tcBorders>
            <w:vAlign w:val="center"/>
          </w:tcPr>
          <w:p w14:paraId="00BF8BE3" w14:textId="4ADECAE7" w:rsidR="003E5C01" w:rsidRPr="003E5C01" w:rsidRDefault="003E5C01" w:rsidP="003E5C01">
            <w:pPr>
              <w:jc w:val="center"/>
              <w:rPr>
                <w:rFonts w:ascii="Arial" w:hAnsi="Arial" w:cs="Arial"/>
              </w:rPr>
            </w:pPr>
            <w:r w:rsidRPr="003E5C01">
              <w:rPr>
                <w:rFonts w:ascii="Arial" w:hAnsi="Arial" w:cs="Arial"/>
                <w:color w:val="000000"/>
              </w:rPr>
              <w:t>14,29</w:t>
            </w:r>
          </w:p>
        </w:tc>
        <w:tc>
          <w:tcPr>
            <w:tcW w:w="1040" w:type="dxa"/>
            <w:tcBorders>
              <w:top w:val="nil"/>
              <w:left w:val="nil"/>
              <w:bottom w:val="nil"/>
              <w:right w:val="nil"/>
            </w:tcBorders>
            <w:vAlign w:val="center"/>
          </w:tcPr>
          <w:p w14:paraId="4F662E2C" w14:textId="601AD21D" w:rsidR="003E5C01" w:rsidRPr="003E5C01" w:rsidRDefault="003E5C01" w:rsidP="003E5C01">
            <w:pPr>
              <w:jc w:val="center"/>
              <w:rPr>
                <w:rFonts w:ascii="Arial" w:hAnsi="Arial" w:cs="Arial"/>
              </w:rPr>
            </w:pPr>
            <w:r w:rsidRPr="003E5C01">
              <w:rPr>
                <w:rFonts w:ascii="Arial" w:hAnsi="Arial" w:cs="Arial"/>
                <w:color w:val="000000"/>
                <w:lang w:eastAsia="fr-FR"/>
              </w:rPr>
              <w:t>20,34</w:t>
            </w:r>
          </w:p>
        </w:tc>
      </w:tr>
      <w:tr w:rsidR="008C6B8B" w:rsidRPr="003E5C01" w14:paraId="51697B47" w14:textId="77777777" w:rsidTr="008C6B8B">
        <w:trPr>
          <w:jc w:val="center"/>
        </w:trPr>
        <w:tc>
          <w:tcPr>
            <w:tcW w:w="472" w:type="dxa"/>
            <w:tcBorders>
              <w:top w:val="nil"/>
              <w:bottom w:val="nil"/>
            </w:tcBorders>
          </w:tcPr>
          <w:p w14:paraId="7046435A" w14:textId="77777777" w:rsidR="003E5C01" w:rsidRPr="003E5C01" w:rsidRDefault="003E5C01" w:rsidP="003E5C01">
            <w:pPr>
              <w:jc w:val="both"/>
              <w:rPr>
                <w:rFonts w:ascii="Arial" w:hAnsi="Arial" w:cs="Arial"/>
              </w:rPr>
            </w:pPr>
            <w:r w:rsidRPr="003E5C01">
              <w:rPr>
                <w:rFonts w:ascii="Arial" w:hAnsi="Arial" w:cs="Arial"/>
              </w:rPr>
              <w:t>6</w:t>
            </w:r>
          </w:p>
        </w:tc>
        <w:tc>
          <w:tcPr>
            <w:tcW w:w="2239" w:type="dxa"/>
            <w:tcBorders>
              <w:top w:val="nil"/>
              <w:bottom w:val="nil"/>
            </w:tcBorders>
          </w:tcPr>
          <w:p w14:paraId="5292BACC" w14:textId="1D2B6CC9" w:rsidR="003E5C01" w:rsidRPr="003E5C01" w:rsidRDefault="003E5C01" w:rsidP="003E5C01">
            <w:pPr>
              <w:jc w:val="both"/>
              <w:rPr>
                <w:rFonts w:ascii="Arial" w:hAnsi="Arial" w:cs="Arial"/>
              </w:rPr>
            </w:pPr>
            <w:proofErr w:type="spellStart"/>
            <w:r w:rsidRPr="003E5C01">
              <w:rPr>
                <w:rFonts w:ascii="Arial" w:hAnsi="Arial" w:cs="Arial"/>
              </w:rPr>
              <w:t>Combretaceae</w:t>
            </w:r>
            <w:proofErr w:type="spellEnd"/>
          </w:p>
        </w:tc>
        <w:tc>
          <w:tcPr>
            <w:tcW w:w="1031" w:type="dxa"/>
            <w:tcBorders>
              <w:top w:val="nil"/>
              <w:left w:val="nil"/>
              <w:bottom w:val="nil"/>
              <w:right w:val="nil"/>
            </w:tcBorders>
            <w:vAlign w:val="center"/>
          </w:tcPr>
          <w:p w14:paraId="6214FB8D" w14:textId="7FFB8656" w:rsidR="003E5C01" w:rsidRPr="003E5C01" w:rsidRDefault="003E5C01" w:rsidP="003E5C01">
            <w:pPr>
              <w:jc w:val="center"/>
              <w:rPr>
                <w:rFonts w:ascii="Arial" w:hAnsi="Arial" w:cs="Arial"/>
              </w:rPr>
            </w:pPr>
            <w:r w:rsidRPr="003E5C01">
              <w:rPr>
                <w:rFonts w:ascii="Arial" w:hAnsi="Arial" w:cs="Arial"/>
                <w:color w:val="000000"/>
              </w:rPr>
              <w:t>2,50</w:t>
            </w:r>
          </w:p>
        </w:tc>
        <w:tc>
          <w:tcPr>
            <w:tcW w:w="1080" w:type="dxa"/>
            <w:tcBorders>
              <w:top w:val="nil"/>
              <w:left w:val="nil"/>
              <w:bottom w:val="nil"/>
              <w:right w:val="nil"/>
            </w:tcBorders>
            <w:vAlign w:val="center"/>
          </w:tcPr>
          <w:p w14:paraId="5A032916" w14:textId="6F5D8F58" w:rsidR="003E5C01" w:rsidRPr="003E5C01" w:rsidRDefault="003E5C01" w:rsidP="003E5C01">
            <w:pPr>
              <w:jc w:val="center"/>
              <w:rPr>
                <w:rFonts w:ascii="Arial" w:hAnsi="Arial" w:cs="Arial"/>
              </w:rPr>
            </w:pPr>
            <w:r w:rsidRPr="003E5C01">
              <w:rPr>
                <w:rFonts w:ascii="Arial" w:hAnsi="Arial" w:cs="Arial"/>
                <w:color w:val="000000"/>
              </w:rPr>
              <w:t>3,07</w:t>
            </w:r>
          </w:p>
        </w:tc>
        <w:tc>
          <w:tcPr>
            <w:tcW w:w="1075" w:type="dxa"/>
            <w:tcBorders>
              <w:top w:val="nil"/>
              <w:left w:val="nil"/>
              <w:bottom w:val="nil"/>
              <w:right w:val="nil"/>
            </w:tcBorders>
            <w:vAlign w:val="center"/>
          </w:tcPr>
          <w:p w14:paraId="464C1B2A" w14:textId="735117C7" w:rsidR="003E5C01" w:rsidRPr="003E5C01" w:rsidRDefault="003E5C01" w:rsidP="003E5C01">
            <w:pPr>
              <w:jc w:val="center"/>
              <w:rPr>
                <w:rFonts w:ascii="Arial" w:hAnsi="Arial" w:cs="Arial"/>
              </w:rPr>
            </w:pPr>
            <w:r w:rsidRPr="003E5C01">
              <w:rPr>
                <w:rFonts w:ascii="Arial" w:hAnsi="Arial" w:cs="Arial"/>
                <w:color w:val="000000"/>
              </w:rPr>
              <w:t>7,14</w:t>
            </w:r>
          </w:p>
        </w:tc>
        <w:tc>
          <w:tcPr>
            <w:tcW w:w="1040" w:type="dxa"/>
            <w:tcBorders>
              <w:top w:val="nil"/>
              <w:left w:val="nil"/>
              <w:bottom w:val="nil"/>
              <w:right w:val="nil"/>
            </w:tcBorders>
            <w:vAlign w:val="center"/>
          </w:tcPr>
          <w:p w14:paraId="70BB02DB" w14:textId="090A3464" w:rsidR="003E5C01" w:rsidRPr="003E5C01" w:rsidRDefault="003E5C01" w:rsidP="003E5C01">
            <w:pPr>
              <w:jc w:val="center"/>
              <w:rPr>
                <w:rFonts w:ascii="Arial" w:hAnsi="Arial" w:cs="Arial"/>
              </w:rPr>
            </w:pPr>
            <w:r w:rsidRPr="003E5C01">
              <w:rPr>
                <w:rFonts w:ascii="Arial" w:hAnsi="Arial" w:cs="Arial"/>
                <w:color w:val="000000"/>
                <w:lang w:eastAsia="fr-FR"/>
              </w:rPr>
              <w:t>12,71</w:t>
            </w:r>
          </w:p>
        </w:tc>
      </w:tr>
      <w:tr w:rsidR="003E5C01" w:rsidRPr="003E5C01" w14:paraId="491F6056" w14:textId="77777777" w:rsidTr="008C6B8B">
        <w:trPr>
          <w:jc w:val="center"/>
        </w:trPr>
        <w:tc>
          <w:tcPr>
            <w:tcW w:w="472" w:type="dxa"/>
            <w:tcBorders>
              <w:top w:val="nil"/>
              <w:bottom w:val="single" w:sz="4" w:space="0" w:color="auto"/>
            </w:tcBorders>
          </w:tcPr>
          <w:p w14:paraId="429CBE8F" w14:textId="6A760AC0" w:rsidR="003E5C01" w:rsidRPr="003E5C01" w:rsidRDefault="003E5C01" w:rsidP="003E5C01">
            <w:pPr>
              <w:jc w:val="both"/>
              <w:rPr>
                <w:rFonts w:ascii="Arial" w:hAnsi="Arial" w:cs="Arial"/>
              </w:rPr>
            </w:pPr>
            <w:r w:rsidRPr="003E5C01">
              <w:rPr>
                <w:rFonts w:ascii="Arial" w:hAnsi="Arial" w:cs="Arial"/>
              </w:rPr>
              <w:t>7</w:t>
            </w:r>
          </w:p>
        </w:tc>
        <w:tc>
          <w:tcPr>
            <w:tcW w:w="2239" w:type="dxa"/>
            <w:tcBorders>
              <w:top w:val="nil"/>
              <w:bottom w:val="single" w:sz="4" w:space="0" w:color="auto"/>
            </w:tcBorders>
          </w:tcPr>
          <w:p w14:paraId="12473C09" w14:textId="78E98B48" w:rsidR="003E5C01" w:rsidRPr="003E5C01" w:rsidRDefault="003E5C01" w:rsidP="003E5C01">
            <w:pPr>
              <w:jc w:val="both"/>
              <w:rPr>
                <w:rFonts w:ascii="Arial" w:hAnsi="Arial" w:cs="Arial"/>
              </w:rPr>
            </w:pPr>
            <w:proofErr w:type="spellStart"/>
            <w:r w:rsidRPr="003E5C01">
              <w:rPr>
                <w:rFonts w:ascii="Arial" w:hAnsi="Arial" w:cs="Arial"/>
              </w:rPr>
              <w:t>Anacardiaceae</w:t>
            </w:r>
            <w:proofErr w:type="spellEnd"/>
          </w:p>
        </w:tc>
        <w:tc>
          <w:tcPr>
            <w:tcW w:w="1031" w:type="dxa"/>
            <w:tcBorders>
              <w:top w:val="nil"/>
              <w:left w:val="nil"/>
              <w:bottom w:val="single" w:sz="4" w:space="0" w:color="auto"/>
              <w:right w:val="nil"/>
            </w:tcBorders>
            <w:vAlign w:val="center"/>
          </w:tcPr>
          <w:p w14:paraId="51D6CEB4" w14:textId="6788A6FC" w:rsidR="003E5C01" w:rsidRPr="003E5C01" w:rsidRDefault="003E5C01" w:rsidP="003E5C01">
            <w:pPr>
              <w:jc w:val="center"/>
              <w:rPr>
                <w:rFonts w:ascii="Arial" w:hAnsi="Arial" w:cs="Arial"/>
              </w:rPr>
            </w:pPr>
            <w:r w:rsidRPr="003E5C01">
              <w:rPr>
                <w:rFonts w:ascii="Arial" w:hAnsi="Arial" w:cs="Arial"/>
                <w:color w:val="000000"/>
              </w:rPr>
              <w:t>2,41</w:t>
            </w:r>
          </w:p>
        </w:tc>
        <w:tc>
          <w:tcPr>
            <w:tcW w:w="1080" w:type="dxa"/>
            <w:tcBorders>
              <w:top w:val="nil"/>
              <w:left w:val="nil"/>
              <w:bottom w:val="single" w:sz="4" w:space="0" w:color="auto"/>
              <w:right w:val="nil"/>
            </w:tcBorders>
            <w:vAlign w:val="center"/>
          </w:tcPr>
          <w:p w14:paraId="38C4BA64" w14:textId="007AF668" w:rsidR="003E5C01" w:rsidRPr="003E5C01" w:rsidRDefault="003E5C01" w:rsidP="003E5C01">
            <w:pPr>
              <w:jc w:val="center"/>
              <w:rPr>
                <w:rFonts w:ascii="Arial" w:hAnsi="Arial" w:cs="Arial"/>
              </w:rPr>
            </w:pPr>
            <w:r w:rsidRPr="003E5C01">
              <w:rPr>
                <w:rFonts w:ascii="Arial" w:hAnsi="Arial" w:cs="Arial"/>
                <w:color w:val="000000"/>
              </w:rPr>
              <w:t>4,56</w:t>
            </w:r>
          </w:p>
        </w:tc>
        <w:tc>
          <w:tcPr>
            <w:tcW w:w="1075" w:type="dxa"/>
            <w:tcBorders>
              <w:top w:val="nil"/>
              <w:left w:val="nil"/>
              <w:bottom w:val="single" w:sz="4" w:space="0" w:color="auto"/>
              <w:right w:val="nil"/>
            </w:tcBorders>
            <w:vAlign w:val="center"/>
          </w:tcPr>
          <w:p w14:paraId="6E2F507D" w14:textId="084B93A1" w:rsidR="003E5C01" w:rsidRPr="003E5C01" w:rsidRDefault="003E5C01" w:rsidP="003E5C01">
            <w:pPr>
              <w:jc w:val="center"/>
              <w:rPr>
                <w:rFonts w:ascii="Arial" w:hAnsi="Arial" w:cs="Arial"/>
              </w:rPr>
            </w:pPr>
            <w:r w:rsidRPr="003E5C01">
              <w:rPr>
                <w:rFonts w:ascii="Arial" w:hAnsi="Arial" w:cs="Arial"/>
                <w:color w:val="000000"/>
              </w:rPr>
              <w:t>5,36</w:t>
            </w:r>
          </w:p>
        </w:tc>
        <w:tc>
          <w:tcPr>
            <w:tcW w:w="1040" w:type="dxa"/>
            <w:tcBorders>
              <w:top w:val="nil"/>
              <w:left w:val="nil"/>
              <w:bottom w:val="single" w:sz="4" w:space="0" w:color="auto"/>
              <w:right w:val="nil"/>
            </w:tcBorders>
            <w:vAlign w:val="center"/>
          </w:tcPr>
          <w:p w14:paraId="282FB429" w14:textId="566B4288" w:rsidR="003E5C01" w:rsidRPr="003E5C01" w:rsidRDefault="003E5C01" w:rsidP="003E5C01">
            <w:pPr>
              <w:jc w:val="center"/>
              <w:rPr>
                <w:rFonts w:ascii="Arial" w:hAnsi="Arial" w:cs="Arial"/>
              </w:rPr>
            </w:pPr>
            <w:r w:rsidRPr="003E5C01">
              <w:rPr>
                <w:rFonts w:ascii="Arial" w:hAnsi="Arial" w:cs="Arial"/>
                <w:color w:val="000000"/>
                <w:lang w:eastAsia="fr-FR"/>
              </w:rPr>
              <w:t>12,33</w:t>
            </w:r>
          </w:p>
        </w:tc>
      </w:tr>
    </w:tbl>
    <w:p w14:paraId="17E67244" w14:textId="77777777" w:rsidR="00D74637" w:rsidRPr="003E5C01" w:rsidRDefault="00D74637" w:rsidP="00441B6F">
      <w:pPr>
        <w:jc w:val="both"/>
        <w:rPr>
          <w:rFonts w:ascii="Arial" w:hAnsi="Arial" w:cs="Arial"/>
          <w:u w:val="single"/>
          <w:lang w:val="en-GB" w:eastAsia="en-GB"/>
        </w:rPr>
      </w:pPr>
    </w:p>
    <w:p w14:paraId="389C54E1" w14:textId="1EF011E2" w:rsidR="005B3FEF" w:rsidRDefault="005B3FEF" w:rsidP="005B3FEF">
      <w:pPr>
        <w:spacing w:before="240"/>
        <w:jc w:val="both"/>
        <w:rPr>
          <w:rFonts w:ascii="Arial" w:hAnsi="Arial" w:cs="Arial"/>
          <w:u w:val="single"/>
          <w:lang w:val="en-GB" w:eastAsia="en-GB"/>
        </w:rPr>
      </w:pPr>
      <w:r w:rsidRPr="003E5C01">
        <w:rPr>
          <w:rFonts w:ascii="Arial" w:hAnsi="Arial" w:cs="Arial"/>
          <w:b/>
          <w:bCs/>
          <w:sz w:val="22"/>
          <w:szCs w:val="22"/>
        </w:rPr>
        <w:t xml:space="preserve">3.3. Conservation value of </w:t>
      </w:r>
      <w:proofErr w:type="spellStart"/>
      <w:r w:rsidRPr="003E5C01">
        <w:rPr>
          <w:rFonts w:ascii="Arial" w:hAnsi="Arial" w:cs="Arial"/>
          <w:b/>
          <w:bCs/>
          <w:sz w:val="22"/>
          <w:szCs w:val="22"/>
        </w:rPr>
        <w:t>phytodiversity</w:t>
      </w:r>
      <w:proofErr w:type="spellEnd"/>
    </w:p>
    <w:p w14:paraId="65555510" w14:textId="77777777" w:rsidR="005B3FEF" w:rsidRDefault="005B3FEF" w:rsidP="00441B6F">
      <w:pPr>
        <w:jc w:val="both"/>
        <w:rPr>
          <w:rFonts w:ascii="Arial" w:hAnsi="Arial" w:cs="Arial"/>
          <w:u w:val="single"/>
          <w:lang w:val="en-GB" w:eastAsia="en-GB"/>
        </w:rPr>
      </w:pPr>
    </w:p>
    <w:p w14:paraId="1596474C" w14:textId="6ABD8BC7" w:rsidR="005B3FEF" w:rsidRPr="005B3FEF" w:rsidRDefault="005B3FEF" w:rsidP="005B3FEF">
      <w:pPr>
        <w:jc w:val="both"/>
        <w:rPr>
          <w:rFonts w:ascii="Arial" w:hAnsi="Arial" w:cs="Arial"/>
          <w:lang w:eastAsia="en-GB"/>
        </w:rPr>
      </w:pPr>
      <w:r w:rsidRPr="005B3FEF">
        <w:rPr>
          <w:rFonts w:ascii="Arial" w:hAnsi="Arial" w:cs="Arial"/>
          <w:lang w:eastAsia="en-GB"/>
        </w:rPr>
        <w:t xml:space="preserve">The analysis of the general list of recorded species reveals </w:t>
      </w:r>
      <w:r w:rsidR="008C6B8B" w:rsidRPr="008C6B8B">
        <w:rPr>
          <w:rFonts w:ascii="Arial" w:hAnsi="Arial" w:cs="Arial"/>
          <w:lang w:eastAsia="en-GB"/>
        </w:rPr>
        <w:t>50</w:t>
      </w:r>
      <w:r w:rsidRPr="008C6B8B">
        <w:rPr>
          <w:rFonts w:ascii="Arial" w:hAnsi="Arial" w:cs="Arial"/>
          <w:lang w:eastAsia="en-GB"/>
        </w:rPr>
        <w:t xml:space="preserve"> species</w:t>
      </w:r>
      <w:r w:rsidRPr="005B3FEF">
        <w:rPr>
          <w:rFonts w:ascii="Arial" w:hAnsi="Arial" w:cs="Arial"/>
          <w:lang w:eastAsia="en-GB"/>
        </w:rPr>
        <w:t xml:space="preserve"> with a particular status or value for the conservation of </w:t>
      </w:r>
      <w:proofErr w:type="spellStart"/>
      <w:r w:rsidRPr="005B3FEF">
        <w:rPr>
          <w:rFonts w:ascii="Arial" w:hAnsi="Arial" w:cs="Arial"/>
          <w:lang w:eastAsia="en-GB"/>
        </w:rPr>
        <w:t>phytodiversity</w:t>
      </w:r>
      <w:proofErr w:type="spellEnd"/>
      <w:r w:rsidR="003951E6">
        <w:rPr>
          <w:rFonts w:ascii="Arial" w:hAnsi="Arial" w:cs="Arial"/>
          <w:lang w:eastAsia="en-GB"/>
        </w:rPr>
        <w:t xml:space="preserve"> </w:t>
      </w:r>
      <w:r w:rsidR="003951E6" w:rsidRPr="005B3FEF">
        <w:rPr>
          <w:rFonts w:ascii="Arial" w:hAnsi="Arial" w:cs="Arial"/>
          <w:lang w:eastAsia="en-GB"/>
        </w:rPr>
        <w:t>(</w:t>
      </w:r>
      <w:r w:rsidR="003951E6" w:rsidRPr="003951E6">
        <w:rPr>
          <w:rFonts w:ascii="Arial" w:hAnsi="Arial" w:cs="Arial"/>
          <w:lang w:eastAsia="en-GB"/>
        </w:rPr>
        <w:t>Table 5</w:t>
      </w:r>
      <w:r w:rsidR="003951E6" w:rsidRPr="005B3FEF">
        <w:rPr>
          <w:rFonts w:ascii="Arial" w:hAnsi="Arial" w:cs="Arial"/>
          <w:lang w:eastAsia="en-GB"/>
        </w:rPr>
        <w:t>)</w:t>
      </w:r>
      <w:r w:rsidRPr="005B3FEF">
        <w:rPr>
          <w:rFonts w:ascii="Arial" w:hAnsi="Arial" w:cs="Arial"/>
          <w:lang w:eastAsia="en-GB"/>
        </w:rPr>
        <w:t xml:space="preserve">. These species mainly belong to different categories of the IUCN Red List. 46 species are considered of least concern (LC), including </w:t>
      </w:r>
      <w:r w:rsidRPr="005B3FEF">
        <w:rPr>
          <w:rFonts w:ascii="Arial" w:hAnsi="Arial" w:cs="Arial"/>
          <w:i/>
          <w:iCs/>
          <w:lang w:eastAsia="en-GB"/>
        </w:rPr>
        <w:t xml:space="preserve">Cassia </w:t>
      </w:r>
      <w:proofErr w:type="spellStart"/>
      <w:r w:rsidRPr="005B3FEF">
        <w:rPr>
          <w:rFonts w:ascii="Arial" w:hAnsi="Arial" w:cs="Arial"/>
          <w:i/>
          <w:iCs/>
          <w:lang w:eastAsia="en-GB"/>
        </w:rPr>
        <w:t>javanica</w:t>
      </w:r>
      <w:proofErr w:type="spellEnd"/>
      <w:r w:rsidRPr="005B3FEF">
        <w:rPr>
          <w:rFonts w:ascii="Arial" w:hAnsi="Arial" w:cs="Arial"/>
          <w:lang w:eastAsia="en-GB"/>
        </w:rPr>
        <w:t xml:space="preserve">, </w:t>
      </w:r>
      <w:proofErr w:type="spellStart"/>
      <w:r w:rsidRPr="005B3FEF">
        <w:rPr>
          <w:rFonts w:ascii="Arial" w:hAnsi="Arial" w:cs="Arial"/>
          <w:i/>
          <w:iCs/>
          <w:lang w:eastAsia="en-GB"/>
        </w:rPr>
        <w:t>Delonix</w:t>
      </w:r>
      <w:proofErr w:type="spellEnd"/>
      <w:r w:rsidRPr="005B3FEF">
        <w:rPr>
          <w:rFonts w:ascii="Arial" w:hAnsi="Arial" w:cs="Arial"/>
          <w:i/>
          <w:iCs/>
          <w:lang w:eastAsia="en-GB"/>
        </w:rPr>
        <w:t xml:space="preserve"> regia</w:t>
      </w:r>
      <w:r w:rsidRPr="005B3FEF">
        <w:rPr>
          <w:rFonts w:ascii="Arial" w:hAnsi="Arial" w:cs="Arial"/>
          <w:lang w:eastAsia="en-GB"/>
        </w:rPr>
        <w:t xml:space="preserve">, and </w:t>
      </w:r>
      <w:proofErr w:type="spellStart"/>
      <w:r w:rsidRPr="005B3FEF">
        <w:rPr>
          <w:rFonts w:ascii="Arial" w:hAnsi="Arial" w:cs="Arial"/>
          <w:i/>
          <w:iCs/>
          <w:lang w:eastAsia="en-GB"/>
        </w:rPr>
        <w:t>Stereospermum</w:t>
      </w:r>
      <w:proofErr w:type="spellEnd"/>
      <w:r w:rsidRPr="005B3FEF">
        <w:rPr>
          <w:rFonts w:ascii="Arial" w:hAnsi="Arial" w:cs="Arial"/>
          <w:i/>
          <w:iCs/>
          <w:lang w:eastAsia="en-GB"/>
        </w:rPr>
        <w:t xml:space="preserve"> </w:t>
      </w:r>
      <w:proofErr w:type="spellStart"/>
      <w:r w:rsidRPr="005B3FEF">
        <w:rPr>
          <w:rFonts w:ascii="Arial" w:hAnsi="Arial" w:cs="Arial"/>
          <w:i/>
          <w:iCs/>
          <w:lang w:eastAsia="en-GB"/>
        </w:rPr>
        <w:t>kunthianum</w:t>
      </w:r>
      <w:proofErr w:type="spellEnd"/>
      <w:r w:rsidRPr="005B3FEF">
        <w:rPr>
          <w:rFonts w:ascii="Arial" w:hAnsi="Arial" w:cs="Arial"/>
          <w:lang w:eastAsia="en-GB"/>
        </w:rPr>
        <w:t xml:space="preserve">, which are </w:t>
      </w:r>
      <w:r w:rsidRPr="005B3FEF">
        <w:rPr>
          <w:rFonts w:ascii="Arial" w:hAnsi="Arial" w:cs="Arial"/>
          <w:lang w:eastAsia="en-GB"/>
        </w:rPr>
        <w:lastRenderedPageBreak/>
        <w:t xml:space="preserve">introduced species, and </w:t>
      </w:r>
      <w:proofErr w:type="spellStart"/>
      <w:r w:rsidRPr="005B3FEF">
        <w:rPr>
          <w:rFonts w:ascii="Arial" w:hAnsi="Arial" w:cs="Arial"/>
          <w:i/>
          <w:iCs/>
          <w:lang w:eastAsia="en-GB"/>
        </w:rPr>
        <w:t>Carapa</w:t>
      </w:r>
      <w:proofErr w:type="spellEnd"/>
      <w:r w:rsidRPr="005B3FEF">
        <w:rPr>
          <w:rFonts w:ascii="Arial" w:hAnsi="Arial" w:cs="Arial"/>
          <w:i/>
          <w:iCs/>
          <w:lang w:eastAsia="en-GB"/>
        </w:rPr>
        <w:t xml:space="preserve"> </w:t>
      </w:r>
      <w:proofErr w:type="spellStart"/>
      <w:r w:rsidRPr="005B3FEF">
        <w:rPr>
          <w:rFonts w:ascii="Arial" w:hAnsi="Arial" w:cs="Arial"/>
          <w:i/>
          <w:iCs/>
          <w:lang w:eastAsia="en-GB"/>
        </w:rPr>
        <w:t>procera</w:t>
      </w:r>
      <w:proofErr w:type="spellEnd"/>
      <w:r w:rsidRPr="005B3FEF">
        <w:rPr>
          <w:rFonts w:ascii="Arial" w:hAnsi="Arial" w:cs="Arial"/>
          <w:lang w:eastAsia="en-GB"/>
        </w:rPr>
        <w:t xml:space="preserve">, </w:t>
      </w:r>
      <w:proofErr w:type="spellStart"/>
      <w:r w:rsidRPr="005B3FEF">
        <w:rPr>
          <w:rFonts w:ascii="Arial" w:hAnsi="Arial" w:cs="Arial"/>
          <w:i/>
          <w:iCs/>
          <w:lang w:eastAsia="en-GB"/>
        </w:rPr>
        <w:t>Detarium</w:t>
      </w:r>
      <w:proofErr w:type="spellEnd"/>
      <w:r w:rsidRPr="005B3FEF">
        <w:rPr>
          <w:rFonts w:ascii="Arial" w:hAnsi="Arial" w:cs="Arial"/>
          <w:i/>
          <w:iCs/>
          <w:lang w:eastAsia="en-GB"/>
        </w:rPr>
        <w:t xml:space="preserve"> </w:t>
      </w:r>
      <w:proofErr w:type="spellStart"/>
      <w:r w:rsidRPr="005B3FEF">
        <w:rPr>
          <w:rFonts w:ascii="Arial" w:hAnsi="Arial" w:cs="Arial"/>
          <w:i/>
          <w:iCs/>
          <w:lang w:eastAsia="en-GB"/>
        </w:rPr>
        <w:t>microcarpum</w:t>
      </w:r>
      <w:proofErr w:type="spellEnd"/>
      <w:r w:rsidRPr="005B3FEF">
        <w:rPr>
          <w:rFonts w:ascii="Arial" w:hAnsi="Arial" w:cs="Arial"/>
          <w:lang w:eastAsia="en-GB"/>
        </w:rPr>
        <w:t xml:space="preserve">, and </w:t>
      </w:r>
      <w:proofErr w:type="spellStart"/>
      <w:r w:rsidRPr="005B3FEF">
        <w:rPr>
          <w:rFonts w:ascii="Arial" w:hAnsi="Arial" w:cs="Arial"/>
          <w:i/>
          <w:iCs/>
          <w:lang w:eastAsia="en-GB"/>
        </w:rPr>
        <w:t>Parkia</w:t>
      </w:r>
      <w:proofErr w:type="spellEnd"/>
      <w:r w:rsidRPr="005B3FEF">
        <w:rPr>
          <w:rFonts w:ascii="Arial" w:hAnsi="Arial" w:cs="Arial"/>
          <w:i/>
          <w:iCs/>
          <w:lang w:eastAsia="en-GB"/>
        </w:rPr>
        <w:t xml:space="preserve"> </w:t>
      </w:r>
      <w:proofErr w:type="spellStart"/>
      <w:r w:rsidRPr="005B3FEF">
        <w:rPr>
          <w:rFonts w:ascii="Arial" w:hAnsi="Arial" w:cs="Arial"/>
          <w:i/>
          <w:iCs/>
          <w:lang w:eastAsia="en-GB"/>
        </w:rPr>
        <w:t>biglobosa</w:t>
      </w:r>
      <w:proofErr w:type="spellEnd"/>
      <w:r w:rsidRPr="005B3FEF">
        <w:rPr>
          <w:rFonts w:ascii="Arial" w:hAnsi="Arial" w:cs="Arial"/>
          <w:lang w:eastAsia="en-GB"/>
        </w:rPr>
        <w:t xml:space="preserve">, which are local species. Two species are considered vulnerable (VU), namely </w:t>
      </w:r>
      <w:r w:rsidRPr="005B3FEF">
        <w:rPr>
          <w:rFonts w:ascii="Arial" w:hAnsi="Arial" w:cs="Arial"/>
          <w:i/>
          <w:iCs/>
          <w:lang w:eastAsia="en-GB"/>
        </w:rPr>
        <w:t>Khaya senegalensis</w:t>
      </w:r>
      <w:r w:rsidRPr="005B3FEF">
        <w:rPr>
          <w:rFonts w:ascii="Arial" w:hAnsi="Arial" w:cs="Arial"/>
          <w:lang w:eastAsia="en-GB"/>
        </w:rPr>
        <w:t xml:space="preserve"> and </w:t>
      </w:r>
      <w:r w:rsidRPr="005B3FEF">
        <w:rPr>
          <w:rFonts w:ascii="Arial" w:hAnsi="Arial" w:cs="Arial"/>
          <w:i/>
          <w:iCs/>
          <w:lang w:eastAsia="en-GB"/>
        </w:rPr>
        <w:t xml:space="preserve">Vitellaria </w:t>
      </w:r>
      <w:proofErr w:type="spellStart"/>
      <w:r w:rsidRPr="005B3FEF">
        <w:rPr>
          <w:rFonts w:ascii="Arial" w:hAnsi="Arial" w:cs="Arial"/>
          <w:i/>
          <w:iCs/>
          <w:lang w:eastAsia="en-GB"/>
        </w:rPr>
        <w:t>paradoxa</w:t>
      </w:r>
      <w:proofErr w:type="spellEnd"/>
      <w:r w:rsidRPr="005B3FEF">
        <w:rPr>
          <w:rFonts w:ascii="Arial" w:hAnsi="Arial" w:cs="Arial"/>
          <w:lang w:eastAsia="en-GB"/>
        </w:rPr>
        <w:t xml:space="preserve">, and two species are listed as endangered (EN), namely </w:t>
      </w:r>
      <w:r w:rsidRPr="005B3FEF">
        <w:rPr>
          <w:rFonts w:ascii="Arial" w:hAnsi="Arial" w:cs="Arial"/>
          <w:i/>
          <w:iCs/>
          <w:lang w:eastAsia="en-GB"/>
        </w:rPr>
        <w:t xml:space="preserve">Pterocarpus </w:t>
      </w:r>
      <w:proofErr w:type="spellStart"/>
      <w:r w:rsidRPr="005B3FEF">
        <w:rPr>
          <w:rFonts w:ascii="Arial" w:hAnsi="Arial" w:cs="Arial"/>
          <w:i/>
          <w:iCs/>
          <w:lang w:eastAsia="en-GB"/>
        </w:rPr>
        <w:t>erinaceus</w:t>
      </w:r>
      <w:proofErr w:type="spellEnd"/>
      <w:r w:rsidRPr="005B3FEF">
        <w:rPr>
          <w:rFonts w:ascii="Arial" w:hAnsi="Arial" w:cs="Arial"/>
          <w:lang w:eastAsia="en-GB"/>
        </w:rPr>
        <w:t xml:space="preserve"> and </w:t>
      </w:r>
      <w:proofErr w:type="spellStart"/>
      <w:r w:rsidRPr="005B3FEF">
        <w:rPr>
          <w:rFonts w:ascii="Arial" w:hAnsi="Arial" w:cs="Arial"/>
          <w:i/>
          <w:iCs/>
          <w:lang w:eastAsia="en-GB"/>
        </w:rPr>
        <w:t>Tectona</w:t>
      </w:r>
      <w:proofErr w:type="spellEnd"/>
      <w:r w:rsidRPr="005B3FEF">
        <w:rPr>
          <w:rFonts w:ascii="Arial" w:hAnsi="Arial" w:cs="Arial"/>
          <w:i/>
          <w:iCs/>
          <w:lang w:eastAsia="en-GB"/>
        </w:rPr>
        <w:t xml:space="preserve"> </w:t>
      </w:r>
      <w:proofErr w:type="spellStart"/>
      <w:r w:rsidRPr="005B3FEF">
        <w:rPr>
          <w:rFonts w:ascii="Arial" w:hAnsi="Arial" w:cs="Arial"/>
          <w:i/>
          <w:iCs/>
          <w:lang w:eastAsia="en-GB"/>
        </w:rPr>
        <w:t>grandis</w:t>
      </w:r>
      <w:proofErr w:type="spellEnd"/>
      <w:r w:rsidRPr="005B3FEF">
        <w:rPr>
          <w:rFonts w:ascii="Arial" w:hAnsi="Arial" w:cs="Arial"/>
          <w:lang w:eastAsia="en-GB"/>
        </w:rPr>
        <w:t>.</w:t>
      </w:r>
    </w:p>
    <w:p w14:paraId="27D833AF" w14:textId="77777777" w:rsidR="005B3FEF" w:rsidRPr="005B3FEF" w:rsidRDefault="005B3FEF" w:rsidP="00441B6F">
      <w:pPr>
        <w:jc w:val="both"/>
        <w:rPr>
          <w:rFonts w:ascii="Arial" w:hAnsi="Arial" w:cs="Arial"/>
          <w:lang w:val="en-GB" w:eastAsia="en-GB"/>
        </w:rPr>
      </w:pPr>
    </w:p>
    <w:p w14:paraId="1D13AAB1" w14:textId="3DF1B303" w:rsidR="003951E6" w:rsidRDefault="003951E6" w:rsidP="003951E6">
      <w:pPr>
        <w:tabs>
          <w:tab w:val="left" w:pos="1080"/>
        </w:tabs>
        <w:jc w:val="center"/>
        <w:rPr>
          <w:rFonts w:ascii="Arial" w:hAnsi="Arial"/>
          <w:b/>
        </w:rPr>
      </w:pPr>
      <w:r>
        <w:rPr>
          <w:rFonts w:ascii="Arial" w:hAnsi="Arial"/>
          <w:b/>
        </w:rPr>
        <w:t xml:space="preserve">Table 5. </w:t>
      </w:r>
      <w:r w:rsidRPr="003951E6">
        <w:rPr>
          <w:rFonts w:ascii="Arial" w:hAnsi="Arial"/>
          <w:b/>
        </w:rPr>
        <w:t>Categories of species with special status recorded in the project plots</w:t>
      </w:r>
    </w:p>
    <w:p w14:paraId="16880B97" w14:textId="77777777" w:rsidR="003951E6" w:rsidRPr="00DC3180" w:rsidRDefault="003951E6" w:rsidP="003951E6">
      <w:pPr>
        <w:tabs>
          <w:tab w:val="left" w:pos="1080"/>
        </w:tabs>
        <w:jc w:val="both"/>
        <w:rPr>
          <w:rFonts w:ascii="Arial" w:hAnsi="Arial"/>
          <w:b/>
        </w:rPr>
      </w:pPr>
    </w:p>
    <w:tbl>
      <w:tblPr>
        <w:tblW w:w="539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2245"/>
      </w:tblGrid>
      <w:tr w:rsidR="003951E6" w:rsidRPr="00DC3180" w14:paraId="1473B946" w14:textId="77777777" w:rsidTr="003951E6">
        <w:trPr>
          <w:jc w:val="center"/>
        </w:trPr>
        <w:tc>
          <w:tcPr>
            <w:tcW w:w="3150" w:type="dxa"/>
            <w:tcBorders>
              <w:bottom w:val="single" w:sz="4" w:space="0" w:color="auto"/>
            </w:tcBorders>
          </w:tcPr>
          <w:p w14:paraId="7C3157AC" w14:textId="691D032D" w:rsidR="003951E6" w:rsidRPr="00DC3180" w:rsidRDefault="003951E6" w:rsidP="007D1BCA">
            <w:pPr>
              <w:jc w:val="both"/>
              <w:rPr>
                <w:rFonts w:ascii="Arial" w:hAnsi="Arial"/>
                <w:b/>
                <w:bCs/>
              </w:rPr>
            </w:pPr>
            <w:r w:rsidRPr="003951E6">
              <w:rPr>
                <w:rFonts w:ascii="Arial" w:hAnsi="Arial"/>
                <w:b/>
              </w:rPr>
              <w:t>Species status types</w:t>
            </w:r>
          </w:p>
        </w:tc>
        <w:tc>
          <w:tcPr>
            <w:tcW w:w="2245" w:type="dxa"/>
            <w:tcBorders>
              <w:bottom w:val="single" w:sz="4" w:space="0" w:color="auto"/>
            </w:tcBorders>
          </w:tcPr>
          <w:p w14:paraId="0BFD6E0E" w14:textId="641A7764" w:rsidR="003951E6" w:rsidRPr="008C6B8B" w:rsidRDefault="003951E6" w:rsidP="00961110">
            <w:pPr>
              <w:jc w:val="center"/>
              <w:rPr>
                <w:rFonts w:ascii="Arial" w:hAnsi="Arial"/>
                <w:b/>
                <w:bCs/>
              </w:rPr>
            </w:pPr>
            <w:r w:rsidRPr="008C6B8B">
              <w:rPr>
                <w:rFonts w:ascii="Arial" w:hAnsi="Arial"/>
                <w:b/>
                <w:bCs/>
              </w:rPr>
              <w:t>Number of species</w:t>
            </w:r>
          </w:p>
        </w:tc>
      </w:tr>
      <w:tr w:rsidR="003951E6" w:rsidRPr="00DC3180" w14:paraId="4A35C481" w14:textId="77777777" w:rsidTr="003951E6">
        <w:trPr>
          <w:jc w:val="center"/>
        </w:trPr>
        <w:tc>
          <w:tcPr>
            <w:tcW w:w="3150" w:type="dxa"/>
            <w:tcBorders>
              <w:top w:val="single" w:sz="4" w:space="0" w:color="auto"/>
              <w:bottom w:val="nil"/>
            </w:tcBorders>
          </w:tcPr>
          <w:p w14:paraId="36977006" w14:textId="0298AE3D" w:rsidR="003951E6" w:rsidRPr="00DC3180" w:rsidRDefault="003951E6" w:rsidP="007D1BCA">
            <w:pPr>
              <w:jc w:val="both"/>
              <w:rPr>
                <w:rFonts w:ascii="Arial" w:hAnsi="Arial" w:cs="Arial"/>
                <w:vanish/>
              </w:rPr>
            </w:pPr>
            <w:r w:rsidRPr="003951E6">
              <w:rPr>
                <w:rFonts w:ascii="Arial" w:hAnsi="Arial" w:cs="Arial"/>
              </w:rPr>
              <w:t xml:space="preserve">Least Concern (LC)  </w:t>
            </w:r>
          </w:p>
          <w:p w14:paraId="6AB1557E" w14:textId="77777777" w:rsidR="003951E6" w:rsidRPr="00DC3180" w:rsidRDefault="003951E6" w:rsidP="007D1BCA">
            <w:pPr>
              <w:jc w:val="both"/>
              <w:rPr>
                <w:rFonts w:ascii="Arial" w:hAnsi="Arial" w:cs="Arial"/>
              </w:rPr>
            </w:pPr>
          </w:p>
        </w:tc>
        <w:tc>
          <w:tcPr>
            <w:tcW w:w="2245" w:type="dxa"/>
            <w:tcBorders>
              <w:top w:val="single" w:sz="4" w:space="0" w:color="auto"/>
              <w:bottom w:val="nil"/>
            </w:tcBorders>
          </w:tcPr>
          <w:p w14:paraId="3029AF45" w14:textId="5EB881A3" w:rsidR="003951E6" w:rsidRPr="008C6B8B" w:rsidRDefault="003951E6" w:rsidP="00961110">
            <w:pPr>
              <w:jc w:val="center"/>
              <w:rPr>
                <w:rFonts w:ascii="Arial" w:hAnsi="Arial" w:cs="Arial"/>
              </w:rPr>
            </w:pPr>
            <w:r w:rsidRPr="008C6B8B">
              <w:rPr>
                <w:rFonts w:ascii="Arial" w:hAnsi="Arial" w:cs="Arial"/>
              </w:rPr>
              <w:t>4</w:t>
            </w:r>
            <w:r w:rsidR="00961110" w:rsidRPr="008C6B8B">
              <w:rPr>
                <w:rFonts w:ascii="Arial" w:hAnsi="Arial" w:cs="Arial"/>
              </w:rPr>
              <w:t>6</w:t>
            </w:r>
          </w:p>
        </w:tc>
      </w:tr>
      <w:tr w:rsidR="003951E6" w:rsidRPr="00DC3180" w14:paraId="2257B6FC" w14:textId="77777777" w:rsidTr="003951E6">
        <w:trPr>
          <w:jc w:val="center"/>
        </w:trPr>
        <w:tc>
          <w:tcPr>
            <w:tcW w:w="3150" w:type="dxa"/>
            <w:tcBorders>
              <w:top w:val="single" w:sz="4" w:space="0" w:color="auto"/>
              <w:bottom w:val="nil"/>
            </w:tcBorders>
          </w:tcPr>
          <w:p w14:paraId="2B9A95EB" w14:textId="64958152" w:rsidR="003951E6" w:rsidRPr="00C21625" w:rsidRDefault="003951E6" w:rsidP="007D1BCA">
            <w:pPr>
              <w:jc w:val="both"/>
              <w:rPr>
                <w:rFonts w:ascii="Arial" w:hAnsi="Arial" w:cs="Arial"/>
              </w:rPr>
            </w:pPr>
            <w:r w:rsidRPr="003951E6">
              <w:rPr>
                <w:rFonts w:ascii="Arial" w:hAnsi="Arial" w:cs="Arial"/>
              </w:rPr>
              <w:t>Vulnerable (VU)</w:t>
            </w:r>
          </w:p>
        </w:tc>
        <w:tc>
          <w:tcPr>
            <w:tcW w:w="2245" w:type="dxa"/>
            <w:tcBorders>
              <w:top w:val="single" w:sz="4" w:space="0" w:color="auto"/>
              <w:bottom w:val="nil"/>
            </w:tcBorders>
          </w:tcPr>
          <w:p w14:paraId="64761D87" w14:textId="4216CEA1" w:rsidR="003951E6" w:rsidRPr="008C6B8B" w:rsidRDefault="00961110" w:rsidP="00961110">
            <w:pPr>
              <w:jc w:val="center"/>
              <w:rPr>
                <w:rFonts w:ascii="Arial" w:hAnsi="Arial" w:cs="Arial"/>
              </w:rPr>
            </w:pPr>
            <w:r w:rsidRPr="008C6B8B">
              <w:rPr>
                <w:rFonts w:ascii="Arial" w:hAnsi="Arial" w:cs="Arial"/>
              </w:rPr>
              <w:t>2</w:t>
            </w:r>
          </w:p>
        </w:tc>
      </w:tr>
      <w:tr w:rsidR="003951E6" w:rsidRPr="00DC3180" w14:paraId="3E12520E" w14:textId="77777777" w:rsidTr="003951E6">
        <w:trPr>
          <w:jc w:val="center"/>
        </w:trPr>
        <w:tc>
          <w:tcPr>
            <w:tcW w:w="3150" w:type="dxa"/>
            <w:tcBorders>
              <w:top w:val="nil"/>
              <w:bottom w:val="nil"/>
            </w:tcBorders>
          </w:tcPr>
          <w:p w14:paraId="6FF8F527" w14:textId="3AD6FC30" w:rsidR="003951E6" w:rsidRPr="00DC3180" w:rsidRDefault="003951E6" w:rsidP="003951E6">
            <w:pPr>
              <w:jc w:val="both"/>
              <w:rPr>
                <w:rFonts w:ascii="Arial" w:hAnsi="Arial"/>
              </w:rPr>
            </w:pPr>
            <w:r w:rsidRPr="003951E6">
              <w:rPr>
                <w:rFonts w:ascii="Arial" w:hAnsi="Arial"/>
              </w:rPr>
              <w:t>Endangered</w:t>
            </w:r>
            <w:r>
              <w:rPr>
                <w:rFonts w:ascii="Arial" w:hAnsi="Arial"/>
              </w:rPr>
              <w:t xml:space="preserve"> </w:t>
            </w:r>
            <w:r w:rsidRPr="003951E6">
              <w:rPr>
                <w:rFonts w:ascii="Arial" w:hAnsi="Arial"/>
              </w:rPr>
              <w:t>(EN)</w:t>
            </w:r>
          </w:p>
        </w:tc>
        <w:tc>
          <w:tcPr>
            <w:tcW w:w="2245" w:type="dxa"/>
            <w:tcBorders>
              <w:top w:val="nil"/>
              <w:bottom w:val="nil"/>
            </w:tcBorders>
          </w:tcPr>
          <w:p w14:paraId="3CE1D0C1" w14:textId="7B4ED11E" w:rsidR="003951E6" w:rsidRPr="008C6B8B" w:rsidRDefault="00961110" w:rsidP="00961110">
            <w:pPr>
              <w:jc w:val="center"/>
              <w:rPr>
                <w:rFonts w:ascii="Arial" w:hAnsi="Arial"/>
              </w:rPr>
            </w:pPr>
            <w:r w:rsidRPr="008C6B8B">
              <w:rPr>
                <w:rFonts w:ascii="Arial" w:hAnsi="Arial"/>
              </w:rPr>
              <w:t>2</w:t>
            </w:r>
          </w:p>
        </w:tc>
      </w:tr>
      <w:tr w:rsidR="003951E6" w:rsidRPr="00961110" w14:paraId="7C4B3ED2" w14:textId="77777777" w:rsidTr="003951E6">
        <w:trPr>
          <w:jc w:val="center"/>
        </w:trPr>
        <w:tc>
          <w:tcPr>
            <w:tcW w:w="3150" w:type="dxa"/>
            <w:tcBorders>
              <w:top w:val="nil"/>
              <w:bottom w:val="single" w:sz="4" w:space="0" w:color="auto"/>
            </w:tcBorders>
          </w:tcPr>
          <w:p w14:paraId="5FE2CA09" w14:textId="01E8418F" w:rsidR="003951E6" w:rsidRPr="00961110" w:rsidRDefault="003951E6" w:rsidP="007D1BCA">
            <w:pPr>
              <w:jc w:val="both"/>
              <w:rPr>
                <w:rFonts w:ascii="Arial" w:hAnsi="Arial"/>
                <w:b/>
                <w:bCs/>
              </w:rPr>
            </w:pPr>
            <w:r w:rsidRPr="00961110">
              <w:rPr>
                <w:rFonts w:ascii="Arial" w:hAnsi="Arial"/>
                <w:b/>
                <w:bCs/>
              </w:rPr>
              <w:t>Total</w:t>
            </w:r>
          </w:p>
        </w:tc>
        <w:tc>
          <w:tcPr>
            <w:tcW w:w="2245" w:type="dxa"/>
            <w:tcBorders>
              <w:top w:val="nil"/>
              <w:bottom w:val="single" w:sz="4" w:space="0" w:color="auto"/>
            </w:tcBorders>
          </w:tcPr>
          <w:p w14:paraId="1A6DAB24" w14:textId="61A0D32D" w:rsidR="003951E6" w:rsidRPr="008C6B8B" w:rsidRDefault="008C6B8B" w:rsidP="00961110">
            <w:pPr>
              <w:jc w:val="center"/>
              <w:rPr>
                <w:rFonts w:ascii="Arial" w:hAnsi="Arial"/>
                <w:b/>
                <w:bCs/>
              </w:rPr>
            </w:pPr>
            <w:r w:rsidRPr="008C6B8B">
              <w:rPr>
                <w:rFonts w:ascii="Arial" w:hAnsi="Arial"/>
                <w:b/>
                <w:bCs/>
              </w:rPr>
              <w:t>5</w:t>
            </w:r>
            <w:r w:rsidR="00961110" w:rsidRPr="008C6B8B">
              <w:rPr>
                <w:rFonts w:ascii="Arial" w:hAnsi="Arial"/>
                <w:b/>
                <w:bCs/>
              </w:rPr>
              <w:t>0</w:t>
            </w:r>
          </w:p>
        </w:tc>
      </w:tr>
    </w:tbl>
    <w:p w14:paraId="7056D0E8" w14:textId="77777777" w:rsidR="005B3FEF" w:rsidRPr="003951E6" w:rsidRDefault="005B3FEF" w:rsidP="00441B6F">
      <w:pPr>
        <w:jc w:val="both"/>
        <w:rPr>
          <w:rFonts w:ascii="Arial" w:hAnsi="Arial" w:cs="Arial"/>
          <w:lang w:val="en-GB" w:eastAsia="en-GB"/>
        </w:rPr>
      </w:pPr>
    </w:p>
    <w:p w14:paraId="5AE4B62C" w14:textId="77777777" w:rsidR="003951E6" w:rsidRPr="003951E6" w:rsidRDefault="003951E6" w:rsidP="00441B6F">
      <w:pPr>
        <w:jc w:val="both"/>
        <w:rPr>
          <w:rFonts w:ascii="Arial" w:hAnsi="Arial" w:cs="Arial"/>
          <w:lang w:val="en-GB" w:eastAsia="en-GB"/>
        </w:rPr>
      </w:pPr>
    </w:p>
    <w:p w14:paraId="09D5AF67" w14:textId="77777777" w:rsidR="00E053D0" w:rsidRDefault="00E053D0" w:rsidP="00441B6F">
      <w:pPr>
        <w:pStyle w:val="Body"/>
        <w:spacing w:after="0"/>
        <w:rPr>
          <w:rFonts w:ascii="Arial" w:hAnsi="Arial" w:cs="Arial"/>
        </w:rPr>
      </w:pPr>
    </w:p>
    <w:p w14:paraId="77AA1AAF" w14:textId="5C707E90" w:rsidR="00C2763D" w:rsidRDefault="00C2763D" w:rsidP="00C2763D">
      <w:pPr>
        <w:pStyle w:val="Head1"/>
        <w:spacing w:after="0"/>
        <w:jc w:val="both"/>
        <w:rPr>
          <w:rFonts w:ascii="Arial" w:hAnsi="Arial" w:cs="Arial"/>
        </w:rPr>
      </w:pPr>
      <w:r>
        <w:rPr>
          <w:rFonts w:ascii="Arial" w:hAnsi="Arial" w:cs="Arial"/>
        </w:rPr>
        <w:t>4. discussion</w:t>
      </w:r>
    </w:p>
    <w:p w14:paraId="781E1C5D" w14:textId="77777777" w:rsidR="00C2763D" w:rsidRDefault="00C2763D" w:rsidP="00441B6F">
      <w:pPr>
        <w:pStyle w:val="Body"/>
        <w:spacing w:after="0"/>
        <w:rPr>
          <w:rFonts w:ascii="Arial" w:hAnsi="Arial" w:cs="Arial"/>
        </w:rPr>
      </w:pPr>
    </w:p>
    <w:p w14:paraId="63772255" w14:textId="77777777" w:rsidR="00C2763D" w:rsidRDefault="00C2763D" w:rsidP="00C2763D">
      <w:pPr>
        <w:pStyle w:val="Body"/>
        <w:spacing w:after="0"/>
        <w:rPr>
          <w:rFonts w:ascii="Arial" w:hAnsi="Arial" w:cs="Arial"/>
        </w:rPr>
      </w:pPr>
      <w:r w:rsidRPr="00C2763D">
        <w:rPr>
          <w:rFonts w:ascii="Arial" w:hAnsi="Arial" w:cs="Arial"/>
        </w:rPr>
        <w:t xml:space="preserve">The inventory of the tree flora on the </w:t>
      </w:r>
      <w:proofErr w:type="spellStart"/>
      <w:r w:rsidRPr="00C2763D">
        <w:rPr>
          <w:rFonts w:ascii="Arial" w:hAnsi="Arial" w:cs="Arial"/>
        </w:rPr>
        <w:t>Peleforo</w:t>
      </w:r>
      <w:proofErr w:type="spellEnd"/>
      <w:r w:rsidRPr="00C2763D">
        <w:rPr>
          <w:rFonts w:ascii="Arial" w:hAnsi="Arial" w:cs="Arial"/>
        </w:rPr>
        <w:t xml:space="preserve"> Gon Coulibaly University campus identified a total of 57 species. Based on a mixture of exotic and local species, this diversity of species was mentioned by El </w:t>
      </w:r>
      <w:proofErr w:type="spellStart"/>
      <w:r w:rsidRPr="00C2763D">
        <w:rPr>
          <w:rFonts w:ascii="Arial" w:hAnsi="Arial" w:cs="Arial"/>
        </w:rPr>
        <w:t>Faiz</w:t>
      </w:r>
      <w:proofErr w:type="spellEnd"/>
      <w:r w:rsidRPr="00C2763D">
        <w:rPr>
          <w:rFonts w:ascii="Arial" w:hAnsi="Arial" w:cs="Arial"/>
        </w:rPr>
        <w:t xml:space="preserve"> et al. (2016) in the municipality of Marrakech in Morocco. This flora, which reflects the richness of the area, is representative of the urban flora of the city of </w:t>
      </w:r>
      <w:proofErr w:type="spellStart"/>
      <w:r w:rsidRPr="00C2763D">
        <w:rPr>
          <w:rFonts w:ascii="Arial" w:hAnsi="Arial" w:cs="Arial"/>
        </w:rPr>
        <w:t>Korhogo</w:t>
      </w:r>
      <w:proofErr w:type="spellEnd"/>
      <w:r w:rsidRPr="00C2763D">
        <w:rPr>
          <w:rFonts w:ascii="Arial" w:hAnsi="Arial" w:cs="Arial"/>
        </w:rPr>
        <w:t xml:space="preserve">. The species richness observed is significantly higher than those recorded in the cities and municipalities of Abidjan and </w:t>
      </w:r>
      <w:proofErr w:type="spellStart"/>
      <w:r w:rsidRPr="00C2763D">
        <w:rPr>
          <w:rFonts w:ascii="Arial" w:hAnsi="Arial" w:cs="Arial"/>
        </w:rPr>
        <w:t>Daloa</w:t>
      </w:r>
      <w:proofErr w:type="spellEnd"/>
      <w:r w:rsidRPr="00C2763D">
        <w:rPr>
          <w:rFonts w:ascii="Arial" w:hAnsi="Arial" w:cs="Arial"/>
        </w:rPr>
        <w:t xml:space="preserve"> (</w:t>
      </w:r>
      <w:proofErr w:type="spellStart"/>
      <w:r w:rsidRPr="00C2763D">
        <w:rPr>
          <w:rFonts w:ascii="Arial" w:hAnsi="Arial" w:cs="Arial"/>
        </w:rPr>
        <w:t>Kouadio</w:t>
      </w:r>
      <w:proofErr w:type="spellEnd"/>
      <w:r w:rsidRPr="00C2763D">
        <w:rPr>
          <w:rFonts w:ascii="Arial" w:hAnsi="Arial" w:cs="Arial"/>
        </w:rPr>
        <w:t xml:space="preserve"> et al., 2016; </w:t>
      </w:r>
      <w:proofErr w:type="spellStart"/>
      <w:r w:rsidRPr="00C2763D">
        <w:rPr>
          <w:rFonts w:ascii="Arial" w:hAnsi="Arial" w:cs="Arial"/>
        </w:rPr>
        <w:t>Kouassi</w:t>
      </w:r>
      <w:proofErr w:type="spellEnd"/>
      <w:r w:rsidRPr="00C2763D">
        <w:rPr>
          <w:rFonts w:ascii="Arial" w:hAnsi="Arial" w:cs="Arial"/>
        </w:rPr>
        <w:t xml:space="preserve"> et al., 2018). However, it remains lower than the species richness reported by </w:t>
      </w:r>
      <w:proofErr w:type="spellStart"/>
      <w:r w:rsidRPr="00C2763D">
        <w:rPr>
          <w:rFonts w:ascii="Arial" w:hAnsi="Arial" w:cs="Arial"/>
        </w:rPr>
        <w:t>Nomel</w:t>
      </w:r>
      <w:proofErr w:type="spellEnd"/>
      <w:r w:rsidRPr="00C2763D">
        <w:rPr>
          <w:rFonts w:ascii="Arial" w:hAnsi="Arial" w:cs="Arial"/>
        </w:rPr>
        <w:t xml:space="preserve"> et al. (2020) in the private gardens of Yamoussoukro. This variability in floristic richness is likely due, on one hand, to the deliberate actions of city dwellers to plant species based on preferences, preservation, the introduction, and adoption of mostly exotic species (</w:t>
      </w:r>
      <w:proofErr w:type="spellStart"/>
      <w:r w:rsidRPr="00C2763D">
        <w:rPr>
          <w:rFonts w:ascii="Arial" w:hAnsi="Arial" w:cs="Arial"/>
        </w:rPr>
        <w:t>Depaule</w:t>
      </w:r>
      <w:proofErr w:type="spellEnd"/>
      <w:r w:rsidRPr="00C2763D">
        <w:rPr>
          <w:rFonts w:ascii="Arial" w:hAnsi="Arial" w:cs="Arial"/>
        </w:rPr>
        <w:t xml:space="preserve"> &amp; </w:t>
      </w:r>
      <w:proofErr w:type="spellStart"/>
      <w:r w:rsidRPr="00C2763D">
        <w:rPr>
          <w:rFonts w:ascii="Arial" w:hAnsi="Arial" w:cs="Arial"/>
        </w:rPr>
        <w:t>Topalov</w:t>
      </w:r>
      <w:proofErr w:type="spellEnd"/>
      <w:r w:rsidRPr="00C2763D">
        <w:rPr>
          <w:rFonts w:ascii="Arial" w:hAnsi="Arial" w:cs="Arial"/>
        </w:rPr>
        <w:t xml:space="preserve">, 1996), and on the other hand, to the size and types of compartments considered by the studies. Similar studies conducted by </w:t>
      </w:r>
      <w:proofErr w:type="spellStart"/>
      <w:r w:rsidRPr="00C2763D">
        <w:rPr>
          <w:rFonts w:ascii="Arial" w:hAnsi="Arial" w:cs="Arial"/>
        </w:rPr>
        <w:t>Fousséni</w:t>
      </w:r>
      <w:proofErr w:type="spellEnd"/>
      <w:r w:rsidRPr="00C2763D">
        <w:rPr>
          <w:rFonts w:ascii="Arial" w:hAnsi="Arial" w:cs="Arial"/>
        </w:rPr>
        <w:t xml:space="preserve"> et al. (2019) and </w:t>
      </w:r>
      <w:proofErr w:type="spellStart"/>
      <w:r w:rsidRPr="00C2763D">
        <w:rPr>
          <w:rFonts w:ascii="Arial" w:hAnsi="Arial" w:cs="Arial"/>
        </w:rPr>
        <w:t>Samsahatou</w:t>
      </w:r>
      <w:proofErr w:type="spellEnd"/>
      <w:r w:rsidRPr="00C2763D">
        <w:rPr>
          <w:rFonts w:ascii="Arial" w:hAnsi="Arial" w:cs="Arial"/>
        </w:rPr>
        <w:t xml:space="preserve"> et al. (2020) confirm this hypothesis. The most represented plant families in the flora are Fabaceae and </w:t>
      </w:r>
      <w:proofErr w:type="spellStart"/>
      <w:r w:rsidRPr="00C2763D">
        <w:rPr>
          <w:rFonts w:ascii="Arial" w:hAnsi="Arial" w:cs="Arial"/>
        </w:rPr>
        <w:t>Moraceae</w:t>
      </w:r>
      <w:proofErr w:type="spellEnd"/>
      <w:r w:rsidRPr="00C2763D">
        <w:rPr>
          <w:rFonts w:ascii="Arial" w:hAnsi="Arial" w:cs="Arial"/>
        </w:rPr>
        <w:t xml:space="preserve">. The high representation of these families in green space flora is attributed to their adaptability to local climatic and edaphic conditions of the environment, but also to their distinctive ornamental and shady character in all seasons (El </w:t>
      </w:r>
      <w:proofErr w:type="spellStart"/>
      <w:r w:rsidRPr="00C2763D">
        <w:rPr>
          <w:rFonts w:ascii="Arial" w:hAnsi="Arial" w:cs="Arial"/>
        </w:rPr>
        <w:t>Faiz</w:t>
      </w:r>
      <w:proofErr w:type="spellEnd"/>
      <w:r w:rsidRPr="00C2763D">
        <w:rPr>
          <w:rFonts w:ascii="Arial" w:hAnsi="Arial" w:cs="Arial"/>
        </w:rPr>
        <w:t xml:space="preserve"> et al., 2016; </w:t>
      </w:r>
      <w:proofErr w:type="spellStart"/>
      <w:r w:rsidRPr="00C2763D">
        <w:rPr>
          <w:rFonts w:ascii="Arial" w:hAnsi="Arial" w:cs="Arial"/>
        </w:rPr>
        <w:t>Kouadio</w:t>
      </w:r>
      <w:proofErr w:type="spellEnd"/>
      <w:r w:rsidRPr="00C2763D">
        <w:rPr>
          <w:rFonts w:ascii="Arial" w:hAnsi="Arial" w:cs="Arial"/>
        </w:rPr>
        <w:t xml:space="preserve"> et al., 2016; Leblanc &amp; </w:t>
      </w:r>
      <w:proofErr w:type="spellStart"/>
      <w:r w:rsidRPr="00C2763D">
        <w:rPr>
          <w:rFonts w:ascii="Arial" w:hAnsi="Arial" w:cs="Arial"/>
        </w:rPr>
        <w:t>Malaisse</w:t>
      </w:r>
      <w:proofErr w:type="spellEnd"/>
      <w:r w:rsidRPr="00C2763D">
        <w:rPr>
          <w:rFonts w:ascii="Arial" w:hAnsi="Arial" w:cs="Arial"/>
        </w:rPr>
        <w:t xml:space="preserve">, 1978). The relative importance of the </w:t>
      </w:r>
      <w:proofErr w:type="spellStart"/>
      <w:r w:rsidRPr="00C2763D">
        <w:rPr>
          <w:rFonts w:ascii="Arial" w:hAnsi="Arial" w:cs="Arial"/>
        </w:rPr>
        <w:t>Moraceae</w:t>
      </w:r>
      <w:proofErr w:type="spellEnd"/>
      <w:r w:rsidRPr="00C2763D">
        <w:rPr>
          <w:rFonts w:ascii="Arial" w:hAnsi="Arial" w:cs="Arial"/>
        </w:rPr>
        <w:t xml:space="preserve"> family is explained by the high representativeness of local species </w:t>
      </w:r>
      <w:proofErr w:type="spellStart"/>
      <w:r w:rsidRPr="00C2763D">
        <w:rPr>
          <w:rFonts w:ascii="Arial" w:hAnsi="Arial" w:cs="Arial"/>
        </w:rPr>
        <w:t>Ficus</w:t>
      </w:r>
      <w:proofErr w:type="spellEnd"/>
      <w:r w:rsidRPr="00C2763D">
        <w:rPr>
          <w:rFonts w:ascii="Arial" w:hAnsi="Arial" w:cs="Arial"/>
        </w:rPr>
        <w:t xml:space="preserve"> genus preserved on the site during the development of the university campus. The biological</w:t>
      </w:r>
      <w:r>
        <w:rPr>
          <w:rFonts w:ascii="Arial" w:hAnsi="Arial" w:cs="Arial"/>
        </w:rPr>
        <w:t xml:space="preserve"> </w:t>
      </w:r>
      <w:r w:rsidRPr="00C2763D">
        <w:rPr>
          <w:rFonts w:ascii="Arial" w:hAnsi="Arial" w:cs="Arial"/>
        </w:rPr>
        <w:t xml:space="preserve">spectrum reveals a dominance of microphanerophytes, accounting for more than 50% of the species. Similar results were obtained by </w:t>
      </w:r>
      <w:proofErr w:type="spellStart"/>
      <w:r w:rsidRPr="00C2763D">
        <w:rPr>
          <w:rFonts w:ascii="Arial" w:hAnsi="Arial" w:cs="Arial"/>
        </w:rPr>
        <w:t>Kouassi</w:t>
      </w:r>
      <w:proofErr w:type="spellEnd"/>
      <w:r w:rsidRPr="00C2763D">
        <w:rPr>
          <w:rFonts w:ascii="Arial" w:hAnsi="Arial" w:cs="Arial"/>
        </w:rPr>
        <w:t xml:space="preserve"> et al. (2018) and </w:t>
      </w:r>
      <w:proofErr w:type="spellStart"/>
      <w:r w:rsidRPr="00C2763D">
        <w:rPr>
          <w:rFonts w:ascii="Arial" w:hAnsi="Arial" w:cs="Arial"/>
        </w:rPr>
        <w:t>Nomel</w:t>
      </w:r>
      <w:proofErr w:type="spellEnd"/>
      <w:r w:rsidRPr="00C2763D">
        <w:rPr>
          <w:rFonts w:ascii="Arial" w:hAnsi="Arial" w:cs="Arial"/>
        </w:rPr>
        <w:t xml:space="preserve"> et al. (2020) in the cities of </w:t>
      </w:r>
      <w:proofErr w:type="spellStart"/>
      <w:r w:rsidRPr="00C2763D">
        <w:rPr>
          <w:rFonts w:ascii="Arial" w:hAnsi="Arial" w:cs="Arial"/>
        </w:rPr>
        <w:t>Daloa</w:t>
      </w:r>
      <w:proofErr w:type="spellEnd"/>
      <w:r w:rsidRPr="00C2763D">
        <w:rPr>
          <w:rFonts w:ascii="Arial" w:hAnsi="Arial" w:cs="Arial"/>
        </w:rPr>
        <w:t xml:space="preserve"> and Yamoussoukro. The abundance of microphanerophytes on the university campus site can be explained by the fact that these species are adapted to the urban environment and do not pose a threat to the infrastructures in place. These species easily provide shade for populations. This finding is further linked to the strong presence of local species in the university campus landscape. Indeed, the analysis of the chorological type spectrum highlights a high proportion of species from local phytogeographic zones (GC, GC-SZ, SZ), with the dominance of </w:t>
      </w:r>
      <w:proofErr w:type="spellStart"/>
      <w:r w:rsidRPr="00C2763D">
        <w:rPr>
          <w:rFonts w:ascii="Arial" w:hAnsi="Arial" w:cs="Arial"/>
        </w:rPr>
        <w:t>Sudanian</w:t>
      </w:r>
      <w:proofErr w:type="spellEnd"/>
      <w:r w:rsidRPr="00C2763D">
        <w:rPr>
          <w:rFonts w:ascii="Arial" w:hAnsi="Arial" w:cs="Arial"/>
        </w:rPr>
        <w:t>-Zambezian species (35.09%) suggesting the conservation of a portion of the original vegetation on the site (</w:t>
      </w:r>
      <w:proofErr w:type="spellStart"/>
      <w:r w:rsidRPr="00C2763D">
        <w:rPr>
          <w:rFonts w:ascii="Arial" w:hAnsi="Arial" w:cs="Arial"/>
        </w:rPr>
        <w:t>Samsahatou</w:t>
      </w:r>
      <w:proofErr w:type="spellEnd"/>
      <w:r w:rsidRPr="00C2763D">
        <w:rPr>
          <w:rFonts w:ascii="Arial" w:hAnsi="Arial" w:cs="Arial"/>
        </w:rPr>
        <w:t xml:space="preserve"> et al., 2020).</w:t>
      </w:r>
    </w:p>
    <w:p w14:paraId="01E5A91C" w14:textId="409306C2" w:rsidR="00C2763D" w:rsidRPr="00C2763D" w:rsidRDefault="00C2763D" w:rsidP="00C2763D">
      <w:pPr>
        <w:pStyle w:val="Body"/>
        <w:spacing w:after="0"/>
        <w:rPr>
          <w:rFonts w:ascii="Arial" w:hAnsi="Arial" w:cs="Arial"/>
        </w:rPr>
      </w:pPr>
      <w:r w:rsidRPr="00C2763D">
        <w:rPr>
          <w:rFonts w:ascii="Arial" w:hAnsi="Arial" w:cs="Arial"/>
        </w:rPr>
        <w:t xml:space="preserve">The relatively high proportion of introduced species (29.82%) can be explained by the policy of planting species that make a decorative contribution, as noted by </w:t>
      </w:r>
      <w:proofErr w:type="spellStart"/>
      <w:r w:rsidRPr="00C2763D">
        <w:rPr>
          <w:rFonts w:ascii="Arial" w:hAnsi="Arial" w:cs="Arial"/>
        </w:rPr>
        <w:t>Aké-Assi</w:t>
      </w:r>
      <w:proofErr w:type="spellEnd"/>
      <w:r w:rsidRPr="00C2763D">
        <w:rPr>
          <w:rFonts w:ascii="Arial" w:hAnsi="Arial" w:cs="Arial"/>
        </w:rPr>
        <w:t xml:space="preserve"> (2015), cited by </w:t>
      </w:r>
      <w:proofErr w:type="spellStart"/>
      <w:r w:rsidRPr="00C2763D">
        <w:rPr>
          <w:rFonts w:ascii="Arial" w:hAnsi="Arial" w:cs="Arial"/>
        </w:rPr>
        <w:t>Nomel</w:t>
      </w:r>
      <w:proofErr w:type="spellEnd"/>
      <w:r w:rsidRPr="00C2763D">
        <w:rPr>
          <w:rFonts w:ascii="Arial" w:hAnsi="Arial" w:cs="Arial"/>
        </w:rPr>
        <w:t xml:space="preserve"> et al. (2020). These species, most of which are evergreen trees, provide shade throughout the year (</w:t>
      </w:r>
      <w:proofErr w:type="spellStart"/>
      <w:r w:rsidRPr="00C2763D">
        <w:rPr>
          <w:rFonts w:ascii="Arial" w:hAnsi="Arial" w:cs="Arial"/>
        </w:rPr>
        <w:t>Monssou</w:t>
      </w:r>
      <w:proofErr w:type="spellEnd"/>
      <w:r w:rsidRPr="00C2763D">
        <w:rPr>
          <w:rFonts w:ascii="Arial" w:hAnsi="Arial" w:cs="Arial"/>
        </w:rPr>
        <w:t xml:space="preserve"> et al., 2016). This is the case for </w:t>
      </w:r>
      <w:r w:rsidRPr="00C2763D">
        <w:rPr>
          <w:rFonts w:ascii="Arial" w:hAnsi="Arial" w:cs="Arial"/>
          <w:i/>
          <w:iCs/>
        </w:rPr>
        <w:t xml:space="preserve">Cassia </w:t>
      </w:r>
      <w:proofErr w:type="spellStart"/>
      <w:r w:rsidRPr="00C2763D">
        <w:rPr>
          <w:rFonts w:ascii="Arial" w:hAnsi="Arial" w:cs="Arial"/>
          <w:i/>
          <w:iCs/>
        </w:rPr>
        <w:t>javanica</w:t>
      </w:r>
      <w:proofErr w:type="spellEnd"/>
      <w:r w:rsidRPr="00C2763D">
        <w:rPr>
          <w:rFonts w:ascii="Arial" w:hAnsi="Arial" w:cs="Arial"/>
          <w:i/>
          <w:iCs/>
        </w:rPr>
        <w:t xml:space="preserve">, Acacia </w:t>
      </w:r>
      <w:proofErr w:type="spellStart"/>
      <w:r w:rsidRPr="00C2763D">
        <w:rPr>
          <w:rFonts w:ascii="Arial" w:hAnsi="Arial" w:cs="Arial"/>
          <w:i/>
          <w:iCs/>
        </w:rPr>
        <w:t>mangium</w:t>
      </w:r>
      <w:proofErr w:type="spellEnd"/>
      <w:r w:rsidRPr="00C2763D">
        <w:rPr>
          <w:rFonts w:ascii="Arial" w:hAnsi="Arial" w:cs="Arial"/>
          <w:i/>
          <w:iCs/>
        </w:rPr>
        <w:t xml:space="preserve">, </w:t>
      </w:r>
      <w:proofErr w:type="spellStart"/>
      <w:r w:rsidRPr="00C2763D">
        <w:rPr>
          <w:rFonts w:ascii="Arial" w:hAnsi="Arial" w:cs="Arial"/>
          <w:i/>
          <w:iCs/>
        </w:rPr>
        <w:t>Ficus</w:t>
      </w:r>
      <w:proofErr w:type="spellEnd"/>
      <w:r w:rsidRPr="00C2763D">
        <w:rPr>
          <w:rFonts w:ascii="Arial" w:hAnsi="Arial" w:cs="Arial"/>
          <w:i/>
          <w:iCs/>
        </w:rPr>
        <w:t xml:space="preserve"> </w:t>
      </w:r>
      <w:proofErr w:type="spellStart"/>
      <w:r w:rsidRPr="00C2763D">
        <w:rPr>
          <w:rFonts w:ascii="Arial" w:hAnsi="Arial" w:cs="Arial"/>
          <w:i/>
          <w:iCs/>
        </w:rPr>
        <w:t>benjamina</w:t>
      </w:r>
      <w:proofErr w:type="spellEnd"/>
      <w:r w:rsidRPr="00C2763D">
        <w:rPr>
          <w:rFonts w:ascii="Arial" w:hAnsi="Arial" w:cs="Arial"/>
        </w:rPr>
        <w:t xml:space="preserve"> and </w:t>
      </w:r>
      <w:r w:rsidRPr="00C2763D">
        <w:rPr>
          <w:rFonts w:ascii="Arial" w:hAnsi="Arial" w:cs="Arial"/>
          <w:i/>
          <w:iCs/>
        </w:rPr>
        <w:t xml:space="preserve">Terminalia </w:t>
      </w:r>
      <w:proofErr w:type="spellStart"/>
      <w:r w:rsidRPr="00C2763D">
        <w:rPr>
          <w:rFonts w:ascii="Arial" w:hAnsi="Arial" w:cs="Arial"/>
          <w:i/>
          <w:iCs/>
        </w:rPr>
        <w:t>catappa</w:t>
      </w:r>
      <w:proofErr w:type="spellEnd"/>
      <w:r w:rsidRPr="00C2763D">
        <w:rPr>
          <w:rFonts w:ascii="Arial" w:hAnsi="Arial" w:cs="Arial"/>
        </w:rPr>
        <w:t>.</w:t>
      </w:r>
    </w:p>
    <w:p w14:paraId="62955283" w14:textId="77777777" w:rsidR="00C2763D" w:rsidRPr="00C2763D" w:rsidRDefault="00C2763D" w:rsidP="00C2763D">
      <w:pPr>
        <w:pStyle w:val="Body"/>
        <w:spacing w:after="0"/>
        <w:rPr>
          <w:rFonts w:ascii="Arial" w:hAnsi="Arial" w:cs="Arial"/>
        </w:rPr>
      </w:pPr>
      <w:r w:rsidRPr="00C2763D">
        <w:rPr>
          <w:rFonts w:ascii="Arial" w:hAnsi="Arial" w:cs="Arial"/>
        </w:rPr>
        <w:t xml:space="preserve">The value of the Shannon index ≥ 2.5 bits obtained in an urban environment indicates a moderate level of the floral diversity in the study area. This diversity reflects a clear intent by </w:t>
      </w:r>
      <w:r w:rsidRPr="00C2763D">
        <w:rPr>
          <w:rFonts w:ascii="Arial" w:hAnsi="Arial" w:cs="Arial"/>
        </w:rPr>
        <w:lastRenderedPageBreak/>
        <w:t xml:space="preserve">local authorities to preserve native species for the beautification of the campus landscape.  The high number of local species of ecological importance throughout the IVI confirms this thesis. </w:t>
      </w:r>
      <w:proofErr w:type="spellStart"/>
      <w:r w:rsidRPr="00C2763D">
        <w:rPr>
          <w:rFonts w:ascii="Arial" w:hAnsi="Arial" w:cs="Arial"/>
        </w:rPr>
        <w:t>Sehoun</w:t>
      </w:r>
      <w:proofErr w:type="spellEnd"/>
      <w:r w:rsidRPr="00C2763D">
        <w:rPr>
          <w:rFonts w:ascii="Arial" w:hAnsi="Arial" w:cs="Arial"/>
        </w:rPr>
        <w:t xml:space="preserve"> et al (2021) rightly assert that the enhancement of endogenous plant species in urban green spaces would greatly help to conserve local plant diversity within urban ecosystems. The relatively high equitability index (0.81) remains within the range of values 0.6 to 0.8 considered as optimal by </w:t>
      </w:r>
      <w:proofErr w:type="spellStart"/>
      <w:r w:rsidRPr="00C2763D">
        <w:rPr>
          <w:rFonts w:ascii="Arial" w:hAnsi="Arial" w:cs="Arial"/>
        </w:rPr>
        <w:t>Odum</w:t>
      </w:r>
      <w:proofErr w:type="spellEnd"/>
      <w:r w:rsidRPr="00C2763D">
        <w:rPr>
          <w:rFonts w:ascii="Arial" w:hAnsi="Arial" w:cs="Arial"/>
        </w:rPr>
        <w:t xml:space="preserve"> (1976). It reflects a good distribution of individuals within the species on the site. </w:t>
      </w:r>
    </w:p>
    <w:p w14:paraId="65B6A568" w14:textId="158B6667" w:rsidR="00790ADA" w:rsidRPr="00FB3A86" w:rsidRDefault="00C2763D" w:rsidP="00C2763D">
      <w:pPr>
        <w:pStyle w:val="Body"/>
        <w:spacing w:after="0"/>
        <w:rPr>
          <w:rFonts w:ascii="Arial" w:hAnsi="Arial" w:cs="Arial"/>
        </w:rPr>
      </w:pPr>
      <w:r w:rsidRPr="00C2763D">
        <w:rPr>
          <w:rFonts w:ascii="Arial" w:hAnsi="Arial" w:cs="Arial"/>
        </w:rPr>
        <w:t xml:space="preserve">The presence of special-status species confirms the role that green spaces on the university campus can play in conserving plant diversity. The deliberate choice to preserve local or endogenous species as green space trees is at the root of the presence of special-status species. These are vulnerable and endangered species such as </w:t>
      </w:r>
      <w:r w:rsidRPr="00C2763D">
        <w:rPr>
          <w:rFonts w:ascii="Arial" w:hAnsi="Arial" w:cs="Arial"/>
          <w:i/>
          <w:iCs/>
        </w:rPr>
        <w:t>Khaya senegalensis</w:t>
      </w:r>
      <w:r w:rsidRPr="00C2763D">
        <w:rPr>
          <w:rFonts w:ascii="Arial" w:hAnsi="Arial" w:cs="Arial"/>
        </w:rPr>
        <w:t xml:space="preserve">, </w:t>
      </w:r>
      <w:r w:rsidRPr="00C2763D">
        <w:rPr>
          <w:rFonts w:ascii="Arial" w:hAnsi="Arial" w:cs="Arial"/>
          <w:i/>
          <w:iCs/>
        </w:rPr>
        <w:t xml:space="preserve">Pterocarpus </w:t>
      </w:r>
      <w:proofErr w:type="spellStart"/>
      <w:r w:rsidRPr="00C2763D">
        <w:rPr>
          <w:rFonts w:ascii="Arial" w:hAnsi="Arial" w:cs="Arial"/>
          <w:i/>
          <w:iCs/>
        </w:rPr>
        <w:t>erinaceus</w:t>
      </w:r>
      <w:proofErr w:type="spellEnd"/>
      <w:r w:rsidRPr="00C2763D">
        <w:rPr>
          <w:rFonts w:ascii="Arial" w:hAnsi="Arial" w:cs="Arial"/>
        </w:rPr>
        <w:t xml:space="preserve"> and </w:t>
      </w:r>
      <w:r w:rsidRPr="00C2763D">
        <w:rPr>
          <w:rFonts w:ascii="Arial" w:hAnsi="Arial" w:cs="Arial"/>
          <w:i/>
          <w:iCs/>
        </w:rPr>
        <w:t xml:space="preserve">Vitellaria </w:t>
      </w:r>
      <w:proofErr w:type="spellStart"/>
      <w:r w:rsidRPr="00C2763D">
        <w:rPr>
          <w:rFonts w:ascii="Arial" w:hAnsi="Arial" w:cs="Arial"/>
          <w:i/>
          <w:iCs/>
        </w:rPr>
        <w:t>paradoxa</w:t>
      </w:r>
      <w:proofErr w:type="spellEnd"/>
      <w:r w:rsidRPr="00C2763D">
        <w:rPr>
          <w:rFonts w:ascii="Arial" w:hAnsi="Arial" w:cs="Arial"/>
        </w:rPr>
        <w:t>, for which conservation efforts should be prioritized (Myers et al., 2000).</w:t>
      </w:r>
    </w:p>
    <w:p w14:paraId="2AF48051" w14:textId="1696EF8A" w:rsidR="00B01FCD" w:rsidRDefault="00C2763D" w:rsidP="00C2763D">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0EB6EBC" w14:textId="77777777" w:rsidR="00790ADA" w:rsidRPr="00FB3A86" w:rsidRDefault="00790ADA" w:rsidP="00441B6F">
      <w:pPr>
        <w:pStyle w:val="ConcHead"/>
        <w:spacing w:after="0"/>
        <w:jc w:val="both"/>
        <w:rPr>
          <w:rFonts w:ascii="Arial" w:hAnsi="Arial" w:cs="Arial"/>
        </w:rPr>
      </w:pPr>
    </w:p>
    <w:p w14:paraId="4B31C419" w14:textId="71EC10FC" w:rsidR="00315186" w:rsidRPr="009D71EA" w:rsidRDefault="00C2763D" w:rsidP="009D71EA">
      <w:pPr>
        <w:pStyle w:val="Body"/>
        <w:spacing w:after="0"/>
        <w:rPr>
          <w:rFonts w:ascii="Arial" w:hAnsi="Arial" w:cs="Arial"/>
        </w:rPr>
      </w:pPr>
      <w:r w:rsidRPr="00C2763D">
        <w:rPr>
          <w:rFonts w:ascii="Arial" w:hAnsi="Arial" w:cs="Arial"/>
        </w:rPr>
        <w:t xml:space="preserve">This ecological investigation focused on the floristic diversity and conservation value of the woody species within the </w:t>
      </w:r>
      <w:proofErr w:type="spellStart"/>
      <w:r w:rsidRPr="00C2763D">
        <w:rPr>
          <w:rFonts w:ascii="Arial" w:hAnsi="Arial" w:cs="Arial"/>
        </w:rPr>
        <w:t>Peleforo</w:t>
      </w:r>
      <w:proofErr w:type="spellEnd"/>
      <w:r w:rsidRPr="00C2763D">
        <w:rPr>
          <w:rFonts w:ascii="Arial" w:hAnsi="Arial" w:cs="Arial"/>
        </w:rPr>
        <w:t xml:space="preserve"> Gon Coulibaly University campus. The floristic inventory recorded 57 woody species belonging to 44 genera and 19 families. The Fabaceae and </w:t>
      </w:r>
      <w:proofErr w:type="spellStart"/>
      <w:r w:rsidRPr="00C2763D">
        <w:rPr>
          <w:rFonts w:ascii="Arial" w:hAnsi="Arial" w:cs="Arial"/>
        </w:rPr>
        <w:t>Moraceae</w:t>
      </w:r>
      <w:proofErr w:type="spellEnd"/>
      <w:r w:rsidRPr="00C2763D">
        <w:rPr>
          <w:rFonts w:ascii="Arial" w:hAnsi="Arial" w:cs="Arial"/>
        </w:rPr>
        <w:t xml:space="preserve"> families form the core of this floristic composition. This rich and diverse flora also stands out in terms of biological and chorological types. Species such as </w:t>
      </w:r>
      <w:proofErr w:type="spellStart"/>
      <w:r w:rsidRPr="00C2763D">
        <w:rPr>
          <w:rFonts w:ascii="Arial" w:hAnsi="Arial" w:cs="Arial"/>
          <w:i/>
          <w:iCs/>
        </w:rPr>
        <w:t>Isoberlinia</w:t>
      </w:r>
      <w:proofErr w:type="spellEnd"/>
      <w:r w:rsidRPr="00C2763D">
        <w:rPr>
          <w:rFonts w:ascii="Arial" w:hAnsi="Arial" w:cs="Arial"/>
          <w:i/>
          <w:iCs/>
        </w:rPr>
        <w:t xml:space="preserve"> </w:t>
      </w:r>
      <w:proofErr w:type="spellStart"/>
      <w:r w:rsidRPr="00C2763D">
        <w:rPr>
          <w:rFonts w:ascii="Arial" w:hAnsi="Arial" w:cs="Arial"/>
          <w:i/>
          <w:iCs/>
        </w:rPr>
        <w:t>doka</w:t>
      </w:r>
      <w:proofErr w:type="spellEnd"/>
      <w:r w:rsidRPr="00C2763D">
        <w:rPr>
          <w:rFonts w:ascii="Arial" w:hAnsi="Arial" w:cs="Arial"/>
          <w:i/>
          <w:iCs/>
        </w:rPr>
        <w:t xml:space="preserve">, </w:t>
      </w:r>
      <w:proofErr w:type="spellStart"/>
      <w:r w:rsidRPr="00C2763D">
        <w:rPr>
          <w:rFonts w:ascii="Arial" w:hAnsi="Arial" w:cs="Arial"/>
          <w:i/>
          <w:iCs/>
        </w:rPr>
        <w:t>Daniellia</w:t>
      </w:r>
      <w:proofErr w:type="spellEnd"/>
      <w:r w:rsidRPr="00C2763D">
        <w:rPr>
          <w:rFonts w:ascii="Arial" w:hAnsi="Arial" w:cs="Arial"/>
          <w:i/>
          <w:iCs/>
        </w:rPr>
        <w:t xml:space="preserve"> </w:t>
      </w:r>
      <w:proofErr w:type="spellStart"/>
      <w:r w:rsidRPr="00C2763D">
        <w:rPr>
          <w:rFonts w:ascii="Arial" w:hAnsi="Arial" w:cs="Arial"/>
          <w:i/>
          <w:iCs/>
        </w:rPr>
        <w:t>olivera</w:t>
      </w:r>
      <w:proofErr w:type="spellEnd"/>
      <w:r w:rsidRPr="00C2763D">
        <w:rPr>
          <w:rFonts w:ascii="Arial" w:hAnsi="Arial" w:cs="Arial"/>
          <w:i/>
          <w:iCs/>
        </w:rPr>
        <w:t>,</w:t>
      </w:r>
      <w:r w:rsidRPr="00C2763D">
        <w:rPr>
          <w:rFonts w:ascii="Arial" w:hAnsi="Arial" w:cs="Arial"/>
        </w:rPr>
        <w:t xml:space="preserve"> and </w:t>
      </w:r>
      <w:r w:rsidRPr="00C2763D">
        <w:rPr>
          <w:rFonts w:ascii="Arial" w:hAnsi="Arial" w:cs="Arial"/>
          <w:i/>
          <w:iCs/>
        </w:rPr>
        <w:t>Khaya senegalensis</w:t>
      </w:r>
      <w:r w:rsidRPr="00C2763D">
        <w:rPr>
          <w:rFonts w:ascii="Arial" w:hAnsi="Arial" w:cs="Arial"/>
        </w:rPr>
        <w:t xml:space="preserve">, emblematic of the site’s original vegetation, are omnipresent. The assessment of species diversity using </w:t>
      </w:r>
      <w:proofErr w:type="spellStart"/>
      <w:r w:rsidRPr="00C2763D">
        <w:rPr>
          <w:rFonts w:ascii="Arial" w:hAnsi="Arial" w:cs="Arial"/>
        </w:rPr>
        <w:t>biocenotic</w:t>
      </w:r>
      <w:proofErr w:type="spellEnd"/>
      <w:r w:rsidRPr="00C2763D">
        <w:rPr>
          <w:rFonts w:ascii="Arial" w:hAnsi="Arial" w:cs="Arial"/>
        </w:rPr>
        <w:t xml:space="preserve"> indices reveals a moderately high diversity of woody vegetation, mainly due to the presence of native species. Within this vegetation, several species with special status were identified, including vulnerable, endangered, and rare species listed on the IUCN Red List, highlighting the site’s biodiversity conservation value. The results of this study therefore constitute a reference situation for the sustainable management and development of the green space on the </w:t>
      </w:r>
      <w:proofErr w:type="spellStart"/>
      <w:r w:rsidRPr="00C2763D">
        <w:rPr>
          <w:rFonts w:ascii="Arial" w:hAnsi="Arial" w:cs="Arial"/>
        </w:rPr>
        <w:t>Peleforo</w:t>
      </w:r>
      <w:proofErr w:type="spellEnd"/>
      <w:r w:rsidRPr="00C2763D">
        <w:rPr>
          <w:rFonts w:ascii="Arial" w:hAnsi="Arial" w:cs="Arial"/>
        </w:rPr>
        <w:t xml:space="preserve"> Gon Coulibaly university campus.</w:t>
      </w:r>
    </w:p>
    <w:p w14:paraId="4F3CC248" w14:textId="77777777" w:rsidR="00315186" w:rsidRPr="00CE4CFC" w:rsidRDefault="00315186" w:rsidP="00441B6F">
      <w:pPr>
        <w:rPr>
          <w:highlight w:val="yellow"/>
        </w:rPr>
      </w:pPr>
    </w:p>
    <w:p w14:paraId="395E1259" w14:textId="77777777" w:rsidR="00122F9E" w:rsidRDefault="00122F9E" w:rsidP="00441B6F">
      <w:pPr>
        <w:pStyle w:val="ReferHead"/>
        <w:spacing w:after="0"/>
        <w:jc w:val="both"/>
        <w:rPr>
          <w:rFonts w:ascii="Arial" w:hAnsi="Arial" w:cs="Arial"/>
          <w:b w:val="0"/>
          <w:caps w:val="0"/>
          <w:sz w:val="20"/>
        </w:rPr>
      </w:pPr>
    </w:p>
    <w:p w14:paraId="2B12BF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3655A5" w14:textId="77777777" w:rsidR="00790ADA" w:rsidRPr="00FB3A86" w:rsidRDefault="00790ADA" w:rsidP="00441B6F">
      <w:pPr>
        <w:pStyle w:val="ReferHead"/>
        <w:spacing w:after="0"/>
        <w:jc w:val="both"/>
        <w:rPr>
          <w:rFonts w:ascii="Arial" w:hAnsi="Arial" w:cs="Arial"/>
        </w:rPr>
      </w:pPr>
    </w:p>
    <w:p w14:paraId="6C536E8E" w14:textId="77777777" w:rsidR="00036A06" w:rsidRPr="00036A06" w:rsidRDefault="00036A06" w:rsidP="00036A06">
      <w:pPr>
        <w:pStyle w:val="Body"/>
        <w:rPr>
          <w:rFonts w:ascii="Arial" w:hAnsi="Arial" w:cs="Arial"/>
          <w:bCs/>
        </w:rPr>
      </w:pPr>
      <w:proofErr w:type="spellStart"/>
      <w:r w:rsidRPr="00036A06">
        <w:rPr>
          <w:rFonts w:ascii="Arial" w:hAnsi="Arial" w:cs="Arial"/>
          <w:bCs/>
        </w:rPr>
        <w:t>Aké-Assi</w:t>
      </w:r>
      <w:proofErr w:type="spellEnd"/>
      <w:r w:rsidRPr="00036A06">
        <w:rPr>
          <w:rFonts w:ascii="Arial" w:hAnsi="Arial" w:cs="Arial"/>
          <w:bCs/>
        </w:rPr>
        <w:t xml:space="preserve">, E. (2015). Plants with Ornamental Potential in the Flora of Southern Côte d'Ivoire: Taxonomic, Ethnobotanical Studies, and Domestication Trial of </w:t>
      </w:r>
      <w:proofErr w:type="spellStart"/>
      <w:r w:rsidRPr="00036A06">
        <w:rPr>
          <w:rFonts w:ascii="Arial" w:hAnsi="Arial" w:cs="Arial"/>
          <w:bCs/>
        </w:rPr>
        <w:t>Thunbergia</w:t>
      </w:r>
      <w:proofErr w:type="spellEnd"/>
      <w:r w:rsidRPr="00036A06">
        <w:rPr>
          <w:rFonts w:ascii="Arial" w:hAnsi="Arial" w:cs="Arial"/>
          <w:bCs/>
        </w:rPr>
        <w:t xml:space="preserve"> </w:t>
      </w:r>
      <w:proofErr w:type="spellStart"/>
      <w:r w:rsidRPr="00036A06">
        <w:rPr>
          <w:rFonts w:ascii="Arial" w:hAnsi="Arial" w:cs="Arial"/>
          <w:bCs/>
        </w:rPr>
        <w:t>atacorensis</w:t>
      </w:r>
      <w:proofErr w:type="spellEnd"/>
      <w:r w:rsidRPr="00036A06">
        <w:rPr>
          <w:rFonts w:ascii="Arial" w:hAnsi="Arial" w:cs="Arial"/>
          <w:bCs/>
        </w:rPr>
        <w:t xml:space="preserve"> </w:t>
      </w:r>
      <w:proofErr w:type="spellStart"/>
      <w:r w:rsidRPr="00036A06">
        <w:rPr>
          <w:rFonts w:ascii="Arial" w:hAnsi="Arial" w:cs="Arial"/>
          <w:bCs/>
        </w:rPr>
        <w:t>Akoegninou</w:t>
      </w:r>
      <w:proofErr w:type="spellEnd"/>
      <w:r w:rsidRPr="00036A06">
        <w:rPr>
          <w:rFonts w:ascii="Arial" w:hAnsi="Arial" w:cs="Arial"/>
          <w:bCs/>
        </w:rPr>
        <w:t xml:space="preserve"> &amp; </w:t>
      </w:r>
      <w:proofErr w:type="spellStart"/>
      <w:r w:rsidRPr="00036A06">
        <w:rPr>
          <w:rFonts w:ascii="Arial" w:hAnsi="Arial" w:cs="Arial"/>
          <w:bCs/>
        </w:rPr>
        <w:t>Lisowski</w:t>
      </w:r>
      <w:proofErr w:type="spellEnd"/>
      <w:r w:rsidRPr="00036A06">
        <w:rPr>
          <w:rFonts w:ascii="Arial" w:hAnsi="Arial" w:cs="Arial"/>
          <w:bCs/>
        </w:rPr>
        <w:t xml:space="preserve"> (</w:t>
      </w:r>
      <w:proofErr w:type="spellStart"/>
      <w:r w:rsidRPr="00036A06">
        <w:rPr>
          <w:rFonts w:ascii="Arial" w:hAnsi="Arial" w:cs="Arial"/>
          <w:bCs/>
        </w:rPr>
        <w:t>Acanthaceae</w:t>
      </w:r>
      <w:proofErr w:type="spellEnd"/>
      <w:r w:rsidRPr="00036A06">
        <w:rPr>
          <w:rFonts w:ascii="Arial" w:hAnsi="Arial" w:cs="Arial"/>
          <w:bCs/>
        </w:rPr>
        <w:t xml:space="preserve">), a Newly Introduced Species. Doctoral Thesis. Abidjan: Félix </w:t>
      </w:r>
      <w:proofErr w:type="spellStart"/>
      <w:r w:rsidRPr="00036A06">
        <w:rPr>
          <w:rFonts w:ascii="Arial" w:hAnsi="Arial" w:cs="Arial"/>
          <w:bCs/>
        </w:rPr>
        <w:t>Houphouët-Boigny</w:t>
      </w:r>
      <w:proofErr w:type="spellEnd"/>
      <w:r w:rsidRPr="00036A06">
        <w:rPr>
          <w:rFonts w:ascii="Arial" w:hAnsi="Arial" w:cs="Arial"/>
          <w:bCs/>
        </w:rPr>
        <w:t xml:space="preserve"> University.</w:t>
      </w:r>
    </w:p>
    <w:p w14:paraId="57C539BE" w14:textId="77777777" w:rsidR="00036A06" w:rsidRPr="00036A06" w:rsidRDefault="00036A06" w:rsidP="00036A06">
      <w:pPr>
        <w:pStyle w:val="Body"/>
        <w:rPr>
          <w:rFonts w:ascii="Arial" w:hAnsi="Arial" w:cs="Arial"/>
          <w:bCs/>
        </w:rPr>
      </w:pPr>
      <w:proofErr w:type="spellStart"/>
      <w:r w:rsidRPr="00036A06">
        <w:rPr>
          <w:rFonts w:ascii="Arial" w:hAnsi="Arial" w:cs="Arial"/>
          <w:bCs/>
        </w:rPr>
        <w:t>Aké-Assi</w:t>
      </w:r>
      <w:proofErr w:type="spellEnd"/>
      <w:r w:rsidRPr="00036A06">
        <w:rPr>
          <w:rFonts w:ascii="Arial" w:hAnsi="Arial" w:cs="Arial"/>
          <w:bCs/>
        </w:rPr>
        <w:t>, L. (2001). Flora of Côte d'Ivoire: Catalog, Systematics, Biogeography, and Ecology 1. Geneva: Conservatory and Botanical Garden.</w:t>
      </w:r>
    </w:p>
    <w:p w14:paraId="4445071D" w14:textId="77777777" w:rsidR="00036A06" w:rsidRPr="00036A06" w:rsidRDefault="00036A06" w:rsidP="00036A06">
      <w:pPr>
        <w:pStyle w:val="Body"/>
        <w:rPr>
          <w:rFonts w:ascii="Arial" w:hAnsi="Arial" w:cs="Arial"/>
          <w:bCs/>
        </w:rPr>
      </w:pPr>
      <w:proofErr w:type="spellStart"/>
      <w:r w:rsidRPr="00036A06">
        <w:rPr>
          <w:rFonts w:ascii="Arial" w:hAnsi="Arial" w:cs="Arial"/>
          <w:bCs/>
        </w:rPr>
        <w:t>Aké-Assi</w:t>
      </w:r>
      <w:proofErr w:type="spellEnd"/>
      <w:r w:rsidRPr="00036A06">
        <w:rPr>
          <w:rFonts w:ascii="Arial" w:hAnsi="Arial" w:cs="Arial"/>
          <w:bCs/>
        </w:rPr>
        <w:t>, L. (2002). Flora of Côte d'Ivoire: Catalog, Systematics, Biogeography, and Ecology 2. Geneva: Conservatory and Botanical Garden.</w:t>
      </w:r>
    </w:p>
    <w:p w14:paraId="272EBC41" w14:textId="77777777" w:rsidR="00036A06" w:rsidRPr="00036A06" w:rsidRDefault="00036A06" w:rsidP="00036A06">
      <w:pPr>
        <w:pStyle w:val="Body"/>
        <w:rPr>
          <w:rFonts w:ascii="Arial" w:hAnsi="Arial" w:cs="Arial"/>
          <w:bCs/>
        </w:rPr>
      </w:pPr>
      <w:proofErr w:type="spellStart"/>
      <w:r w:rsidRPr="00036A06">
        <w:rPr>
          <w:rFonts w:ascii="Arial" w:hAnsi="Arial" w:cs="Arial"/>
          <w:bCs/>
        </w:rPr>
        <w:t>Amontcha</w:t>
      </w:r>
      <w:proofErr w:type="spellEnd"/>
      <w:r w:rsidRPr="00036A06">
        <w:rPr>
          <w:rFonts w:ascii="Arial" w:hAnsi="Arial" w:cs="Arial"/>
          <w:bCs/>
        </w:rPr>
        <w:t xml:space="preserve">, A. M., </w:t>
      </w:r>
      <w:proofErr w:type="spellStart"/>
      <w:r w:rsidRPr="00036A06">
        <w:rPr>
          <w:rFonts w:ascii="Arial" w:hAnsi="Arial" w:cs="Arial"/>
          <w:bCs/>
        </w:rPr>
        <w:t>Djego</w:t>
      </w:r>
      <w:proofErr w:type="spellEnd"/>
      <w:r w:rsidRPr="00036A06">
        <w:rPr>
          <w:rFonts w:ascii="Arial" w:hAnsi="Arial" w:cs="Arial"/>
          <w:bCs/>
        </w:rPr>
        <w:t xml:space="preserve">, J. G., </w:t>
      </w:r>
      <w:proofErr w:type="spellStart"/>
      <w:r w:rsidRPr="00036A06">
        <w:rPr>
          <w:rFonts w:ascii="Arial" w:hAnsi="Arial" w:cs="Arial"/>
          <w:bCs/>
        </w:rPr>
        <w:t>Toko</w:t>
      </w:r>
      <w:proofErr w:type="spellEnd"/>
      <w:r w:rsidRPr="00036A06">
        <w:rPr>
          <w:rFonts w:ascii="Arial" w:hAnsi="Arial" w:cs="Arial"/>
          <w:bCs/>
        </w:rPr>
        <w:t xml:space="preserve">, I. I., &amp; </w:t>
      </w:r>
      <w:proofErr w:type="spellStart"/>
      <w:r w:rsidRPr="00036A06">
        <w:rPr>
          <w:rFonts w:ascii="Arial" w:hAnsi="Arial" w:cs="Arial"/>
          <w:bCs/>
        </w:rPr>
        <w:t>Sinsin</w:t>
      </w:r>
      <w:proofErr w:type="spellEnd"/>
      <w:r w:rsidRPr="00036A06">
        <w:rPr>
          <w:rFonts w:ascii="Arial" w:hAnsi="Arial" w:cs="Arial"/>
          <w:bCs/>
        </w:rPr>
        <w:t xml:space="preserve">, B. A. (2017). </w:t>
      </w:r>
      <w:proofErr w:type="spellStart"/>
      <w:r w:rsidRPr="00036A06">
        <w:rPr>
          <w:rFonts w:ascii="Arial" w:hAnsi="Arial" w:cs="Arial"/>
          <w:bCs/>
        </w:rPr>
        <w:t>Phytodiversity</w:t>
      </w:r>
      <w:proofErr w:type="spellEnd"/>
      <w:r w:rsidRPr="00036A06">
        <w:rPr>
          <w:rFonts w:ascii="Arial" w:hAnsi="Arial" w:cs="Arial"/>
          <w:bCs/>
        </w:rPr>
        <w:t xml:space="preserve"> and Uses of Private Green Spaces in the Cities of Greater </w:t>
      </w:r>
      <w:proofErr w:type="spellStart"/>
      <w:r w:rsidRPr="00036A06">
        <w:rPr>
          <w:rFonts w:ascii="Arial" w:hAnsi="Arial" w:cs="Arial"/>
          <w:bCs/>
        </w:rPr>
        <w:t>Nokoué</w:t>
      </w:r>
      <w:proofErr w:type="spellEnd"/>
      <w:r w:rsidRPr="00036A06">
        <w:rPr>
          <w:rFonts w:ascii="Arial" w:hAnsi="Arial" w:cs="Arial"/>
          <w:bCs/>
        </w:rPr>
        <w:t xml:space="preserve"> (Southern Benin). Journal of Scientific Research of the University of Lomé, 17(2), 117-140.</w:t>
      </w:r>
    </w:p>
    <w:p w14:paraId="46F8BF7D" w14:textId="77777777" w:rsidR="00036A06" w:rsidRPr="00036A06" w:rsidRDefault="00036A06" w:rsidP="00036A06">
      <w:pPr>
        <w:pStyle w:val="Body"/>
        <w:rPr>
          <w:rFonts w:ascii="Arial" w:hAnsi="Arial" w:cs="Arial"/>
          <w:bCs/>
        </w:rPr>
      </w:pPr>
      <w:proofErr w:type="spellStart"/>
      <w:r w:rsidRPr="00036A06">
        <w:rPr>
          <w:rFonts w:ascii="Arial" w:hAnsi="Arial" w:cs="Arial"/>
          <w:bCs/>
        </w:rPr>
        <w:t>Charahabil</w:t>
      </w:r>
      <w:proofErr w:type="spellEnd"/>
      <w:r w:rsidRPr="00036A06">
        <w:rPr>
          <w:rFonts w:ascii="Arial" w:hAnsi="Arial" w:cs="Arial"/>
          <w:bCs/>
        </w:rPr>
        <w:t xml:space="preserve">, M. M., Cesar, B., </w:t>
      </w:r>
      <w:proofErr w:type="spellStart"/>
      <w:r w:rsidRPr="00036A06">
        <w:rPr>
          <w:rFonts w:ascii="Arial" w:hAnsi="Arial" w:cs="Arial"/>
          <w:bCs/>
        </w:rPr>
        <w:t>Hamadou</w:t>
      </w:r>
      <w:proofErr w:type="spellEnd"/>
      <w:r w:rsidRPr="00036A06">
        <w:rPr>
          <w:rFonts w:ascii="Arial" w:hAnsi="Arial" w:cs="Arial"/>
          <w:bCs/>
        </w:rPr>
        <w:t xml:space="preserve">, B., Ndiaye, S., &amp; </w:t>
      </w:r>
      <w:proofErr w:type="spellStart"/>
      <w:r w:rsidRPr="00036A06">
        <w:rPr>
          <w:rFonts w:ascii="Arial" w:hAnsi="Arial" w:cs="Arial"/>
          <w:bCs/>
        </w:rPr>
        <w:t>Diatta</w:t>
      </w:r>
      <w:proofErr w:type="spellEnd"/>
      <w:r w:rsidRPr="00036A06">
        <w:rPr>
          <w:rFonts w:ascii="Arial" w:hAnsi="Arial" w:cs="Arial"/>
          <w:bCs/>
        </w:rPr>
        <w:t xml:space="preserve">, M. (2018). Diversity and Structure of Urban Green Spaces in the City of </w:t>
      </w:r>
      <w:proofErr w:type="spellStart"/>
      <w:r w:rsidRPr="00036A06">
        <w:rPr>
          <w:rFonts w:ascii="Arial" w:hAnsi="Arial" w:cs="Arial"/>
          <w:bCs/>
        </w:rPr>
        <w:t>Ziguinchor</w:t>
      </w:r>
      <w:proofErr w:type="spellEnd"/>
      <w:r w:rsidRPr="00036A06">
        <w:rPr>
          <w:rFonts w:ascii="Arial" w:hAnsi="Arial" w:cs="Arial"/>
          <w:bCs/>
        </w:rPr>
        <w:t>, Senegal. International Journal of Biological and Chemical Sciences, 12(4), 1650-1666.</w:t>
      </w:r>
    </w:p>
    <w:p w14:paraId="4FD6E8E3" w14:textId="77777777" w:rsidR="00036A06" w:rsidRPr="00036A06" w:rsidRDefault="00036A06" w:rsidP="00036A06">
      <w:pPr>
        <w:pStyle w:val="Body"/>
        <w:rPr>
          <w:rFonts w:ascii="Arial" w:hAnsi="Arial" w:cs="Arial"/>
          <w:bCs/>
        </w:rPr>
      </w:pPr>
      <w:proofErr w:type="spellStart"/>
      <w:r w:rsidRPr="00036A06">
        <w:rPr>
          <w:rFonts w:ascii="Arial" w:hAnsi="Arial" w:cs="Arial"/>
          <w:bCs/>
        </w:rPr>
        <w:t>Clergeau</w:t>
      </w:r>
      <w:proofErr w:type="spellEnd"/>
      <w:r w:rsidRPr="00036A06">
        <w:rPr>
          <w:rFonts w:ascii="Arial" w:hAnsi="Arial" w:cs="Arial"/>
          <w:bCs/>
        </w:rPr>
        <w:t xml:space="preserve">, P. (1996). Urban Biodiversity? Le </w:t>
      </w:r>
      <w:proofErr w:type="spellStart"/>
      <w:r w:rsidRPr="00036A06">
        <w:rPr>
          <w:rFonts w:ascii="Arial" w:hAnsi="Arial" w:cs="Arial"/>
          <w:bCs/>
        </w:rPr>
        <w:t>Courrier</w:t>
      </w:r>
      <w:proofErr w:type="spellEnd"/>
      <w:r w:rsidRPr="00036A06">
        <w:rPr>
          <w:rFonts w:ascii="Arial" w:hAnsi="Arial" w:cs="Arial"/>
          <w:bCs/>
        </w:rPr>
        <w:t xml:space="preserve"> du CNRS, 82, 102-104.</w:t>
      </w:r>
    </w:p>
    <w:p w14:paraId="02B13B70" w14:textId="77777777" w:rsidR="00036A06" w:rsidRPr="00036A06" w:rsidRDefault="00036A06" w:rsidP="00036A06">
      <w:pPr>
        <w:pStyle w:val="Body"/>
        <w:rPr>
          <w:rFonts w:ascii="Arial" w:hAnsi="Arial" w:cs="Arial"/>
          <w:bCs/>
        </w:rPr>
      </w:pPr>
      <w:proofErr w:type="spellStart"/>
      <w:r w:rsidRPr="00036A06">
        <w:rPr>
          <w:rFonts w:ascii="Arial" w:hAnsi="Arial" w:cs="Arial"/>
          <w:bCs/>
        </w:rPr>
        <w:lastRenderedPageBreak/>
        <w:t>Depaule</w:t>
      </w:r>
      <w:proofErr w:type="spellEnd"/>
      <w:r w:rsidRPr="00036A06">
        <w:rPr>
          <w:rFonts w:ascii="Arial" w:hAnsi="Arial" w:cs="Arial"/>
          <w:bCs/>
        </w:rPr>
        <w:t xml:space="preserve">, J. C. &amp; </w:t>
      </w:r>
      <w:proofErr w:type="spellStart"/>
      <w:r w:rsidRPr="00036A06">
        <w:rPr>
          <w:rFonts w:ascii="Arial" w:hAnsi="Arial" w:cs="Arial"/>
          <w:bCs/>
        </w:rPr>
        <w:t>Topalov</w:t>
      </w:r>
      <w:proofErr w:type="spellEnd"/>
      <w:r w:rsidRPr="00036A06">
        <w:rPr>
          <w:rFonts w:ascii="Arial" w:hAnsi="Arial" w:cs="Arial"/>
          <w:bCs/>
        </w:rPr>
        <w:t xml:space="preserve">, C. (1996). The City Through Its Words. </w:t>
      </w:r>
      <w:proofErr w:type="spellStart"/>
      <w:r w:rsidRPr="00036A06">
        <w:rPr>
          <w:rFonts w:ascii="Arial" w:hAnsi="Arial" w:cs="Arial"/>
          <w:bCs/>
        </w:rPr>
        <w:t>Enquête</w:t>
      </w:r>
      <w:proofErr w:type="spellEnd"/>
      <w:r w:rsidRPr="00036A06">
        <w:rPr>
          <w:rFonts w:ascii="Arial" w:hAnsi="Arial" w:cs="Arial"/>
          <w:bCs/>
        </w:rPr>
        <w:t>, (4), 247-266. DOI: 10.4000/enquete.963.</w:t>
      </w:r>
    </w:p>
    <w:p w14:paraId="6441EB89" w14:textId="77777777" w:rsidR="00036A06" w:rsidRPr="00036A06" w:rsidRDefault="00036A06" w:rsidP="00036A06">
      <w:pPr>
        <w:pStyle w:val="Body"/>
        <w:rPr>
          <w:rFonts w:ascii="Arial" w:hAnsi="Arial" w:cs="Arial"/>
          <w:bCs/>
        </w:rPr>
      </w:pPr>
      <w:proofErr w:type="spellStart"/>
      <w:r w:rsidRPr="00036A06">
        <w:rPr>
          <w:rFonts w:ascii="Arial" w:hAnsi="Arial" w:cs="Arial"/>
          <w:bCs/>
        </w:rPr>
        <w:t>Djego</w:t>
      </w:r>
      <w:proofErr w:type="spellEnd"/>
      <w:r w:rsidRPr="00036A06">
        <w:rPr>
          <w:rFonts w:ascii="Arial" w:hAnsi="Arial" w:cs="Arial"/>
          <w:bCs/>
        </w:rPr>
        <w:t xml:space="preserve">, J., </w:t>
      </w:r>
      <w:proofErr w:type="spellStart"/>
      <w:r w:rsidRPr="00036A06">
        <w:rPr>
          <w:rFonts w:ascii="Arial" w:hAnsi="Arial" w:cs="Arial"/>
          <w:bCs/>
        </w:rPr>
        <w:t>Gibigaye</w:t>
      </w:r>
      <w:proofErr w:type="spellEnd"/>
      <w:r w:rsidRPr="00036A06">
        <w:rPr>
          <w:rFonts w:ascii="Arial" w:hAnsi="Arial" w:cs="Arial"/>
          <w:bCs/>
        </w:rPr>
        <w:t xml:space="preserve">, M., </w:t>
      </w:r>
      <w:proofErr w:type="spellStart"/>
      <w:r w:rsidRPr="00036A06">
        <w:rPr>
          <w:rFonts w:ascii="Arial" w:hAnsi="Arial" w:cs="Arial"/>
          <w:bCs/>
        </w:rPr>
        <w:t>Tente</w:t>
      </w:r>
      <w:proofErr w:type="spellEnd"/>
      <w:r w:rsidRPr="00036A06">
        <w:rPr>
          <w:rFonts w:ascii="Arial" w:hAnsi="Arial" w:cs="Arial"/>
          <w:bCs/>
        </w:rPr>
        <w:t xml:space="preserve">, B., &amp; </w:t>
      </w:r>
      <w:proofErr w:type="spellStart"/>
      <w:r w:rsidRPr="00036A06">
        <w:rPr>
          <w:rFonts w:ascii="Arial" w:hAnsi="Arial" w:cs="Arial"/>
          <w:bCs/>
        </w:rPr>
        <w:t>Sinsin</w:t>
      </w:r>
      <w:proofErr w:type="spellEnd"/>
      <w:r w:rsidRPr="00036A06">
        <w:rPr>
          <w:rFonts w:ascii="Arial" w:hAnsi="Arial" w:cs="Arial"/>
          <w:bCs/>
        </w:rPr>
        <w:t xml:space="preserve">, B. (2012). Ecological and structural analyses of the </w:t>
      </w:r>
      <w:proofErr w:type="spellStart"/>
      <w:r w:rsidRPr="00036A06">
        <w:rPr>
          <w:rFonts w:ascii="Arial" w:hAnsi="Arial" w:cs="Arial"/>
          <w:bCs/>
        </w:rPr>
        <w:t>Kaodji</w:t>
      </w:r>
      <w:proofErr w:type="spellEnd"/>
      <w:r w:rsidRPr="00036A06">
        <w:rPr>
          <w:rFonts w:ascii="Arial" w:hAnsi="Arial" w:cs="Arial"/>
          <w:bCs/>
        </w:rPr>
        <w:t xml:space="preserve"> community forest in Benin. International Journal of Biological and Chemical Sciences, 6 (2), 705-713.</w:t>
      </w:r>
    </w:p>
    <w:p w14:paraId="4FF5DB49" w14:textId="77777777" w:rsidR="00036A06" w:rsidRPr="00036A06" w:rsidRDefault="00036A06" w:rsidP="00036A06">
      <w:pPr>
        <w:pStyle w:val="Body"/>
        <w:rPr>
          <w:rFonts w:ascii="Arial" w:hAnsi="Arial" w:cs="Arial"/>
          <w:bCs/>
        </w:rPr>
      </w:pPr>
      <w:r w:rsidRPr="00036A06">
        <w:rPr>
          <w:rFonts w:ascii="Arial" w:hAnsi="Arial" w:cs="Arial"/>
          <w:bCs/>
        </w:rPr>
        <w:t xml:space="preserve">El </w:t>
      </w:r>
      <w:proofErr w:type="spellStart"/>
      <w:r w:rsidRPr="00036A06">
        <w:rPr>
          <w:rFonts w:ascii="Arial" w:hAnsi="Arial" w:cs="Arial"/>
          <w:bCs/>
        </w:rPr>
        <w:t>Faiz</w:t>
      </w:r>
      <w:proofErr w:type="spellEnd"/>
      <w:r w:rsidRPr="00036A06">
        <w:rPr>
          <w:rFonts w:ascii="Arial" w:hAnsi="Arial" w:cs="Arial"/>
          <w:bCs/>
        </w:rPr>
        <w:t xml:space="preserve">, A., </w:t>
      </w:r>
      <w:proofErr w:type="spellStart"/>
      <w:r w:rsidRPr="00036A06">
        <w:rPr>
          <w:rFonts w:ascii="Arial" w:hAnsi="Arial" w:cs="Arial"/>
          <w:bCs/>
        </w:rPr>
        <w:t>Dounas</w:t>
      </w:r>
      <w:proofErr w:type="spellEnd"/>
      <w:r w:rsidRPr="00036A06">
        <w:rPr>
          <w:rFonts w:ascii="Arial" w:hAnsi="Arial" w:cs="Arial"/>
          <w:bCs/>
        </w:rPr>
        <w:t xml:space="preserve">, H., </w:t>
      </w:r>
      <w:proofErr w:type="spellStart"/>
      <w:r w:rsidRPr="00036A06">
        <w:rPr>
          <w:rFonts w:ascii="Arial" w:hAnsi="Arial" w:cs="Arial"/>
          <w:bCs/>
        </w:rPr>
        <w:t>Meddich</w:t>
      </w:r>
      <w:proofErr w:type="spellEnd"/>
      <w:r w:rsidRPr="00036A06">
        <w:rPr>
          <w:rFonts w:ascii="Arial" w:hAnsi="Arial" w:cs="Arial"/>
          <w:bCs/>
        </w:rPr>
        <w:t xml:space="preserve">, A., </w:t>
      </w:r>
      <w:proofErr w:type="spellStart"/>
      <w:r w:rsidRPr="00036A06">
        <w:rPr>
          <w:rFonts w:ascii="Arial" w:hAnsi="Arial" w:cs="Arial"/>
          <w:bCs/>
        </w:rPr>
        <w:t>Hafidi</w:t>
      </w:r>
      <w:proofErr w:type="spellEnd"/>
      <w:r w:rsidRPr="00036A06">
        <w:rPr>
          <w:rFonts w:ascii="Arial" w:hAnsi="Arial" w:cs="Arial"/>
          <w:bCs/>
        </w:rPr>
        <w:t xml:space="preserve">, M., &amp; </w:t>
      </w:r>
      <w:proofErr w:type="spellStart"/>
      <w:r w:rsidRPr="00036A06">
        <w:rPr>
          <w:rFonts w:ascii="Arial" w:hAnsi="Arial" w:cs="Arial"/>
          <w:bCs/>
        </w:rPr>
        <w:t>Ouhammou</w:t>
      </w:r>
      <w:proofErr w:type="spellEnd"/>
      <w:r w:rsidRPr="00036A06">
        <w:rPr>
          <w:rFonts w:ascii="Arial" w:hAnsi="Arial" w:cs="Arial"/>
          <w:bCs/>
        </w:rPr>
        <w:t xml:space="preserve">, A. (2016). Biodiversity of public green spaces in the Urban Municipality of Marrakech (CUM) (Morocco). Acta Botanica </w:t>
      </w:r>
      <w:proofErr w:type="spellStart"/>
      <w:r w:rsidRPr="00036A06">
        <w:rPr>
          <w:rFonts w:ascii="Arial" w:hAnsi="Arial" w:cs="Arial"/>
          <w:bCs/>
        </w:rPr>
        <w:t>Malacitana</w:t>
      </w:r>
      <w:proofErr w:type="spellEnd"/>
      <w:r w:rsidRPr="00036A06">
        <w:rPr>
          <w:rFonts w:ascii="Arial" w:hAnsi="Arial" w:cs="Arial"/>
          <w:bCs/>
        </w:rPr>
        <w:t>, 41, 83-100.</w:t>
      </w:r>
    </w:p>
    <w:p w14:paraId="25EA5B4F" w14:textId="77777777" w:rsidR="00036A06" w:rsidRPr="00036A06" w:rsidRDefault="00036A06" w:rsidP="00036A06">
      <w:pPr>
        <w:pStyle w:val="Body"/>
        <w:rPr>
          <w:rFonts w:ascii="Arial" w:hAnsi="Arial" w:cs="Arial"/>
          <w:bCs/>
        </w:rPr>
      </w:pPr>
      <w:proofErr w:type="spellStart"/>
      <w:r w:rsidRPr="00036A06">
        <w:rPr>
          <w:rFonts w:ascii="Arial" w:hAnsi="Arial" w:cs="Arial"/>
          <w:bCs/>
        </w:rPr>
        <w:t>Fousseni</w:t>
      </w:r>
      <w:proofErr w:type="spellEnd"/>
      <w:r w:rsidRPr="00036A06">
        <w:rPr>
          <w:rFonts w:ascii="Arial" w:hAnsi="Arial" w:cs="Arial"/>
          <w:bCs/>
        </w:rPr>
        <w:t xml:space="preserve">, F., </w:t>
      </w:r>
      <w:proofErr w:type="spellStart"/>
      <w:r w:rsidRPr="00036A06">
        <w:rPr>
          <w:rFonts w:ascii="Arial" w:hAnsi="Arial" w:cs="Arial"/>
          <w:bCs/>
        </w:rPr>
        <w:t>Wouyo</w:t>
      </w:r>
      <w:proofErr w:type="spellEnd"/>
      <w:r w:rsidRPr="00036A06">
        <w:rPr>
          <w:rFonts w:ascii="Arial" w:hAnsi="Arial" w:cs="Arial"/>
          <w:bCs/>
        </w:rPr>
        <w:t xml:space="preserve">, A., </w:t>
      </w:r>
      <w:proofErr w:type="spellStart"/>
      <w:r w:rsidRPr="00036A06">
        <w:rPr>
          <w:rFonts w:ascii="Arial" w:hAnsi="Arial" w:cs="Arial"/>
          <w:bCs/>
        </w:rPr>
        <w:t>Madjouma</w:t>
      </w:r>
      <w:proofErr w:type="spellEnd"/>
      <w:r w:rsidRPr="00036A06">
        <w:rPr>
          <w:rFonts w:ascii="Arial" w:hAnsi="Arial" w:cs="Arial"/>
          <w:bCs/>
        </w:rPr>
        <w:t xml:space="preserve">, K., </w:t>
      </w:r>
      <w:proofErr w:type="spellStart"/>
      <w:r w:rsidRPr="00036A06">
        <w:rPr>
          <w:rFonts w:ascii="Arial" w:hAnsi="Arial" w:cs="Arial"/>
          <w:bCs/>
        </w:rPr>
        <w:t>Djibril</w:t>
      </w:r>
      <w:proofErr w:type="spellEnd"/>
      <w:r w:rsidRPr="00036A06">
        <w:rPr>
          <w:rFonts w:ascii="Arial" w:hAnsi="Arial" w:cs="Arial"/>
          <w:bCs/>
        </w:rPr>
        <w:t xml:space="preserve">, K., </w:t>
      </w:r>
      <w:proofErr w:type="spellStart"/>
      <w:r w:rsidRPr="00036A06">
        <w:rPr>
          <w:rFonts w:ascii="Arial" w:hAnsi="Arial" w:cs="Arial"/>
          <w:bCs/>
        </w:rPr>
        <w:t>Kissao</w:t>
      </w:r>
      <w:proofErr w:type="spellEnd"/>
      <w:r w:rsidRPr="00036A06">
        <w:rPr>
          <w:rFonts w:ascii="Arial" w:hAnsi="Arial" w:cs="Arial"/>
          <w:bCs/>
        </w:rPr>
        <w:t xml:space="preserve">, G., </w:t>
      </w:r>
      <w:proofErr w:type="spellStart"/>
      <w:r w:rsidRPr="00036A06">
        <w:rPr>
          <w:rFonts w:ascii="Arial" w:hAnsi="Arial" w:cs="Arial"/>
          <w:bCs/>
        </w:rPr>
        <w:t>Kperkouma</w:t>
      </w:r>
      <w:proofErr w:type="spellEnd"/>
      <w:r w:rsidRPr="00036A06">
        <w:rPr>
          <w:rFonts w:ascii="Arial" w:hAnsi="Arial" w:cs="Arial"/>
          <w:bCs/>
        </w:rPr>
        <w:t xml:space="preserve">, W., &amp; </w:t>
      </w:r>
      <w:proofErr w:type="spellStart"/>
      <w:r w:rsidRPr="00036A06">
        <w:rPr>
          <w:rFonts w:ascii="Arial" w:hAnsi="Arial" w:cs="Arial"/>
          <w:bCs/>
        </w:rPr>
        <w:t>Koffi</w:t>
      </w:r>
      <w:proofErr w:type="spellEnd"/>
      <w:r w:rsidRPr="00036A06">
        <w:rPr>
          <w:rFonts w:ascii="Arial" w:hAnsi="Arial" w:cs="Arial"/>
          <w:bCs/>
        </w:rPr>
        <w:t xml:space="preserve">, A. (2019). Flora of urban green spaces in the city of </w:t>
      </w:r>
      <w:proofErr w:type="spellStart"/>
      <w:r w:rsidRPr="00036A06">
        <w:rPr>
          <w:rFonts w:ascii="Arial" w:hAnsi="Arial" w:cs="Arial"/>
          <w:bCs/>
        </w:rPr>
        <w:t>Atakpamé</w:t>
      </w:r>
      <w:proofErr w:type="spellEnd"/>
      <w:r w:rsidRPr="00036A06">
        <w:rPr>
          <w:rFonts w:ascii="Arial" w:hAnsi="Arial" w:cs="Arial"/>
          <w:bCs/>
        </w:rPr>
        <w:t>, Togo. Journal of Science and Technology, Synthesis, 25(2), 25-39.</w:t>
      </w:r>
    </w:p>
    <w:p w14:paraId="2ABDACBC" w14:textId="77777777" w:rsidR="00036A06" w:rsidRPr="00036A06" w:rsidRDefault="00036A06" w:rsidP="00036A06">
      <w:pPr>
        <w:pStyle w:val="Body"/>
        <w:rPr>
          <w:rFonts w:ascii="Arial" w:hAnsi="Arial" w:cs="Arial"/>
          <w:bCs/>
        </w:rPr>
      </w:pPr>
      <w:proofErr w:type="spellStart"/>
      <w:r w:rsidRPr="00036A06">
        <w:rPr>
          <w:rFonts w:ascii="Arial" w:hAnsi="Arial" w:cs="Arial"/>
          <w:bCs/>
        </w:rPr>
        <w:t>Gomgnimbou</w:t>
      </w:r>
      <w:proofErr w:type="spellEnd"/>
      <w:r w:rsidRPr="00036A06">
        <w:rPr>
          <w:rFonts w:ascii="Arial" w:hAnsi="Arial" w:cs="Arial"/>
          <w:bCs/>
        </w:rPr>
        <w:t xml:space="preserve">, A. P. K., </w:t>
      </w:r>
      <w:proofErr w:type="spellStart"/>
      <w:r w:rsidRPr="00036A06">
        <w:rPr>
          <w:rFonts w:ascii="Arial" w:hAnsi="Arial" w:cs="Arial"/>
          <w:bCs/>
        </w:rPr>
        <w:t>Ouedraogo</w:t>
      </w:r>
      <w:proofErr w:type="spellEnd"/>
      <w:r w:rsidRPr="00036A06">
        <w:rPr>
          <w:rFonts w:ascii="Arial" w:hAnsi="Arial" w:cs="Arial"/>
          <w:bCs/>
        </w:rPr>
        <w:t xml:space="preserve">, W. O., </w:t>
      </w:r>
      <w:proofErr w:type="spellStart"/>
      <w:r w:rsidRPr="00036A06">
        <w:rPr>
          <w:rFonts w:ascii="Arial" w:hAnsi="Arial" w:cs="Arial"/>
          <w:bCs/>
        </w:rPr>
        <w:t>Sanon</w:t>
      </w:r>
      <w:proofErr w:type="spellEnd"/>
      <w:r w:rsidRPr="00036A06">
        <w:rPr>
          <w:rFonts w:ascii="Arial" w:hAnsi="Arial" w:cs="Arial"/>
          <w:bCs/>
        </w:rPr>
        <w:t xml:space="preserve">, A., </w:t>
      </w:r>
      <w:proofErr w:type="spellStart"/>
      <w:r w:rsidRPr="00036A06">
        <w:rPr>
          <w:rFonts w:ascii="Arial" w:hAnsi="Arial" w:cs="Arial"/>
          <w:bCs/>
        </w:rPr>
        <w:t>Koné</w:t>
      </w:r>
      <w:proofErr w:type="spellEnd"/>
      <w:r w:rsidRPr="00036A06">
        <w:rPr>
          <w:rFonts w:ascii="Arial" w:hAnsi="Arial" w:cs="Arial"/>
          <w:bCs/>
        </w:rPr>
        <w:t xml:space="preserve">, M., </w:t>
      </w:r>
      <w:proofErr w:type="spellStart"/>
      <w:r w:rsidRPr="00036A06">
        <w:rPr>
          <w:rFonts w:ascii="Arial" w:hAnsi="Arial" w:cs="Arial"/>
          <w:bCs/>
        </w:rPr>
        <w:t>Ilboudo</w:t>
      </w:r>
      <w:proofErr w:type="spellEnd"/>
      <w:r w:rsidRPr="00036A06">
        <w:rPr>
          <w:rFonts w:ascii="Arial" w:hAnsi="Arial" w:cs="Arial"/>
          <w:bCs/>
        </w:rPr>
        <w:t xml:space="preserve">, D., &amp; </w:t>
      </w:r>
      <w:proofErr w:type="spellStart"/>
      <w:r w:rsidRPr="00036A06">
        <w:rPr>
          <w:rFonts w:ascii="Arial" w:hAnsi="Arial" w:cs="Arial"/>
          <w:bCs/>
        </w:rPr>
        <w:t>Nacro</w:t>
      </w:r>
      <w:proofErr w:type="spellEnd"/>
      <w:r w:rsidRPr="00036A06">
        <w:rPr>
          <w:rFonts w:ascii="Arial" w:hAnsi="Arial" w:cs="Arial"/>
          <w:bCs/>
        </w:rPr>
        <w:t>, H. B. (2019). Carbon sequestration potential of urban landscaped green spaces in the city of Bobo-</w:t>
      </w:r>
      <w:proofErr w:type="spellStart"/>
      <w:r w:rsidRPr="00036A06">
        <w:rPr>
          <w:rFonts w:ascii="Arial" w:hAnsi="Arial" w:cs="Arial"/>
          <w:bCs/>
        </w:rPr>
        <w:t>Dioulasso</w:t>
      </w:r>
      <w:proofErr w:type="spellEnd"/>
      <w:r w:rsidRPr="00036A06">
        <w:rPr>
          <w:rFonts w:ascii="Arial" w:hAnsi="Arial" w:cs="Arial"/>
          <w:bCs/>
        </w:rPr>
        <w:t>, Burkina Faso. Journal of Applied Biosciences, 144, 14739-14746.</w:t>
      </w:r>
    </w:p>
    <w:p w14:paraId="49986344" w14:textId="77777777" w:rsidR="00036A06" w:rsidRPr="00036A06" w:rsidRDefault="00036A06" w:rsidP="00036A06">
      <w:pPr>
        <w:pStyle w:val="Body"/>
        <w:rPr>
          <w:rFonts w:ascii="Arial" w:hAnsi="Arial" w:cs="Arial"/>
          <w:bCs/>
        </w:rPr>
      </w:pPr>
      <w:proofErr w:type="spellStart"/>
      <w:r w:rsidRPr="00036A06">
        <w:rPr>
          <w:rFonts w:ascii="Arial" w:hAnsi="Arial" w:cs="Arial"/>
          <w:bCs/>
        </w:rPr>
        <w:t>Gueulou</w:t>
      </w:r>
      <w:proofErr w:type="spellEnd"/>
      <w:r w:rsidRPr="00036A06">
        <w:rPr>
          <w:rFonts w:ascii="Arial" w:hAnsi="Arial" w:cs="Arial"/>
          <w:bCs/>
        </w:rPr>
        <w:t xml:space="preserve">, N., Coulibaly, B., Ouattara, N. D., </w:t>
      </w:r>
      <w:proofErr w:type="spellStart"/>
      <w:r w:rsidRPr="00036A06">
        <w:rPr>
          <w:rFonts w:ascii="Arial" w:hAnsi="Arial" w:cs="Arial"/>
          <w:bCs/>
        </w:rPr>
        <w:t>N’guessan</w:t>
      </w:r>
      <w:proofErr w:type="spellEnd"/>
      <w:r w:rsidRPr="00036A06">
        <w:rPr>
          <w:rFonts w:ascii="Arial" w:hAnsi="Arial" w:cs="Arial"/>
          <w:bCs/>
        </w:rPr>
        <w:t xml:space="preserve">, A. K., </w:t>
      </w:r>
      <w:proofErr w:type="spellStart"/>
      <w:r w:rsidRPr="00036A06">
        <w:rPr>
          <w:rFonts w:ascii="Arial" w:hAnsi="Arial" w:cs="Arial"/>
          <w:bCs/>
        </w:rPr>
        <w:t>Ahoba</w:t>
      </w:r>
      <w:proofErr w:type="spellEnd"/>
      <w:r w:rsidRPr="00036A06">
        <w:rPr>
          <w:rFonts w:ascii="Arial" w:hAnsi="Arial" w:cs="Arial"/>
          <w:bCs/>
        </w:rPr>
        <w:t xml:space="preserve">, A., &amp; Bakayoko, A. (2019). Management Methods and Conservation Effectiveness of Natural Forest Relics in the Dry Tropics: The Case of the </w:t>
      </w:r>
      <w:proofErr w:type="spellStart"/>
      <w:r w:rsidRPr="00036A06">
        <w:rPr>
          <w:rFonts w:ascii="Arial" w:hAnsi="Arial" w:cs="Arial"/>
          <w:bCs/>
        </w:rPr>
        <w:t>Korhogo</w:t>
      </w:r>
      <w:proofErr w:type="spellEnd"/>
      <w:r w:rsidRPr="00036A06">
        <w:rPr>
          <w:rFonts w:ascii="Arial" w:hAnsi="Arial" w:cs="Arial"/>
          <w:bCs/>
        </w:rPr>
        <w:t xml:space="preserve"> Department (North, Ivory Coast). International Journal of Biological and Chemical Sciences, 13 (7), 3332-3346.</w:t>
      </w:r>
    </w:p>
    <w:p w14:paraId="7624FFAA" w14:textId="77777777" w:rsidR="00036A06" w:rsidRPr="00036A06" w:rsidRDefault="00036A06" w:rsidP="00036A06">
      <w:pPr>
        <w:pStyle w:val="Body"/>
        <w:rPr>
          <w:rFonts w:ascii="Arial" w:hAnsi="Arial" w:cs="Arial"/>
          <w:bCs/>
        </w:rPr>
      </w:pPr>
      <w:proofErr w:type="spellStart"/>
      <w:r w:rsidRPr="00036A06">
        <w:rPr>
          <w:rFonts w:ascii="Arial" w:hAnsi="Arial" w:cs="Arial"/>
          <w:bCs/>
        </w:rPr>
        <w:t>Guillaumet</w:t>
      </w:r>
      <w:proofErr w:type="spellEnd"/>
      <w:r w:rsidRPr="00036A06">
        <w:rPr>
          <w:rFonts w:ascii="Arial" w:hAnsi="Arial" w:cs="Arial"/>
          <w:bCs/>
        </w:rPr>
        <w:t xml:space="preserve">, J. L., &amp; </w:t>
      </w:r>
      <w:proofErr w:type="spellStart"/>
      <w:r w:rsidRPr="00036A06">
        <w:rPr>
          <w:rFonts w:ascii="Arial" w:hAnsi="Arial" w:cs="Arial"/>
          <w:bCs/>
        </w:rPr>
        <w:t>Adjanohoun</w:t>
      </w:r>
      <w:proofErr w:type="spellEnd"/>
      <w:r w:rsidRPr="00036A06">
        <w:rPr>
          <w:rFonts w:ascii="Arial" w:hAnsi="Arial" w:cs="Arial"/>
          <w:bCs/>
        </w:rPr>
        <w:t xml:space="preserve">, E. (1971). The Vegetation of Ivory Coast. In J.-M. </w:t>
      </w:r>
      <w:proofErr w:type="spellStart"/>
      <w:r w:rsidRPr="00036A06">
        <w:rPr>
          <w:rFonts w:ascii="Arial" w:hAnsi="Arial" w:cs="Arial"/>
          <w:bCs/>
        </w:rPr>
        <w:t>Avenard</w:t>
      </w:r>
      <w:proofErr w:type="spellEnd"/>
      <w:r w:rsidRPr="00036A06">
        <w:rPr>
          <w:rFonts w:ascii="Arial" w:hAnsi="Arial" w:cs="Arial"/>
          <w:bCs/>
        </w:rPr>
        <w:t xml:space="preserve">, M. </w:t>
      </w:r>
      <w:proofErr w:type="spellStart"/>
      <w:r w:rsidRPr="00036A06">
        <w:rPr>
          <w:rFonts w:ascii="Arial" w:hAnsi="Arial" w:cs="Arial"/>
          <w:bCs/>
        </w:rPr>
        <w:t>Eldin</w:t>
      </w:r>
      <w:proofErr w:type="spellEnd"/>
      <w:r w:rsidRPr="00036A06">
        <w:rPr>
          <w:rFonts w:ascii="Arial" w:hAnsi="Arial" w:cs="Arial"/>
          <w:bCs/>
        </w:rPr>
        <w:t xml:space="preserve">, G. Girard, J. </w:t>
      </w:r>
      <w:proofErr w:type="spellStart"/>
      <w:r w:rsidRPr="00036A06">
        <w:rPr>
          <w:rFonts w:ascii="Arial" w:hAnsi="Arial" w:cs="Arial"/>
          <w:bCs/>
        </w:rPr>
        <w:t>Sircoulon</w:t>
      </w:r>
      <w:proofErr w:type="spellEnd"/>
      <w:r w:rsidRPr="00036A06">
        <w:rPr>
          <w:rFonts w:ascii="Arial" w:hAnsi="Arial" w:cs="Arial"/>
          <w:bCs/>
        </w:rPr>
        <w:t xml:space="preserve">, P. </w:t>
      </w:r>
      <w:proofErr w:type="spellStart"/>
      <w:r w:rsidRPr="00036A06">
        <w:rPr>
          <w:rFonts w:ascii="Arial" w:hAnsi="Arial" w:cs="Arial"/>
          <w:bCs/>
        </w:rPr>
        <w:t>Touchebeuf</w:t>
      </w:r>
      <w:proofErr w:type="spellEnd"/>
      <w:r w:rsidRPr="00036A06">
        <w:rPr>
          <w:rFonts w:ascii="Arial" w:hAnsi="Arial" w:cs="Arial"/>
          <w:bCs/>
        </w:rPr>
        <w:t xml:space="preserve"> de </w:t>
      </w:r>
      <w:proofErr w:type="spellStart"/>
      <w:r w:rsidRPr="00036A06">
        <w:rPr>
          <w:rFonts w:ascii="Arial" w:hAnsi="Arial" w:cs="Arial"/>
          <w:bCs/>
        </w:rPr>
        <w:t>Lussigny</w:t>
      </w:r>
      <w:proofErr w:type="spellEnd"/>
      <w:r w:rsidRPr="00036A06">
        <w:rPr>
          <w:rFonts w:ascii="Arial" w:hAnsi="Arial" w:cs="Arial"/>
          <w:bCs/>
        </w:rPr>
        <w:t xml:space="preserve">, J. L. </w:t>
      </w:r>
      <w:proofErr w:type="spellStart"/>
      <w:r w:rsidRPr="00036A06">
        <w:rPr>
          <w:rFonts w:ascii="Arial" w:hAnsi="Arial" w:cs="Arial"/>
          <w:bCs/>
        </w:rPr>
        <w:t>Guillaumet</w:t>
      </w:r>
      <w:proofErr w:type="spellEnd"/>
      <w:r w:rsidRPr="00036A06">
        <w:rPr>
          <w:rFonts w:ascii="Arial" w:hAnsi="Arial" w:cs="Arial"/>
          <w:bCs/>
        </w:rPr>
        <w:t xml:space="preserve">, E. </w:t>
      </w:r>
      <w:proofErr w:type="spellStart"/>
      <w:r w:rsidRPr="00036A06">
        <w:rPr>
          <w:rFonts w:ascii="Arial" w:hAnsi="Arial" w:cs="Arial"/>
          <w:bCs/>
        </w:rPr>
        <w:t>Adjanohoun</w:t>
      </w:r>
      <w:proofErr w:type="spellEnd"/>
      <w:r w:rsidRPr="00036A06">
        <w:rPr>
          <w:rFonts w:ascii="Arial" w:hAnsi="Arial" w:cs="Arial"/>
          <w:bCs/>
        </w:rPr>
        <w:t xml:space="preserve"> &amp; A. </w:t>
      </w:r>
      <w:proofErr w:type="spellStart"/>
      <w:r w:rsidRPr="00036A06">
        <w:rPr>
          <w:rFonts w:ascii="Arial" w:hAnsi="Arial" w:cs="Arial"/>
          <w:bCs/>
        </w:rPr>
        <w:t>Perraud</w:t>
      </w:r>
      <w:proofErr w:type="spellEnd"/>
      <w:r w:rsidRPr="00036A06">
        <w:rPr>
          <w:rFonts w:ascii="Arial" w:hAnsi="Arial" w:cs="Arial"/>
          <w:bCs/>
        </w:rPr>
        <w:t xml:space="preserve"> (Eds.), The Natural Environment of Ivory Coast (pp. 161-263). Paris: ORSTOM.</w:t>
      </w:r>
    </w:p>
    <w:p w14:paraId="04712668" w14:textId="77777777" w:rsidR="00036A06" w:rsidRPr="00036A06" w:rsidRDefault="00036A06" w:rsidP="00036A06">
      <w:pPr>
        <w:pStyle w:val="Body"/>
        <w:rPr>
          <w:rFonts w:ascii="Arial" w:hAnsi="Arial" w:cs="Arial"/>
          <w:bCs/>
        </w:rPr>
      </w:pPr>
      <w:r w:rsidRPr="00036A06">
        <w:rPr>
          <w:rFonts w:ascii="Arial" w:hAnsi="Arial" w:cs="Arial"/>
          <w:bCs/>
        </w:rPr>
        <w:t>Kone, M. (2004). Study of the variability of woody cover in savannah environments using high-resolution satellite imagery: the case of northern Côte d’Ivoire (</w:t>
      </w:r>
      <w:proofErr w:type="spellStart"/>
      <w:r w:rsidRPr="00036A06">
        <w:rPr>
          <w:rFonts w:ascii="Arial" w:hAnsi="Arial" w:cs="Arial"/>
          <w:bCs/>
        </w:rPr>
        <w:t>Korhogo</w:t>
      </w:r>
      <w:proofErr w:type="spellEnd"/>
      <w:r w:rsidRPr="00036A06">
        <w:rPr>
          <w:rFonts w:ascii="Arial" w:hAnsi="Arial" w:cs="Arial"/>
          <w:bCs/>
        </w:rPr>
        <w:t xml:space="preserve"> region). Doctoral thesis. Abidjan: University of </w:t>
      </w:r>
      <w:proofErr w:type="spellStart"/>
      <w:r w:rsidRPr="00036A06">
        <w:rPr>
          <w:rFonts w:ascii="Arial" w:hAnsi="Arial" w:cs="Arial"/>
          <w:bCs/>
        </w:rPr>
        <w:t>Cocody</w:t>
      </w:r>
      <w:proofErr w:type="spellEnd"/>
      <w:r w:rsidRPr="00036A06">
        <w:rPr>
          <w:rFonts w:ascii="Arial" w:hAnsi="Arial" w:cs="Arial"/>
          <w:bCs/>
        </w:rPr>
        <w:t>.</w:t>
      </w:r>
    </w:p>
    <w:p w14:paraId="03DB0AD3" w14:textId="77777777" w:rsidR="00036A06" w:rsidRPr="00036A06" w:rsidRDefault="00036A06" w:rsidP="00036A06">
      <w:pPr>
        <w:pStyle w:val="Body"/>
        <w:rPr>
          <w:rFonts w:ascii="Arial" w:hAnsi="Arial" w:cs="Arial"/>
          <w:bCs/>
        </w:rPr>
      </w:pPr>
      <w:proofErr w:type="spellStart"/>
      <w:r w:rsidRPr="00036A06">
        <w:rPr>
          <w:rFonts w:ascii="Arial" w:hAnsi="Arial" w:cs="Arial"/>
          <w:bCs/>
        </w:rPr>
        <w:t>Kouadio</w:t>
      </w:r>
      <w:proofErr w:type="spellEnd"/>
      <w:r w:rsidRPr="00036A06">
        <w:rPr>
          <w:rFonts w:ascii="Arial" w:hAnsi="Arial" w:cs="Arial"/>
          <w:bCs/>
        </w:rPr>
        <w:t xml:space="preserve">, Y. J. C., </w:t>
      </w:r>
      <w:proofErr w:type="spellStart"/>
      <w:r w:rsidRPr="00036A06">
        <w:rPr>
          <w:rFonts w:ascii="Arial" w:hAnsi="Arial" w:cs="Arial"/>
          <w:bCs/>
        </w:rPr>
        <w:t>Vroh</w:t>
      </w:r>
      <w:proofErr w:type="spellEnd"/>
      <w:r w:rsidRPr="00036A06">
        <w:rPr>
          <w:rFonts w:ascii="Arial" w:hAnsi="Arial" w:cs="Arial"/>
          <w:bCs/>
        </w:rPr>
        <w:t xml:space="preserve">, B. T. A., </w:t>
      </w:r>
      <w:proofErr w:type="spellStart"/>
      <w:r w:rsidRPr="00036A06">
        <w:rPr>
          <w:rFonts w:ascii="Arial" w:hAnsi="Arial" w:cs="Arial"/>
          <w:bCs/>
        </w:rPr>
        <w:t>Goné</w:t>
      </w:r>
      <w:proofErr w:type="spellEnd"/>
      <w:r w:rsidRPr="00036A06">
        <w:rPr>
          <w:rFonts w:ascii="Arial" w:hAnsi="Arial" w:cs="Arial"/>
          <w:bCs/>
        </w:rPr>
        <w:t xml:space="preserve"> Bi, Z. B., </w:t>
      </w:r>
      <w:proofErr w:type="spellStart"/>
      <w:r w:rsidRPr="00036A06">
        <w:rPr>
          <w:rFonts w:ascii="Arial" w:hAnsi="Arial" w:cs="Arial"/>
          <w:bCs/>
        </w:rPr>
        <w:t>Adou</w:t>
      </w:r>
      <w:proofErr w:type="spellEnd"/>
      <w:r w:rsidRPr="00036A06">
        <w:rPr>
          <w:rFonts w:ascii="Arial" w:hAnsi="Arial" w:cs="Arial"/>
          <w:bCs/>
        </w:rPr>
        <w:t xml:space="preserve">, Y. C. Y., &amp; </w:t>
      </w:r>
      <w:proofErr w:type="spellStart"/>
      <w:r w:rsidRPr="00036A06">
        <w:rPr>
          <w:rFonts w:ascii="Arial" w:hAnsi="Arial" w:cs="Arial"/>
          <w:bCs/>
        </w:rPr>
        <w:t>N’guessan</w:t>
      </w:r>
      <w:proofErr w:type="spellEnd"/>
      <w:r w:rsidRPr="00036A06">
        <w:rPr>
          <w:rFonts w:ascii="Arial" w:hAnsi="Arial" w:cs="Arial"/>
          <w:bCs/>
        </w:rPr>
        <w:t xml:space="preserve">, K. E. (2016). Diversity assessment and biomass estimation of street trees in the Plateau and </w:t>
      </w:r>
      <w:proofErr w:type="spellStart"/>
      <w:r w:rsidRPr="00036A06">
        <w:rPr>
          <w:rFonts w:ascii="Arial" w:hAnsi="Arial" w:cs="Arial"/>
          <w:bCs/>
        </w:rPr>
        <w:t>Cocody</w:t>
      </w:r>
      <w:proofErr w:type="spellEnd"/>
      <w:r w:rsidRPr="00036A06">
        <w:rPr>
          <w:rFonts w:ascii="Arial" w:hAnsi="Arial" w:cs="Arial"/>
          <w:bCs/>
        </w:rPr>
        <w:t xml:space="preserve"> municipalities (Abidjan-Côte d’Ivoire). Journal of Applied Biosciences, 97, 9141-9151.</w:t>
      </w:r>
    </w:p>
    <w:p w14:paraId="053AE61F" w14:textId="77777777" w:rsidR="00036A06" w:rsidRPr="00036A06" w:rsidRDefault="00036A06" w:rsidP="00036A06">
      <w:pPr>
        <w:pStyle w:val="Body"/>
        <w:rPr>
          <w:rFonts w:ascii="Arial" w:hAnsi="Arial" w:cs="Arial"/>
          <w:bCs/>
        </w:rPr>
      </w:pPr>
      <w:proofErr w:type="spellStart"/>
      <w:r w:rsidRPr="00036A06">
        <w:rPr>
          <w:rFonts w:ascii="Arial" w:hAnsi="Arial" w:cs="Arial"/>
          <w:bCs/>
        </w:rPr>
        <w:t>Kouame</w:t>
      </w:r>
      <w:proofErr w:type="spellEnd"/>
      <w:r w:rsidRPr="00036A06">
        <w:rPr>
          <w:rFonts w:ascii="Arial" w:hAnsi="Arial" w:cs="Arial"/>
          <w:bCs/>
        </w:rPr>
        <w:t xml:space="preserve">, N. F., </w:t>
      </w:r>
      <w:proofErr w:type="spellStart"/>
      <w:r w:rsidRPr="00036A06">
        <w:rPr>
          <w:rFonts w:ascii="Arial" w:hAnsi="Arial" w:cs="Arial"/>
          <w:bCs/>
        </w:rPr>
        <w:t>Kouassi</w:t>
      </w:r>
      <w:proofErr w:type="spellEnd"/>
      <w:r w:rsidRPr="00036A06">
        <w:rPr>
          <w:rFonts w:ascii="Arial" w:hAnsi="Arial" w:cs="Arial"/>
          <w:bCs/>
        </w:rPr>
        <w:t xml:space="preserve">, K. E., </w:t>
      </w:r>
      <w:proofErr w:type="spellStart"/>
      <w:r w:rsidRPr="00036A06">
        <w:rPr>
          <w:rFonts w:ascii="Arial" w:hAnsi="Arial" w:cs="Arial"/>
          <w:bCs/>
        </w:rPr>
        <w:t>Kouadio</w:t>
      </w:r>
      <w:proofErr w:type="spellEnd"/>
      <w:r w:rsidRPr="00036A06">
        <w:rPr>
          <w:rFonts w:ascii="Arial" w:hAnsi="Arial" w:cs="Arial"/>
          <w:bCs/>
        </w:rPr>
        <w:t xml:space="preserve">, K. &amp; </w:t>
      </w:r>
      <w:proofErr w:type="spellStart"/>
      <w:r w:rsidRPr="00036A06">
        <w:rPr>
          <w:rFonts w:ascii="Arial" w:hAnsi="Arial" w:cs="Arial"/>
          <w:bCs/>
        </w:rPr>
        <w:t>Ahimin</w:t>
      </w:r>
      <w:proofErr w:type="spellEnd"/>
      <w:r w:rsidRPr="00036A06">
        <w:rPr>
          <w:rFonts w:ascii="Arial" w:hAnsi="Arial" w:cs="Arial"/>
          <w:bCs/>
        </w:rPr>
        <w:t xml:space="preserve">, A. O. (2010). The Protected Areas Network. In S. </w:t>
      </w:r>
      <w:proofErr w:type="spellStart"/>
      <w:r w:rsidRPr="00036A06">
        <w:rPr>
          <w:rFonts w:ascii="Arial" w:hAnsi="Arial" w:cs="Arial"/>
          <w:bCs/>
        </w:rPr>
        <w:t>Konaté</w:t>
      </w:r>
      <w:proofErr w:type="spellEnd"/>
      <w:r w:rsidRPr="00036A06">
        <w:rPr>
          <w:rFonts w:ascii="Arial" w:hAnsi="Arial" w:cs="Arial"/>
          <w:bCs/>
        </w:rPr>
        <w:t xml:space="preserve"> &amp; D. </w:t>
      </w:r>
      <w:proofErr w:type="spellStart"/>
      <w:r w:rsidRPr="00036A06">
        <w:rPr>
          <w:rFonts w:ascii="Arial" w:hAnsi="Arial" w:cs="Arial"/>
          <w:bCs/>
        </w:rPr>
        <w:t>Kampmann</w:t>
      </w:r>
      <w:proofErr w:type="spellEnd"/>
      <w:r w:rsidRPr="00036A06">
        <w:rPr>
          <w:rFonts w:ascii="Arial" w:hAnsi="Arial" w:cs="Arial"/>
          <w:bCs/>
        </w:rPr>
        <w:t xml:space="preserve"> (Eds.), Atlas of West African Biodiversity, Volume III, Côte d’Ivoire (pp. 276-526). Abidjan &amp; Frankfurt: Main.</w:t>
      </w:r>
    </w:p>
    <w:p w14:paraId="3F9ADFD8" w14:textId="77777777" w:rsidR="00036A06" w:rsidRPr="00036A06" w:rsidRDefault="00036A06" w:rsidP="00036A06">
      <w:pPr>
        <w:pStyle w:val="Body"/>
        <w:rPr>
          <w:rFonts w:ascii="Arial" w:hAnsi="Arial" w:cs="Arial"/>
          <w:bCs/>
        </w:rPr>
      </w:pPr>
      <w:proofErr w:type="spellStart"/>
      <w:r w:rsidRPr="00036A06">
        <w:rPr>
          <w:rFonts w:ascii="Arial" w:hAnsi="Arial" w:cs="Arial"/>
          <w:bCs/>
        </w:rPr>
        <w:t>Kouassi</w:t>
      </w:r>
      <w:proofErr w:type="spellEnd"/>
      <w:r w:rsidRPr="00036A06">
        <w:rPr>
          <w:rFonts w:ascii="Arial" w:hAnsi="Arial" w:cs="Arial"/>
          <w:bCs/>
        </w:rPr>
        <w:t xml:space="preserve">, J. K., </w:t>
      </w:r>
      <w:proofErr w:type="spellStart"/>
      <w:r w:rsidRPr="00036A06">
        <w:rPr>
          <w:rFonts w:ascii="Arial" w:hAnsi="Arial" w:cs="Arial"/>
          <w:bCs/>
        </w:rPr>
        <w:t>Kouassi</w:t>
      </w:r>
      <w:proofErr w:type="spellEnd"/>
      <w:r w:rsidRPr="00036A06">
        <w:rPr>
          <w:rFonts w:ascii="Arial" w:hAnsi="Arial" w:cs="Arial"/>
          <w:bCs/>
        </w:rPr>
        <w:t xml:space="preserve">, H. K., &amp; </w:t>
      </w:r>
      <w:proofErr w:type="spellStart"/>
      <w:r w:rsidRPr="00036A06">
        <w:rPr>
          <w:rFonts w:ascii="Arial" w:hAnsi="Arial" w:cs="Arial"/>
          <w:bCs/>
        </w:rPr>
        <w:t>Kouassi</w:t>
      </w:r>
      <w:proofErr w:type="spellEnd"/>
      <w:r w:rsidRPr="00036A06">
        <w:rPr>
          <w:rFonts w:ascii="Arial" w:hAnsi="Arial" w:cs="Arial"/>
          <w:bCs/>
        </w:rPr>
        <w:t xml:space="preserve">, H. R. (2018). Evaluation of floristic diversity and estimation of the carbon sequestration rate of trees along roads in the municipality of </w:t>
      </w:r>
      <w:proofErr w:type="spellStart"/>
      <w:r w:rsidRPr="00036A06">
        <w:rPr>
          <w:rFonts w:ascii="Arial" w:hAnsi="Arial" w:cs="Arial"/>
          <w:bCs/>
        </w:rPr>
        <w:t>Daloa</w:t>
      </w:r>
      <w:proofErr w:type="spellEnd"/>
      <w:r w:rsidRPr="00036A06">
        <w:rPr>
          <w:rFonts w:ascii="Arial" w:hAnsi="Arial" w:cs="Arial"/>
          <w:bCs/>
        </w:rPr>
        <w:t xml:space="preserve"> (Côte d’Ivoire). International Journal of Biological and Chemical Sciences, 12(4), 1876-1886.</w:t>
      </w:r>
    </w:p>
    <w:p w14:paraId="338A3E3B" w14:textId="77777777" w:rsidR="00036A06" w:rsidRPr="00036A06" w:rsidRDefault="00036A06" w:rsidP="00036A06">
      <w:pPr>
        <w:pStyle w:val="Body"/>
        <w:rPr>
          <w:rFonts w:ascii="Arial" w:hAnsi="Arial" w:cs="Arial"/>
          <w:bCs/>
        </w:rPr>
      </w:pPr>
      <w:proofErr w:type="spellStart"/>
      <w:r w:rsidRPr="00036A06">
        <w:rPr>
          <w:rFonts w:ascii="Arial" w:hAnsi="Arial" w:cs="Arial"/>
          <w:bCs/>
        </w:rPr>
        <w:t>Laïlle</w:t>
      </w:r>
      <w:proofErr w:type="spellEnd"/>
      <w:r w:rsidRPr="00036A06">
        <w:rPr>
          <w:rFonts w:ascii="Arial" w:hAnsi="Arial" w:cs="Arial"/>
          <w:bCs/>
        </w:rPr>
        <w:t xml:space="preserve">, P., Damien, P. &amp; Colson, F. (2013). The Benefits of Plants in the City – Synthesis of Scientific Research and Method of Analysis, Angers: Plante et </w:t>
      </w:r>
      <w:proofErr w:type="spellStart"/>
      <w:r w:rsidRPr="00036A06">
        <w:rPr>
          <w:rFonts w:ascii="Arial" w:hAnsi="Arial" w:cs="Arial"/>
          <w:bCs/>
        </w:rPr>
        <w:t>Cité</w:t>
      </w:r>
      <w:proofErr w:type="spellEnd"/>
      <w:r w:rsidRPr="00036A06">
        <w:rPr>
          <w:rFonts w:ascii="Arial" w:hAnsi="Arial" w:cs="Arial"/>
          <w:bCs/>
        </w:rPr>
        <w:t>.</w:t>
      </w:r>
    </w:p>
    <w:p w14:paraId="59823253" w14:textId="77777777" w:rsidR="00036A06" w:rsidRPr="00036A06" w:rsidRDefault="00036A06" w:rsidP="00036A06">
      <w:pPr>
        <w:pStyle w:val="Body"/>
        <w:rPr>
          <w:rFonts w:ascii="Arial" w:hAnsi="Arial" w:cs="Arial"/>
          <w:bCs/>
        </w:rPr>
      </w:pPr>
      <w:r w:rsidRPr="00036A06">
        <w:rPr>
          <w:rFonts w:ascii="Arial" w:hAnsi="Arial" w:cs="Arial"/>
          <w:bCs/>
        </w:rPr>
        <w:t xml:space="preserve">Leblanc, M. &amp; </w:t>
      </w:r>
      <w:proofErr w:type="spellStart"/>
      <w:r w:rsidRPr="00036A06">
        <w:rPr>
          <w:rFonts w:ascii="Arial" w:hAnsi="Arial" w:cs="Arial"/>
          <w:bCs/>
        </w:rPr>
        <w:t>Malaisse</w:t>
      </w:r>
      <w:proofErr w:type="spellEnd"/>
      <w:r w:rsidRPr="00036A06">
        <w:rPr>
          <w:rFonts w:ascii="Arial" w:hAnsi="Arial" w:cs="Arial"/>
          <w:bCs/>
        </w:rPr>
        <w:t>, F. (1978). Lubumbashi, a tropical urban ecosystem. Lubumbashi: International Center for Semiology, National University of Zaire.</w:t>
      </w:r>
    </w:p>
    <w:p w14:paraId="72D192A2" w14:textId="77777777" w:rsidR="00036A06" w:rsidRPr="00036A06" w:rsidRDefault="00036A06" w:rsidP="00036A06">
      <w:pPr>
        <w:pStyle w:val="Body"/>
        <w:rPr>
          <w:rFonts w:ascii="Arial" w:hAnsi="Arial" w:cs="Arial"/>
          <w:bCs/>
        </w:rPr>
      </w:pPr>
      <w:r w:rsidRPr="00036A06">
        <w:rPr>
          <w:rFonts w:ascii="Arial" w:hAnsi="Arial" w:cs="Arial"/>
          <w:bCs/>
        </w:rPr>
        <w:lastRenderedPageBreak/>
        <w:t xml:space="preserve">Mehdi, L., Weber, C., Di Pietro, F., &amp; </w:t>
      </w:r>
      <w:proofErr w:type="spellStart"/>
      <w:r w:rsidRPr="00036A06">
        <w:rPr>
          <w:rFonts w:ascii="Arial" w:hAnsi="Arial" w:cs="Arial"/>
          <w:bCs/>
        </w:rPr>
        <w:t>Selmi</w:t>
      </w:r>
      <w:proofErr w:type="spellEnd"/>
      <w:r w:rsidRPr="00036A06">
        <w:rPr>
          <w:rFonts w:ascii="Arial" w:hAnsi="Arial" w:cs="Arial"/>
          <w:bCs/>
        </w:rPr>
        <w:t xml:space="preserve">, W. (2012). Evolution of the role of plants in the city, from green spaces to green networks. </w:t>
      </w:r>
      <w:proofErr w:type="spellStart"/>
      <w:r w:rsidRPr="00036A06">
        <w:rPr>
          <w:rFonts w:ascii="Arial" w:hAnsi="Arial" w:cs="Arial"/>
          <w:bCs/>
        </w:rPr>
        <w:t>VertigO</w:t>
      </w:r>
      <w:proofErr w:type="spellEnd"/>
      <w:r w:rsidRPr="00036A06">
        <w:rPr>
          <w:rFonts w:ascii="Arial" w:hAnsi="Arial" w:cs="Arial"/>
          <w:bCs/>
        </w:rPr>
        <w:t xml:space="preserve"> - the electronic journal in environmental sciences, [Online]. DOI: https://doi.org/10.4000/vertigo.12670</w:t>
      </w:r>
    </w:p>
    <w:p w14:paraId="6CF3540C" w14:textId="77777777" w:rsidR="00036A06" w:rsidRPr="00036A06" w:rsidRDefault="00036A06" w:rsidP="00036A06">
      <w:pPr>
        <w:pStyle w:val="Body"/>
        <w:rPr>
          <w:rFonts w:ascii="Arial" w:hAnsi="Arial" w:cs="Arial"/>
          <w:bCs/>
        </w:rPr>
      </w:pPr>
      <w:proofErr w:type="spellStart"/>
      <w:r w:rsidRPr="00036A06">
        <w:rPr>
          <w:rFonts w:ascii="Arial" w:hAnsi="Arial" w:cs="Arial"/>
          <w:bCs/>
        </w:rPr>
        <w:t>Monssou</w:t>
      </w:r>
      <w:proofErr w:type="spellEnd"/>
      <w:r w:rsidRPr="00036A06">
        <w:rPr>
          <w:rFonts w:ascii="Arial" w:hAnsi="Arial" w:cs="Arial"/>
          <w:bCs/>
        </w:rPr>
        <w:t xml:space="preserve">, E. O., </w:t>
      </w:r>
      <w:proofErr w:type="spellStart"/>
      <w:r w:rsidRPr="00036A06">
        <w:rPr>
          <w:rFonts w:ascii="Arial" w:hAnsi="Arial" w:cs="Arial"/>
          <w:bCs/>
        </w:rPr>
        <w:t>Vroh</w:t>
      </w:r>
      <w:proofErr w:type="spellEnd"/>
      <w:r w:rsidRPr="00036A06">
        <w:rPr>
          <w:rFonts w:ascii="Arial" w:hAnsi="Arial" w:cs="Arial"/>
          <w:bCs/>
        </w:rPr>
        <w:t xml:space="preserve">, B. T. A., </w:t>
      </w:r>
      <w:proofErr w:type="spellStart"/>
      <w:r w:rsidRPr="00036A06">
        <w:rPr>
          <w:rFonts w:ascii="Arial" w:hAnsi="Arial" w:cs="Arial"/>
          <w:bCs/>
        </w:rPr>
        <w:t>Goné</w:t>
      </w:r>
      <w:proofErr w:type="spellEnd"/>
      <w:r w:rsidRPr="00036A06">
        <w:rPr>
          <w:rFonts w:ascii="Arial" w:hAnsi="Arial" w:cs="Arial"/>
          <w:bCs/>
        </w:rPr>
        <w:t xml:space="preserve">, B. Z. B., </w:t>
      </w:r>
      <w:proofErr w:type="spellStart"/>
      <w:r w:rsidRPr="00036A06">
        <w:rPr>
          <w:rFonts w:ascii="Arial" w:hAnsi="Arial" w:cs="Arial"/>
          <w:bCs/>
        </w:rPr>
        <w:t>Adou</w:t>
      </w:r>
      <w:proofErr w:type="spellEnd"/>
      <w:r w:rsidRPr="00036A06">
        <w:rPr>
          <w:rFonts w:ascii="Arial" w:hAnsi="Arial" w:cs="Arial"/>
          <w:bCs/>
        </w:rPr>
        <w:t xml:space="preserve">, Y. C. Y., &amp; </w:t>
      </w:r>
      <w:proofErr w:type="spellStart"/>
      <w:r w:rsidRPr="00036A06">
        <w:rPr>
          <w:rFonts w:ascii="Arial" w:hAnsi="Arial" w:cs="Arial"/>
          <w:bCs/>
        </w:rPr>
        <w:t>N’Guessan</w:t>
      </w:r>
      <w:proofErr w:type="spellEnd"/>
      <w:r w:rsidRPr="00036A06">
        <w:rPr>
          <w:rFonts w:ascii="Arial" w:hAnsi="Arial" w:cs="Arial"/>
          <w:bCs/>
        </w:rPr>
        <w:t xml:space="preserve">, K. E. (2016). Evaluation of diversity and estimation of aboveground biomass of trees in the </w:t>
      </w:r>
      <w:proofErr w:type="spellStart"/>
      <w:r w:rsidRPr="00036A06">
        <w:rPr>
          <w:rFonts w:ascii="Arial" w:hAnsi="Arial" w:cs="Arial"/>
          <w:bCs/>
        </w:rPr>
        <w:t>Bingerville</w:t>
      </w:r>
      <w:proofErr w:type="spellEnd"/>
      <w:r w:rsidRPr="00036A06">
        <w:rPr>
          <w:rFonts w:ascii="Arial" w:hAnsi="Arial" w:cs="Arial"/>
          <w:bCs/>
        </w:rPr>
        <w:t xml:space="preserve"> Botanical Garden (District of Abidjan, Ivory Coast). European Scientific Journal, 12 (6), 168-184.</w:t>
      </w:r>
    </w:p>
    <w:p w14:paraId="4DEC52A9" w14:textId="77777777" w:rsidR="00036A06" w:rsidRPr="00036A06" w:rsidRDefault="00036A06" w:rsidP="00036A06">
      <w:pPr>
        <w:pStyle w:val="Body"/>
        <w:rPr>
          <w:rFonts w:ascii="Arial" w:hAnsi="Arial" w:cs="Arial"/>
          <w:bCs/>
        </w:rPr>
      </w:pPr>
      <w:r w:rsidRPr="00036A06">
        <w:rPr>
          <w:rFonts w:ascii="Arial" w:hAnsi="Arial" w:cs="Arial"/>
          <w:bCs/>
        </w:rPr>
        <w:t>Myers, N., Mittermeier, R. A., Mittermeier, C. G., Da Fonseca, G. A. B. &amp; Kent, J. (2000). Biodiversity hotspots for conservation priorities. Nature, 403, 853-858.</w:t>
      </w:r>
    </w:p>
    <w:p w14:paraId="484123B1" w14:textId="7E2BF26F" w:rsidR="00441B6F" w:rsidRDefault="00036A06" w:rsidP="00036A06">
      <w:pPr>
        <w:pStyle w:val="Body"/>
        <w:spacing w:after="0"/>
        <w:jc w:val="left"/>
        <w:rPr>
          <w:rFonts w:ascii="Arial" w:hAnsi="Arial" w:cs="Arial"/>
        </w:rPr>
      </w:pPr>
      <w:proofErr w:type="spellStart"/>
      <w:r w:rsidRPr="00036A06">
        <w:rPr>
          <w:rFonts w:ascii="Arial" w:hAnsi="Arial" w:cs="Arial"/>
          <w:bCs/>
        </w:rPr>
        <w:t>N’Zala</w:t>
      </w:r>
      <w:proofErr w:type="spellEnd"/>
      <w:r w:rsidRPr="00036A06">
        <w:rPr>
          <w:rFonts w:ascii="Arial" w:hAnsi="Arial" w:cs="Arial"/>
          <w:bCs/>
        </w:rPr>
        <w:t xml:space="preserve">, D., &amp; </w:t>
      </w:r>
      <w:proofErr w:type="spellStart"/>
      <w:r w:rsidRPr="00036A06">
        <w:rPr>
          <w:rFonts w:ascii="Arial" w:hAnsi="Arial" w:cs="Arial"/>
          <w:bCs/>
        </w:rPr>
        <w:t>Miankodila</w:t>
      </w:r>
      <w:proofErr w:type="spellEnd"/>
      <w:r w:rsidRPr="00036A06">
        <w:rPr>
          <w:rFonts w:ascii="Arial" w:hAnsi="Arial" w:cs="Arial"/>
          <w:bCs/>
        </w:rPr>
        <w:t>, P. (2002). Trees and green spaces in Brazzaville (C</w:t>
      </w:r>
    </w:p>
    <w:p w14:paraId="5788B09A" w14:textId="47742CD8" w:rsidR="004D4277" w:rsidRPr="009D71EA" w:rsidRDefault="004D4277" w:rsidP="009D71EA">
      <w:pPr>
        <w:pStyle w:val="DefAcrHead"/>
        <w:spacing w:after="0"/>
        <w:jc w:val="both"/>
        <w:rPr>
          <w:rFonts w:ascii="Arial" w:hAnsi="Arial" w:cs="Arial"/>
        </w:rPr>
        <w:sectPr w:rsidR="004D4277" w:rsidRPr="009D71EA" w:rsidSect="00334C8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31EBF53D" w14:textId="77777777" w:rsidR="00B01FCD" w:rsidRPr="00FB3A86" w:rsidRDefault="00B01FCD" w:rsidP="00441B6F">
      <w:pPr>
        <w:pStyle w:val="Appendix"/>
        <w:spacing w:after="0"/>
        <w:jc w:val="both"/>
        <w:rPr>
          <w:rFonts w:ascii="Arial" w:hAnsi="Arial" w:cs="Arial"/>
          <w:b w:val="0"/>
        </w:rPr>
      </w:pPr>
    </w:p>
    <w:sectPr w:rsidR="00B01FCD" w:rsidRPr="00FB3A86" w:rsidSect="00334C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A99E" w14:textId="77777777" w:rsidR="00554916" w:rsidRDefault="00554916" w:rsidP="00C37E61">
      <w:r>
        <w:separator/>
      </w:r>
    </w:p>
  </w:endnote>
  <w:endnote w:type="continuationSeparator" w:id="0">
    <w:p w14:paraId="4F984C37" w14:textId="77777777" w:rsidR="00554916" w:rsidRDefault="005549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7A72" w14:textId="77777777" w:rsidR="00645AA1" w:rsidRDefault="00645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28C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BB45" w14:textId="77777777" w:rsidR="00645AA1" w:rsidRDefault="0064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99502" w14:textId="77777777" w:rsidR="00554916" w:rsidRDefault="00554916" w:rsidP="00C37E61">
      <w:r>
        <w:separator/>
      </w:r>
    </w:p>
  </w:footnote>
  <w:footnote w:type="continuationSeparator" w:id="0">
    <w:p w14:paraId="438AAA2C" w14:textId="77777777" w:rsidR="00554916" w:rsidRDefault="005549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09FA" w14:textId="3DAE0EAF" w:rsidR="00645AA1" w:rsidRDefault="00645AA1">
    <w:pPr>
      <w:pStyle w:val="Header"/>
    </w:pPr>
    <w:r>
      <w:rPr>
        <w:noProof/>
      </w:rPr>
      <w:pict w14:anchorId="4B740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BF57" w14:textId="48FB8EA4" w:rsidR="00645AA1" w:rsidRDefault="00645AA1">
    <w:pPr>
      <w:pStyle w:val="Header"/>
    </w:pPr>
    <w:r>
      <w:rPr>
        <w:noProof/>
      </w:rPr>
      <w:pict w14:anchorId="0883F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3599" w14:textId="352A25E7" w:rsidR="00645AA1" w:rsidRDefault="00645AA1">
    <w:pPr>
      <w:pStyle w:val="Header"/>
    </w:pPr>
    <w:r>
      <w:rPr>
        <w:noProof/>
      </w:rPr>
      <w:pict w14:anchorId="0DCAB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000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69F"/>
    <w:multiLevelType w:val="hybridMultilevel"/>
    <w:tmpl w:val="4A0AEE9E"/>
    <w:lvl w:ilvl="0" w:tplc="9D2E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A4EDA"/>
    <w:multiLevelType w:val="hybridMultilevel"/>
    <w:tmpl w:val="AC6AE750"/>
    <w:lvl w:ilvl="0" w:tplc="EF9E36E8">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6D3B10"/>
    <w:multiLevelType w:val="hybridMultilevel"/>
    <w:tmpl w:val="25FEC87A"/>
    <w:lvl w:ilvl="0" w:tplc="9D2E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525EA8"/>
    <w:multiLevelType w:val="hybridMultilevel"/>
    <w:tmpl w:val="8C88B6AE"/>
    <w:lvl w:ilvl="0" w:tplc="501E24C8">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2D00621"/>
    <w:multiLevelType w:val="hybridMultilevel"/>
    <w:tmpl w:val="3348B04A"/>
    <w:lvl w:ilvl="0" w:tplc="999C9128">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20323D"/>
    <w:multiLevelType w:val="hybridMultilevel"/>
    <w:tmpl w:val="0500452A"/>
    <w:lvl w:ilvl="0" w:tplc="9D2E89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3"/>
  </w:num>
  <w:num w:numId="12">
    <w:abstractNumId w:val="4"/>
  </w:num>
  <w:num w:numId="13">
    <w:abstractNumId w:val="21"/>
  </w:num>
  <w:num w:numId="14">
    <w:abstractNumId w:val="9"/>
  </w:num>
  <w:num w:numId="15">
    <w:abstractNumId w:val="27"/>
  </w:num>
  <w:num w:numId="16">
    <w:abstractNumId w:val="6"/>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1"/>
  </w:num>
  <w:num w:numId="31">
    <w:abstractNumId w:val="17"/>
  </w:num>
  <w:num w:numId="32">
    <w:abstractNumId w:val="12"/>
  </w:num>
  <w:num w:numId="33">
    <w:abstractNumId w:val="24"/>
  </w:num>
  <w:num w:numId="34">
    <w:abstractNumId w:val="18"/>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ED1"/>
    <w:rsid w:val="00005D76"/>
    <w:rsid w:val="000226F7"/>
    <w:rsid w:val="00030174"/>
    <w:rsid w:val="00036A06"/>
    <w:rsid w:val="0004579C"/>
    <w:rsid w:val="000471A4"/>
    <w:rsid w:val="00060629"/>
    <w:rsid w:val="000A47FA"/>
    <w:rsid w:val="000A65D3"/>
    <w:rsid w:val="000B1E33"/>
    <w:rsid w:val="000C3105"/>
    <w:rsid w:val="000D689F"/>
    <w:rsid w:val="000E7B7B"/>
    <w:rsid w:val="000E7D62"/>
    <w:rsid w:val="00101C7E"/>
    <w:rsid w:val="00103357"/>
    <w:rsid w:val="001033AB"/>
    <w:rsid w:val="00122F9E"/>
    <w:rsid w:val="00123C9F"/>
    <w:rsid w:val="00126190"/>
    <w:rsid w:val="00130F17"/>
    <w:rsid w:val="001320BF"/>
    <w:rsid w:val="0014616B"/>
    <w:rsid w:val="00163BC4"/>
    <w:rsid w:val="00164CF5"/>
    <w:rsid w:val="00182426"/>
    <w:rsid w:val="00191062"/>
    <w:rsid w:val="00192B72"/>
    <w:rsid w:val="001A10A7"/>
    <w:rsid w:val="001A29D8"/>
    <w:rsid w:val="001A5CAA"/>
    <w:rsid w:val="001B0427"/>
    <w:rsid w:val="001C7866"/>
    <w:rsid w:val="001D3A51"/>
    <w:rsid w:val="001E10D2"/>
    <w:rsid w:val="001E25B4"/>
    <w:rsid w:val="001E44FE"/>
    <w:rsid w:val="001E57F9"/>
    <w:rsid w:val="00200595"/>
    <w:rsid w:val="00204835"/>
    <w:rsid w:val="00206AD8"/>
    <w:rsid w:val="0021339E"/>
    <w:rsid w:val="00226799"/>
    <w:rsid w:val="00231920"/>
    <w:rsid w:val="0023195C"/>
    <w:rsid w:val="00237269"/>
    <w:rsid w:val="0024282C"/>
    <w:rsid w:val="002460DC"/>
    <w:rsid w:val="00250985"/>
    <w:rsid w:val="002556F6"/>
    <w:rsid w:val="00283105"/>
    <w:rsid w:val="00284C4C"/>
    <w:rsid w:val="00287E68"/>
    <w:rsid w:val="00296529"/>
    <w:rsid w:val="002B27FB"/>
    <w:rsid w:val="002B685A"/>
    <w:rsid w:val="002C57D2"/>
    <w:rsid w:val="002E0D56"/>
    <w:rsid w:val="002F5BAE"/>
    <w:rsid w:val="00315186"/>
    <w:rsid w:val="0033343E"/>
    <w:rsid w:val="00334C8B"/>
    <w:rsid w:val="00337EE6"/>
    <w:rsid w:val="0034184A"/>
    <w:rsid w:val="003512C2"/>
    <w:rsid w:val="00371FB6"/>
    <w:rsid w:val="003763C1"/>
    <w:rsid w:val="00376BBE"/>
    <w:rsid w:val="0039224F"/>
    <w:rsid w:val="003951E6"/>
    <w:rsid w:val="003A43A4"/>
    <w:rsid w:val="003A4A5A"/>
    <w:rsid w:val="003A7E18"/>
    <w:rsid w:val="003C08BD"/>
    <w:rsid w:val="003C4C86"/>
    <w:rsid w:val="003C6258"/>
    <w:rsid w:val="003E2904"/>
    <w:rsid w:val="003E5C01"/>
    <w:rsid w:val="00401927"/>
    <w:rsid w:val="0041027F"/>
    <w:rsid w:val="00412475"/>
    <w:rsid w:val="00423789"/>
    <w:rsid w:val="00440F43"/>
    <w:rsid w:val="00441B6F"/>
    <w:rsid w:val="00446221"/>
    <w:rsid w:val="00450E62"/>
    <w:rsid w:val="004539DB"/>
    <w:rsid w:val="00471A80"/>
    <w:rsid w:val="0047591F"/>
    <w:rsid w:val="00496385"/>
    <w:rsid w:val="004A7026"/>
    <w:rsid w:val="004D305E"/>
    <w:rsid w:val="004D4277"/>
    <w:rsid w:val="004D4C90"/>
    <w:rsid w:val="004D7302"/>
    <w:rsid w:val="004F1515"/>
    <w:rsid w:val="0050147A"/>
    <w:rsid w:val="00502516"/>
    <w:rsid w:val="00505F06"/>
    <w:rsid w:val="00506828"/>
    <w:rsid w:val="0053056E"/>
    <w:rsid w:val="0054295A"/>
    <w:rsid w:val="00554916"/>
    <w:rsid w:val="00554FDA"/>
    <w:rsid w:val="005959DD"/>
    <w:rsid w:val="005B3FEF"/>
    <w:rsid w:val="005C784C"/>
    <w:rsid w:val="005D17F6"/>
    <w:rsid w:val="005E5539"/>
    <w:rsid w:val="005F4760"/>
    <w:rsid w:val="00602BF5"/>
    <w:rsid w:val="00617FDD"/>
    <w:rsid w:val="00633614"/>
    <w:rsid w:val="00633F68"/>
    <w:rsid w:val="00636EB2"/>
    <w:rsid w:val="006375B8"/>
    <w:rsid w:val="006453E9"/>
    <w:rsid w:val="00645AA1"/>
    <w:rsid w:val="006504C0"/>
    <w:rsid w:val="0066510A"/>
    <w:rsid w:val="00673F9F"/>
    <w:rsid w:val="006779FC"/>
    <w:rsid w:val="00686953"/>
    <w:rsid w:val="00687DEA"/>
    <w:rsid w:val="00687E67"/>
    <w:rsid w:val="006967F7"/>
    <w:rsid w:val="006A250C"/>
    <w:rsid w:val="006A3DEE"/>
    <w:rsid w:val="006A4EF5"/>
    <w:rsid w:val="006B0761"/>
    <w:rsid w:val="006B21D3"/>
    <w:rsid w:val="006B57D0"/>
    <w:rsid w:val="006C691B"/>
    <w:rsid w:val="006D30FF"/>
    <w:rsid w:val="006D464E"/>
    <w:rsid w:val="006D6940"/>
    <w:rsid w:val="006E48CE"/>
    <w:rsid w:val="006F11EC"/>
    <w:rsid w:val="0070082C"/>
    <w:rsid w:val="00705689"/>
    <w:rsid w:val="00710B9B"/>
    <w:rsid w:val="007135BC"/>
    <w:rsid w:val="007369E6"/>
    <w:rsid w:val="00746E59"/>
    <w:rsid w:val="00754C9A"/>
    <w:rsid w:val="0075599A"/>
    <w:rsid w:val="00761D52"/>
    <w:rsid w:val="00770B42"/>
    <w:rsid w:val="0077749E"/>
    <w:rsid w:val="00790ADA"/>
    <w:rsid w:val="007A4150"/>
    <w:rsid w:val="007B3AD3"/>
    <w:rsid w:val="007D2288"/>
    <w:rsid w:val="007E088F"/>
    <w:rsid w:val="007F7B32"/>
    <w:rsid w:val="0080080A"/>
    <w:rsid w:val="008049E5"/>
    <w:rsid w:val="00804BC2"/>
    <w:rsid w:val="0081431A"/>
    <w:rsid w:val="0083216F"/>
    <w:rsid w:val="00840AD4"/>
    <w:rsid w:val="00860000"/>
    <w:rsid w:val="00862472"/>
    <w:rsid w:val="00863BD3"/>
    <w:rsid w:val="008641ED"/>
    <w:rsid w:val="00866D66"/>
    <w:rsid w:val="008671C6"/>
    <w:rsid w:val="00875448"/>
    <w:rsid w:val="00875803"/>
    <w:rsid w:val="0088042D"/>
    <w:rsid w:val="008B1AEF"/>
    <w:rsid w:val="008B459E"/>
    <w:rsid w:val="008C6B8B"/>
    <w:rsid w:val="008E13AE"/>
    <w:rsid w:val="008E1506"/>
    <w:rsid w:val="008E710C"/>
    <w:rsid w:val="008F69D6"/>
    <w:rsid w:val="00902823"/>
    <w:rsid w:val="00915CA6"/>
    <w:rsid w:val="00923114"/>
    <w:rsid w:val="00927834"/>
    <w:rsid w:val="009326DC"/>
    <w:rsid w:val="00932905"/>
    <w:rsid w:val="009376F9"/>
    <w:rsid w:val="009500A6"/>
    <w:rsid w:val="00950FE7"/>
    <w:rsid w:val="00957C18"/>
    <w:rsid w:val="0096103E"/>
    <w:rsid w:val="00961110"/>
    <w:rsid w:val="009659BA"/>
    <w:rsid w:val="009740DA"/>
    <w:rsid w:val="00983040"/>
    <w:rsid w:val="009B3841"/>
    <w:rsid w:val="009B3FB9"/>
    <w:rsid w:val="009C2465"/>
    <w:rsid w:val="009C5C8A"/>
    <w:rsid w:val="009D2996"/>
    <w:rsid w:val="009D35A0"/>
    <w:rsid w:val="009D71EA"/>
    <w:rsid w:val="009D7EB7"/>
    <w:rsid w:val="009E048A"/>
    <w:rsid w:val="009E08E9"/>
    <w:rsid w:val="009E3DB9"/>
    <w:rsid w:val="009E6E35"/>
    <w:rsid w:val="009F0EDA"/>
    <w:rsid w:val="00A03B96"/>
    <w:rsid w:val="00A05B19"/>
    <w:rsid w:val="00A1134E"/>
    <w:rsid w:val="00A24E7E"/>
    <w:rsid w:val="00A250E3"/>
    <w:rsid w:val="00A258C3"/>
    <w:rsid w:val="00A347C0"/>
    <w:rsid w:val="00A36BE2"/>
    <w:rsid w:val="00A51431"/>
    <w:rsid w:val="00A539AD"/>
    <w:rsid w:val="00A94063"/>
    <w:rsid w:val="00AA6219"/>
    <w:rsid w:val="00AA74E0"/>
    <w:rsid w:val="00AB189B"/>
    <w:rsid w:val="00AB703F"/>
    <w:rsid w:val="00AC60C7"/>
    <w:rsid w:val="00AC6BB8"/>
    <w:rsid w:val="00AE008F"/>
    <w:rsid w:val="00AE4000"/>
    <w:rsid w:val="00B01FCD"/>
    <w:rsid w:val="00B1776C"/>
    <w:rsid w:val="00B177A9"/>
    <w:rsid w:val="00B43981"/>
    <w:rsid w:val="00B4506B"/>
    <w:rsid w:val="00B52583"/>
    <w:rsid w:val="00B52896"/>
    <w:rsid w:val="00B5426B"/>
    <w:rsid w:val="00B63EDF"/>
    <w:rsid w:val="00B756D1"/>
    <w:rsid w:val="00B93E7C"/>
    <w:rsid w:val="00B94D3F"/>
    <w:rsid w:val="00B95236"/>
    <w:rsid w:val="00B96BD9"/>
    <w:rsid w:val="00BA1B01"/>
    <w:rsid w:val="00BA2641"/>
    <w:rsid w:val="00BB1DD6"/>
    <w:rsid w:val="00BB37AA"/>
    <w:rsid w:val="00BC53A0"/>
    <w:rsid w:val="00BD25D4"/>
    <w:rsid w:val="00BE5EE4"/>
    <w:rsid w:val="00BE62AD"/>
    <w:rsid w:val="00BF121F"/>
    <w:rsid w:val="00BF1F80"/>
    <w:rsid w:val="00C166EF"/>
    <w:rsid w:val="00C17EB0"/>
    <w:rsid w:val="00C21625"/>
    <w:rsid w:val="00C22C61"/>
    <w:rsid w:val="00C2763D"/>
    <w:rsid w:val="00C27F5F"/>
    <w:rsid w:val="00C30A0F"/>
    <w:rsid w:val="00C30BD8"/>
    <w:rsid w:val="00C37E61"/>
    <w:rsid w:val="00C70F1B"/>
    <w:rsid w:val="00C71A47"/>
    <w:rsid w:val="00C7464C"/>
    <w:rsid w:val="00C85588"/>
    <w:rsid w:val="00CC6F8E"/>
    <w:rsid w:val="00CD6755"/>
    <w:rsid w:val="00CD6856"/>
    <w:rsid w:val="00CE0089"/>
    <w:rsid w:val="00CE4CFC"/>
    <w:rsid w:val="00CE5B3B"/>
    <w:rsid w:val="00CE793C"/>
    <w:rsid w:val="00CF193C"/>
    <w:rsid w:val="00CF53E6"/>
    <w:rsid w:val="00D173F1"/>
    <w:rsid w:val="00D74637"/>
    <w:rsid w:val="00D74CB0"/>
    <w:rsid w:val="00D8295D"/>
    <w:rsid w:val="00DC2A65"/>
    <w:rsid w:val="00DD0078"/>
    <w:rsid w:val="00DD3700"/>
    <w:rsid w:val="00DE15F0"/>
    <w:rsid w:val="00DE5663"/>
    <w:rsid w:val="00DE78AA"/>
    <w:rsid w:val="00E053D0"/>
    <w:rsid w:val="00E15994"/>
    <w:rsid w:val="00E3114E"/>
    <w:rsid w:val="00E31A70"/>
    <w:rsid w:val="00E35B02"/>
    <w:rsid w:val="00E425FA"/>
    <w:rsid w:val="00E66496"/>
    <w:rsid w:val="00E66B35"/>
    <w:rsid w:val="00E66E10"/>
    <w:rsid w:val="00E769F6"/>
    <w:rsid w:val="00E8407C"/>
    <w:rsid w:val="00E84F3C"/>
    <w:rsid w:val="00EA012C"/>
    <w:rsid w:val="00EB14EC"/>
    <w:rsid w:val="00EB1A3B"/>
    <w:rsid w:val="00EC30AE"/>
    <w:rsid w:val="00EC6A55"/>
    <w:rsid w:val="00ED0288"/>
    <w:rsid w:val="00EE52CB"/>
    <w:rsid w:val="00EF01BF"/>
    <w:rsid w:val="00EF581D"/>
    <w:rsid w:val="00EF7FD8"/>
    <w:rsid w:val="00F02D0B"/>
    <w:rsid w:val="00F06F59"/>
    <w:rsid w:val="00F1796D"/>
    <w:rsid w:val="00F17988"/>
    <w:rsid w:val="00F411CC"/>
    <w:rsid w:val="00F469F0"/>
    <w:rsid w:val="00F53273"/>
    <w:rsid w:val="00F705FB"/>
    <w:rsid w:val="00F755E4"/>
    <w:rsid w:val="00F77D02"/>
    <w:rsid w:val="00F85A2C"/>
    <w:rsid w:val="00F97845"/>
    <w:rsid w:val="00FB3A86"/>
    <w:rsid w:val="00FB6BFE"/>
    <w:rsid w:val="00FD151C"/>
    <w:rsid w:val="00FD36C8"/>
    <w:rsid w:val="00FD6AB9"/>
    <w:rsid w:val="00FE23BC"/>
    <w:rsid w:val="00FE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4B43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C629-ABD7-48F1-8EAF-4117E21B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1193</TotalTime>
  <Pages>12</Pages>
  <Words>3955</Words>
  <Characters>22550</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26453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40</cp:revision>
  <cp:lastPrinted>1999-07-06T11:00:00Z</cp:lastPrinted>
  <dcterms:created xsi:type="dcterms:W3CDTF">2014-10-25T14:34:00Z</dcterms:created>
  <dcterms:modified xsi:type="dcterms:W3CDTF">2025-08-23T07:22:00Z</dcterms:modified>
</cp:coreProperties>
</file>