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F1A7B" w14:textId="77777777" w:rsidR="00754C9A" w:rsidRDefault="00754C9A" w:rsidP="00441B6F">
      <w:pPr>
        <w:pStyle w:val="Title"/>
        <w:spacing w:after="0"/>
        <w:jc w:val="both"/>
        <w:rPr>
          <w:rFonts w:ascii="Arial" w:hAnsi="Arial" w:cs="Arial"/>
        </w:rPr>
      </w:pPr>
    </w:p>
    <w:p w14:paraId="2237AC10" w14:textId="4A32AC58" w:rsidR="00671EF0" w:rsidRPr="009B18D0" w:rsidRDefault="006608DB" w:rsidP="00671EF0">
      <w:pPr>
        <w:rPr>
          <w:rFonts w:ascii="Arial" w:hAnsi="Arial" w:cs="Arial"/>
          <w:b/>
          <w:bCs/>
          <w:sz w:val="36"/>
          <w:szCs w:val="32"/>
        </w:rPr>
      </w:pPr>
      <w:r w:rsidRPr="006608DB">
        <w:rPr>
          <w:rFonts w:ascii="Arial" w:hAnsi="Arial" w:cs="Arial"/>
          <w:b/>
          <w:bCs/>
          <w:i/>
          <w:iCs/>
          <w:sz w:val="36"/>
          <w:szCs w:val="32"/>
        </w:rPr>
        <w:t>In vitro</w:t>
      </w:r>
      <w:r>
        <w:rPr>
          <w:rFonts w:ascii="Arial" w:hAnsi="Arial" w:cs="Arial"/>
          <w:b/>
          <w:bCs/>
          <w:sz w:val="36"/>
          <w:szCs w:val="32"/>
        </w:rPr>
        <w:t xml:space="preserve"> e</w:t>
      </w:r>
      <w:r w:rsidR="008110D8" w:rsidRPr="008110D8">
        <w:rPr>
          <w:rFonts w:ascii="Arial" w:hAnsi="Arial" w:cs="Arial"/>
          <w:b/>
          <w:bCs/>
          <w:sz w:val="36"/>
          <w:szCs w:val="32"/>
        </w:rPr>
        <w:t xml:space="preserve">valuation of different </w:t>
      </w:r>
      <w:r w:rsidR="00463AD9" w:rsidRPr="008110D8">
        <w:rPr>
          <w:rFonts w:ascii="Arial" w:hAnsi="Arial" w:cs="Arial"/>
          <w:b/>
          <w:bCs/>
          <w:sz w:val="36"/>
          <w:szCs w:val="32"/>
        </w:rPr>
        <w:t>fungicides</w:t>
      </w:r>
      <w:r>
        <w:rPr>
          <w:rFonts w:ascii="Arial" w:hAnsi="Arial" w:cs="Arial"/>
          <w:b/>
          <w:bCs/>
          <w:sz w:val="36"/>
          <w:szCs w:val="32"/>
        </w:rPr>
        <w:t xml:space="preserve"> </w:t>
      </w:r>
      <w:r w:rsidR="00671EF0" w:rsidRPr="009B18D0">
        <w:rPr>
          <w:rFonts w:ascii="Arial" w:hAnsi="Arial" w:cs="Arial"/>
          <w:b/>
          <w:bCs/>
          <w:sz w:val="36"/>
          <w:szCs w:val="32"/>
        </w:rPr>
        <w:t xml:space="preserve">against </w:t>
      </w:r>
      <w:r w:rsidR="008110D8">
        <w:rPr>
          <w:rFonts w:ascii="Arial" w:hAnsi="Arial" w:cs="Arial"/>
          <w:b/>
          <w:bCs/>
          <w:i/>
          <w:iCs/>
          <w:sz w:val="36"/>
          <w:szCs w:val="32"/>
        </w:rPr>
        <w:t>Alternariaster helianthi</w:t>
      </w:r>
      <w:r w:rsidR="00671EF0" w:rsidRPr="009B18D0">
        <w:rPr>
          <w:rFonts w:ascii="Arial" w:hAnsi="Arial" w:cs="Arial"/>
          <w:b/>
          <w:bCs/>
          <w:sz w:val="36"/>
          <w:szCs w:val="32"/>
        </w:rPr>
        <w:t xml:space="preserve"> inciting </w:t>
      </w:r>
      <w:r w:rsidR="008110D8">
        <w:rPr>
          <w:rFonts w:ascii="Arial" w:hAnsi="Arial" w:cs="Arial"/>
          <w:b/>
          <w:bCs/>
          <w:i/>
          <w:iCs/>
          <w:sz w:val="36"/>
          <w:szCs w:val="32"/>
        </w:rPr>
        <w:t xml:space="preserve">Alternariaster </w:t>
      </w:r>
      <w:r w:rsidR="008110D8">
        <w:rPr>
          <w:rFonts w:ascii="Arial" w:hAnsi="Arial" w:cs="Arial"/>
          <w:b/>
          <w:bCs/>
          <w:sz w:val="36"/>
          <w:szCs w:val="32"/>
        </w:rPr>
        <w:t>leaf spot</w:t>
      </w:r>
      <w:r w:rsidR="00671EF0" w:rsidRPr="009B18D0">
        <w:rPr>
          <w:rFonts w:ascii="Arial" w:hAnsi="Arial" w:cs="Arial"/>
          <w:b/>
          <w:bCs/>
          <w:sz w:val="36"/>
          <w:szCs w:val="32"/>
        </w:rPr>
        <w:t xml:space="preserve"> of </w:t>
      </w:r>
      <w:r w:rsidR="008110D8">
        <w:rPr>
          <w:rFonts w:ascii="Arial" w:hAnsi="Arial" w:cs="Arial"/>
          <w:b/>
          <w:bCs/>
          <w:sz w:val="36"/>
          <w:szCs w:val="32"/>
        </w:rPr>
        <w:t>sunflower</w:t>
      </w:r>
    </w:p>
    <w:p w14:paraId="4CD0B150" w14:textId="77777777" w:rsidR="00A258C3" w:rsidRPr="00790ADA" w:rsidRDefault="00A258C3" w:rsidP="00441B6F">
      <w:pPr>
        <w:pStyle w:val="Author"/>
        <w:spacing w:line="240" w:lineRule="auto"/>
        <w:jc w:val="both"/>
        <w:rPr>
          <w:rFonts w:ascii="Arial" w:hAnsi="Arial" w:cs="Arial"/>
          <w:sz w:val="36"/>
        </w:rPr>
      </w:pPr>
    </w:p>
    <w:p w14:paraId="49180ECE" w14:textId="77777777" w:rsidR="00B01FCD" w:rsidRDefault="00B01FCD" w:rsidP="005F5025">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AFCC89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480"/>
      </w:tblGrid>
      <w:tr w:rsidR="00296529" w:rsidRPr="001E44FE" w14:paraId="68060C8E" w14:textId="77777777" w:rsidTr="00F0055E">
        <w:trPr>
          <w:trHeight w:val="5712"/>
        </w:trPr>
        <w:tc>
          <w:tcPr>
            <w:tcW w:w="9480" w:type="dxa"/>
            <w:shd w:val="clear" w:color="auto" w:fill="F2F2F2"/>
          </w:tcPr>
          <w:p w14:paraId="5DE1F212" w14:textId="467DE3E3" w:rsidR="00F0055E" w:rsidRPr="00F0055E" w:rsidRDefault="0010728A" w:rsidP="00F0055E">
            <w:pPr>
              <w:pStyle w:val="NoSpacing"/>
              <w:spacing w:line="360" w:lineRule="auto"/>
              <w:ind w:firstLine="720"/>
              <w:jc w:val="both"/>
              <w:rPr>
                <w:rFonts w:ascii="Arial" w:hAnsi="Arial" w:cs="Arial"/>
                <w:sz w:val="20"/>
                <w:szCs w:val="20"/>
              </w:rPr>
            </w:pPr>
            <w:r w:rsidRPr="00F0055E">
              <w:rPr>
                <w:rFonts w:ascii="Arial" w:eastAsia="Calibri" w:hAnsi="Arial" w:cs="Arial"/>
                <w:i/>
                <w:iCs/>
                <w:color w:val="1D1B11" w:themeColor="background2" w:themeShade="1A"/>
                <w:sz w:val="20"/>
                <w:szCs w:val="20"/>
              </w:rPr>
              <w:t xml:space="preserve">Alternariaster </w:t>
            </w:r>
            <w:r w:rsidRPr="00F0055E">
              <w:rPr>
                <w:rFonts w:ascii="Arial" w:eastAsia="Calibri" w:hAnsi="Arial" w:cs="Arial"/>
                <w:color w:val="1D1B11" w:themeColor="background2" w:themeShade="1A"/>
                <w:sz w:val="20"/>
                <w:szCs w:val="20"/>
              </w:rPr>
              <w:t>leaf spot</w:t>
            </w:r>
            <w:r w:rsidRPr="00F0055E">
              <w:rPr>
                <w:rFonts w:ascii="Arial" w:eastAsia="Calibri" w:hAnsi="Arial" w:cs="Arial"/>
                <w:i/>
                <w:iCs/>
                <w:color w:val="1D1B11" w:themeColor="background2" w:themeShade="1A"/>
                <w:sz w:val="20"/>
                <w:szCs w:val="20"/>
              </w:rPr>
              <w:t xml:space="preserve"> (</w:t>
            </w:r>
            <w:r w:rsidR="00E12CCB" w:rsidRPr="00F0055E">
              <w:rPr>
                <w:rFonts w:ascii="Arial" w:eastAsia="Calibri" w:hAnsi="Arial" w:cs="Arial"/>
                <w:i/>
                <w:iCs/>
                <w:color w:val="1D1B11" w:themeColor="background2" w:themeShade="1A"/>
                <w:sz w:val="20"/>
                <w:szCs w:val="20"/>
              </w:rPr>
              <w:t xml:space="preserve">Alternariaster helianthi </w:t>
            </w:r>
            <w:r w:rsidR="00E12CCB" w:rsidRPr="00F0055E">
              <w:rPr>
                <w:rFonts w:ascii="Arial" w:eastAsia="Calibri" w:hAnsi="Arial" w:cs="Arial"/>
                <w:color w:val="1D1B11" w:themeColor="background2" w:themeShade="1A"/>
                <w:sz w:val="20"/>
                <w:szCs w:val="20"/>
              </w:rPr>
              <w:t>Hansord, Simmons</w:t>
            </w:r>
            <w:r w:rsidRPr="00F0055E">
              <w:rPr>
                <w:rFonts w:ascii="Arial" w:eastAsia="Calibri" w:hAnsi="Arial" w:cs="Arial"/>
                <w:i/>
                <w:iCs/>
                <w:color w:val="1D1B11" w:themeColor="background2" w:themeShade="1A"/>
                <w:sz w:val="20"/>
                <w:szCs w:val="20"/>
              </w:rPr>
              <w:t xml:space="preserve">) </w:t>
            </w:r>
            <w:r w:rsidRPr="00F0055E">
              <w:rPr>
                <w:rFonts w:ascii="Arial" w:eastAsia="Calibri" w:hAnsi="Arial" w:cs="Arial"/>
                <w:color w:val="1D1B11" w:themeColor="background2" w:themeShade="1A"/>
                <w:sz w:val="20"/>
                <w:szCs w:val="20"/>
              </w:rPr>
              <w:t>is one of the major</w:t>
            </w:r>
            <w:r w:rsidR="008E3E14" w:rsidRPr="00F0055E">
              <w:rPr>
                <w:rFonts w:ascii="Arial" w:eastAsia="Calibri" w:hAnsi="Arial" w:cs="Arial"/>
                <w:color w:val="1D1B11" w:themeColor="background2" w:themeShade="1A"/>
                <w:sz w:val="20"/>
                <w:szCs w:val="20"/>
              </w:rPr>
              <w:t xml:space="preserve"> </w:t>
            </w:r>
            <w:proofErr w:type="gramStart"/>
            <w:r w:rsidRPr="00F0055E">
              <w:rPr>
                <w:rFonts w:ascii="Arial" w:eastAsia="Calibri" w:hAnsi="Arial" w:cs="Arial"/>
                <w:color w:val="1D1B11" w:themeColor="background2" w:themeShade="1A"/>
                <w:sz w:val="20"/>
                <w:szCs w:val="20"/>
              </w:rPr>
              <w:t>disease</w:t>
            </w:r>
            <w:proofErr w:type="gramEnd"/>
            <w:r w:rsidR="00E12CCB" w:rsidRPr="00F0055E">
              <w:rPr>
                <w:rFonts w:ascii="Arial" w:eastAsia="Calibri" w:hAnsi="Arial" w:cs="Arial"/>
                <w:color w:val="1D1B11" w:themeColor="background2" w:themeShade="1A"/>
                <w:sz w:val="20"/>
                <w:szCs w:val="20"/>
              </w:rPr>
              <w:t xml:space="preserve"> </w:t>
            </w:r>
            <w:r w:rsidRPr="00F0055E">
              <w:rPr>
                <w:rFonts w:ascii="Arial" w:eastAsia="Calibri" w:hAnsi="Arial" w:cs="Arial"/>
                <w:color w:val="1D1B11" w:themeColor="background2" w:themeShade="1A"/>
                <w:sz w:val="20"/>
                <w:szCs w:val="20"/>
              </w:rPr>
              <w:t xml:space="preserve">of sunflower during </w:t>
            </w:r>
            <w:r w:rsidRPr="00F0055E">
              <w:rPr>
                <w:rFonts w:ascii="Arial" w:eastAsia="Calibri" w:hAnsi="Arial" w:cs="Arial"/>
                <w:i/>
                <w:iCs/>
                <w:color w:val="1D1B11" w:themeColor="background2" w:themeShade="1A"/>
                <w:sz w:val="20"/>
                <w:szCs w:val="20"/>
              </w:rPr>
              <w:t>kharif</w:t>
            </w:r>
            <w:r w:rsidRPr="00F0055E">
              <w:rPr>
                <w:rFonts w:ascii="Arial" w:eastAsia="Calibri" w:hAnsi="Arial" w:cs="Arial"/>
                <w:color w:val="1D1B11" w:themeColor="background2" w:themeShade="1A"/>
                <w:sz w:val="20"/>
                <w:szCs w:val="20"/>
              </w:rPr>
              <w:t xml:space="preserve"> 2024 season in Maharashtra. Present Lab study was conducted at Department of Plant Pathology and field experiment at Oilseed Research Station, College of Agriculture, Latur, VNMKV, Parbhani, Maharashtra, India. Here, six </w:t>
            </w:r>
            <w:r w:rsidR="006608DB" w:rsidRPr="00F0055E">
              <w:rPr>
                <w:rFonts w:ascii="Arial" w:eastAsia="Calibri" w:hAnsi="Arial" w:cs="Arial"/>
                <w:color w:val="1D1B11" w:themeColor="background2" w:themeShade="1A"/>
                <w:sz w:val="20"/>
                <w:szCs w:val="20"/>
              </w:rPr>
              <w:t xml:space="preserve">systemic </w:t>
            </w:r>
            <w:r w:rsidRPr="00F0055E">
              <w:rPr>
                <w:rFonts w:ascii="Arial" w:eastAsia="Calibri" w:hAnsi="Arial" w:cs="Arial"/>
                <w:color w:val="1D1B11" w:themeColor="background2" w:themeShade="1A"/>
                <w:sz w:val="20"/>
                <w:szCs w:val="20"/>
              </w:rPr>
              <w:t xml:space="preserve">fungicides </w:t>
            </w:r>
            <w:r w:rsidR="006608DB" w:rsidRPr="00F0055E">
              <w:rPr>
                <w:rFonts w:ascii="Arial" w:eastAsia="Calibri" w:hAnsi="Arial" w:cs="Arial"/>
                <w:color w:val="1D1B11" w:themeColor="background2" w:themeShade="1A"/>
                <w:sz w:val="20"/>
                <w:szCs w:val="20"/>
              </w:rPr>
              <w:t>and six contact and comb</w:t>
            </w:r>
            <w:bookmarkStart w:id="0" w:name="_GoBack"/>
            <w:bookmarkEnd w:id="0"/>
            <w:r w:rsidR="006608DB" w:rsidRPr="00F0055E">
              <w:rPr>
                <w:rFonts w:ascii="Arial" w:eastAsia="Calibri" w:hAnsi="Arial" w:cs="Arial"/>
                <w:color w:val="1D1B11" w:themeColor="background2" w:themeShade="1A"/>
                <w:sz w:val="20"/>
                <w:szCs w:val="20"/>
              </w:rPr>
              <w:t>i products</w:t>
            </w:r>
            <w:r w:rsidRPr="00F0055E">
              <w:rPr>
                <w:rFonts w:ascii="Arial" w:eastAsia="Calibri" w:hAnsi="Arial" w:cs="Arial"/>
                <w:color w:val="1D1B11" w:themeColor="background2" w:themeShade="1A"/>
                <w:sz w:val="20"/>
                <w:szCs w:val="20"/>
              </w:rPr>
              <w:t xml:space="preserve"> evaluated at 500 and 1000 ppm by poisoned food technique</w:t>
            </w:r>
            <w:r w:rsidR="006608DB" w:rsidRPr="00F0055E">
              <w:rPr>
                <w:rFonts w:ascii="Arial" w:eastAsia="Calibri" w:hAnsi="Arial" w:cs="Arial"/>
                <w:color w:val="1D1B11" w:themeColor="background2" w:themeShade="1A"/>
                <w:sz w:val="20"/>
                <w:szCs w:val="20"/>
              </w:rPr>
              <w:t xml:space="preserve">, </w:t>
            </w:r>
            <w:r w:rsidRPr="00F0055E">
              <w:rPr>
                <w:rFonts w:ascii="Arial" w:eastAsia="Calibri" w:hAnsi="Arial" w:cs="Arial"/>
                <w:color w:val="1D1B11" w:themeColor="background2" w:themeShade="1A"/>
                <w:sz w:val="20"/>
                <w:szCs w:val="20"/>
              </w:rPr>
              <w:t xml:space="preserve">against </w:t>
            </w:r>
            <w:r w:rsidRPr="00F0055E">
              <w:rPr>
                <w:rFonts w:ascii="Arial" w:eastAsia="Calibri" w:hAnsi="Arial" w:cs="Arial"/>
                <w:i/>
                <w:iCs/>
                <w:color w:val="1D1B11" w:themeColor="background2" w:themeShade="1A"/>
                <w:sz w:val="20"/>
                <w:szCs w:val="20"/>
              </w:rPr>
              <w:t>A.</w:t>
            </w:r>
            <w:r w:rsidR="00E12CCB" w:rsidRPr="00F0055E">
              <w:rPr>
                <w:rFonts w:ascii="Arial" w:eastAsia="Calibri" w:hAnsi="Arial" w:cs="Arial"/>
                <w:i/>
                <w:iCs/>
                <w:color w:val="1D1B11" w:themeColor="background2" w:themeShade="1A"/>
                <w:sz w:val="20"/>
                <w:szCs w:val="20"/>
              </w:rPr>
              <w:t xml:space="preserve"> </w:t>
            </w:r>
            <w:r w:rsidRPr="00F0055E">
              <w:rPr>
                <w:rFonts w:ascii="Arial" w:eastAsia="Calibri" w:hAnsi="Arial" w:cs="Arial"/>
                <w:i/>
                <w:iCs/>
                <w:color w:val="1D1B11" w:themeColor="background2" w:themeShade="1A"/>
                <w:sz w:val="20"/>
                <w:szCs w:val="20"/>
              </w:rPr>
              <w:t>helianthi</w:t>
            </w:r>
            <w:r w:rsidRPr="00F0055E">
              <w:rPr>
                <w:rFonts w:ascii="Arial" w:eastAsia="Calibri" w:hAnsi="Arial" w:cs="Arial"/>
                <w:color w:val="1D1B11" w:themeColor="background2" w:themeShade="1A"/>
                <w:sz w:val="20"/>
                <w:szCs w:val="20"/>
              </w:rPr>
              <w:t xml:space="preserve"> an incitant of </w:t>
            </w:r>
            <w:r w:rsidRPr="00F0055E">
              <w:rPr>
                <w:rFonts w:ascii="Arial" w:eastAsia="Calibri" w:hAnsi="Arial" w:cs="Arial"/>
                <w:i/>
                <w:iCs/>
                <w:color w:val="1D1B11" w:themeColor="background2" w:themeShade="1A"/>
                <w:sz w:val="20"/>
                <w:szCs w:val="20"/>
              </w:rPr>
              <w:t>Alternariaster</w:t>
            </w:r>
            <w:r w:rsidRPr="00F0055E">
              <w:rPr>
                <w:rFonts w:ascii="Arial" w:eastAsia="Calibri" w:hAnsi="Arial" w:cs="Arial"/>
                <w:color w:val="1D1B11" w:themeColor="background2" w:themeShade="1A"/>
                <w:sz w:val="20"/>
                <w:szCs w:val="20"/>
              </w:rPr>
              <w:t xml:space="preserve"> leaf spot; in sunflower a</w:t>
            </w:r>
            <w:r w:rsidR="008E3E14" w:rsidRPr="00F0055E">
              <w:rPr>
                <w:rFonts w:ascii="Arial" w:eastAsia="Calibri" w:hAnsi="Arial" w:cs="Arial"/>
                <w:color w:val="1D1B11" w:themeColor="background2" w:themeShade="1A"/>
                <w:sz w:val="20"/>
                <w:szCs w:val="20"/>
              </w:rPr>
              <w:t>mong</w:t>
            </w:r>
            <w:r w:rsidRPr="00F0055E">
              <w:rPr>
                <w:rFonts w:ascii="Arial" w:eastAsia="Calibri" w:hAnsi="Arial" w:cs="Arial"/>
                <w:color w:val="1D1B11" w:themeColor="background2" w:themeShade="1A"/>
                <w:sz w:val="20"/>
                <w:szCs w:val="20"/>
              </w:rPr>
              <w:t xml:space="preserve"> the </w:t>
            </w:r>
            <w:r w:rsidR="008E3E14" w:rsidRPr="00F0055E">
              <w:rPr>
                <w:rFonts w:ascii="Arial" w:eastAsia="Calibri" w:hAnsi="Arial" w:cs="Arial"/>
                <w:color w:val="1D1B11" w:themeColor="background2" w:themeShade="1A"/>
                <w:sz w:val="20"/>
                <w:szCs w:val="20"/>
              </w:rPr>
              <w:t xml:space="preserve">systemic fungicides, </w:t>
            </w:r>
            <w:r w:rsidR="00084578" w:rsidRPr="00F0055E">
              <w:rPr>
                <w:rFonts w:ascii="Arial" w:eastAsia="Calibri" w:hAnsi="Arial" w:cs="Arial"/>
                <w:color w:val="1D1B11" w:themeColor="background2" w:themeShade="1A"/>
                <w:sz w:val="20"/>
                <w:szCs w:val="20"/>
              </w:rPr>
              <w:t>t</w:t>
            </w:r>
            <w:r w:rsidR="00084578" w:rsidRPr="00F0055E">
              <w:rPr>
                <w:rFonts w:ascii="Arial" w:eastAsia="Times New Roman" w:hAnsi="Arial" w:cs="Arial"/>
                <w:color w:val="1D1B11" w:themeColor="background2" w:themeShade="1A"/>
                <w:sz w:val="20"/>
                <w:szCs w:val="20"/>
                <w:lang w:eastAsia="en-IN"/>
              </w:rPr>
              <w:t>here was</w:t>
            </w:r>
            <w:r w:rsidR="00034D9B" w:rsidRPr="00F0055E">
              <w:rPr>
                <w:rFonts w:ascii="Arial" w:hAnsi="Arial" w:cs="Arial"/>
                <w:color w:val="1D1B11" w:themeColor="background2" w:themeShade="1A"/>
                <w:sz w:val="20"/>
                <w:szCs w:val="20"/>
                <w:lang w:eastAsia="en-IN"/>
              </w:rPr>
              <w:t xml:space="preserve"> 100 % </w:t>
            </w:r>
            <w:r w:rsidR="00084578" w:rsidRPr="00F0055E">
              <w:rPr>
                <w:rFonts w:ascii="Arial" w:eastAsia="Times New Roman" w:hAnsi="Arial" w:cs="Arial"/>
                <w:color w:val="1D1B11" w:themeColor="background2" w:themeShade="1A"/>
                <w:sz w:val="20"/>
                <w:szCs w:val="20"/>
                <w:lang w:eastAsia="en-IN"/>
              </w:rPr>
              <w:t xml:space="preserve"> growth </w:t>
            </w:r>
            <w:r w:rsidR="00034D9B" w:rsidRPr="00F0055E">
              <w:rPr>
                <w:rFonts w:ascii="Arial" w:hAnsi="Arial" w:cs="Arial"/>
                <w:color w:val="1D1B11" w:themeColor="background2" w:themeShade="1A"/>
                <w:sz w:val="20"/>
                <w:szCs w:val="20"/>
                <w:lang w:eastAsia="en-IN"/>
              </w:rPr>
              <w:t xml:space="preserve">inhibition </w:t>
            </w:r>
            <w:r w:rsidR="00084578" w:rsidRPr="00F0055E">
              <w:rPr>
                <w:rFonts w:ascii="Arial" w:eastAsia="Times New Roman" w:hAnsi="Arial" w:cs="Arial"/>
                <w:color w:val="1D1B11" w:themeColor="background2" w:themeShade="1A"/>
                <w:sz w:val="20"/>
                <w:szCs w:val="20"/>
                <w:lang w:eastAsia="en-IN"/>
              </w:rPr>
              <w:t xml:space="preserve">with the fungicide tested </w:t>
            </w:r>
            <w:r w:rsidR="00084578" w:rsidRPr="00F0055E">
              <w:rPr>
                <w:rFonts w:ascii="Arial" w:eastAsia="Times New Roman" w:hAnsi="Arial" w:cs="Arial"/>
                <w:i/>
                <w:iCs/>
                <w:color w:val="1D1B11" w:themeColor="background2" w:themeShade="1A"/>
                <w:sz w:val="20"/>
                <w:szCs w:val="20"/>
                <w:lang w:eastAsia="en-IN"/>
              </w:rPr>
              <w:t>viz</w:t>
            </w:r>
            <w:r w:rsidR="00084578" w:rsidRPr="00F0055E">
              <w:rPr>
                <w:rFonts w:ascii="Arial" w:eastAsia="Times New Roman" w:hAnsi="Arial" w:cs="Arial"/>
                <w:color w:val="1D1B11" w:themeColor="background2" w:themeShade="1A"/>
                <w:sz w:val="20"/>
                <w:szCs w:val="20"/>
                <w:lang w:eastAsia="en-IN"/>
              </w:rPr>
              <w:t>.,</w:t>
            </w:r>
            <w:r w:rsidR="00084578" w:rsidRPr="00F0055E">
              <w:rPr>
                <w:rFonts w:ascii="Arial" w:hAnsi="Arial" w:cs="Arial"/>
                <w:color w:val="1D1B11" w:themeColor="background2" w:themeShade="1A"/>
                <w:sz w:val="20"/>
                <w:szCs w:val="20"/>
                <w:lang w:eastAsia="en-IN"/>
              </w:rPr>
              <w:t xml:space="preserve"> </w:t>
            </w:r>
            <w:r w:rsidR="00084578" w:rsidRPr="00F0055E">
              <w:rPr>
                <w:rFonts w:ascii="Arial" w:eastAsia="Times New Roman" w:hAnsi="Arial" w:cs="Arial"/>
                <w:color w:val="1D1B11" w:themeColor="background2" w:themeShade="1A"/>
                <w:sz w:val="20"/>
                <w:szCs w:val="20"/>
                <w:lang w:eastAsia="en-IN"/>
              </w:rPr>
              <w:t>Propiconazole 25 % EC and Carbendazim 50 % WP</w:t>
            </w:r>
            <w:r w:rsidR="00084578" w:rsidRPr="00F0055E">
              <w:rPr>
                <w:rFonts w:ascii="Arial" w:hAnsi="Arial" w:cs="Arial"/>
                <w:color w:val="1D1B11" w:themeColor="background2" w:themeShade="1A"/>
                <w:sz w:val="20"/>
                <w:szCs w:val="20"/>
                <w:lang w:eastAsia="en-IN"/>
              </w:rPr>
              <w:t xml:space="preserve"> at 500 ppm and 1000 ppm and maximum inhibition was observed in </w:t>
            </w:r>
            <w:r w:rsidR="00084578" w:rsidRPr="00F0055E">
              <w:rPr>
                <w:rFonts w:ascii="Arial" w:eastAsia="Times New Roman" w:hAnsi="Arial" w:cs="Arial"/>
                <w:color w:val="1D1B11" w:themeColor="background2" w:themeShade="1A"/>
                <w:sz w:val="20"/>
                <w:szCs w:val="20"/>
                <w:lang w:eastAsia="en-IN"/>
              </w:rPr>
              <w:t>Difenoconazole 25 % EC with</w:t>
            </w:r>
            <w:r w:rsidR="00034D9B" w:rsidRPr="00F0055E">
              <w:rPr>
                <w:rFonts w:ascii="Arial" w:hAnsi="Arial" w:cs="Arial"/>
                <w:color w:val="1D1B11" w:themeColor="background2" w:themeShade="1A"/>
                <w:sz w:val="20"/>
                <w:szCs w:val="20"/>
                <w:lang w:eastAsia="en-IN"/>
              </w:rPr>
              <w:t xml:space="preserve"> </w:t>
            </w:r>
            <w:r w:rsidR="00084578" w:rsidRPr="00F0055E">
              <w:rPr>
                <w:rFonts w:ascii="Arial" w:eastAsia="Times New Roman" w:hAnsi="Arial" w:cs="Arial"/>
                <w:color w:val="1D1B11" w:themeColor="background2" w:themeShade="1A"/>
                <w:sz w:val="20"/>
                <w:szCs w:val="20"/>
                <w:lang w:eastAsia="en-IN"/>
              </w:rPr>
              <w:t xml:space="preserve">growth </w:t>
            </w:r>
            <w:r w:rsidR="00034D9B" w:rsidRPr="00F0055E">
              <w:rPr>
                <w:rFonts w:ascii="Arial" w:hAnsi="Arial" w:cs="Arial"/>
                <w:color w:val="1D1B11" w:themeColor="background2" w:themeShade="1A"/>
                <w:sz w:val="20"/>
                <w:szCs w:val="20"/>
                <w:lang w:eastAsia="en-IN"/>
              </w:rPr>
              <w:t xml:space="preserve">inhibition </w:t>
            </w:r>
            <w:r w:rsidR="00084578" w:rsidRPr="00F0055E">
              <w:rPr>
                <w:rFonts w:ascii="Arial" w:eastAsia="Times New Roman" w:hAnsi="Arial" w:cs="Arial"/>
                <w:color w:val="1D1B11" w:themeColor="background2" w:themeShade="1A"/>
                <w:sz w:val="20"/>
                <w:szCs w:val="20"/>
                <w:lang w:eastAsia="en-IN"/>
              </w:rPr>
              <w:t>(</w:t>
            </w:r>
            <w:r w:rsidR="00034D9B" w:rsidRPr="00F0055E">
              <w:rPr>
                <w:rFonts w:ascii="Arial" w:hAnsi="Arial" w:cs="Arial"/>
                <w:color w:val="1D1B11" w:themeColor="background2" w:themeShade="1A"/>
                <w:sz w:val="20"/>
                <w:szCs w:val="20"/>
                <w:lang w:eastAsia="en-IN"/>
              </w:rPr>
              <w:t>6</w:t>
            </w:r>
            <w:r w:rsidR="00084578" w:rsidRPr="00F0055E">
              <w:rPr>
                <w:rFonts w:ascii="Arial" w:eastAsia="Times New Roman" w:hAnsi="Arial" w:cs="Arial"/>
                <w:color w:val="1D1B11" w:themeColor="background2" w:themeShade="1A"/>
                <w:sz w:val="20"/>
                <w:szCs w:val="20"/>
                <w:lang w:eastAsia="en-IN"/>
              </w:rPr>
              <w:t>8.</w:t>
            </w:r>
            <w:r w:rsidR="00034D9B" w:rsidRPr="00F0055E">
              <w:rPr>
                <w:rFonts w:ascii="Arial" w:hAnsi="Arial" w:cs="Arial"/>
                <w:color w:val="1D1B11" w:themeColor="background2" w:themeShade="1A"/>
                <w:sz w:val="20"/>
                <w:szCs w:val="20"/>
                <w:lang w:eastAsia="en-IN"/>
              </w:rPr>
              <w:t>89 % and 71.10 %</w:t>
            </w:r>
            <w:r w:rsidR="00084578" w:rsidRPr="00F0055E">
              <w:rPr>
                <w:rFonts w:ascii="Arial" w:eastAsia="Times New Roman" w:hAnsi="Arial" w:cs="Arial"/>
                <w:color w:val="1D1B11" w:themeColor="background2" w:themeShade="1A"/>
                <w:sz w:val="20"/>
                <w:szCs w:val="20"/>
                <w:lang w:eastAsia="en-IN"/>
              </w:rPr>
              <w:t>)</w:t>
            </w:r>
            <w:r w:rsidR="00034D9B" w:rsidRPr="00F0055E">
              <w:rPr>
                <w:rFonts w:ascii="Arial" w:hAnsi="Arial" w:cs="Arial"/>
                <w:color w:val="1D1B11" w:themeColor="background2" w:themeShade="1A"/>
                <w:sz w:val="20"/>
                <w:szCs w:val="20"/>
                <w:lang w:eastAsia="en-IN"/>
              </w:rPr>
              <w:t xml:space="preserve"> followed by </w:t>
            </w:r>
            <w:r w:rsidR="00084578" w:rsidRPr="00F0055E">
              <w:rPr>
                <w:rFonts w:ascii="Arial" w:eastAsia="Times New Roman" w:hAnsi="Arial" w:cs="Arial"/>
                <w:color w:val="1D1B11" w:themeColor="background2" w:themeShade="1A"/>
                <w:sz w:val="20"/>
                <w:szCs w:val="20"/>
                <w:lang w:eastAsia="en-IN"/>
              </w:rPr>
              <w:t>Azoxystrobin 23 % SC (</w:t>
            </w:r>
            <w:r w:rsidR="00034D9B" w:rsidRPr="00F0055E">
              <w:rPr>
                <w:rFonts w:ascii="Arial" w:hAnsi="Arial" w:cs="Arial"/>
                <w:color w:val="1D1B11" w:themeColor="background2" w:themeShade="1A"/>
                <w:sz w:val="20"/>
                <w:szCs w:val="20"/>
                <w:lang w:eastAsia="en-IN"/>
              </w:rPr>
              <w:t>6</w:t>
            </w:r>
            <w:r w:rsidR="00084578" w:rsidRPr="00F0055E">
              <w:rPr>
                <w:rFonts w:ascii="Arial" w:eastAsia="Times New Roman" w:hAnsi="Arial" w:cs="Arial"/>
                <w:color w:val="1D1B11" w:themeColor="background2" w:themeShade="1A"/>
                <w:sz w:val="20"/>
                <w:szCs w:val="20"/>
                <w:lang w:eastAsia="en-IN"/>
              </w:rPr>
              <w:t>3.</w:t>
            </w:r>
            <w:r w:rsidR="00034D9B" w:rsidRPr="00F0055E">
              <w:rPr>
                <w:rFonts w:ascii="Arial" w:hAnsi="Arial" w:cs="Arial"/>
                <w:color w:val="1D1B11" w:themeColor="background2" w:themeShade="1A"/>
                <w:sz w:val="20"/>
                <w:szCs w:val="20"/>
                <w:lang w:eastAsia="en-IN"/>
              </w:rPr>
              <w:t>33 % and 68.89 %</w:t>
            </w:r>
            <w:r w:rsidR="00084578" w:rsidRPr="00F0055E">
              <w:rPr>
                <w:rFonts w:ascii="Arial" w:eastAsia="Times New Roman" w:hAnsi="Arial" w:cs="Arial"/>
                <w:color w:val="1D1B11" w:themeColor="background2" w:themeShade="1A"/>
                <w:sz w:val="20"/>
                <w:szCs w:val="20"/>
                <w:lang w:eastAsia="en-IN"/>
              </w:rPr>
              <w:t xml:space="preserve">), Thiophanate methyl 70 % </w:t>
            </w:r>
            <w:r w:rsidR="00084578" w:rsidRPr="00F0055E">
              <w:rPr>
                <w:rFonts w:ascii="Arial" w:eastAsia="Times New Roman" w:hAnsi="Arial" w:cs="Arial"/>
                <w:noProof/>
                <w:color w:val="1D1B11" w:themeColor="background2" w:themeShade="1A"/>
                <w:sz w:val="20"/>
                <w:szCs w:val="20"/>
                <w:lang w:eastAsia="en-IN"/>
              </w:rPr>
              <w:drawing>
                <wp:inline distT="0" distB="0" distL="0" distR="0" wp14:anchorId="29007559" wp14:editId="11A2A436">
                  <wp:extent cx="6094" cy="6097"/>
                  <wp:effectExtent l="0" t="0" r="0" b="0"/>
                  <wp:docPr id="1282807812" name="Picture 1282807812"/>
                  <wp:cNvGraphicFramePr/>
                  <a:graphic xmlns:a="http://schemas.openxmlformats.org/drawingml/2006/main">
                    <a:graphicData uri="http://schemas.openxmlformats.org/drawingml/2006/picture">
                      <pic:pic xmlns:pic="http://schemas.openxmlformats.org/drawingml/2006/picture">
                        <pic:nvPicPr>
                          <pic:cNvPr id="270307" name="Picture 270307"/>
                          <pic:cNvPicPr/>
                        </pic:nvPicPr>
                        <pic:blipFill>
                          <a:blip r:embed="rId8"/>
                          <a:stretch>
                            <a:fillRect/>
                          </a:stretch>
                        </pic:blipFill>
                        <pic:spPr>
                          <a:xfrm>
                            <a:off x="0" y="0"/>
                            <a:ext cx="6094" cy="6097"/>
                          </a:xfrm>
                          <a:prstGeom prst="rect">
                            <a:avLst/>
                          </a:prstGeom>
                        </pic:spPr>
                      </pic:pic>
                    </a:graphicData>
                  </a:graphic>
                </wp:inline>
              </w:drawing>
            </w:r>
            <w:r w:rsidR="00084578" w:rsidRPr="00F0055E">
              <w:rPr>
                <w:rFonts w:ascii="Arial" w:eastAsia="Times New Roman" w:hAnsi="Arial" w:cs="Arial"/>
                <w:color w:val="1D1B11" w:themeColor="background2" w:themeShade="1A"/>
                <w:sz w:val="20"/>
                <w:szCs w:val="20"/>
                <w:lang w:eastAsia="en-IN"/>
              </w:rPr>
              <w:t>WP with (</w:t>
            </w:r>
            <w:r w:rsidR="00034D9B" w:rsidRPr="00F0055E">
              <w:rPr>
                <w:rFonts w:ascii="Arial" w:hAnsi="Arial" w:cs="Arial"/>
                <w:color w:val="1D1B11" w:themeColor="background2" w:themeShade="1A"/>
                <w:sz w:val="20"/>
                <w:szCs w:val="20"/>
                <w:lang w:eastAsia="en-IN"/>
              </w:rPr>
              <w:t>60</w:t>
            </w:r>
            <w:r w:rsidR="00084578" w:rsidRPr="00F0055E">
              <w:rPr>
                <w:rFonts w:ascii="Arial" w:eastAsia="Times New Roman" w:hAnsi="Arial" w:cs="Arial"/>
                <w:color w:val="1D1B11" w:themeColor="background2" w:themeShade="1A"/>
                <w:sz w:val="20"/>
                <w:szCs w:val="20"/>
                <w:lang w:eastAsia="en-IN"/>
              </w:rPr>
              <w:t>.</w:t>
            </w:r>
            <w:r w:rsidR="00034D9B" w:rsidRPr="00F0055E">
              <w:rPr>
                <w:rFonts w:ascii="Arial" w:hAnsi="Arial" w:cs="Arial"/>
                <w:color w:val="1D1B11" w:themeColor="background2" w:themeShade="1A"/>
                <w:sz w:val="20"/>
                <w:szCs w:val="20"/>
                <w:lang w:eastAsia="en-IN"/>
              </w:rPr>
              <w:t>7</w:t>
            </w:r>
            <w:r w:rsidR="00084578" w:rsidRPr="00F0055E">
              <w:rPr>
                <w:rFonts w:ascii="Arial" w:eastAsia="Times New Roman" w:hAnsi="Arial" w:cs="Arial"/>
                <w:color w:val="1D1B11" w:themeColor="background2" w:themeShade="1A"/>
                <w:sz w:val="20"/>
                <w:szCs w:val="20"/>
                <w:lang w:eastAsia="en-IN"/>
              </w:rPr>
              <w:t xml:space="preserve">4 </w:t>
            </w:r>
            <w:r w:rsidR="00034D9B" w:rsidRPr="00F0055E">
              <w:rPr>
                <w:rFonts w:ascii="Arial" w:hAnsi="Arial" w:cs="Arial"/>
                <w:color w:val="1D1B11" w:themeColor="background2" w:themeShade="1A"/>
                <w:sz w:val="20"/>
                <w:szCs w:val="20"/>
                <w:lang w:eastAsia="en-IN"/>
              </w:rPr>
              <w:t>% and 65.56 %</w:t>
            </w:r>
            <w:r w:rsidR="00084578" w:rsidRPr="00F0055E">
              <w:rPr>
                <w:rFonts w:ascii="Arial" w:eastAsia="Times New Roman" w:hAnsi="Arial" w:cs="Arial"/>
                <w:color w:val="1D1B11" w:themeColor="background2" w:themeShade="1A"/>
                <w:sz w:val="20"/>
                <w:szCs w:val="20"/>
                <w:lang w:eastAsia="en-IN"/>
              </w:rPr>
              <w:t>) and</w:t>
            </w:r>
            <w:r w:rsidR="00084578" w:rsidRPr="00F0055E">
              <w:rPr>
                <w:rFonts w:ascii="Arial" w:hAnsi="Arial" w:cs="Arial"/>
                <w:color w:val="1D1B11" w:themeColor="background2" w:themeShade="1A"/>
                <w:sz w:val="20"/>
                <w:szCs w:val="20"/>
                <w:lang w:eastAsia="en-IN"/>
              </w:rPr>
              <w:t xml:space="preserve"> </w:t>
            </w:r>
            <w:r w:rsidR="00084578" w:rsidRPr="00F0055E">
              <w:rPr>
                <w:rFonts w:ascii="Arial" w:eastAsia="Times New Roman" w:hAnsi="Arial" w:cs="Arial"/>
                <w:color w:val="1D1B11" w:themeColor="background2" w:themeShade="1A"/>
                <w:sz w:val="20"/>
                <w:szCs w:val="20"/>
                <w:lang w:eastAsia="en-IN"/>
              </w:rPr>
              <w:t>Benomyl 50 % WP (</w:t>
            </w:r>
            <w:r w:rsidR="00034D9B" w:rsidRPr="00F0055E">
              <w:rPr>
                <w:rFonts w:ascii="Arial" w:hAnsi="Arial" w:cs="Arial"/>
                <w:color w:val="1D1B11" w:themeColor="background2" w:themeShade="1A"/>
                <w:sz w:val="20"/>
                <w:szCs w:val="20"/>
                <w:lang w:eastAsia="en-IN"/>
              </w:rPr>
              <w:t>5</w:t>
            </w:r>
            <w:r w:rsidR="00084578" w:rsidRPr="00F0055E">
              <w:rPr>
                <w:rFonts w:ascii="Arial" w:eastAsia="Times New Roman" w:hAnsi="Arial" w:cs="Arial"/>
                <w:color w:val="1D1B11" w:themeColor="background2" w:themeShade="1A"/>
                <w:sz w:val="20"/>
                <w:szCs w:val="20"/>
                <w:lang w:eastAsia="en-IN"/>
              </w:rPr>
              <w:t>4.</w:t>
            </w:r>
            <w:r w:rsidR="00034D9B" w:rsidRPr="00F0055E">
              <w:rPr>
                <w:rFonts w:ascii="Arial" w:hAnsi="Arial" w:cs="Arial"/>
                <w:color w:val="1D1B11" w:themeColor="background2" w:themeShade="1A"/>
                <w:sz w:val="20"/>
                <w:szCs w:val="20"/>
                <w:lang w:eastAsia="en-IN"/>
              </w:rPr>
              <w:t>82 % and 56.67 %</w:t>
            </w:r>
            <w:r w:rsidR="00084578" w:rsidRPr="00F0055E">
              <w:rPr>
                <w:rFonts w:ascii="Arial" w:eastAsia="Times New Roman" w:hAnsi="Arial" w:cs="Arial"/>
                <w:color w:val="1D1B11" w:themeColor="background2" w:themeShade="1A"/>
                <w:sz w:val="20"/>
                <w:szCs w:val="20"/>
                <w:lang w:eastAsia="en-IN"/>
              </w:rPr>
              <w:t>)</w:t>
            </w:r>
            <w:r w:rsidR="00084578" w:rsidRPr="00F0055E">
              <w:rPr>
                <w:rFonts w:ascii="Arial" w:hAnsi="Arial" w:cs="Arial"/>
                <w:color w:val="1D1B11" w:themeColor="background2" w:themeShade="1A"/>
                <w:sz w:val="20"/>
                <w:szCs w:val="20"/>
                <w:lang w:eastAsia="en-IN"/>
              </w:rPr>
              <w:t xml:space="preserve"> at 500 ppm and </w:t>
            </w:r>
            <w:r w:rsidR="00034D9B" w:rsidRPr="00F0055E">
              <w:rPr>
                <w:rFonts w:ascii="Arial" w:hAnsi="Arial" w:cs="Arial"/>
                <w:color w:val="1D1B11" w:themeColor="background2" w:themeShade="1A"/>
                <w:sz w:val="20"/>
                <w:szCs w:val="20"/>
                <w:lang w:eastAsia="en-IN"/>
              </w:rPr>
              <w:t xml:space="preserve"> 1000 ppm respectively.</w:t>
            </w:r>
            <w:r w:rsidR="00643081" w:rsidRPr="00F0055E">
              <w:rPr>
                <w:rFonts w:ascii="Arial" w:hAnsi="Arial" w:cs="Arial"/>
                <w:color w:val="1D1B11" w:themeColor="background2" w:themeShade="1A"/>
                <w:sz w:val="20"/>
                <w:szCs w:val="20"/>
                <w:lang w:eastAsia="en-IN"/>
              </w:rPr>
              <w:t xml:space="preserve"> Among non-systemic fungicides </w:t>
            </w:r>
            <w:r w:rsidR="00F0055E" w:rsidRPr="00F0055E">
              <w:rPr>
                <w:rFonts w:ascii="Arial" w:hAnsi="Arial" w:cs="Arial"/>
                <w:color w:val="1D1B11" w:themeColor="background2" w:themeShade="1A"/>
                <w:sz w:val="20"/>
                <w:szCs w:val="20"/>
                <w:lang w:eastAsia="en-IN"/>
              </w:rPr>
              <w:t>t</w:t>
            </w:r>
            <w:r w:rsidR="00F0055E" w:rsidRPr="00F0055E">
              <w:rPr>
                <w:rFonts w:ascii="Arial" w:hAnsi="Arial" w:cs="Arial"/>
                <w:sz w:val="20"/>
                <w:szCs w:val="20"/>
              </w:rPr>
              <w:t xml:space="preserve">here was 100.00 % inhibition in fungicides </w:t>
            </w:r>
            <w:r w:rsidR="00F0055E" w:rsidRPr="00F0055E">
              <w:rPr>
                <w:rFonts w:ascii="Arial" w:hAnsi="Arial" w:cs="Arial"/>
                <w:i/>
                <w:iCs/>
                <w:sz w:val="20"/>
                <w:szCs w:val="20"/>
              </w:rPr>
              <w:t>viz</w:t>
            </w:r>
            <w:r w:rsidR="00F0055E" w:rsidRPr="00F0055E">
              <w:rPr>
                <w:rFonts w:ascii="Arial" w:hAnsi="Arial" w:cs="Arial"/>
                <w:sz w:val="20"/>
                <w:szCs w:val="20"/>
              </w:rPr>
              <w:t>., Mancozeb 75 % WP and</w:t>
            </w:r>
            <w:r w:rsidR="00F0055E">
              <w:rPr>
                <w:rFonts w:ascii="Arial" w:hAnsi="Arial" w:cs="Arial"/>
                <w:sz w:val="20"/>
                <w:szCs w:val="20"/>
              </w:rPr>
              <w:t xml:space="preserve"> </w:t>
            </w:r>
            <w:r w:rsidR="00F0055E" w:rsidRPr="00F0055E">
              <w:rPr>
                <w:rFonts w:ascii="Arial" w:hAnsi="Arial" w:cs="Arial"/>
                <w:sz w:val="20"/>
                <w:szCs w:val="20"/>
              </w:rPr>
              <w:t>Azoxystrobin 18.2 % + Difenoconazole 11.4 % SC</w:t>
            </w:r>
            <w:r w:rsidR="00F0055E">
              <w:rPr>
                <w:rFonts w:ascii="Arial" w:hAnsi="Arial" w:cs="Arial"/>
                <w:sz w:val="20"/>
                <w:szCs w:val="20"/>
              </w:rPr>
              <w:t xml:space="preserve"> followed by </w:t>
            </w:r>
            <w:r w:rsidR="00F0055E" w:rsidRPr="00F0055E">
              <w:rPr>
                <w:rFonts w:ascii="Arial" w:hAnsi="Arial" w:cs="Arial"/>
                <w:sz w:val="20"/>
                <w:szCs w:val="20"/>
              </w:rPr>
              <w:t>Carbendazim 12 % + Mancozeb 63 % resulted with mycelial growth inhibition (92.88 %</w:t>
            </w:r>
            <w:r w:rsidR="00F0055E">
              <w:rPr>
                <w:rFonts w:ascii="Arial" w:hAnsi="Arial" w:cs="Arial"/>
                <w:sz w:val="20"/>
                <w:szCs w:val="20"/>
              </w:rPr>
              <w:t xml:space="preserve"> and 100 %</w:t>
            </w:r>
            <w:r w:rsidR="00F0055E" w:rsidRPr="00F0055E">
              <w:rPr>
                <w:rFonts w:ascii="Arial" w:hAnsi="Arial" w:cs="Arial"/>
                <w:sz w:val="20"/>
                <w:szCs w:val="20"/>
              </w:rPr>
              <w:t>),</w:t>
            </w:r>
            <w:r w:rsidR="00F0055E">
              <w:rPr>
                <w:rFonts w:ascii="Arial" w:hAnsi="Arial" w:cs="Arial"/>
                <w:sz w:val="20"/>
                <w:szCs w:val="20"/>
              </w:rPr>
              <w:t xml:space="preserve"> </w:t>
            </w:r>
            <w:r w:rsidR="00F0055E" w:rsidRPr="00F0055E">
              <w:rPr>
                <w:rFonts w:ascii="Arial" w:hAnsi="Arial" w:cs="Arial"/>
                <w:sz w:val="20"/>
                <w:szCs w:val="20"/>
              </w:rPr>
              <w:t>Fluopyram 17.7 % + Tebuconazole 17.7 % 400 SC (64.45 %</w:t>
            </w:r>
            <w:r w:rsidR="00F0055E">
              <w:rPr>
                <w:rFonts w:ascii="Arial" w:hAnsi="Arial" w:cs="Arial"/>
                <w:sz w:val="20"/>
                <w:szCs w:val="20"/>
              </w:rPr>
              <w:t xml:space="preserve"> and 84.45 %</w:t>
            </w:r>
            <w:r w:rsidR="00F0055E" w:rsidRPr="00F0055E">
              <w:rPr>
                <w:rFonts w:ascii="Arial" w:hAnsi="Arial" w:cs="Arial"/>
                <w:sz w:val="20"/>
                <w:szCs w:val="20"/>
              </w:rPr>
              <w:t xml:space="preserve">), </w:t>
            </w:r>
            <w:r w:rsidR="00F0055E" w:rsidRPr="00F0055E">
              <w:rPr>
                <w:rFonts w:ascii="Arial" w:hAnsi="Arial" w:cs="Arial"/>
                <w:sz w:val="20"/>
                <w:szCs w:val="20"/>
                <w:lang w:val="en"/>
              </w:rPr>
              <w:t>Dimethomorph 12 % + Pyraclostrobin 6.7 % WG (58.89 %</w:t>
            </w:r>
            <w:r w:rsidR="00F0055E">
              <w:rPr>
                <w:rFonts w:ascii="Arial" w:hAnsi="Arial" w:cs="Arial"/>
                <w:sz w:val="20"/>
                <w:szCs w:val="20"/>
                <w:lang w:val="en"/>
              </w:rPr>
              <w:t xml:space="preserve"> and 83.34 %</w:t>
            </w:r>
            <w:r w:rsidR="00F0055E" w:rsidRPr="00F0055E">
              <w:rPr>
                <w:rFonts w:ascii="Arial" w:hAnsi="Arial" w:cs="Arial"/>
                <w:sz w:val="20"/>
                <w:szCs w:val="20"/>
                <w:lang w:val="en"/>
              </w:rPr>
              <w:t>)</w:t>
            </w:r>
            <w:r w:rsidR="00F0055E">
              <w:rPr>
                <w:rFonts w:ascii="Arial" w:hAnsi="Arial" w:cs="Arial"/>
                <w:sz w:val="20"/>
                <w:szCs w:val="20"/>
              </w:rPr>
              <w:t xml:space="preserve"> and </w:t>
            </w:r>
            <w:r w:rsidR="00F0055E" w:rsidRPr="00F0055E">
              <w:rPr>
                <w:rFonts w:ascii="Arial" w:hAnsi="Arial" w:cs="Arial"/>
                <w:sz w:val="20"/>
                <w:szCs w:val="20"/>
                <w:lang w:val="en"/>
              </w:rPr>
              <w:t>Boscalid 25.2 % + Pyraclostrobin 12.8 % WG (54.45 %</w:t>
            </w:r>
            <w:r w:rsidR="00F0055E">
              <w:rPr>
                <w:rFonts w:ascii="Arial" w:hAnsi="Arial" w:cs="Arial"/>
                <w:sz w:val="20"/>
                <w:szCs w:val="20"/>
                <w:lang w:val="en"/>
              </w:rPr>
              <w:t xml:space="preserve"> and 82.23 %</w:t>
            </w:r>
            <w:r w:rsidR="00F0055E" w:rsidRPr="00F0055E">
              <w:rPr>
                <w:rFonts w:ascii="Arial" w:hAnsi="Arial" w:cs="Arial"/>
                <w:sz w:val="20"/>
                <w:szCs w:val="20"/>
                <w:lang w:val="en"/>
              </w:rPr>
              <w:t>)</w:t>
            </w:r>
            <w:r w:rsidR="00F0055E">
              <w:rPr>
                <w:rFonts w:ascii="Arial" w:hAnsi="Arial" w:cs="Arial"/>
                <w:sz w:val="20"/>
                <w:szCs w:val="20"/>
                <w:lang w:val="en"/>
              </w:rPr>
              <w:t xml:space="preserve"> at 500 ppm and 1000 ppm respectively.</w:t>
            </w:r>
          </w:p>
          <w:p w14:paraId="78069902" w14:textId="4010861D" w:rsidR="00084578" w:rsidRPr="00084578" w:rsidRDefault="00084578" w:rsidP="00084578">
            <w:pPr>
              <w:ind w:firstLine="720"/>
              <w:jc w:val="both"/>
              <w:rPr>
                <w:rFonts w:ascii="Arial" w:hAnsi="Arial" w:cs="Arial"/>
                <w:color w:val="1D1B11" w:themeColor="background2" w:themeShade="1A"/>
                <w:lang w:eastAsia="en-IN"/>
              </w:rPr>
            </w:pPr>
          </w:p>
          <w:p w14:paraId="7AB40A8F" w14:textId="3028D1AC" w:rsidR="00505F06" w:rsidRPr="00BA1B01" w:rsidRDefault="00505F06" w:rsidP="006608DB">
            <w:pPr>
              <w:pStyle w:val="Body"/>
              <w:spacing w:after="0"/>
              <w:rPr>
                <w:rFonts w:ascii="Arial" w:eastAsia="Calibri" w:hAnsi="Arial" w:cs="Arial"/>
                <w:szCs w:val="22"/>
              </w:rPr>
            </w:pPr>
          </w:p>
        </w:tc>
      </w:tr>
    </w:tbl>
    <w:p w14:paraId="4B1C801F" w14:textId="77777777" w:rsidR="00636EB2" w:rsidRDefault="00636EB2" w:rsidP="00441B6F">
      <w:pPr>
        <w:pStyle w:val="Body"/>
        <w:spacing w:after="0"/>
        <w:rPr>
          <w:rFonts w:ascii="Arial" w:hAnsi="Arial" w:cs="Arial"/>
          <w:i/>
        </w:rPr>
      </w:pPr>
    </w:p>
    <w:p w14:paraId="034B1E08" w14:textId="4EDDD8F3" w:rsidR="00505F06" w:rsidRPr="00A24E7E" w:rsidRDefault="00A24E7E" w:rsidP="00441B6F">
      <w:pPr>
        <w:pStyle w:val="Body"/>
        <w:spacing w:after="0"/>
        <w:rPr>
          <w:rFonts w:ascii="Arial" w:hAnsi="Arial" w:cs="Arial"/>
          <w:i/>
        </w:rPr>
      </w:pPr>
      <w:r>
        <w:rPr>
          <w:rFonts w:ascii="Arial" w:hAnsi="Arial" w:cs="Arial"/>
          <w:i/>
        </w:rPr>
        <w:t>Keywords: [</w:t>
      </w:r>
      <w:r w:rsidR="006608DB">
        <w:rPr>
          <w:rFonts w:ascii="Arial" w:hAnsi="Arial" w:cs="Arial"/>
          <w:i/>
        </w:rPr>
        <w:t>Sunflower</w:t>
      </w:r>
      <w:r w:rsidR="00530058">
        <w:rPr>
          <w:rFonts w:ascii="Arial" w:hAnsi="Arial" w:cs="Arial"/>
          <w:i/>
        </w:rPr>
        <w:t xml:space="preserve">, </w:t>
      </w:r>
      <w:r w:rsidR="006608DB">
        <w:rPr>
          <w:rFonts w:ascii="Arial" w:hAnsi="Arial" w:cs="Arial"/>
          <w:i/>
        </w:rPr>
        <w:t>Alternariaster leaf spot</w:t>
      </w:r>
      <w:r w:rsidR="00530058">
        <w:rPr>
          <w:rFonts w:ascii="Arial" w:hAnsi="Arial" w:cs="Arial"/>
          <w:i/>
        </w:rPr>
        <w:t xml:space="preserve">, </w:t>
      </w:r>
      <w:r w:rsidR="006608DB">
        <w:rPr>
          <w:rFonts w:ascii="Arial" w:hAnsi="Arial" w:cs="Arial"/>
          <w:i/>
        </w:rPr>
        <w:t>Alternariaster helianthi</w:t>
      </w:r>
      <w:r w:rsidR="00530058">
        <w:rPr>
          <w:rFonts w:ascii="Arial" w:hAnsi="Arial" w:cs="Arial"/>
          <w:i/>
        </w:rPr>
        <w:t>, Fungicides, in vitro</w:t>
      </w:r>
      <w:r w:rsidR="009B18D0">
        <w:rPr>
          <w:rFonts w:ascii="Arial" w:hAnsi="Arial" w:cs="Arial"/>
          <w:i/>
        </w:rPr>
        <w:t>]</w:t>
      </w:r>
      <w:r w:rsidR="0066510A">
        <w:rPr>
          <w:rFonts w:ascii="Arial" w:hAnsi="Arial" w:cs="Arial"/>
          <w:i/>
        </w:rPr>
        <w:t xml:space="preserve"> </w:t>
      </w:r>
    </w:p>
    <w:p w14:paraId="73CBD8F8" w14:textId="6A967B32" w:rsidR="00790ADA" w:rsidRPr="00FB3A86" w:rsidRDefault="00B01FCD" w:rsidP="00441B6F">
      <w:pPr>
        <w:pStyle w:val="AbstHead"/>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6E4F878C" w14:textId="4D0418D3" w:rsidR="00530058" w:rsidRPr="00643081" w:rsidRDefault="005271EB" w:rsidP="00643081">
      <w:pPr>
        <w:jc w:val="both"/>
      </w:pPr>
      <w:r w:rsidRPr="005271EB">
        <w:rPr>
          <w:rFonts w:ascii="Arial" w:eastAsia="Calibri" w:hAnsi="Arial" w:cs="Arial"/>
          <w:szCs w:val="22"/>
        </w:rPr>
        <w:t>Sunflower (</w:t>
      </w:r>
      <w:r w:rsidRPr="005271EB">
        <w:rPr>
          <w:rFonts w:ascii="Arial" w:eastAsia="Calibri" w:hAnsi="Arial" w:cs="Arial"/>
          <w:i/>
          <w:iCs/>
          <w:szCs w:val="22"/>
        </w:rPr>
        <w:t>Helianthus annuus L</w:t>
      </w:r>
      <w:r w:rsidRPr="005271EB">
        <w:rPr>
          <w:rFonts w:ascii="Arial" w:eastAsia="Calibri" w:hAnsi="Arial" w:cs="Arial"/>
          <w:szCs w:val="22"/>
        </w:rPr>
        <w:t>.) is a crucial edible oilseed crop</w:t>
      </w:r>
      <w:r w:rsidR="0018551D">
        <w:rPr>
          <w:rFonts w:ascii="Arial" w:eastAsia="Calibri" w:hAnsi="Arial" w:cs="Arial"/>
          <w:szCs w:val="22"/>
        </w:rPr>
        <w:t xml:space="preserve"> </w:t>
      </w:r>
      <w:r w:rsidRPr="005271EB">
        <w:rPr>
          <w:rFonts w:ascii="Arial" w:eastAsia="Calibri" w:hAnsi="Arial" w:cs="Arial"/>
          <w:szCs w:val="22"/>
        </w:rPr>
        <w:t xml:space="preserve">and the genus </w:t>
      </w:r>
      <w:r w:rsidRPr="005271EB">
        <w:rPr>
          <w:rFonts w:ascii="Arial" w:eastAsia="Calibri" w:hAnsi="Arial" w:cs="Arial"/>
          <w:i/>
          <w:iCs/>
          <w:szCs w:val="22"/>
        </w:rPr>
        <w:t>Helianthus</w:t>
      </w:r>
      <w:r w:rsidRPr="005271EB">
        <w:rPr>
          <w:rFonts w:ascii="Arial" w:eastAsia="Calibri" w:hAnsi="Arial" w:cs="Arial"/>
          <w:szCs w:val="22"/>
        </w:rPr>
        <w:t>, which includes over 70 species worldwide.</w:t>
      </w:r>
      <w:r>
        <w:rPr>
          <w:rFonts w:ascii="Arial" w:eastAsia="Calibri" w:hAnsi="Arial" w:cs="Arial"/>
          <w:szCs w:val="22"/>
        </w:rPr>
        <w:t xml:space="preserve"> </w:t>
      </w:r>
      <w:r w:rsidR="00530058" w:rsidRPr="00C13909">
        <w:rPr>
          <w:rFonts w:ascii="Arial" w:eastAsia="Calibri" w:hAnsi="Arial" w:cs="Arial"/>
          <w:szCs w:val="22"/>
        </w:rPr>
        <w:t xml:space="preserve">belonging to the family </w:t>
      </w:r>
      <w:r w:rsidR="006608DB">
        <w:rPr>
          <w:rFonts w:ascii="Arial" w:eastAsia="Calibri" w:hAnsi="Arial" w:cs="Arial"/>
          <w:szCs w:val="22"/>
        </w:rPr>
        <w:t>Compositae</w:t>
      </w:r>
      <w:r>
        <w:rPr>
          <w:rFonts w:ascii="Arial" w:eastAsia="Calibri" w:hAnsi="Arial" w:cs="Arial"/>
          <w:szCs w:val="22"/>
        </w:rPr>
        <w:t>.</w:t>
      </w:r>
      <w:r w:rsidR="00643081" w:rsidRPr="00643081">
        <w:t xml:space="preserve"> </w:t>
      </w:r>
      <w:r w:rsidR="00643081">
        <w:t xml:space="preserve">Globally, sunflower ranks fourth in cultivation area after soybean, rapeseed and groundnut and second in vegetable oil production following soybean. It is extensively cultivated in the USA, Argentina, France, Spain, China, Ukraine and India and It is cultivated on an area of 26.42 million hectares, and production of 54.45 million tonnes with an average productivity of 2.06 </w:t>
      </w:r>
      <w:proofErr w:type="spellStart"/>
      <w:r w:rsidR="00463AD9">
        <w:t>tonns</w:t>
      </w:r>
      <w:proofErr w:type="spellEnd"/>
      <w:r w:rsidR="00643081">
        <w:t xml:space="preserve"> /ha in the world. (Anonymous, 2023</w:t>
      </w:r>
      <w:r w:rsidR="00643081">
        <w:rPr>
          <w:rFonts w:ascii="Calibri" w:eastAsia="Calibri" w:hAnsi="Calibri" w:cs="Calibri"/>
          <w:sz w:val="22"/>
        </w:rPr>
        <w:t>).</w:t>
      </w:r>
      <w:r w:rsidR="00643081">
        <w:rPr>
          <w:rFonts w:ascii="Times New Roman" w:hAnsi="Times New Roman"/>
        </w:rPr>
        <w:t xml:space="preserve"> </w:t>
      </w:r>
      <w:r w:rsidR="00643081">
        <w:t>In India, major sunflower growing states include Punjab, Haryana, Karnataka, Gujarat, Maharashtra, Uttar Pradesh, West Bengal, Odisha, Rajasthan, Tamil Nadu and Andhra Pradesh. The crop currently spans 364,000 hectares, producing 3.63 million tonnes at a productivity rate of 996 kg/ha. Karnataka, Maharashtra and Andhra Pradesh collectively account for 70 percent of the sunflower cultivation area in India (Indiastat, 2023).</w:t>
      </w:r>
      <w:r w:rsidR="00643081">
        <w:rPr>
          <w:rFonts w:ascii="Times New Roman" w:hAnsi="Times New Roman"/>
        </w:rPr>
        <w:t xml:space="preserve"> </w:t>
      </w:r>
      <w:r>
        <w:rPr>
          <w:rFonts w:ascii="Arial" w:eastAsia="Calibri" w:hAnsi="Arial" w:cs="Arial"/>
          <w:szCs w:val="22"/>
        </w:rPr>
        <w:t xml:space="preserve">Sunflower </w:t>
      </w:r>
      <w:r w:rsidR="00530058" w:rsidRPr="00C13909">
        <w:rPr>
          <w:rFonts w:ascii="Arial" w:eastAsia="Calibri" w:hAnsi="Arial" w:cs="Arial"/>
          <w:szCs w:val="22"/>
        </w:rPr>
        <w:t xml:space="preserve">is prone to various fungal and diseases. Among various diseases, </w:t>
      </w:r>
      <w:r w:rsidR="00E12CCB" w:rsidRPr="0010728A">
        <w:rPr>
          <w:rFonts w:ascii="Arial" w:eastAsia="Calibri" w:hAnsi="Arial" w:cs="Arial"/>
          <w:i/>
          <w:iCs/>
          <w:szCs w:val="22"/>
        </w:rPr>
        <w:t>Alternaria</w:t>
      </w:r>
      <w:r w:rsidR="00E12CCB">
        <w:rPr>
          <w:rFonts w:ascii="Arial" w:eastAsia="Calibri" w:hAnsi="Arial" w:cs="Arial"/>
          <w:i/>
          <w:iCs/>
          <w:szCs w:val="22"/>
        </w:rPr>
        <w:t xml:space="preserve">ster </w:t>
      </w:r>
      <w:r w:rsidR="00E12CCB" w:rsidRPr="0010728A">
        <w:rPr>
          <w:rFonts w:ascii="Arial" w:eastAsia="Calibri" w:hAnsi="Arial" w:cs="Arial"/>
          <w:szCs w:val="22"/>
        </w:rPr>
        <w:t>leaf spot</w:t>
      </w:r>
      <w:r w:rsidR="00E12CCB" w:rsidRPr="0010728A">
        <w:rPr>
          <w:rFonts w:ascii="Arial" w:eastAsia="Calibri" w:hAnsi="Arial" w:cs="Arial"/>
          <w:i/>
          <w:iCs/>
          <w:szCs w:val="22"/>
        </w:rPr>
        <w:t xml:space="preserve"> </w:t>
      </w:r>
      <w:r w:rsidR="00530058" w:rsidRPr="00C13909">
        <w:rPr>
          <w:rFonts w:ascii="Arial" w:eastAsia="Calibri" w:hAnsi="Arial" w:cs="Arial"/>
          <w:szCs w:val="22"/>
        </w:rPr>
        <w:t xml:space="preserve">is most widely occurred disease caused by the fungus </w:t>
      </w:r>
      <w:r w:rsidR="00E12CCB" w:rsidRPr="0010728A">
        <w:rPr>
          <w:rFonts w:ascii="Arial" w:eastAsia="Calibri" w:hAnsi="Arial" w:cs="Arial"/>
          <w:i/>
          <w:iCs/>
          <w:szCs w:val="22"/>
        </w:rPr>
        <w:t>Alternaria</w:t>
      </w:r>
      <w:r w:rsidR="00E12CCB">
        <w:rPr>
          <w:rFonts w:ascii="Arial" w:eastAsia="Calibri" w:hAnsi="Arial" w:cs="Arial"/>
          <w:i/>
          <w:iCs/>
          <w:szCs w:val="22"/>
        </w:rPr>
        <w:t>ster</w:t>
      </w:r>
      <w:r w:rsidR="00E12CCB" w:rsidRPr="0010728A">
        <w:rPr>
          <w:rFonts w:ascii="Arial" w:eastAsia="Calibri" w:hAnsi="Arial" w:cs="Arial"/>
          <w:i/>
          <w:iCs/>
          <w:szCs w:val="22"/>
        </w:rPr>
        <w:t xml:space="preserve"> helianthi</w:t>
      </w:r>
      <w:r w:rsidR="00E12CCB" w:rsidRPr="00E12CCB">
        <w:rPr>
          <w:rFonts w:ascii="Arial" w:eastAsia="Calibri" w:hAnsi="Arial" w:cs="Arial"/>
          <w:szCs w:val="22"/>
        </w:rPr>
        <w:t xml:space="preserve"> (Hansord) </w:t>
      </w:r>
      <w:r w:rsidR="00E12CCB" w:rsidRPr="0010728A">
        <w:rPr>
          <w:rFonts w:ascii="Arial" w:eastAsia="Calibri" w:hAnsi="Arial" w:cs="Arial"/>
          <w:szCs w:val="22"/>
        </w:rPr>
        <w:t>Simmons</w:t>
      </w:r>
      <w:r w:rsidR="00E12CCB" w:rsidRPr="00C13909">
        <w:rPr>
          <w:rFonts w:ascii="Arial" w:eastAsia="Calibri" w:hAnsi="Arial" w:cs="Arial"/>
          <w:szCs w:val="22"/>
        </w:rPr>
        <w:t xml:space="preserve"> </w:t>
      </w:r>
      <w:r w:rsidR="00C13909" w:rsidRPr="00C13909">
        <w:rPr>
          <w:rFonts w:ascii="Arial" w:eastAsia="Calibri" w:hAnsi="Arial" w:cs="Arial"/>
          <w:szCs w:val="22"/>
        </w:rPr>
        <w:t>It affects the s</w:t>
      </w:r>
      <w:r w:rsidR="00E12CCB">
        <w:rPr>
          <w:rFonts w:ascii="Arial" w:eastAsia="Calibri" w:hAnsi="Arial" w:cs="Arial"/>
          <w:szCs w:val="22"/>
        </w:rPr>
        <w:t>tem</w:t>
      </w:r>
      <w:r w:rsidR="00C13909" w:rsidRPr="00C13909">
        <w:rPr>
          <w:rFonts w:ascii="Arial" w:eastAsia="Calibri" w:hAnsi="Arial" w:cs="Arial"/>
          <w:szCs w:val="22"/>
        </w:rPr>
        <w:t xml:space="preserve">, leaves, branches and </w:t>
      </w:r>
      <w:r w:rsidR="00E12CCB">
        <w:rPr>
          <w:rFonts w:ascii="Arial" w:eastAsia="Calibri" w:hAnsi="Arial" w:cs="Arial"/>
          <w:szCs w:val="22"/>
        </w:rPr>
        <w:t>capitulum</w:t>
      </w:r>
      <w:r w:rsidR="00C13909" w:rsidRPr="00C13909">
        <w:rPr>
          <w:rFonts w:ascii="Arial" w:eastAsia="Calibri" w:hAnsi="Arial" w:cs="Arial"/>
          <w:szCs w:val="22"/>
        </w:rPr>
        <w:t xml:space="preserve">, leading to significant yield and quality losses. Hence experiment to find out effective fungicides against </w:t>
      </w:r>
      <w:r w:rsidR="00E12CCB" w:rsidRPr="0010728A">
        <w:rPr>
          <w:rFonts w:ascii="Arial" w:eastAsia="Calibri" w:hAnsi="Arial" w:cs="Arial"/>
          <w:i/>
          <w:iCs/>
          <w:szCs w:val="22"/>
        </w:rPr>
        <w:t>Alternaria</w:t>
      </w:r>
      <w:r w:rsidR="00E12CCB">
        <w:rPr>
          <w:rFonts w:ascii="Arial" w:eastAsia="Calibri" w:hAnsi="Arial" w:cs="Arial"/>
          <w:i/>
          <w:iCs/>
          <w:szCs w:val="22"/>
        </w:rPr>
        <w:t xml:space="preserve">ster </w:t>
      </w:r>
      <w:r w:rsidR="00E12CCB" w:rsidRPr="0010728A">
        <w:rPr>
          <w:rFonts w:ascii="Arial" w:eastAsia="Calibri" w:hAnsi="Arial" w:cs="Arial"/>
          <w:szCs w:val="22"/>
        </w:rPr>
        <w:t>leaf spot</w:t>
      </w:r>
      <w:r w:rsidR="00E12CCB" w:rsidRPr="0010728A">
        <w:rPr>
          <w:rFonts w:ascii="Arial" w:eastAsia="Calibri" w:hAnsi="Arial" w:cs="Arial"/>
          <w:i/>
          <w:iCs/>
          <w:szCs w:val="22"/>
        </w:rPr>
        <w:t xml:space="preserve"> </w:t>
      </w:r>
      <w:r w:rsidR="00C13909" w:rsidRPr="00C13909">
        <w:rPr>
          <w:rFonts w:ascii="Arial" w:eastAsia="Calibri" w:hAnsi="Arial" w:cs="Arial"/>
          <w:szCs w:val="22"/>
        </w:rPr>
        <w:t xml:space="preserve">were conducted under </w:t>
      </w:r>
      <w:r w:rsidR="00C13909" w:rsidRPr="009B18D0">
        <w:rPr>
          <w:rFonts w:ascii="Arial" w:eastAsia="Calibri" w:hAnsi="Arial" w:cs="Arial"/>
          <w:i/>
          <w:iCs/>
          <w:szCs w:val="22"/>
        </w:rPr>
        <w:t>in vitro</w:t>
      </w:r>
      <w:r w:rsidR="00C13909" w:rsidRPr="00C13909">
        <w:rPr>
          <w:rFonts w:ascii="Arial" w:eastAsia="Calibri" w:hAnsi="Arial" w:cs="Arial"/>
          <w:szCs w:val="22"/>
        </w:rPr>
        <w:t xml:space="preserve"> condition.</w:t>
      </w:r>
    </w:p>
    <w:p w14:paraId="0B24C3D3" w14:textId="6566E88C" w:rsidR="00790ADA" w:rsidRPr="00FB3A86" w:rsidRDefault="00902823" w:rsidP="00441B6F">
      <w:pPr>
        <w:pStyle w:val="AbstHead"/>
        <w:spacing w:after="0"/>
        <w:jc w:val="both"/>
        <w:rPr>
          <w:rFonts w:ascii="Arial" w:hAnsi="Arial" w:cs="Arial"/>
        </w:rPr>
      </w:pPr>
      <w:r>
        <w:rPr>
          <w:rFonts w:ascii="Arial" w:hAnsi="Arial" w:cs="Arial"/>
        </w:rPr>
        <w:t>material and method</w:t>
      </w:r>
      <w:r w:rsidR="00000F8F">
        <w:rPr>
          <w:rFonts w:ascii="Arial" w:hAnsi="Arial" w:cs="Arial"/>
        </w:rPr>
        <w:t xml:space="preserve">s </w:t>
      </w:r>
    </w:p>
    <w:p w14:paraId="1C7934F8" w14:textId="41034688" w:rsidR="00790ADA" w:rsidRPr="000A5833" w:rsidRDefault="001A28DE" w:rsidP="00441B6F">
      <w:pPr>
        <w:pStyle w:val="Body"/>
        <w:spacing w:after="0"/>
        <w:rPr>
          <w:rFonts w:ascii="Arial" w:hAnsi="Arial" w:cs="Arial"/>
        </w:rPr>
      </w:pPr>
      <w:r w:rsidRPr="001A28DE">
        <w:rPr>
          <w:rFonts w:ascii="Arial" w:hAnsi="Arial" w:cs="Arial"/>
        </w:rPr>
        <w:t xml:space="preserve">The efficacy of fungicides earlier reported effective against </w:t>
      </w:r>
      <w:r w:rsidRPr="001A28DE">
        <w:rPr>
          <w:rFonts w:ascii="Arial" w:hAnsi="Arial" w:cs="Arial"/>
          <w:i/>
          <w:iCs/>
        </w:rPr>
        <w:t>A. helianthi</w:t>
      </w:r>
      <w:r w:rsidRPr="001A28DE">
        <w:rPr>
          <w:rFonts w:ascii="Arial" w:hAnsi="Arial" w:cs="Arial"/>
        </w:rPr>
        <w:t xml:space="preserve"> were evaluated </w:t>
      </w:r>
      <w:r w:rsidRPr="001A28DE">
        <w:rPr>
          <w:rFonts w:ascii="Arial" w:hAnsi="Arial" w:cs="Arial"/>
          <w:i/>
          <w:iCs/>
        </w:rPr>
        <w:t>in vitro</w:t>
      </w:r>
      <w:r w:rsidRPr="001A28DE">
        <w:rPr>
          <w:rFonts w:ascii="Arial" w:hAnsi="Arial" w:cs="Arial"/>
        </w:rPr>
        <w:t xml:space="preserve"> by applying Poisoned food technique (Nene and Thapliyal, 1993) and using PDA as basal medium. PDA medium was used as a basal medium for the fungicidal study. It was prepared in 250 ml conical flask. 100ml medium was taken in each flask. The medium then sterilized at 15 </w:t>
      </w:r>
      <w:proofErr w:type="spellStart"/>
      <w:r w:rsidRPr="001A28DE">
        <w:rPr>
          <w:rFonts w:ascii="Arial" w:hAnsi="Arial" w:cs="Arial"/>
        </w:rPr>
        <w:t>lbs</w:t>
      </w:r>
      <w:proofErr w:type="spellEnd"/>
      <w:r w:rsidRPr="001A28DE">
        <w:rPr>
          <w:rFonts w:ascii="Arial" w:hAnsi="Arial" w:cs="Arial"/>
        </w:rPr>
        <w:t xml:space="preserve"> </w:t>
      </w:r>
      <w:proofErr w:type="spellStart"/>
      <w:r w:rsidRPr="001A28DE">
        <w:rPr>
          <w:rFonts w:ascii="Arial" w:hAnsi="Arial" w:cs="Arial"/>
        </w:rPr>
        <w:t>vapour</w:t>
      </w:r>
      <w:proofErr w:type="spellEnd"/>
      <w:r w:rsidRPr="001A28DE">
        <w:rPr>
          <w:rFonts w:ascii="Arial" w:hAnsi="Arial" w:cs="Arial"/>
        </w:rPr>
        <w:t xml:space="preserve"> pressure for 15 minutes. Required quantity of test fungicides were calculated and added in the sterilized medium separately. Flasks containing Poisoned medium were shaken well to have even and uniform distribution of the fungicides. About 20 ml of Poisoned PDA was poured in each of the sterilized petri plates and allowed to solidify. The plates were inoculated by pure culture of </w:t>
      </w:r>
      <w:r w:rsidRPr="001A28DE">
        <w:rPr>
          <w:rFonts w:ascii="Arial" w:hAnsi="Arial" w:cs="Arial"/>
          <w:i/>
          <w:iCs/>
        </w:rPr>
        <w:t>Alternariaster helianthi</w:t>
      </w:r>
      <w:r w:rsidRPr="001A28DE">
        <w:rPr>
          <w:rFonts w:ascii="Arial" w:hAnsi="Arial" w:cs="Arial"/>
        </w:rPr>
        <w:t xml:space="preserve">. For this purpose, 5 mm disc of one week old culture </w:t>
      </w:r>
      <w:r w:rsidRPr="001A28DE">
        <w:rPr>
          <w:rFonts w:ascii="Arial" w:hAnsi="Arial" w:cs="Arial"/>
        </w:rPr>
        <w:lastRenderedPageBreak/>
        <w:t xml:space="preserve">was cut with a sterilized </w:t>
      </w:r>
      <w:proofErr w:type="spellStart"/>
      <w:r w:rsidRPr="001A28DE">
        <w:rPr>
          <w:rFonts w:ascii="Arial" w:hAnsi="Arial" w:cs="Arial"/>
        </w:rPr>
        <w:t>cork</w:t>
      </w:r>
      <w:proofErr w:type="spellEnd"/>
      <w:r w:rsidRPr="001A28DE">
        <w:rPr>
          <w:rFonts w:ascii="Arial" w:hAnsi="Arial" w:cs="Arial"/>
        </w:rPr>
        <w:t xml:space="preserve"> borer. The disc was lifted and transferred aseptically in the cente</w:t>
      </w:r>
      <w:r w:rsidR="00463AD9">
        <w:rPr>
          <w:rFonts w:ascii="Arial" w:hAnsi="Arial" w:cs="Arial"/>
        </w:rPr>
        <w:t>r</w:t>
      </w:r>
      <w:r w:rsidRPr="001A28DE">
        <w:rPr>
          <w:rFonts w:ascii="Arial" w:hAnsi="Arial" w:cs="Arial"/>
        </w:rPr>
        <w:t xml:space="preserve"> of </w:t>
      </w:r>
      <w:proofErr w:type="spellStart"/>
      <w:r w:rsidR="00463AD9">
        <w:rPr>
          <w:rFonts w:ascii="Arial" w:hAnsi="Arial" w:cs="Arial"/>
        </w:rPr>
        <w:t>p</w:t>
      </w:r>
      <w:r w:rsidRPr="001A28DE">
        <w:rPr>
          <w:rFonts w:ascii="Arial" w:hAnsi="Arial" w:cs="Arial"/>
        </w:rPr>
        <w:t>etriplates</w:t>
      </w:r>
      <w:proofErr w:type="spellEnd"/>
      <w:r w:rsidRPr="001A28DE">
        <w:rPr>
          <w:rFonts w:ascii="Arial" w:hAnsi="Arial" w:cs="Arial"/>
        </w:rPr>
        <w:t xml:space="preserve"> containing the medium with test fungicides. Three plates were maintained for each </w:t>
      </w:r>
      <w:r w:rsidR="00463AD9" w:rsidRPr="001A28DE">
        <w:rPr>
          <w:rFonts w:ascii="Arial" w:hAnsi="Arial" w:cs="Arial"/>
        </w:rPr>
        <w:t>treatment</w:t>
      </w:r>
      <w:r w:rsidRPr="001A28DE">
        <w:rPr>
          <w:rFonts w:ascii="Arial" w:hAnsi="Arial" w:cs="Arial"/>
        </w:rPr>
        <w:t xml:space="preserve">. The control plates without fungicides were also inoculated and incubated. Treated plates were incubated at 26±20 C temperature. The observations on colony diameter were recorded after 8 days. </w:t>
      </w:r>
    </w:p>
    <w:p w14:paraId="70F1D439" w14:textId="77777777" w:rsidR="000A5833" w:rsidRPr="000A5833" w:rsidRDefault="000A5833" w:rsidP="00441B6F">
      <w:pPr>
        <w:pStyle w:val="Body"/>
        <w:spacing w:after="0"/>
        <w:rPr>
          <w:rFonts w:ascii="Arial" w:hAnsi="Arial" w:cs="Arial"/>
        </w:rPr>
      </w:pPr>
      <w:r w:rsidRPr="000A5833">
        <w:rPr>
          <w:rFonts w:ascii="Arial" w:hAnsi="Arial" w:cs="Arial"/>
        </w:rPr>
        <w:t xml:space="preserve"> Table 1: List of systemic fungicides</w:t>
      </w:r>
    </w:p>
    <w:tbl>
      <w:tblPr>
        <w:tblStyle w:val="TableGrid"/>
        <w:tblW w:w="0" w:type="auto"/>
        <w:tblLook w:val="04A0" w:firstRow="1" w:lastRow="0" w:firstColumn="1" w:lastColumn="0" w:noHBand="0" w:noVBand="1"/>
      </w:tblPr>
      <w:tblGrid>
        <w:gridCol w:w="828"/>
        <w:gridCol w:w="3330"/>
        <w:gridCol w:w="900"/>
        <w:gridCol w:w="3330"/>
      </w:tblGrid>
      <w:tr w:rsidR="000A5833" w:rsidRPr="008D5306" w14:paraId="0952C515" w14:textId="77777777" w:rsidTr="000A5833">
        <w:tc>
          <w:tcPr>
            <w:tcW w:w="828" w:type="dxa"/>
          </w:tcPr>
          <w:p w14:paraId="08678F83" w14:textId="77777777" w:rsidR="000A5833" w:rsidRPr="008D5306" w:rsidRDefault="000A5833" w:rsidP="00441B6F">
            <w:pPr>
              <w:pStyle w:val="Body"/>
              <w:spacing w:after="0"/>
              <w:rPr>
                <w:rFonts w:ascii="Arial" w:eastAsia="Times New Roman" w:hAnsi="Arial" w:cs="Arial"/>
                <w:sz w:val="20"/>
                <w:szCs w:val="20"/>
              </w:rPr>
            </w:pPr>
            <w:r w:rsidRPr="008D5306">
              <w:rPr>
                <w:rFonts w:ascii="Arial" w:eastAsia="Times New Roman" w:hAnsi="Arial" w:cs="Arial"/>
                <w:sz w:val="20"/>
                <w:szCs w:val="20"/>
              </w:rPr>
              <w:t>Tr. No.</w:t>
            </w:r>
          </w:p>
        </w:tc>
        <w:tc>
          <w:tcPr>
            <w:tcW w:w="3330" w:type="dxa"/>
          </w:tcPr>
          <w:p w14:paraId="07F9515C" w14:textId="77777777" w:rsidR="000A5833" w:rsidRPr="008D5306" w:rsidRDefault="000A5833" w:rsidP="00441B6F">
            <w:pPr>
              <w:pStyle w:val="Body"/>
              <w:spacing w:after="0"/>
              <w:rPr>
                <w:rFonts w:ascii="Arial" w:eastAsia="Times New Roman" w:hAnsi="Arial" w:cs="Arial"/>
                <w:sz w:val="20"/>
                <w:szCs w:val="20"/>
              </w:rPr>
            </w:pPr>
            <w:r w:rsidRPr="008D5306">
              <w:rPr>
                <w:rFonts w:ascii="Arial" w:eastAsia="Times New Roman" w:hAnsi="Arial" w:cs="Arial"/>
                <w:sz w:val="20"/>
                <w:szCs w:val="20"/>
              </w:rPr>
              <w:t>Treatments</w:t>
            </w:r>
          </w:p>
        </w:tc>
        <w:tc>
          <w:tcPr>
            <w:tcW w:w="900" w:type="dxa"/>
          </w:tcPr>
          <w:p w14:paraId="02B2F5D1" w14:textId="77777777" w:rsidR="000A5833" w:rsidRPr="008D5306" w:rsidRDefault="000A5833" w:rsidP="00441B6F">
            <w:pPr>
              <w:pStyle w:val="Body"/>
              <w:spacing w:after="0"/>
              <w:rPr>
                <w:rFonts w:ascii="Arial" w:eastAsia="Times New Roman" w:hAnsi="Arial" w:cs="Arial"/>
                <w:sz w:val="20"/>
                <w:szCs w:val="20"/>
              </w:rPr>
            </w:pPr>
            <w:r w:rsidRPr="008D5306">
              <w:rPr>
                <w:rFonts w:ascii="Arial" w:eastAsia="Times New Roman" w:hAnsi="Arial" w:cs="Arial"/>
                <w:sz w:val="20"/>
                <w:szCs w:val="20"/>
              </w:rPr>
              <w:t>Tr. No.</w:t>
            </w:r>
          </w:p>
        </w:tc>
        <w:tc>
          <w:tcPr>
            <w:tcW w:w="3330" w:type="dxa"/>
          </w:tcPr>
          <w:p w14:paraId="268CF9AA" w14:textId="77777777" w:rsidR="000A5833" w:rsidRPr="008D5306" w:rsidRDefault="000A5833" w:rsidP="00441B6F">
            <w:pPr>
              <w:pStyle w:val="Body"/>
              <w:spacing w:after="0"/>
              <w:rPr>
                <w:rFonts w:ascii="Arial" w:eastAsia="Times New Roman" w:hAnsi="Arial" w:cs="Arial"/>
                <w:sz w:val="20"/>
                <w:szCs w:val="20"/>
              </w:rPr>
            </w:pPr>
            <w:r w:rsidRPr="008D5306">
              <w:rPr>
                <w:rFonts w:ascii="Arial" w:eastAsia="Times New Roman" w:hAnsi="Arial" w:cs="Arial"/>
                <w:sz w:val="20"/>
                <w:szCs w:val="20"/>
              </w:rPr>
              <w:t>Treatments</w:t>
            </w:r>
          </w:p>
        </w:tc>
      </w:tr>
      <w:tr w:rsidR="008D5306" w:rsidRPr="008D5306" w14:paraId="236A0455" w14:textId="77777777" w:rsidTr="000A5833">
        <w:tc>
          <w:tcPr>
            <w:tcW w:w="828" w:type="dxa"/>
            <w:vAlign w:val="center"/>
          </w:tcPr>
          <w:p w14:paraId="475F6456" w14:textId="77777777" w:rsidR="008D5306" w:rsidRPr="008D5306" w:rsidRDefault="008D5306" w:rsidP="008D5306">
            <w:pPr>
              <w:pStyle w:val="TableParagraph"/>
              <w:spacing w:before="3"/>
              <w:ind w:left="52" w:right="30"/>
              <w:jc w:val="center"/>
              <w:rPr>
                <w:rFonts w:ascii="Arial" w:hAnsi="Arial" w:cs="Arial"/>
                <w:bCs/>
                <w:sz w:val="20"/>
                <w:szCs w:val="20"/>
              </w:rPr>
            </w:pPr>
            <w:r w:rsidRPr="008D5306">
              <w:rPr>
                <w:rFonts w:ascii="Arial" w:hAnsi="Arial" w:cs="Arial"/>
                <w:bCs/>
                <w:spacing w:val="-5"/>
                <w:sz w:val="20"/>
                <w:szCs w:val="20"/>
              </w:rPr>
              <w:t>T</w:t>
            </w:r>
            <w:r w:rsidRPr="008D5306">
              <w:rPr>
                <w:rFonts w:ascii="Arial" w:hAnsi="Arial" w:cs="Arial"/>
                <w:bCs/>
                <w:spacing w:val="-5"/>
                <w:sz w:val="20"/>
                <w:szCs w:val="20"/>
                <w:vertAlign w:val="subscript"/>
              </w:rPr>
              <w:t>1</w:t>
            </w:r>
          </w:p>
        </w:tc>
        <w:tc>
          <w:tcPr>
            <w:tcW w:w="3330" w:type="dxa"/>
            <w:vAlign w:val="center"/>
          </w:tcPr>
          <w:p w14:paraId="31990971" w14:textId="0AD5D9CF" w:rsidR="008D5306" w:rsidRPr="008D5306" w:rsidRDefault="008D5306" w:rsidP="008D5306">
            <w:pPr>
              <w:pStyle w:val="TableParagraph"/>
              <w:spacing w:before="3"/>
              <w:ind w:right="30"/>
              <w:rPr>
                <w:rFonts w:ascii="Arial" w:hAnsi="Arial" w:cs="Arial"/>
                <w:bCs/>
                <w:sz w:val="20"/>
                <w:szCs w:val="20"/>
              </w:rPr>
            </w:pPr>
            <w:r w:rsidRPr="008D5306">
              <w:rPr>
                <w:rFonts w:ascii="Arial" w:hAnsi="Arial" w:cs="Arial"/>
                <w:sz w:val="20"/>
                <w:szCs w:val="20"/>
                <w:lang w:val="en"/>
              </w:rPr>
              <w:t>Propiconazole 25 % EC</w:t>
            </w:r>
          </w:p>
        </w:tc>
        <w:tc>
          <w:tcPr>
            <w:tcW w:w="900" w:type="dxa"/>
            <w:vAlign w:val="center"/>
          </w:tcPr>
          <w:p w14:paraId="570BF17E" w14:textId="46553986" w:rsidR="008D5306" w:rsidRPr="008D5306" w:rsidRDefault="008D5306" w:rsidP="008D5306">
            <w:pPr>
              <w:pStyle w:val="TableParagraph"/>
              <w:spacing w:before="3"/>
              <w:ind w:left="28" w:right="30"/>
              <w:jc w:val="center"/>
              <w:rPr>
                <w:rFonts w:ascii="Arial" w:hAnsi="Arial" w:cs="Arial"/>
                <w:bCs/>
                <w:sz w:val="20"/>
                <w:szCs w:val="20"/>
                <w:vertAlign w:val="subscript"/>
              </w:rPr>
            </w:pPr>
            <w:r w:rsidRPr="008D5306">
              <w:rPr>
                <w:rFonts w:ascii="Arial" w:hAnsi="Arial" w:cs="Arial"/>
                <w:bCs/>
                <w:spacing w:val="-5"/>
                <w:sz w:val="20"/>
                <w:szCs w:val="20"/>
              </w:rPr>
              <w:t>T</w:t>
            </w:r>
            <w:r w:rsidRPr="008D5306">
              <w:rPr>
                <w:rFonts w:ascii="Arial" w:hAnsi="Arial" w:cs="Arial"/>
                <w:bCs/>
                <w:spacing w:val="-5"/>
                <w:sz w:val="20"/>
                <w:szCs w:val="20"/>
                <w:vertAlign w:val="subscript"/>
              </w:rPr>
              <w:t>4</w:t>
            </w:r>
          </w:p>
        </w:tc>
        <w:tc>
          <w:tcPr>
            <w:tcW w:w="3330" w:type="dxa"/>
            <w:vAlign w:val="center"/>
          </w:tcPr>
          <w:p w14:paraId="003C4685" w14:textId="3F358FCE" w:rsidR="008D5306" w:rsidRPr="008D5306" w:rsidRDefault="008D5306" w:rsidP="008D5306">
            <w:pPr>
              <w:pStyle w:val="TableParagraph"/>
              <w:spacing w:before="3"/>
              <w:ind w:right="30"/>
              <w:rPr>
                <w:rFonts w:ascii="Arial" w:hAnsi="Arial" w:cs="Arial"/>
                <w:bCs/>
                <w:sz w:val="20"/>
                <w:szCs w:val="20"/>
              </w:rPr>
            </w:pPr>
            <w:r w:rsidRPr="008D5306">
              <w:rPr>
                <w:rFonts w:ascii="Arial" w:hAnsi="Arial" w:cs="Arial"/>
                <w:sz w:val="20"/>
                <w:szCs w:val="20"/>
                <w:lang w:val="en"/>
              </w:rPr>
              <w:t>Carbendazim 50 % WP</w:t>
            </w:r>
          </w:p>
        </w:tc>
      </w:tr>
      <w:tr w:rsidR="008D5306" w:rsidRPr="008D5306" w14:paraId="053DD256" w14:textId="77777777" w:rsidTr="000A5833">
        <w:tc>
          <w:tcPr>
            <w:tcW w:w="828" w:type="dxa"/>
            <w:vAlign w:val="center"/>
          </w:tcPr>
          <w:p w14:paraId="3534E435" w14:textId="77777777" w:rsidR="008D5306" w:rsidRPr="008D5306" w:rsidRDefault="008D5306" w:rsidP="008D5306">
            <w:pPr>
              <w:pStyle w:val="TableParagraph"/>
              <w:spacing w:before="2"/>
              <w:ind w:left="52" w:right="30"/>
              <w:jc w:val="center"/>
              <w:rPr>
                <w:rFonts w:ascii="Arial" w:hAnsi="Arial" w:cs="Arial"/>
                <w:bCs/>
                <w:sz w:val="20"/>
                <w:szCs w:val="20"/>
              </w:rPr>
            </w:pPr>
            <w:r w:rsidRPr="008D5306">
              <w:rPr>
                <w:rFonts w:ascii="Arial" w:hAnsi="Arial" w:cs="Arial"/>
                <w:bCs/>
                <w:spacing w:val="-5"/>
                <w:sz w:val="20"/>
                <w:szCs w:val="20"/>
              </w:rPr>
              <w:t>T</w:t>
            </w:r>
            <w:r w:rsidRPr="008D5306">
              <w:rPr>
                <w:rFonts w:ascii="Arial" w:hAnsi="Arial" w:cs="Arial"/>
                <w:bCs/>
                <w:spacing w:val="-5"/>
                <w:sz w:val="20"/>
                <w:szCs w:val="20"/>
                <w:vertAlign w:val="subscript"/>
              </w:rPr>
              <w:t>2</w:t>
            </w:r>
          </w:p>
        </w:tc>
        <w:tc>
          <w:tcPr>
            <w:tcW w:w="3330" w:type="dxa"/>
            <w:vAlign w:val="center"/>
          </w:tcPr>
          <w:p w14:paraId="49239760" w14:textId="49119C70" w:rsidR="008D5306" w:rsidRPr="008D5306" w:rsidRDefault="008D5306" w:rsidP="008D5306">
            <w:pPr>
              <w:rPr>
                <w:rFonts w:ascii="Arial" w:hAnsi="Arial" w:cs="Arial"/>
                <w:bCs/>
                <w:sz w:val="20"/>
                <w:szCs w:val="20"/>
              </w:rPr>
            </w:pPr>
            <w:r w:rsidRPr="008D5306">
              <w:rPr>
                <w:rFonts w:ascii="Arial" w:hAnsi="Arial" w:cs="Arial"/>
                <w:sz w:val="20"/>
                <w:szCs w:val="20"/>
                <w:lang w:val="en"/>
              </w:rPr>
              <w:t>Difenoconazole 25 % EC</w:t>
            </w:r>
          </w:p>
        </w:tc>
        <w:tc>
          <w:tcPr>
            <w:tcW w:w="900" w:type="dxa"/>
            <w:vAlign w:val="center"/>
          </w:tcPr>
          <w:p w14:paraId="75731AB5" w14:textId="0624A313" w:rsidR="008D5306" w:rsidRPr="008D5306" w:rsidRDefault="008D5306" w:rsidP="008D5306">
            <w:pPr>
              <w:pStyle w:val="TableParagraph"/>
              <w:spacing w:before="2"/>
              <w:ind w:left="28" w:right="30"/>
              <w:jc w:val="center"/>
              <w:rPr>
                <w:rFonts w:ascii="Arial" w:hAnsi="Arial" w:cs="Arial"/>
                <w:bCs/>
                <w:sz w:val="20"/>
                <w:szCs w:val="20"/>
                <w:vertAlign w:val="subscript"/>
              </w:rPr>
            </w:pPr>
            <w:r w:rsidRPr="008D5306">
              <w:rPr>
                <w:rFonts w:ascii="Arial" w:hAnsi="Arial" w:cs="Arial"/>
                <w:bCs/>
                <w:spacing w:val="-5"/>
                <w:sz w:val="20"/>
                <w:szCs w:val="20"/>
              </w:rPr>
              <w:t>T</w:t>
            </w:r>
            <w:r w:rsidRPr="008D5306">
              <w:rPr>
                <w:rFonts w:ascii="Arial" w:hAnsi="Arial" w:cs="Arial"/>
                <w:bCs/>
                <w:spacing w:val="-5"/>
                <w:sz w:val="20"/>
                <w:szCs w:val="20"/>
                <w:vertAlign w:val="subscript"/>
              </w:rPr>
              <w:t>5</w:t>
            </w:r>
          </w:p>
        </w:tc>
        <w:tc>
          <w:tcPr>
            <w:tcW w:w="3330" w:type="dxa"/>
            <w:vAlign w:val="center"/>
          </w:tcPr>
          <w:p w14:paraId="5BD493FA" w14:textId="6D68CDEF" w:rsidR="008D5306" w:rsidRPr="008D5306" w:rsidRDefault="008D5306" w:rsidP="008D5306">
            <w:pPr>
              <w:pStyle w:val="TableParagraph"/>
              <w:spacing w:before="2"/>
              <w:ind w:right="30"/>
              <w:rPr>
                <w:rFonts w:ascii="Arial" w:hAnsi="Arial" w:cs="Arial"/>
                <w:bCs/>
                <w:sz w:val="20"/>
                <w:szCs w:val="20"/>
              </w:rPr>
            </w:pPr>
            <w:r w:rsidRPr="008D5306">
              <w:rPr>
                <w:rFonts w:ascii="Arial" w:hAnsi="Arial" w:cs="Arial"/>
                <w:sz w:val="20"/>
                <w:szCs w:val="20"/>
                <w:lang w:val="en"/>
              </w:rPr>
              <w:t>Benomyl 50 % WP</w:t>
            </w:r>
          </w:p>
        </w:tc>
      </w:tr>
      <w:tr w:rsidR="008D5306" w:rsidRPr="008D5306" w14:paraId="76722327" w14:textId="77777777" w:rsidTr="000A5833">
        <w:tc>
          <w:tcPr>
            <w:tcW w:w="828" w:type="dxa"/>
            <w:vAlign w:val="center"/>
          </w:tcPr>
          <w:p w14:paraId="2FBAF207" w14:textId="77777777" w:rsidR="008D5306" w:rsidRPr="008D5306" w:rsidRDefault="008D5306" w:rsidP="008D5306">
            <w:pPr>
              <w:pStyle w:val="TableParagraph"/>
              <w:spacing w:before="3"/>
              <w:ind w:left="52" w:right="30"/>
              <w:jc w:val="center"/>
              <w:rPr>
                <w:rFonts w:ascii="Arial" w:hAnsi="Arial" w:cs="Arial"/>
                <w:bCs/>
                <w:sz w:val="20"/>
                <w:szCs w:val="20"/>
              </w:rPr>
            </w:pPr>
            <w:r w:rsidRPr="008D5306">
              <w:rPr>
                <w:rFonts w:ascii="Arial" w:hAnsi="Arial" w:cs="Arial"/>
                <w:bCs/>
                <w:spacing w:val="-5"/>
                <w:sz w:val="20"/>
                <w:szCs w:val="20"/>
              </w:rPr>
              <w:t>T</w:t>
            </w:r>
            <w:r w:rsidRPr="008D5306">
              <w:rPr>
                <w:rFonts w:ascii="Arial" w:hAnsi="Arial" w:cs="Arial"/>
                <w:bCs/>
                <w:spacing w:val="-5"/>
                <w:sz w:val="20"/>
                <w:szCs w:val="20"/>
                <w:vertAlign w:val="subscript"/>
              </w:rPr>
              <w:t>3</w:t>
            </w:r>
          </w:p>
        </w:tc>
        <w:tc>
          <w:tcPr>
            <w:tcW w:w="3330" w:type="dxa"/>
            <w:vAlign w:val="center"/>
          </w:tcPr>
          <w:p w14:paraId="31E3C6A4" w14:textId="43AB3E0B" w:rsidR="008D5306" w:rsidRPr="008D5306" w:rsidRDefault="008D5306" w:rsidP="008D5306">
            <w:pPr>
              <w:rPr>
                <w:rFonts w:ascii="Arial" w:hAnsi="Arial" w:cs="Arial"/>
                <w:bCs/>
                <w:sz w:val="20"/>
                <w:szCs w:val="20"/>
              </w:rPr>
            </w:pPr>
            <w:r w:rsidRPr="008D5306">
              <w:rPr>
                <w:rFonts w:ascii="Arial" w:hAnsi="Arial" w:cs="Arial"/>
                <w:sz w:val="20"/>
                <w:szCs w:val="20"/>
                <w:lang w:val="en"/>
              </w:rPr>
              <w:t>Azoxystrobin 23 % SC</w:t>
            </w:r>
          </w:p>
        </w:tc>
        <w:tc>
          <w:tcPr>
            <w:tcW w:w="900" w:type="dxa"/>
            <w:vAlign w:val="center"/>
          </w:tcPr>
          <w:p w14:paraId="0A486217" w14:textId="548F42B9" w:rsidR="008D5306" w:rsidRPr="008D5306" w:rsidRDefault="008D5306" w:rsidP="008D5306">
            <w:pPr>
              <w:pStyle w:val="TableParagraph"/>
              <w:spacing w:before="3"/>
              <w:ind w:left="28" w:right="30"/>
              <w:jc w:val="center"/>
              <w:rPr>
                <w:rFonts w:ascii="Arial" w:hAnsi="Arial" w:cs="Arial"/>
                <w:bCs/>
                <w:sz w:val="20"/>
                <w:szCs w:val="20"/>
                <w:vertAlign w:val="subscript"/>
              </w:rPr>
            </w:pPr>
            <w:r w:rsidRPr="008D5306">
              <w:rPr>
                <w:rFonts w:ascii="Arial" w:hAnsi="Arial" w:cs="Arial"/>
                <w:bCs/>
                <w:spacing w:val="-5"/>
                <w:sz w:val="20"/>
                <w:szCs w:val="20"/>
              </w:rPr>
              <w:t>T</w:t>
            </w:r>
            <w:r w:rsidRPr="008D5306">
              <w:rPr>
                <w:rFonts w:ascii="Arial" w:hAnsi="Arial" w:cs="Arial"/>
                <w:bCs/>
                <w:spacing w:val="-5"/>
                <w:sz w:val="20"/>
                <w:szCs w:val="20"/>
                <w:vertAlign w:val="subscript"/>
              </w:rPr>
              <w:t>6</w:t>
            </w:r>
          </w:p>
        </w:tc>
        <w:tc>
          <w:tcPr>
            <w:tcW w:w="3330" w:type="dxa"/>
            <w:vAlign w:val="center"/>
          </w:tcPr>
          <w:p w14:paraId="15E7BE09" w14:textId="68B1460E" w:rsidR="008D5306" w:rsidRPr="008D5306" w:rsidRDefault="008D5306" w:rsidP="008D5306">
            <w:pPr>
              <w:pStyle w:val="TableParagraph"/>
              <w:spacing w:before="3"/>
              <w:ind w:right="30"/>
              <w:rPr>
                <w:rFonts w:ascii="Arial" w:hAnsi="Arial" w:cs="Arial"/>
                <w:bCs/>
                <w:sz w:val="20"/>
                <w:szCs w:val="20"/>
              </w:rPr>
            </w:pPr>
            <w:r w:rsidRPr="008D5306">
              <w:rPr>
                <w:rFonts w:ascii="Arial" w:hAnsi="Arial" w:cs="Arial"/>
                <w:sz w:val="20"/>
                <w:szCs w:val="20"/>
                <w:lang w:val="en"/>
              </w:rPr>
              <w:t>Thiophanate methyl 70 % WP</w:t>
            </w:r>
          </w:p>
        </w:tc>
      </w:tr>
    </w:tbl>
    <w:p w14:paraId="2ED1260A" w14:textId="77777777" w:rsidR="000A5833" w:rsidRDefault="000A5833" w:rsidP="00441B6F">
      <w:pPr>
        <w:pStyle w:val="Body"/>
        <w:spacing w:after="0"/>
      </w:pPr>
      <w:r>
        <w:t>Table 2: List of contact and combi fungicides</w:t>
      </w:r>
    </w:p>
    <w:tbl>
      <w:tblPr>
        <w:tblStyle w:val="TableGrid"/>
        <w:tblW w:w="0" w:type="auto"/>
        <w:tblLook w:val="04A0" w:firstRow="1" w:lastRow="0" w:firstColumn="1" w:lastColumn="0" w:noHBand="0" w:noVBand="1"/>
      </w:tblPr>
      <w:tblGrid>
        <w:gridCol w:w="828"/>
        <w:gridCol w:w="3384"/>
        <w:gridCol w:w="846"/>
        <w:gridCol w:w="3366"/>
      </w:tblGrid>
      <w:tr w:rsidR="000A5833" w:rsidRPr="008D5306" w14:paraId="7680BD57" w14:textId="77777777" w:rsidTr="000A5833">
        <w:tc>
          <w:tcPr>
            <w:tcW w:w="828" w:type="dxa"/>
          </w:tcPr>
          <w:p w14:paraId="28AD22FA" w14:textId="77777777" w:rsidR="000A5833" w:rsidRPr="008D5306" w:rsidRDefault="000A5833" w:rsidP="00B31FBC">
            <w:pPr>
              <w:pStyle w:val="Body"/>
              <w:spacing w:after="0"/>
              <w:rPr>
                <w:rFonts w:ascii="Arial" w:eastAsia="Times New Roman" w:hAnsi="Arial" w:cs="Arial"/>
                <w:sz w:val="20"/>
                <w:szCs w:val="20"/>
              </w:rPr>
            </w:pPr>
            <w:r w:rsidRPr="008D5306">
              <w:rPr>
                <w:rFonts w:ascii="Arial" w:eastAsia="Times New Roman" w:hAnsi="Arial" w:cs="Arial"/>
                <w:sz w:val="20"/>
                <w:szCs w:val="20"/>
              </w:rPr>
              <w:t>Tr. No.</w:t>
            </w:r>
          </w:p>
        </w:tc>
        <w:tc>
          <w:tcPr>
            <w:tcW w:w="3384" w:type="dxa"/>
          </w:tcPr>
          <w:p w14:paraId="1523A664" w14:textId="77777777" w:rsidR="000A5833" w:rsidRPr="008D5306" w:rsidRDefault="000A5833" w:rsidP="00B31FBC">
            <w:pPr>
              <w:pStyle w:val="Body"/>
              <w:spacing w:after="0"/>
              <w:rPr>
                <w:rFonts w:ascii="Arial" w:eastAsia="Times New Roman" w:hAnsi="Arial" w:cs="Arial"/>
                <w:sz w:val="20"/>
                <w:szCs w:val="20"/>
              </w:rPr>
            </w:pPr>
            <w:r w:rsidRPr="008D5306">
              <w:rPr>
                <w:rFonts w:ascii="Arial" w:eastAsia="Times New Roman" w:hAnsi="Arial" w:cs="Arial"/>
                <w:sz w:val="20"/>
                <w:szCs w:val="20"/>
              </w:rPr>
              <w:t>Treatments</w:t>
            </w:r>
          </w:p>
        </w:tc>
        <w:tc>
          <w:tcPr>
            <w:tcW w:w="846" w:type="dxa"/>
          </w:tcPr>
          <w:p w14:paraId="13B30E71" w14:textId="77777777" w:rsidR="000A5833" w:rsidRPr="008D5306" w:rsidRDefault="000A5833" w:rsidP="00B31FBC">
            <w:pPr>
              <w:pStyle w:val="Body"/>
              <w:spacing w:after="0"/>
              <w:rPr>
                <w:rFonts w:ascii="Arial" w:eastAsia="Times New Roman" w:hAnsi="Arial" w:cs="Arial"/>
                <w:sz w:val="20"/>
                <w:szCs w:val="20"/>
              </w:rPr>
            </w:pPr>
            <w:r w:rsidRPr="008D5306">
              <w:rPr>
                <w:rFonts w:ascii="Arial" w:eastAsia="Times New Roman" w:hAnsi="Arial" w:cs="Arial"/>
                <w:sz w:val="20"/>
                <w:szCs w:val="20"/>
              </w:rPr>
              <w:t>Tr. No.</w:t>
            </w:r>
          </w:p>
        </w:tc>
        <w:tc>
          <w:tcPr>
            <w:tcW w:w="3366" w:type="dxa"/>
          </w:tcPr>
          <w:p w14:paraId="573DBCCC" w14:textId="77777777" w:rsidR="000A5833" w:rsidRPr="008D5306" w:rsidRDefault="000A5833" w:rsidP="00B31FBC">
            <w:pPr>
              <w:pStyle w:val="Body"/>
              <w:spacing w:after="0"/>
              <w:rPr>
                <w:rFonts w:ascii="Arial" w:eastAsia="Times New Roman" w:hAnsi="Arial" w:cs="Arial"/>
                <w:sz w:val="20"/>
                <w:szCs w:val="20"/>
              </w:rPr>
            </w:pPr>
            <w:r w:rsidRPr="008D5306">
              <w:rPr>
                <w:rFonts w:ascii="Arial" w:eastAsia="Times New Roman" w:hAnsi="Arial" w:cs="Arial"/>
                <w:sz w:val="20"/>
                <w:szCs w:val="20"/>
              </w:rPr>
              <w:t>Treatments</w:t>
            </w:r>
          </w:p>
        </w:tc>
      </w:tr>
      <w:tr w:rsidR="008D5306" w:rsidRPr="008D5306" w14:paraId="372226A4" w14:textId="77777777" w:rsidTr="00B31FBC">
        <w:tc>
          <w:tcPr>
            <w:tcW w:w="828" w:type="dxa"/>
            <w:vAlign w:val="center"/>
          </w:tcPr>
          <w:p w14:paraId="43ECADA3" w14:textId="77777777" w:rsidR="008D5306" w:rsidRPr="008D5306" w:rsidRDefault="008D5306" w:rsidP="008D5306">
            <w:pPr>
              <w:pStyle w:val="TableParagraph"/>
              <w:ind w:left="52" w:right="35"/>
              <w:jc w:val="center"/>
              <w:rPr>
                <w:rFonts w:ascii="Arial" w:hAnsi="Arial" w:cs="Arial"/>
                <w:bCs/>
                <w:sz w:val="20"/>
                <w:szCs w:val="20"/>
              </w:rPr>
            </w:pPr>
            <w:r w:rsidRPr="008D5306">
              <w:rPr>
                <w:rFonts w:ascii="Arial" w:hAnsi="Arial" w:cs="Arial"/>
                <w:bCs/>
                <w:spacing w:val="-5"/>
                <w:sz w:val="20"/>
                <w:szCs w:val="20"/>
              </w:rPr>
              <w:t>T</w:t>
            </w:r>
            <w:r w:rsidRPr="008D5306">
              <w:rPr>
                <w:rFonts w:ascii="Arial" w:hAnsi="Arial" w:cs="Arial"/>
                <w:bCs/>
                <w:spacing w:val="-5"/>
                <w:sz w:val="20"/>
                <w:szCs w:val="20"/>
                <w:vertAlign w:val="subscript"/>
              </w:rPr>
              <w:t>1</w:t>
            </w:r>
          </w:p>
        </w:tc>
        <w:tc>
          <w:tcPr>
            <w:tcW w:w="3384" w:type="dxa"/>
            <w:vAlign w:val="center"/>
          </w:tcPr>
          <w:p w14:paraId="69CE29F1" w14:textId="42573FF5" w:rsidR="008D5306" w:rsidRPr="008D5306" w:rsidRDefault="008D5306" w:rsidP="008D5306">
            <w:pPr>
              <w:pStyle w:val="TableParagraph"/>
              <w:ind w:left="112"/>
              <w:rPr>
                <w:rFonts w:ascii="Arial" w:hAnsi="Arial" w:cs="Arial"/>
                <w:bCs/>
                <w:sz w:val="20"/>
                <w:szCs w:val="20"/>
              </w:rPr>
            </w:pPr>
            <w:r w:rsidRPr="008D5306">
              <w:rPr>
                <w:rFonts w:ascii="Arial" w:hAnsi="Arial" w:cs="Arial"/>
                <w:sz w:val="20"/>
                <w:szCs w:val="20"/>
                <w:lang w:val="en"/>
              </w:rPr>
              <w:t>Mancozeb 75 % WP</w:t>
            </w:r>
          </w:p>
        </w:tc>
        <w:tc>
          <w:tcPr>
            <w:tcW w:w="846" w:type="dxa"/>
            <w:vAlign w:val="center"/>
          </w:tcPr>
          <w:p w14:paraId="252BF9B0" w14:textId="2AFC4651" w:rsidR="008D5306" w:rsidRPr="008D5306" w:rsidRDefault="008D5306" w:rsidP="008D5306">
            <w:pPr>
              <w:pStyle w:val="TableParagraph"/>
              <w:ind w:left="28" w:right="12"/>
              <w:jc w:val="center"/>
              <w:rPr>
                <w:rFonts w:ascii="Arial" w:hAnsi="Arial" w:cs="Arial"/>
                <w:bCs/>
                <w:sz w:val="20"/>
                <w:szCs w:val="20"/>
                <w:vertAlign w:val="subscript"/>
              </w:rPr>
            </w:pPr>
            <w:r w:rsidRPr="008D5306">
              <w:rPr>
                <w:rFonts w:ascii="Arial" w:hAnsi="Arial" w:cs="Arial"/>
                <w:bCs/>
                <w:spacing w:val="-5"/>
                <w:sz w:val="20"/>
                <w:szCs w:val="20"/>
              </w:rPr>
              <w:t>T</w:t>
            </w:r>
            <w:r w:rsidRPr="008D5306">
              <w:rPr>
                <w:rFonts w:ascii="Arial" w:hAnsi="Arial" w:cs="Arial"/>
                <w:bCs/>
                <w:spacing w:val="-5"/>
                <w:sz w:val="20"/>
                <w:szCs w:val="20"/>
                <w:vertAlign w:val="subscript"/>
              </w:rPr>
              <w:t>4</w:t>
            </w:r>
          </w:p>
        </w:tc>
        <w:tc>
          <w:tcPr>
            <w:tcW w:w="3366" w:type="dxa"/>
            <w:vAlign w:val="center"/>
          </w:tcPr>
          <w:p w14:paraId="72EA1E4C" w14:textId="77777777" w:rsidR="008D5306" w:rsidRPr="008D5306" w:rsidRDefault="008D5306" w:rsidP="008D5306">
            <w:pPr>
              <w:jc w:val="center"/>
              <w:rPr>
                <w:rFonts w:ascii="Arial" w:hAnsi="Arial" w:cs="Arial"/>
                <w:sz w:val="20"/>
                <w:szCs w:val="20"/>
                <w:lang w:val="en"/>
              </w:rPr>
            </w:pPr>
            <w:r w:rsidRPr="008D5306">
              <w:rPr>
                <w:rFonts w:ascii="Arial" w:hAnsi="Arial" w:cs="Arial"/>
                <w:sz w:val="20"/>
                <w:szCs w:val="20"/>
                <w:lang w:val="en"/>
              </w:rPr>
              <w:t>Fluopyram 17.7 % +</w:t>
            </w:r>
          </w:p>
          <w:p w14:paraId="2316A770" w14:textId="1A9948C4" w:rsidR="008D5306" w:rsidRPr="008D5306" w:rsidRDefault="008D5306" w:rsidP="008D5306">
            <w:pPr>
              <w:pStyle w:val="TableParagraph"/>
              <w:ind w:left="100"/>
              <w:rPr>
                <w:rFonts w:ascii="Arial" w:hAnsi="Arial" w:cs="Arial"/>
                <w:bCs/>
                <w:sz w:val="20"/>
                <w:szCs w:val="20"/>
              </w:rPr>
            </w:pPr>
            <w:r w:rsidRPr="008D5306">
              <w:rPr>
                <w:rFonts w:ascii="Arial" w:hAnsi="Arial" w:cs="Arial"/>
                <w:sz w:val="20"/>
                <w:szCs w:val="20"/>
                <w:lang w:val="en"/>
              </w:rPr>
              <w:t xml:space="preserve"> Tebuconazole 17.7 % 400 SC</w:t>
            </w:r>
          </w:p>
        </w:tc>
      </w:tr>
      <w:tr w:rsidR="008D5306" w:rsidRPr="008D5306" w14:paraId="4A7D3A8B" w14:textId="77777777" w:rsidTr="00B31FBC">
        <w:tc>
          <w:tcPr>
            <w:tcW w:w="828" w:type="dxa"/>
            <w:vAlign w:val="center"/>
          </w:tcPr>
          <w:p w14:paraId="343128D6" w14:textId="77777777" w:rsidR="008D5306" w:rsidRPr="008D5306" w:rsidRDefault="008D5306" w:rsidP="008D5306">
            <w:pPr>
              <w:pStyle w:val="TableParagraph"/>
              <w:spacing w:before="2"/>
              <w:ind w:left="52" w:right="35"/>
              <w:jc w:val="center"/>
              <w:rPr>
                <w:rFonts w:ascii="Arial" w:hAnsi="Arial" w:cs="Arial"/>
                <w:bCs/>
                <w:sz w:val="20"/>
                <w:szCs w:val="20"/>
              </w:rPr>
            </w:pPr>
            <w:r w:rsidRPr="008D5306">
              <w:rPr>
                <w:rFonts w:ascii="Arial" w:hAnsi="Arial" w:cs="Arial"/>
                <w:bCs/>
                <w:spacing w:val="-5"/>
                <w:sz w:val="20"/>
                <w:szCs w:val="20"/>
              </w:rPr>
              <w:t>T</w:t>
            </w:r>
            <w:r w:rsidRPr="008D5306">
              <w:rPr>
                <w:rFonts w:ascii="Arial" w:hAnsi="Arial" w:cs="Arial"/>
                <w:bCs/>
                <w:spacing w:val="-5"/>
                <w:sz w:val="20"/>
                <w:szCs w:val="20"/>
                <w:vertAlign w:val="subscript"/>
              </w:rPr>
              <w:t>2</w:t>
            </w:r>
          </w:p>
        </w:tc>
        <w:tc>
          <w:tcPr>
            <w:tcW w:w="3384" w:type="dxa"/>
            <w:vAlign w:val="center"/>
          </w:tcPr>
          <w:p w14:paraId="283D7C50" w14:textId="77777777" w:rsidR="008D5306" w:rsidRPr="008D5306" w:rsidRDefault="008D5306" w:rsidP="008D5306">
            <w:pPr>
              <w:rPr>
                <w:rFonts w:ascii="Arial" w:hAnsi="Arial" w:cs="Arial"/>
                <w:sz w:val="20"/>
                <w:szCs w:val="20"/>
                <w:lang w:val="en"/>
              </w:rPr>
            </w:pPr>
            <w:r w:rsidRPr="008D5306">
              <w:rPr>
                <w:rFonts w:ascii="Arial" w:hAnsi="Arial" w:cs="Arial"/>
                <w:sz w:val="20"/>
                <w:szCs w:val="20"/>
                <w:lang w:val="en"/>
              </w:rPr>
              <w:t xml:space="preserve">   Azoxystrobin 18.2 % +</w:t>
            </w:r>
          </w:p>
          <w:p w14:paraId="5CF8699D" w14:textId="59D6C887" w:rsidR="008D5306" w:rsidRPr="008D5306" w:rsidRDefault="008D5306" w:rsidP="008D5306">
            <w:pPr>
              <w:pStyle w:val="TableParagraph"/>
              <w:spacing w:before="2"/>
              <w:ind w:left="112"/>
              <w:rPr>
                <w:rFonts w:ascii="Arial" w:hAnsi="Arial" w:cs="Arial"/>
                <w:bCs/>
                <w:sz w:val="20"/>
                <w:szCs w:val="20"/>
              </w:rPr>
            </w:pPr>
            <w:r w:rsidRPr="008D5306">
              <w:rPr>
                <w:rFonts w:ascii="Arial" w:hAnsi="Arial" w:cs="Arial"/>
                <w:sz w:val="20"/>
                <w:szCs w:val="20"/>
                <w:lang w:val="en"/>
              </w:rPr>
              <w:t>Difenoconazole 11.4 % SC</w:t>
            </w:r>
          </w:p>
        </w:tc>
        <w:tc>
          <w:tcPr>
            <w:tcW w:w="846" w:type="dxa"/>
            <w:vAlign w:val="center"/>
          </w:tcPr>
          <w:p w14:paraId="40F89E00" w14:textId="628560DB" w:rsidR="008D5306" w:rsidRPr="008D5306" w:rsidRDefault="008D5306" w:rsidP="008D5306">
            <w:pPr>
              <w:pStyle w:val="TableParagraph"/>
              <w:spacing w:before="2"/>
              <w:ind w:left="28" w:right="12"/>
              <w:jc w:val="center"/>
              <w:rPr>
                <w:rFonts w:ascii="Arial" w:hAnsi="Arial" w:cs="Arial"/>
                <w:bCs/>
                <w:sz w:val="20"/>
                <w:szCs w:val="20"/>
                <w:vertAlign w:val="subscript"/>
              </w:rPr>
            </w:pPr>
            <w:r w:rsidRPr="008D5306">
              <w:rPr>
                <w:rFonts w:ascii="Arial" w:hAnsi="Arial" w:cs="Arial"/>
                <w:bCs/>
                <w:spacing w:val="-5"/>
                <w:sz w:val="20"/>
                <w:szCs w:val="20"/>
              </w:rPr>
              <w:t>T</w:t>
            </w:r>
            <w:r w:rsidRPr="008D5306">
              <w:rPr>
                <w:rFonts w:ascii="Arial" w:hAnsi="Arial" w:cs="Arial"/>
                <w:bCs/>
                <w:spacing w:val="-5"/>
                <w:sz w:val="20"/>
                <w:szCs w:val="20"/>
                <w:vertAlign w:val="subscript"/>
              </w:rPr>
              <w:t>5</w:t>
            </w:r>
          </w:p>
        </w:tc>
        <w:tc>
          <w:tcPr>
            <w:tcW w:w="3366" w:type="dxa"/>
            <w:vAlign w:val="center"/>
          </w:tcPr>
          <w:p w14:paraId="3B4C8D79" w14:textId="4FB57E9A" w:rsidR="008D5306" w:rsidRPr="008D5306" w:rsidRDefault="008D5306" w:rsidP="008D5306">
            <w:pPr>
              <w:rPr>
                <w:rFonts w:ascii="Arial" w:hAnsi="Arial" w:cs="Arial"/>
                <w:sz w:val="20"/>
                <w:szCs w:val="20"/>
                <w:lang w:val="en"/>
              </w:rPr>
            </w:pPr>
            <w:r>
              <w:rPr>
                <w:rFonts w:ascii="Arial" w:hAnsi="Arial" w:cs="Arial"/>
                <w:sz w:val="20"/>
                <w:szCs w:val="20"/>
                <w:lang w:val="en"/>
              </w:rPr>
              <w:t xml:space="preserve">      </w:t>
            </w:r>
            <w:r w:rsidRPr="008D5306">
              <w:rPr>
                <w:rFonts w:ascii="Arial" w:hAnsi="Arial" w:cs="Arial"/>
                <w:sz w:val="20"/>
                <w:szCs w:val="20"/>
                <w:lang w:val="en"/>
              </w:rPr>
              <w:t>Boscalid 25.2 % +</w:t>
            </w:r>
          </w:p>
          <w:p w14:paraId="1CD24A68" w14:textId="662A3F4D" w:rsidR="008D5306" w:rsidRPr="008D5306" w:rsidRDefault="008D5306" w:rsidP="008D5306">
            <w:pPr>
              <w:pStyle w:val="TableParagraph"/>
              <w:spacing w:before="2"/>
              <w:rPr>
                <w:rFonts w:ascii="Arial" w:hAnsi="Arial" w:cs="Arial"/>
                <w:bCs/>
                <w:sz w:val="20"/>
                <w:szCs w:val="20"/>
              </w:rPr>
            </w:pPr>
            <w:r w:rsidRPr="008D5306">
              <w:rPr>
                <w:rFonts w:ascii="Arial" w:hAnsi="Arial" w:cs="Arial"/>
                <w:sz w:val="20"/>
                <w:szCs w:val="20"/>
                <w:lang w:val="en"/>
              </w:rPr>
              <w:t xml:space="preserve">   Pyraclostrobin 12.8 % WG</w:t>
            </w:r>
          </w:p>
        </w:tc>
      </w:tr>
      <w:tr w:rsidR="008D5306" w:rsidRPr="008D5306" w14:paraId="195ACA19" w14:textId="77777777" w:rsidTr="00B31FBC">
        <w:tc>
          <w:tcPr>
            <w:tcW w:w="828" w:type="dxa"/>
            <w:vAlign w:val="center"/>
          </w:tcPr>
          <w:p w14:paraId="413BBA44" w14:textId="77777777" w:rsidR="008D5306" w:rsidRPr="008D5306" w:rsidRDefault="008D5306" w:rsidP="008D5306">
            <w:pPr>
              <w:pStyle w:val="TableParagraph"/>
              <w:spacing w:before="3"/>
              <w:ind w:left="52" w:right="35"/>
              <w:jc w:val="center"/>
              <w:rPr>
                <w:rFonts w:ascii="Arial" w:hAnsi="Arial" w:cs="Arial"/>
                <w:bCs/>
                <w:sz w:val="20"/>
                <w:szCs w:val="20"/>
              </w:rPr>
            </w:pPr>
            <w:r w:rsidRPr="008D5306">
              <w:rPr>
                <w:rFonts w:ascii="Arial" w:hAnsi="Arial" w:cs="Arial"/>
                <w:bCs/>
                <w:spacing w:val="-5"/>
                <w:sz w:val="20"/>
                <w:szCs w:val="20"/>
              </w:rPr>
              <w:t>T</w:t>
            </w:r>
            <w:r w:rsidRPr="008D5306">
              <w:rPr>
                <w:rFonts w:ascii="Arial" w:hAnsi="Arial" w:cs="Arial"/>
                <w:bCs/>
                <w:spacing w:val="-5"/>
                <w:sz w:val="20"/>
                <w:szCs w:val="20"/>
                <w:vertAlign w:val="subscript"/>
              </w:rPr>
              <w:t>3</w:t>
            </w:r>
          </w:p>
        </w:tc>
        <w:tc>
          <w:tcPr>
            <w:tcW w:w="3384" w:type="dxa"/>
            <w:vAlign w:val="center"/>
          </w:tcPr>
          <w:p w14:paraId="2B659F64" w14:textId="1FD7B71D" w:rsidR="008D5306" w:rsidRPr="008D5306" w:rsidRDefault="008D5306" w:rsidP="008D5306">
            <w:pPr>
              <w:pStyle w:val="TableParagraph"/>
              <w:spacing w:before="3"/>
              <w:ind w:left="112"/>
              <w:rPr>
                <w:rFonts w:ascii="Arial" w:hAnsi="Arial" w:cs="Arial"/>
                <w:bCs/>
                <w:sz w:val="20"/>
                <w:szCs w:val="20"/>
              </w:rPr>
            </w:pPr>
            <w:r w:rsidRPr="008D5306">
              <w:rPr>
                <w:rFonts w:ascii="Arial" w:hAnsi="Arial" w:cs="Arial"/>
                <w:sz w:val="20"/>
                <w:szCs w:val="20"/>
                <w:lang w:val="en"/>
              </w:rPr>
              <w:t>Carbendazim 12 % +     Mancozeb 63 % WP</w:t>
            </w:r>
          </w:p>
        </w:tc>
        <w:tc>
          <w:tcPr>
            <w:tcW w:w="846" w:type="dxa"/>
            <w:vAlign w:val="center"/>
          </w:tcPr>
          <w:p w14:paraId="74A08D40" w14:textId="60D03E95" w:rsidR="008D5306" w:rsidRPr="008D5306" w:rsidRDefault="008D5306" w:rsidP="008D5306">
            <w:pPr>
              <w:pStyle w:val="TableParagraph"/>
              <w:spacing w:before="3"/>
              <w:ind w:left="28" w:right="12"/>
              <w:jc w:val="center"/>
              <w:rPr>
                <w:rFonts w:ascii="Arial" w:hAnsi="Arial" w:cs="Arial"/>
                <w:bCs/>
                <w:sz w:val="20"/>
                <w:szCs w:val="20"/>
                <w:vertAlign w:val="subscript"/>
              </w:rPr>
            </w:pPr>
            <w:r w:rsidRPr="008D5306">
              <w:rPr>
                <w:rFonts w:ascii="Arial" w:hAnsi="Arial" w:cs="Arial"/>
                <w:bCs/>
                <w:spacing w:val="-5"/>
                <w:sz w:val="20"/>
                <w:szCs w:val="20"/>
              </w:rPr>
              <w:t>T</w:t>
            </w:r>
            <w:r w:rsidRPr="008D5306">
              <w:rPr>
                <w:rFonts w:ascii="Arial" w:hAnsi="Arial" w:cs="Arial"/>
                <w:bCs/>
                <w:spacing w:val="-5"/>
                <w:sz w:val="20"/>
                <w:szCs w:val="20"/>
                <w:vertAlign w:val="subscript"/>
              </w:rPr>
              <w:t>6</w:t>
            </w:r>
          </w:p>
        </w:tc>
        <w:tc>
          <w:tcPr>
            <w:tcW w:w="3366" w:type="dxa"/>
            <w:vAlign w:val="center"/>
          </w:tcPr>
          <w:p w14:paraId="4E57CCDB" w14:textId="51A66D07" w:rsidR="008D5306" w:rsidRPr="008D5306" w:rsidRDefault="008D5306" w:rsidP="008D5306">
            <w:pPr>
              <w:pStyle w:val="TableParagraph"/>
              <w:spacing w:before="3"/>
              <w:rPr>
                <w:rFonts w:ascii="Arial" w:hAnsi="Arial" w:cs="Arial"/>
                <w:bCs/>
                <w:sz w:val="20"/>
                <w:szCs w:val="20"/>
              </w:rPr>
            </w:pPr>
            <w:r w:rsidRPr="008D5306">
              <w:rPr>
                <w:rFonts w:ascii="Arial" w:hAnsi="Arial" w:cs="Arial"/>
                <w:sz w:val="20"/>
                <w:szCs w:val="20"/>
                <w:lang w:val="en"/>
              </w:rPr>
              <w:t>Dimethomorph 12 % + Pyraclostrobin   6.7 % WG</w:t>
            </w:r>
          </w:p>
        </w:tc>
      </w:tr>
    </w:tbl>
    <w:p w14:paraId="169C66EB" w14:textId="77777777" w:rsidR="000A5833" w:rsidRDefault="000A5833" w:rsidP="00441B6F">
      <w:pPr>
        <w:pStyle w:val="Body"/>
        <w:spacing w:after="0"/>
      </w:pPr>
      <w:r>
        <w:t>Observations on radial mycelial growth was recorded after seven days of incubation in all the replicated treatments. Per cent inhibition of the test pathogen was calculated by applying the formula given by Arora and Upadhay (1978) as follows,</w:t>
      </w:r>
    </w:p>
    <w:p w14:paraId="092513C0" w14:textId="77777777" w:rsidR="000A5833" w:rsidRPr="000A5833" w:rsidRDefault="005F5025" w:rsidP="005F5025">
      <w:pPr>
        <w:pStyle w:val="BodyText"/>
        <w:spacing w:after="0" w:line="271" w:lineRule="exact"/>
        <w:ind w:left="2880" w:right="104"/>
        <w:rPr>
          <w:rFonts w:ascii="Arial" w:hAnsi="Arial" w:cs="Arial"/>
        </w:rPr>
      </w:pPr>
      <w:r>
        <w:rPr>
          <w:rFonts w:ascii="Arial" w:hAnsi="Arial" w:cs="Arial"/>
        </w:rPr>
        <w:t xml:space="preserve">   </w:t>
      </w:r>
      <w:r w:rsidR="000A5833" w:rsidRPr="000A5833">
        <w:rPr>
          <w:rFonts w:ascii="Arial" w:hAnsi="Arial" w:cs="Arial"/>
        </w:rPr>
        <w:t>C</w:t>
      </w:r>
      <w:r w:rsidR="000A5833" w:rsidRPr="000A5833">
        <w:rPr>
          <w:rFonts w:ascii="Arial" w:hAnsi="Arial" w:cs="Arial"/>
          <w:spacing w:val="-4"/>
        </w:rPr>
        <w:t xml:space="preserve"> </w:t>
      </w:r>
      <w:r w:rsidR="000A5833" w:rsidRPr="000A5833">
        <w:rPr>
          <w:rFonts w:ascii="Arial" w:hAnsi="Arial" w:cs="Arial"/>
        </w:rPr>
        <w:t>-</w:t>
      </w:r>
      <w:r w:rsidR="000A5833" w:rsidRPr="000A5833">
        <w:rPr>
          <w:rFonts w:ascii="Arial" w:hAnsi="Arial" w:cs="Arial"/>
          <w:spacing w:val="3"/>
        </w:rPr>
        <w:t xml:space="preserve"> </w:t>
      </w:r>
      <w:r w:rsidR="000A5833" w:rsidRPr="000A5833">
        <w:rPr>
          <w:rFonts w:ascii="Arial" w:hAnsi="Arial" w:cs="Arial"/>
          <w:spacing w:val="-10"/>
        </w:rPr>
        <w:t>T</w:t>
      </w:r>
    </w:p>
    <w:p w14:paraId="6E736013" w14:textId="24BB2FDA" w:rsidR="000A5833" w:rsidRPr="000A5833" w:rsidRDefault="000A5833" w:rsidP="000A5833">
      <w:pPr>
        <w:pStyle w:val="Heading2"/>
        <w:tabs>
          <w:tab w:val="left" w:leader="hyphen" w:pos="5458"/>
        </w:tabs>
        <w:spacing w:before="0"/>
        <w:rPr>
          <w:rFonts w:ascii="Arial" w:hAnsi="Arial" w:cs="Arial"/>
          <w:b w:val="0"/>
          <w:color w:val="auto"/>
          <w:sz w:val="20"/>
          <w:szCs w:val="20"/>
        </w:rPr>
      </w:pPr>
      <w:r w:rsidRPr="000A5833">
        <w:rPr>
          <w:rFonts w:ascii="Arial" w:hAnsi="Arial" w:cs="Arial"/>
          <w:color w:val="auto"/>
          <w:sz w:val="20"/>
          <w:szCs w:val="20"/>
        </w:rPr>
        <w:t>Per</w:t>
      </w:r>
      <w:r w:rsidR="00643081">
        <w:rPr>
          <w:rFonts w:ascii="Arial" w:hAnsi="Arial" w:cs="Arial"/>
          <w:color w:val="auto"/>
          <w:sz w:val="20"/>
          <w:szCs w:val="20"/>
        </w:rPr>
        <w:t xml:space="preserve"> </w:t>
      </w:r>
      <w:r w:rsidRPr="000A5833">
        <w:rPr>
          <w:rFonts w:ascii="Arial" w:hAnsi="Arial" w:cs="Arial"/>
          <w:color w:val="auto"/>
          <w:sz w:val="20"/>
          <w:szCs w:val="20"/>
        </w:rPr>
        <w:t>cent</w:t>
      </w:r>
      <w:r w:rsidRPr="000A5833">
        <w:rPr>
          <w:rFonts w:ascii="Arial" w:hAnsi="Arial" w:cs="Arial"/>
          <w:color w:val="auto"/>
          <w:spacing w:val="7"/>
          <w:sz w:val="20"/>
          <w:szCs w:val="20"/>
        </w:rPr>
        <w:t xml:space="preserve"> </w:t>
      </w:r>
      <w:r w:rsidRPr="000A5833">
        <w:rPr>
          <w:rFonts w:ascii="Arial" w:hAnsi="Arial" w:cs="Arial"/>
          <w:color w:val="auto"/>
          <w:sz w:val="20"/>
          <w:szCs w:val="20"/>
        </w:rPr>
        <w:t>growth</w:t>
      </w:r>
      <w:r w:rsidRPr="000A5833">
        <w:rPr>
          <w:rFonts w:ascii="Arial" w:hAnsi="Arial" w:cs="Arial"/>
          <w:color w:val="auto"/>
          <w:spacing w:val="3"/>
          <w:sz w:val="20"/>
          <w:szCs w:val="20"/>
        </w:rPr>
        <w:t xml:space="preserve"> </w:t>
      </w:r>
      <w:r w:rsidRPr="000A5833">
        <w:rPr>
          <w:rFonts w:ascii="Arial" w:hAnsi="Arial" w:cs="Arial"/>
          <w:color w:val="auto"/>
          <w:sz w:val="20"/>
          <w:szCs w:val="20"/>
        </w:rPr>
        <w:t>inhibition</w:t>
      </w:r>
      <w:r w:rsidRPr="000A5833">
        <w:rPr>
          <w:rFonts w:ascii="Arial" w:hAnsi="Arial" w:cs="Arial"/>
          <w:color w:val="auto"/>
          <w:spacing w:val="2"/>
          <w:sz w:val="20"/>
          <w:szCs w:val="20"/>
        </w:rPr>
        <w:t xml:space="preserve"> </w:t>
      </w:r>
      <w:r w:rsidRPr="000A5833">
        <w:rPr>
          <w:rFonts w:ascii="Arial" w:hAnsi="Arial" w:cs="Arial"/>
          <w:color w:val="auto"/>
          <w:sz w:val="20"/>
          <w:szCs w:val="20"/>
        </w:rPr>
        <w:t>(I)</w:t>
      </w:r>
      <w:r w:rsidRPr="000A5833">
        <w:rPr>
          <w:rFonts w:ascii="Arial" w:hAnsi="Arial" w:cs="Arial"/>
          <w:color w:val="auto"/>
          <w:spacing w:val="16"/>
          <w:sz w:val="20"/>
          <w:szCs w:val="20"/>
        </w:rPr>
        <w:t xml:space="preserve"> </w:t>
      </w:r>
      <w:r w:rsidRPr="000A5833">
        <w:rPr>
          <w:rFonts w:ascii="Arial" w:hAnsi="Arial" w:cs="Arial"/>
          <w:b w:val="0"/>
          <w:color w:val="auto"/>
          <w:spacing w:val="-10"/>
          <w:sz w:val="20"/>
          <w:szCs w:val="20"/>
        </w:rPr>
        <w:t>=</w:t>
      </w:r>
      <w:r w:rsidR="005F5025">
        <w:rPr>
          <w:rFonts w:ascii="Arial" w:hAnsi="Arial" w:cs="Arial"/>
          <w:b w:val="0"/>
          <w:color w:val="auto"/>
          <w:sz w:val="20"/>
          <w:szCs w:val="20"/>
        </w:rPr>
        <w:t>------------</w:t>
      </w:r>
      <w:r w:rsidRPr="000A5833">
        <w:rPr>
          <w:rFonts w:ascii="Arial" w:hAnsi="Arial" w:cs="Arial"/>
          <w:b w:val="0"/>
          <w:color w:val="auto"/>
          <w:sz w:val="20"/>
          <w:szCs w:val="20"/>
        </w:rPr>
        <w:t>×</w:t>
      </w:r>
      <w:r w:rsidRPr="000A5833">
        <w:rPr>
          <w:rFonts w:ascii="Arial" w:hAnsi="Arial" w:cs="Arial"/>
          <w:b w:val="0"/>
          <w:color w:val="auto"/>
          <w:spacing w:val="-4"/>
          <w:sz w:val="20"/>
          <w:szCs w:val="20"/>
        </w:rPr>
        <w:t xml:space="preserve"> </w:t>
      </w:r>
      <w:r w:rsidRPr="000A5833">
        <w:rPr>
          <w:rFonts w:ascii="Arial" w:hAnsi="Arial" w:cs="Arial"/>
          <w:b w:val="0"/>
          <w:color w:val="auto"/>
          <w:spacing w:val="-5"/>
          <w:sz w:val="20"/>
          <w:szCs w:val="20"/>
        </w:rPr>
        <w:t>100</w:t>
      </w:r>
    </w:p>
    <w:p w14:paraId="5B39A300" w14:textId="04B46ACD" w:rsidR="000A5833" w:rsidRPr="000A5833" w:rsidRDefault="005F5025" w:rsidP="005F5025">
      <w:pPr>
        <w:pStyle w:val="BodyText"/>
        <w:spacing w:after="0"/>
        <w:ind w:left="2880" w:right="89"/>
        <w:rPr>
          <w:rFonts w:ascii="Arial" w:hAnsi="Arial" w:cs="Arial"/>
        </w:rPr>
      </w:pPr>
      <w:r>
        <w:rPr>
          <w:rFonts w:ascii="Arial" w:hAnsi="Arial" w:cs="Arial"/>
          <w:spacing w:val="-10"/>
        </w:rPr>
        <w:t xml:space="preserve">  </w:t>
      </w:r>
      <w:r w:rsidR="000A5833" w:rsidRPr="000A5833">
        <w:rPr>
          <w:rFonts w:ascii="Arial" w:hAnsi="Arial" w:cs="Arial"/>
          <w:spacing w:val="-10"/>
        </w:rPr>
        <w:t xml:space="preserve">  </w:t>
      </w:r>
      <w:r>
        <w:rPr>
          <w:rFonts w:ascii="Arial" w:hAnsi="Arial" w:cs="Arial"/>
          <w:spacing w:val="-10"/>
        </w:rPr>
        <w:t xml:space="preserve">  </w:t>
      </w:r>
      <w:r w:rsidR="000A5833" w:rsidRPr="000A5833">
        <w:rPr>
          <w:rFonts w:ascii="Arial" w:hAnsi="Arial" w:cs="Arial"/>
          <w:spacing w:val="-10"/>
        </w:rPr>
        <w:t>C</w:t>
      </w:r>
    </w:p>
    <w:p w14:paraId="4D2F18A2" w14:textId="77777777" w:rsidR="000A5833" w:rsidRPr="000A5833" w:rsidRDefault="000A5833" w:rsidP="000A5833">
      <w:pPr>
        <w:pStyle w:val="BodyText"/>
        <w:rPr>
          <w:rFonts w:ascii="Arial" w:hAnsi="Arial" w:cs="Arial"/>
        </w:rPr>
      </w:pPr>
      <w:r w:rsidRPr="000A5833">
        <w:rPr>
          <w:rFonts w:ascii="Arial" w:hAnsi="Arial" w:cs="Arial"/>
          <w:spacing w:val="-2"/>
        </w:rPr>
        <w:t>Where,</w:t>
      </w:r>
    </w:p>
    <w:p w14:paraId="22D0CC54" w14:textId="77777777" w:rsidR="000A5833" w:rsidRPr="000A5833" w:rsidRDefault="000A5833" w:rsidP="000A5833">
      <w:pPr>
        <w:pStyle w:val="BodyText"/>
        <w:tabs>
          <w:tab w:val="left" w:pos="1260"/>
          <w:tab w:val="left" w:pos="1350"/>
        </w:tabs>
        <w:ind w:left="1170" w:right="30" w:hanging="60"/>
      </w:pPr>
      <w:r w:rsidRPr="000A5833">
        <w:t xml:space="preserve">C = Growth (mm) of test fungus in untreated control plate. </w:t>
      </w:r>
    </w:p>
    <w:p w14:paraId="3F3B8550" w14:textId="77777777" w:rsidR="00790ADA" w:rsidRPr="000A5833" w:rsidRDefault="000A5833" w:rsidP="000A5833">
      <w:pPr>
        <w:pStyle w:val="BodyText"/>
        <w:ind w:left="1110" w:right="30"/>
      </w:pPr>
      <w:r w:rsidRPr="000A5833">
        <w:t>T = Growth (mm) of test fungus in treated plates.</w:t>
      </w:r>
    </w:p>
    <w:p w14:paraId="69761CE3" w14:textId="0CFFE537" w:rsidR="00902823" w:rsidRDefault="00000F8F" w:rsidP="00441B6F">
      <w:pPr>
        <w:pStyle w:val="Head1"/>
        <w:spacing w:after="0"/>
        <w:jc w:val="both"/>
        <w:rPr>
          <w:rFonts w:ascii="Arial" w:hAnsi="Arial" w:cs="Arial"/>
        </w:rPr>
      </w:pPr>
      <w:r>
        <w:rPr>
          <w:rFonts w:ascii="Arial" w:hAnsi="Arial" w:cs="Arial"/>
        </w:rPr>
        <w:t>results and discussion</w:t>
      </w:r>
    </w:p>
    <w:p w14:paraId="733F0D99" w14:textId="0925EC47" w:rsidR="00790ADA" w:rsidRPr="00FB3A86" w:rsidRDefault="003A7242" w:rsidP="00441B6F">
      <w:pPr>
        <w:pStyle w:val="Head1"/>
        <w:spacing w:after="0"/>
        <w:jc w:val="both"/>
        <w:rPr>
          <w:rFonts w:ascii="Arial" w:hAnsi="Arial" w:cs="Arial"/>
        </w:rPr>
      </w:pPr>
      <w:r>
        <w:rPr>
          <w:rFonts w:ascii="Arial" w:hAnsi="Arial" w:cs="Arial"/>
          <w:caps w:val="0"/>
        </w:rPr>
        <w:t>Effect of systemic fungicides on mycelial growth inhibition</w:t>
      </w:r>
    </w:p>
    <w:p w14:paraId="130AA3FD" w14:textId="00B35E72" w:rsidR="00D75768" w:rsidRPr="00F0055E" w:rsidRDefault="008D5306" w:rsidP="00D75768">
      <w:pPr>
        <w:spacing w:line="360" w:lineRule="auto"/>
        <w:ind w:firstLine="720"/>
        <w:jc w:val="both"/>
        <w:rPr>
          <w:rFonts w:ascii="Arial" w:hAnsi="Arial" w:cs="Arial"/>
        </w:rPr>
      </w:pPr>
      <w:r w:rsidRPr="00F0055E">
        <w:rPr>
          <w:rFonts w:ascii="Arial" w:hAnsi="Arial" w:cs="Arial"/>
        </w:rPr>
        <w:t xml:space="preserve">A total of six </w:t>
      </w:r>
      <w:r w:rsidR="00D75768" w:rsidRPr="00F0055E">
        <w:rPr>
          <w:rFonts w:ascii="Arial" w:hAnsi="Arial" w:cs="Arial"/>
          <w:color w:val="000000"/>
          <w:lang w:eastAsia="en-IN"/>
        </w:rPr>
        <w:t xml:space="preserve">systemic </w:t>
      </w:r>
      <w:r w:rsidRPr="00F0055E">
        <w:rPr>
          <w:rFonts w:ascii="Arial" w:hAnsi="Arial" w:cs="Arial"/>
        </w:rPr>
        <w:t xml:space="preserve">fungicides </w:t>
      </w:r>
      <w:r w:rsidRPr="006B35A7">
        <w:rPr>
          <w:rFonts w:ascii="Arial" w:hAnsi="Arial" w:cs="Arial"/>
          <w:i/>
          <w:iCs/>
        </w:rPr>
        <w:t>viz.,</w:t>
      </w:r>
      <w:r w:rsidRPr="00F0055E">
        <w:rPr>
          <w:rFonts w:ascii="Arial" w:hAnsi="Arial" w:cs="Arial"/>
        </w:rPr>
        <w:t xml:space="preserve"> </w:t>
      </w:r>
      <w:bookmarkStart w:id="1" w:name="_Hlk200708005"/>
      <w:r w:rsidR="00D75768" w:rsidRPr="00F0055E">
        <w:rPr>
          <w:rFonts w:ascii="Arial" w:hAnsi="Arial" w:cs="Arial"/>
          <w:color w:val="000000"/>
          <w:lang w:eastAsia="en-IN"/>
        </w:rPr>
        <w:t xml:space="preserve">Propiconazole 25 % EC, Difenoconazole 25 % EC, Azoxystrobin 23 % SC, Carbendazim 50% WP, Benomyl 50 % WP, and Thiophanate methyl 70 % WP </w:t>
      </w:r>
      <w:bookmarkEnd w:id="1"/>
      <w:r w:rsidR="00D75768" w:rsidRPr="00F0055E">
        <w:rPr>
          <w:rFonts w:ascii="Arial" w:hAnsi="Arial" w:cs="Arial"/>
          <w:color w:val="000000"/>
          <w:lang w:eastAsia="en-IN"/>
        </w:rPr>
        <w:t xml:space="preserve">were evaluated (each @ 500 and 1000 ppm) against </w:t>
      </w:r>
      <w:r w:rsidR="00D75768" w:rsidRPr="00F0055E">
        <w:rPr>
          <w:rFonts w:ascii="Arial" w:hAnsi="Arial" w:cs="Arial"/>
          <w:i/>
          <w:iCs/>
          <w:color w:val="000000"/>
          <w:lang w:eastAsia="en-IN"/>
        </w:rPr>
        <w:t>A. helianthi</w:t>
      </w:r>
      <w:r w:rsidR="00D75768" w:rsidRPr="00F0055E">
        <w:rPr>
          <w:rFonts w:ascii="Arial" w:hAnsi="Arial" w:cs="Arial"/>
          <w:color w:val="000000"/>
          <w:lang w:eastAsia="en-IN"/>
        </w:rPr>
        <w:t xml:space="preserve"> by applying poisoned food technique and using PDA as basic culture media </w:t>
      </w:r>
      <w:r w:rsidR="00D75768" w:rsidRPr="00F0055E">
        <w:rPr>
          <w:rFonts w:ascii="Arial" w:hAnsi="Arial" w:cs="Arial"/>
          <w:i/>
          <w:iCs/>
          <w:color w:val="000000"/>
          <w:lang w:eastAsia="en-IN"/>
        </w:rPr>
        <w:t xml:space="preserve">in vitro </w:t>
      </w:r>
      <w:r w:rsidR="00D75768" w:rsidRPr="00F0055E">
        <w:rPr>
          <w:rFonts w:ascii="Arial" w:hAnsi="Arial" w:cs="Arial"/>
          <w:color w:val="000000"/>
          <w:lang w:eastAsia="en-IN"/>
        </w:rPr>
        <w:t>condition</w:t>
      </w:r>
      <w:r w:rsidRPr="00F0055E">
        <w:rPr>
          <w:rFonts w:ascii="Arial" w:hAnsi="Arial" w:cs="Arial"/>
        </w:rPr>
        <w:t>. All the treatments were replicated thrice and a suitable untreated control was maintained</w:t>
      </w:r>
      <w:r w:rsidR="00D75768" w:rsidRPr="00F0055E">
        <w:rPr>
          <w:rFonts w:ascii="Arial" w:hAnsi="Arial" w:cs="Arial"/>
        </w:rPr>
        <w:t>.</w:t>
      </w:r>
    </w:p>
    <w:p w14:paraId="5C3F20E1" w14:textId="56D754B6" w:rsidR="007237D8" w:rsidRPr="00F0055E" w:rsidRDefault="007237D8" w:rsidP="007237D8">
      <w:pPr>
        <w:spacing w:line="360" w:lineRule="auto"/>
        <w:jc w:val="both"/>
        <w:rPr>
          <w:rFonts w:ascii="Arial" w:hAnsi="Arial" w:cs="Arial"/>
          <w:color w:val="000000"/>
          <w:lang w:eastAsia="en-IN"/>
        </w:rPr>
      </w:pPr>
      <w:bookmarkStart w:id="2" w:name="_Hlk200996351"/>
      <w:r w:rsidRPr="00F0055E">
        <w:rPr>
          <w:rFonts w:ascii="Arial" w:hAnsi="Arial" w:cs="Arial"/>
          <w:b/>
          <w:bCs/>
          <w:color w:val="000000"/>
          <w:lang w:eastAsia="en-IN"/>
        </w:rPr>
        <w:t>Effect on radial mycelial growth</w:t>
      </w:r>
      <w:bookmarkEnd w:id="2"/>
    </w:p>
    <w:p w14:paraId="0A0312C2" w14:textId="33B9069A" w:rsidR="007237D8" w:rsidRPr="00F0055E" w:rsidRDefault="007237D8" w:rsidP="007237D8">
      <w:pPr>
        <w:spacing w:line="360" w:lineRule="auto"/>
        <w:jc w:val="both"/>
        <w:rPr>
          <w:rFonts w:ascii="Arial" w:hAnsi="Arial" w:cs="Arial"/>
          <w:color w:val="000000"/>
          <w:lang w:eastAsia="en-IN"/>
        </w:rPr>
      </w:pPr>
      <w:r w:rsidRPr="00F0055E">
        <w:rPr>
          <w:rFonts w:ascii="Arial" w:hAnsi="Arial" w:cs="Arial"/>
          <w:color w:val="000000"/>
          <w:lang w:eastAsia="en-IN"/>
        </w:rPr>
        <w:t xml:space="preserve">At 500 ppm concentration, the radial mycelial growth of test pathogen was recorded in the range of 00.00 - 40.67 mm as compared with control (90.00 mm). </w:t>
      </w:r>
      <w:bookmarkStart w:id="3" w:name="_Hlk200890000"/>
      <w:r w:rsidRPr="00F0055E">
        <w:rPr>
          <w:rFonts w:ascii="Arial" w:hAnsi="Arial" w:cs="Arial"/>
          <w:color w:val="000000"/>
          <w:lang w:eastAsia="en-IN"/>
        </w:rPr>
        <w:t xml:space="preserve">There was no mycelial growth with the fungicide tested </w:t>
      </w:r>
      <w:r w:rsidRPr="00F0055E">
        <w:rPr>
          <w:rFonts w:ascii="Arial" w:hAnsi="Arial" w:cs="Arial"/>
          <w:i/>
          <w:iCs/>
          <w:color w:val="000000"/>
          <w:lang w:eastAsia="en-IN"/>
        </w:rPr>
        <w:t>viz</w:t>
      </w:r>
      <w:r w:rsidRPr="00F0055E">
        <w:rPr>
          <w:rFonts w:ascii="Arial" w:hAnsi="Arial" w:cs="Arial"/>
          <w:color w:val="000000"/>
          <w:lang w:eastAsia="en-IN"/>
        </w:rPr>
        <w:t>., T</w:t>
      </w:r>
      <w:r w:rsidRPr="00F0055E">
        <w:rPr>
          <w:rFonts w:ascii="Arial" w:hAnsi="Arial" w:cs="Arial"/>
          <w:color w:val="000000"/>
          <w:vertAlign w:val="subscript"/>
          <w:lang w:eastAsia="en-IN"/>
        </w:rPr>
        <w:t>1</w:t>
      </w:r>
      <w:r w:rsidRPr="00F0055E">
        <w:rPr>
          <w:rFonts w:ascii="Arial" w:hAnsi="Arial" w:cs="Arial"/>
          <w:color w:val="000000"/>
          <w:lang w:eastAsia="en-IN"/>
        </w:rPr>
        <w:t>: Propiconazole 25 % EC and T</w:t>
      </w:r>
      <w:r w:rsidRPr="00F0055E">
        <w:rPr>
          <w:rFonts w:ascii="Arial" w:hAnsi="Arial" w:cs="Arial"/>
          <w:color w:val="000000"/>
          <w:vertAlign w:val="subscript"/>
          <w:lang w:eastAsia="en-IN"/>
        </w:rPr>
        <w:t>4</w:t>
      </w:r>
      <w:r w:rsidRPr="00F0055E">
        <w:rPr>
          <w:rFonts w:ascii="Arial" w:hAnsi="Arial" w:cs="Arial"/>
          <w:color w:val="000000"/>
          <w:lang w:eastAsia="en-IN"/>
        </w:rPr>
        <w:t xml:space="preserve">: Carbendazim 50 % WP. Among rest of the test fungicide, </w:t>
      </w:r>
      <w:bookmarkStart w:id="4" w:name="_Hlk200909843"/>
      <w:r w:rsidRPr="00F0055E">
        <w:rPr>
          <w:rFonts w:ascii="Arial" w:hAnsi="Arial" w:cs="Arial"/>
          <w:color w:val="000000"/>
          <w:lang w:eastAsia="en-IN"/>
        </w:rPr>
        <w:t>T</w:t>
      </w:r>
      <w:r w:rsidRPr="00F0055E">
        <w:rPr>
          <w:rFonts w:ascii="Arial" w:hAnsi="Arial" w:cs="Arial"/>
          <w:color w:val="000000"/>
          <w:vertAlign w:val="subscript"/>
          <w:lang w:eastAsia="en-IN"/>
        </w:rPr>
        <w:t>2</w:t>
      </w:r>
      <w:r w:rsidRPr="00F0055E">
        <w:rPr>
          <w:rFonts w:ascii="Arial" w:hAnsi="Arial" w:cs="Arial"/>
          <w:color w:val="000000"/>
          <w:lang w:eastAsia="en-IN"/>
        </w:rPr>
        <w:t>: Difenoconazole 25 % EC with mycelial growth (28.00 mm) followed by T</w:t>
      </w:r>
      <w:r w:rsidRPr="00F0055E">
        <w:rPr>
          <w:rFonts w:ascii="Arial" w:hAnsi="Arial" w:cs="Arial"/>
          <w:color w:val="000000"/>
          <w:vertAlign w:val="subscript"/>
          <w:lang w:eastAsia="en-IN"/>
        </w:rPr>
        <w:t>3</w:t>
      </w:r>
      <w:r w:rsidRPr="00F0055E">
        <w:rPr>
          <w:rFonts w:ascii="Arial" w:hAnsi="Arial" w:cs="Arial"/>
          <w:color w:val="000000"/>
          <w:lang w:eastAsia="en-IN"/>
        </w:rPr>
        <w:t>: Azoxystrobin 23 % SC (33.00 mm), T</w:t>
      </w:r>
      <w:r w:rsidRPr="00F0055E">
        <w:rPr>
          <w:rFonts w:ascii="Arial" w:hAnsi="Arial" w:cs="Arial"/>
          <w:color w:val="000000"/>
          <w:vertAlign w:val="subscript"/>
          <w:lang w:eastAsia="en-IN"/>
        </w:rPr>
        <w:t>6</w:t>
      </w:r>
      <w:r w:rsidRPr="00F0055E">
        <w:rPr>
          <w:rFonts w:ascii="Arial" w:hAnsi="Arial" w:cs="Arial"/>
          <w:color w:val="000000"/>
          <w:lang w:eastAsia="en-IN"/>
        </w:rPr>
        <w:t xml:space="preserve">: Thiophanate methyl 70 % </w:t>
      </w:r>
      <w:r w:rsidRPr="00F0055E">
        <w:rPr>
          <w:rFonts w:ascii="Arial" w:hAnsi="Arial" w:cs="Arial"/>
          <w:noProof/>
          <w:color w:val="000000"/>
          <w:lang w:eastAsia="en-IN"/>
        </w:rPr>
        <w:drawing>
          <wp:inline distT="0" distB="0" distL="0" distR="0" wp14:anchorId="75E947C6" wp14:editId="117360CE">
            <wp:extent cx="6094" cy="6097"/>
            <wp:effectExtent l="0" t="0" r="0" b="0"/>
            <wp:docPr id="270307" name="Picture 270307"/>
            <wp:cNvGraphicFramePr/>
            <a:graphic xmlns:a="http://schemas.openxmlformats.org/drawingml/2006/main">
              <a:graphicData uri="http://schemas.openxmlformats.org/drawingml/2006/picture">
                <pic:pic xmlns:pic="http://schemas.openxmlformats.org/drawingml/2006/picture">
                  <pic:nvPicPr>
                    <pic:cNvPr id="270307" name="Picture 270307"/>
                    <pic:cNvPicPr/>
                  </pic:nvPicPr>
                  <pic:blipFill>
                    <a:blip r:embed="rId8"/>
                    <a:stretch>
                      <a:fillRect/>
                    </a:stretch>
                  </pic:blipFill>
                  <pic:spPr>
                    <a:xfrm>
                      <a:off x="0" y="0"/>
                      <a:ext cx="6094" cy="6097"/>
                    </a:xfrm>
                    <a:prstGeom prst="rect">
                      <a:avLst/>
                    </a:prstGeom>
                  </pic:spPr>
                </pic:pic>
              </a:graphicData>
            </a:graphic>
          </wp:inline>
        </w:drawing>
      </w:r>
      <w:r w:rsidRPr="00F0055E">
        <w:rPr>
          <w:rFonts w:ascii="Arial" w:hAnsi="Arial" w:cs="Arial"/>
          <w:color w:val="000000"/>
          <w:lang w:eastAsia="en-IN"/>
        </w:rPr>
        <w:t>WP with (35.34 mm) and T</w:t>
      </w:r>
      <w:r w:rsidRPr="00F0055E">
        <w:rPr>
          <w:rFonts w:ascii="Arial" w:hAnsi="Arial" w:cs="Arial"/>
          <w:color w:val="000000"/>
          <w:vertAlign w:val="subscript"/>
          <w:lang w:eastAsia="en-IN"/>
        </w:rPr>
        <w:t>5</w:t>
      </w:r>
      <w:r w:rsidRPr="00F0055E">
        <w:rPr>
          <w:rFonts w:ascii="Arial" w:hAnsi="Arial" w:cs="Arial"/>
          <w:color w:val="000000"/>
          <w:lang w:eastAsia="en-IN"/>
        </w:rPr>
        <w:t>: Benomyl 50 % WP (40.67 mm).</w:t>
      </w:r>
    </w:p>
    <w:bookmarkEnd w:id="3"/>
    <w:bookmarkEnd w:id="4"/>
    <w:p w14:paraId="32F34623" w14:textId="77777777" w:rsidR="007237D8" w:rsidRPr="00F0055E" w:rsidRDefault="007237D8" w:rsidP="007237D8">
      <w:pPr>
        <w:spacing w:line="360" w:lineRule="auto"/>
        <w:ind w:firstLine="720"/>
        <w:jc w:val="both"/>
        <w:rPr>
          <w:rFonts w:ascii="Arial" w:hAnsi="Arial" w:cs="Arial"/>
          <w:color w:val="000000"/>
          <w:lang w:eastAsia="en-IN"/>
        </w:rPr>
      </w:pPr>
      <w:r w:rsidRPr="00F0055E">
        <w:rPr>
          <w:rFonts w:ascii="Arial" w:hAnsi="Arial" w:cs="Arial"/>
          <w:color w:val="000000"/>
          <w:lang w:eastAsia="en-IN"/>
        </w:rPr>
        <w:t xml:space="preserve">At 1000 ppm concentration, the radial mycelial growth of test pathogen was recorded in the range of 00.00 – 39.00 mm as compared with control (90.00 mm). </w:t>
      </w:r>
      <w:bookmarkStart w:id="5" w:name="_Hlk200890377"/>
      <w:r w:rsidRPr="00F0055E">
        <w:rPr>
          <w:rFonts w:ascii="Arial" w:hAnsi="Arial" w:cs="Arial"/>
          <w:color w:val="000000"/>
          <w:lang w:eastAsia="en-IN"/>
        </w:rPr>
        <w:t xml:space="preserve">There was no mycelial growth with the fungicide tested </w:t>
      </w:r>
      <w:r w:rsidRPr="00F0055E">
        <w:rPr>
          <w:rFonts w:ascii="Arial" w:hAnsi="Arial" w:cs="Arial"/>
          <w:i/>
          <w:iCs/>
          <w:color w:val="000000"/>
          <w:lang w:eastAsia="en-IN"/>
        </w:rPr>
        <w:t>viz</w:t>
      </w:r>
      <w:r w:rsidRPr="00F0055E">
        <w:rPr>
          <w:rFonts w:ascii="Arial" w:hAnsi="Arial" w:cs="Arial"/>
          <w:color w:val="000000"/>
          <w:lang w:eastAsia="en-IN"/>
        </w:rPr>
        <w:t xml:space="preserve">., </w:t>
      </w:r>
      <w:bookmarkStart w:id="6" w:name="_Hlk200909745"/>
      <w:r w:rsidRPr="00F0055E">
        <w:rPr>
          <w:rFonts w:ascii="Arial" w:hAnsi="Arial" w:cs="Arial"/>
          <w:color w:val="000000"/>
          <w:lang w:eastAsia="en-IN"/>
        </w:rPr>
        <w:t>T</w:t>
      </w:r>
      <w:r w:rsidRPr="00F0055E">
        <w:rPr>
          <w:rFonts w:ascii="Arial" w:hAnsi="Arial" w:cs="Arial"/>
          <w:color w:val="000000"/>
          <w:vertAlign w:val="subscript"/>
          <w:lang w:eastAsia="en-IN"/>
        </w:rPr>
        <w:t>1</w:t>
      </w:r>
      <w:r w:rsidRPr="00F0055E">
        <w:rPr>
          <w:rFonts w:ascii="Arial" w:hAnsi="Arial" w:cs="Arial"/>
          <w:color w:val="000000"/>
          <w:lang w:eastAsia="en-IN"/>
        </w:rPr>
        <w:t>: Propiconazole 25 % EC and T</w:t>
      </w:r>
      <w:r w:rsidRPr="00F0055E">
        <w:rPr>
          <w:rFonts w:ascii="Arial" w:hAnsi="Arial" w:cs="Arial"/>
          <w:color w:val="000000"/>
          <w:vertAlign w:val="subscript"/>
          <w:lang w:eastAsia="en-IN"/>
        </w:rPr>
        <w:t>4</w:t>
      </w:r>
      <w:r w:rsidRPr="00F0055E">
        <w:rPr>
          <w:rFonts w:ascii="Arial" w:hAnsi="Arial" w:cs="Arial"/>
          <w:color w:val="000000"/>
          <w:lang w:eastAsia="en-IN"/>
        </w:rPr>
        <w:t>: Carbendazim 50 % WP</w:t>
      </w:r>
      <w:bookmarkEnd w:id="6"/>
      <w:r w:rsidRPr="00F0055E">
        <w:rPr>
          <w:rFonts w:ascii="Arial" w:hAnsi="Arial" w:cs="Arial"/>
          <w:color w:val="000000"/>
          <w:lang w:eastAsia="en-IN"/>
        </w:rPr>
        <w:t>. Among rest of the test fungicide T</w:t>
      </w:r>
      <w:r w:rsidRPr="00F0055E">
        <w:rPr>
          <w:rFonts w:ascii="Arial" w:hAnsi="Arial" w:cs="Arial"/>
          <w:color w:val="000000"/>
          <w:vertAlign w:val="subscript"/>
          <w:lang w:eastAsia="en-IN"/>
        </w:rPr>
        <w:t>2</w:t>
      </w:r>
      <w:r w:rsidRPr="00F0055E">
        <w:rPr>
          <w:rFonts w:ascii="Arial" w:hAnsi="Arial" w:cs="Arial"/>
          <w:color w:val="000000"/>
          <w:lang w:eastAsia="en-IN"/>
        </w:rPr>
        <w:t>: Difenoconazole 25 % EC with mycelial growth (23.67 mm). This was followed by T</w:t>
      </w:r>
      <w:r w:rsidRPr="00F0055E">
        <w:rPr>
          <w:rFonts w:ascii="Arial" w:hAnsi="Arial" w:cs="Arial"/>
          <w:color w:val="000000"/>
          <w:vertAlign w:val="subscript"/>
          <w:lang w:eastAsia="en-IN"/>
        </w:rPr>
        <w:t>3</w:t>
      </w:r>
      <w:r w:rsidRPr="00F0055E">
        <w:rPr>
          <w:rFonts w:ascii="Arial" w:hAnsi="Arial" w:cs="Arial"/>
          <w:color w:val="000000"/>
          <w:lang w:eastAsia="en-IN"/>
        </w:rPr>
        <w:t>: Azoxystrobin 23 % SC (28.00 mm), T</w:t>
      </w:r>
      <w:r w:rsidRPr="00F0055E">
        <w:rPr>
          <w:rFonts w:ascii="Arial" w:hAnsi="Arial" w:cs="Arial"/>
          <w:color w:val="000000"/>
          <w:vertAlign w:val="subscript"/>
          <w:lang w:eastAsia="en-IN"/>
        </w:rPr>
        <w:t>6</w:t>
      </w:r>
      <w:r w:rsidRPr="00F0055E">
        <w:rPr>
          <w:rFonts w:ascii="Arial" w:hAnsi="Arial" w:cs="Arial"/>
          <w:color w:val="000000"/>
          <w:lang w:eastAsia="en-IN"/>
        </w:rPr>
        <w:t xml:space="preserve">: Thiophanate methyl 70 % </w:t>
      </w:r>
      <w:r w:rsidRPr="00F0055E">
        <w:rPr>
          <w:rFonts w:ascii="Arial" w:hAnsi="Arial" w:cs="Arial"/>
          <w:noProof/>
          <w:color w:val="000000"/>
          <w:lang w:eastAsia="en-IN"/>
        </w:rPr>
        <w:drawing>
          <wp:inline distT="0" distB="0" distL="0" distR="0" wp14:anchorId="12558BA4" wp14:editId="76DACD05">
            <wp:extent cx="6094" cy="6097"/>
            <wp:effectExtent l="0" t="0" r="0" b="0"/>
            <wp:docPr id="867263284" name="Picture 867263284"/>
            <wp:cNvGraphicFramePr/>
            <a:graphic xmlns:a="http://schemas.openxmlformats.org/drawingml/2006/main">
              <a:graphicData uri="http://schemas.openxmlformats.org/drawingml/2006/picture">
                <pic:pic xmlns:pic="http://schemas.openxmlformats.org/drawingml/2006/picture">
                  <pic:nvPicPr>
                    <pic:cNvPr id="270307" name="Picture 270307"/>
                    <pic:cNvPicPr/>
                  </pic:nvPicPr>
                  <pic:blipFill>
                    <a:blip r:embed="rId8"/>
                    <a:stretch>
                      <a:fillRect/>
                    </a:stretch>
                  </pic:blipFill>
                  <pic:spPr>
                    <a:xfrm>
                      <a:off x="0" y="0"/>
                      <a:ext cx="6094" cy="6097"/>
                    </a:xfrm>
                    <a:prstGeom prst="rect">
                      <a:avLst/>
                    </a:prstGeom>
                  </pic:spPr>
                </pic:pic>
              </a:graphicData>
            </a:graphic>
          </wp:inline>
        </w:drawing>
      </w:r>
      <w:r w:rsidRPr="00F0055E">
        <w:rPr>
          <w:rFonts w:ascii="Arial" w:hAnsi="Arial" w:cs="Arial"/>
          <w:color w:val="000000"/>
          <w:lang w:eastAsia="en-IN"/>
        </w:rPr>
        <w:t>WP with (31.00 mm), T</w:t>
      </w:r>
      <w:r w:rsidRPr="00F0055E">
        <w:rPr>
          <w:rFonts w:ascii="Arial" w:hAnsi="Arial" w:cs="Arial"/>
          <w:color w:val="000000"/>
          <w:vertAlign w:val="subscript"/>
          <w:lang w:eastAsia="en-IN"/>
        </w:rPr>
        <w:t>5</w:t>
      </w:r>
      <w:r w:rsidRPr="00F0055E">
        <w:rPr>
          <w:rFonts w:ascii="Arial" w:hAnsi="Arial" w:cs="Arial"/>
          <w:color w:val="000000"/>
          <w:lang w:eastAsia="en-IN"/>
        </w:rPr>
        <w:t>: Benomyl 50 % WP (39.00 mm).</w:t>
      </w:r>
    </w:p>
    <w:bookmarkEnd w:id="5"/>
    <w:p w14:paraId="24DEEE05" w14:textId="77777777" w:rsidR="007237D8" w:rsidRPr="00F0055E" w:rsidRDefault="007237D8" w:rsidP="007237D8">
      <w:pPr>
        <w:spacing w:line="360" w:lineRule="auto"/>
        <w:ind w:firstLine="720"/>
        <w:jc w:val="both"/>
        <w:rPr>
          <w:rFonts w:ascii="Arial" w:hAnsi="Arial" w:cs="Arial"/>
          <w:color w:val="000000"/>
          <w:lang w:eastAsia="en-IN"/>
        </w:rPr>
      </w:pPr>
      <w:r w:rsidRPr="00F0055E">
        <w:rPr>
          <w:rFonts w:ascii="Arial" w:hAnsi="Arial" w:cs="Arial"/>
          <w:color w:val="000000"/>
          <w:lang w:eastAsia="en-IN"/>
        </w:rPr>
        <w:t xml:space="preserve">Average radial mycelial growth of test pathogen was recorded in the range of (00.00 - 39.83 mm) as compared with control (90.00 mm). There was no mycelial growth with the fungicide tested </w:t>
      </w:r>
      <w:r w:rsidRPr="00F0055E">
        <w:rPr>
          <w:rFonts w:ascii="Arial" w:hAnsi="Arial" w:cs="Arial"/>
          <w:i/>
          <w:iCs/>
          <w:color w:val="000000"/>
          <w:lang w:eastAsia="en-IN"/>
        </w:rPr>
        <w:t>viz</w:t>
      </w:r>
      <w:r w:rsidRPr="00F0055E">
        <w:rPr>
          <w:rFonts w:ascii="Arial" w:hAnsi="Arial" w:cs="Arial"/>
          <w:color w:val="000000"/>
          <w:lang w:eastAsia="en-IN"/>
        </w:rPr>
        <w:t>., T</w:t>
      </w:r>
      <w:r w:rsidRPr="00F0055E">
        <w:rPr>
          <w:rFonts w:ascii="Arial" w:hAnsi="Arial" w:cs="Arial"/>
          <w:color w:val="000000"/>
          <w:vertAlign w:val="subscript"/>
          <w:lang w:eastAsia="en-IN"/>
        </w:rPr>
        <w:t>1</w:t>
      </w:r>
      <w:r w:rsidRPr="00F0055E">
        <w:rPr>
          <w:rFonts w:ascii="Arial" w:hAnsi="Arial" w:cs="Arial"/>
          <w:color w:val="000000"/>
          <w:lang w:eastAsia="en-IN"/>
        </w:rPr>
        <w:t>: Propiconazole 25 % EC and T</w:t>
      </w:r>
      <w:r w:rsidRPr="00F0055E">
        <w:rPr>
          <w:rFonts w:ascii="Arial" w:hAnsi="Arial" w:cs="Arial"/>
          <w:color w:val="000000"/>
          <w:vertAlign w:val="subscript"/>
          <w:lang w:eastAsia="en-IN"/>
        </w:rPr>
        <w:t>4</w:t>
      </w:r>
      <w:r w:rsidRPr="00F0055E">
        <w:rPr>
          <w:rFonts w:ascii="Arial" w:hAnsi="Arial" w:cs="Arial"/>
          <w:color w:val="000000"/>
          <w:lang w:eastAsia="en-IN"/>
        </w:rPr>
        <w:t>: Carbendazim 50 % WP. Among rest of the test fungicide, T</w:t>
      </w:r>
      <w:r w:rsidRPr="00F0055E">
        <w:rPr>
          <w:rFonts w:ascii="Arial" w:hAnsi="Arial" w:cs="Arial"/>
          <w:color w:val="000000"/>
          <w:vertAlign w:val="subscript"/>
          <w:lang w:eastAsia="en-IN"/>
        </w:rPr>
        <w:t>2</w:t>
      </w:r>
      <w:r w:rsidRPr="00F0055E">
        <w:rPr>
          <w:rFonts w:ascii="Arial" w:hAnsi="Arial" w:cs="Arial"/>
          <w:color w:val="000000"/>
          <w:lang w:eastAsia="en-IN"/>
        </w:rPr>
        <w:t>: Difenoconazole 25 % EC with mycelial growth (25.83 mm). This was followed by T</w:t>
      </w:r>
      <w:r w:rsidRPr="00F0055E">
        <w:rPr>
          <w:rFonts w:ascii="Arial" w:hAnsi="Arial" w:cs="Arial"/>
          <w:color w:val="000000"/>
          <w:vertAlign w:val="subscript"/>
          <w:lang w:eastAsia="en-IN"/>
        </w:rPr>
        <w:t>3</w:t>
      </w:r>
      <w:r w:rsidRPr="00F0055E">
        <w:rPr>
          <w:rFonts w:ascii="Arial" w:hAnsi="Arial" w:cs="Arial"/>
          <w:color w:val="000000"/>
          <w:lang w:eastAsia="en-IN"/>
        </w:rPr>
        <w:t>: Azoxystrobin 23 % SC (30.50 mm), T</w:t>
      </w:r>
      <w:r w:rsidRPr="00F0055E">
        <w:rPr>
          <w:rFonts w:ascii="Arial" w:hAnsi="Arial" w:cs="Arial"/>
          <w:color w:val="000000"/>
          <w:vertAlign w:val="subscript"/>
          <w:lang w:eastAsia="en-IN"/>
        </w:rPr>
        <w:t>6</w:t>
      </w:r>
      <w:r w:rsidRPr="00F0055E">
        <w:rPr>
          <w:rFonts w:ascii="Arial" w:hAnsi="Arial" w:cs="Arial"/>
          <w:color w:val="000000"/>
          <w:lang w:eastAsia="en-IN"/>
        </w:rPr>
        <w:t xml:space="preserve">: Thiophanate methyl 70 % </w:t>
      </w:r>
      <w:r w:rsidRPr="00F0055E">
        <w:rPr>
          <w:rFonts w:ascii="Arial" w:hAnsi="Arial" w:cs="Arial"/>
          <w:noProof/>
          <w:color w:val="000000"/>
          <w:lang w:eastAsia="en-IN"/>
        </w:rPr>
        <w:drawing>
          <wp:inline distT="0" distB="0" distL="0" distR="0" wp14:anchorId="42F82CBB" wp14:editId="45D8DBC6">
            <wp:extent cx="6094" cy="6097"/>
            <wp:effectExtent l="0" t="0" r="0" b="0"/>
            <wp:docPr id="84107349" name="Picture 84107349"/>
            <wp:cNvGraphicFramePr/>
            <a:graphic xmlns:a="http://schemas.openxmlformats.org/drawingml/2006/main">
              <a:graphicData uri="http://schemas.openxmlformats.org/drawingml/2006/picture">
                <pic:pic xmlns:pic="http://schemas.openxmlformats.org/drawingml/2006/picture">
                  <pic:nvPicPr>
                    <pic:cNvPr id="270307" name="Picture 270307"/>
                    <pic:cNvPicPr/>
                  </pic:nvPicPr>
                  <pic:blipFill>
                    <a:blip r:embed="rId8"/>
                    <a:stretch>
                      <a:fillRect/>
                    </a:stretch>
                  </pic:blipFill>
                  <pic:spPr>
                    <a:xfrm>
                      <a:off x="0" y="0"/>
                      <a:ext cx="6094" cy="6097"/>
                    </a:xfrm>
                    <a:prstGeom prst="rect">
                      <a:avLst/>
                    </a:prstGeom>
                  </pic:spPr>
                </pic:pic>
              </a:graphicData>
            </a:graphic>
          </wp:inline>
        </w:drawing>
      </w:r>
      <w:r w:rsidRPr="00F0055E">
        <w:rPr>
          <w:rFonts w:ascii="Arial" w:hAnsi="Arial" w:cs="Arial"/>
          <w:color w:val="000000"/>
          <w:lang w:eastAsia="en-IN"/>
        </w:rPr>
        <w:t>WP with (33.17 mm) and T</w:t>
      </w:r>
      <w:r w:rsidRPr="00F0055E">
        <w:rPr>
          <w:rFonts w:ascii="Arial" w:hAnsi="Arial" w:cs="Arial"/>
          <w:color w:val="000000"/>
          <w:vertAlign w:val="subscript"/>
          <w:lang w:eastAsia="en-IN"/>
        </w:rPr>
        <w:t>5</w:t>
      </w:r>
      <w:r w:rsidRPr="00F0055E">
        <w:rPr>
          <w:rFonts w:ascii="Arial" w:hAnsi="Arial" w:cs="Arial"/>
          <w:color w:val="000000"/>
          <w:lang w:eastAsia="en-IN"/>
        </w:rPr>
        <w:t>: Benomyl 50 % WP (39.83 mm).</w:t>
      </w:r>
    </w:p>
    <w:p w14:paraId="75A7A13D" w14:textId="77777777" w:rsidR="00F0055E" w:rsidRPr="00F0055E" w:rsidRDefault="007237D8" w:rsidP="00F0055E">
      <w:pPr>
        <w:spacing w:line="360" w:lineRule="auto"/>
        <w:jc w:val="both"/>
        <w:rPr>
          <w:rFonts w:ascii="Arial" w:hAnsi="Arial" w:cs="Arial"/>
          <w:color w:val="000000"/>
          <w:lang w:eastAsia="en-IN"/>
        </w:rPr>
      </w:pPr>
      <w:r w:rsidRPr="00F0055E">
        <w:rPr>
          <w:rFonts w:ascii="Arial" w:hAnsi="Arial" w:cs="Arial"/>
          <w:b/>
          <w:bCs/>
          <w:color w:val="000000"/>
          <w:lang w:eastAsia="en-IN"/>
        </w:rPr>
        <w:t>Effect on inhibition of mycelial growth</w:t>
      </w:r>
    </w:p>
    <w:p w14:paraId="66408E49" w14:textId="35BB8344" w:rsidR="007237D8" w:rsidRPr="00F0055E" w:rsidRDefault="007237D8" w:rsidP="00F0055E">
      <w:pPr>
        <w:spacing w:line="360" w:lineRule="auto"/>
        <w:ind w:firstLine="720"/>
        <w:jc w:val="both"/>
        <w:rPr>
          <w:rFonts w:ascii="Arial" w:hAnsi="Arial" w:cs="Arial"/>
          <w:color w:val="000000"/>
          <w:lang w:eastAsia="en-IN"/>
        </w:rPr>
      </w:pPr>
      <w:r w:rsidRPr="00F0055E">
        <w:rPr>
          <w:rFonts w:ascii="Arial" w:hAnsi="Arial" w:cs="Arial"/>
          <w:color w:val="000000"/>
          <w:lang w:eastAsia="en-IN"/>
        </w:rPr>
        <w:lastRenderedPageBreak/>
        <w:t xml:space="preserve">Result on inhibition of mycelial growth revealed that, all systemic fungicides </w:t>
      </w:r>
      <w:r w:rsidRPr="00F0055E">
        <w:rPr>
          <w:rFonts w:ascii="Arial" w:hAnsi="Arial" w:cs="Arial"/>
          <w:i/>
          <w:iCs/>
          <w:color w:val="000000"/>
          <w:lang w:eastAsia="en-IN"/>
        </w:rPr>
        <w:t>viz</w:t>
      </w:r>
      <w:r w:rsidRPr="00F0055E">
        <w:rPr>
          <w:rFonts w:ascii="Arial" w:hAnsi="Arial" w:cs="Arial"/>
          <w:color w:val="000000"/>
          <w:lang w:eastAsia="en-IN"/>
        </w:rPr>
        <w:t xml:space="preserve">., Propiconazole 25 % EC, Difenoconazole 25 % EC, Azoxystrobin 23 % SC, Carbendazim 50 % WP, Benomyl 50 % WP, and Thiophanate methyl 70 % WP </w:t>
      </w:r>
      <w:bookmarkStart w:id="7" w:name="_Hlk200998963"/>
      <w:r w:rsidRPr="00F0055E">
        <w:rPr>
          <w:rFonts w:ascii="Arial" w:hAnsi="Arial" w:cs="Arial"/>
          <w:color w:val="000000"/>
          <w:lang w:eastAsia="en-IN"/>
        </w:rPr>
        <w:t xml:space="preserve">tested at 500 ppm and 1000 ppm concentration significantly inhibited mycelial growth of pathogen over control (00.00%). </w:t>
      </w:r>
    </w:p>
    <w:p w14:paraId="559F6261" w14:textId="77777777" w:rsidR="007237D8" w:rsidRPr="00F0055E" w:rsidRDefault="007237D8" w:rsidP="007237D8">
      <w:pPr>
        <w:spacing w:line="360" w:lineRule="auto"/>
        <w:ind w:firstLine="720"/>
        <w:jc w:val="both"/>
        <w:rPr>
          <w:rFonts w:ascii="Arial" w:hAnsi="Arial" w:cs="Arial"/>
          <w:color w:val="000000"/>
          <w:lang w:eastAsia="en-IN"/>
        </w:rPr>
      </w:pPr>
      <w:r w:rsidRPr="00F0055E">
        <w:rPr>
          <w:rFonts w:ascii="Arial" w:hAnsi="Arial" w:cs="Arial"/>
          <w:color w:val="000000"/>
          <w:lang w:eastAsia="en-IN"/>
        </w:rPr>
        <w:t xml:space="preserve">    The </w:t>
      </w:r>
      <w:r w:rsidRPr="00F0055E">
        <w:rPr>
          <w:rFonts w:ascii="Arial" w:hAnsi="Arial" w:cs="Arial"/>
          <w:i/>
          <w:iCs/>
          <w:color w:val="000000"/>
          <w:lang w:eastAsia="en-IN"/>
        </w:rPr>
        <w:t>per cent</w:t>
      </w:r>
      <w:r w:rsidRPr="00F0055E">
        <w:rPr>
          <w:rFonts w:ascii="Arial" w:hAnsi="Arial" w:cs="Arial"/>
          <w:color w:val="000000"/>
          <w:lang w:eastAsia="en-IN"/>
        </w:rPr>
        <w:t xml:space="preserve"> mycelial growth inhibition increased with increase in concentration of fungicides. At 500 ppm concentration </w:t>
      </w:r>
      <w:bookmarkStart w:id="8" w:name="_Hlk200910164"/>
      <w:r w:rsidRPr="00F0055E">
        <w:rPr>
          <w:rFonts w:ascii="Arial" w:hAnsi="Arial" w:cs="Arial"/>
          <w:color w:val="000000"/>
          <w:lang w:eastAsia="en-IN"/>
        </w:rPr>
        <w:t>the mycelial growth inhibition of test pathogen was recorded in the range of (</w:t>
      </w:r>
      <w:bookmarkStart w:id="9" w:name="_Hlk200910071"/>
      <w:r w:rsidRPr="00F0055E">
        <w:rPr>
          <w:rFonts w:ascii="Arial" w:hAnsi="Arial" w:cs="Arial"/>
          <w:color w:val="000000"/>
          <w:lang w:eastAsia="en-IN"/>
        </w:rPr>
        <w:t xml:space="preserve">54.82 </w:t>
      </w:r>
      <w:bookmarkEnd w:id="9"/>
      <w:r w:rsidRPr="00F0055E">
        <w:rPr>
          <w:rFonts w:ascii="Arial" w:hAnsi="Arial" w:cs="Arial"/>
          <w:color w:val="000000"/>
          <w:lang w:eastAsia="en-IN"/>
        </w:rPr>
        <w:t xml:space="preserve">- 100.00 %) as compared with control (00.00 %). There was 100.00 % inhibition in fungicides </w:t>
      </w:r>
      <w:r w:rsidRPr="00F0055E">
        <w:rPr>
          <w:rFonts w:ascii="Arial" w:hAnsi="Arial" w:cs="Arial"/>
          <w:i/>
          <w:iCs/>
          <w:color w:val="000000"/>
          <w:lang w:eastAsia="en-IN"/>
        </w:rPr>
        <w:t>viz</w:t>
      </w:r>
      <w:r w:rsidRPr="00F0055E">
        <w:rPr>
          <w:rFonts w:ascii="Arial" w:hAnsi="Arial" w:cs="Arial"/>
          <w:color w:val="000000"/>
          <w:lang w:eastAsia="en-IN"/>
        </w:rPr>
        <w:t xml:space="preserve">., </w:t>
      </w:r>
      <w:bookmarkEnd w:id="7"/>
      <w:r w:rsidRPr="00F0055E">
        <w:rPr>
          <w:rFonts w:ascii="Arial" w:hAnsi="Arial" w:cs="Arial"/>
          <w:color w:val="000000"/>
          <w:lang w:eastAsia="en-IN"/>
        </w:rPr>
        <w:t>T</w:t>
      </w:r>
      <w:r w:rsidRPr="00F0055E">
        <w:rPr>
          <w:rFonts w:ascii="Arial" w:hAnsi="Arial" w:cs="Arial"/>
          <w:color w:val="000000"/>
          <w:vertAlign w:val="subscript"/>
          <w:lang w:eastAsia="en-IN"/>
        </w:rPr>
        <w:t>1</w:t>
      </w:r>
      <w:r w:rsidRPr="00F0055E">
        <w:rPr>
          <w:rFonts w:ascii="Arial" w:hAnsi="Arial" w:cs="Arial"/>
          <w:color w:val="000000"/>
          <w:lang w:eastAsia="en-IN"/>
        </w:rPr>
        <w:t>: Propiconazole 25 % EC and T</w:t>
      </w:r>
      <w:r w:rsidRPr="00F0055E">
        <w:rPr>
          <w:rFonts w:ascii="Arial" w:hAnsi="Arial" w:cs="Arial"/>
          <w:color w:val="000000"/>
          <w:vertAlign w:val="subscript"/>
          <w:lang w:eastAsia="en-IN"/>
        </w:rPr>
        <w:t>4</w:t>
      </w:r>
      <w:r w:rsidRPr="00F0055E">
        <w:rPr>
          <w:rFonts w:ascii="Arial" w:hAnsi="Arial" w:cs="Arial"/>
          <w:color w:val="000000"/>
          <w:lang w:eastAsia="en-IN"/>
        </w:rPr>
        <w:t>: Carbendazim 50 % WP this was followed by T</w:t>
      </w:r>
      <w:r w:rsidRPr="00F0055E">
        <w:rPr>
          <w:rFonts w:ascii="Arial" w:hAnsi="Arial" w:cs="Arial"/>
          <w:color w:val="000000"/>
          <w:vertAlign w:val="subscript"/>
          <w:lang w:eastAsia="en-IN"/>
        </w:rPr>
        <w:t>2</w:t>
      </w:r>
      <w:r w:rsidRPr="00F0055E">
        <w:rPr>
          <w:rFonts w:ascii="Arial" w:hAnsi="Arial" w:cs="Arial"/>
          <w:color w:val="000000"/>
          <w:lang w:eastAsia="en-IN"/>
        </w:rPr>
        <w:t>: Difenoconazole 25 % EC (</w:t>
      </w:r>
      <w:bookmarkStart w:id="10" w:name="_Hlk200987542"/>
      <w:r w:rsidRPr="00F0055E">
        <w:rPr>
          <w:rFonts w:ascii="Arial" w:hAnsi="Arial" w:cs="Arial"/>
          <w:color w:val="000000"/>
          <w:lang w:eastAsia="en-IN"/>
        </w:rPr>
        <w:t>6</w:t>
      </w:r>
      <w:bookmarkEnd w:id="10"/>
      <w:r w:rsidRPr="00F0055E">
        <w:rPr>
          <w:rFonts w:ascii="Arial" w:hAnsi="Arial" w:cs="Arial"/>
          <w:color w:val="000000"/>
          <w:lang w:eastAsia="en-IN"/>
        </w:rPr>
        <w:t>8.89 %), T</w:t>
      </w:r>
      <w:r w:rsidRPr="00F0055E">
        <w:rPr>
          <w:rFonts w:ascii="Arial" w:hAnsi="Arial" w:cs="Arial"/>
          <w:color w:val="000000"/>
          <w:vertAlign w:val="subscript"/>
          <w:lang w:eastAsia="en-IN"/>
        </w:rPr>
        <w:t>3</w:t>
      </w:r>
      <w:r w:rsidRPr="00F0055E">
        <w:rPr>
          <w:rFonts w:ascii="Arial" w:hAnsi="Arial" w:cs="Arial"/>
          <w:color w:val="000000"/>
          <w:lang w:eastAsia="en-IN"/>
        </w:rPr>
        <w:t>: Azoxystrobin 23 % SC (63.33 %), T</w:t>
      </w:r>
      <w:r w:rsidRPr="00F0055E">
        <w:rPr>
          <w:rFonts w:ascii="Arial" w:hAnsi="Arial" w:cs="Arial"/>
          <w:color w:val="000000"/>
          <w:vertAlign w:val="subscript"/>
          <w:lang w:eastAsia="en-IN"/>
        </w:rPr>
        <w:t>6</w:t>
      </w:r>
      <w:r w:rsidRPr="00F0055E">
        <w:rPr>
          <w:rFonts w:ascii="Arial" w:hAnsi="Arial" w:cs="Arial"/>
          <w:color w:val="000000"/>
          <w:lang w:eastAsia="en-IN"/>
        </w:rPr>
        <w:t>: Thiophanate methyl 70 % WP (60.74%) and T</w:t>
      </w:r>
      <w:r w:rsidRPr="00F0055E">
        <w:rPr>
          <w:rFonts w:ascii="Arial" w:hAnsi="Arial" w:cs="Arial"/>
          <w:color w:val="000000"/>
          <w:vertAlign w:val="subscript"/>
          <w:lang w:eastAsia="en-IN"/>
        </w:rPr>
        <w:t>5</w:t>
      </w:r>
      <w:r w:rsidRPr="00F0055E">
        <w:rPr>
          <w:rFonts w:ascii="Arial" w:hAnsi="Arial" w:cs="Arial"/>
          <w:color w:val="000000"/>
          <w:lang w:eastAsia="en-IN"/>
        </w:rPr>
        <w:t xml:space="preserve">: Benomyl 50 % WP (54.82 %). </w:t>
      </w:r>
    </w:p>
    <w:bookmarkEnd w:id="8"/>
    <w:p w14:paraId="5E8E179A" w14:textId="77777777" w:rsidR="007237D8" w:rsidRPr="00F0055E" w:rsidRDefault="007237D8" w:rsidP="007237D8">
      <w:pPr>
        <w:spacing w:line="360" w:lineRule="auto"/>
        <w:ind w:firstLine="720"/>
        <w:jc w:val="both"/>
        <w:rPr>
          <w:rFonts w:ascii="Arial" w:hAnsi="Arial" w:cs="Arial"/>
          <w:color w:val="000000"/>
          <w:lang w:eastAsia="en-IN"/>
        </w:rPr>
      </w:pPr>
      <w:r w:rsidRPr="00F0055E">
        <w:rPr>
          <w:rFonts w:ascii="Arial" w:hAnsi="Arial" w:cs="Arial"/>
          <w:color w:val="000000"/>
          <w:lang w:eastAsia="en-IN"/>
        </w:rPr>
        <w:t>At 1000 ppm, the mycelial growth inhibition of test pathogen was recorded in the range of (56.67 - 100.00 %) as compared with control (00.00 %).</w:t>
      </w:r>
      <w:bookmarkStart w:id="11" w:name="_Hlk200910881"/>
      <w:r w:rsidRPr="00F0055E">
        <w:rPr>
          <w:rFonts w:ascii="Arial" w:hAnsi="Arial" w:cs="Arial"/>
          <w:color w:val="000000"/>
          <w:lang w:eastAsia="en-IN"/>
        </w:rPr>
        <w:t xml:space="preserve"> There was 100.00 % inhibition in fungicides </w:t>
      </w:r>
      <w:r w:rsidRPr="00F0055E">
        <w:rPr>
          <w:rFonts w:ascii="Arial" w:hAnsi="Arial" w:cs="Arial"/>
          <w:i/>
          <w:iCs/>
          <w:color w:val="000000"/>
          <w:lang w:eastAsia="en-IN"/>
        </w:rPr>
        <w:t>viz</w:t>
      </w:r>
      <w:r w:rsidRPr="00F0055E">
        <w:rPr>
          <w:rFonts w:ascii="Arial" w:hAnsi="Arial" w:cs="Arial"/>
          <w:color w:val="000000"/>
          <w:lang w:eastAsia="en-IN"/>
        </w:rPr>
        <w:t>., T</w:t>
      </w:r>
      <w:r w:rsidRPr="00F0055E">
        <w:rPr>
          <w:rFonts w:ascii="Arial" w:hAnsi="Arial" w:cs="Arial"/>
          <w:color w:val="000000"/>
          <w:vertAlign w:val="subscript"/>
          <w:lang w:eastAsia="en-IN"/>
        </w:rPr>
        <w:t>1</w:t>
      </w:r>
      <w:r w:rsidRPr="00F0055E">
        <w:rPr>
          <w:rFonts w:ascii="Arial" w:hAnsi="Arial" w:cs="Arial"/>
          <w:color w:val="000000"/>
          <w:lang w:eastAsia="en-IN"/>
        </w:rPr>
        <w:t>: Propiconazole 25 % EC and T</w:t>
      </w:r>
      <w:r w:rsidRPr="00F0055E">
        <w:rPr>
          <w:rFonts w:ascii="Arial" w:hAnsi="Arial" w:cs="Arial"/>
          <w:color w:val="000000"/>
          <w:vertAlign w:val="subscript"/>
          <w:lang w:eastAsia="en-IN"/>
        </w:rPr>
        <w:t>4</w:t>
      </w:r>
      <w:r w:rsidRPr="00F0055E">
        <w:rPr>
          <w:rFonts w:ascii="Arial" w:hAnsi="Arial" w:cs="Arial"/>
          <w:color w:val="000000"/>
          <w:lang w:eastAsia="en-IN"/>
        </w:rPr>
        <w:t>: Carbendazim 50 % WP this was followed by T</w:t>
      </w:r>
      <w:r w:rsidRPr="00F0055E">
        <w:rPr>
          <w:rFonts w:ascii="Arial" w:hAnsi="Arial" w:cs="Arial"/>
          <w:color w:val="000000"/>
          <w:vertAlign w:val="subscript"/>
          <w:lang w:eastAsia="en-IN"/>
        </w:rPr>
        <w:t>2</w:t>
      </w:r>
      <w:r w:rsidRPr="00F0055E">
        <w:rPr>
          <w:rFonts w:ascii="Arial" w:hAnsi="Arial" w:cs="Arial"/>
          <w:color w:val="000000"/>
          <w:lang w:eastAsia="en-IN"/>
        </w:rPr>
        <w:t>: Difenoconazole 25 % EC (73.71 %), T</w:t>
      </w:r>
      <w:r w:rsidRPr="00F0055E">
        <w:rPr>
          <w:rFonts w:ascii="Arial" w:hAnsi="Arial" w:cs="Arial"/>
          <w:color w:val="000000"/>
          <w:vertAlign w:val="subscript"/>
          <w:lang w:eastAsia="en-IN"/>
        </w:rPr>
        <w:t>3</w:t>
      </w:r>
      <w:r w:rsidRPr="00F0055E">
        <w:rPr>
          <w:rFonts w:ascii="Arial" w:hAnsi="Arial" w:cs="Arial"/>
          <w:color w:val="000000"/>
          <w:lang w:eastAsia="en-IN"/>
        </w:rPr>
        <w:t>: Azoxystrobin 23 % SC (68.89 %), T</w:t>
      </w:r>
      <w:r w:rsidRPr="00F0055E">
        <w:rPr>
          <w:rFonts w:ascii="Arial" w:hAnsi="Arial" w:cs="Arial"/>
          <w:color w:val="000000"/>
          <w:vertAlign w:val="subscript"/>
          <w:lang w:eastAsia="en-IN"/>
        </w:rPr>
        <w:t>6</w:t>
      </w:r>
      <w:r w:rsidRPr="00F0055E">
        <w:rPr>
          <w:rFonts w:ascii="Arial" w:hAnsi="Arial" w:cs="Arial"/>
          <w:color w:val="000000"/>
          <w:lang w:eastAsia="en-IN"/>
        </w:rPr>
        <w:t>: Thiophanate methyl 70 % WP (65.56%) and T</w:t>
      </w:r>
      <w:r w:rsidRPr="00F0055E">
        <w:rPr>
          <w:rFonts w:ascii="Arial" w:hAnsi="Arial" w:cs="Arial"/>
          <w:color w:val="000000"/>
          <w:vertAlign w:val="subscript"/>
          <w:lang w:eastAsia="en-IN"/>
        </w:rPr>
        <w:t>5</w:t>
      </w:r>
      <w:r w:rsidRPr="00F0055E">
        <w:rPr>
          <w:rFonts w:ascii="Arial" w:hAnsi="Arial" w:cs="Arial"/>
          <w:color w:val="000000"/>
          <w:lang w:eastAsia="en-IN"/>
        </w:rPr>
        <w:t xml:space="preserve">: Benomyl 50 % WP (56.67 %). </w:t>
      </w:r>
    </w:p>
    <w:bookmarkEnd w:id="11"/>
    <w:p w14:paraId="0C2C4C29" w14:textId="77777777" w:rsidR="007237D8" w:rsidRDefault="007237D8" w:rsidP="007237D8">
      <w:pPr>
        <w:spacing w:line="360" w:lineRule="auto"/>
        <w:ind w:firstLine="720"/>
        <w:jc w:val="both"/>
        <w:rPr>
          <w:rFonts w:ascii="Arial" w:hAnsi="Arial" w:cs="Arial"/>
          <w:color w:val="000000"/>
          <w:lang w:eastAsia="en-IN"/>
        </w:rPr>
      </w:pPr>
      <w:r w:rsidRPr="00F0055E">
        <w:rPr>
          <w:rFonts w:ascii="Arial" w:hAnsi="Arial" w:cs="Arial"/>
          <w:color w:val="000000"/>
          <w:lang w:eastAsia="en-IN"/>
        </w:rPr>
        <w:t xml:space="preserve">Average mycelial growth inhibition of test pathogen was recorded in all systemic fungicide </w:t>
      </w:r>
      <w:bookmarkStart w:id="12" w:name="_Hlk201001519"/>
      <w:r w:rsidRPr="00F0055E">
        <w:rPr>
          <w:rFonts w:ascii="Arial" w:hAnsi="Arial" w:cs="Arial"/>
          <w:color w:val="000000"/>
          <w:lang w:eastAsia="en-IN"/>
        </w:rPr>
        <w:t xml:space="preserve">ranged from (55.74 - 100.00 %) as compared with control (00.00 %). </w:t>
      </w:r>
      <w:bookmarkStart w:id="13" w:name="_Hlk201001611"/>
      <w:bookmarkStart w:id="14" w:name="_Hlk204072385"/>
      <w:bookmarkEnd w:id="12"/>
      <w:r w:rsidRPr="00F0055E">
        <w:rPr>
          <w:rFonts w:ascii="Arial" w:hAnsi="Arial" w:cs="Arial"/>
          <w:color w:val="000000"/>
          <w:lang w:eastAsia="en-IN"/>
        </w:rPr>
        <w:t xml:space="preserve">There was 100.00 % inhibition </w:t>
      </w:r>
      <w:bookmarkEnd w:id="13"/>
      <w:r w:rsidRPr="00F0055E">
        <w:rPr>
          <w:rFonts w:ascii="Arial" w:hAnsi="Arial" w:cs="Arial"/>
          <w:color w:val="000000"/>
          <w:lang w:eastAsia="en-IN"/>
        </w:rPr>
        <w:t xml:space="preserve">in fungicides </w:t>
      </w:r>
      <w:r w:rsidRPr="00F0055E">
        <w:rPr>
          <w:rFonts w:ascii="Arial" w:hAnsi="Arial" w:cs="Arial"/>
          <w:i/>
          <w:iCs/>
          <w:color w:val="000000"/>
          <w:lang w:eastAsia="en-IN"/>
        </w:rPr>
        <w:t>viz</w:t>
      </w:r>
      <w:r w:rsidRPr="00F0055E">
        <w:rPr>
          <w:rFonts w:ascii="Arial" w:hAnsi="Arial" w:cs="Arial"/>
          <w:color w:val="000000"/>
          <w:lang w:eastAsia="en-IN"/>
        </w:rPr>
        <w:t>., T</w:t>
      </w:r>
      <w:r w:rsidRPr="00F0055E">
        <w:rPr>
          <w:rFonts w:ascii="Arial" w:hAnsi="Arial" w:cs="Arial"/>
          <w:color w:val="000000"/>
          <w:vertAlign w:val="subscript"/>
          <w:lang w:eastAsia="en-IN"/>
        </w:rPr>
        <w:t>1</w:t>
      </w:r>
      <w:r w:rsidRPr="00F0055E">
        <w:rPr>
          <w:rFonts w:ascii="Arial" w:hAnsi="Arial" w:cs="Arial"/>
          <w:color w:val="000000"/>
          <w:lang w:eastAsia="en-IN"/>
        </w:rPr>
        <w:t>: Propiconazole 25 % EC and T</w:t>
      </w:r>
      <w:r w:rsidRPr="00F0055E">
        <w:rPr>
          <w:rFonts w:ascii="Arial" w:hAnsi="Arial" w:cs="Arial"/>
          <w:color w:val="000000"/>
          <w:vertAlign w:val="subscript"/>
          <w:lang w:eastAsia="en-IN"/>
        </w:rPr>
        <w:t>4</w:t>
      </w:r>
      <w:r w:rsidRPr="00F0055E">
        <w:rPr>
          <w:rFonts w:ascii="Arial" w:hAnsi="Arial" w:cs="Arial"/>
          <w:color w:val="000000"/>
          <w:lang w:eastAsia="en-IN"/>
        </w:rPr>
        <w:t xml:space="preserve">: </w:t>
      </w:r>
      <w:bookmarkStart w:id="15" w:name="_Hlk200911758"/>
      <w:r w:rsidRPr="00F0055E">
        <w:rPr>
          <w:rFonts w:ascii="Arial" w:hAnsi="Arial" w:cs="Arial"/>
          <w:color w:val="000000"/>
          <w:lang w:eastAsia="en-IN"/>
        </w:rPr>
        <w:t xml:space="preserve">Carbendazim 50 % WP </w:t>
      </w:r>
      <w:bookmarkEnd w:id="15"/>
      <w:r w:rsidRPr="00F0055E">
        <w:rPr>
          <w:rFonts w:ascii="Arial" w:hAnsi="Arial" w:cs="Arial"/>
          <w:color w:val="000000"/>
          <w:lang w:eastAsia="en-IN"/>
        </w:rPr>
        <w:t>this was followed by T</w:t>
      </w:r>
      <w:r w:rsidRPr="00F0055E">
        <w:rPr>
          <w:rFonts w:ascii="Arial" w:hAnsi="Arial" w:cs="Arial"/>
          <w:color w:val="000000"/>
          <w:vertAlign w:val="subscript"/>
          <w:lang w:eastAsia="en-IN"/>
        </w:rPr>
        <w:t>2</w:t>
      </w:r>
      <w:r w:rsidRPr="00F0055E">
        <w:rPr>
          <w:rFonts w:ascii="Arial" w:hAnsi="Arial" w:cs="Arial"/>
          <w:color w:val="000000"/>
          <w:lang w:eastAsia="en-IN"/>
        </w:rPr>
        <w:t>: Difenoconazole 25 % EC (71.10 %), T</w:t>
      </w:r>
      <w:r w:rsidRPr="00F0055E">
        <w:rPr>
          <w:rFonts w:ascii="Arial" w:hAnsi="Arial" w:cs="Arial"/>
          <w:color w:val="000000"/>
          <w:vertAlign w:val="subscript"/>
          <w:lang w:eastAsia="en-IN"/>
        </w:rPr>
        <w:t>3</w:t>
      </w:r>
      <w:r w:rsidRPr="00F0055E">
        <w:rPr>
          <w:rFonts w:ascii="Arial" w:hAnsi="Arial" w:cs="Arial"/>
          <w:color w:val="000000"/>
          <w:lang w:eastAsia="en-IN"/>
        </w:rPr>
        <w:t xml:space="preserve">: </w:t>
      </w:r>
      <w:bookmarkStart w:id="16" w:name="_Hlk200911779"/>
      <w:r w:rsidRPr="00F0055E">
        <w:rPr>
          <w:rFonts w:ascii="Arial" w:hAnsi="Arial" w:cs="Arial"/>
          <w:color w:val="000000"/>
          <w:lang w:eastAsia="en-IN"/>
        </w:rPr>
        <w:t xml:space="preserve">Azoxystrobin 23 % SC </w:t>
      </w:r>
      <w:bookmarkEnd w:id="16"/>
      <w:r w:rsidRPr="00F0055E">
        <w:rPr>
          <w:rFonts w:ascii="Arial" w:hAnsi="Arial" w:cs="Arial"/>
          <w:color w:val="000000"/>
          <w:lang w:eastAsia="en-IN"/>
        </w:rPr>
        <w:t>(66.11 %), T</w:t>
      </w:r>
      <w:r w:rsidRPr="00F0055E">
        <w:rPr>
          <w:rFonts w:ascii="Arial" w:hAnsi="Arial" w:cs="Arial"/>
          <w:color w:val="000000"/>
          <w:vertAlign w:val="subscript"/>
          <w:lang w:eastAsia="en-IN"/>
        </w:rPr>
        <w:t>6</w:t>
      </w:r>
      <w:r w:rsidRPr="00F0055E">
        <w:rPr>
          <w:rFonts w:ascii="Arial" w:hAnsi="Arial" w:cs="Arial"/>
          <w:color w:val="000000"/>
          <w:lang w:eastAsia="en-IN"/>
        </w:rPr>
        <w:t xml:space="preserve">: Thiophanate methyl 70 % </w:t>
      </w:r>
      <w:r w:rsidRPr="00F0055E">
        <w:rPr>
          <w:rFonts w:ascii="Arial" w:hAnsi="Arial" w:cs="Arial"/>
          <w:noProof/>
          <w:color w:val="000000"/>
          <w:lang w:eastAsia="en-IN"/>
        </w:rPr>
        <w:drawing>
          <wp:inline distT="0" distB="0" distL="0" distR="0" wp14:anchorId="1A7272E0" wp14:editId="33ADB4C5">
            <wp:extent cx="6094" cy="6097"/>
            <wp:effectExtent l="0" t="0" r="0" b="0"/>
            <wp:docPr id="1279647845" name="Picture 1279647845"/>
            <wp:cNvGraphicFramePr/>
            <a:graphic xmlns:a="http://schemas.openxmlformats.org/drawingml/2006/main">
              <a:graphicData uri="http://schemas.openxmlformats.org/drawingml/2006/picture">
                <pic:pic xmlns:pic="http://schemas.openxmlformats.org/drawingml/2006/picture">
                  <pic:nvPicPr>
                    <pic:cNvPr id="270307" name="Picture 270307"/>
                    <pic:cNvPicPr/>
                  </pic:nvPicPr>
                  <pic:blipFill>
                    <a:blip r:embed="rId8"/>
                    <a:stretch>
                      <a:fillRect/>
                    </a:stretch>
                  </pic:blipFill>
                  <pic:spPr>
                    <a:xfrm>
                      <a:off x="0" y="0"/>
                      <a:ext cx="6094" cy="6097"/>
                    </a:xfrm>
                    <a:prstGeom prst="rect">
                      <a:avLst/>
                    </a:prstGeom>
                  </pic:spPr>
                </pic:pic>
              </a:graphicData>
            </a:graphic>
          </wp:inline>
        </w:drawing>
      </w:r>
      <w:r w:rsidRPr="00F0055E">
        <w:rPr>
          <w:rFonts w:ascii="Arial" w:hAnsi="Arial" w:cs="Arial"/>
          <w:color w:val="000000"/>
          <w:lang w:eastAsia="en-IN"/>
        </w:rPr>
        <w:t>WP (63.15%) and T</w:t>
      </w:r>
      <w:r w:rsidRPr="00F0055E">
        <w:rPr>
          <w:rFonts w:ascii="Arial" w:hAnsi="Arial" w:cs="Arial"/>
          <w:color w:val="000000"/>
          <w:vertAlign w:val="subscript"/>
          <w:lang w:eastAsia="en-IN"/>
        </w:rPr>
        <w:t>5</w:t>
      </w:r>
      <w:r w:rsidRPr="00F0055E">
        <w:rPr>
          <w:rFonts w:ascii="Arial" w:hAnsi="Arial" w:cs="Arial"/>
          <w:color w:val="000000"/>
          <w:lang w:eastAsia="en-IN"/>
        </w:rPr>
        <w:t>: Benomyl 50 %WP (55.74 %).</w:t>
      </w:r>
      <w:bookmarkEnd w:id="14"/>
    </w:p>
    <w:p w14:paraId="0018A44B" w14:textId="77777777" w:rsidR="006B1172" w:rsidRPr="006B1172" w:rsidRDefault="00DB354A" w:rsidP="006B1172">
      <w:pPr>
        <w:spacing w:line="360" w:lineRule="auto"/>
        <w:ind w:firstLine="720"/>
        <w:jc w:val="both"/>
        <w:rPr>
          <w:rFonts w:ascii="Arial" w:hAnsi="Arial" w:cs="Arial"/>
        </w:rPr>
      </w:pPr>
      <w:bookmarkStart w:id="17" w:name="_Hlk203472372"/>
      <w:r w:rsidRPr="006B1172">
        <w:rPr>
          <w:rFonts w:ascii="Arial" w:hAnsi="Arial" w:cs="Arial"/>
          <w:color w:val="000000"/>
          <w:lang w:eastAsia="en-IN"/>
        </w:rPr>
        <w:t xml:space="preserve">These results of the present studies are in consonance with earlier findings of several workers who reported that, </w:t>
      </w:r>
      <w:bookmarkEnd w:id="17"/>
      <w:r w:rsidRPr="006B1172">
        <w:rPr>
          <w:rFonts w:ascii="Arial" w:hAnsi="Arial" w:cs="Arial"/>
          <w:color w:val="000000"/>
          <w:lang w:eastAsia="en-IN"/>
        </w:rPr>
        <w:t xml:space="preserve">systemic fungicides Propiconazole 25 % EC and Carbendazim </w:t>
      </w:r>
      <w:bookmarkStart w:id="18" w:name="_Hlk203857325"/>
      <w:r w:rsidRPr="006B1172">
        <w:rPr>
          <w:rFonts w:ascii="Arial" w:hAnsi="Arial" w:cs="Arial"/>
          <w:color w:val="000000"/>
          <w:lang w:eastAsia="en-IN"/>
        </w:rPr>
        <w:t xml:space="preserve">50 % WP </w:t>
      </w:r>
      <w:bookmarkStart w:id="19" w:name="_Hlk203472886"/>
      <w:bookmarkEnd w:id="18"/>
      <w:r w:rsidRPr="006B1172">
        <w:rPr>
          <w:rFonts w:ascii="Arial" w:hAnsi="Arial" w:cs="Arial"/>
          <w:color w:val="000000"/>
          <w:lang w:eastAsia="en-IN"/>
        </w:rPr>
        <w:t xml:space="preserve">were found to be effective fungicides against </w:t>
      </w:r>
      <w:r w:rsidRPr="006B1172">
        <w:rPr>
          <w:rFonts w:ascii="Arial" w:hAnsi="Arial" w:cs="Arial"/>
          <w:i/>
          <w:iCs/>
          <w:color w:val="000000"/>
          <w:lang w:eastAsia="en-IN"/>
        </w:rPr>
        <w:t>A. helianthi</w:t>
      </w:r>
      <w:r w:rsidRPr="006B1172">
        <w:rPr>
          <w:rFonts w:ascii="Arial" w:hAnsi="Arial" w:cs="Arial"/>
          <w:color w:val="000000"/>
          <w:lang w:eastAsia="en-IN"/>
        </w:rPr>
        <w:t>.</w:t>
      </w:r>
      <w:r w:rsidRPr="006B1172">
        <w:rPr>
          <w:rFonts w:ascii="Arial" w:hAnsi="Arial" w:cs="Arial"/>
        </w:rPr>
        <w:t xml:space="preserve"> </w:t>
      </w:r>
      <w:bookmarkEnd w:id="19"/>
      <w:r w:rsidR="006B1172" w:rsidRPr="006B1172">
        <w:rPr>
          <w:rFonts w:ascii="Arial" w:hAnsi="Arial" w:cs="Arial"/>
          <w:color w:val="000000"/>
          <w:lang w:eastAsia="en-IN"/>
        </w:rPr>
        <w:t xml:space="preserve">such as Mahadevaswamy </w:t>
      </w:r>
      <w:r w:rsidR="006B1172" w:rsidRPr="006B1172">
        <w:rPr>
          <w:rFonts w:ascii="Arial" w:hAnsi="Arial" w:cs="Arial"/>
          <w:i/>
          <w:iCs/>
          <w:color w:val="000000"/>
          <w:lang w:eastAsia="en-IN"/>
        </w:rPr>
        <w:t>et al.,</w:t>
      </w:r>
      <w:r w:rsidR="006B1172" w:rsidRPr="006B1172">
        <w:rPr>
          <w:rFonts w:ascii="Arial" w:hAnsi="Arial" w:cs="Arial"/>
          <w:color w:val="000000"/>
          <w:lang w:eastAsia="en-IN"/>
        </w:rPr>
        <w:t xml:space="preserve"> (2019), Usha </w:t>
      </w:r>
      <w:r w:rsidR="006B1172" w:rsidRPr="006B1172">
        <w:rPr>
          <w:rFonts w:ascii="Arial" w:hAnsi="Arial" w:cs="Arial"/>
          <w:i/>
          <w:iCs/>
          <w:color w:val="000000"/>
          <w:lang w:eastAsia="en-IN"/>
        </w:rPr>
        <w:t>et al.,</w:t>
      </w:r>
      <w:r w:rsidR="006B1172" w:rsidRPr="006B1172">
        <w:rPr>
          <w:rFonts w:ascii="Arial" w:hAnsi="Arial" w:cs="Arial"/>
          <w:color w:val="000000"/>
          <w:lang w:eastAsia="en-IN"/>
        </w:rPr>
        <w:t xml:space="preserve"> (2019) and Athira (2017).</w:t>
      </w:r>
    </w:p>
    <w:p w14:paraId="45BA147A" w14:textId="77777777" w:rsidR="006B1172" w:rsidRDefault="006B1172" w:rsidP="007237D8">
      <w:pPr>
        <w:spacing w:line="360" w:lineRule="auto"/>
        <w:jc w:val="both"/>
        <w:rPr>
          <w:rFonts w:ascii="Times New Roman" w:hAnsi="Times New Roman"/>
          <w:sz w:val="24"/>
          <w:szCs w:val="24"/>
        </w:rPr>
      </w:pPr>
    </w:p>
    <w:p w14:paraId="2B5FD564" w14:textId="77777777" w:rsidR="006B1172" w:rsidRDefault="006B1172" w:rsidP="007237D8">
      <w:pPr>
        <w:spacing w:line="360" w:lineRule="auto"/>
        <w:jc w:val="both"/>
        <w:rPr>
          <w:rFonts w:ascii="Times New Roman" w:hAnsi="Times New Roman"/>
          <w:sz w:val="24"/>
          <w:szCs w:val="24"/>
        </w:rPr>
      </w:pPr>
    </w:p>
    <w:p w14:paraId="13AA2158" w14:textId="77777777" w:rsidR="006B1172" w:rsidRDefault="006B1172" w:rsidP="007237D8">
      <w:pPr>
        <w:spacing w:line="360" w:lineRule="auto"/>
        <w:jc w:val="both"/>
        <w:rPr>
          <w:rFonts w:ascii="Times New Roman" w:hAnsi="Times New Roman"/>
          <w:sz w:val="24"/>
          <w:szCs w:val="24"/>
        </w:rPr>
      </w:pPr>
    </w:p>
    <w:p w14:paraId="33999EB2" w14:textId="77777777" w:rsidR="006B1172" w:rsidRDefault="006B1172" w:rsidP="007237D8">
      <w:pPr>
        <w:spacing w:line="360" w:lineRule="auto"/>
        <w:jc w:val="both"/>
        <w:rPr>
          <w:rFonts w:ascii="Times New Roman" w:hAnsi="Times New Roman"/>
          <w:sz w:val="24"/>
          <w:szCs w:val="24"/>
        </w:rPr>
      </w:pPr>
    </w:p>
    <w:p w14:paraId="0DE2E7CA" w14:textId="70F59754" w:rsidR="00AA774B" w:rsidRPr="007237D8" w:rsidRDefault="00E50AB3" w:rsidP="007237D8">
      <w:pPr>
        <w:spacing w:line="360" w:lineRule="auto"/>
        <w:jc w:val="both"/>
        <w:rPr>
          <w:rFonts w:ascii="Times New Roman" w:hAnsi="Times New Roman"/>
          <w:color w:val="000000"/>
          <w:sz w:val="24"/>
          <w:szCs w:val="24"/>
          <w:lang w:eastAsia="en-IN"/>
        </w:rPr>
      </w:pPr>
      <w:r>
        <w:rPr>
          <w:rFonts w:ascii="Arial" w:hAnsi="Arial" w:cs="Arial"/>
          <w:b/>
          <w:bCs/>
        </w:rPr>
        <w:t xml:space="preserve">Table </w:t>
      </w:r>
      <w:r w:rsidR="00C27784">
        <w:rPr>
          <w:rFonts w:ascii="Arial" w:hAnsi="Arial" w:cs="Arial"/>
          <w:b/>
          <w:bCs/>
        </w:rPr>
        <w:t>3</w:t>
      </w:r>
      <w:r>
        <w:rPr>
          <w:rFonts w:ascii="Arial" w:hAnsi="Arial" w:cs="Arial"/>
          <w:b/>
          <w:bCs/>
        </w:rPr>
        <w:t xml:space="preserve">: </w:t>
      </w:r>
      <w:r w:rsidR="00AA774B" w:rsidRPr="000A51A6">
        <w:rPr>
          <w:rFonts w:ascii="Arial" w:hAnsi="Arial" w:cs="Arial"/>
          <w:b/>
          <w:bCs/>
          <w:i/>
          <w:iCs/>
        </w:rPr>
        <w:t>In vitro</w:t>
      </w:r>
      <w:r w:rsidR="00AA774B" w:rsidRPr="000A51A6">
        <w:rPr>
          <w:rFonts w:ascii="Arial" w:hAnsi="Arial" w:cs="Arial"/>
          <w:b/>
          <w:bCs/>
        </w:rPr>
        <w:t xml:space="preserve"> evaluation of systemic fungicides against </w:t>
      </w:r>
      <w:r w:rsidR="007237D8">
        <w:rPr>
          <w:rFonts w:ascii="Arial" w:hAnsi="Arial" w:cs="Arial"/>
          <w:b/>
          <w:bCs/>
          <w:i/>
          <w:iCs/>
        </w:rPr>
        <w:t>Alternariaster helianthi</w:t>
      </w:r>
      <w:r w:rsidR="00AA774B" w:rsidRPr="000A51A6">
        <w:rPr>
          <w:rFonts w:ascii="Arial" w:hAnsi="Arial" w:cs="Arial"/>
          <w:b/>
          <w:bCs/>
        </w:rPr>
        <w:t xml:space="preserve"> </w:t>
      </w:r>
    </w:p>
    <w:tbl>
      <w:tblPr>
        <w:tblStyle w:val="TableGrid"/>
        <w:tblW w:w="8370" w:type="dxa"/>
        <w:tblInd w:w="108" w:type="dxa"/>
        <w:tblLayout w:type="fixed"/>
        <w:tblLook w:val="04A0" w:firstRow="1" w:lastRow="0" w:firstColumn="1" w:lastColumn="0" w:noHBand="0" w:noVBand="1"/>
      </w:tblPr>
      <w:tblGrid>
        <w:gridCol w:w="570"/>
        <w:gridCol w:w="2130"/>
        <w:gridCol w:w="810"/>
        <w:gridCol w:w="810"/>
        <w:gridCol w:w="810"/>
        <w:gridCol w:w="990"/>
        <w:gridCol w:w="990"/>
        <w:gridCol w:w="1260"/>
      </w:tblGrid>
      <w:tr w:rsidR="00AA774B" w:rsidRPr="00E320C7" w14:paraId="30372B54" w14:textId="77777777" w:rsidTr="00B31FBC">
        <w:tc>
          <w:tcPr>
            <w:tcW w:w="570" w:type="dxa"/>
            <w:vMerge w:val="restart"/>
            <w:vAlign w:val="center"/>
          </w:tcPr>
          <w:p w14:paraId="54E2F265" w14:textId="77777777" w:rsidR="00AA774B" w:rsidRPr="00E320C7" w:rsidRDefault="00AA774B" w:rsidP="005342B5">
            <w:pPr>
              <w:jc w:val="center"/>
              <w:outlineLvl w:val="1"/>
              <w:rPr>
                <w:rFonts w:ascii="Arial" w:hAnsi="Arial" w:cs="Arial"/>
                <w:b/>
                <w:bCs/>
                <w:sz w:val="20"/>
                <w:szCs w:val="20"/>
              </w:rPr>
            </w:pPr>
            <w:r w:rsidRPr="00E320C7">
              <w:rPr>
                <w:rFonts w:ascii="Arial" w:hAnsi="Arial" w:cs="Arial"/>
                <w:b/>
                <w:bCs/>
                <w:sz w:val="20"/>
                <w:szCs w:val="20"/>
              </w:rPr>
              <w:t>Tr. No.</w:t>
            </w:r>
          </w:p>
        </w:tc>
        <w:tc>
          <w:tcPr>
            <w:tcW w:w="2130" w:type="dxa"/>
            <w:vMerge w:val="restart"/>
            <w:vAlign w:val="center"/>
          </w:tcPr>
          <w:p w14:paraId="2179E782" w14:textId="77777777" w:rsidR="00AA774B" w:rsidRPr="00E320C7" w:rsidRDefault="00AA774B" w:rsidP="005342B5">
            <w:pPr>
              <w:jc w:val="center"/>
              <w:outlineLvl w:val="1"/>
              <w:rPr>
                <w:rFonts w:ascii="Arial" w:hAnsi="Arial" w:cs="Arial"/>
                <w:b/>
                <w:bCs/>
                <w:sz w:val="20"/>
                <w:szCs w:val="20"/>
              </w:rPr>
            </w:pPr>
            <w:r w:rsidRPr="00E320C7">
              <w:rPr>
                <w:rFonts w:ascii="Arial" w:hAnsi="Arial" w:cs="Arial"/>
                <w:b/>
                <w:bCs/>
                <w:sz w:val="20"/>
                <w:szCs w:val="20"/>
              </w:rPr>
              <w:t>Treatments</w:t>
            </w:r>
          </w:p>
        </w:tc>
        <w:tc>
          <w:tcPr>
            <w:tcW w:w="1620" w:type="dxa"/>
            <w:gridSpan w:val="2"/>
            <w:vAlign w:val="center"/>
          </w:tcPr>
          <w:p w14:paraId="5CB31F65" w14:textId="77777777" w:rsidR="00AA774B" w:rsidRPr="00E320C7" w:rsidRDefault="00AA774B" w:rsidP="005342B5">
            <w:pPr>
              <w:jc w:val="center"/>
              <w:outlineLvl w:val="1"/>
              <w:rPr>
                <w:rFonts w:ascii="Arial" w:hAnsi="Arial" w:cs="Arial"/>
                <w:b/>
                <w:bCs/>
                <w:sz w:val="20"/>
                <w:szCs w:val="20"/>
              </w:rPr>
            </w:pPr>
            <w:r w:rsidRPr="00E320C7">
              <w:rPr>
                <w:rFonts w:ascii="Arial" w:hAnsi="Arial" w:cs="Arial"/>
                <w:b/>
                <w:bCs/>
                <w:sz w:val="20"/>
                <w:szCs w:val="20"/>
              </w:rPr>
              <w:t>Colony Dia. (mm)*</w:t>
            </w:r>
          </w:p>
          <w:p w14:paraId="5EC8563B" w14:textId="77777777" w:rsidR="00AA774B" w:rsidRPr="00E320C7" w:rsidRDefault="00AA774B" w:rsidP="005342B5">
            <w:pPr>
              <w:jc w:val="center"/>
              <w:outlineLvl w:val="1"/>
              <w:rPr>
                <w:rFonts w:ascii="Arial" w:hAnsi="Arial" w:cs="Arial"/>
                <w:b/>
                <w:bCs/>
                <w:sz w:val="20"/>
                <w:szCs w:val="20"/>
              </w:rPr>
            </w:pPr>
            <w:r w:rsidRPr="00E320C7">
              <w:rPr>
                <w:rFonts w:ascii="Arial" w:hAnsi="Arial" w:cs="Arial"/>
                <w:b/>
                <w:bCs/>
                <w:sz w:val="20"/>
                <w:szCs w:val="20"/>
              </w:rPr>
              <w:t>at ppm</w:t>
            </w:r>
          </w:p>
        </w:tc>
        <w:tc>
          <w:tcPr>
            <w:tcW w:w="810" w:type="dxa"/>
            <w:vMerge w:val="restart"/>
            <w:vAlign w:val="center"/>
          </w:tcPr>
          <w:p w14:paraId="46A10EE4" w14:textId="77777777" w:rsidR="00AA774B" w:rsidRPr="00E320C7" w:rsidRDefault="00AA774B" w:rsidP="005342B5">
            <w:pPr>
              <w:jc w:val="center"/>
              <w:outlineLvl w:val="1"/>
              <w:rPr>
                <w:rFonts w:ascii="Arial" w:hAnsi="Arial" w:cs="Arial"/>
                <w:b/>
                <w:bCs/>
                <w:sz w:val="20"/>
                <w:szCs w:val="20"/>
              </w:rPr>
            </w:pPr>
            <w:r w:rsidRPr="00E320C7">
              <w:rPr>
                <w:rFonts w:ascii="Arial" w:hAnsi="Arial" w:cs="Arial"/>
                <w:b/>
                <w:bCs/>
                <w:sz w:val="20"/>
                <w:szCs w:val="20"/>
              </w:rPr>
              <w:t>Avg.</w:t>
            </w:r>
          </w:p>
          <w:p w14:paraId="2BC52B87" w14:textId="77777777" w:rsidR="00AA774B" w:rsidRPr="00E320C7" w:rsidRDefault="00AA774B" w:rsidP="005342B5">
            <w:pPr>
              <w:jc w:val="center"/>
              <w:outlineLvl w:val="1"/>
              <w:rPr>
                <w:rFonts w:ascii="Arial" w:hAnsi="Arial" w:cs="Arial"/>
                <w:b/>
                <w:bCs/>
                <w:sz w:val="20"/>
                <w:szCs w:val="20"/>
              </w:rPr>
            </w:pPr>
            <w:r w:rsidRPr="00E320C7">
              <w:rPr>
                <w:rFonts w:ascii="Arial" w:hAnsi="Arial" w:cs="Arial"/>
                <w:b/>
                <w:bCs/>
                <w:sz w:val="20"/>
                <w:szCs w:val="20"/>
              </w:rPr>
              <w:t>(mm)</w:t>
            </w:r>
          </w:p>
        </w:tc>
        <w:tc>
          <w:tcPr>
            <w:tcW w:w="1980" w:type="dxa"/>
            <w:gridSpan w:val="2"/>
            <w:vAlign w:val="center"/>
          </w:tcPr>
          <w:p w14:paraId="4623A6B2" w14:textId="77777777" w:rsidR="00AA774B" w:rsidRPr="00E320C7" w:rsidRDefault="00AA774B" w:rsidP="005342B5">
            <w:pPr>
              <w:jc w:val="center"/>
              <w:outlineLvl w:val="1"/>
              <w:rPr>
                <w:rFonts w:ascii="Arial" w:hAnsi="Arial" w:cs="Arial"/>
                <w:b/>
                <w:bCs/>
                <w:sz w:val="20"/>
                <w:szCs w:val="20"/>
              </w:rPr>
            </w:pPr>
            <w:r w:rsidRPr="00E320C7">
              <w:rPr>
                <w:rFonts w:ascii="Arial" w:hAnsi="Arial" w:cs="Arial"/>
                <w:b/>
                <w:bCs/>
                <w:sz w:val="20"/>
                <w:szCs w:val="20"/>
              </w:rPr>
              <w:t xml:space="preserve">% Inhibition* </w:t>
            </w:r>
          </w:p>
          <w:p w14:paraId="60BECD88" w14:textId="77777777" w:rsidR="00AA774B" w:rsidRPr="00E320C7" w:rsidRDefault="00AA774B" w:rsidP="005342B5">
            <w:pPr>
              <w:jc w:val="center"/>
              <w:outlineLvl w:val="1"/>
              <w:rPr>
                <w:rFonts w:ascii="Arial" w:hAnsi="Arial" w:cs="Arial"/>
                <w:b/>
                <w:bCs/>
                <w:sz w:val="20"/>
                <w:szCs w:val="20"/>
              </w:rPr>
            </w:pPr>
            <w:r w:rsidRPr="00E320C7">
              <w:rPr>
                <w:rFonts w:ascii="Arial" w:hAnsi="Arial" w:cs="Arial"/>
                <w:b/>
                <w:bCs/>
                <w:sz w:val="20"/>
                <w:szCs w:val="20"/>
              </w:rPr>
              <w:t>at ppm</w:t>
            </w:r>
          </w:p>
        </w:tc>
        <w:tc>
          <w:tcPr>
            <w:tcW w:w="1260" w:type="dxa"/>
            <w:vMerge w:val="restart"/>
            <w:vAlign w:val="center"/>
          </w:tcPr>
          <w:p w14:paraId="12DFD691" w14:textId="77777777" w:rsidR="00AA774B" w:rsidRPr="00E320C7" w:rsidRDefault="00AA774B" w:rsidP="005342B5">
            <w:pPr>
              <w:jc w:val="center"/>
              <w:outlineLvl w:val="1"/>
              <w:rPr>
                <w:rFonts w:ascii="Arial" w:hAnsi="Arial" w:cs="Arial"/>
                <w:b/>
                <w:bCs/>
                <w:sz w:val="20"/>
                <w:szCs w:val="20"/>
              </w:rPr>
            </w:pPr>
            <w:r w:rsidRPr="00E320C7">
              <w:rPr>
                <w:rFonts w:ascii="Arial" w:hAnsi="Arial" w:cs="Arial"/>
                <w:b/>
                <w:bCs/>
                <w:sz w:val="20"/>
                <w:szCs w:val="20"/>
              </w:rPr>
              <w:t>Avg. % Inhibition</w:t>
            </w:r>
          </w:p>
        </w:tc>
      </w:tr>
      <w:tr w:rsidR="00AA774B" w:rsidRPr="00E320C7" w14:paraId="22C42270" w14:textId="77777777" w:rsidTr="000A51A6">
        <w:trPr>
          <w:trHeight w:val="368"/>
        </w:trPr>
        <w:tc>
          <w:tcPr>
            <w:tcW w:w="570" w:type="dxa"/>
            <w:vMerge/>
          </w:tcPr>
          <w:p w14:paraId="4F860743" w14:textId="77777777" w:rsidR="00AA774B" w:rsidRPr="00E320C7" w:rsidRDefault="00AA774B" w:rsidP="005342B5">
            <w:pPr>
              <w:spacing w:before="120"/>
              <w:jc w:val="both"/>
              <w:outlineLvl w:val="1"/>
              <w:rPr>
                <w:rFonts w:ascii="Arial" w:hAnsi="Arial" w:cs="Arial"/>
                <w:b/>
                <w:bCs/>
                <w:sz w:val="20"/>
                <w:szCs w:val="20"/>
              </w:rPr>
            </w:pPr>
          </w:p>
        </w:tc>
        <w:tc>
          <w:tcPr>
            <w:tcW w:w="2130" w:type="dxa"/>
            <w:vMerge/>
          </w:tcPr>
          <w:p w14:paraId="63D175B2" w14:textId="77777777" w:rsidR="00AA774B" w:rsidRPr="00E320C7" w:rsidRDefault="00AA774B" w:rsidP="005342B5">
            <w:pPr>
              <w:spacing w:before="120"/>
              <w:jc w:val="both"/>
              <w:outlineLvl w:val="1"/>
              <w:rPr>
                <w:rFonts w:ascii="Arial" w:hAnsi="Arial" w:cs="Arial"/>
                <w:b/>
                <w:bCs/>
                <w:sz w:val="20"/>
                <w:szCs w:val="20"/>
              </w:rPr>
            </w:pPr>
          </w:p>
        </w:tc>
        <w:tc>
          <w:tcPr>
            <w:tcW w:w="810" w:type="dxa"/>
          </w:tcPr>
          <w:p w14:paraId="759D1E21" w14:textId="77777777" w:rsidR="00AA774B" w:rsidRPr="00E320C7" w:rsidRDefault="00AA774B" w:rsidP="005342B5">
            <w:pPr>
              <w:spacing w:before="120"/>
              <w:jc w:val="center"/>
              <w:outlineLvl w:val="1"/>
              <w:rPr>
                <w:rFonts w:ascii="Arial" w:hAnsi="Arial" w:cs="Arial"/>
                <w:b/>
                <w:bCs/>
                <w:sz w:val="20"/>
                <w:szCs w:val="20"/>
              </w:rPr>
            </w:pPr>
            <w:r w:rsidRPr="00E320C7">
              <w:rPr>
                <w:rFonts w:ascii="Arial" w:hAnsi="Arial" w:cs="Arial"/>
                <w:b/>
                <w:bCs/>
                <w:sz w:val="20"/>
                <w:szCs w:val="20"/>
              </w:rPr>
              <w:t>500</w:t>
            </w:r>
          </w:p>
        </w:tc>
        <w:tc>
          <w:tcPr>
            <w:tcW w:w="810" w:type="dxa"/>
          </w:tcPr>
          <w:p w14:paraId="2799CA7B" w14:textId="77777777" w:rsidR="00AA774B" w:rsidRPr="00E320C7" w:rsidRDefault="00AA774B" w:rsidP="005342B5">
            <w:pPr>
              <w:spacing w:before="120"/>
              <w:jc w:val="both"/>
              <w:outlineLvl w:val="1"/>
              <w:rPr>
                <w:rFonts w:ascii="Arial" w:hAnsi="Arial" w:cs="Arial"/>
                <w:b/>
                <w:bCs/>
                <w:sz w:val="20"/>
                <w:szCs w:val="20"/>
              </w:rPr>
            </w:pPr>
            <w:r w:rsidRPr="00E320C7">
              <w:rPr>
                <w:rFonts w:ascii="Arial" w:hAnsi="Arial" w:cs="Arial"/>
                <w:b/>
                <w:bCs/>
                <w:sz w:val="20"/>
                <w:szCs w:val="20"/>
              </w:rPr>
              <w:t>1000</w:t>
            </w:r>
          </w:p>
        </w:tc>
        <w:tc>
          <w:tcPr>
            <w:tcW w:w="810" w:type="dxa"/>
            <w:vMerge/>
          </w:tcPr>
          <w:p w14:paraId="51F99923" w14:textId="77777777" w:rsidR="00AA774B" w:rsidRPr="00E320C7" w:rsidRDefault="00AA774B" w:rsidP="005342B5">
            <w:pPr>
              <w:spacing w:before="120"/>
              <w:jc w:val="both"/>
              <w:outlineLvl w:val="1"/>
              <w:rPr>
                <w:rFonts w:ascii="Arial" w:hAnsi="Arial" w:cs="Arial"/>
                <w:b/>
                <w:bCs/>
                <w:sz w:val="20"/>
                <w:szCs w:val="20"/>
              </w:rPr>
            </w:pPr>
          </w:p>
        </w:tc>
        <w:tc>
          <w:tcPr>
            <w:tcW w:w="990" w:type="dxa"/>
          </w:tcPr>
          <w:p w14:paraId="6F74C65A" w14:textId="77777777" w:rsidR="00AA774B" w:rsidRPr="00E320C7" w:rsidRDefault="00AA774B" w:rsidP="005342B5">
            <w:pPr>
              <w:spacing w:before="120"/>
              <w:jc w:val="both"/>
              <w:outlineLvl w:val="1"/>
              <w:rPr>
                <w:rFonts w:ascii="Arial" w:hAnsi="Arial" w:cs="Arial"/>
                <w:b/>
                <w:bCs/>
                <w:sz w:val="20"/>
                <w:szCs w:val="20"/>
              </w:rPr>
            </w:pPr>
            <w:r w:rsidRPr="00E320C7">
              <w:rPr>
                <w:rFonts w:ascii="Arial" w:hAnsi="Arial" w:cs="Arial"/>
                <w:b/>
                <w:bCs/>
                <w:sz w:val="20"/>
                <w:szCs w:val="20"/>
              </w:rPr>
              <w:t>500</w:t>
            </w:r>
          </w:p>
        </w:tc>
        <w:tc>
          <w:tcPr>
            <w:tcW w:w="990" w:type="dxa"/>
          </w:tcPr>
          <w:p w14:paraId="6DEA6773" w14:textId="77777777" w:rsidR="00AA774B" w:rsidRPr="00E320C7" w:rsidRDefault="00AA774B" w:rsidP="005342B5">
            <w:pPr>
              <w:spacing w:before="120"/>
              <w:jc w:val="both"/>
              <w:outlineLvl w:val="1"/>
              <w:rPr>
                <w:rFonts w:ascii="Arial" w:hAnsi="Arial" w:cs="Arial"/>
                <w:b/>
                <w:bCs/>
                <w:sz w:val="20"/>
                <w:szCs w:val="20"/>
              </w:rPr>
            </w:pPr>
            <w:r w:rsidRPr="00E320C7">
              <w:rPr>
                <w:rFonts w:ascii="Arial" w:hAnsi="Arial" w:cs="Arial"/>
                <w:b/>
                <w:bCs/>
                <w:sz w:val="20"/>
                <w:szCs w:val="20"/>
              </w:rPr>
              <w:t>1000</w:t>
            </w:r>
          </w:p>
        </w:tc>
        <w:tc>
          <w:tcPr>
            <w:tcW w:w="1260" w:type="dxa"/>
            <w:vMerge/>
          </w:tcPr>
          <w:p w14:paraId="548F9140" w14:textId="77777777" w:rsidR="00AA774B" w:rsidRPr="00E320C7" w:rsidRDefault="00AA774B" w:rsidP="005342B5">
            <w:pPr>
              <w:spacing w:before="120"/>
              <w:jc w:val="both"/>
              <w:outlineLvl w:val="1"/>
              <w:rPr>
                <w:rFonts w:ascii="Arial" w:hAnsi="Arial" w:cs="Arial"/>
                <w:sz w:val="20"/>
                <w:szCs w:val="20"/>
              </w:rPr>
            </w:pPr>
          </w:p>
        </w:tc>
      </w:tr>
      <w:tr w:rsidR="007237D8" w:rsidRPr="00E320C7" w14:paraId="2C983F0D" w14:textId="77777777" w:rsidTr="006B35A7">
        <w:trPr>
          <w:trHeight w:val="800"/>
        </w:trPr>
        <w:tc>
          <w:tcPr>
            <w:tcW w:w="570" w:type="dxa"/>
          </w:tcPr>
          <w:p w14:paraId="5969E286" w14:textId="77777777" w:rsidR="007237D8" w:rsidRPr="00E320C7" w:rsidRDefault="007237D8" w:rsidP="005342B5">
            <w:pPr>
              <w:spacing w:before="120" w:after="120"/>
              <w:jc w:val="both"/>
              <w:outlineLvl w:val="1"/>
              <w:rPr>
                <w:rFonts w:ascii="Arial" w:hAnsi="Arial" w:cs="Arial"/>
                <w:b/>
                <w:bCs/>
                <w:sz w:val="20"/>
                <w:szCs w:val="20"/>
              </w:rPr>
            </w:pPr>
            <w:r w:rsidRPr="00E320C7">
              <w:rPr>
                <w:rFonts w:ascii="Arial" w:hAnsi="Arial" w:cs="Arial"/>
                <w:b/>
                <w:bCs/>
                <w:sz w:val="20"/>
                <w:szCs w:val="20"/>
              </w:rPr>
              <w:t>T</w:t>
            </w:r>
            <w:r w:rsidRPr="00E320C7">
              <w:rPr>
                <w:rFonts w:ascii="Arial" w:hAnsi="Arial" w:cs="Arial"/>
                <w:b/>
                <w:bCs/>
                <w:sz w:val="20"/>
                <w:szCs w:val="20"/>
                <w:vertAlign w:val="subscript"/>
              </w:rPr>
              <w:t>1</w:t>
            </w:r>
          </w:p>
        </w:tc>
        <w:tc>
          <w:tcPr>
            <w:tcW w:w="2130" w:type="dxa"/>
          </w:tcPr>
          <w:p w14:paraId="261EE26C" w14:textId="77777777" w:rsidR="007237D8" w:rsidRPr="00E320C7" w:rsidRDefault="007237D8" w:rsidP="005342B5">
            <w:pPr>
              <w:spacing w:after="26"/>
              <w:ind w:right="16"/>
              <w:jc w:val="center"/>
              <w:rPr>
                <w:rFonts w:ascii="Arial" w:hAnsi="Arial" w:cs="Arial"/>
                <w:color w:val="000000"/>
                <w:sz w:val="20"/>
                <w:szCs w:val="20"/>
              </w:rPr>
            </w:pPr>
            <w:r w:rsidRPr="00E320C7">
              <w:rPr>
                <w:rFonts w:ascii="Arial" w:hAnsi="Arial" w:cs="Arial"/>
                <w:color w:val="000000"/>
                <w:sz w:val="20"/>
                <w:szCs w:val="20"/>
              </w:rPr>
              <w:t>Propiconazole</w:t>
            </w:r>
          </w:p>
          <w:p w14:paraId="4E242597" w14:textId="0506087D" w:rsidR="007237D8" w:rsidRPr="00E320C7" w:rsidRDefault="005342B5" w:rsidP="005342B5">
            <w:pPr>
              <w:pStyle w:val="TableParagraph"/>
              <w:ind w:left="112"/>
              <w:rPr>
                <w:rFonts w:ascii="Arial" w:hAnsi="Arial" w:cs="Arial"/>
                <w:sz w:val="20"/>
                <w:szCs w:val="20"/>
              </w:rPr>
            </w:pPr>
            <w:r w:rsidRPr="00E320C7">
              <w:rPr>
                <w:rFonts w:ascii="Arial" w:hAnsi="Arial" w:cs="Arial"/>
                <w:color w:val="000000"/>
                <w:sz w:val="20"/>
                <w:szCs w:val="20"/>
              </w:rPr>
              <w:t xml:space="preserve">        </w:t>
            </w:r>
            <w:r w:rsidR="007237D8" w:rsidRPr="00E320C7">
              <w:rPr>
                <w:rFonts w:ascii="Arial" w:hAnsi="Arial" w:cs="Arial"/>
                <w:color w:val="000000"/>
                <w:sz w:val="20"/>
                <w:szCs w:val="20"/>
              </w:rPr>
              <w:t>25 % EC</w:t>
            </w:r>
          </w:p>
        </w:tc>
        <w:tc>
          <w:tcPr>
            <w:tcW w:w="810" w:type="dxa"/>
            <w:vAlign w:val="center"/>
          </w:tcPr>
          <w:p w14:paraId="5BC2F5CF" w14:textId="1D05A1D6" w:rsidR="007237D8" w:rsidRPr="00E320C7" w:rsidRDefault="007237D8" w:rsidP="005342B5">
            <w:pPr>
              <w:spacing w:before="120" w:after="120"/>
              <w:jc w:val="center"/>
              <w:outlineLvl w:val="1"/>
              <w:rPr>
                <w:rFonts w:ascii="Arial" w:hAnsi="Arial" w:cs="Arial"/>
                <w:sz w:val="20"/>
                <w:szCs w:val="20"/>
              </w:rPr>
            </w:pPr>
            <w:r w:rsidRPr="00E320C7">
              <w:rPr>
                <w:rFonts w:ascii="Arial" w:hAnsi="Arial" w:cs="Arial"/>
                <w:color w:val="000000"/>
                <w:sz w:val="20"/>
                <w:szCs w:val="20"/>
              </w:rPr>
              <w:t>00.00</w:t>
            </w:r>
          </w:p>
        </w:tc>
        <w:tc>
          <w:tcPr>
            <w:tcW w:w="810" w:type="dxa"/>
            <w:vAlign w:val="center"/>
          </w:tcPr>
          <w:p w14:paraId="615CEBE0" w14:textId="7C1E4A02" w:rsidR="007237D8" w:rsidRPr="00E320C7" w:rsidRDefault="007237D8" w:rsidP="005342B5">
            <w:pPr>
              <w:spacing w:before="120" w:after="120"/>
              <w:outlineLvl w:val="1"/>
              <w:rPr>
                <w:rFonts w:ascii="Arial" w:hAnsi="Arial" w:cs="Arial"/>
                <w:sz w:val="20"/>
                <w:szCs w:val="20"/>
              </w:rPr>
            </w:pPr>
            <w:r w:rsidRPr="00E320C7">
              <w:rPr>
                <w:rFonts w:ascii="Arial" w:hAnsi="Arial" w:cs="Arial"/>
                <w:color w:val="000000"/>
                <w:sz w:val="20"/>
                <w:szCs w:val="20"/>
              </w:rPr>
              <w:t>00.00</w:t>
            </w:r>
          </w:p>
        </w:tc>
        <w:tc>
          <w:tcPr>
            <w:tcW w:w="810" w:type="dxa"/>
            <w:vAlign w:val="center"/>
          </w:tcPr>
          <w:p w14:paraId="44D1DCDF" w14:textId="310A2291" w:rsidR="007237D8" w:rsidRPr="00E320C7" w:rsidRDefault="007237D8" w:rsidP="005342B5">
            <w:pPr>
              <w:spacing w:before="120" w:after="120"/>
              <w:jc w:val="center"/>
              <w:outlineLvl w:val="1"/>
              <w:rPr>
                <w:rFonts w:ascii="Arial" w:hAnsi="Arial" w:cs="Arial"/>
                <w:sz w:val="20"/>
                <w:szCs w:val="20"/>
              </w:rPr>
            </w:pPr>
            <w:r w:rsidRPr="00E320C7">
              <w:rPr>
                <w:rFonts w:ascii="Arial" w:hAnsi="Arial" w:cs="Arial"/>
                <w:sz w:val="20"/>
                <w:szCs w:val="20"/>
              </w:rPr>
              <w:t>00.00</w:t>
            </w:r>
          </w:p>
        </w:tc>
        <w:tc>
          <w:tcPr>
            <w:tcW w:w="990" w:type="dxa"/>
            <w:vAlign w:val="center"/>
          </w:tcPr>
          <w:p w14:paraId="177B3CAA" w14:textId="59F77B15" w:rsidR="006B35A7" w:rsidRDefault="007237D8" w:rsidP="006B35A7">
            <w:pPr>
              <w:jc w:val="center"/>
              <w:rPr>
                <w:rFonts w:ascii="Arial" w:hAnsi="Arial" w:cs="Arial"/>
                <w:sz w:val="20"/>
                <w:szCs w:val="20"/>
              </w:rPr>
            </w:pPr>
            <w:r w:rsidRPr="00E320C7">
              <w:rPr>
                <w:rFonts w:ascii="Arial" w:hAnsi="Arial" w:cs="Arial"/>
                <w:sz w:val="20"/>
                <w:szCs w:val="20"/>
              </w:rPr>
              <w:t>100.0</w:t>
            </w:r>
            <w:r w:rsidR="00B667FF">
              <w:rPr>
                <w:rFonts w:ascii="Arial" w:hAnsi="Arial" w:cs="Arial"/>
                <w:sz w:val="20"/>
                <w:szCs w:val="20"/>
              </w:rPr>
              <w:t>0</w:t>
            </w:r>
          </w:p>
          <w:p w14:paraId="755CEBD4" w14:textId="2171C932" w:rsidR="007237D8" w:rsidRPr="00E320C7" w:rsidRDefault="007237D8" w:rsidP="006B35A7">
            <w:pPr>
              <w:jc w:val="center"/>
              <w:rPr>
                <w:rFonts w:ascii="Arial" w:hAnsi="Arial" w:cs="Arial"/>
                <w:sz w:val="20"/>
                <w:szCs w:val="20"/>
              </w:rPr>
            </w:pPr>
            <w:r w:rsidRPr="00E320C7">
              <w:rPr>
                <w:rFonts w:ascii="Arial" w:hAnsi="Arial" w:cs="Arial"/>
                <w:sz w:val="20"/>
                <w:szCs w:val="20"/>
              </w:rPr>
              <w:t>(90.00)</w:t>
            </w:r>
          </w:p>
        </w:tc>
        <w:tc>
          <w:tcPr>
            <w:tcW w:w="990" w:type="dxa"/>
            <w:vAlign w:val="center"/>
          </w:tcPr>
          <w:p w14:paraId="2BF898A4" w14:textId="42FA29EF" w:rsidR="006B35A7" w:rsidRDefault="007237D8" w:rsidP="006B35A7">
            <w:pPr>
              <w:jc w:val="center"/>
              <w:rPr>
                <w:rFonts w:ascii="Arial" w:hAnsi="Arial" w:cs="Arial"/>
                <w:sz w:val="20"/>
                <w:szCs w:val="20"/>
              </w:rPr>
            </w:pPr>
            <w:r w:rsidRPr="00E320C7">
              <w:rPr>
                <w:rFonts w:ascii="Arial" w:hAnsi="Arial" w:cs="Arial"/>
                <w:sz w:val="20"/>
                <w:szCs w:val="20"/>
              </w:rPr>
              <w:t>100.0</w:t>
            </w:r>
            <w:r w:rsidR="006B35A7">
              <w:rPr>
                <w:rFonts w:ascii="Arial" w:hAnsi="Arial" w:cs="Arial"/>
                <w:sz w:val="20"/>
                <w:szCs w:val="20"/>
              </w:rPr>
              <w:t>0</w:t>
            </w:r>
          </w:p>
          <w:p w14:paraId="34C8018E" w14:textId="12279523" w:rsidR="007237D8" w:rsidRPr="006B35A7" w:rsidRDefault="007237D8" w:rsidP="006B35A7">
            <w:pPr>
              <w:jc w:val="center"/>
              <w:rPr>
                <w:rFonts w:ascii="Arial" w:hAnsi="Arial" w:cs="Arial"/>
                <w:sz w:val="20"/>
                <w:szCs w:val="20"/>
              </w:rPr>
            </w:pPr>
            <w:r w:rsidRPr="00E320C7">
              <w:rPr>
                <w:rFonts w:ascii="Arial" w:hAnsi="Arial" w:cs="Arial"/>
                <w:sz w:val="20"/>
                <w:szCs w:val="20"/>
              </w:rPr>
              <w:t>(90.00)</w:t>
            </w:r>
          </w:p>
        </w:tc>
        <w:tc>
          <w:tcPr>
            <w:tcW w:w="1260" w:type="dxa"/>
            <w:vAlign w:val="center"/>
          </w:tcPr>
          <w:p w14:paraId="2FCBA012" w14:textId="5EE55F6E" w:rsidR="006B35A7" w:rsidRDefault="007237D8" w:rsidP="006B35A7">
            <w:pPr>
              <w:jc w:val="center"/>
              <w:rPr>
                <w:rFonts w:ascii="Arial" w:hAnsi="Arial" w:cs="Arial"/>
                <w:sz w:val="20"/>
                <w:szCs w:val="20"/>
              </w:rPr>
            </w:pPr>
            <w:r w:rsidRPr="00E320C7">
              <w:rPr>
                <w:rFonts w:ascii="Arial" w:hAnsi="Arial" w:cs="Arial"/>
                <w:sz w:val="20"/>
                <w:szCs w:val="20"/>
              </w:rPr>
              <w:t>100.00</w:t>
            </w:r>
          </w:p>
          <w:p w14:paraId="60A4C7F7" w14:textId="208AD85A" w:rsidR="007237D8" w:rsidRPr="00E320C7" w:rsidRDefault="007237D8" w:rsidP="006B35A7">
            <w:pPr>
              <w:jc w:val="center"/>
              <w:rPr>
                <w:rFonts w:ascii="Arial" w:hAnsi="Arial" w:cs="Arial"/>
                <w:sz w:val="20"/>
                <w:szCs w:val="20"/>
              </w:rPr>
            </w:pPr>
            <w:r w:rsidRPr="00E320C7">
              <w:rPr>
                <w:rFonts w:ascii="Arial" w:hAnsi="Arial" w:cs="Arial"/>
                <w:sz w:val="20"/>
                <w:szCs w:val="20"/>
              </w:rPr>
              <w:t>(90.00)</w:t>
            </w:r>
          </w:p>
        </w:tc>
      </w:tr>
      <w:tr w:rsidR="007237D8" w:rsidRPr="00E320C7" w14:paraId="3ADA4D0A" w14:textId="77777777" w:rsidTr="006B35A7">
        <w:trPr>
          <w:trHeight w:val="737"/>
        </w:trPr>
        <w:tc>
          <w:tcPr>
            <w:tcW w:w="570" w:type="dxa"/>
          </w:tcPr>
          <w:p w14:paraId="67B793E9" w14:textId="77777777" w:rsidR="007237D8" w:rsidRPr="00E320C7" w:rsidRDefault="007237D8" w:rsidP="005342B5">
            <w:pPr>
              <w:spacing w:before="120"/>
              <w:jc w:val="both"/>
              <w:outlineLvl w:val="1"/>
              <w:rPr>
                <w:rFonts w:ascii="Arial" w:hAnsi="Arial" w:cs="Arial"/>
                <w:b/>
                <w:bCs/>
                <w:sz w:val="20"/>
                <w:szCs w:val="20"/>
              </w:rPr>
            </w:pPr>
            <w:r w:rsidRPr="00E320C7">
              <w:rPr>
                <w:rFonts w:ascii="Arial" w:hAnsi="Arial" w:cs="Arial"/>
                <w:b/>
                <w:bCs/>
                <w:sz w:val="20"/>
                <w:szCs w:val="20"/>
              </w:rPr>
              <w:t>T</w:t>
            </w:r>
            <w:r w:rsidRPr="00E320C7">
              <w:rPr>
                <w:rFonts w:ascii="Arial" w:hAnsi="Arial" w:cs="Arial"/>
                <w:b/>
                <w:bCs/>
                <w:sz w:val="20"/>
                <w:szCs w:val="20"/>
                <w:vertAlign w:val="subscript"/>
              </w:rPr>
              <w:t>2</w:t>
            </w:r>
          </w:p>
        </w:tc>
        <w:tc>
          <w:tcPr>
            <w:tcW w:w="2130" w:type="dxa"/>
          </w:tcPr>
          <w:p w14:paraId="08B248B6" w14:textId="0C51EC0D" w:rsidR="007237D8" w:rsidRPr="00E320C7" w:rsidRDefault="007237D8" w:rsidP="005342B5">
            <w:pPr>
              <w:pStyle w:val="TableParagraph"/>
              <w:spacing w:before="2"/>
              <w:ind w:left="112"/>
              <w:rPr>
                <w:rFonts w:ascii="Arial" w:hAnsi="Arial" w:cs="Arial"/>
                <w:sz w:val="20"/>
                <w:szCs w:val="20"/>
              </w:rPr>
            </w:pPr>
            <w:r w:rsidRPr="00E320C7">
              <w:rPr>
                <w:rFonts w:ascii="Arial" w:hAnsi="Arial" w:cs="Arial"/>
                <w:color w:val="000000"/>
                <w:sz w:val="20"/>
                <w:szCs w:val="20"/>
              </w:rPr>
              <w:t xml:space="preserve">Difenoconazole 25 % </w:t>
            </w:r>
            <w:r w:rsidR="005342B5" w:rsidRPr="00E320C7">
              <w:rPr>
                <w:rFonts w:ascii="Arial" w:hAnsi="Arial" w:cs="Arial"/>
                <w:color w:val="000000"/>
                <w:sz w:val="20"/>
                <w:szCs w:val="20"/>
              </w:rPr>
              <w:t xml:space="preserve">   </w:t>
            </w:r>
            <w:r w:rsidRPr="00E320C7">
              <w:rPr>
                <w:rFonts w:ascii="Arial" w:hAnsi="Arial" w:cs="Arial"/>
                <w:color w:val="000000"/>
                <w:sz w:val="20"/>
                <w:szCs w:val="20"/>
              </w:rPr>
              <w:t>EC</w:t>
            </w:r>
          </w:p>
        </w:tc>
        <w:tc>
          <w:tcPr>
            <w:tcW w:w="810" w:type="dxa"/>
            <w:vAlign w:val="center"/>
          </w:tcPr>
          <w:p w14:paraId="3A9C1348" w14:textId="7975B27D" w:rsidR="007237D8" w:rsidRPr="00E320C7" w:rsidRDefault="007237D8" w:rsidP="005342B5">
            <w:pPr>
              <w:spacing w:before="120"/>
              <w:jc w:val="center"/>
              <w:outlineLvl w:val="1"/>
              <w:rPr>
                <w:rFonts w:ascii="Arial" w:hAnsi="Arial" w:cs="Arial"/>
                <w:sz w:val="20"/>
                <w:szCs w:val="20"/>
              </w:rPr>
            </w:pPr>
            <w:r w:rsidRPr="00E320C7">
              <w:rPr>
                <w:rFonts w:ascii="Arial" w:hAnsi="Arial" w:cs="Arial"/>
                <w:color w:val="000000"/>
                <w:sz w:val="20"/>
                <w:szCs w:val="20"/>
              </w:rPr>
              <w:t>28.00</w:t>
            </w:r>
          </w:p>
        </w:tc>
        <w:tc>
          <w:tcPr>
            <w:tcW w:w="810" w:type="dxa"/>
            <w:vAlign w:val="center"/>
          </w:tcPr>
          <w:p w14:paraId="109C8E98" w14:textId="334D5342" w:rsidR="007237D8" w:rsidRPr="00E320C7" w:rsidRDefault="007237D8" w:rsidP="005342B5">
            <w:pPr>
              <w:spacing w:before="120"/>
              <w:outlineLvl w:val="1"/>
              <w:rPr>
                <w:rFonts w:ascii="Arial" w:hAnsi="Arial" w:cs="Arial"/>
                <w:sz w:val="20"/>
                <w:szCs w:val="20"/>
              </w:rPr>
            </w:pPr>
            <w:r w:rsidRPr="00E320C7">
              <w:rPr>
                <w:rFonts w:ascii="Arial" w:hAnsi="Arial" w:cs="Arial"/>
                <w:color w:val="000000"/>
                <w:sz w:val="20"/>
                <w:szCs w:val="20"/>
              </w:rPr>
              <w:t>23.67</w:t>
            </w:r>
          </w:p>
        </w:tc>
        <w:tc>
          <w:tcPr>
            <w:tcW w:w="810" w:type="dxa"/>
            <w:vAlign w:val="center"/>
          </w:tcPr>
          <w:p w14:paraId="61172419" w14:textId="387FC98B" w:rsidR="007237D8" w:rsidRPr="00E320C7" w:rsidRDefault="007237D8" w:rsidP="005342B5">
            <w:pPr>
              <w:spacing w:before="120"/>
              <w:outlineLvl w:val="1"/>
              <w:rPr>
                <w:rFonts w:ascii="Arial" w:hAnsi="Arial" w:cs="Arial"/>
                <w:sz w:val="20"/>
                <w:szCs w:val="20"/>
              </w:rPr>
            </w:pPr>
            <w:r w:rsidRPr="00E320C7">
              <w:rPr>
                <w:rFonts w:ascii="Arial" w:hAnsi="Arial" w:cs="Arial"/>
                <w:color w:val="000000"/>
                <w:sz w:val="20"/>
                <w:szCs w:val="20"/>
              </w:rPr>
              <w:t>25.83</w:t>
            </w:r>
          </w:p>
        </w:tc>
        <w:tc>
          <w:tcPr>
            <w:tcW w:w="990" w:type="dxa"/>
            <w:vAlign w:val="center"/>
          </w:tcPr>
          <w:p w14:paraId="55DB5048" w14:textId="77777777" w:rsidR="006B35A7" w:rsidRDefault="006B35A7" w:rsidP="006B35A7">
            <w:pPr>
              <w:ind w:right="6"/>
              <w:jc w:val="center"/>
              <w:rPr>
                <w:rFonts w:ascii="Arial" w:hAnsi="Arial" w:cs="Arial"/>
                <w:color w:val="000000"/>
                <w:sz w:val="20"/>
                <w:szCs w:val="20"/>
              </w:rPr>
            </w:pPr>
          </w:p>
          <w:p w14:paraId="1963A6AD" w14:textId="15937AD1" w:rsidR="007237D8" w:rsidRPr="00E320C7" w:rsidRDefault="007237D8" w:rsidP="006B35A7">
            <w:pPr>
              <w:ind w:right="6"/>
              <w:jc w:val="center"/>
              <w:rPr>
                <w:rFonts w:ascii="Arial" w:hAnsi="Arial" w:cs="Arial"/>
                <w:color w:val="000000"/>
                <w:sz w:val="20"/>
                <w:szCs w:val="20"/>
              </w:rPr>
            </w:pPr>
            <w:r w:rsidRPr="00E320C7">
              <w:rPr>
                <w:rFonts w:ascii="Arial" w:hAnsi="Arial" w:cs="Arial"/>
                <w:color w:val="000000"/>
                <w:sz w:val="20"/>
                <w:szCs w:val="20"/>
              </w:rPr>
              <w:t>68.89</w:t>
            </w:r>
          </w:p>
          <w:p w14:paraId="1EFDF1C6" w14:textId="77777777" w:rsidR="007237D8" w:rsidRPr="00E320C7" w:rsidRDefault="007237D8" w:rsidP="006B35A7">
            <w:pPr>
              <w:ind w:right="6"/>
              <w:jc w:val="center"/>
              <w:rPr>
                <w:rFonts w:ascii="Arial" w:hAnsi="Arial" w:cs="Arial"/>
                <w:color w:val="000000"/>
                <w:sz w:val="20"/>
                <w:szCs w:val="20"/>
              </w:rPr>
            </w:pPr>
            <w:r w:rsidRPr="00E320C7">
              <w:rPr>
                <w:rFonts w:ascii="Arial" w:hAnsi="Arial" w:cs="Arial"/>
                <w:color w:val="000000"/>
                <w:sz w:val="20"/>
                <w:szCs w:val="20"/>
              </w:rPr>
              <w:t>(56.09)</w:t>
            </w:r>
          </w:p>
          <w:p w14:paraId="184F3451" w14:textId="3FD8DA4A" w:rsidR="007237D8" w:rsidRPr="00E320C7" w:rsidRDefault="007237D8" w:rsidP="006B35A7">
            <w:pPr>
              <w:spacing w:before="120"/>
              <w:outlineLvl w:val="1"/>
              <w:rPr>
                <w:rFonts w:ascii="Arial" w:hAnsi="Arial" w:cs="Arial"/>
                <w:sz w:val="20"/>
                <w:szCs w:val="20"/>
              </w:rPr>
            </w:pPr>
          </w:p>
        </w:tc>
        <w:tc>
          <w:tcPr>
            <w:tcW w:w="990" w:type="dxa"/>
            <w:vAlign w:val="center"/>
          </w:tcPr>
          <w:p w14:paraId="0D9F8BCA" w14:textId="77777777" w:rsidR="006B35A7" w:rsidRDefault="007237D8" w:rsidP="006B35A7">
            <w:pPr>
              <w:ind w:left="128"/>
              <w:jc w:val="center"/>
              <w:rPr>
                <w:rFonts w:ascii="Arial" w:hAnsi="Arial" w:cs="Arial"/>
                <w:color w:val="000000"/>
                <w:sz w:val="20"/>
                <w:szCs w:val="20"/>
              </w:rPr>
            </w:pPr>
            <w:r w:rsidRPr="00E320C7">
              <w:rPr>
                <w:rFonts w:ascii="Arial" w:hAnsi="Arial" w:cs="Arial"/>
                <w:color w:val="000000"/>
                <w:sz w:val="20"/>
                <w:szCs w:val="20"/>
              </w:rPr>
              <w:t>73.71</w:t>
            </w:r>
          </w:p>
          <w:p w14:paraId="7FDA7296" w14:textId="56B234C7" w:rsidR="007237D8" w:rsidRPr="006B35A7" w:rsidRDefault="007237D8" w:rsidP="006B35A7">
            <w:pPr>
              <w:ind w:left="128"/>
              <w:jc w:val="center"/>
              <w:rPr>
                <w:rFonts w:ascii="Arial" w:hAnsi="Arial" w:cs="Arial"/>
                <w:color w:val="000000"/>
                <w:sz w:val="20"/>
                <w:szCs w:val="20"/>
              </w:rPr>
            </w:pPr>
            <w:r w:rsidRPr="00E320C7">
              <w:rPr>
                <w:rFonts w:ascii="Arial" w:hAnsi="Arial" w:cs="Arial"/>
                <w:color w:val="000000"/>
                <w:sz w:val="20"/>
                <w:szCs w:val="20"/>
              </w:rPr>
              <w:t>(59.15)</w:t>
            </w:r>
          </w:p>
        </w:tc>
        <w:tc>
          <w:tcPr>
            <w:tcW w:w="1260" w:type="dxa"/>
            <w:vAlign w:val="center"/>
          </w:tcPr>
          <w:p w14:paraId="55C70988" w14:textId="77777777" w:rsidR="006B35A7" w:rsidRDefault="007237D8" w:rsidP="006B35A7">
            <w:pPr>
              <w:ind w:right="67"/>
              <w:jc w:val="center"/>
              <w:rPr>
                <w:rFonts w:ascii="Arial" w:hAnsi="Arial" w:cs="Arial"/>
                <w:color w:val="000000"/>
                <w:sz w:val="20"/>
                <w:szCs w:val="20"/>
              </w:rPr>
            </w:pPr>
            <w:r w:rsidRPr="00E320C7">
              <w:rPr>
                <w:rFonts w:ascii="Arial" w:hAnsi="Arial" w:cs="Arial"/>
                <w:color w:val="000000"/>
                <w:sz w:val="20"/>
                <w:szCs w:val="20"/>
              </w:rPr>
              <w:t>71.10</w:t>
            </w:r>
          </w:p>
          <w:p w14:paraId="6F1CB1B5" w14:textId="36F450A8" w:rsidR="007237D8" w:rsidRPr="006B35A7" w:rsidRDefault="007237D8" w:rsidP="006B35A7">
            <w:pPr>
              <w:ind w:right="67"/>
              <w:jc w:val="center"/>
              <w:rPr>
                <w:rFonts w:ascii="Arial" w:hAnsi="Arial" w:cs="Arial"/>
                <w:color w:val="000000"/>
                <w:sz w:val="20"/>
                <w:szCs w:val="20"/>
              </w:rPr>
            </w:pPr>
            <w:r w:rsidRPr="00E320C7">
              <w:rPr>
                <w:rFonts w:ascii="Arial" w:hAnsi="Arial" w:cs="Arial"/>
                <w:color w:val="000000"/>
                <w:sz w:val="20"/>
                <w:szCs w:val="20"/>
              </w:rPr>
              <w:t>(57.48)</w:t>
            </w:r>
          </w:p>
        </w:tc>
      </w:tr>
      <w:tr w:rsidR="007237D8" w:rsidRPr="00E320C7" w14:paraId="4B70BC06" w14:textId="77777777" w:rsidTr="006B35A7">
        <w:trPr>
          <w:trHeight w:val="668"/>
        </w:trPr>
        <w:tc>
          <w:tcPr>
            <w:tcW w:w="570" w:type="dxa"/>
          </w:tcPr>
          <w:p w14:paraId="63CA3BD7" w14:textId="77777777" w:rsidR="007237D8" w:rsidRPr="00E320C7" w:rsidRDefault="007237D8" w:rsidP="005342B5">
            <w:pPr>
              <w:spacing w:before="120"/>
              <w:jc w:val="both"/>
              <w:outlineLvl w:val="1"/>
              <w:rPr>
                <w:rFonts w:ascii="Arial" w:hAnsi="Arial" w:cs="Arial"/>
                <w:b/>
                <w:bCs/>
                <w:sz w:val="20"/>
                <w:szCs w:val="20"/>
              </w:rPr>
            </w:pPr>
            <w:r w:rsidRPr="00E320C7">
              <w:rPr>
                <w:rFonts w:ascii="Arial" w:hAnsi="Arial" w:cs="Arial"/>
                <w:b/>
                <w:bCs/>
                <w:sz w:val="20"/>
                <w:szCs w:val="20"/>
              </w:rPr>
              <w:t>T</w:t>
            </w:r>
            <w:r w:rsidRPr="00E320C7">
              <w:rPr>
                <w:rFonts w:ascii="Arial" w:hAnsi="Arial" w:cs="Arial"/>
                <w:b/>
                <w:bCs/>
                <w:sz w:val="20"/>
                <w:szCs w:val="20"/>
                <w:vertAlign w:val="subscript"/>
              </w:rPr>
              <w:t>3</w:t>
            </w:r>
          </w:p>
        </w:tc>
        <w:tc>
          <w:tcPr>
            <w:tcW w:w="2130" w:type="dxa"/>
          </w:tcPr>
          <w:p w14:paraId="6066A4AF" w14:textId="1B40918B" w:rsidR="007237D8" w:rsidRPr="00E320C7" w:rsidRDefault="007237D8" w:rsidP="005342B5">
            <w:pPr>
              <w:pStyle w:val="TableParagraph"/>
              <w:spacing w:before="3"/>
              <w:rPr>
                <w:rFonts w:ascii="Arial" w:hAnsi="Arial" w:cs="Arial"/>
                <w:sz w:val="20"/>
                <w:szCs w:val="20"/>
              </w:rPr>
            </w:pPr>
            <w:r w:rsidRPr="00E320C7">
              <w:rPr>
                <w:rFonts w:ascii="Arial" w:hAnsi="Arial" w:cs="Arial"/>
                <w:color w:val="000000"/>
                <w:sz w:val="20"/>
                <w:szCs w:val="20"/>
              </w:rPr>
              <w:t>Azoxystrobin 23 % SC</w:t>
            </w:r>
          </w:p>
        </w:tc>
        <w:tc>
          <w:tcPr>
            <w:tcW w:w="810" w:type="dxa"/>
            <w:vAlign w:val="center"/>
          </w:tcPr>
          <w:p w14:paraId="5CC8B7E5" w14:textId="171C4575" w:rsidR="007237D8" w:rsidRPr="00E320C7" w:rsidRDefault="007237D8" w:rsidP="005342B5">
            <w:pPr>
              <w:spacing w:before="120"/>
              <w:jc w:val="center"/>
              <w:outlineLvl w:val="1"/>
              <w:rPr>
                <w:rFonts w:ascii="Arial" w:hAnsi="Arial" w:cs="Arial"/>
                <w:sz w:val="20"/>
                <w:szCs w:val="20"/>
              </w:rPr>
            </w:pPr>
            <w:r w:rsidRPr="00E320C7">
              <w:rPr>
                <w:rFonts w:ascii="Arial" w:hAnsi="Arial" w:cs="Arial"/>
                <w:color w:val="000000"/>
                <w:sz w:val="20"/>
                <w:szCs w:val="20"/>
              </w:rPr>
              <w:t>33.00</w:t>
            </w:r>
          </w:p>
        </w:tc>
        <w:tc>
          <w:tcPr>
            <w:tcW w:w="810" w:type="dxa"/>
            <w:vAlign w:val="center"/>
          </w:tcPr>
          <w:p w14:paraId="1B43C2BB" w14:textId="32A169AE" w:rsidR="007237D8" w:rsidRPr="00E320C7" w:rsidRDefault="007237D8" w:rsidP="005342B5">
            <w:pPr>
              <w:spacing w:before="120"/>
              <w:jc w:val="center"/>
              <w:outlineLvl w:val="1"/>
              <w:rPr>
                <w:rFonts w:ascii="Arial" w:hAnsi="Arial" w:cs="Arial"/>
                <w:sz w:val="20"/>
                <w:szCs w:val="20"/>
              </w:rPr>
            </w:pPr>
            <w:r w:rsidRPr="00E320C7">
              <w:rPr>
                <w:rFonts w:ascii="Arial" w:hAnsi="Arial" w:cs="Arial"/>
                <w:color w:val="000000"/>
                <w:sz w:val="20"/>
                <w:szCs w:val="20"/>
              </w:rPr>
              <w:t>28.00</w:t>
            </w:r>
          </w:p>
        </w:tc>
        <w:tc>
          <w:tcPr>
            <w:tcW w:w="810" w:type="dxa"/>
            <w:vAlign w:val="center"/>
          </w:tcPr>
          <w:p w14:paraId="1192410D" w14:textId="755FF952" w:rsidR="007237D8" w:rsidRPr="00E320C7" w:rsidRDefault="007237D8" w:rsidP="005342B5">
            <w:pPr>
              <w:spacing w:before="120"/>
              <w:jc w:val="center"/>
              <w:outlineLvl w:val="1"/>
              <w:rPr>
                <w:rFonts w:ascii="Arial" w:hAnsi="Arial" w:cs="Arial"/>
                <w:sz w:val="20"/>
                <w:szCs w:val="20"/>
              </w:rPr>
            </w:pPr>
            <w:r w:rsidRPr="00E320C7">
              <w:rPr>
                <w:rFonts w:ascii="Arial" w:hAnsi="Arial" w:cs="Arial"/>
                <w:color w:val="000000"/>
                <w:sz w:val="20"/>
                <w:szCs w:val="20"/>
              </w:rPr>
              <w:t>30.50</w:t>
            </w:r>
          </w:p>
        </w:tc>
        <w:tc>
          <w:tcPr>
            <w:tcW w:w="990" w:type="dxa"/>
            <w:vAlign w:val="center"/>
          </w:tcPr>
          <w:p w14:paraId="2F4748BD" w14:textId="77777777" w:rsidR="006B35A7" w:rsidRDefault="007237D8" w:rsidP="006B35A7">
            <w:pPr>
              <w:ind w:left="4"/>
              <w:jc w:val="center"/>
              <w:rPr>
                <w:rFonts w:ascii="Arial" w:hAnsi="Arial" w:cs="Arial"/>
                <w:color w:val="000000"/>
                <w:sz w:val="20"/>
                <w:szCs w:val="20"/>
              </w:rPr>
            </w:pPr>
            <w:r w:rsidRPr="00E320C7">
              <w:rPr>
                <w:rFonts w:ascii="Arial" w:hAnsi="Arial" w:cs="Arial"/>
                <w:color w:val="000000"/>
                <w:sz w:val="20"/>
                <w:szCs w:val="20"/>
              </w:rPr>
              <w:t>63.33</w:t>
            </w:r>
          </w:p>
          <w:p w14:paraId="5FF9B76A" w14:textId="5377A023" w:rsidR="007237D8" w:rsidRPr="006B35A7" w:rsidRDefault="007237D8" w:rsidP="006B35A7">
            <w:pPr>
              <w:ind w:left="4"/>
              <w:jc w:val="center"/>
              <w:rPr>
                <w:rFonts w:ascii="Arial" w:hAnsi="Arial" w:cs="Arial"/>
                <w:color w:val="000000"/>
                <w:sz w:val="20"/>
                <w:szCs w:val="20"/>
              </w:rPr>
            </w:pPr>
            <w:r w:rsidRPr="00E320C7">
              <w:rPr>
                <w:rFonts w:ascii="Arial" w:hAnsi="Arial" w:cs="Arial"/>
                <w:color w:val="000000"/>
                <w:sz w:val="20"/>
                <w:szCs w:val="20"/>
              </w:rPr>
              <w:t>(52.73)</w:t>
            </w:r>
          </w:p>
        </w:tc>
        <w:tc>
          <w:tcPr>
            <w:tcW w:w="990" w:type="dxa"/>
            <w:vAlign w:val="center"/>
          </w:tcPr>
          <w:p w14:paraId="4C28A012" w14:textId="77777777" w:rsidR="006B35A7" w:rsidRDefault="007237D8" w:rsidP="006B35A7">
            <w:pPr>
              <w:ind w:left="128"/>
              <w:jc w:val="center"/>
              <w:rPr>
                <w:rFonts w:ascii="Arial" w:hAnsi="Arial" w:cs="Arial"/>
                <w:color w:val="000000"/>
                <w:sz w:val="20"/>
                <w:szCs w:val="20"/>
              </w:rPr>
            </w:pPr>
            <w:r w:rsidRPr="00E320C7">
              <w:rPr>
                <w:rFonts w:ascii="Arial" w:hAnsi="Arial" w:cs="Arial"/>
                <w:color w:val="000000"/>
                <w:sz w:val="20"/>
                <w:szCs w:val="20"/>
              </w:rPr>
              <w:t>68.89</w:t>
            </w:r>
          </w:p>
          <w:p w14:paraId="7B58A393" w14:textId="2E995A44" w:rsidR="007237D8" w:rsidRPr="006B35A7" w:rsidRDefault="007237D8" w:rsidP="006B35A7">
            <w:pPr>
              <w:ind w:left="128"/>
              <w:jc w:val="center"/>
              <w:rPr>
                <w:rFonts w:ascii="Arial" w:hAnsi="Arial" w:cs="Arial"/>
                <w:color w:val="000000"/>
                <w:sz w:val="20"/>
                <w:szCs w:val="20"/>
              </w:rPr>
            </w:pPr>
            <w:r w:rsidRPr="00E320C7">
              <w:rPr>
                <w:rFonts w:ascii="Arial" w:hAnsi="Arial" w:cs="Arial"/>
                <w:color w:val="000000"/>
                <w:sz w:val="20"/>
                <w:szCs w:val="20"/>
              </w:rPr>
              <w:t>(56.09)</w:t>
            </w:r>
          </w:p>
        </w:tc>
        <w:tc>
          <w:tcPr>
            <w:tcW w:w="1260" w:type="dxa"/>
            <w:vAlign w:val="center"/>
          </w:tcPr>
          <w:p w14:paraId="77AFA9AA" w14:textId="77777777" w:rsidR="006B35A7" w:rsidRDefault="007237D8" w:rsidP="006B35A7">
            <w:pPr>
              <w:ind w:left="10"/>
              <w:jc w:val="center"/>
              <w:rPr>
                <w:rFonts w:ascii="Arial" w:hAnsi="Arial" w:cs="Arial"/>
                <w:color w:val="000000"/>
                <w:sz w:val="20"/>
                <w:szCs w:val="20"/>
              </w:rPr>
            </w:pPr>
            <w:r w:rsidRPr="00E320C7">
              <w:rPr>
                <w:rFonts w:ascii="Arial" w:hAnsi="Arial" w:cs="Arial"/>
                <w:color w:val="000000"/>
                <w:sz w:val="20"/>
                <w:szCs w:val="20"/>
              </w:rPr>
              <w:t>66.11</w:t>
            </w:r>
          </w:p>
          <w:p w14:paraId="0F2CF99D" w14:textId="6EFCEA26" w:rsidR="007237D8" w:rsidRPr="006B35A7" w:rsidRDefault="007237D8" w:rsidP="006B35A7">
            <w:pPr>
              <w:ind w:left="10"/>
              <w:jc w:val="center"/>
              <w:rPr>
                <w:rFonts w:ascii="Arial" w:hAnsi="Arial" w:cs="Arial"/>
                <w:color w:val="000000"/>
                <w:sz w:val="20"/>
                <w:szCs w:val="20"/>
              </w:rPr>
            </w:pPr>
            <w:r w:rsidRPr="00E320C7">
              <w:rPr>
                <w:rFonts w:ascii="Arial" w:hAnsi="Arial" w:cs="Arial"/>
                <w:color w:val="000000"/>
                <w:sz w:val="20"/>
                <w:szCs w:val="20"/>
              </w:rPr>
              <w:t>(54.39)</w:t>
            </w:r>
          </w:p>
        </w:tc>
      </w:tr>
      <w:tr w:rsidR="007237D8" w:rsidRPr="00E320C7" w14:paraId="3336A81D" w14:textId="77777777" w:rsidTr="006B35A7">
        <w:tc>
          <w:tcPr>
            <w:tcW w:w="570" w:type="dxa"/>
          </w:tcPr>
          <w:p w14:paraId="3EEA10AA" w14:textId="77777777" w:rsidR="007237D8" w:rsidRPr="00E320C7" w:rsidRDefault="007237D8" w:rsidP="005342B5">
            <w:pPr>
              <w:spacing w:before="120"/>
              <w:jc w:val="both"/>
              <w:outlineLvl w:val="1"/>
              <w:rPr>
                <w:rFonts w:ascii="Arial" w:hAnsi="Arial" w:cs="Arial"/>
                <w:b/>
                <w:bCs/>
                <w:sz w:val="20"/>
                <w:szCs w:val="20"/>
              </w:rPr>
            </w:pPr>
            <w:r w:rsidRPr="00E320C7">
              <w:rPr>
                <w:rFonts w:ascii="Arial" w:hAnsi="Arial" w:cs="Arial"/>
                <w:b/>
                <w:bCs/>
                <w:sz w:val="20"/>
                <w:szCs w:val="20"/>
              </w:rPr>
              <w:t>T</w:t>
            </w:r>
            <w:r w:rsidRPr="00E320C7">
              <w:rPr>
                <w:rFonts w:ascii="Arial" w:hAnsi="Arial" w:cs="Arial"/>
                <w:b/>
                <w:bCs/>
                <w:sz w:val="20"/>
                <w:szCs w:val="20"/>
                <w:vertAlign w:val="subscript"/>
              </w:rPr>
              <w:t>4</w:t>
            </w:r>
          </w:p>
        </w:tc>
        <w:tc>
          <w:tcPr>
            <w:tcW w:w="2130" w:type="dxa"/>
          </w:tcPr>
          <w:p w14:paraId="71E2544F" w14:textId="77777777" w:rsidR="007237D8" w:rsidRPr="00E320C7" w:rsidRDefault="007237D8" w:rsidP="005342B5">
            <w:pPr>
              <w:spacing w:after="17"/>
              <w:jc w:val="center"/>
              <w:rPr>
                <w:rFonts w:ascii="Arial" w:hAnsi="Arial" w:cs="Arial"/>
                <w:color w:val="000000"/>
                <w:sz w:val="20"/>
                <w:szCs w:val="20"/>
              </w:rPr>
            </w:pPr>
            <w:r w:rsidRPr="00E320C7">
              <w:rPr>
                <w:rFonts w:ascii="Arial" w:hAnsi="Arial" w:cs="Arial"/>
                <w:color w:val="000000"/>
                <w:sz w:val="20"/>
                <w:szCs w:val="20"/>
              </w:rPr>
              <w:t xml:space="preserve">Carbendazim </w:t>
            </w:r>
          </w:p>
          <w:p w14:paraId="12C947CC" w14:textId="77777777" w:rsidR="007237D8" w:rsidRPr="00E320C7" w:rsidRDefault="007237D8" w:rsidP="005342B5">
            <w:pPr>
              <w:spacing w:after="17"/>
              <w:jc w:val="center"/>
              <w:rPr>
                <w:rFonts w:ascii="Arial" w:hAnsi="Arial" w:cs="Arial"/>
                <w:color w:val="000000"/>
                <w:sz w:val="20"/>
                <w:szCs w:val="20"/>
              </w:rPr>
            </w:pPr>
            <w:r w:rsidRPr="00E320C7">
              <w:rPr>
                <w:rFonts w:ascii="Arial" w:hAnsi="Arial" w:cs="Arial"/>
                <w:color w:val="000000"/>
                <w:sz w:val="20"/>
                <w:szCs w:val="20"/>
              </w:rPr>
              <w:t>50 %</w:t>
            </w:r>
          </w:p>
          <w:p w14:paraId="348E2579" w14:textId="72B32FB6" w:rsidR="007237D8" w:rsidRPr="00E320C7" w:rsidRDefault="007237D8" w:rsidP="005342B5">
            <w:pPr>
              <w:pStyle w:val="TableParagraph"/>
              <w:spacing w:before="2"/>
              <w:ind w:left="112"/>
              <w:rPr>
                <w:rFonts w:ascii="Arial" w:hAnsi="Arial" w:cs="Arial"/>
                <w:sz w:val="20"/>
                <w:szCs w:val="20"/>
              </w:rPr>
            </w:pPr>
          </w:p>
        </w:tc>
        <w:tc>
          <w:tcPr>
            <w:tcW w:w="810" w:type="dxa"/>
            <w:vAlign w:val="center"/>
          </w:tcPr>
          <w:p w14:paraId="4C405305" w14:textId="4ED42291" w:rsidR="007237D8" w:rsidRPr="00E320C7" w:rsidRDefault="007237D8" w:rsidP="005342B5">
            <w:pPr>
              <w:spacing w:before="120"/>
              <w:jc w:val="center"/>
              <w:outlineLvl w:val="1"/>
              <w:rPr>
                <w:rFonts w:ascii="Arial" w:hAnsi="Arial" w:cs="Arial"/>
                <w:sz w:val="20"/>
                <w:szCs w:val="20"/>
              </w:rPr>
            </w:pPr>
            <w:r w:rsidRPr="00E320C7">
              <w:rPr>
                <w:rFonts w:ascii="Arial" w:hAnsi="Arial" w:cs="Arial"/>
                <w:color w:val="000000"/>
                <w:sz w:val="20"/>
                <w:szCs w:val="20"/>
              </w:rPr>
              <w:t>00.00</w:t>
            </w:r>
          </w:p>
        </w:tc>
        <w:tc>
          <w:tcPr>
            <w:tcW w:w="810" w:type="dxa"/>
            <w:vAlign w:val="center"/>
          </w:tcPr>
          <w:p w14:paraId="5ABDCC45" w14:textId="3B3EFD20" w:rsidR="007237D8" w:rsidRPr="00E320C7" w:rsidRDefault="007237D8" w:rsidP="005342B5">
            <w:pPr>
              <w:spacing w:before="120"/>
              <w:outlineLvl w:val="1"/>
              <w:rPr>
                <w:rFonts w:ascii="Arial" w:hAnsi="Arial" w:cs="Arial"/>
                <w:sz w:val="20"/>
                <w:szCs w:val="20"/>
              </w:rPr>
            </w:pPr>
            <w:r w:rsidRPr="00E320C7">
              <w:rPr>
                <w:rFonts w:ascii="Arial" w:hAnsi="Arial" w:cs="Arial"/>
                <w:color w:val="000000"/>
                <w:sz w:val="20"/>
                <w:szCs w:val="20"/>
              </w:rPr>
              <w:t>00.00</w:t>
            </w:r>
          </w:p>
        </w:tc>
        <w:tc>
          <w:tcPr>
            <w:tcW w:w="810" w:type="dxa"/>
            <w:vAlign w:val="center"/>
          </w:tcPr>
          <w:p w14:paraId="3E524AA8" w14:textId="46ED8250" w:rsidR="007237D8" w:rsidRPr="00E320C7" w:rsidRDefault="005342B5" w:rsidP="005342B5">
            <w:pPr>
              <w:spacing w:before="120"/>
              <w:outlineLvl w:val="1"/>
              <w:rPr>
                <w:rFonts w:ascii="Arial" w:hAnsi="Arial" w:cs="Arial"/>
                <w:sz w:val="20"/>
                <w:szCs w:val="20"/>
              </w:rPr>
            </w:pPr>
            <w:r w:rsidRPr="00E320C7">
              <w:rPr>
                <w:rFonts w:ascii="Arial" w:hAnsi="Arial" w:cs="Arial"/>
                <w:sz w:val="20"/>
                <w:szCs w:val="20"/>
              </w:rPr>
              <w:t xml:space="preserve"> </w:t>
            </w:r>
            <w:r w:rsidR="007237D8" w:rsidRPr="00E320C7">
              <w:rPr>
                <w:rFonts w:ascii="Arial" w:hAnsi="Arial" w:cs="Arial"/>
                <w:sz w:val="20"/>
                <w:szCs w:val="20"/>
              </w:rPr>
              <w:t>00.00</w:t>
            </w:r>
          </w:p>
        </w:tc>
        <w:tc>
          <w:tcPr>
            <w:tcW w:w="990" w:type="dxa"/>
            <w:vAlign w:val="center"/>
          </w:tcPr>
          <w:p w14:paraId="0411CE50" w14:textId="0B5D6BA1" w:rsidR="007237D8" w:rsidRPr="006B35A7" w:rsidRDefault="007237D8" w:rsidP="006B35A7">
            <w:pPr>
              <w:ind w:left="130"/>
              <w:jc w:val="center"/>
              <w:rPr>
                <w:rFonts w:ascii="Arial" w:hAnsi="Arial" w:cs="Arial"/>
                <w:sz w:val="20"/>
                <w:szCs w:val="20"/>
              </w:rPr>
            </w:pPr>
            <w:r w:rsidRPr="00E320C7">
              <w:rPr>
                <w:rFonts w:ascii="Arial" w:hAnsi="Arial" w:cs="Arial"/>
                <w:sz w:val="20"/>
                <w:szCs w:val="20"/>
              </w:rPr>
              <w:t>100.00(90.00)</w:t>
            </w:r>
          </w:p>
        </w:tc>
        <w:tc>
          <w:tcPr>
            <w:tcW w:w="990" w:type="dxa"/>
            <w:vAlign w:val="center"/>
          </w:tcPr>
          <w:p w14:paraId="28A012E8" w14:textId="12F3FE6E" w:rsidR="007237D8" w:rsidRPr="00E320C7" w:rsidRDefault="007237D8" w:rsidP="006B35A7">
            <w:pPr>
              <w:ind w:left="138"/>
              <w:jc w:val="center"/>
              <w:rPr>
                <w:rFonts w:ascii="Arial" w:hAnsi="Arial" w:cs="Arial"/>
                <w:sz w:val="20"/>
                <w:szCs w:val="20"/>
              </w:rPr>
            </w:pPr>
            <w:r w:rsidRPr="00E320C7">
              <w:rPr>
                <w:rFonts w:ascii="Arial" w:hAnsi="Arial" w:cs="Arial"/>
                <w:sz w:val="20"/>
                <w:szCs w:val="20"/>
              </w:rPr>
              <w:t>100.00(90.00)</w:t>
            </w:r>
          </w:p>
        </w:tc>
        <w:tc>
          <w:tcPr>
            <w:tcW w:w="1260" w:type="dxa"/>
            <w:vAlign w:val="center"/>
          </w:tcPr>
          <w:p w14:paraId="02C30065" w14:textId="77777777" w:rsidR="006B35A7" w:rsidRDefault="007237D8" w:rsidP="006B35A7">
            <w:pPr>
              <w:spacing w:after="7"/>
              <w:ind w:left="336"/>
              <w:jc w:val="center"/>
              <w:rPr>
                <w:rFonts w:ascii="Arial" w:hAnsi="Arial" w:cs="Arial"/>
                <w:sz w:val="20"/>
                <w:szCs w:val="20"/>
              </w:rPr>
            </w:pPr>
            <w:r w:rsidRPr="00E320C7">
              <w:rPr>
                <w:rFonts w:ascii="Arial" w:hAnsi="Arial" w:cs="Arial"/>
                <w:sz w:val="20"/>
                <w:szCs w:val="20"/>
              </w:rPr>
              <w:t>100.00</w:t>
            </w:r>
          </w:p>
          <w:p w14:paraId="0BBED679" w14:textId="4C3E07EE" w:rsidR="007237D8" w:rsidRPr="006B35A7" w:rsidRDefault="007237D8" w:rsidP="006B35A7">
            <w:pPr>
              <w:spacing w:after="7"/>
              <w:ind w:left="336"/>
              <w:jc w:val="center"/>
              <w:rPr>
                <w:rFonts w:ascii="Arial" w:hAnsi="Arial" w:cs="Arial"/>
                <w:sz w:val="20"/>
                <w:szCs w:val="20"/>
              </w:rPr>
            </w:pPr>
            <w:r w:rsidRPr="00E320C7">
              <w:rPr>
                <w:rFonts w:ascii="Arial" w:hAnsi="Arial" w:cs="Arial"/>
                <w:sz w:val="20"/>
                <w:szCs w:val="20"/>
              </w:rPr>
              <w:t>(90.00)</w:t>
            </w:r>
          </w:p>
        </w:tc>
      </w:tr>
      <w:tr w:rsidR="007237D8" w:rsidRPr="00E320C7" w14:paraId="05421D39" w14:textId="77777777" w:rsidTr="00B63627">
        <w:tc>
          <w:tcPr>
            <w:tcW w:w="570" w:type="dxa"/>
          </w:tcPr>
          <w:p w14:paraId="52DC374D" w14:textId="77777777" w:rsidR="007237D8" w:rsidRPr="00E320C7" w:rsidRDefault="007237D8" w:rsidP="005342B5">
            <w:pPr>
              <w:spacing w:before="120"/>
              <w:jc w:val="both"/>
              <w:outlineLvl w:val="1"/>
              <w:rPr>
                <w:rFonts w:ascii="Arial" w:hAnsi="Arial" w:cs="Arial"/>
                <w:b/>
                <w:bCs/>
                <w:sz w:val="20"/>
                <w:szCs w:val="20"/>
              </w:rPr>
            </w:pPr>
            <w:r w:rsidRPr="00E320C7">
              <w:rPr>
                <w:rFonts w:ascii="Arial" w:hAnsi="Arial" w:cs="Arial"/>
                <w:b/>
                <w:bCs/>
                <w:sz w:val="20"/>
                <w:szCs w:val="20"/>
              </w:rPr>
              <w:t>T</w:t>
            </w:r>
            <w:r w:rsidRPr="00E320C7">
              <w:rPr>
                <w:rFonts w:ascii="Arial" w:hAnsi="Arial" w:cs="Arial"/>
                <w:b/>
                <w:bCs/>
                <w:sz w:val="20"/>
                <w:szCs w:val="20"/>
                <w:vertAlign w:val="subscript"/>
              </w:rPr>
              <w:t>5</w:t>
            </w:r>
          </w:p>
        </w:tc>
        <w:tc>
          <w:tcPr>
            <w:tcW w:w="2130" w:type="dxa"/>
          </w:tcPr>
          <w:p w14:paraId="471DD07F" w14:textId="77777777" w:rsidR="007237D8" w:rsidRPr="00E320C7" w:rsidRDefault="007237D8" w:rsidP="005342B5">
            <w:pPr>
              <w:jc w:val="center"/>
              <w:rPr>
                <w:rFonts w:ascii="Arial" w:hAnsi="Arial" w:cs="Arial"/>
                <w:color w:val="000000"/>
                <w:sz w:val="20"/>
                <w:szCs w:val="20"/>
                <w:lang w:val="en"/>
              </w:rPr>
            </w:pPr>
            <w:r w:rsidRPr="00E320C7">
              <w:rPr>
                <w:rFonts w:ascii="Arial" w:hAnsi="Arial" w:cs="Arial"/>
                <w:color w:val="000000"/>
                <w:sz w:val="20"/>
                <w:szCs w:val="20"/>
                <w:lang w:val="en"/>
              </w:rPr>
              <w:t>Benomyl</w:t>
            </w:r>
          </w:p>
          <w:p w14:paraId="65426BD9" w14:textId="55F03797" w:rsidR="007237D8" w:rsidRPr="00E320C7" w:rsidRDefault="005342B5" w:rsidP="005342B5">
            <w:pPr>
              <w:pStyle w:val="TableParagraph"/>
              <w:ind w:left="100"/>
              <w:rPr>
                <w:rFonts w:ascii="Arial" w:hAnsi="Arial" w:cs="Arial"/>
                <w:sz w:val="20"/>
                <w:szCs w:val="20"/>
              </w:rPr>
            </w:pPr>
            <w:r w:rsidRPr="00E320C7">
              <w:rPr>
                <w:rFonts w:ascii="Arial" w:hAnsi="Arial" w:cs="Arial"/>
                <w:color w:val="000000"/>
                <w:sz w:val="20"/>
                <w:szCs w:val="20"/>
                <w:lang w:val="en"/>
              </w:rPr>
              <w:t xml:space="preserve">         </w:t>
            </w:r>
            <w:r w:rsidR="007237D8" w:rsidRPr="00E320C7">
              <w:rPr>
                <w:rFonts w:ascii="Arial" w:hAnsi="Arial" w:cs="Arial"/>
                <w:color w:val="000000"/>
                <w:sz w:val="20"/>
                <w:szCs w:val="20"/>
                <w:lang w:val="en"/>
              </w:rPr>
              <w:t>50 % WP</w:t>
            </w:r>
          </w:p>
        </w:tc>
        <w:tc>
          <w:tcPr>
            <w:tcW w:w="810" w:type="dxa"/>
            <w:vAlign w:val="center"/>
          </w:tcPr>
          <w:p w14:paraId="40304CBB" w14:textId="40B8616E" w:rsidR="007237D8" w:rsidRPr="00E320C7" w:rsidRDefault="005342B5" w:rsidP="005342B5">
            <w:pPr>
              <w:spacing w:before="120"/>
              <w:outlineLvl w:val="1"/>
              <w:rPr>
                <w:rFonts w:ascii="Arial" w:hAnsi="Arial" w:cs="Arial"/>
                <w:sz w:val="20"/>
                <w:szCs w:val="20"/>
              </w:rPr>
            </w:pPr>
            <w:r w:rsidRPr="00E320C7">
              <w:rPr>
                <w:rFonts w:ascii="Arial" w:hAnsi="Arial" w:cs="Arial"/>
                <w:color w:val="000000"/>
                <w:sz w:val="20"/>
                <w:szCs w:val="20"/>
              </w:rPr>
              <w:t xml:space="preserve"> </w:t>
            </w:r>
            <w:r w:rsidR="007237D8" w:rsidRPr="00E320C7">
              <w:rPr>
                <w:rFonts w:ascii="Arial" w:hAnsi="Arial" w:cs="Arial"/>
                <w:color w:val="000000"/>
                <w:sz w:val="20"/>
                <w:szCs w:val="20"/>
              </w:rPr>
              <w:t>40.67</w:t>
            </w:r>
          </w:p>
        </w:tc>
        <w:tc>
          <w:tcPr>
            <w:tcW w:w="810" w:type="dxa"/>
            <w:vAlign w:val="center"/>
          </w:tcPr>
          <w:p w14:paraId="17FC872A" w14:textId="726259CE" w:rsidR="007237D8" w:rsidRPr="00E320C7" w:rsidRDefault="007237D8" w:rsidP="005342B5">
            <w:pPr>
              <w:spacing w:before="120"/>
              <w:jc w:val="center"/>
              <w:outlineLvl w:val="1"/>
              <w:rPr>
                <w:rFonts w:ascii="Arial" w:hAnsi="Arial" w:cs="Arial"/>
                <w:sz w:val="20"/>
                <w:szCs w:val="20"/>
              </w:rPr>
            </w:pPr>
            <w:r w:rsidRPr="00E320C7">
              <w:rPr>
                <w:rFonts w:ascii="Arial" w:hAnsi="Arial" w:cs="Arial"/>
                <w:color w:val="000000"/>
                <w:sz w:val="20"/>
                <w:szCs w:val="20"/>
              </w:rPr>
              <w:t>39.00</w:t>
            </w:r>
          </w:p>
        </w:tc>
        <w:tc>
          <w:tcPr>
            <w:tcW w:w="810" w:type="dxa"/>
            <w:vAlign w:val="center"/>
          </w:tcPr>
          <w:p w14:paraId="4DDA18F2" w14:textId="5A9BA0CA" w:rsidR="007237D8" w:rsidRPr="00E320C7" w:rsidRDefault="005342B5" w:rsidP="005342B5">
            <w:pPr>
              <w:spacing w:before="120"/>
              <w:outlineLvl w:val="1"/>
              <w:rPr>
                <w:rFonts w:ascii="Arial" w:hAnsi="Arial" w:cs="Arial"/>
                <w:sz w:val="20"/>
                <w:szCs w:val="20"/>
              </w:rPr>
            </w:pPr>
            <w:r w:rsidRPr="00E320C7">
              <w:rPr>
                <w:rFonts w:ascii="Arial" w:hAnsi="Arial" w:cs="Arial"/>
                <w:color w:val="000000"/>
                <w:sz w:val="20"/>
                <w:szCs w:val="20"/>
              </w:rPr>
              <w:t xml:space="preserve"> </w:t>
            </w:r>
            <w:r w:rsidR="007237D8" w:rsidRPr="00E320C7">
              <w:rPr>
                <w:rFonts w:ascii="Arial" w:hAnsi="Arial" w:cs="Arial"/>
                <w:color w:val="000000"/>
                <w:sz w:val="20"/>
                <w:szCs w:val="20"/>
              </w:rPr>
              <w:t>39.83</w:t>
            </w:r>
          </w:p>
        </w:tc>
        <w:tc>
          <w:tcPr>
            <w:tcW w:w="990" w:type="dxa"/>
          </w:tcPr>
          <w:p w14:paraId="4DE00292" w14:textId="77777777" w:rsidR="007237D8" w:rsidRPr="00E320C7" w:rsidRDefault="007237D8" w:rsidP="005342B5">
            <w:pPr>
              <w:ind w:left="120"/>
              <w:jc w:val="center"/>
              <w:rPr>
                <w:rFonts w:ascii="Arial" w:hAnsi="Arial" w:cs="Arial"/>
                <w:color w:val="000000"/>
                <w:sz w:val="20"/>
                <w:szCs w:val="20"/>
              </w:rPr>
            </w:pPr>
            <w:r w:rsidRPr="00E320C7">
              <w:rPr>
                <w:rFonts w:ascii="Arial" w:hAnsi="Arial" w:cs="Arial"/>
                <w:color w:val="000000"/>
                <w:sz w:val="20"/>
                <w:szCs w:val="20"/>
              </w:rPr>
              <w:t>54.82</w:t>
            </w:r>
          </w:p>
          <w:p w14:paraId="504FF54A" w14:textId="2AE435EF" w:rsidR="007237D8" w:rsidRPr="00E320C7" w:rsidRDefault="005342B5" w:rsidP="005342B5">
            <w:pPr>
              <w:spacing w:before="120"/>
              <w:outlineLvl w:val="1"/>
              <w:rPr>
                <w:rFonts w:ascii="Arial" w:hAnsi="Arial" w:cs="Arial"/>
                <w:sz w:val="20"/>
                <w:szCs w:val="20"/>
              </w:rPr>
            </w:pPr>
            <w:r w:rsidRPr="00E320C7">
              <w:rPr>
                <w:rFonts w:ascii="Arial" w:hAnsi="Arial" w:cs="Arial"/>
                <w:color w:val="000000"/>
                <w:sz w:val="20"/>
                <w:szCs w:val="20"/>
              </w:rPr>
              <w:t xml:space="preserve">  </w:t>
            </w:r>
            <w:r w:rsidR="007237D8" w:rsidRPr="00E320C7">
              <w:rPr>
                <w:rFonts w:ascii="Arial" w:hAnsi="Arial" w:cs="Arial"/>
                <w:color w:val="000000"/>
                <w:sz w:val="20"/>
                <w:szCs w:val="20"/>
              </w:rPr>
              <w:t>(47</w:t>
            </w:r>
            <w:r w:rsidRPr="00E320C7">
              <w:rPr>
                <w:rFonts w:ascii="Arial" w:hAnsi="Arial" w:cs="Arial"/>
                <w:color w:val="000000"/>
                <w:sz w:val="20"/>
                <w:szCs w:val="20"/>
              </w:rPr>
              <w:t>.</w:t>
            </w:r>
            <w:r w:rsidR="007237D8" w:rsidRPr="00E320C7">
              <w:rPr>
                <w:rFonts w:ascii="Arial" w:hAnsi="Arial" w:cs="Arial"/>
                <w:color w:val="000000"/>
                <w:sz w:val="20"/>
                <w:szCs w:val="20"/>
              </w:rPr>
              <w:t>76)</w:t>
            </w:r>
          </w:p>
        </w:tc>
        <w:tc>
          <w:tcPr>
            <w:tcW w:w="990" w:type="dxa"/>
          </w:tcPr>
          <w:p w14:paraId="237E8502" w14:textId="77777777" w:rsidR="007237D8" w:rsidRPr="00E320C7" w:rsidRDefault="007237D8" w:rsidP="005342B5">
            <w:pPr>
              <w:ind w:left="42"/>
              <w:jc w:val="center"/>
              <w:rPr>
                <w:rFonts w:ascii="Arial" w:hAnsi="Arial" w:cs="Arial"/>
                <w:color w:val="000000"/>
                <w:sz w:val="20"/>
                <w:szCs w:val="20"/>
              </w:rPr>
            </w:pPr>
            <w:r w:rsidRPr="00E320C7">
              <w:rPr>
                <w:rFonts w:ascii="Arial" w:hAnsi="Arial" w:cs="Arial"/>
                <w:color w:val="000000"/>
                <w:sz w:val="20"/>
                <w:szCs w:val="20"/>
              </w:rPr>
              <w:t>56.67</w:t>
            </w:r>
          </w:p>
          <w:p w14:paraId="604BAD16" w14:textId="10C578FD" w:rsidR="007237D8" w:rsidRPr="00E320C7" w:rsidRDefault="005342B5" w:rsidP="005342B5">
            <w:pPr>
              <w:spacing w:before="120"/>
              <w:outlineLvl w:val="1"/>
              <w:rPr>
                <w:rFonts w:ascii="Arial" w:hAnsi="Arial" w:cs="Arial"/>
                <w:sz w:val="20"/>
                <w:szCs w:val="20"/>
              </w:rPr>
            </w:pPr>
            <w:r w:rsidRPr="00E320C7">
              <w:rPr>
                <w:rFonts w:ascii="Arial" w:hAnsi="Arial" w:cs="Arial"/>
                <w:color w:val="000000"/>
                <w:sz w:val="20"/>
                <w:szCs w:val="20"/>
              </w:rPr>
              <w:t xml:space="preserve">  </w:t>
            </w:r>
            <w:r w:rsidR="007237D8" w:rsidRPr="00E320C7">
              <w:rPr>
                <w:rFonts w:ascii="Arial" w:hAnsi="Arial" w:cs="Arial"/>
                <w:color w:val="000000"/>
                <w:sz w:val="20"/>
                <w:szCs w:val="20"/>
              </w:rPr>
              <w:t>(48.83)</w:t>
            </w:r>
          </w:p>
        </w:tc>
        <w:tc>
          <w:tcPr>
            <w:tcW w:w="1260" w:type="dxa"/>
          </w:tcPr>
          <w:p w14:paraId="5E5DA92C" w14:textId="77777777" w:rsidR="007237D8" w:rsidRPr="00E320C7" w:rsidRDefault="007237D8" w:rsidP="005342B5">
            <w:pPr>
              <w:ind w:left="10"/>
              <w:jc w:val="center"/>
              <w:rPr>
                <w:rFonts w:ascii="Arial" w:hAnsi="Arial" w:cs="Arial"/>
                <w:color w:val="000000"/>
                <w:sz w:val="20"/>
                <w:szCs w:val="20"/>
              </w:rPr>
            </w:pPr>
            <w:r w:rsidRPr="00E320C7">
              <w:rPr>
                <w:rFonts w:ascii="Arial" w:hAnsi="Arial" w:cs="Arial"/>
                <w:color w:val="000000"/>
                <w:sz w:val="20"/>
                <w:szCs w:val="20"/>
              </w:rPr>
              <w:t>55.74</w:t>
            </w:r>
          </w:p>
          <w:p w14:paraId="66271AF5" w14:textId="64A4AF54" w:rsidR="007237D8" w:rsidRPr="00E320C7" w:rsidRDefault="005342B5" w:rsidP="005342B5">
            <w:pPr>
              <w:spacing w:before="120"/>
              <w:outlineLvl w:val="1"/>
              <w:rPr>
                <w:rFonts w:ascii="Arial" w:hAnsi="Arial" w:cs="Arial"/>
                <w:sz w:val="20"/>
                <w:szCs w:val="20"/>
              </w:rPr>
            </w:pPr>
            <w:r w:rsidRPr="00E320C7">
              <w:rPr>
                <w:rFonts w:ascii="Arial" w:hAnsi="Arial" w:cs="Arial"/>
                <w:color w:val="000000"/>
                <w:sz w:val="20"/>
                <w:szCs w:val="20"/>
              </w:rPr>
              <w:t xml:space="preserve">    </w:t>
            </w:r>
            <w:r w:rsidR="007237D8" w:rsidRPr="00E320C7">
              <w:rPr>
                <w:rFonts w:ascii="Arial" w:hAnsi="Arial" w:cs="Arial"/>
                <w:color w:val="000000"/>
                <w:sz w:val="20"/>
                <w:szCs w:val="20"/>
              </w:rPr>
              <w:t>(48.29)</w:t>
            </w:r>
          </w:p>
        </w:tc>
      </w:tr>
      <w:tr w:rsidR="007237D8" w:rsidRPr="00E320C7" w14:paraId="7C752068" w14:textId="77777777" w:rsidTr="00B63627">
        <w:trPr>
          <w:trHeight w:val="872"/>
        </w:trPr>
        <w:tc>
          <w:tcPr>
            <w:tcW w:w="570" w:type="dxa"/>
          </w:tcPr>
          <w:p w14:paraId="5467BC9E" w14:textId="77777777" w:rsidR="007237D8" w:rsidRPr="00E320C7" w:rsidRDefault="007237D8" w:rsidP="005342B5">
            <w:pPr>
              <w:spacing w:before="120" w:after="120"/>
              <w:jc w:val="both"/>
              <w:outlineLvl w:val="1"/>
              <w:rPr>
                <w:rFonts w:ascii="Arial" w:hAnsi="Arial" w:cs="Arial"/>
                <w:b/>
                <w:bCs/>
                <w:sz w:val="20"/>
                <w:szCs w:val="20"/>
              </w:rPr>
            </w:pPr>
            <w:r w:rsidRPr="00E320C7">
              <w:rPr>
                <w:rFonts w:ascii="Arial" w:hAnsi="Arial" w:cs="Arial"/>
                <w:b/>
                <w:bCs/>
                <w:sz w:val="20"/>
                <w:szCs w:val="20"/>
              </w:rPr>
              <w:lastRenderedPageBreak/>
              <w:t>T</w:t>
            </w:r>
            <w:r w:rsidRPr="00E320C7">
              <w:rPr>
                <w:rFonts w:ascii="Arial" w:hAnsi="Arial" w:cs="Arial"/>
                <w:b/>
                <w:bCs/>
                <w:sz w:val="20"/>
                <w:szCs w:val="20"/>
                <w:vertAlign w:val="subscript"/>
              </w:rPr>
              <w:t>6</w:t>
            </w:r>
          </w:p>
        </w:tc>
        <w:tc>
          <w:tcPr>
            <w:tcW w:w="2130" w:type="dxa"/>
          </w:tcPr>
          <w:p w14:paraId="04AA1A25" w14:textId="77777777" w:rsidR="005342B5" w:rsidRPr="00E320C7" w:rsidRDefault="007237D8" w:rsidP="005342B5">
            <w:pPr>
              <w:pStyle w:val="TableParagraph"/>
              <w:spacing w:before="2"/>
              <w:ind w:left="100"/>
              <w:rPr>
                <w:rFonts w:ascii="Arial" w:hAnsi="Arial" w:cs="Arial"/>
                <w:color w:val="000000"/>
                <w:sz w:val="20"/>
                <w:szCs w:val="20"/>
              </w:rPr>
            </w:pPr>
            <w:r w:rsidRPr="00E320C7">
              <w:rPr>
                <w:rFonts w:ascii="Arial" w:hAnsi="Arial" w:cs="Arial"/>
                <w:color w:val="000000"/>
                <w:sz w:val="20"/>
                <w:szCs w:val="20"/>
              </w:rPr>
              <w:t xml:space="preserve">Thiophanate </w:t>
            </w:r>
          </w:p>
          <w:p w14:paraId="2ABBD9FC" w14:textId="7D2531FC" w:rsidR="007237D8" w:rsidRPr="00E320C7" w:rsidRDefault="005342B5" w:rsidP="005342B5">
            <w:pPr>
              <w:pStyle w:val="TableParagraph"/>
              <w:spacing w:before="2"/>
              <w:ind w:left="100"/>
              <w:rPr>
                <w:rFonts w:ascii="Arial" w:hAnsi="Arial" w:cs="Arial"/>
                <w:sz w:val="20"/>
                <w:szCs w:val="20"/>
              </w:rPr>
            </w:pPr>
            <w:r w:rsidRPr="00E320C7">
              <w:rPr>
                <w:rFonts w:ascii="Arial" w:hAnsi="Arial" w:cs="Arial"/>
                <w:color w:val="000000"/>
                <w:sz w:val="20"/>
                <w:szCs w:val="20"/>
              </w:rPr>
              <w:t>m</w:t>
            </w:r>
            <w:r w:rsidR="007237D8" w:rsidRPr="00E320C7">
              <w:rPr>
                <w:rFonts w:ascii="Arial" w:hAnsi="Arial" w:cs="Arial"/>
                <w:color w:val="000000"/>
                <w:sz w:val="20"/>
                <w:szCs w:val="20"/>
              </w:rPr>
              <w:t>ethyl</w:t>
            </w:r>
            <w:r w:rsidRPr="00E320C7">
              <w:rPr>
                <w:rFonts w:ascii="Arial" w:hAnsi="Arial" w:cs="Arial"/>
                <w:color w:val="000000"/>
                <w:sz w:val="20"/>
                <w:szCs w:val="20"/>
              </w:rPr>
              <w:t xml:space="preserve"> </w:t>
            </w:r>
            <w:r w:rsidR="007237D8" w:rsidRPr="00E320C7">
              <w:rPr>
                <w:rFonts w:ascii="Arial" w:hAnsi="Arial" w:cs="Arial"/>
                <w:color w:val="000000"/>
                <w:sz w:val="20"/>
                <w:szCs w:val="20"/>
              </w:rPr>
              <w:t>70 % WP</w:t>
            </w:r>
          </w:p>
        </w:tc>
        <w:tc>
          <w:tcPr>
            <w:tcW w:w="810" w:type="dxa"/>
            <w:vAlign w:val="center"/>
          </w:tcPr>
          <w:p w14:paraId="03A65132" w14:textId="31360C42" w:rsidR="007237D8" w:rsidRPr="00E320C7" w:rsidRDefault="007237D8" w:rsidP="005342B5">
            <w:pPr>
              <w:spacing w:before="120" w:after="120"/>
              <w:jc w:val="center"/>
              <w:outlineLvl w:val="1"/>
              <w:rPr>
                <w:rFonts w:ascii="Arial" w:hAnsi="Arial" w:cs="Arial"/>
                <w:sz w:val="20"/>
                <w:szCs w:val="20"/>
              </w:rPr>
            </w:pPr>
            <w:r w:rsidRPr="00E320C7">
              <w:rPr>
                <w:rFonts w:ascii="Arial" w:hAnsi="Arial" w:cs="Arial"/>
                <w:color w:val="000000"/>
                <w:sz w:val="20"/>
                <w:szCs w:val="20"/>
              </w:rPr>
              <w:t>35.34</w:t>
            </w:r>
          </w:p>
        </w:tc>
        <w:tc>
          <w:tcPr>
            <w:tcW w:w="810" w:type="dxa"/>
            <w:vAlign w:val="center"/>
          </w:tcPr>
          <w:p w14:paraId="1E85AAEE" w14:textId="01811ADE" w:rsidR="007237D8" w:rsidRPr="00E320C7" w:rsidRDefault="007237D8" w:rsidP="005342B5">
            <w:pPr>
              <w:spacing w:before="120" w:after="120"/>
              <w:outlineLvl w:val="1"/>
              <w:rPr>
                <w:rFonts w:ascii="Arial" w:hAnsi="Arial" w:cs="Arial"/>
                <w:sz w:val="20"/>
                <w:szCs w:val="20"/>
              </w:rPr>
            </w:pPr>
            <w:r w:rsidRPr="00E320C7">
              <w:rPr>
                <w:rFonts w:ascii="Arial" w:hAnsi="Arial" w:cs="Arial"/>
                <w:color w:val="000000"/>
                <w:sz w:val="20"/>
                <w:szCs w:val="20"/>
              </w:rPr>
              <w:t>31.00</w:t>
            </w:r>
          </w:p>
        </w:tc>
        <w:tc>
          <w:tcPr>
            <w:tcW w:w="810" w:type="dxa"/>
            <w:vAlign w:val="center"/>
          </w:tcPr>
          <w:p w14:paraId="08FB360B" w14:textId="50F076C9" w:rsidR="007237D8" w:rsidRPr="00E320C7" w:rsidRDefault="007237D8" w:rsidP="005342B5">
            <w:pPr>
              <w:spacing w:before="120" w:after="120"/>
              <w:jc w:val="center"/>
              <w:outlineLvl w:val="1"/>
              <w:rPr>
                <w:rFonts w:ascii="Arial" w:hAnsi="Arial" w:cs="Arial"/>
                <w:sz w:val="20"/>
                <w:szCs w:val="20"/>
              </w:rPr>
            </w:pPr>
            <w:r w:rsidRPr="00E320C7">
              <w:rPr>
                <w:rFonts w:ascii="Arial" w:hAnsi="Arial" w:cs="Arial"/>
                <w:color w:val="000000"/>
                <w:sz w:val="20"/>
                <w:szCs w:val="20"/>
              </w:rPr>
              <w:t>33.17</w:t>
            </w:r>
          </w:p>
        </w:tc>
        <w:tc>
          <w:tcPr>
            <w:tcW w:w="990" w:type="dxa"/>
          </w:tcPr>
          <w:p w14:paraId="434C7205" w14:textId="77777777" w:rsidR="00B667FF" w:rsidRDefault="00B667FF" w:rsidP="005342B5">
            <w:pPr>
              <w:ind w:right="6"/>
              <w:jc w:val="center"/>
              <w:rPr>
                <w:rFonts w:ascii="Arial" w:hAnsi="Arial" w:cs="Arial"/>
                <w:color w:val="000000"/>
                <w:sz w:val="20"/>
                <w:szCs w:val="20"/>
              </w:rPr>
            </w:pPr>
            <w:bookmarkStart w:id="20" w:name="_Hlk200910037"/>
          </w:p>
          <w:p w14:paraId="60C8D60E" w14:textId="5C3FE1B7" w:rsidR="007237D8" w:rsidRPr="00B667FF" w:rsidRDefault="007237D8" w:rsidP="00B667FF">
            <w:pPr>
              <w:ind w:right="6"/>
              <w:jc w:val="center"/>
              <w:rPr>
                <w:rFonts w:ascii="Arial" w:hAnsi="Arial" w:cs="Arial"/>
                <w:color w:val="000000"/>
                <w:sz w:val="20"/>
                <w:szCs w:val="20"/>
              </w:rPr>
            </w:pPr>
            <w:r w:rsidRPr="00E320C7">
              <w:rPr>
                <w:rFonts w:ascii="Arial" w:hAnsi="Arial" w:cs="Arial"/>
                <w:color w:val="000000"/>
                <w:sz w:val="20"/>
                <w:szCs w:val="20"/>
              </w:rPr>
              <w:t>60.74</w:t>
            </w:r>
            <w:bookmarkEnd w:id="20"/>
            <w:r w:rsidR="005342B5" w:rsidRPr="00E320C7">
              <w:rPr>
                <w:rFonts w:ascii="Arial" w:hAnsi="Arial" w:cs="Arial"/>
                <w:color w:val="000000"/>
                <w:sz w:val="20"/>
                <w:szCs w:val="20"/>
              </w:rPr>
              <w:t xml:space="preserve"> </w:t>
            </w:r>
            <w:r w:rsidRPr="00E320C7">
              <w:rPr>
                <w:rFonts w:ascii="Arial" w:hAnsi="Arial" w:cs="Arial"/>
                <w:color w:val="000000"/>
                <w:sz w:val="20"/>
                <w:szCs w:val="20"/>
              </w:rPr>
              <w:t>(51.20)</w:t>
            </w:r>
          </w:p>
        </w:tc>
        <w:tc>
          <w:tcPr>
            <w:tcW w:w="990" w:type="dxa"/>
          </w:tcPr>
          <w:p w14:paraId="31F674B0" w14:textId="77777777" w:rsidR="00B667FF" w:rsidRDefault="00B667FF" w:rsidP="00B667FF">
            <w:pPr>
              <w:rPr>
                <w:rFonts w:ascii="Arial" w:hAnsi="Arial" w:cs="Arial"/>
                <w:color w:val="000000"/>
                <w:sz w:val="20"/>
                <w:szCs w:val="20"/>
              </w:rPr>
            </w:pPr>
          </w:p>
          <w:p w14:paraId="19AA879B" w14:textId="147AD309" w:rsidR="00B667FF" w:rsidRDefault="00B667FF" w:rsidP="00B667FF">
            <w:pPr>
              <w:rPr>
                <w:rFonts w:ascii="Arial" w:hAnsi="Arial" w:cs="Arial"/>
                <w:color w:val="000000"/>
                <w:sz w:val="20"/>
                <w:szCs w:val="20"/>
              </w:rPr>
            </w:pPr>
            <w:r>
              <w:rPr>
                <w:rFonts w:ascii="Arial" w:hAnsi="Arial" w:cs="Arial"/>
                <w:color w:val="000000"/>
                <w:sz w:val="20"/>
                <w:szCs w:val="20"/>
              </w:rPr>
              <w:t xml:space="preserve">  </w:t>
            </w:r>
            <w:r w:rsidR="005342B5" w:rsidRPr="00E320C7">
              <w:rPr>
                <w:rFonts w:ascii="Arial" w:hAnsi="Arial" w:cs="Arial"/>
                <w:color w:val="000000"/>
                <w:sz w:val="20"/>
                <w:szCs w:val="20"/>
              </w:rPr>
              <w:t xml:space="preserve"> </w:t>
            </w:r>
            <w:r w:rsidR="007237D8" w:rsidRPr="00E320C7">
              <w:rPr>
                <w:rFonts w:ascii="Arial" w:hAnsi="Arial" w:cs="Arial"/>
                <w:color w:val="000000"/>
                <w:sz w:val="20"/>
                <w:szCs w:val="20"/>
              </w:rPr>
              <w:t>65.56</w:t>
            </w:r>
          </w:p>
          <w:p w14:paraId="188B1F7E" w14:textId="0FFD5B83" w:rsidR="007237D8" w:rsidRPr="00B667FF" w:rsidRDefault="00B667FF" w:rsidP="00B667FF">
            <w:pPr>
              <w:rPr>
                <w:rFonts w:ascii="Arial" w:hAnsi="Arial" w:cs="Arial"/>
                <w:color w:val="000000"/>
                <w:sz w:val="20"/>
                <w:szCs w:val="20"/>
              </w:rPr>
            </w:pPr>
            <w:r>
              <w:rPr>
                <w:rFonts w:ascii="Arial" w:hAnsi="Arial" w:cs="Arial"/>
                <w:color w:val="000000"/>
                <w:sz w:val="20"/>
                <w:szCs w:val="20"/>
              </w:rPr>
              <w:t xml:space="preserve">  </w:t>
            </w:r>
            <w:r w:rsidR="007237D8" w:rsidRPr="00E320C7">
              <w:rPr>
                <w:rFonts w:ascii="Arial" w:hAnsi="Arial" w:cs="Arial"/>
                <w:color w:val="000000"/>
                <w:sz w:val="20"/>
                <w:szCs w:val="20"/>
              </w:rPr>
              <w:t>(54.06)</w:t>
            </w:r>
          </w:p>
        </w:tc>
        <w:tc>
          <w:tcPr>
            <w:tcW w:w="1260" w:type="dxa"/>
          </w:tcPr>
          <w:p w14:paraId="3373815F" w14:textId="77777777" w:rsidR="00B667FF" w:rsidRDefault="00B667FF" w:rsidP="005342B5">
            <w:pPr>
              <w:ind w:left="10"/>
              <w:jc w:val="center"/>
              <w:rPr>
                <w:rFonts w:ascii="Arial" w:hAnsi="Arial" w:cs="Arial"/>
                <w:color w:val="000000"/>
                <w:sz w:val="20"/>
                <w:szCs w:val="20"/>
              </w:rPr>
            </w:pPr>
          </w:p>
          <w:p w14:paraId="1CB909C2" w14:textId="77777777" w:rsidR="00B667FF" w:rsidRDefault="007237D8" w:rsidP="00B667FF">
            <w:pPr>
              <w:ind w:left="10"/>
              <w:jc w:val="center"/>
              <w:rPr>
                <w:rFonts w:ascii="Arial" w:hAnsi="Arial" w:cs="Arial"/>
                <w:color w:val="000000"/>
                <w:sz w:val="20"/>
                <w:szCs w:val="20"/>
              </w:rPr>
            </w:pPr>
            <w:r w:rsidRPr="00E320C7">
              <w:rPr>
                <w:rFonts w:ascii="Arial" w:hAnsi="Arial" w:cs="Arial"/>
                <w:color w:val="000000"/>
                <w:sz w:val="20"/>
                <w:szCs w:val="20"/>
              </w:rPr>
              <w:t>63.15</w:t>
            </w:r>
          </w:p>
          <w:p w14:paraId="42E59440" w14:textId="2069FA6E" w:rsidR="007237D8" w:rsidRPr="00B667FF" w:rsidRDefault="007237D8" w:rsidP="00B667FF">
            <w:pPr>
              <w:ind w:left="10"/>
              <w:jc w:val="center"/>
              <w:rPr>
                <w:rFonts w:ascii="Arial" w:hAnsi="Arial" w:cs="Arial"/>
                <w:color w:val="000000"/>
                <w:sz w:val="20"/>
                <w:szCs w:val="20"/>
              </w:rPr>
            </w:pPr>
            <w:r w:rsidRPr="00E320C7">
              <w:rPr>
                <w:rFonts w:ascii="Arial" w:hAnsi="Arial" w:cs="Arial"/>
                <w:color w:val="000000"/>
                <w:sz w:val="20"/>
                <w:szCs w:val="20"/>
              </w:rPr>
              <w:t>(52.62)</w:t>
            </w:r>
          </w:p>
        </w:tc>
      </w:tr>
      <w:tr w:rsidR="007237D8" w:rsidRPr="00E320C7" w14:paraId="58BECDA1" w14:textId="77777777" w:rsidTr="00B63627">
        <w:tc>
          <w:tcPr>
            <w:tcW w:w="570" w:type="dxa"/>
          </w:tcPr>
          <w:p w14:paraId="346928B9" w14:textId="77777777" w:rsidR="007237D8" w:rsidRPr="00E320C7" w:rsidRDefault="007237D8" w:rsidP="005342B5">
            <w:pPr>
              <w:spacing w:before="120"/>
              <w:jc w:val="both"/>
              <w:outlineLvl w:val="1"/>
              <w:rPr>
                <w:rFonts w:ascii="Arial" w:hAnsi="Arial" w:cs="Arial"/>
                <w:b/>
                <w:bCs/>
                <w:sz w:val="20"/>
                <w:szCs w:val="20"/>
              </w:rPr>
            </w:pPr>
            <w:r w:rsidRPr="00E320C7">
              <w:rPr>
                <w:rFonts w:ascii="Arial" w:hAnsi="Arial" w:cs="Arial"/>
                <w:b/>
                <w:bCs/>
                <w:sz w:val="20"/>
                <w:szCs w:val="20"/>
              </w:rPr>
              <w:t>T</w:t>
            </w:r>
            <w:r w:rsidRPr="00E320C7">
              <w:rPr>
                <w:rFonts w:ascii="Arial" w:hAnsi="Arial" w:cs="Arial"/>
                <w:b/>
                <w:bCs/>
                <w:sz w:val="20"/>
                <w:szCs w:val="20"/>
                <w:vertAlign w:val="subscript"/>
              </w:rPr>
              <w:t>7</w:t>
            </w:r>
          </w:p>
        </w:tc>
        <w:tc>
          <w:tcPr>
            <w:tcW w:w="2130" w:type="dxa"/>
          </w:tcPr>
          <w:p w14:paraId="37788721" w14:textId="77777777" w:rsidR="007237D8" w:rsidRPr="00E320C7" w:rsidRDefault="007237D8" w:rsidP="005342B5">
            <w:pPr>
              <w:spacing w:after="1"/>
              <w:ind w:left="4"/>
              <w:jc w:val="center"/>
              <w:rPr>
                <w:rFonts w:ascii="Arial" w:hAnsi="Arial" w:cs="Arial"/>
                <w:color w:val="000000"/>
                <w:sz w:val="20"/>
                <w:szCs w:val="20"/>
              </w:rPr>
            </w:pPr>
            <w:r w:rsidRPr="00E320C7">
              <w:rPr>
                <w:rFonts w:ascii="Arial" w:hAnsi="Arial" w:cs="Arial"/>
                <w:color w:val="000000"/>
                <w:sz w:val="20"/>
                <w:szCs w:val="20"/>
              </w:rPr>
              <w:t>Control</w:t>
            </w:r>
          </w:p>
          <w:p w14:paraId="414C0D42" w14:textId="01D4CF96" w:rsidR="007237D8" w:rsidRPr="00E320C7" w:rsidRDefault="005342B5" w:rsidP="005342B5">
            <w:pPr>
              <w:pStyle w:val="TableParagraph"/>
              <w:spacing w:before="3"/>
              <w:rPr>
                <w:rFonts w:ascii="Arial" w:hAnsi="Arial" w:cs="Arial"/>
                <w:sz w:val="20"/>
                <w:szCs w:val="20"/>
              </w:rPr>
            </w:pPr>
            <w:r w:rsidRPr="00E320C7">
              <w:rPr>
                <w:rFonts w:ascii="Arial" w:hAnsi="Arial" w:cs="Arial"/>
                <w:color w:val="000000"/>
                <w:sz w:val="20"/>
                <w:szCs w:val="20"/>
              </w:rPr>
              <w:t xml:space="preserve">          </w:t>
            </w:r>
            <w:r w:rsidR="007237D8" w:rsidRPr="00E320C7">
              <w:rPr>
                <w:rFonts w:ascii="Arial" w:hAnsi="Arial" w:cs="Arial"/>
                <w:color w:val="000000"/>
                <w:sz w:val="20"/>
                <w:szCs w:val="20"/>
              </w:rPr>
              <w:t>(untreated)</w:t>
            </w:r>
          </w:p>
        </w:tc>
        <w:tc>
          <w:tcPr>
            <w:tcW w:w="810" w:type="dxa"/>
            <w:vAlign w:val="center"/>
          </w:tcPr>
          <w:p w14:paraId="1DA584D4" w14:textId="532A01B1" w:rsidR="007237D8" w:rsidRPr="00E320C7" w:rsidRDefault="007237D8" w:rsidP="005342B5">
            <w:pPr>
              <w:spacing w:before="120"/>
              <w:jc w:val="center"/>
              <w:outlineLvl w:val="1"/>
              <w:rPr>
                <w:rFonts w:ascii="Arial" w:hAnsi="Arial" w:cs="Arial"/>
                <w:sz w:val="20"/>
                <w:szCs w:val="20"/>
              </w:rPr>
            </w:pPr>
            <w:r w:rsidRPr="00E320C7">
              <w:rPr>
                <w:rFonts w:ascii="Arial" w:hAnsi="Arial" w:cs="Arial"/>
                <w:sz w:val="20"/>
                <w:szCs w:val="20"/>
              </w:rPr>
              <w:t>90.00</w:t>
            </w:r>
          </w:p>
        </w:tc>
        <w:tc>
          <w:tcPr>
            <w:tcW w:w="810" w:type="dxa"/>
            <w:vAlign w:val="center"/>
          </w:tcPr>
          <w:p w14:paraId="71E58969" w14:textId="0D8FCB61" w:rsidR="007237D8" w:rsidRPr="00E320C7" w:rsidRDefault="007237D8" w:rsidP="005342B5">
            <w:pPr>
              <w:spacing w:before="120"/>
              <w:jc w:val="center"/>
              <w:outlineLvl w:val="1"/>
              <w:rPr>
                <w:rFonts w:ascii="Arial" w:hAnsi="Arial" w:cs="Arial"/>
                <w:sz w:val="20"/>
                <w:szCs w:val="20"/>
              </w:rPr>
            </w:pPr>
            <w:r w:rsidRPr="00E320C7">
              <w:rPr>
                <w:rFonts w:ascii="Arial" w:hAnsi="Arial" w:cs="Arial"/>
                <w:sz w:val="20"/>
                <w:szCs w:val="20"/>
              </w:rPr>
              <w:t>90.00</w:t>
            </w:r>
          </w:p>
        </w:tc>
        <w:tc>
          <w:tcPr>
            <w:tcW w:w="810" w:type="dxa"/>
            <w:vAlign w:val="center"/>
          </w:tcPr>
          <w:p w14:paraId="0DD57D87" w14:textId="607A072D" w:rsidR="007237D8" w:rsidRPr="00E320C7" w:rsidRDefault="007237D8" w:rsidP="005342B5">
            <w:pPr>
              <w:spacing w:before="120"/>
              <w:jc w:val="center"/>
              <w:outlineLvl w:val="1"/>
              <w:rPr>
                <w:rFonts w:ascii="Arial" w:hAnsi="Arial" w:cs="Arial"/>
                <w:sz w:val="20"/>
                <w:szCs w:val="20"/>
              </w:rPr>
            </w:pPr>
            <w:r w:rsidRPr="00E320C7">
              <w:rPr>
                <w:rFonts w:ascii="Arial" w:hAnsi="Arial" w:cs="Arial"/>
                <w:sz w:val="20"/>
                <w:szCs w:val="20"/>
              </w:rPr>
              <w:t>90.00</w:t>
            </w:r>
          </w:p>
        </w:tc>
        <w:tc>
          <w:tcPr>
            <w:tcW w:w="990" w:type="dxa"/>
          </w:tcPr>
          <w:p w14:paraId="4472395E" w14:textId="77777777" w:rsidR="007237D8" w:rsidRPr="00E320C7" w:rsidRDefault="007237D8" w:rsidP="005342B5">
            <w:pPr>
              <w:ind w:left="197"/>
              <w:rPr>
                <w:rFonts w:ascii="Arial" w:hAnsi="Arial" w:cs="Arial"/>
                <w:sz w:val="20"/>
                <w:szCs w:val="20"/>
              </w:rPr>
            </w:pPr>
            <w:r w:rsidRPr="00E320C7">
              <w:rPr>
                <w:rFonts w:ascii="Arial" w:hAnsi="Arial" w:cs="Arial"/>
                <w:sz w:val="20"/>
                <w:szCs w:val="20"/>
              </w:rPr>
              <w:t>00.00</w:t>
            </w:r>
          </w:p>
          <w:p w14:paraId="1955B855" w14:textId="38E27FA9" w:rsidR="007237D8" w:rsidRPr="00E320C7" w:rsidRDefault="005342B5" w:rsidP="005342B5">
            <w:pPr>
              <w:spacing w:before="120"/>
              <w:outlineLvl w:val="1"/>
              <w:rPr>
                <w:rFonts w:ascii="Arial" w:hAnsi="Arial" w:cs="Arial"/>
                <w:sz w:val="20"/>
                <w:szCs w:val="20"/>
              </w:rPr>
            </w:pPr>
            <w:r w:rsidRPr="00E320C7">
              <w:rPr>
                <w:rFonts w:ascii="Arial" w:hAnsi="Arial" w:cs="Arial"/>
                <w:sz w:val="20"/>
                <w:szCs w:val="20"/>
              </w:rPr>
              <w:t xml:space="preserve">  </w:t>
            </w:r>
            <w:r w:rsidR="007237D8" w:rsidRPr="00E320C7">
              <w:rPr>
                <w:rFonts w:ascii="Arial" w:hAnsi="Arial" w:cs="Arial"/>
                <w:sz w:val="20"/>
                <w:szCs w:val="20"/>
              </w:rPr>
              <w:t>(00.00)</w:t>
            </w:r>
          </w:p>
        </w:tc>
        <w:tc>
          <w:tcPr>
            <w:tcW w:w="990" w:type="dxa"/>
          </w:tcPr>
          <w:p w14:paraId="09A70D34" w14:textId="771F297A" w:rsidR="007237D8" w:rsidRPr="00E320C7" w:rsidRDefault="005342B5" w:rsidP="005342B5">
            <w:pPr>
              <w:rPr>
                <w:rFonts w:ascii="Arial" w:hAnsi="Arial" w:cs="Arial"/>
                <w:sz w:val="20"/>
                <w:szCs w:val="20"/>
              </w:rPr>
            </w:pPr>
            <w:r w:rsidRPr="00E320C7">
              <w:rPr>
                <w:rFonts w:ascii="Arial" w:hAnsi="Arial" w:cs="Arial"/>
                <w:sz w:val="20"/>
                <w:szCs w:val="20"/>
              </w:rPr>
              <w:t xml:space="preserve">  </w:t>
            </w:r>
            <w:r w:rsidR="007237D8" w:rsidRPr="00E320C7">
              <w:rPr>
                <w:rFonts w:ascii="Arial" w:hAnsi="Arial" w:cs="Arial"/>
                <w:sz w:val="20"/>
                <w:szCs w:val="20"/>
              </w:rPr>
              <w:t>00.00</w:t>
            </w:r>
          </w:p>
          <w:p w14:paraId="3042CF8A" w14:textId="018712C7" w:rsidR="007237D8" w:rsidRPr="00E320C7" w:rsidRDefault="005342B5" w:rsidP="005342B5">
            <w:pPr>
              <w:spacing w:before="120"/>
              <w:outlineLvl w:val="1"/>
              <w:rPr>
                <w:rFonts w:ascii="Arial" w:hAnsi="Arial" w:cs="Arial"/>
                <w:sz w:val="20"/>
                <w:szCs w:val="20"/>
              </w:rPr>
            </w:pPr>
            <w:r w:rsidRPr="00E320C7">
              <w:rPr>
                <w:rFonts w:ascii="Arial" w:hAnsi="Arial" w:cs="Arial"/>
                <w:sz w:val="20"/>
                <w:szCs w:val="20"/>
              </w:rPr>
              <w:t xml:space="preserve"> </w:t>
            </w:r>
            <w:r w:rsidR="007237D8" w:rsidRPr="00E320C7">
              <w:rPr>
                <w:rFonts w:ascii="Arial" w:hAnsi="Arial" w:cs="Arial"/>
                <w:sz w:val="20"/>
                <w:szCs w:val="20"/>
              </w:rPr>
              <w:t>(00.00)</w:t>
            </w:r>
          </w:p>
        </w:tc>
        <w:tc>
          <w:tcPr>
            <w:tcW w:w="1260" w:type="dxa"/>
          </w:tcPr>
          <w:p w14:paraId="15A73DFB" w14:textId="72E6EBF8" w:rsidR="007237D8" w:rsidRPr="00E320C7" w:rsidRDefault="005342B5" w:rsidP="005342B5">
            <w:pPr>
              <w:spacing w:after="17"/>
              <w:rPr>
                <w:rFonts w:ascii="Arial" w:hAnsi="Arial" w:cs="Arial"/>
                <w:sz w:val="20"/>
                <w:szCs w:val="20"/>
              </w:rPr>
            </w:pPr>
            <w:r w:rsidRPr="00E320C7">
              <w:rPr>
                <w:rFonts w:ascii="Arial" w:hAnsi="Arial" w:cs="Arial"/>
                <w:sz w:val="20"/>
                <w:szCs w:val="20"/>
              </w:rPr>
              <w:t xml:space="preserve">       </w:t>
            </w:r>
            <w:r w:rsidR="007237D8" w:rsidRPr="00E320C7">
              <w:rPr>
                <w:rFonts w:ascii="Arial" w:hAnsi="Arial" w:cs="Arial"/>
                <w:sz w:val="20"/>
                <w:szCs w:val="20"/>
              </w:rPr>
              <w:t>00.00</w:t>
            </w:r>
          </w:p>
          <w:p w14:paraId="18DFB210" w14:textId="70185BB4" w:rsidR="007237D8" w:rsidRPr="00E320C7" w:rsidRDefault="005342B5" w:rsidP="005342B5">
            <w:pPr>
              <w:spacing w:before="120"/>
              <w:outlineLvl w:val="1"/>
              <w:rPr>
                <w:rFonts w:ascii="Arial" w:hAnsi="Arial" w:cs="Arial"/>
                <w:sz w:val="20"/>
                <w:szCs w:val="20"/>
              </w:rPr>
            </w:pPr>
            <w:r w:rsidRPr="00E320C7">
              <w:rPr>
                <w:rFonts w:ascii="Arial" w:hAnsi="Arial" w:cs="Arial"/>
                <w:sz w:val="20"/>
                <w:szCs w:val="20"/>
              </w:rPr>
              <w:t xml:space="preserve">      </w:t>
            </w:r>
            <w:r w:rsidR="007237D8" w:rsidRPr="00E320C7">
              <w:rPr>
                <w:rFonts w:ascii="Arial" w:hAnsi="Arial" w:cs="Arial"/>
                <w:sz w:val="20"/>
                <w:szCs w:val="20"/>
              </w:rPr>
              <w:t>(00.00)</w:t>
            </w:r>
          </w:p>
        </w:tc>
      </w:tr>
      <w:tr w:rsidR="007237D8" w:rsidRPr="00E320C7" w14:paraId="5AA0C2D9" w14:textId="77777777" w:rsidTr="00B63627">
        <w:trPr>
          <w:trHeight w:val="458"/>
        </w:trPr>
        <w:tc>
          <w:tcPr>
            <w:tcW w:w="570" w:type="dxa"/>
          </w:tcPr>
          <w:p w14:paraId="04391A80" w14:textId="77777777" w:rsidR="007237D8" w:rsidRPr="00E320C7" w:rsidRDefault="007237D8" w:rsidP="005342B5">
            <w:pPr>
              <w:jc w:val="both"/>
              <w:outlineLvl w:val="1"/>
              <w:rPr>
                <w:rFonts w:ascii="Arial" w:hAnsi="Arial" w:cs="Arial"/>
                <w:sz w:val="20"/>
                <w:szCs w:val="20"/>
              </w:rPr>
            </w:pPr>
          </w:p>
        </w:tc>
        <w:tc>
          <w:tcPr>
            <w:tcW w:w="2130" w:type="dxa"/>
            <w:vAlign w:val="center"/>
          </w:tcPr>
          <w:p w14:paraId="1DBA6297" w14:textId="48E9A8F3" w:rsidR="007237D8" w:rsidRPr="00E320C7" w:rsidRDefault="007237D8" w:rsidP="005342B5">
            <w:pPr>
              <w:tabs>
                <w:tab w:val="left" w:pos="585"/>
                <w:tab w:val="center" w:pos="1092"/>
              </w:tabs>
              <w:outlineLvl w:val="1"/>
              <w:rPr>
                <w:rFonts w:ascii="Arial" w:hAnsi="Arial" w:cs="Arial"/>
                <w:b/>
                <w:bCs/>
                <w:sz w:val="20"/>
                <w:szCs w:val="20"/>
              </w:rPr>
            </w:pPr>
            <w:r w:rsidRPr="00E320C7">
              <w:rPr>
                <w:rFonts w:ascii="Arial" w:hAnsi="Arial" w:cs="Arial"/>
                <w:color w:val="000000"/>
                <w:sz w:val="20"/>
                <w:szCs w:val="20"/>
              </w:rPr>
              <w:t>S.E ±</w:t>
            </w:r>
          </w:p>
        </w:tc>
        <w:tc>
          <w:tcPr>
            <w:tcW w:w="810" w:type="dxa"/>
            <w:vAlign w:val="center"/>
          </w:tcPr>
          <w:p w14:paraId="1264F647" w14:textId="47035CC0" w:rsidR="007237D8" w:rsidRPr="00E320C7" w:rsidRDefault="007237D8" w:rsidP="005342B5">
            <w:pPr>
              <w:tabs>
                <w:tab w:val="left" w:pos="585"/>
                <w:tab w:val="center" w:pos="1092"/>
              </w:tabs>
              <w:jc w:val="center"/>
              <w:outlineLvl w:val="1"/>
              <w:rPr>
                <w:rFonts w:ascii="Arial" w:hAnsi="Arial" w:cs="Arial"/>
                <w:b/>
                <w:bCs/>
                <w:sz w:val="20"/>
                <w:szCs w:val="20"/>
              </w:rPr>
            </w:pPr>
            <w:r w:rsidRPr="00E320C7">
              <w:rPr>
                <w:rFonts w:ascii="Arial" w:hAnsi="Arial" w:cs="Arial"/>
                <w:color w:val="000000"/>
                <w:sz w:val="20"/>
                <w:szCs w:val="20"/>
              </w:rPr>
              <w:t>0.38</w:t>
            </w:r>
          </w:p>
        </w:tc>
        <w:tc>
          <w:tcPr>
            <w:tcW w:w="810" w:type="dxa"/>
            <w:vAlign w:val="center"/>
          </w:tcPr>
          <w:p w14:paraId="4648B6D8" w14:textId="670A0FDC" w:rsidR="007237D8" w:rsidRPr="00E320C7" w:rsidRDefault="007237D8" w:rsidP="005342B5">
            <w:pPr>
              <w:tabs>
                <w:tab w:val="left" w:pos="585"/>
                <w:tab w:val="center" w:pos="1092"/>
              </w:tabs>
              <w:jc w:val="center"/>
              <w:outlineLvl w:val="1"/>
              <w:rPr>
                <w:rFonts w:ascii="Arial" w:hAnsi="Arial" w:cs="Arial"/>
                <w:b/>
                <w:bCs/>
                <w:sz w:val="20"/>
                <w:szCs w:val="20"/>
              </w:rPr>
            </w:pPr>
            <w:r w:rsidRPr="00E320C7">
              <w:rPr>
                <w:rFonts w:ascii="Arial" w:hAnsi="Arial" w:cs="Arial"/>
                <w:color w:val="000000"/>
                <w:sz w:val="20"/>
                <w:szCs w:val="20"/>
              </w:rPr>
              <w:t>0.43</w:t>
            </w:r>
          </w:p>
        </w:tc>
        <w:tc>
          <w:tcPr>
            <w:tcW w:w="810" w:type="dxa"/>
            <w:vAlign w:val="center"/>
          </w:tcPr>
          <w:p w14:paraId="6E9B4705" w14:textId="4FE92C56" w:rsidR="007237D8" w:rsidRPr="00E320C7" w:rsidRDefault="007237D8" w:rsidP="005342B5">
            <w:pPr>
              <w:tabs>
                <w:tab w:val="left" w:pos="585"/>
                <w:tab w:val="center" w:pos="1092"/>
              </w:tabs>
              <w:jc w:val="center"/>
              <w:outlineLvl w:val="1"/>
              <w:rPr>
                <w:rFonts w:ascii="Arial" w:hAnsi="Arial" w:cs="Arial"/>
                <w:b/>
                <w:bCs/>
                <w:sz w:val="20"/>
                <w:szCs w:val="20"/>
              </w:rPr>
            </w:pPr>
          </w:p>
        </w:tc>
        <w:tc>
          <w:tcPr>
            <w:tcW w:w="990" w:type="dxa"/>
            <w:vAlign w:val="center"/>
          </w:tcPr>
          <w:p w14:paraId="560080C1" w14:textId="080F4A29" w:rsidR="007237D8" w:rsidRPr="00E320C7" w:rsidRDefault="007237D8" w:rsidP="005342B5">
            <w:pPr>
              <w:tabs>
                <w:tab w:val="left" w:pos="585"/>
                <w:tab w:val="center" w:pos="1092"/>
              </w:tabs>
              <w:jc w:val="center"/>
              <w:outlineLvl w:val="1"/>
              <w:rPr>
                <w:rFonts w:ascii="Arial" w:hAnsi="Arial" w:cs="Arial"/>
                <w:b/>
                <w:bCs/>
                <w:sz w:val="20"/>
                <w:szCs w:val="20"/>
              </w:rPr>
            </w:pPr>
            <w:r w:rsidRPr="00E320C7">
              <w:rPr>
                <w:rFonts w:ascii="Arial" w:hAnsi="Arial" w:cs="Arial"/>
                <w:color w:val="000000"/>
                <w:sz w:val="20"/>
                <w:szCs w:val="20"/>
              </w:rPr>
              <w:t>0.42</w:t>
            </w:r>
          </w:p>
        </w:tc>
        <w:tc>
          <w:tcPr>
            <w:tcW w:w="990" w:type="dxa"/>
            <w:vAlign w:val="center"/>
          </w:tcPr>
          <w:p w14:paraId="6C58425A" w14:textId="4D9CB533" w:rsidR="007237D8" w:rsidRPr="00E320C7" w:rsidRDefault="007237D8" w:rsidP="005342B5">
            <w:pPr>
              <w:tabs>
                <w:tab w:val="left" w:pos="585"/>
                <w:tab w:val="center" w:pos="1092"/>
              </w:tabs>
              <w:jc w:val="center"/>
              <w:outlineLvl w:val="1"/>
              <w:rPr>
                <w:rFonts w:ascii="Arial" w:hAnsi="Arial" w:cs="Arial"/>
                <w:b/>
                <w:bCs/>
                <w:sz w:val="20"/>
                <w:szCs w:val="20"/>
              </w:rPr>
            </w:pPr>
            <w:r w:rsidRPr="00E320C7">
              <w:rPr>
                <w:rFonts w:ascii="Arial" w:hAnsi="Arial" w:cs="Arial"/>
                <w:color w:val="000000"/>
                <w:sz w:val="20"/>
                <w:szCs w:val="20"/>
              </w:rPr>
              <w:t xml:space="preserve">  0.47</w:t>
            </w:r>
          </w:p>
        </w:tc>
        <w:tc>
          <w:tcPr>
            <w:tcW w:w="1260" w:type="dxa"/>
          </w:tcPr>
          <w:p w14:paraId="10F67986" w14:textId="48F5E600" w:rsidR="007237D8" w:rsidRPr="00E320C7" w:rsidRDefault="007237D8" w:rsidP="005342B5">
            <w:pPr>
              <w:tabs>
                <w:tab w:val="left" w:pos="585"/>
                <w:tab w:val="center" w:pos="1092"/>
              </w:tabs>
              <w:jc w:val="center"/>
              <w:outlineLvl w:val="1"/>
              <w:rPr>
                <w:rFonts w:ascii="Arial" w:hAnsi="Arial" w:cs="Arial"/>
                <w:b/>
                <w:bCs/>
                <w:sz w:val="20"/>
                <w:szCs w:val="20"/>
              </w:rPr>
            </w:pPr>
          </w:p>
        </w:tc>
      </w:tr>
      <w:tr w:rsidR="007237D8" w:rsidRPr="00E320C7" w14:paraId="7183FCB4" w14:textId="77777777" w:rsidTr="00B63627">
        <w:tc>
          <w:tcPr>
            <w:tcW w:w="570" w:type="dxa"/>
          </w:tcPr>
          <w:p w14:paraId="645FEF5F" w14:textId="77777777" w:rsidR="007237D8" w:rsidRPr="00E320C7" w:rsidRDefault="007237D8" w:rsidP="005342B5">
            <w:pPr>
              <w:jc w:val="both"/>
              <w:outlineLvl w:val="1"/>
              <w:rPr>
                <w:rFonts w:ascii="Arial" w:hAnsi="Arial" w:cs="Arial"/>
                <w:sz w:val="20"/>
                <w:szCs w:val="20"/>
              </w:rPr>
            </w:pPr>
          </w:p>
        </w:tc>
        <w:tc>
          <w:tcPr>
            <w:tcW w:w="2130" w:type="dxa"/>
            <w:vAlign w:val="center"/>
          </w:tcPr>
          <w:p w14:paraId="4F6F08F8" w14:textId="2A617A02" w:rsidR="007237D8" w:rsidRPr="00E320C7" w:rsidRDefault="007237D8" w:rsidP="005342B5">
            <w:pPr>
              <w:tabs>
                <w:tab w:val="left" w:pos="585"/>
                <w:tab w:val="center" w:pos="1092"/>
              </w:tabs>
              <w:outlineLvl w:val="1"/>
              <w:rPr>
                <w:rFonts w:ascii="Arial" w:hAnsi="Arial" w:cs="Arial"/>
                <w:b/>
                <w:bCs/>
                <w:sz w:val="20"/>
                <w:szCs w:val="20"/>
              </w:rPr>
            </w:pPr>
            <w:r w:rsidRPr="00E320C7">
              <w:rPr>
                <w:rFonts w:ascii="Arial" w:hAnsi="Arial" w:cs="Arial"/>
                <w:color w:val="000000"/>
                <w:sz w:val="20"/>
                <w:szCs w:val="20"/>
              </w:rPr>
              <w:t>C.D. at 1%</w:t>
            </w:r>
          </w:p>
        </w:tc>
        <w:tc>
          <w:tcPr>
            <w:tcW w:w="810" w:type="dxa"/>
            <w:vAlign w:val="center"/>
          </w:tcPr>
          <w:p w14:paraId="71B7FCCA" w14:textId="78927976" w:rsidR="007237D8" w:rsidRPr="00E320C7" w:rsidRDefault="007237D8" w:rsidP="005342B5">
            <w:pPr>
              <w:tabs>
                <w:tab w:val="left" w:pos="585"/>
                <w:tab w:val="center" w:pos="1092"/>
              </w:tabs>
              <w:jc w:val="center"/>
              <w:outlineLvl w:val="1"/>
              <w:rPr>
                <w:rFonts w:ascii="Arial" w:hAnsi="Arial" w:cs="Arial"/>
                <w:b/>
                <w:bCs/>
                <w:sz w:val="20"/>
                <w:szCs w:val="20"/>
              </w:rPr>
            </w:pPr>
            <w:r w:rsidRPr="00E320C7">
              <w:rPr>
                <w:rFonts w:ascii="Arial" w:hAnsi="Arial" w:cs="Arial"/>
                <w:color w:val="000000"/>
                <w:sz w:val="20"/>
                <w:szCs w:val="20"/>
              </w:rPr>
              <w:t>1.66</w:t>
            </w:r>
          </w:p>
        </w:tc>
        <w:tc>
          <w:tcPr>
            <w:tcW w:w="810" w:type="dxa"/>
            <w:vAlign w:val="center"/>
          </w:tcPr>
          <w:p w14:paraId="3A69C466" w14:textId="264AA2CC" w:rsidR="007237D8" w:rsidRPr="00E320C7" w:rsidRDefault="007237D8" w:rsidP="005342B5">
            <w:pPr>
              <w:tabs>
                <w:tab w:val="left" w:pos="585"/>
                <w:tab w:val="center" w:pos="1092"/>
              </w:tabs>
              <w:jc w:val="center"/>
              <w:outlineLvl w:val="1"/>
              <w:rPr>
                <w:rFonts w:ascii="Arial" w:hAnsi="Arial" w:cs="Arial"/>
                <w:b/>
                <w:bCs/>
                <w:sz w:val="20"/>
                <w:szCs w:val="20"/>
              </w:rPr>
            </w:pPr>
            <w:r w:rsidRPr="00E320C7">
              <w:rPr>
                <w:rFonts w:ascii="Arial" w:hAnsi="Arial" w:cs="Arial"/>
                <w:color w:val="000000"/>
                <w:sz w:val="20"/>
                <w:szCs w:val="20"/>
              </w:rPr>
              <w:t>1.85</w:t>
            </w:r>
          </w:p>
        </w:tc>
        <w:tc>
          <w:tcPr>
            <w:tcW w:w="810" w:type="dxa"/>
            <w:vAlign w:val="center"/>
          </w:tcPr>
          <w:p w14:paraId="06A05001" w14:textId="3F56C897" w:rsidR="007237D8" w:rsidRPr="00E320C7" w:rsidRDefault="007237D8" w:rsidP="005342B5">
            <w:pPr>
              <w:tabs>
                <w:tab w:val="left" w:pos="585"/>
                <w:tab w:val="center" w:pos="1092"/>
              </w:tabs>
              <w:jc w:val="center"/>
              <w:outlineLvl w:val="1"/>
              <w:rPr>
                <w:rFonts w:ascii="Arial" w:hAnsi="Arial" w:cs="Arial"/>
                <w:b/>
                <w:bCs/>
                <w:sz w:val="20"/>
                <w:szCs w:val="20"/>
              </w:rPr>
            </w:pPr>
          </w:p>
        </w:tc>
        <w:tc>
          <w:tcPr>
            <w:tcW w:w="990" w:type="dxa"/>
            <w:vAlign w:val="center"/>
          </w:tcPr>
          <w:p w14:paraId="4F29ECC3" w14:textId="18543A90" w:rsidR="007237D8" w:rsidRPr="00E320C7" w:rsidRDefault="007237D8" w:rsidP="005342B5">
            <w:pPr>
              <w:tabs>
                <w:tab w:val="left" w:pos="585"/>
                <w:tab w:val="center" w:pos="1092"/>
              </w:tabs>
              <w:jc w:val="center"/>
              <w:outlineLvl w:val="1"/>
              <w:rPr>
                <w:rFonts w:ascii="Arial" w:hAnsi="Arial" w:cs="Arial"/>
                <w:b/>
                <w:bCs/>
                <w:sz w:val="20"/>
                <w:szCs w:val="20"/>
              </w:rPr>
            </w:pPr>
            <w:r w:rsidRPr="00E320C7">
              <w:rPr>
                <w:rFonts w:ascii="Arial" w:hAnsi="Arial" w:cs="Arial"/>
                <w:color w:val="000000"/>
                <w:sz w:val="20"/>
                <w:szCs w:val="20"/>
              </w:rPr>
              <w:t>1.85</w:t>
            </w:r>
          </w:p>
        </w:tc>
        <w:tc>
          <w:tcPr>
            <w:tcW w:w="990" w:type="dxa"/>
            <w:vAlign w:val="center"/>
          </w:tcPr>
          <w:p w14:paraId="166CC9BD" w14:textId="7257609B" w:rsidR="007237D8" w:rsidRPr="00E320C7" w:rsidRDefault="007237D8" w:rsidP="005342B5">
            <w:pPr>
              <w:tabs>
                <w:tab w:val="left" w:pos="585"/>
                <w:tab w:val="center" w:pos="1092"/>
              </w:tabs>
              <w:jc w:val="center"/>
              <w:outlineLvl w:val="1"/>
              <w:rPr>
                <w:rFonts w:ascii="Arial" w:hAnsi="Arial" w:cs="Arial"/>
                <w:b/>
                <w:bCs/>
                <w:sz w:val="20"/>
                <w:szCs w:val="20"/>
              </w:rPr>
            </w:pPr>
            <w:r w:rsidRPr="00E320C7">
              <w:rPr>
                <w:rFonts w:ascii="Arial" w:hAnsi="Arial" w:cs="Arial"/>
                <w:color w:val="000000"/>
                <w:sz w:val="20"/>
                <w:szCs w:val="20"/>
              </w:rPr>
              <w:t>2.06</w:t>
            </w:r>
          </w:p>
        </w:tc>
        <w:tc>
          <w:tcPr>
            <w:tcW w:w="1260" w:type="dxa"/>
          </w:tcPr>
          <w:p w14:paraId="6684036B" w14:textId="1C856884" w:rsidR="007237D8" w:rsidRPr="00E320C7" w:rsidRDefault="007237D8" w:rsidP="005342B5">
            <w:pPr>
              <w:tabs>
                <w:tab w:val="left" w:pos="585"/>
                <w:tab w:val="center" w:pos="1092"/>
              </w:tabs>
              <w:jc w:val="center"/>
              <w:outlineLvl w:val="1"/>
              <w:rPr>
                <w:rFonts w:ascii="Arial" w:hAnsi="Arial" w:cs="Arial"/>
                <w:b/>
                <w:bCs/>
                <w:sz w:val="20"/>
                <w:szCs w:val="20"/>
              </w:rPr>
            </w:pPr>
          </w:p>
        </w:tc>
      </w:tr>
    </w:tbl>
    <w:p w14:paraId="6F82879D" w14:textId="77777777" w:rsidR="00AA774B" w:rsidRPr="000A51A6" w:rsidRDefault="00AA774B" w:rsidP="00AA774B">
      <w:pPr>
        <w:spacing w:before="120"/>
        <w:jc w:val="both"/>
        <w:outlineLvl w:val="1"/>
        <w:rPr>
          <w:rFonts w:ascii="Arial" w:hAnsi="Arial" w:cs="Arial"/>
        </w:rPr>
      </w:pPr>
      <w:r w:rsidRPr="000A51A6">
        <w:rPr>
          <w:rFonts w:ascii="Arial" w:hAnsi="Arial" w:cs="Arial"/>
        </w:rPr>
        <w:t>*: Mean of three replications, **: Values in parenthesis are arcsin transformed values, Dia.: Diameter, Avg.: Average</w:t>
      </w:r>
    </w:p>
    <w:p w14:paraId="707C00C4" w14:textId="048D1AE3" w:rsidR="00E320C7" w:rsidRDefault="00E50AB3" w:rsidP="00E320C7">
      <w:pPr>
        <w:tabs>
          <w:tab w:val="left" w:pos="90"/>
        </w:tabs>
        <w:spacing w:before="120" w:after="120" w:line="360" w:lineRule="auto"/>
        <w:jc w:val="both"/>
        <w:outlineLvl w:val="1"/>
        <w:rPr>
          <w:rFonts w:ascii="Arial" w:hAnsi="Arial" w:cs="Arial"/>
          <w:b/>
          <w:bCs/>
          <w:i/>
          <w:iCs/>
          <w:color w:val="000000" w:themeColor="text1"/>
          <w:kern w:val="24"/>
        </w:rPr>
      </w:pPr>
      <w:r>
        <w:rPr>
          <w:rFonts w:ascii="Arial" w:hAnsi="Arial" w:cs="Arial"/>
          <w:b/>
          <w:bCs/>
          <w:color w:val="000000" w:themeColor="text1"/>
          <w:kern w:val="24"/>
        </w:rPr>
        <w:t xml:space="preserve">Plate 1: </w:t>
      </w:r>
      <w:r w:rsidR="000A51A6" w:rsidRPr="000A51A6">
        <w:rPr>
          <w:rFonts w:ascii="Arial" w:hAnsi="Arial" w:cs="Arial"/>
          <w:b/>
          <w:bCs/>
          <w:i/>
          <w:iCs/>
          <w:color w:val="000000" w:themeColor="text1"/>
          <w:kern w:val="24"/>
        </w:rPr>
        <w:t xml:space="preserve">In vitro </w:t>
      </w:r>
      <w:r w:rsidR="000A51A6" w:rsidRPr="000A51A6">
        <w:rPr>
          <w:rFonts w:ascii="Arial" w:hAnsi="Arial" w:cs="Arial"/>
          <w:b/>
          <w:bCs/>
          <w:color w:val="000000" w:themeColor="text1"/>
          <w:kern w:val="24"/>
        </w:rPr>
        <w:t xml:space="preserve">evaluation of systemic fungicides against </w:t>
      </w:r>
      <w:r w:rsidR="00E320C7">
        <w:rPr>
          <w:rFonts w:ascii="Arial" w:hAnsi="Arial" w:cs="Arial"/>
          <w:b/>
          <w:bCs/>
          <w:i/>
          <w:iCs/>
          <w:color w:val="000000" w:themeColor="text1"/>
          <w:kern w:val="24"/>
        </w:rPr>
        <w:t>Alternariaster helianthi</w:t>
      </w:r>
    </w:p>
    <w:tbl>
      <w:tblPr>
        <w:tblStyle w:val="TableGrid10"/>
        <w:tblW w:w="89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222"/>
        <w:gridCol w:w="4326"/>
      </w:tblGrid>
      <w:tr w:rsidR="00E50AB3" w14:paraId="374C6B1F" w14:textId="77777777" w:rsidTr="00E50AB3">
        <w:trPr>
          <w:trHeight w:val="4598"/>
        </w:trPr>
        <w:tc>
          <w:tcPr>
            <w:tcW w:w="4446" w:type="dxa"/>
          </w:tcPr>
          <w:p w14:paraId="280D886B" w14:textId="77777777" w:rsidR="00E50AB3" w:rsidRDefault="00E50AB3" w:rsidP="00D27050">
            <w:pPr>
              <w:tabs>
                <w:tab w:val="left" w:pos="6850"/>
              </w:tabs>
              <w:rPr>
                <w:rFonts w:ascii="Times New Roman" w:hAnsi="Times New Roman" w:cs="Times New Roman"/>
              </w:rPr>
            </w:pPr>
            <w:r>
              <w:rPr>
                <w:noProof/>
              </w:rPr>
              <w:drawing>
                <wp:inline distT="0" distB="0" distL="0" distR="0" wp14:anchorId="5967F05F" wp14:editId="037D59FC">
                  <wp:extent cx="2510155" cy="2616200"/>
                  <wp:effectExtent l="114300" t="57150" r="61595" b="107950"/>
                  <wp:docPr id="124741632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16325" name="Picture 12474163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9072" cy="262549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222" w:type="dxa"/>
          </w:tcPr>
          <w:p w14:paraId="2A3733DC" w14:textId="77777777" w:rsidR="00E50AB3" w:rsidRDefault="00E50AB3" w:rsidP="00D27050">
            <w:pPr>
              <w:tabs>
                <w:tab w:val="left" w:pos="6850"/>
              </w:tabs>
              <w:rPr>
                <w:rFonts w:ascii="Times New Roman" w:hAnsi="Times New Roman" w:cs="Times New Roman"/>
              </w:rPr>
            </w:pPr>
          </w:p>
        </w:tc>
        <w:tc>
          <w:tcPr>
            <w:tcW w:w="4326" w:type="dxa"/>
          </w:tcPr>
          <w:p w14:paraId="22CD413C" w14:textId="77777777" w:rsidR="00E50AB3" w:rsidRDefault="00E50AB3" w:rsidP="00D27050">
            <w:pPr>
              <w:tabs>
                <w:tab w:val="left" w:pos="6850"/>
              </w:tabs>
              <w:rPr>
                <w:rFonts w:ascii="Times New Roman" w:hAnsi="Times New Roman" w:cs="Times New Roman"/>
              </w:rPr>
            </w:pPr>
            <w:r>
              <w:rPr>
                <w:noProof/>
              </w:rPr>
              <w:drawing>
                <wp:inline distT="0" distB="0" distL="0" distR="0" wp14:anchorId="7AF1DA7B" wp14:editId="2B579AE5">
                  <wp:extent cx="2432050" cy="2552700"/>
                  <wp:effectExtent l="114300" t="57150" r="63500" b="133350"/>
                  <wp:docPr id="604746079" name="Picture 7">
                    <a:extLst xmlns:a="http://schemas.openxmlformats.org/drawingml/2006/main">
                      <a:ext uri="{FF2B5EF4-FFF2-40B4-BE49-F238E27FC236}">
                        <a16:creationId xmlns:a16="http://schemas.microsoft.com/office/drawing/2014/main" id="{529749DA-CD77-593B-B9F5-23A221CFD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29749DA-CD77-593B-B9F5-23A221CFD66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2985" cy="261665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r w:rsidR="00E50AB3" w14:paraId="2AF0227D" w14:textId="77777777" w:rsidTr="00E50AB3">
        <w:trPr>
          <w:trHeight w:val="350"/>
        </w:trPr>
        <w:tc>
          <w:tcPr>
            <w:tcW w:w="4446" w:type="dxa"/>
          </w:tcPr>
          <w:p w14:paraId="09B65351" w14:textId="77777777" w:rsidR="00E50AB3" w:rsidRPr="008D5EF1" w:rsidRDefault="00E50AB3" w:rsidP="00D27050">
            <w:pPr>
              <w:jc w:val="center"/>
              <w:rPr>
                <w:rFonts w:ascii="Times New Roman" w:hAnsi="Times New Roman" w:cs="Times New Roman"/>
                <w:b/>
                <w:bCs/>
                <w:sz w:val="24"/>
                <w:szCs w:val="24"/>
              </w:rPr>
            </w:pPr>
            <w:r w:rsidRPr="008D5EF1">
              <w:rPr>
                <w:rFonts w:ascii="Times New Roman" w:hAnsi="Times New Roman" w:cs="Times New Roman"/>
                <w:b/>
                <w:bCs/>
                <w:sz w:val="24"/>
                <w:szCs w:val="24"/>
              </w:rPr>
              <w:t>@</w:t>
            </w:r>
            <w:r>
              <w:rPr>
                <w:rFonts w:ascii="Times New Roman" w:hAnsi="Times New Roman" w:cs="Times New Roman"/>
                <w:b/>
                <w:bCs/>
                <w:sz w:val="24"/>
                <w:szCs w:val="24"/>
              </w:rPr>
              <w:t xml:space="preserve"> </w:t>
            </w:r>
            <w:r w:rsidRPr="008D5EF1">
              <w:rPr>
                <w:rFonts w:ascii="Times New Roman" w:hAnsi="Times New Roman" w:cs="Times New Roman"/>
                <w:b/>
                <w:bCs/>
                <w:sz w:val="24"/>
                <w:szCs w:val="24"/>
              </w:rPr>
              <w:t>500PPM</w:t>
            </w:r>
          </w:p>
          <w:p w14:paraId="32A6EFBE" w14:textId="77777777" w:rsidR="00E50AB3" w:rsidRDefault="00E50AB3" w:rsidP="00D27050">
            <w:pPr>
              <w:tabs>
                <w:tab w:val="left" w:pos="6850"/>
              </w:tabs>
              <w:rPr>
                <w:rFonts w:ascii="Times New Roman" w:hAnsi="Times New Roman" w:cs="Times New Roman"/>
              </w:rPr>
            </w:pPr>
          </w:p>
          <w:p w14:paraId="49481108" w14:textId="77777777" w:rsidR="00E50AB3" w:rsidRDefault="00E50AB3" w:rsidP="00D27050">
            <w:pPr>
              <w:tabs>
                <w:tab w:val="left" w:pos="6850"/>
              </w:tabs>
              <w:rPr>
                <w:rFonts w:ascii="Times New Roman" w:hAnsi="Times New Roman" w:cs="Times New Roman"/>
              </w:rPr>
            </w:pPr>
          </w:p>
        </w:tc>
        <w:tc>
          <w:tcPr>
            <w:tcW w:w="222" w:type="dxa"/>
          </w:tcPr>
          <w:p w14:paraId="6CC244E8" w14:textId="77777777" w:rsidR="00E50AB3" w:rsidRDefault="00E50AB3" w:rsidP="00D27050">
            <w:pPr>
              <w:tabs>
                <w:tab w:val="left" w:pos="6850"/>
              </w:tabs>
              <w:rPr>
                <w:rFonts w:ascii="Times New Roman" w:hAnsi="Times New Roman" w:cs="Times New Roman"/>
              </w:rPr>
            </w:pPr>
          </w:p>
        </w:tc>
        <w:tc>
          <w:tcPr>
            <w:tcW w:w="4326" w:type="dxa"/>
          </w:tcPr>
          <w:p w14:paraId="73DA72C9" w14:textId="77777777" w:rsidR="00E50AB3" w:rsidRPr="008D5EF1" w:rsidRDefault="00E50AB3" w:rsidP="00D27050">
            <w:pPr>
              <w:jc w:val="center"/>
              <w:rPr>
                <w:rFonts w:ascii="Times New Roman" w:hAnsi="Times New Roman" w:cs="Times New Roman"/>
                <w:b/>
                <w:bCs/>
                <w:sz w:val="24"/>
                <w:szCs w:val="24"/>
              </w:rPr>
            </w:pPr>
            <w:r w:rsidRPr="008D5EF1">
              <w:rPr>
                <w:rFonts w:ascii="Times New Roman" w:hAnsi="Times New Roman" w:cs="Times New Roman"/>
                <w:b/>
                <w:bCs/>
                <w:sz w:val="24"/>
                <w:szCs w:val="24"/>
              </w:rPr>
              <w:t>@</w:t>
            </w:r>
            <w:r>
              <w:rPr>
                <w:rFonts w:ascii="Times New Roman" w:hAnsi="Times New Roman" w:cs="Times New Roman"/>
                <w:b/>
                <w:bCs/>
                <w:sz w:val="24"/>
                <w:szCs w:val="24"/>
              </w:rPr>
              <w:t xml:space="preserve"> </w:t>
            </w:r>
            <w:r w:rsidRPr="008D5EF1">
              <w:rPr>
                <w:rFonts w:ascii="Times New Roman" w:hAnsi="Times New Roman" w:cs="Times New Roman"/>
                <w:b/>
                <w:bCs/>
                <w:sz w:val="24"/>
                <w:szCs w:val="24"/>
              </w:rPr>
              <w:t>1000 PPM</w:t>
            </w:r>
          </w:p>
          <w:p w14:paraId="1E7288A0" w14:textId="77777777" w:rsidR="00E50AB3" w:rsidRDefault="00E50AB3" w:rsidP="00D27050">
            <w:pPr>
              <w:tabs>
                <w:tab w:val="left" w:pos="6850"/>
              </w:tabs>
              <w:rPr>
                <w:rFonts w:ascii="Times New Roman" w:hAnsi="Times New Roman" w:cs="Times New Roman"/>
              </w:rPr>
            </w:pPr>
          </w:p>
        </w:tc>
      </w:tr>
    </w:tbl>
    <w:p w14:paraId="694DB8DC" w14:textId="6CAE187B" w:rsidR="00E320C7" w:rsidRDefault="00E320C7" w:rsidP="00E320C7">
      <w:pPr>
        <w:tabs>
          <w:tab w:val="left" w:pos="90"/>
        </w:tabs>
        <w:spacing w:before="120" w:after="120" w:line="360" w:lineRule="auto"/>
        <w:jc w:val="both"/>
        <w:outlineLvl w:val="1"/>
        <w:rPr>
          <w:rFonts w:ascii="Arial" w:hAnsi="Arial" w:cs="Arial"/>
          <w:b/>
          <w:bCs/>
          <w:i/>
          <w:iCs/>
          <w:color w:val="000000" w:themeColor="text1"/>
          <w:kern w:val="24"/>
        </w:rPr>
      </w:pPr>
      <w:r w:rsidRPr="00984180">
        <w:rPr>
          <w:rFonts w:ascii="Times New Roman" w:hAnsi="Times New Roman"/>
          <w:noProof/>
          <w:color w:val="000000"/>
          <w:sz w:val="24"/>
          <w:szCs w:val="24"/>
          <w:lang w:eastAsia="en-IN"/>
        </w:rPr>
        <w:lastRenderedPageBreak/>
        <w:drawing>
          <wp:inline distT="0" distB="0" distL="0" distR="0" wp14:anchorId="763C1EB4" wp14:editId="7B72D327">
            <wp:extent cx="5692140" cy="3558540"/>
            <wp:effectExtent l="0" t="0" r="3810" b="3810"/>
            <wp:docPr id="1702486102" name="Chart 1">
              <a:extLst xmlns:a="http://schemas.openxmlformats.org/drawingml/2006/main">
                <a:ext uri="{FF2B5EF4-FFF2-40B4-BE49-F238E27FC236}">
                  <a16:creationId xmlns:a16="http://schemas.microsoft.com/office/drawing/2014/main" id="{6709D9EF-D578-9FD6-1471-2601801DA1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FC6181" w14:textId="278DA2AC" w:rsidR="00E50AB3" w:rsidRDefault="00E50AB3" w:rsidP="00E50AB3">
      <w:pPr>
        <w:tabs>
          <w:tab w:val="left" w:pos="90"/>
        </w:tabs>
        <w:spacing w:before="120" w:after="120" w:line="276" w:lineRule="auto"/>
        <w:jc w:val="both"/>
        <w:outlineLvl w:val="1"/>
        <w:rPr>
          <w:rFonts w:ascii="Arial" w:hAnsi="Arial" w:cs="Arial"/>
          <w:b/>
          <w:bCs/>
          <w:i/>
          <w:iCs/>
        </w:rPr>
      </w:pPr>
      <w:r>
        <w:rPr>
          <w:rFonts w:ascii="Arial" w:hAnsi="Arial" w:cs="Arial"/>
          <w:b/>
          <w:bCs/>
          <w:color w:val="000000" w:themeColor="text1"/>
          <w:kern w:val="24"/>
        </w:rPr>
        <w:t xml:space="preserve">Fig 1: </w:t>
      </w:r>
      <w:r w:rsidRPr="000A51A6">
        <w:rPr>
          <w:rFonts w:ascii="Arial" w:hAnsi="Arial" w:cs="Arial"/>
          <w:b/>
          <w:bCs/>
          <w:i/>
          <w:iCs/>
          <w:color w:val="000000" w:themeColor="text1"/>
          <w:kern w:val="24"/>
        </w:rPr>
        <w:t xml:space="preserve">In vitro </w:t>
      </w:r>
      <w:r w:rsidRPr="000A51A6">
        <w:rPr>
          <w:rFonts w:ascii="Arial" w:hAnsi="Arial" w:cs="Arial"/>
          <w:b/>
          <w:bCs/>
          <w:color w:val="000000" w:themeColor="text1"/>
          <w:kern w:val="24"/>
        </w:rPr>
        <w:t xml:space="preserve">evaluation of systemic fungicides against </w:t>
      </w:r>
      <w:r>
        <w:rPr>
          <w:rFonts w:ascii="Arial" w:hAnsi="Arial" w:cs="Arial"/>
          <w:b/>
          <w:bCs/>
          <w:i/>
          <w:iCs/>
          <w:color w:val="000000" w:themeColor="text1"/>
          <w:kern w:val="24"/>
        </w:rPr>
        <w:t>Alternariaster helianthi</w:t>
      </w:r>
    </w:p>
    <w:p w14:paraId="6DFCC0C5" w14:textId="748F2E9E" w:rsidR="000A51A6" w:rsidRDefault="000A51A6" w:rsidP="00E50AB3">
      <w:pPr>
        <w:tabs>
          <w:tab w:val="left" w:pos="90"/>
        </w:tabs>
        <w:spacing w:before="120" w:after="120" w:line="276" w:lineRule="auto"/>
        <w:jc w:val="both"/>
        <w:outlineLvl w:val="1"/>
        <w:rPr>
          <w:rFonts w:ascii="Arial" w:hAnsi="Arial" w:cs="Arial"/>
          <w:b/>
          <w:bCs/>
          <w:i/>
          <w:iCs/>
        </w:rPr>
      </w:pPr>
      <w:r w:rsidRPr="000A51A6">
        <w:rPr>
          <w:rFonts w:ascii="Arial" w:hAnsi="Arial" w:cs="Arial"/>
          <w:b/>
          <w:bCs/>
          <w:i/>
          <w:iCs/>
        </w:rPr>
        <w:t>In vitro</w:t>
      </w:r>
      <w:r w:rsidRPr="000A51A6">
        <w:rPr>
          <w:rFonts w:ascii="Arial" w:hAnsi="Arial" w:cs="Arial"/>
          <w:b/>
          <w:bCs/>
        </w:rPr>
        <w:t xml:space="preserve"> evaluation of contact and combi-product fungicides against </w:t>
      </w:r>
      <w:r w:rsidR="00E320C7">
        <w:rPr>
          <w:rFonts w:ascii="Arial" w:hAnsi="Arial" w:cs="Arial"/>
          <w:b/>
          <w:bCs/>
          <w:i/>
          <w:iCs/>
        </w:rPr>
        <w:t>Alternariaster helianthi</w:t>
      </w:r>
    </w:p>
    <w:p w14:paraId="4057BB56" w14:textId="77777777" w:rsidR="00B667FF" w:rsidRDefault="00B667FF" w:rsidP="00E50AB3">
      <w:pPr>
        <w:spacing w:line="276" w:lineRule="auto"/>
        <w:jc w:val="both"/>
        <w:rPr>
          <w:rFonts w:ascii="Arial" w:hAnsi="Arial" w:cs="Arial"/>
          <w:b/>
          <w:bCs/>
          <w:color w:val="000000"/>
          <w:lang w:eastAsia="en-IN"/>
        </w:rPr>
      </w:pPr>
      <w:r w:rsidRPr="00F0055E">
        <w:rPr>
          <w:rFonts w:ascii="Arial" w:hAnsi="Arial" w:cs="Arial"/>
          <w:b/>
          <w:bCs/>
          <w:color w:val="000000"/>
          <w:lang w:eastAsia="en-IN"/>
        </w:rPr>
        <w:t>Effect on radial mycelial growth</w:t>
      </w:r>
    </w:p>
    <w:p w14:paraId="173A76FB" w14:textId="2C151873" w:rsidR="00E320C7" w:rsidRPr="00B667FF" w:rsidRDefault="00E320C7" w:rsidP="00B667FF">
      <w:pPr>
        <w:spacing w:line="360" w:lineRule="auto"/>
        <w:ind w:firstLine="720"/>
        <w:jc w:val="both"/>
        <w:rPr>
          <w:rFonts w:ascii="Arial" w:hAnsi="Arial" w:cs="Arial"/>
          <w:color w:val="000000"/>
          <w:lang w:eastAsia="en-IN"/>
        </w:rPr>
      </w:pPr>
      <w:r w:rsidRPr="00B667FF">
        <w:rPr>
          <w:rFonts w:ascii="Arial" w:hAnsi="Arial" w:cs="Arial"/>
        </w:rPr>
        <w:t xml:space="preserve">At 500 ppm concentration, the radial mycelial growth of test pathogen was recorded in the range of 00.00 - 41.00 mm as compared with control (90.00mm). There was no mycelial growth with the fungicide tested </w:t>
      </w:r>
      <w:r w:rsidRPr="00B667FF">
        <w:rPr>
          <w:rFonts w:ascii="Arial" w:hAnsi="Arial" w:cs="Arial"/>
          <w:i/>
          <w:iCs/>
        </w:rPr>
        <w:t>viz.,</w:t>
      </w:r>
      <w:r w:rsidRPr="00B667FF">
        <w:rPr>
          <w:rFonts w:ascii="Arial" w:hAnsi="Arial" w:cs="Arial"/>
        </w:rPr>
        <w:t xml:space="preserve"> T</w:t>
      </w:r>
      <w:r w:rsidRPr="00B667FF">
        <w:rPr>
          <w:rFonts w:ascii="Arial" w:hAnsi="Arial" w:cs="Arial"/>
          <w:vertAlign w:val="subscript"/>
        </w:rPr>
        <w:t>1</w:t>
      </w:r>
      <w:r w:rsidRPr="00B667FF">
        <w:rPr>
          <w:rFonts w:ascii="Arial" w:hAnsi="Arial" w:cs="Arial"/>
        </w:rPr>
        <w:t>: Mancozeb 75 % WP and T</w:t>
      </w:r>
      <w:r w:rsidRPr="00B667FF">
        <w:rPr>
          <w:rFonts w:ascii="Arial" w:hAnsi="Arial" w:cs="Arial"/>
          <w:vertAlign w:val="subscript"/>
        </w:rPr>
        <w:t>2</w:t>
      </w:r>
      <w:r w:rsidRPr="00B667FF">
        <w:rPr>
          <w:rFonts w:ascii="Arial" w:hAnsi="Arial" w:cs="Arial"/>
        </w:rPr>
        <w:t>: Azoxystrobin 18.2 % + Difenoconazole 11.4 % SC. While T</w:t>
      </w:r>
      <w:r w:rsidRPr="00B667FF">
        <w:rPr>
          <w:rFonts w:ascii="Arial" w:hAnsi="Arial" w:cs="Arial"/>
          <w:vertAlign w:val="subscript"/>
        </w:rPr>
        <w:t>3</w:t>
      </w:r>
      <w:r w:rsidRPr="00B667FF">
        <w:rPr>
          <w:rFonts w:ascii="Arial" w:hAnsi="Arial" w:cs="Arial"/>
        </w:rPr>
        <w:t>: Carbendazim 12 % + Mancozeb 63 % resulted with mycelial growth 6.4 mm, this was followed by T</w:t>
      </w:r>
      <w:r w:rsidRPr="00B667FF">
        <w:rPr>
          <w:rFonts w:ascii="Arial" w:hAnsi="Arial" w:cs="Arial"/>
          <w:vertAlign w:val="subscript"/>
        </w:rPr>
        <w:t>4</w:t>
      </w:r>
      <w:r w:rsidRPr="00B667FF">
        <w:rPr>
          <w:rFonts w:ascii="Arial" w:hAnsi="Arial" w:cs="Arial"/>
        </w:rPr>
        <w:t>: Fluopyram 17.7 % + Tebuconazole 17.7 % 400 SC (32.00 mm), T</w:t>
      </w:r>
      <w:r w:rsidRPr="00B667FF">
        <w:rPr>
          <w:rFonts w:ascii="Arial" w:hAnsi="Arial" w:cs="Arial"/>
          <w:vertAlign w:val="subscript"/>
        </w:rPr>
        <w:t>6</w:t>
      </w:r>
      <w:r w:rsidRPr="00B667FF">
        <w:rPr>
          <w:rFonts w:ascii="Arial" w:hAnsi="Arial" w:cs="Arial"/>
        </w:rPr>
        <w:t xml:space="preserve">: </w:t>
      </w:r>
      <w:r w:rsidRPr="00B667FF">
        <w:rPr>
          <w:rFonts w:ascii="Arial" w:hAnsi="Arial" w:cs="Arial"/>
          <w:lang w:val="en"/>
        </w:rPr>
        <w:t>Dimethomorph 12 % + Pyraclostrobin 6.7 % WG (37.00 mm)</w:t>
      </w:r>
      <w:r w:rsidRPr="00B667FF">
        <w:rPr>
          <w:rFonts w:ascii="Arial" w:hAnsi="Arial" w:cs="Arial"/>
        </w:rPr>
        <w:t>, T</w:t>
      </w:r>
      <w:r w:rsidRPr="00B667FF">
        <w:rPr>
          <w:rFonts w:ascii="Arial" w:hAnsi="Arial" w:cs="Arial"/>
          <w:vertAlign w:val="subscript"/>
        </w:rPr>
        <w:t>5</w:t>
      </w:r>
      <w:r w:rsidRPr="00B667FF">
        <w:rPr>
          <w:rFonts w:ascii="Arial" w:hAnsi="Arial" w:cs="Arial"/>
        </w:rPr>
        <w:t xml:space="preserve">: </w:t>
      </w:r>
      <w:r w:rsidRPr="00B667FF">
        <w:rPr>
          <w:rFonts w:ascii="Arial" w:hAnsi="Arial" w:cs="Arial"/>
          <w:lang w:val="en"/>
        </w:rPr>
        <w:t>Boscalid 25.2 % 50% + Pyraclostrobin 12.8 % WG (41.00 mm)</w:t>
      </w:r>
      <w:r w:rsidRPr="00B667FF">
        <w:rPr>
          <w:rFonts w:ascii="Arial" w:hAnsi="Arial" w:cs="Arial"/>
          <w:vertAlign w:val="subscript"/>
          <w:lang w:val="en"/>
        </w:rPr>
        <w:t>.</w:t>
      </w:r>
      <w:r w:rsidRPr="00B667FF">
        <w:rPr>
          <w:rFonts w:ascii="Arial" w:hAnsi="Arial" w:cs="Arial"/>
          <w:lang w:val="en"/>
        </w:rPr>
        <w:t xml:space="preserve"> </w:t>
      </w:r>
    </w:p>
    <w:p w14:paraId="38F34BCF" w14:textId="77777777" w:rsidR="00E320C7" w:rsidRPr="00B667FF" w:rsidRDefault="00E320C7" w:rsidP="00E320C7">
      <w:pPr>
        <w:pStyle w:val="NoSpacing"/>
        <w:spacing w:line="360" w:lineRule="auto"/>
        <w:ind w:firstLine="720"/>
        <w:jc w:val="both"/>
        <w:rPr>
          <w:rFonts w:ascii="Arial" w:hAnsi="Arial" w:cs="Arial"/>
          <w:sz w:val="20"/>
          <w:szCs w:val="20"/>
          <w:lang w:val="en"/>
        </w:rPr>
      </w:pPr>
      <w:r w:rsidRPr="00B667FF">
        <w:rPr>
          <w:rFonts w:ascii="Arial" w:hAnsi="Arial" w:cs="Arial"/>
          <w:sz w:val="20"/>
          <w:szCs w:val="20"/>
        </w:rPr>
        <w:t xml:space="preserve">    At 1000 ppm concentration, the radial mycelial growth of test pathogen was recorded in the range of 00.00 - 16.00 mm as compared with control (90.00 mm). There was no mycelial growth with the fungicide tested </w:t>
      </w:r>
      <w:r w:rsidRPr="00B667FF">
        <w:rPr>
          <w:rFonts w:ascii="Arial" w:hAnsi="Arial" w:cs="Arial"/>
          <w:i/>
          <w:iCs/>
          <w:sz w:val="20"/>
          <w:szCs w:val="20"/>
        </w:rPr>
        <w:t>viz.,</w:t>
      </w:r>
      <w:r w:rsidRPr="00B667FF">
        <w:rPr>
          <w:rFonts w:ascii="Arial" w:hAnsi="Arial" w:cs="Arial"/>
          <w:sz w:val="20"/>
          <w:szCs w:val="20"/>
        </w:rPr>
        <w:t xml:space="preserve"> T</w:t>
      </w:r>
      <w:r w:rsidRPr="00B667FF">
        <w:rPr>
          <w:rFonts w:ascii="Arial" w:hAnsi="Arial" w:cs="Arial"/>
          <w:sz w:val="20"/>
          <w:szCs w:val="20"/>
          <w:vertAlign w:val="subscript"/>
        </w:rPr>
        <w:t>1</w:t>
      </w:r>
      <w:r w:rsidRPr="00B667FF">
        <w:rPr>
          <w:rFonts w:ascii="Arial" w:hAnsi="Arial" w:cs="Arial"/>
          <w:sz w:val="20"/>
          <w:szCs w:val="20"/>
        </w:rPr>
        <w:t>: Mancozeb 75 % WP, T</w:t>
      </w:r>
      <w:r w:rsidRPr="00B667FF">
        <w:rPr>
          <w:rFonts w:ascii="Arial" w:hAnsi="Arial" w:cs="Arial"/>
          <w:sz w:val="20"/>
          <w:szCs w:val="20"/>
          <w:vertAlign w:val="subscript"/>
        </w:rPr>
        <w:t>2</w:t>
      </w:r>
      <w:r w:rsidRPr="00B667FF">
        <w:rPr>
          <w:rFonts w:ascii="Arial" w:hAnsi="Arial" w:cs="Arial"/>
          <w:sz w:val="20"/>
          <w:szCs w:val="20"/>
        </w:rPr>
        <w:t>: Azoxystrobin 18.2 % + Difenoconazole 11.4 % SC and T</w:t>
      </w:r>
      <w:r w:rsidRPr="00B667FF">
        <w:rPr>
          <w:rFonts w:ascii="Arial" w:hAnsi="Arial" w:cs="Arial"/>
          <w:sz w:val="20"/>
          <w:szCs w:val="20"/>
          <w:vertAlign w:val="subscript"/>
        </w:rPr>
        <w:t>3</w:t>
      </w:r>
      <w:r w:rsidRPr="00B667FF">
        <w:rPr>
          <w:rFonts w:ascii="Arial" w:hAnsi="Arial" w:cs="Arial"/>
          <w:sz w:val="20"/>
          <w:szCs w:val="20"/>
        </w:rPr>
        <w:t>: Carbendazim 12 % + Mancozeb 63 % while T</w:t>
      </w:r>
      <w:r w:rsidRPr="00B667FF">
        <w:rPr>
          <w:rFonts w:ascii="Arial" w:hAnsi="Arial" w:cs="Arial"/>
          <w:sz w:val="20"/>
          <w:szCs w:val="20"/>
          <w:vertAlign w:val="subscript"/>
        </w:rPr>
        <w:t>4</w:t>
      </w:r>
      <w:r w:rsidRPr="00B667FF">
        <w:rPr>
          <w:rFonts w:ascii="Arial" w:hAnsi="Arial" w:cs="Arial"/>
          <w:sz w:val="20"/>
          <w:szCs w:val="20"/>
        </w:rPr>
        <w:t>: Fluopyram 17.7 % + Tebuconazole 17.7 % 400 SC resulted with mycelial growth (14.00 mm), this was followed by T</w:t>
      </w:r>
      <w:r w:rsidRPr="00B667FF">
        <w:rPr>
          <w:rFonts w:ascii="Arial" w:hAnsi="Arial" w:cs="Arial"/>
          <w:sz w:val="20"/>
          <w:szCs w:val="20"/>
          <w:vertAlign w:val="subscript"/>
        </w:rPr>
        <w:t>6</w:t>
      </w:r>
      <w:r w:rsidRPr="00B667FF">
        <w:rPr>
          <w:rFonts w:ascii="Arial" w:hAnsi="Arial" w:cs="Arial"/>
          <w:sz w:val="20"/>
          <w:szCs w:val="20"/>
        </w:rPr>
        <w:t xml:space="preserve">: </w:t>
      </w:r>
      <w:r w:rsidRPr="00B667FF">
        <w:rPr>
          <w:rFonts w:ascii="Arial" w:hAnsi="Arial" w:cs="Arial"/>
          <w:sz w:val="20"/>
          <w:szCs w:val="20"/>
          <w:lang w:val="en"/>
        </w:rPr>
        <w:t>Dimethomorph 12 % + Pyraclostrobin 6.7 % WG (15.00 mm)</w:t>
      </w:r>
      <w:r w:rsidRPr="00B667FF">
        <w:rPr>
          <w:rFonts w:ascii="Arial" w:hAnsi="Arial" w:cs="Arial"/>
          <w:sz w:val="20"/>
          <w:szCs w:val="20"/>
        </w:rPr>
        <w:t>, T</w:t>
      </w:r>
      <w:r w:rsidRPr="00B667FF">
        <w:rPr>
          <w:rFonts w:ascii="Arial" w:hAnsi="Arial" w:cs="Arial"/>
          <w:sz w:val="20"/>
          <w:szCs w:val="20"/>
          <w:vertAlign w:val="subscript"/>
        </w:rPr>
        <w:t>5</w:t>
      </w:r>
      <w:r w:rsidRPr="00B667FF">
        <w:rPr>
          <w:rFonts w:ascii="Arial" w:hAnsi="Arial" w:cs="Arial"/>
          <w:sz w:val="20"/>
          <w:szCs w:val="20"/>
        </w:rPr>
        <w:t xml:space="preserve">: </w:t>
      </w:r>
      <w:r w:rsidRPr="00B667FF">
        <w:rPr>
          <w:rFonts w:ascii="Arial" w:hAnsi="Arial" w:cs="Arial"/>
          <w:sz w:val="20"/>
          <w:szCs w:val="20"/>
          <w:lang w:val="en"/>
        </w:rPr>
        <w:t>Boscalid 25.2 % + Pyraclostrobin 12.8 % WG (16.00 mm)</w:t>
      </w:r>
      <w:r w:rsidRPr="00B667FF">
        <w:rPr>
          <w:rFonts w:ascii="Arial" w:hAnsi="Arial" w:cs="Arial"/>
          <w:sz w:val="20"/>
          <w:szCs w:val="20"/>
        </w:rPr>
        <w:t>.</w:t>
      </w:r>
    </w:p>
    <w:p w14:paraId="0AC97007" w14:textId="77777777" w:rsidR="00E50AB3" w:rsidRDefault="00E320C7" w:rsidP="00E50AB3">
      <w:pPr>
        <w:pStyle w:val="NoSpacing"/>
        <w:spacing w:line="360" w:lineRule="auto"/>
        <w:ind w:firstLine="720"/>
        <w:jc w:val="both"/>
        <w:rPr>
          <w:rFonts w:ascii="Arial" w:hAnsi="Arial" w:cs="Arial"/>
          <w:sz w:val="20"/>
          <w:szCs w:val="20"/>
          <w:lang w:val="en"/>
        </w:rPr>
      </w:pPr>
      <w:r w:rsidRPr="00B667FF">
        <w:rPr>
          <w:rFonts w:ascii="Arial" w:hAnsi="Arial" w:cs="Arial"/>
          <w:sz w:val="20"/>
          <w:szCs w:val="20"/>
        </w:rPr>
        <w:t xml:space="preserve">Average radial mycelial growth of test pathogen was recorded in the range of 00.00 - 28.50 mm as compared with control (90.00 mm). There was no mycelial growth with the fungicide tested </w:t>
      </w:r>
      <w:r w:rsidRPr="00B667FF">
        <w:rPr>
          <w:rFonts w:ascii="Arial" w:hAnsi="Arial" w:cs="Arial"/>
          <w:i/>
          <w:iCs/>
          <w:sz w:val="20"/>
          <w:szCs w:val="20"/>
        </w:rPr>
        <w:t>viz.,</w:t>
      </w:r>
      <w:r w:rsidRPr="00B667FF">
        <w:rPr>
          <w:rFonts w:ascii="Arial" w:hAnsi="Arial" w:cs="Arial"/>
          <w:sz w:val="20"/>
          <w:szCs w:val="20"/>
        </w:rPr>
        <w:t xml:space="preserve"> T</w:t>
      </w:r>
      <w:r w:rsidRPr="00B667FF">
        <w:rPr>
          <w:rFonts w:ascii="Arial" w:hAnsi="Arial" w:cs="Arial"/>
          <w:sz w:val="20"/>
          <w:szCs w:val="20"/>
          <w:vertAlign w:val="subscript"/>
        </w:rPr>
        <w:t>1</w:t>
      </w:r>
      <w:r w:rsidRPr="00B667FF">
        <w:rPr>
          <w:rFonts w:ascii="Arial" w:hAnsi="Arial" w:cs="Arial"/>
          <w:sz w:val="20"/>
          <w:szCs w:val="20"/>
        </w:rPr>
        <w:t xml:space="preserve">: </w:t>
      </w:r>
      <w:bookmarkStart w:id="21" w:name="_Hlk205194021"/>
      <w:r w:rsidRPr="00B667FF">
        <w:rPr>
          <w:rFonts w:ascii="Arial" w:hAnsi="Arial" w:cs="Arial"/>
          <w:sz w:val="20"/>
          <w:szCs w:val="20"/>
        </w:rPr>
        <w:t>Mancozeb 75 % WP and T</w:t>
      </w:r>
      <w:r w:rsidRPr="00B667FF">
        <w:rPr>
          <w:rFonts w:ascii="Arial" w:hAnsi="Arial" w:cs="Arial"/>
          <w:sz w:val="20"/>
          <w:szCs w:val="20"/>
          <w:vertAlign w:val="subscript"/>
        </w:rPr>
        <w:t>2</w:t>
      </w:r>
      <w:r w:rsidRPr="00B667FF">
        <w:rPr>
          <w:rFonts w:ascii="Arial" w:hAnsi="Arial" w:cs="Arial"/>
          <w:sz w:val="20"/>
          <w:szCs w:val="20"/>
        </w:rPr>
        <w:t>: Azoxystrobin 18.2 % + Difenoconazole 11.4 % SC</w:t>
      </w:r>
      <w:bookmarkEnd w:id="21"/>
      <w:r w:rsidRPr="00B667FF">
        <w:rPr>
          <w:rFonts w:ascii="Arial" w:hAnsi="Arial" w:cs="Arial"/>
          <w:sz w:val="20"/>
          <w:szCs w:val="20"/>
        </w:rPr>
        <w:t>. While T</w:t>
      </w:r>
      <w:r w:rsidRPr="00B667FF">
        <w:rPr>
          <w:rFonts w:ascii="Arial" w:hAnsi="Arial" w:cs="Arial"/>
          <w:sz w:val="20"/>
          <w:szCs w:val="20"/>
          <w:vertAlign w:val="subscript"/>
        </w:rPr>
        <w:t>3</w:t>
      </w:r>
      <w:r w:rsidRPr="00B667FF">
        <w:rPr>
          <w:rFonts w:ascii="Arial" w:hAnsi="Arial" w:cs="Arial"/>
          <w:sz w:val="20"/>
          <w:szCs w:val="20"/>
        </w:rPr>
        <w:t>: Carbendazim 12 % + Mancozeb 63 % resulted with mycelial growth (3.20 mm), this was followed by T</w:t>
      </w:r>
      <w:r w:rsidRPr="00B667FF">
        <w:rPr>
          <w:rFonts w:ascii="Arial" w:hAnsi="Arial" w:cs="Arial"/>
          <w:sz w:val="20"/>
          <w:szCs w:val="20"/>
          <w:vertAlign w:val="subscript"/>
        </w:rPr>
        <w:t>4</w:t>
      </w:r>
      <w:r w:rsidRPr="00B667FF">
        <w:rPr>
          <w:rFonts w:ascii="Arial" w:hAnsi="Arial" w:cs="Arial"/>
          <w:sz w:val="20"/>
          <w:szCs w:val="20"/>
        </w:rPr>
        <w:t>: Fluopyram 17.7 % + Tebuconazole 17.7 % 400 SC (23.00 mm), T</w:t>
      </w:r>
      <w:r w:rsidRPr="00B667FF">
        <w:rPr>
          <w:rFonts w:ascii="Arial" w:hAnsi="Arial" w:cs="Arial"/>
          <w:sz w:val="20"/>
          <w:szCs w:val="20"/>
          <w:vertAlign w:val="subscript"/>
        </w:rPr>
        <w:t>6</w:t>
      </w:r>
      <w:r w:rsidRPr="00B667FF">
        <w:rPr>
          <w:rFonts w:ascii="Arial" w:hAnsi="Arial" w:cs="Arial"/>
          <w:sz w:val="20"/>
          <w:szCs w:val="20"/>
        </w:rPr>
        <w:t xml:space="preserve">: </w:t>
      </w:r>
      <w:r w:rsidRPr="00B667FF">
        <w:rPr>
          <w:rFonts w:ascii="Arial" w:hAnsi="Arial" w:cs="Arial"/>
          <w:sz w:val="20"/>
          <w:szCs w:val="20"/>
          <w:lang w:val="en"/>
        </w:rPr>
        <w:t>Dimethomorph 12 % + Pyraclostrobin 6.7 % WG (26.00 mm)</w:t>
      </w:r>
      <w:r w:rsidRPr="00B667FF">
        <w:rPr>
          <w:rFonts w:ascii="Arial" w:hAnsi="Arial" w:cs="Arial"/>
          <w:sz w:val="20"/>
          <w:szCs w:val="20"/>
        </w:rPr>
        <w:t>, T</w:t>
      </w:r>
      <w:r w:rsidRPr="00B667FF">
        <w:rPr>
          <w:rFonts w:ascii="Arial" w:hAnsi="Arial" w:cs="Arial"/>
          <w:sz w:val="20"/>
          <w:szCs w:val="20"/>
          <w:vertAlign w:val="subscript"/>
        </w:rPr>
        <w:t>5</w:t>
      </w:r>
      <w:r w:rsidRPr="00B667FF">
        <w:rPr>
          <w:rFonts w:ascii="Arial" w:hAnsi="Arial" w:cs="Arial"/>
          <w:sz w:val="20"/>
          <w:szCs w:val="20"/>
        </w:rPr>
        <w:t xml:space="preserve">: </w:t>
      </w:r>
      <w:r w:rsidRPr="00B667FF">
        <w:rPr>
          <w:rFonts w:ascii="Arial" w:hAnsi="Arial" w:cs="Arial"/>
          <w:sz w:val="20"/>
          <w:szCs w:val="20"/>
          <w:lang w:val="en"/>
        </w:rPr>
        <w:t>Boscalid 25.2 % + Pyraclostrobin 12.8 % WG (28.50 mm)</w:t>
      </w:r>
    </w:p>
    <w:p w14:paraId="444CDC09" w14:textId="1165D5D8" w:rsidR="00E320C7" w:rsidRPr="00E50AB3" w:rsidRDefault="00E320C7" w:rsidP="00E50AB3">
      <w:pPr>
        <w:pStyle w:val="NoSpacing"/>
        <w:spacing w:line="360" w:lineRule="auto"/>
        <w:jc w:val="both"/>
        <w:rPr>
          <w:rFonts w:ascii="Arial" w:hAnsi="Arial" w:cs="Arial"/>
          <w:sz w:val="20"/>
          <w:szCs w:val="20"/>
          <w:lang w:val="en"/>
        </w:rPr>
      </w:pPr>
      <w:r w:rsidRPr="00B667FF">
        <w:rPr>
          <w:rFonts w:ascii="Arial" w:hAnsi="Arial" w:cs="Arial"/>
          <w:b/>
          <w:bCs/>
          <w:sz w:val="20"/>
          <w:szCs w:val="20"/>
        </w:rPr>
        <w:t xml:space="preserve">Effect on inhibition of mycelial growth </w:t>
      </w:r>
    </w:p>
    <w:p w14:paraId="53A20BC7" w14:textId="77777777" w:rsidR="00E320C7" w:rsidRPr="00B667FF" w:rsidRDefault="00E320C7" w:rsidP="00E320C7">
      <w:pPr>
        <w:pStyle w:val="NoSpacing"/>
        <w:spacing w:line="360" w:lineRule="auto"/>
        <w:jc w:val="both"/>
        <w:rPr>
          <w:rFonts w:ascii="Arial" w:hAnsi="Arial" w:cs="Arial"/>
          <w:sz w:val="20"/>
          <w:szCs w:val="20"/>
        </w:rPr>
      </w:pPr>
      <w:r w:rsidRPr="00B667FF">
        <w:rPr>
          <w:rFonts w:ascii="Arial" w:hAnsi="Arial" w:cs="Arial"/>
          <w:b/>
          <w:bCs/>
          <w:sz w:val="20"/>
          <w:szCs w:val="20"/>
        </w:rPr>
        <w:lastRenderedPageBreak/>
        <w:t xml:space="preserve">               </w:t>
      </w:r>
      <w:r w:rsidRPr="00B667FF">
        <w:rPr>
          <w:rFonts w:ascii="Arial" w:hAnsi="Arial" w:cs="Arial"/>
          <w:sz w:val="20"/>
          <w:szCs w:val="20"/>
        </w:rPr>
        <w:t xml:space="preserve">Result on inhibition of mycelial growth revealed that all contact and combi fungicides </w:t>
      </w:r>
      <w:r w:rsidRPr="00B667FF">
        <w:rPr>
          <w:rFonts w:ascii="Arial" w:hAnsi="Arial" w:cs="Arial"/>
          <w:i/>
          <w:iCs/>
          <w:sz w:val="20"/>
          <w:szCs w:val="20"/>
        </w:rPr>
        <w:t>viz</w:t>
      </w:r>
      <w:r w:rsidRPr="00B667FF">
        <w:rPr>
          <w:rFonts w:ascii="Arial" w:hAnsi="Arial" w:cs="Arial"/>
          <w:sz w:val="20"/>
          <w:szCs w:val="20"/>
        </w:rPr>
        <w:t xml:space="preserve">., Mancozeb 75 % WP, Azoxystrobin 18.2 % + Difenoconazole 11.4 % SC, Carbendazim 12 % + Mancozeb 63 %, Fluopyram 17.7 % + Tebuconazole 17.7 % 400 SC, Boscalid 25.2 % 5 + Pyraclostrobin 12.8 % WG and Dimethomorph 12 % + Pyraclostrobin 6.7 % WG tested at 500 ppm and 1000 ppm concentration significantly inhibited mycelial growth of pathogen over control (00.00 %). </w:t>
      </w:r>
    </w:p>
    <w:p w14:paraId="0AAAA837" w14:textId="77777777" w:rsidR="00E320C7" w:rsidRPr="00B667FF" w:rsidRDefault="00E320C7" w:rsidP="00B667FF">
      <w:pPr>
        <w:pStyle w:val="NoSpacing"/>
        <w:spacing w:line="360" w:lineRule="auto"/>
        <w:ind w:firstLine="720"/>
        <w:jc w:val="both"/>
        <w:rPr>
          <w:rFonts w:ascii="Arial" w:hAnsi="Arial" w:cs="Arial"/>
          <w:sz w:val="20"/>
          <w:szCs w:val="20"/>
        </w:rPr>
      </w:pPr>
      <w:r w:rsidRPr="00B667FF">
        <w:rPr>
          <w:rFonts w:ascii="Arial" w:hAnsi="Arial" w:cs="Arial"/>
          <w:sz w:val="20"/>
          <w:szCs w:val="20"/>
        </w:rPr>
        <w:t xml:space="preserve">The </w:t>
      </w:r>
      <w:r w:rsidRPr="00B667FF">
        <w:rPr>
          <w:rFonts w:ascii="Arial" w:hAnsi="Arial" w:cs="Arial"/>
          <w:i/>
          <w:iCs/>
          <w:sz w:val="20"/>
          <w:szCs w:val="20"/>
        </w:rPr>
        <w:t>per cent</w:t>
      </w:r>
      <w:r w:rsidRPr="00B667FF">
        <w:rPr>
          <w:rFonts w:ascii="Arial" w:hAnsi="Arial" w:cs="Arial"/>
          <w:sz w:val="20"/>
          <w:szCs w:val="20"/>
        </w:rPr>
        <w:t xml:space="preserve"> mycelial growth inhibition increased with increase in concentration of fungicides. At 500 ppm </w:t>
      </w:r>
      <w:bookmarkStart w:id="22" w:name="_Hlk200999497"/>
      <w:r w:rsidRPr="00B667FF">
        <w:rPr>
          <w:rFonts w:ascii="Arial" w:hAnsi="Arial" w:cs="Arial"/>
          <w:sz w:val="20"/>
          <w:szCs w:val="20"/>
        </w:rPr>
        <w:t xml:space="preserve">concentration the mycelial growth inhibition of test pathogen was recorded in the range of (54.45 - 100.00 %) as compared with control (00.00 %). There was 100.00 % inhibition in fungicides </w:t>
      </w:r>
      <w:r w:rsidRPr="00B667FF">
        <w:rPr>
          <w:rFonts w:ascii="Arial" w:hAnsi="Arial" w:cs="Arial"/>
          <w:i/>
          <w:iCs/>
          <w:sz w:val="20"/>
          <w:szCs w:val="20"/>
        </w:rPr>
        <w:t>viz</w:t>
      </w:r>
      <w:r w:rsidRPr="00B667FF">
        <w:rPr>
          <w:rFonts w:ascii="Arial" w:hAnsi="Arial" w:cs="Arial"/>
          <w:sz w:val="20"/>
          <w:szCs w:val="20"/>
        </w:rPr>
        <w:t>.,</w:t>
      </w:r>
      <w:bookmarkEnd w:id="22"/>
      <w:r w:rsidRPr="00B667FF">
        <w:rPr>
          <w:rFonts w:ascii="Arial" w:hAnsi="Arial" w:cs="Arial"/>
          <w:sz w:val="20"/>
          <w:szCs w:val="20"/>
        </w:rPr>
        <w:t xml:space="preserve"> T</w:t>
      </w:r>
      <w:r w:rsidRPr="00B667FF">
        <w:rPr>
          <w:rFonts w:ascii="Arial" w:hAnsi="Arial" w:cs="Arial"/>
          <w:sz w:val="20"/>
          <w:szCs w:val="20"/>
          <w:vertAlign w:val="subscript"/>
        </w:rPr>
        <w:t>1</w:t>
      </w:r>
      <w:r w:rsidRPr="00B667FF">
        <w:rPr>
          <w:rFonts w:ascii="Arial" w:hAnsi="Arial" w:cs="Arial"/>
          <w:sz w:val="20"/>
          <w:szCs w:val="20"/>
        </w:rPr>
        <w:t>: Mancozeb 75 % WP and T</w:t>
      </w:r>
      <w:r w:rsidRPr="00B667FF">
        <w:rPr>
          <w:rFonts w:ascii="Arial" w:hAnsi="Arial" w:cs="Arial"/>
          <w:sz w:val="20"/>
          <w:szCs w:val="20"/>
          <w:vertAlign w:val="subscript"/>
        </w:rPr>
        <w:t>2</w:t>
      </w:r>
      <w:r w:rsidRPr="00B667FF">
        <w:rPr>
          <w:rFonts w:ascii="Arial" w:hAnsi="Arial" w:cs="Arial"/>
          <w:sz w:val="20"/>
          <w:szCs w:val="20"/>
        </w:rPr>
        <w:t>: Azoxystrobin 18.2 % + Difenoconazole 11.4 % SC. While T</w:t>
      </w:r>
      <w:r w:rsidRPr="00B667FF">
        <w:rPr>
          <w:rFonts w:ascii="Arial" w:hAnsi="Arial" w:cs="Arial"/>
          <w:sz w:val="20"/>
          <w:szCs w:val="20"/>
          <w:vertAlign w:val="subscript"/>
        </w:rPr>
        <w:t>3</w:t>
      </w:r>
      <w:r w:rsidRPr="00B667FF">
        <w:rPr>
          <w:rFonts w:ascii="Arial" w:hAnsi="Arial" w:cs="Arial"/>
          <w:sz w:val="20"/>
          <w:szCs w:val="20"/>
        </w:rPr>
        <w:t>: Carbendazim 12 % + Mancozeb 63 % resulted with mycelial growth inhibition (92.88 %), this was followed by T</w:t>
      </w:r>
      <w:r w:rsidRPr="00B667FF">
        <w:rPr>
          <w:rFonts w:ascii="Arial" w:hAnsi="Arial" w:cs="Arial"/>
          <w:sz w:val="20"/>
          <w:szCs w:val="20"/>
          <w:vertAlign w:val="subscript"/>
        </w:rPr>
        <w:t>4</w:t>
      </w:r>
      <w:r w:rsidRPr="00B667FF">
        <w:rPr>
          <w:rFonts w:ascii="Arial" w:hAnsi="Arial" w:cs="Arial"/>
          <w:sz w:val="20"/>
          <w:szCs w:val="20"/>
        </w:rPr>
        <w:t>: Fluopyram 17.7 % + Tebuconazole 17.7 % 400 SC (64.45 %), T</w:t>
      </w:r>
      <w:r w:rsidRPr="00B667FF">
        <w:rPr>
          <w:rFonts w:ascii="Arial" w:hAnsi="Arial" w:cs="Arial"/>
          <w:sz w:val="20"/>
          <w:szCs w:val="20"/>
          <w:vertAlign w:val="subscript"/>
        </w:rPr>
        <w:t>6</w:t>
      </w:r>
      <w:r w:rsidRPr="00B667FF">
        <w:rPr>
          <w:rFonts w:ascii="Arial" w:hAnsi="Arial" w:cs="Arial"/>
          <w:sz w:val="20"/>
          <w:szCs w:val="20"/>
        </w:rPr>
        <w:t xml:space="preserve">: </w:t>
      </w:r>
      <w:r w:rsidRPr="00B667FF">
        <w:rPr>
          <w:rFonts w:ascii="Arial" w:hAnsi="Arial" w:cs="Arial"/>
          <w:sz w:val="20"/>
          <w:szCs w:val="20"/>
          <w:lang w:val="en"/>
        </w:rPr>
        <w:t>Dimethomorph 12 % + Pyraclostrobin 6.7 % WG (58.89 %)</w:t>
      </w:r>
      <w:r w:rsidRPr="00B667FF">
        <w:rPr>
          <w:rFonts w:ascii="Arial" w:hAnsi="Arial" w:cs="Arial"/>
          <w:sz w:val="20"/>
          <w:szCs w:val="20"/>
        </w:rPr>
        <w:t>, T</w:t>
      </w:r>
      <w:r w:rsidRPr="00B667FF">
        <w:rPr>
          <w:rFonts w:ascii="Arial" w:hAnsi="Arial" w:cs="Arial"/>
          <w:sz w:val="20"/>
          <w:szCs w:val="20"/>
          <w:vertAlign w:val="subscript"/>
        </w:rPr>
        <w:t>5</w:t>
      </w:r>
      <w:r w:rsidRPr="00B667FF">
        <w:rPr>
          <w:rFonts w:ascii="Arial" w:hAnsi="Arial" w:cs="Arial"/>
          <w:sz w:val="20"/>
          <w:szCs w:val="20"/>
        </w:rPr>
        <w:t xml:space="preserve">: </w:t>
      </w:r>
      <w:r w:rsidRPr="00B667FF">
        <w:rPr>
          <w:rFonts w:ascii="Arial" w:hAnsi="Arial" w:cs="Arial"/>
          <w:sz w:val="20"/>
          <w:szCs w:val="20"/>
          <w:lang w:val="en"/>
        </w:rPr>
        <w:t>Boscalid 25.2 % + Pyraclostrobin 12.8 % WG (54.45 %)</w:t>
      </w:r>
      <w:r w:rsidRPr="00B667FF">
        <w:rPr>
          <w:rFonts w:ascii="Arial" w:hAnsi="Arial" w:cs="Arial"/>
          <w:sz w:val="20"/>
          <w:szCs w:val="20"/>
          <w:vertAlign w:val="subscript"/>
          <w:lang w:val="en"/>
        </w:rPr>
        <w:t>.</w:t>
      </w:r>
    </w:p>
    <w:p w14:paraId="5003EE11" w14:textId="77777777" w:rsidR="00E320C7" w:rsidRPr="00B667FF" w:rsidRDefault="00E320C7" w:rsidP="00B667FF">
      <w:pPr>
        <w:pStyle w:val="NoSpacing"/>
        <w:spacing w:line="360" w:lineRule="auto"/>
        <w:ind w:firstLine="720"/>
        <w:jc w:val="both"/>
        <w:rPr>
          <w:rFonts w:ascii="Arial" w:hAnsi="Arial" w:cs="Arial"/>
          <w:sz w:val="20"/>
          <w:szCs w:val="20"/>
        </w:rPr>
      </w:pPr>
      <w:r w:rsidRPr="00B667FF">
        <w:rPr>
          <w:rFonts w:ascii="Arial" w:hAnsi="Arial" w:cs="Arial"/>
          <w:sz w:val="20"/>
          <w:szCs w:val="20"/>
          <w:vertAlign w:val="subscript"/>
          <w:lang w:val="en"/>
        </w:rPr>
        <w:t xml:space="preserve"> </w:t>
      </w:r>
      <w:r w:rsidRPr="00B667FF">
        <w:rPr>
          <w:rFonts w:ascii="Arial" w:hAnsi="Arial" w:cs="Arial"/>
          <w:sz w:val="20"/>
          <w:szCs w:val="20"/>
        </w:rPr>
        <w:t xml:space="preserve">At 1000 ppm concentration the mycelial growth inhibition of test pathogen was recorded in the range of (82.23 - 100.00 %) as compared with control (00.00 %). There was 100.00 % inhibition in fungicides </w:t>
      </w:r>
      <w:r w:rsidRPr="00B667FF">
        <w:rPr>
          <w:rFonts w:ascii="Arial" w:hAnsi="Arial" w:cs="Arial"/>
          <w:i/>
          <w:iCs/>
          <w:sz w:val="20"/>
          <w:szCs w:val="20"/>
        </w:rPr>
        <w:t>viz</w:t>
      </w:r>
      <w:r w:rsidRPr="00B667FF">
        <w:rPr>
          <w:rFonts w:ascii="Arial" w:hAnsi="Arial" w:cs="Arial"/>
          <w:sz w:val="20"/>
          <w:szCs w:val="20"/>
        </w:rPr>
        <w:t>., T</w:t>
      </w:r>
      <w:r w:rsidRPr="00B667FF">
        <w:rPr>
          <w:rFonts w:ascii="Arial" w:hAnsi="Arial" w:cs="Arial"/>
          <w:sz w:val="20"/>
          <w:szCs w:val="20"/>
          <w:vertAlign w:val="subscript"/>
        </w:rPr>
        <w:t>1</w:t>
      </w:r>
      <w:r w:rsidRPr="00B667FF">
        <w:rPr>
          <w:rFonts w:ascii="Arial" w:hAnsi="Arial" w:cs="Arial"/>
          <w:sz w:val="20"/>
          <w:szCs w:val="20"/>
        </w:rPr>
        <w:t>: Mancozeb 75 % WP and T</w:t>
      </w:r>
      <w:r w:rsidRPr="00B667FF">
        <w:rPr>
          <w:rFonts w:ascii="Arial" w:hAnsi="Arial" w:cs="Arial"/>
          <w:sz w:val="20"/>
          <w:szCs w:val="20"/>
          <w:vertAlign w:val="subscript"/>
        </w:rPr>
        <w:t>2</w:t>
      </w:r>
      <w:r w:rsidRPr="00B667FF">
        <w:rPr>
          <w:rFonts w:ascii="Arial" w:hAnsi="Arial" w:cs="Arial"/>
          <w:sz w:val="20"/>
          <w:szCs w:val="20"/>
        </w:rPr>
        <w:t>: Azoxystrobin 18.2 % + Difenoconazole 11.4 % SC and T</w:t>
      </w:r>
      <w:r w:rsidRPr="00B667FF">
        <w:rPr>
          <w:rFonts w:ascii="Arial" w:hAnsi="Arial" w:cs="Arial"/>
          <w:sz w:val="20"/>
          <w:szCs w:val="20"/>
          <w:vertAlign w:val="subscript"/>
        </w:rPr>
        <w:t>3</w:t>
      </w:r>
      <w:r w:rsidRPr="00B667FF">
        <w:rPr>
          <w:rFonts w:ascii="Arial" w:hAnsi="Arial" w:cs="Arial"/>
          <w:sz w:val="20"/>
          <w:szCs w:val="20"/>
        </w:rPr>
        <w:t>: Carbendazim 12 % + Mancozeb 63 % While T</w:t>
      </w:r>
      <w:r w:rsidRPr="00B667FF">
        <w:rPr>
          <w:rFonts w:ascii="Arial" w:hAnsi="Arial" w:cs="Arial"/>
          <w:sz w:val="20"/>
          <w:szCs w:val="20"/>
          <w:vertAlign w:val="subscript"/>
        </w:rPr>
        <w:t>4</w:t>
      </w:r>
      <w:r w:rsidRPr="00B667FF">
        <w:rPr>
          <w:rFonts w:ascii="Arial" w:hAnsi="Arial" w:cs="Arial"/>
          <w:sz w:val="20"/>
          <w:szCs w:val="20"/>
        </w:rPr>
        <w:t>: Fluopyram 17.7 % + Tebuconazole 17.7 % 400 SC resulted with mycelial growth inhibition (84.45 %), this was followed by T</w:t>
      </w:r>
      <w:r w:rsidRPr="00B667FF">
        <w:rPr>
          <w:rFonts w:ascii="Arial" w:hAnsi="Arial" w:cs="Arial"/>
          <w:sz w:val="20"/>
          <w:szCs w:val="20"/>
          <w:vertAlign w:val="subscript"/>
        </w:rPr>
        <w:t>6</w:t>
      </w:r>
      <w:r w:rsidRPr="00B667FF">
        <w:rPr>
          <w:rFonts w:ascii="Arial" w:hAnsi="Arial" w:cs="Arial"/>
          <w:sz w:val="20"/>
          <w:szCs w:val="20"/>
        </w:rPr>
        <w:t xml:space="preserve">: </w:t>
      </w:r>
      <w:r w:rsidRPr="00B667FF">
        <w:rPr>
          <w:rFonts w:ascii="Arial" w:hAnsi="Arial" w:cs="Arial"/>
          <w:sz w:val="20"/>
          <w:szCs w:val="20"/>
          <w:lang w:val="en"/>
        </w:rPr>
        <w:t>Dimethomorph 12 % + Pyraclostrobin 6.7 % WG (83.34 %)</w:t>
      </w:r>
      <w:r w:rsidRPr="00B667FF">
        <w:rPr>
          <w:rFonts w:ascii="Arial" w:hAnsi="Arial" w:cs="Arial"/>
          <w:sz w:val="20"/>
          <w:szCs w:val="20"/>
        </w:rPr>
        <w:t>, T</w:t>
      </w:r>
      <w:r w:rsidRPr="00B667FF">
        <w:rPr>
          <w:rFonts w:ascii="Arial" w:hAnsi="Arial" w:cs="Arial"/>
          <w:sz w:val="20"/>
          <w:szCs w:val="20"/>
          <w:vertAlign w:val="subscript"/>
        </w:rPr>
        <w:t>5</w:t>
      </w:r>
      <w:r w:rsidRPr="00B667FF">
        <w:rPr>
          <w:rFonts w:ascii="Arial" w:hAnsi="Arial" w:cs="Arial"/>
          <w:sz w:val="20"/>
          <w:szCs w:val="20"/>
        </w:rPr>
        <w:t xml:space="preserve">: </w:t>
      </w:r>
      <w:r w:rsidRPr="00B667FF">
        <w:rPr>
          <w:rFonts w:ascii="Arial" w:hAnsi="Arial" w:cs="Arial"/>
          <w:sz w:val="20"/>
          <w:szCs w:val="20"/>
          <w:lang w:val="en"/>
        </w:rPr>
        <w:t>Boscalid 25.2 % + Pyraclostrobin 12.8 % WG (82.23 %)</w:t>
      </w:r>
      <w:r w:rsidRPr="00B667FF">
        <w:rPr>
          <w:rFonts w:ascii="Arial" w:hAnsi="Arial" w:cs="Arial"/>
          <w:sz w:val="20"/>
          <w:szCs w:val="20"/>
        </w:rPr>
        <w:t xml:space="preserve">. </w:t>
      </w:r>
    </w:p>
    <w:p w14:paraId="75C5B4EA" w14:textId="77777777" w:rsidR="006B1172" w:rsidRDefault="00E320C7" w:rsidP="00B667FF">
      <w:pPr>
        <w:pStyle w:val="NoSpacing"/>
        <w:spacing w:line="360" w:lineRule="auto"/>
        <w:ind w:firstLine="720"/>
        <w:jc w:val="both"/>
        <w:rPr>
          <w:rFonts w:ascii="Arial" w:hAnsi="Arial" w:cs="Arial"/>
          <w:sz w:val="20"/>
          <w:szCs w:val="20"/>
          <w:lang w:val="en"/>
        </w:rPr>
      </w:pPr>
      <w:r w:rsidRPr="00B667FF">
        <w:rPr>
          <w:rFonts w:ascii="Arial" w:hAnsi="Arial" w:cs="Arial"/>
          <w:sz w:val="20"/>
          <w:szCs w:val="20"/>
        </w:rPr>
        <w:t xml:space="preserve">Average mycelial growth inhibition of test pathogen was recorded in the range of ranged from (68.34 - 100.00 %) as compared with control (00.00 %). </w:t>
      </w:r>
      <w:bookmarkStart w:id="23" w:name="_Hlk204072726"/>
      <w:r w:rsidRPr="00B667FF">
        <w:rPr>
          <w:rFonts w:ascii="Arial" w:hAnsi="Arial" w:cs="Arial"/>
          <w:sz w:val="20"/>
          <w:szCs w:val="20"/>
        </w:rPr>
        <w:t xml:space="preserve">There was 100.00 % inhibition fungicide tested </w:t>
      </w:r>
      <w:r w:rsidRPr="00B667FF">
        <w:rPr>
          <w:rFonts w:ascii="Arial" w:hAnsi="Arial" w:cs="Arial"/>
          <w:i/>
          <w:iCs/>
          <w:sz w:val="20"/>
          <w:szCs w:val="20"/>
        </w:rPr>
        <w:t>viz.,</w:t>
      </w:r>
      <w:r w:rsidRPr="00B667FF">
        <w:rPr>
          <w:rFonts w:ascii="Arial" w:hAnsi="Arial" w:cs="Arial"/>
          <w:sz w:val="20"/>
          <w:szCs w:val="20"/>
        </w:rPr>
        <w:t xml:space="preserve"> T</w:t>
      </w:r>
      <w:r w:rsidRPr="00B667FF">
        <w:rPr>
          <w:rFonts w:ascii="Arial" w:hAnsi="Arial" w:cs="Arial"/>
          <w:sz w:val="20"/>
          <w:szCs w:val="20"/>
          <w:vertAlign w:val="subscript"/>
        </w:rPr>
        <w:t>1</w:t>
      </w:r>
      <w:r w:rsidRPr="00B667FF">
        <w:rPr>
          <w:rFonts w:ascii="Arial" w:hAnsi="Arial" w:cs="Arial"/>
          <w:sz w:val="20"/>
          <w:szCs w:val="20"/>
        </w:rPr>
        <w:t>: Mancozeb 75 % WP and T</w:t>
      </w:r>
      <w:r w:rsidRPr="00B667FF">
        <w:rPr>
          <w:rFonts w:ascii="Arial" w:hAnsi="Arial" w:cs="Arial"/>
          <w:sz w:val="20"/>
          <w:szCs w:val="20"/>
          <w:vertAlign w:val="subscript"/>
        </w:rPr>
        <w:t>2</w:t>
      </w:r>
      <w:r w:rsidRPr="00B667FF">
        <w:rPr>
          <w:rFonts w:ascii="Arial" w:hAnsi="Arial" w:cs="Arial"/>
          <w:sz w:val="20"/>
          <w:szCs w:val="20"/>
        </w:rPr>
        <w:t>: Azoxystrobin 18.2 % + Difenoconazole 11.4 % SC. While T</w:t>
      </w:r>
      <w:r w:rsidRPr="00B667FF">
        <w:rPr>
          <w:rFonts w:ascii="Arial" w:hAnsi="Arial" w:cs="Arial"/>
          <w:sz w:val="20"/>
          <w:szCs w:val="20"/>
          <w:vertAlign w:val="subscript"/>
        </w:rPr>
        <w:t>3</w:t>
      </w:r>
      <w:r w:rsidRPr="00B667FF">
        <w:rPr>
          <w:rFonts w:ascii="Arial" w:hAnsi="Arial" w:cs="Arial"/>
          <w:sz w:val="20"/>
          <w:szCs w:val="20"/>
        </w:rPr>
        <w:t>: Carbendazim 12 % + Mancozeb 63 % resulted with mycelial growth inhibition (96.64 %), this was followed by T</w:t>
      </w:r>
      <w:r w:rsidRPr="00B667FF">
        <w:rPr>
          <w:rFonts w:ascii="Arial" w:hAnsi="Arial" w:cs="Arial"/>
          <w:sz w:val="20"/>
          <w:szCs w:val="20"/>
          <w:vertAlign w:val="subscript"/>
        </w:rPr>
        <w:t>4</w:t>
      </w:r>
      <w:r w:rsidRPr="00B667FF">
        <w:rPr>
          <w:rFonts w:ascii="Arial" w:hAnsi="Arial" w:cs="Arial"/>
          <w:sz w:val="20"/>
          <w:szCs w:val="20"/>
        </w:rPr>
        <w:t>: Fluopyram 17.7 % + Tebuconazole 17.7 % 400 SC (74.45 %), T</w:t>
      </w:r>
      <w:r w:rsidRPr="00B667FF">
        <w:rPr>
          <w:rFonts w:ascii="Arial" w:hAnsi="Arial" w:cs="Arial"/>
          <w:sz w:val="20"/>
          <w:szCs w:val="20"/>
          <w:vertAlign w:val="subscript"/>
        </w:rPr>
        <w:t>6</w:t>
      </w:r>
      <w:r w:rsidRPr="00B667FF">
        <w:rPr>
          <w:rFonts w:ascii="Arial" w:hAnsi="Arial" w:cs="Arial"/>
          <w:sz w:val="20"/>
          <w:szCs w:val="20"/>
        </w:rPr>
        <w:t xml:space="preserve">: </w:t>
      </w:r>
      <w:r w:rsidRPr="00B667FF">
        <w:rPr>
          <w:rFonts w:ascii="Arial" w:hAnsi="Arial" w:cs="Arial"/>
          <w:sz w:val="20"/>
          <w:szCs w:val="20"/>
          <w:lang w:val="en"/>
        </w:rPr>
        <w:t>Dimethomorph 12 % + Pyraclostrobin 6.7 % WG (71.11%)</w:t>
      </w:r>
      <w:r w:rsidRPr="00B667FF">
        <w:rPr>
          <w:rFonts w:ascii="Arial" w:hAnsi="Arial" w:cs="Arial"/>
          <w:sz w:val="20"/>
          <w:szCs w:val="20"/>
        </w:rPr>
        <w:t>, T</w:t>
      </w:r>
      <w:r w:rsidRPr="00B667FF">
        <w:rPr>
          <w:rFonts w:ascii="Arial" w:hAnsi="Arial" w:cs="Arial"/>
          <w:sz w:val="20"/>
          <w:szCs w:val="20"/>
          <w:vertAlign w:val="subscript"/>
        </w:rPr>
        <w:t>5</w:t>
      </w:r>
      <w:r w:rsidRPr="00B667FF">
        <w:rPr>
          <w:rFonts w:ascii="Arial" w:hAnsi="Arial" w:cs="Arial"/>
          <w:sz w:val="20"/>
          <w:szCs w:val="20"/>
        </w:rPr>
        <w:t xml:space="preserve">: </w:t>
      </w:r>
      <w:r w:rsidRPr="00B667FF">
        <w:rPr>
          <w:rFonts w:ascii="Arial" w:hAnsi="Arial" w:cs="Arial"/>
          <w:sz w:val="20"/>
          <w:szCs w:val="20"/>
          <w:lang w:val="en"/>
        </w:rPr>
        <w:t>Boscalid 25.2 % + Pyraclostrobin 12.8 % WG (68.34 %).</w:t>
      </w:r>
    </w:p>
    <w:p w14:paraId="41D0E2D5" w14:textId="667865DC" w:rsidR="00E320C7" w:rsidRPr="006B1172" w:rsidRDefault="006B1172" w:rsidP="006B1172">
      <w:pPr>
        <w:pStyle w:val="NoSpacing"/>
        <w:spacing w:line="360" w:lineRule="auto"/>
        <w:ind w:firstLine="720"/>
        <w:jc w:val="both"/>
        <w:rPr>
          <w:rFonts w:ascii="Arial" w:eastAsia="Times New Roman" w:hAnsi="Arial" w:cs="Arial"/>
          <w:color w:val="000000"/>
          <w:sz w:val="20"/>
          <w:szCs w:val="20"/>
          <w:lang w:eastAsia="en-IN"/>
        </w:rPr>
      </w:pPr>
      <w:bookmarkStart w:id="24" w:name="_Hlk204081109"/>
      <w:r w:rsidRPr="006B1172">
        <w:rPr>
          <w:rFonts w:ascii="Arial" w:eastAsia="Times New Roman" w:hAnsi="Arial" w:cs="Arial"/>
          <w:color w:val="000000"/>
          <w:sz w:val="20"/>
          <w:szCs w:val="20"/>
          <w:lang w:eastAsia="en-IN"/>
        </w:rPr>
        <w:t>These findings of the present study are in accordance with the reports of several earlier workers such as</w:t>
      </w:r>
      <w:r w:rsidR="006B35A7">
        <w:rPr>
          <w:rFonts w:ascii="Arial" w:eastAsia="Times New Roman" w:hAnsi="Arial" w:cs="Arial"/>
          <w:color w:val="000000"/>
          <w:sz w:val="20"/>
          <w:szCs w:val="20"/>
          <w:lang w:eastAsia="en-IN"/>
        </w:rPr>
        <w:t xml:space="preserve"> </w:t>
      </w:r>
      <w:proofErr w:type="spellStart"/>
      <w:r w:rsidRPr="006B1172">
        <w:rPr>
          <w:rFonts w:ascii="Arial" w:hAnsi="Arial" w:cs="Arial"/>
          <w:sz w:val="20"/>
          <w:szCs w:val="20"/>
        </w:rPr>
        <w:t>Muljowati</w:t>
      </w:r>
      <w:proofErr w:type="spellEnd"/>
      <w:r w:rsidRPr="006B1172">
        <w:rPr>
          <w:rFonts w:ascii="Arial" w:hAnsi="Arial" w:cs="Arial"/>
          <w:sz w:val="20"/>
          <w:szCs w:val="20"/>
        </w:rPr>
        <w:t xml:space="preserve"> and </w:t>
      </w:r>
      <w:proofErr w:type="spellStart"/>
      <w:r w:rsidRPr="006B1172">
        <w:rPr>
          <w:rFonts w:ascii="Arial" w:hAnsi="Arial" w:cs="Arial"/>
          <w:sz w:val="20"/>
          <w:szCs w:val="20"/>
        </w:rPr>
        <w:t>Hikam</w:t>
      </w:r>
      <w:proofErr w:type="spellEnd"/>
      <w:r w:rsidRPr="006B1172">
        <w:rPr>
          <w:rFonts w:ascii="Arial" w:hAnsi="Arial" w:cs="Arial"/>
          <w:sz w:val="20"/>
          <w:szCs w:val="20"/>
        </w:rPr>
        <w:t xml:space="preserve"> (2023), </w:t>
      </w:r>
      <w:r w:rsidRPr="006B1172">
        <w:rPr>
          <w:rFonts w:ascii="Arial" w:eastAsia="Times New Roman" w:hAnsi="Arial" w:cs="Arial"/>
          <w:color w:val="000000"/>
          <w:sz w:val="20"/>
          <w:szCs w:val="20"/>
          <w:lang w:eastAsia="en-IN"/>
        </w:rPr>
        <w:t>Karthikeyan (2021).</w:t>
      </w:r>
      <w:bookmarkEnd w:id="24"/>
      <w:r w:rsidR="00E320C7" w:rsidRPr="006B1172">
        <w:rPr>
          <w:rFonts w:ascii="Arial" w:hAnsi="Arial" w:cs="Arial"/>
          <w:sz w:val="20"/>
          <w:szCs w:val="20"/>
          <w:lang w:val="en"/>
        </w:rPr>
        <w:t xml:space="preserve"> </w:t>
      </w:r>
    </w:p>
    <w:bookmarkEnd w:id="23"/>
    <w:p w14:paraId="7743B650" w14:textId="6D29C57D" w:rsidR="00B31FBC" w:rsidRDefault="00B31FBC" w:rsidP="00B31FBC">
      <w:pPr>
        <w:tabs>
          <w:tab w:val="left" w:pos="90"/>
        </w:tabs>
        <w:spacing w:before="120" w:line="360" w:lineRule="auto"/>
        <w:jc w:val="both"/>
        <w:outlineLvl w:val="1"/>
        <w:rPr>
          <w:rFonts w:ascii="Arial" w:hAnsi="Arial" w:cs="Arial"/>
          <w:b/>
          <w:bCs/>
        </w:rPr>
      </w:pPr>
      <w:r w:rsidRPr="00B31FBC">
        <w:rPr>
          <w:rFonts w:ascii="Arial" w:hAnsi="Arial" w:cs="Arial"/>
          <w:b/>
          <w:bCs/>
        </w:rPr>
        <w:t xml:space="preserve">Table </w:t>
      </w:r>
      <w:r w:rsidR="00C27784">
        <w:rPr>
          <w:rFonts w:ascii="Arial" w:hAnsi="Arial" w:cs="Arial"/>
          <w:b/>
          <w:bCs/>
        </w:rPr>
        <w:t>4</w:t>
      </w:r>
      <w:r w:rsidRPr="00B31FBC">
        <w:rPr>
          <w:rFonts w:ascii="Arial" w:hAnsi="Arial" w:cs="Arial"/>
          <w:b/>
          <w:bCs/>
        </w:rPr>
        <w:t xml:space="preserve">: </w:t>
      </w:r>
      <w:r w:rsidRPr="00B31FBC">
        <w:rPr>
          <w:rFonts w:ascii="Arial" w:hAnsi="Arial" w:cs="Arial"/>
          <w:b/>
          <w:bCs/>
          <w:i/>
          <w:iCs/>
        </w:rPr>
        <w:t>In vitro</w:t>
      </w:r>
      <w:r w:rsidRPr="00B31FBC">
        <w:rPr>
          <w:rFonts w:ascii="Arial" w:hAnsi="Arial" w:cs="Arial"/>
          <w:b/>
          <w:bCs/>
        </w:rPr>
        <w:t xml:space="preserve"> evaluation of contact and combi-product fungicides against</w:t>
      </w:r>
      <w:r>
        <w:rPr>
          <w:rFonts w:ascii="Arial" w:hAnsi="Arial" w:cs="Arial"/>
          <w:b/>
          <w:bCs/>
        </w:rPr>
        <w:t xml:space="preserve"> </w:t>
      </w:r>
      <w:r w:rsidR="00B667FF">
        <w:rPr>
          <w:rFonts w:ascii="Arial" w:hAnsi="Arial" w:cs="Arial"/>
          <w:b/>
          <w:bCs/>
          <w:i/>
          <w:iCs/>
        </w:rPr>
        <w:t>Alternariaster helianthi</w:t>
      </w:r>
      <w:r w:rsidRPr="00B31FBC">
        <w:rPr>
          <w:rFonts w:ascii="Arial" w:hAnsi="Arial" w:cs="Arial"/>
          <w:b/>
          <w:bCs/>
        </w:rPr>
        <w:t xml:space="preserve"> </w:t>
      </w:r>
    </w:p>
    <w:tbl>
      <w:tblPr>
        <w:tblStyle w:val="TableGrid1"/>
        <w:tblpPr w:leftFromText="180" w:rightFromText="180" w:vertAnchor="text" w:horzAnchor="margin" w:tblpY="56"/>
        <w:tblW w:w="8748" w:type="dxa"/>
        <w:tblInd w:w="0" w:type="dxa"/>
        <w:tblLayout w:type="fixed"/>
        <w:tblCellMar>
          <w:top w:w="48" w:type="dxa"/>
          <w:left w:w="29" w:type="dxa"/>
          <w:bottom w:w="38" w:type="dxa"/>
          <w:right w:w="38" w:type="dxa"/>
        </w:tblCellMar>
        <w:tblLook w:val="04A0" w:firstRow="1" w:lastRow="0" w:firstColumn="1" w:lastColumn="0" w:noHBand="0" w:noVBand="1"/>
      </w:tblPr>
      <w:tblGrid>
        <w:gridCol w:w="597"/>
        <w:gridCol w:w="2538"/>
        <w:gridCol w:w="726"/>
        <w:gridCol w:w="839"/>
        <w:gridCol w:w="766"/>
        <w:gridCol w:w="1090"/>
        <w:gridCol w:w="1015"/>
        <w:gridCol w:w="1177"/>
      </w:tblGrid>
      <w:tr w:rsidR="00B667FF" w:rsidRPr="00B667FF" w14:paraId="6C9B1DF4" w14:textId="77777777" w:rsidTr="00D27050">
        <w:trPr>
          <w:trHeight w:val="184"/>
        </w:trPr>
        <w:tc>
          <w:tcPr>
            <w:tcW w:w="597" w:type="dxa"/>
            <w:vMerge w:val="restart"/>
            <w:tcBorders>
              <w:top w:val="single" w:sz="2" w:space="0" w:color="000000"/>
              <w:left w:val="single" w:sz="2" w:space="0" w:color="000000"/>
              <w:bottom w:val="single" w:sz="2" w:space="0" w:color="000000"/>
              <w:right w:val="single" w:sz="2" w:space="0" w:color="000000"/>
            </w:tcBorders>
            <w:vAlign w:val="center"/>
          </w:tcPr>
          <w:p w14:paraId="07C4D42B" w14:textId="77777777" w:rsidR="00B667FF" w:rsidRPr="00B667FF" w:rsidRDefault="00B667FF" w:rsidP="00D27050">
            <w:pPr>
              <w:ind w:left="102"/>
              <w:rPr>
                <w:rFonts w:ascii="Arial" w:hAnsi="Arial" w:cs="Arial"/>
                <w:b/>
                <w:bCs/>
                <w:color w:val="000000"/>
                <w:sz w:val="20"/>
                <w:szCs w:val="20"/>
              </w:rPr>
            </w:pPr>
            <w:r w:rsidRPr="00B667FF">
              <w:rPr>
                <w:rFonts w:ascii="Arial" w:hAnsi="Arial" w:cs="Arial"/>
                <w:b/>
                <w:bCs/>
                <w:color w:val="000000"/>
                <w:sz w:val="20"/>
                <w:szCs w:val="20"/>
              </w:rPr>
              <w:t>Tr.</w:t>
            </w:r>
          </w:p>
          <w:p w14:paraId="250C28CD" w14:textId="77777777" w:rsidR="00B667FF" w:rsidRPr="00B667FF" w:rsidRDefault="00B667FF" w:rsidP="00D27050">
            <w:pPr>
              <w:ind w:left="102"/>
              <w:rPr>
                <w:rFonts w:ascii="Arial" w:hAnsi="Arial" w:cs="Arial"/>
                <w:b/>
                <w:bCs/>
                <w:color w:val="000000"/>
                <w:sz w:val="20"/>
                <w:szCs w:val="20"/>
              </w:rPr>
            </w:pPr>
            <w:r w:rsidRPr="00B667FF">
              <w:rPr>
                <w:rFonts w:ascii="Arial" w:hAnsi="Arial" w:cs="Arial"/>
                <w:b/>
                <w:bCs/>
                <w:color w:val="000000"/>
                <w:sz w:val="20"/>
                <w:szCs w:val="20"/>
              </w:rPr>
              <w:t>No.</w:t>
            </w:r>
          </w:p>
        </w:tc>
        <w:tc>
          <w:tcPr>
            <w:tcW w:w="2538" w:type="dxa"/>
            <w:vMerge w:val="restart"/>
            <w:tcBorders>
              <w:top w:val="single" w:sz="2" w:space="0" w:color="000000"/>
              <w:left w:val="single" w:sz="2" w:space="0" w:color="000000"/>
              <w:bottom w:val="single" w:sz="2" w:space="0" w:color="000000"/>
              <w:right w:val="single" w:sz="2" w:space="0" w:color="000000"/>
            </w:tcBorders>
          </w:tcPr>
          <w:p w14:paraId="5E85F645" w14:textId="77777777" w:rsidR="00B667FF" w:rsidRPr="00B667FF" w:rsidRDefault="00B667FF" w:rsidP="00D27050">
            <w:pPr>
              <w:ind w:left="365"/>
              <w:jc w:val="center"/>
              <w:rPr>
                <w:rFonts w:ascii="Arial" w:hAnsi="Arial" w:cs="Arial"/>
                <w:b/>
                <w:bCs/>
                <w:color w:val="000000"/>
                <w:sz w:val="20"/>
                <w:szCs w:val="20"/>
              </w:rPr>
            </w:pPr>
            <w:r w:rsidRPr="00B667FF">
              <w:rPr>
                <w:rFonts w:ascii="Arial" w:hAnsi="Arial" w:cs="Arial"/>
                <w:b/>
                <w:bCs/>
                <w:color w:val="000000"/>
                <w:sz w:val="20"/>
                <w:szCs w:val="20"/>
              </w:rPr>
              <w:t>Treatments</w:t>
            </w:r>
          </w:p>
        </w:tc>
        <w:tc>
          <w:tcPr>
            <w:tcW w:w="1565" w:type="dxa"/>
            <w:gridSpan w:val="2"/>
            <w:tcBorders>
              <w:top w:val="single" w:sz="2" w:space="0" w:color="000000"/>
              <w:left w:val="single" w:sz="2" w:space="0" w:color="000000"/>
              <w:bottom w:val="single" w:sz="2" w:space="0" w:color="000000"/>
              <w:right w:val="single" w:sz="2" w:space="0" w:color="000000"/>
            </w:tcBorders>
          </w:tcPr>
          <w:p w14:paraId="54459EF0" w14:textId="77777777" w:rsidR="00B667FF" w:rsidRPr="00B667FF" w:rsidRDefault="00B667FF" w:rsidP="00D27050">
            <w:pPr>
              <w:ind w:left="67"/>
              <w:jc w:val="center"/>
              <w:rPr>
                <w:rFonts w:ascii="Arial" w:hAnsi="Arial" w:cs="Arial"/>
                <w:b/>
                <w:bCs/>
                <w:color w:val="000000"/>
                <w:sz w:val="20"/>
                <w:szCs w:val="20"/>
              </w:rPr>
            </w:pPr>
            <w:r w:rsidRPr="00B667FF">
              <w:rPr>
                <w:rFonts w:ascii="Arial" w:hAnsi="Arial" w:cs="Arial"/>
                <w:b/>
                <w:bCs/>
                <w:color w:val="000000"/>
                <w:sz w:val="20"/>
                <w:szCs w:val="20"/>
              </w:rPr>
              <w:t>Colony Diam</w:t>
            </w:r>
          </w:p>
          <w:p w14:paraId="0DEF5048" w14:textId="77777777" w:rsidR="00B667FF" w:rsidRPr="00B667FF" w:rsidRDefault="00B667FF" w:rsidP="00D27050">
            <w:pPr>
              <w:ind w:left="38"/>
              <w:jc w:val="center"/>
              <w:rPr>
                <w:rFonts w:ascii="Arial" w:hAnsi="Arial" w:cs="Arial"/>
                <w:b/>
                <w:bCs/>
                <w:color w:val="000000"/>
                <w:sz w:val="20"/>
                <w:szCs w:val="20"/>
              </w:rPr>
            </w:pPr>
            <w:r w:rsidRPr="00B667FF">
              <w:rPr>
                <w:rFonts w:ascii="Arial" w:hAnsi="Arial" w:cs="Arial"/>
                <w:b/>
                <w:bCs/>
                <w:color w:val="000000"/>
                <w:sz w:val="20"/>
                <w:szCs w:val="20"/>
              </w:rPr>
              <w:t>(mm) at ppm</w:t>
            </w:r>
          </w:p>
        </w:tc>
        <w:tc>
          <w:tcPr>
            <w:tcW w:w="766" w:type="dxa"/>
            <w:vMerge w:val="restart"/>
            <w:tcBorders>
              <w:top w:val="single" w:sz="2" w:space="0" w:color="000000"/>
              <w:left w:val="single" w:sz="2" w:space="0" w:color="000000"/>
              <w:bottom w:val="single" w:sz="2" w:space="0" w:color="000000"/>
              <w:right w:val="single" w:sz="2" w:space="0" w:color="000000"/>
            </w:tcBorders>
          </w:tcPr>
          <w:p w14:paraId="30E78DA2" w14:textId="77777777" w:rsidR="00B667FF" w:rsidRPr="00B667FF" w:rsidRDefault="00B667FF" w:rsidP="00D27050">
            <w:pPr>
              <w:ind w:left="158"/>
              <w:rPr>
                <w:rFonts w:ascii="Arial" w:hAnsi="Arial" w:cs="Arial"/>
                <w:b/>
                <w:bCs/>
                <w:color w:val="000000"/>
                <w:sz w:val="20"/>
                <w:szCs w:val="20"/>
              </w:rPr>
            </w:pPr>
            <w:r w:rsidRPr="00B667FF">
              <w:rPr>
                <w:rFonts w:ascii="Arial" w:hAnsi="Arial" w:cs="Arial"/>
                <w:b/>
                <w:bCs/>
                <w:color w:val="000000"/>
                <w:sz w:val="20"/>
                <w:szCs w:val="20"/>
              </w:rPr>
              <w:t>Av.</w:t>
            </w:r>
          </w:p>
        </w:tc>
        <w:tc>
          <w:tcPr>
            <w:tcW w:w="2105" w:type="dxa"/>
            <w:gridSpan w:val="2"/>
            <w:tcBorders>
              <w:top w:val="single" w:sz="2" w:space="0" w:color="000000"/>
              <w:left w:val="single" w:sz="2" w:space="0" w:color="000000"/>
              <w:bottom w:val="single" w:sz="2" w:space="0" w:color="000000"/>
              <w:right w:val="single" w:sz="2" w:space="0" w:color="000000"/>
            </w:tcBorders>
          </w:tcPr>
          <w:p w14:paraId="3E315186" w14:textId="77777777" w:rsidR="00B667FF" w:rsidRPr="00B667FF" w:rsidRDefault="00B667FF" w:rsidP="00D27050">
            <w:pPr>
              <w:jc w:val="center"/>
              <w:rPr>
                <w:rFonts w:ascii="Arial" w:hAnsi="Arial" w:cs="Arial"/>
                <w:b/>
                <w:bCs/>
                <w:color w:val="000000"/>
                <w:sz w:val="20"/>
                <w:szCs w:val="20"/>
              </w:rPr>
            </w:pPr>
            <w:r w:rsidRPr="00B667FF">
              <w:rPr>
                <w:rFonts w:ascii="Arial" w:hAnsi="Arial" w:cs="Arial"/>
                <w:b/>
                <w:bCs/>
                <w:color w:val="000000"/>
                <w:sz w:val="20"/>
                <w:szCs w:val="20"/>
              </w:rPr>
              <w:t>% Inhibition At ppm</w:t>
            </w:r>
          </w:p>
        </w:tc>
        <w:tc>
          <w:tcPr>
            <w:tcW w:w="1177" w:type="dxa"/>
            <w:vMerge w:val="restart"/>
            <w:tcBorders>
              <w:top w:val="single" w:sz="2" w:space="0" w:color="000000"/>
              <w:left w:val="single" w:sz="2" w:space="0" w:color="000000"/>
              <w:bottom w:val="single" w:sz="2" w:space="0" w:color="000000"/>
              <w:right w:val="single" w:sz="2" w:space="0" w:color="000000"/>
            </w:tcBorders>
          </w:tcPr>
          <w:p w14:paraId="05115B13" w14:textId="77777777" w:rsidR="00B667FF" w:rsidRPr="00B667FF" w:rsidRDefault="00B667FF" w:rsidP="00D27050">
            <w:pPr>
              <w:jc w:val="center"/>
              <w:rPr>
                <w:rFonts w:ascii="Arial" w:hAnsi="Arial" w:cs="Arial"/>
                <w:b/>
                <w:bCs/>
                <w:color w:val="000000"/>
                <w:sz w:val="20"/>
                <w:szCs w:val="20"/>
              </w:rPr>
            </w:pPr>
            <w:r w:rsidRPr="00B667FF">
              <w:rPr>
                <w:rFonts w:ascii="Arial" w:hAnsi="Arial" w:cs="Arial"/>
                <w:b/>
                <w:bCs/>
                <w:color w:val="000000"/>
                <w:sz w:val="20"/>
                <w:szCs w:val="20"/>
              </w:rPr>
              <w:t>Av. Inhibition</w:t>
            </w:r>
          </w:p>
          <w:p w14:paraId="05DF8FC5" w14:textId="77777777" w:rsidR="00B667FF" w:rsidRPr="00B667FF" w:rsidRDefault="00B667FF" w:rsidP="00D27050">
            <w:pPr>
              <w:jc w:val="center"/>
              <w:rPr>
                <w:rFonts w:ascii="Arial" w:hAnsi="Arial" w:cs="Arial"/>
                <w:b/>
                <w:bCs/>
                <w:color w:val="000000"/>
                <w:sz w:val="20"/>
                <w:szCs w:val="20"/>
              </w:rPr>
            </w:pPr>
            <w:r w:rsidRPr="00B667FF">
              <w:rPr>
                <w:rFonts w:ascii="Arial" w:hAnsi="Arial" w:cs="Arial"/>
                <w:b/>
                <w:bCs/>
                <w:color w:val="000000"/>
                <w:sz w:val="20"/>
                <w:szCs w:val="20"/>
              </w:rPr>
              <w:t>(%)*</w:t>
            </w:r>
          </w:p>
        </w:tc>
      </w:tr>
      <w:tr w:rsidR="00B667FF" w:rsidRPr="00B667FF" w14:paraId="66BDF868" w14:textId="77777777" w:rsidTr="00D27050">
        <w:trPr>
          <w:trHeight w:val="153"/>
        </w:trPr>
        <w:tc>
          <w:tcPr>
            <w:tcW w:w="597" w:type="dxa"/>
            <w:vMerge/>
            <w:tcBorders>
              <w:top w:val="nil"/>
              <w:left w:val="single" w:sz="2" w:space="0" w:color="000000"/>
              <w:bottom w:val="single" w:sz="2" w:space="0" w:color="000000"/>
              <w:right w:val="single" w:sz="2" w:space="0" w:color="000000"/>
            </w:tcBorders>
          </w:tcPr>
          <w:p w14:paraId="15D90BFC" w14:textId="77777777" w:rsidR="00B667FF" w:rsidRPr="00B667FF" w:rsidRDefault="00B667FF" w:rsidP="00D27050">
            <w:pPr>
              <w:rPr>
                <w:rFonts w:ascii="Arial" w:hAnsi="Arial" w:cs="Arial"/>
                <w:color w:val="000000"/>
                <w:sz w:val="20"/>
                <w:szCs w:val="20"/>
              </w:rPr>
            </w:pPr>
          </w:p>
        </w:tc>
        <w:tc>
          <w:tcPr>
            <w:tcW w:w="2538" w:type="dxa"/>
            <w:vMerge/>
            <w:tcBorders>
              <w:top w:val="nil"/>
              <w:left w:val="single" w:sz="2" w:space="0" w:color="000000"/>
              <w:bottom w:val="single" w:sz="2" w:space="0" w:color="000000"/>
              <w:right w:val="single" w:sz="2" w:space="0" w:color="000000"/>
            </w:tcBorders>
          </w:tcPr>
          <w:p w14:paraId="42AD7D37" w14:textId="77777777" w:rsidR="00B667FF" w:rsidRPr="00B667FF" w:rsidRDefault="00B667FF" w:rsidP="00D27050">
            <w:pPr>
              <w:rPr>
                <w:rFonts w:ascii="Arial" w:hAnsi="Arial" w:cs="Arial"/>
                <w:color w:val="000000"/>
                <w:sz w:val="20"/>
                <w:szCs w:val="20"/>
              </w:rPr>
            </w:pPr>
          </w:p>
        </w:tc>
        <w:tc>
          <w:tcPr>
            <w:tcW w:w="726" w:type="dxa"/>
            <w:tcBorders>
              <w:top w:val="single" w:sz="2" w:space="0" w:color="000000"/>
              <w:left w:val="single" w:sz="2" w:space="0" w:color="000000"/>
              <w:bottom w:val="single" w:sz="2" w:space="0" w:color="000000"/>
              <w:right w:val="single" w:sz="2" w:space="0" w:color="000000"/>
            </w:tcBorders>
            <w:vAlign w:val="center"/>
          </w:tcPr>
          <w:p w14:paraId="14A98970" w14:textId="77777777" w:rsidR="00B667FF" w:rsidRPr="00B667FF" w:rsidRDefault="00B667FF" w:rsidP="00D27050">
            <w:pPr>
              <w:ind w:left="86"/>
              <w:rPr>
                <w:rFonts w:ascii="Arial" w:hAnsi="Arial" w:cs="Arial"/>
                <w:color w:val="000000"/>
                <w:sz w:val="20"/>
                <w:szCs w:val="20"/>
              </w:rPr>
            </w:pPr>
            <w:r w:rsidRPr="00B667FF">
              <w:rPr>
                <w:rFonts w:ascii="Arial" w:hAnsi="Arial" w:cs="Arial"/>
                <w:color w:val="000000"/>
                <w:sz w:val="20"/>
                <w:szCs w:val="20"/>
              </w:rPr>
              <w:t xml:space="preserve"> 500</w:t>
            </w:r>
          </w:p>
        </w:tc>
        <w:tc>
          <w:tcPr>
            <w:tcW w:w="839" w:type="dxa"/>
            <w:tcBorders>
              <w:top w:val="single" w:sz="2" w:space="0" w:color="000000"/>
              <w:left w:val="single" w:sz="2" w:space="0" w:color="000000"/>
              <w:bottom w:val="single" w:sz="2" w:space="0" w:color="000000"/>
              <w:right w:val="single" w:sz="2" w:space="0" w:color="000000"/>
            </w:tcBorders>
            <w:vAlign w:val="center"/>
          </w:tcPr>
          <w:p w14:paraId="470A5B17" w14:textId="77777777" w:rsidR="00B667FF" w:rsidRPr="00B667FF" w:rsidRDefault="00B667FF" w:rsidP="00D27050">
            <w:pPr>
              <w:ind w:left="139"/>
              <w:rPr>
                <w:rFonts w:ascii="Arial" w:hAnsi="Arial" w:cs="Arial"/>
                <w:color w:val="000000"/>
                <w:sz w:val="20"/>
                <w:szCs w:val="20"/>
              </w:rPr>
            </w:pPr>
            <w:r w:rsidRPr="00B667FF">
              <w:rPr>
                <w:rFonts w:ascii="Arial" w:hAnsi="Arial" w:cs="Arial"/>
                <w:color w:val="000000"/>
                <w:sz w:val="20"/>
                <w:szCs w:val="20"/>
              </w:rPr>
              <w:t>1000</w:t>
            </w:r>
          </w:p>
        </w:tc>
        <w:tc>
          <w:tcPr>
            <w:tcW w:w="766" w:type="dxa"/>
            <w:vMerge/>
            <w:tcBorders>
              <w:top w:val="nil"/>
              <w:left w:val="single" w:sz="2" w:space="0" w:color="000000"/>
              <w:bottom w:val="single" w:sz="2" w:space="0" w:color="000000"/>
              <w:right w:val="single" w:sz="2" w:space="0" w:color="000000"/>
            </w:tcBorders>
          </w:tcPr>
          <w:p w14:paraId="73554D2E" w14:textId="77777777" w:rsidR="00B667FF" w:rsidRPr="00B667FF" w:rsidRDefault="00B667FF" w:rsidP="00D27050">
            <w:pPr>
              <w:rPr>
                <w:rFonts w:ascii="Arial" w:hAnsi="Arial" w:cs="Arial"/>
                <w:color w:val="000000"/>
                <w:sz w:val="20"/>
                <w:szCs w:val="20"/>
              </w:rPr>
            </w:pPr>
          </w:p>
        </w:tc>
        <w:tc>
          <w:tcPr>
            <w:tcW w:w="1090" w:type="dxa"/>
            <w:tcBorders>
              <w:top w:val="single" w:sz="2" w:space="0" w:color="000000"/>
              <w:left w:val="single" w:sz="2" w:space="0" w:color="000000"/>
              <w:bottom w:val="single" w:sz="2" w:space="0" w:color="000000"/>
              <w:right w:val="single" w:sz="2" w:space="0" w:color="000000"/>
            </w:tcBorders>
            <w:vAlign w:val="center"/>
          </w:tcPr>
          <w:p w14:paraId="2A7ED706" w14:textId="77777777" w:rsidR="00B667FF" w:rsidRPr="00B667FF" w:rsidRDefault="00B667FF" w:rsidP="00D27050">
            <w:pPr>
              <w:ind w:right="5"/>
              <w:jc w:val="center"/>
              <w:rPr>
                <w:rFonts w:ascii="Arial" w:hAnsi="Arial" w:cs="Arial"/>
                <w:color w:val="000000"/>
                <w:sz w:val="20"/>
                <w:szCs w:val="20"/>
              </w:rPr>
            </w:pPr>
            <w:r w:rsidRPr="00B667FF">
              <w:rPr>
                <w:rFonts w:ascii="Arial" w:hAnsi="Arial" w:cs="Arial"/>
                <w:color w:val="000000"/>
                <w:sz w:val="20"/>
                <w:szCs w:val="20"/>
              </w:rPr>
              <w:t>500</w:t>
            </w:r>
          </w:p>
        </w:tc>
        <w:tc>
          <w:tcPr>
            <w:tcW w:w="1015" w:type="dxa"/>
            <w:tcBorders>
              <w:top w:val="single" w:sz="2" w:space="0" w:color="000000"/>
              <w:left w:val="single" w:sz="2" w:space="0" w:color="000000"/>
              <w:bottom w:val="single" w:sz="2" w:space="0" w:color="000000"/>
              <w:right w:val="single" w:sz="2" w:space="0" w:color="000000"/>
            </w:tcBorders>
            <w:vAlign w:val="center"/>
          </w:tcPr>
          <w:p w14:paraId="5F0BB7A7" w14:textId="77777777" w:rsidR="00B667FF" w:rsidRPr="00B667FF" w:rsidRDefault="00B667FF" w:rsidP="00D27050">
            <w:pPr>
              <w:ind w:left="14"/>
              <w:jc w:val="center"/>
              <w:rPr>
                <w:rFonts w:ascii="Arial" w:hAnsi="Arial" w:cs="Arial"/>
                <w:color w:val="000000"/>
                <w:sz w:val="20"/>
                <w:szCs w:val="20"/>
              </w:rPr>
            </w:pPr>
            <w:r w:rsidRPr="00B667FF">
              <w:rPr>
                <w:rFonts w:ascii="Arial" w:hAnsi="Arial" w:cs="Arial"/>
                <w:color w:val="000000"/>
                <w:sz w:val="20"/>
                <w:szCs w:val="20"/>
              </w:rPr>
              <w:t>1000</w:t>
            </w:r>
          </w:p>
        </w:tc>
        <w:tc>
          <w:tcPr>
            <w:tcW w:w="1177" w:type="dxa"/>
            <w:vMerge/>
            <w:tcBorders>
              <w:top w:val="nil"/>
              <w:left w:val="single" w:sz="2" w:space="0" w:color="000000"/>
              <w:bottom w:val="single" w:sz="2" w:space="0" w:color="000000"/>
              <w:right w:val="single" w:sz="2" w:space="0" w:color="000000"/>
            </w:tcBorders>
          </w:tcPr>
          <w:p w14:paraId="5F915D87" w14:textId="77777777" w:rsidR="00B667FF" w:rsidRPr="00B667FF" w:rsidRDefault="00B667FF" w:rsidP="00D27050">
            <w:pPr>
              <w:rPr>
                <w:rFonts w:ascii="Arial" w:hAnsi="Arial" w:cs="Arial"/>
                <w:color w:val="000000"/>
                <w:sz w:val="20"/>
                <w:szCs w:val="20"/>
              </w:rPr>
            </w:pPr>
          </w:p>
        </w:tc>
      </w:tr>
      <w:tr w:rsidR="00B667FF" w:rsidRPr="00B667FF" w14:paraId="0A33B57C" w14:textId="77777777" w:rsidTr="00D27050">
        <w:trPr>
          <w:trHeight w:val="189"/>
        </w:trPr>
        <w:tc>
          <w:tcPr>
            <w:tcW w:w="597" w:type="dxa"/>
            <w:tcBorders>
              <w:top w:val="single" w:sz="8" w:space="0" w:color="000000"/>
              <w:left w:val="single" w:sz="8" w:space="0" w:color="000000"/>
              <w:bottom w:val="single" w:sz="8" w:space="0" w:color="000000"/>
              <w:right w:val="single" w:sz="8" w:space="0" w:color="000000"/>
            </w:tcBorders>
            <w:vAlign w:val="center"/>
          </w:tcPr>
          <w:p w14:paraId="20EF8AFF" w14:textId="77777777" w:rsidR="00B667FF" w:rsidRPr="00B667FF" w:rsidRDefault="00B667FF" w:rsidP="00D27050">
            <w:pPr>
              <w:jc w:val="center"/>
              <w:rPr>
                <w:rFonts w:ascii="Arial" w:hAnsi="Arial" w:cs="Arial"/>
                <w:b/>
                <w:bCs/>
                <w:color w:val="000000"/>
                <w:sz w:val="20"/>
                <w:szCs w:val="20"/>
                <w:vertAlign w:val="subscript"/>
              </w:rPr>
            </w:pPr>
            <w:bookmarkStart w:id="25" w:name="_Hlk200886657"/>
            <w:r w:rsidRPr="00B667FF">
              <w:rPr>
                <w:rFonts w:ascii="Arial" w:hAnsi="Arial" w:cs="Arial"/>
                <w:b/>
                <w:bCs/>
                <w:color w:val="000000" w:themeColor="text1"/>
                <w:sz w:val="20"/>
                <w:szCs w:val="20"/>
                <w14:ligatures w14:val="none"/>
              </w:rPr>
              <w:t>T</w:t>
            </w:r>
            <w:r w:rsidRPr="00B667FF">
              <w:rPr>
                <w:rFonts w:ascii="Arial" w:hAnsi="Arial" w:cs="Arial"/>
                <w:b/>
                <w:bCs/>
                <w:color w:val="000000" w:themeColor="text1"/>
                <w:sz w:val="20"/>
                <w:szCs w:val="20"/>
                <w:vertAlign w:val="subscript"/>
                <w14:ligatures w14:val="none"/>
              </w:rPr>
              <w:t>1</w:t>
            </w:r>
          </w:p>
        </w:tc>
        <w:tc>
          <w:tcPr>
            <w:tcW w:w="2538" w:type="dxa"/>
            <w:tcBorders>
              <w:top w:val="single" w:sz="2" w:space="0" w:color="000000"/>
              <w:left w:val="single" w:sz="2" w:space="0" w:color="000000"/>
              <w:bottom w:val="single" w:sz="2" w:space="0" w:color="000000"/>
              <w:right w:val="single" w:sz="2" w:space="0" w:color="000000"/>
            </w:tcBorders>
            <w:vAlign w:val="center"/>
          </w:tcPr>
          <w:p w14:paraId="20B40A9E" w14:textId="77777777" w:rsidR="00B667FF" w:rsidRPr="00B667FF" w:rsidRDefault="00B667FF" w:rsidP="00D27050">
            <w:pPr>
              <w:ind w:left="115"/>
              <w:jc w:val="center"/>
              <w:rPr>
                <w:rFonts w:ascii="Arial" w:hAnsi="Arial" w:cs="Arial"/>
                <w:color w:val="000000"/>
                <w:sz w:val="20"/>
                <w:szCs w:val="20"/>
              </w:rPr>
            </w:pPr>
            <w:bookmarkStart w:id="26" w:name="_Hlk201074565"/>
            <w:r w:rsidRPr="00B667FF">
              <w:rPr>
                <w:rFonts w:ascii="Arial" w:hAnsi="Arial" w:cs="Arial"/>
                <w:color w:val="000000"/>
                <w:sz w:val="20"/>
                <w:szCs w:val="20"/>
              </w:rPr>
              <w:t>Mancozeb 75 % WP</w:t>
            </w:r>
            <w:bookmarkEnd w:id="26"/>
          </w:p>
        </w:tc>
        <w:tc>
          <w:tcPr>
            <w:tcW w:w="726" w:type="dxa"/>
            <w:tcBorders>
              <w:top w:val="single" w:sz="2" w:space="0" w:color="000000"/>
              <w:left w:val="single" w:sz="2" w:space="0" w:color="000000"/>
              <w:bottom w:val="single" w:sz="2" w:space="0" w:color="000000"/>
              <w:right w:val="single" w:sz="2" w:space="0" w:color="000000"/>
            </w:tcBorders>
            <w:vAlign w:val="center"/>
          </w:tcPr>
          <w:p w14:paraId="360808CB" w14:textId="77777777" w:rsidR="00B667FF" w:rsidRPr="00B667FF" w:rsidRDefault="00B667FF" w:rsidP="00D27050">
            <w:pPr>
              <w:ind w:left="58"/>
              <w:jc w:val="center"/>
              <w:rPr>
                <w:rFonts w:ascii="Arial" w:hAnsi="Arial" w:cs="Arial"/>
                <w:color w:val="000000"/>
                <w:sz w:val="20"/>
                <w:szCs w:val="20"/>
              </w:rPr>
            </w:pPr>
            <w:r w:rsidRPr="00B667FF">
              <w:rPr>
                <w:rFonts w:ascii="Arial" w:hAnsi="Arial" w:cs="Arial"/>
                <w:color w:val="000000"/>
                <w:sz w:val="20"/>
                <w:szCs w:val="20"/>
              </w:rPr>
              <w:t>00.00</w:t>
            </w:r>
          </w:p>
        </w:tc>
        <w:tc>
          <w:tcPr>
            <w:tcW w:w="839" w:type="dxa"/>
            <w:tcBorders>
              <w:top w:val="single" w:sz="2" w:space="0" w:color="000000"/>
              <w:left w:val="single" w:sz="2" w:space="0" w:color="000000"/>
              <w:bottom w:val="single" w:sz="2" w:space="0" w:color="000000"/>
              <w:right w:val="single" w:sz="2" w:space="0" w:color="000000"/>
            </w:tcBorders>
            <w:vAlign w:val="center"/>
          </w:tcPr>
          <w:p w14:paraId="6D4632D4" w14:textId="77777777" w:rsidR="00B667FF" w:rsidRPr="00B667FF" w:rsidRDefault="00B667FF" w:rsidP="00D27050">
            <w:pPr>
              <w:ind w:left="110"/>
              <w:jc w:val="center"/>
              <w:rPr>
                <w:rFonts w:ascii="Arial" w:hAnsi="Arial" w:cs="Arial"/>
                <w:color w:val="000000"/>
                <w:sz w:val="20"/>
                <w:szCs w:val="20"/>
              </w:rPr>
            </w:pPr>
            <w:r w:rsidRPr="00B667FF">
              <w:rPr>
                <w:rFonts w:ascii="Arial" w:hAnsi="Arial" w:cs="Arial"/>
                <w:color w:val="000000"/>
                <w:sz w:val="20"/>
                <w:szCs w:val="20"/>
              </w:rPr>
              <w:t>00.00</w:t>
            </w:r>
          </w:p>
        </w:tc>
        <w:tc>
          <w:tcPr>
            <w:tcW w:w="766" w:type="dxa"/>
            <w:tcBorders>
              <w:top w:val="single" w:sz="2" w:space="0" w:color="000000"/>
              <w:left w:val="single" w:sz="2" w:space="0" w:color="000000"/>
              <w:bottom w:val="single" w:sz="2" w:space="0" w:color="000000"/>
              <w:right w:val="single" w:sz="2" w:space="0" w:color="000000"/>
            </w:tcBorders>
            <w:vAlign w:val="center"/>
          </w:tcPr>
          <w:p w14:paraId="3918DC1D" w14:textId="77777777" w:rsidR="00B667FF" w:rsidRPr="00B667FF" w:rsidRDefault="00B667FF" w:rsidP="00D27050">
            <w:pPr>
              <w:ind w:left="72"/>
              <w:jc w:val="center"/>
              <w:rPr>
                <w:rFonts w:ascii="Arial" w:hAnsi="Arial" w:cs="Arial"/>
                <w:color w:val="000000"/>
                <w:sz w:val="20"/>
                <w:szCs w:val="20"/>
              </w:rPr>
            </w:pPr>
            <w:r w:rsidRPr="00B667FF">
              <w:rPr>
                <w:rFonts w:ascii="Arial" w:hAnsi="Arial" w:cs="Arial"/>
                <w:color w:val="000000"/>
                <w:sz w:val="20"/>
                <w:szCs w:val="20"/>
              </w:rPr>
              <w:t>00.00</w:t>
            </w:r>
          </w:p>
        </w:tc>
        <w:tc>
          <w:tcPr>
            <w:tcW w:w="1090" w:type="dxa"/>
            <w:tcBorders>
              <w:top w:val="single" w:sz="2" w:space="0" w:color="000000"/>
              <w:left w:val="single" w:sz="2" w:space="0" w:color="000000"/>
              <w:bottom w:val="single" w:sz="2" w:space="0" w:color="000000"/>
              <w:right w:val="single" w:sz="2" w:space="0" w:color="000000"/>
            </w:tcBorders>
            <w:vAlign w:val="center"/>
          </w:tcPr>
          <w:p w14:paraId="09C109FF" w14:textId="77777777" w:rsidR="00B667FF" w:rsidRPr="00B667FF" w:rsidRDefault="00B667FF" w:rsidP="00D27050">
            <w:pPr>
              <w:spacing w:after="17"/>
              <w:ind w:left="34"/>
              <w:jc w:val="center"/>
              <w:rPr>
                <w:rFonts w:ascii="Arial" w:hAnsi="Arial" w:cs="Arial"/>
                <w:sz w:val="20"/>
                <w:szCs w:val="20"/>
              </w:rPr>
            </w:pPr>
            <w:r w:rsidRPr="00B667FF">
              <w:rPr>
                <w:rFonts w:ascii="Arial" w:hAnsi="Arial" w:cs="Arial"/>
                <w:sz w:val="20"/>
                <w:szCs w:val="20"/>
              </w:rPr>
              <w:t>100.00</w:t>
            </w:r>
          </w:p>
          <w:p w14:paraId="4DA93DB9" w14:textId="77777777" w:rsidR="00B667FF" w:rsidRPr="00B667FF" w:rsidRDefault="00B667FF" w:rsidP="00D27050">
            <w:pPr>
              <w:ind w:left="53"/>
              <w:rPr>
                <w:rFonts w:ascii="Arial" w:hAnsi="Arial" w:cs="Arial"/>
                <w:color w:val="000000"/>
                <w:sz w:val="20"/>
                <w:szCs w:val="20"/>
              </w:rPr>
            </w:pPr>
            <w:r w:rsidRPr="00B667FF">
              <w:rPr>
                <w:rFonts w:ascii="Arial" w:hAnsi="Arial" w:cs="Arial"/>
                <w:sz w:val="20"/>
                <w:szCs w:val="20"/>
              </w:rPr>
              <w:t xml:space="preserve">    (90.00)</w:t>
            </w:r>
          </w:p>
        </w:tc>
        <w:tc>
          <w:tcPr>
            <w:tcW w:w="1015" w:type="dxa"/>
            <w:tcBorders>
              <w:top w:val="single" w:sz="2" w:space="0" w:color="000000"/>
              <w:left w:val="single" w:sz="2" w:space="0" w:color="000000"/>
              <w:bottom w:val="single" w:sz="2" w:space="0" w:color="000000"/>
              <w:right w:val="single" w:sz="2" w:space="0" w:color="000000"/>
            </w:tcBorders>
            <w:vAlign w:val="center"/>
          </w:tcPr>
          <w:p w14:paraId="70B1C3FC" w14:textId="77777777" w:rsidR="00B667FF" w:rsidRPr="00B667FF" w:rsidRDefault="00B667FF" w:rsidP="00D27050">
            <w:pPr>
              <w:spacing w:after="26"/>
              <w:ind w:left="163"/>
              <w:rPr>
                <w:rFonts w:ascii="Arial" w:hAnsi="Arial" w:cs="Arial"/>
                <w:sz w:val="20"/>
                <w:szCs w:val="20"/>
              </w:rPr>
            </w:pPr>
            <w:r w:rsidRPr="00B667FF">
              <w:rPr>
                <w:rFonts w:ascii="Arial" w:hAnsi="Arial" w:cs="Arial"/>
                <w:sz w:val="20"/>
                <w:szCs w:val="20"/>
              </w:rPr>
              <w:t>100.00</w:t>
            </w:r>
          </w:p>
          <w:p w14:paraId="6EB89C52" w14:textId="77777777" w:rsidR="00B667FF" w:rsidRPr="00B667FF" w:rsidRDefault="00B667FF" w:rsidP="00D27050">
            <w:pPr>
              <w:ind w:left="125"/>
              <w:rPr>
                <w:rFonts w:ascii="Arial" w:hAnsi="Arial" w:cs="Arial"/>
                <w:color w:val="000000"/>
                <w:sz w:val="20"/>
                <w:szCs w:val="20"/>
              </w:rPr>
            </w:pPr>
            <w:r w:rsidRPr="00B667FF">
              <w:rPr>
                <w:rFonts w:ascii="Arial" w:hAnsi="Arial" w:cs="Arial"/>
                <w:sz w:val="20"/>
                <w:szCs w:val="20"/>
              </w:rPr>
              <w:t xml:space="preserve"> (90.00)</w:t>
            </w:r>
          </w:p>
        </w:tc>
        <w:tc>
          <w:tcPr>
            <w:tcW w:w="1177" w:type="dxa"/>
            <w:tcBorders>
              <w:top w:val="single" w:sz="2" w:space="0" w:color="000000"/>
              <w:left w:val="single" w:sz="2" w:space="0" w:color="000000"/>
              <w:bottom w:val="single" w:sz="2" w:space="0" w:color="000000"/>
              <w:right w:val="single" w:sz="2" w:space="0" w:color="000000"/>
            </w:tcBorders>
            <w:vAlign w:val="center"/>
          </w:tcPr>
          <w:p w14:paraId="3B51E6B5" w14:textId="77777777" w:rsidR="00B667FF" w:rsidRPr="00B667FF" w:rsidRDefault="00B667FF" w:rsidP="00D27050">
            <w:pPr>
              <w:spacing w:after="26"/>
              <w:ind w:left="168"/>
              <w:rPr>
                <w:rFonts w:ascii="Arial" w:hAnsi="Arial" w:cs="Arial"/>
                <w:sz w:val="20"/>
                <w:szCs w:val="20"/>
              </w:rPr>
            </w:pPr>
            <w:r w:rsidRPr="00B667FF">
              <w:rPr>
                <w:rFonts w:ascii="Arial" w:hAnsi="Arial" w:cs="Arial"/>
                <w:sz w:val="20"/>
                <w:szCs w:val="20"/>
              </w:rPr>
              <w:t xml:space="preserve">  100.00</w:t>
            </w:r>
          </w:p>
          <w:p w14:paraId="500C7D67" w14:textId="77777777" w:rsidR="00B667FF" w:rsidRPr="00B667FF" w:rsidRDefault="00B667FF" w:rsidP="00D27050">
            <w:pPr>
              <w:ind w:right="5"/>
              <w:jc w:val="center"/>
              <w:rPr>
                <w:rFonts w:ascii="Arial" w:hAnsi="Arial" w:cs="Arial"/>
                <w:color w:val="000000"/>
                <w:sz w:val="20"/>
                <w:szCs w:val="20"/>
              </w:rPr>
            </w:pPr>
            <w:r w:rsidRPr="00B667FF">
              <w:rPr>
                <w:rFonts w:ascii="Arial" w:hAnsi="Arial" w:cs="Arial"/>
                <w:sz w:val="20"/>
                <w:szCs w:val="20"/>
              </w:rPr>
              <w:t>(90.00)</w:t>
            </w:r>
          </w:p>
        </w:tc>
      </w:tr>
      <w:tr w:rsidR="00B667FF" w:rsidRPr="00B667FF" w14:paraId="1DD21388" w14:textId="77777777" w:rsidTr="00D27050">
        <w:trPr>
          <w:trHeight w:val="183"/>
        </w:trPr>
        <w:tc>
          <w:tcPr>
            <w:tcW w:w="597" w:type="dxa"/>
            <w:tcBorders>
              <w:top w:val="single" w:sz="8" w:space="0" w:color="000000"/>
              <w:left w:val="single" w:sz="8" w:space="0" w:color="000000"/>
              <w:bottom w:val="single" w:sz="8" w:space="0" w:color="000000"/>
              <w:right w:val="single" w:sz="8" w:space="0" w:color="000000"/>
            </w:tcBorders>
            <w:vAlign w:val="center"/>
          </w:tcPr>
          <w:p w14:paraId="7CC5FA16" w14:textId="77777777" w:rsidR="00B667FF" w:rsidRPr="00B667FF" w:rsidRDefault="00B667FF" w:rsidP="00D27050">
            <w:pPr>
              <w:jc w:val="center"/>
              <w:rPr>
                <w:rFonts w:ascii="Arial" w:hAnsi="Arial" w:cs="Arial"/>
                <w:b/>
                <w:bCs/>
                <w:color w:val="000000"/>
                <w:sz w:val="20"/>
                <w:szCs w:val="20"/>
                <w:vertAlign w:val="subscript"/>
              </w:rPr>
            </w:pPr>
            <w:r w:rsidRPr="00B667FF">
              <w:rPr>
                <w:rFonts w:ascii="Arial" w:hAnsi="Arial" w:cs="Arial"/>
                <w:b/>
                <w:bCs/>
                <w:color w:val="000000" w:themeColor="text1"/>
                <w:sz w:val="20"/>
                <w:szCs w:val="20"/>
                <w14:ligatures w14:val="none"/>
              </w:rPr>
              <w:t>T</w:t>
            </w:r>
            <w:r w:rsidRPr="00B667FF">
              <w:rPr>
                <w:rFonts w:ascii="Arial" w:hAnsi="Arial" w:cs="Arial"/>
                <w:b/>
                <w:bCs/>
                <w:color w:val="000000" w:themeColor="text1"/>
                <w:sz w:val="20"/>
                <w:szCs w:val="20"/>
                <w:vertAlign w:val="subscript"/>
                <w14:ligatures w14:val="none"/>
              </w:rPr>
              <w:t>2</w:t>
            </w:r>
          </w:p>
        </w:tc>
        <w:tc>
          <w:tcPr>
            <w:tcW w:w="2538" w:type="dxa"/>
            <w:tcBorders>
              <w:top w:val="single" w:sz="2" w:space="0" w:color="000000"/>
              <w:left w:val="single" w:sz="2" w:space="0" w:color="000000"/>
              <w:bottom w:val="single" w:sz="2" w:space="0" w:color="000000"/>
              <w:right w:val="single" w:sz="2" w:space="0" w:color="000000"/>
            </w:tcBorders>
            <w:vAlign w:val="center"/>
          </w:tcPr>
          <w:p w14:paraId="521805FE" w14:textId="77777777" w:rsidR="00B667FF" w:rsidRPr="00B667FF" w:rsidRDefault="00B667FF" w:rsidP="00D27050">
            <w:pPr>
              <w:spacing w:after="30"/>
              <w:ind w:left="29"/>
              <w:jc w:val="center"/>
              <w:rPr>
                <w:rFonts w:ascii="Arial" w:hAnsi="Arial" w:cs="Arial"/>
                <w:color w:val="000000"/>
                <w:sz w:val="20"/>
                <w:szCs w:val="20"/>
              </w:rPr>
            </w:pPr>
            <w:r w:rsidRPr="00B667FF">
              <w:rPr>
                <w:rFonts w:ascii="Arial" w:hAnsi="Arial" w:cs="Arial"/>
                <w:color w:val="000000"/>
                <w:sz w:val="20"/>
                <w:szCs w:val="20"/>
              </w:rPr>
              <w:t>Azoxystrobin 18.2% +</w:t>
            </w:r>
          </w:p>
          <w:p w14:paraId="7EAABF9B" w14:textId="77777777" w:rsidR="00B667FF" w:rsidRPr="00B667FF" w:rsidRDefault="00B667FF" w:rsidP="00D27050">
            <w:pPr>
              <w:spacing w:after="26"/>
              <w:ind w:left="240"/>
              <w:jc w:val="center"/>
              <w:rPr>
                <w:rFonts w:ascii="Arial" w:hAnsi="Arial" w:cs="Arial"/>
                <w:color w:val="000000"/>
                <w:sz w:val="20"/>
                <w:szCs w:val="20"/>
              </w:rPr>
            </w:pPr>
            <w:r w:rsidRPr="00B667FF">
              <w:rPr>
                <w:rFonts w:ascii="Arial" w:hAnsi="Arial" w:cs="Arial"/>
                <w:color w:val="000000"/>
                <w:sz w:val="20"/>
                <w:szCs w:val="20"/>
              </w:rPr>
              <w:t>Difenoconazole</w:t>
            </w:r>
          </w:p>
          <w:p w14:paraId="77859172" w14:textId="77777777" w:rsidR="00B667FF" w:rsidRPr="00B667FF" w:rsidRDefault="00B667FF" w:rsidP="00D27050">
            <w:pPr>
              <w:ind w:left="106"/>
              <w:jc w:val="center"/>
              <w:rPr>
                <w:rFonts w:ascii="Arial" w:hAnsi="Arial" w:cs="Arial"/>
                <w:color w:val="000000"/>
                <w:sz w:val="20"/>
                <w:szCs w:val="20"/>
              </w:rPr>
            </w:pPr>
            <w:r w:rsidRPr="00B667FF">
              <w:rPr>
                <w:rFonts w:ascii="Arial" w:hAnsi="Arial" w:cs="Arial"/>
                <w:color w:val="000000"/>
                <w:sz w:val="20"/>
                <w:szCs w:val="20"/>
              </w:rPr>
              <w:t>11.4% SC</w:t>
            </w:r>
          </w:p>
        </w:tc>
        <w:tc>
          <w:tcPr>
            <w:tcW w:w="726" w:type="dxa"/>
            <w:tcBorders>
              <w:top w:val="single" w:sz="2" w:space="0" w:color="000000"/>
              <w:left w:val="single" w:sz="2" w:space="0" w:color="000000"/>
              <w:bottom w:val="single" w:sz="2" w:space="0" w:color="000000"/>
              <w:right w:val="single" w:sz="2" w:space="0" w:color="000000"/>
            </w:tcBorders>
            <w:vAlign w:val="center"/>
          </w:tcPr>
          <w:p w14:paraId="5A29B13B" w14:textId="77777777" w:rsidR="00B667FF" w:rsidRPr="00B667FF" w:rsidRDefault="00B667FF" w:rsidP="00D27050">
            <w:pPr>
              <w:ind w:left="48"/>
              <w:jc w:val="center"/>
              <w:rPr>
                <w:rFonts w:ascii="Arial" w:hAnsi="Arial" w:cs="Arial"/>
                <w:color w:val="000000"/>
                <w:sz w:val="20"/>
                <w:szCs w:val="20"/>
              </w:rPr>
            </w:pPr>
            <w:r w:rsidRPr="00B667FF">
              <w:rPr>
                <w:rFonts w:ascii="Arial" w:hAnsi="Arial" w:cs="Arial"/>
                <w:color w:val="000000"/>
                <w:sz w:val="20"/>
                <w:szCs w:val="20"/>
              </w:rPr>
              <w:t>00.00</w:t>
            </w:r>
          </w:p>
        </w:tc>
        <w:tc>
          <w:tcPr>
            <w:tcW w:w="839" w:type="dxa"/>
            <w:tcBorders>
              <w:top w:val="single" w:sz="2" w:space="0" w:color="000000"/>
              <w:left w:val="single" w:sz="2" w:space="0" w:color="000000"/>
              <w:bottom w:val="single" w:sz="2" w:space="0" w:color="000000"/>
              <w:right w:val="single" w:sz="2" w:space="0" w:color="000000"/>
            </w:tcBorders>
            <w:vAlign w:val="center"/>
          </w:tcPr>
          <w:p w14:paraId="0C811727" w14:textId="77777777" w:rsidR="00B667FF" w:rsidRPr="00B667FF" w:rsidRDefault="00B667FF" w:rsidP="00D27050">
            <w:pPr>
              <w:ind w:left="101"/>
              <w:jc w:val="center"/>
              <w:rPr>
                <w:rFonts w:ascii="Arial" w:hAnsi="Arial" w:cs="Arial"/>
                <w:color w:val="000000"/>
                <w:sz w:val="20"/>
                <w:szCs w:val="20"/>
              </w:rPr>
            </w:pPr>
            <w:r w:rsidRPr="00B667FF">
              <w:rPr>
                <w:rFonts w:ascii="Arial" w:hAnsi="Arial" w:cs="Arial"/>
                <w:color w:val="000000"/>
                <w:sz w:val="20"/>
                <w:szCs w:val="20"/>
              </w:rPr>
              <w:t>00.00</w:t>
            </w:r>
          </w:p>
        </w:tc>
        <w:tc>
          <w:tcPr>
            <w:tcW w:w="766" w:type="dxa"/>
            <w:tcBorders>
              <w:top w:val="single" w:sz="2" w:space="0" w:color="000000"/>
              <w:left w:val="single" w:sz="2" w:space="0" w:color="000000"/>
              <w:bottom w:val="single" w:sz="2" w:space="0" w:color="000000"/>
              <w:right w:val="single" w:sz="2" w:space="0" w:color="000000"/>
            </w:tcBorders>
            <w:vAlign w:val="center"/>
          </w:tcPr>
          <w:p w14:paraId="4F61EA2A" w14:textId="77777777" w:rsidR="00B667FF" w:rsidRPr="00B667FF" w:rsidRDefault="00B667FF" w:rsidP="00D27050">
            <w:pPr>
              <w:ind w:left="82"/>
              <w:jc w:val="center"/>
              <w:rPr>
                <w:rFonts w:ascii="Arial" w:hAnsi="Arial" w:cs="Arial"/>
                <w:color w:val="000000"/>
                <w:sz w:val="20"/>
                <w:szCs w:val="20"/>
              </w:rPr>
            </w:pPr>
            <w:r w:rsidRPr="00B667FF">
              <w:rPr>
                <w:rFonts w:ascii="Arial" w:hAnsi="Arial" w:cs="Arial"/>
                <w:color w:val="000000"/>
                <w:sz w:val="20"/>
                <w:szCs w:val="20"/>
              </w:rPr>
              <w:t>00.00</w:t>
            </w:r>
          </w:p>
        </w:tc>
        <w:tc>
          <w:tcPr>
            <w:tcW w:w="1090" w:type="dxa"/>
            <w:tcBorders>
              <w:top w:val="single" w:sz="2" w:space="0" w:color="000000"/>
              <w:left w:val="single" w:sz="2" w:space="0" w:color="000000"/>
              <w:bottom w:val="single" w:sz="2" w:space="0" w:color="000000"/>
              <w:right w:val="single" w:sz="2" w:space="0" w:color="000000"/>
            </w:tcBorders>
            <w:vAlign w:val="center"/>
          </w:tcPr>
          <w:p w14:paraId="7A613388" w14:textId="77777777" w:rsidR="00B667FF" w:rsidRPr="00B667FF" w:rsidRDefault="00B667FF" w:rsidP="00D27050">
            <w:pPr>
              <w:spacing w:after="17"/>
              <w:ind w:left="34"/>
              <w:jc w:val="center"/>
              <w:rPr>
                <w:rFonts w:ascii="Arial" w:hAnsi="Arial" w:cs="Arial"/>
                <w:sz w:val="20"/>
                <w:szCs w:val="20"/>
              </w:rPr>
            </w:pPr>
            <w:r w:rsidRPr="00B667FF">
              <w:rPr>
                <w:rFonts w:ascii="Arial" w:hAnsi="Arial" w:cs="Arial"/>
                <w:sz w:val="20"/>
                <w:szCs w:val="20"/>
              </w:rPr>
              <w:t>100.00</w:t>
            </w:r>
          </w:p>
          <w:p w14:paraId="7E02E648"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sz w:val="20"/>
                <w:szCs w:val="20"/>
              </w:rPr>
              <w:t xml:space="preserve"> (90.00)</w:t>
            </w:r>
          </w:p>
        </w:tc>
        <w:tc>
          <w:tcPr>
            <w:tcW w:w="1015" w:type="dxa"/>
            <w:tcBorders>
              <w:top w:val="single" w:sz="2" w:space="0" w:color="000000"/>
              <w:left w:val="single" w:sz="2" w:space="0" w:color="000000"/>
              <w:bottom w:val="single" w:sz="2" w:space="0" w:color="000000"/>
              <w:right w:val="single" w:sz="2" w:space="0" w:color="000000"/>
            </w:tcBorders>
            <w:vAlign w:val="center"/>
          </w:tcPr>
          <w:p w14:paraId="50495E5A" w14:textId="77777777" w:rsidR="00B667FF" w:rsidRPr="00B667FF" w:rsidRDefault="00B667FF" w:rsidP="00D27050">
            <w:pPr>
              <w:spacing w:after="26"/>
              <w:ind w:left="163"/>
              <w:rPr>
                <w:rFonts w:ascii="Arial" w:hAnsi="Arial" w:cs="Arial"/>
                <w:sz w:val="20"/>
                <w:szCs w:val="20"/>
              </w:rPr>
            </w:pPr>
            <w:r w:rsidRPr="00B667FF">
              <w:rPr>
                <w:rFonts w:ascii="Arial" w:hAnsi="Arial" w:cs="Arial"/>
                <w:sz w:val="20"/>
                <w:szCs w:val="20"/>
              </w:rPr>
              <w:t>100.00</w:t>
            </w:r>
          </w:p>
          <w:p w14:paraId="29B588D3" w14:textId="77777777" w:rsidR="00B667FF" w:rsidRPr="00B667FF" w:rsidRDefault="00B667FF" w:rsidP="00D27050">
            <w:pPr>
              <w:ind w:left="125"/>
              <w:rPr>
                <w:rFonts w:ascii="Arial" w:hAnsi="Arial" w:cs="Arial"/>
                <w:color w:val="000000"/>
                <w:sz w:val="20"/>
                <w:szCs w:val="20"/>
              </w:rPr>
            </w:pPr>
            <w:r w:rsidRPr="00B667FF">
              <w:rPr>
                <w:rFonts w:ascii="Arial" w:hAnsi="Arial" w:cs="Arial"/>
                <w:sz w:val="20"/>
                <w:szCs w:val="20"/>
              </w:rPr>
              <w:t xml:space="preserve"> (90.00)</w:t>
            </w:r>
          </w:p>
        </w:tc>
        <w:tc>
          <w:tcPr>
            <w:tcW w:w="1177" w:type="dxa"/>
            <w:tcBorders>
              <w:top w:val="single" w:sz="2" w:space="0" w:color="000000"/>
              <w:left w:val="single" w:sz="2" w:space="0" w:color="000000"/>
              <w:bottom w:val="single" w:sz="2" w:space="0" w:color="000000"/>
              <w:right w:val="single" w:sz="2" w:space="0" w:color="000000"/>
            </w:tcBorders>
            <w:vAlign w:val="center"/>
          </w:tcPr>
          <w:p w14:paraId="344ED03C" w14:textId="77777777" w:rsidR="00B667FF" w:rsidRPr="00B667FF" w:rsidRDefault="00B667FF" w:rsidP="00D27050">
            <w:pPr>
              <w:spacing w:after="26"/>
              <w:ind w:left="168"/>
              <w:rPr>
                <w:rFonts w:ascii="Arial" w:hAnsi="Arial" w:cs="Arial"/>
                <w:sz w:val="20"/>
                <w:szCs w:val="20"/>
              </w:rPr>
            </w:pPr>
            <w:r w:rsidRPr="00B667FF">
              <w:rPr>
                <w:rFonts w:ascii="Arial" w:hAnsi="Arial" w:cs="Arial"/>
                <w:sz w:val="20"/>
                <w:szCs w:val="20"/>
              </w:rPr>
              <w:t xml:space="preserve">  100.00</w:t>
            </w:r>
          </w:p>
          <w:p w14:paraId="4E974F82" w14:textId="77777777" w:rsidR="00B667FF" w:rsidRPr="00B667FF" w:rsidRDefault="00B667FF" w:rsidP="00D27050">
            <w:pPr>
              <w:ind w:right="5"/>
              <w:jc w:val="center"/>
              <w:rPr>
                <w:rFonts w:ascii="Arial" w:hAnsi="Arial" w:cs="Arial"/>
                <w:color w:val="000000"/>
                <w:sz w:val="20"/>
                <w:szCs w:val="20"/>
              </w:rPr>
            </w:pPr>
            <w:r w:rsidRPr="00B667FF">
              <w:rPr>
                <w:rFonts w:ascii="Arial" w:hAnsi="Arial" w:cs="Arial"/>
                <w:sz w:val="20"/>
                <w:szCs w:val="20"/>
              </w:rPr>
              <w:t>(90.00)</w:t>
            </w:r>
          </w:p>
        </w:tc>
      </w:tr>
      <w:bookmarkEnd w:id="25"/>
      <w:tr w:rsidR="00B667FF" w:rsidRPr="00B667FF" w14:paraId="14C8EFD6" w14:textId="77777777" w:rsidTr="00D27050">
        <w:trPr>
          <w:trHeight w:val="224"/>
        </w:trPr>
        <w:tc>
          <w:tcPr>
            <w:tcW w:w="597" w:type="dxa"/>
            <w:tcBorders>
              <w:top w:val="single" w:sz="8" w:space="0" w:color="000000"/>
              <w:left w:val="single" w:sz="8" w:space="0" w:color="000000"/>
              <w:bottom w:val="single" w:sz="8" w:space="0" w:color="000000"/>
              <w:right w:val="single" w:sz="8" w:space="0" w:color="000000"/>
            </w:tcBorders>
            <w:vAlign w:val="center"/>
          </w:tcPr>
          <w:p w14:paraId="1F441210" w14:textId="77777777" w:rsidR="00B667FF" w:rsidRPr="00B667FF" w:rsidRDefault="00B667FF" w:rsidP="00D27050">
            <w:pPr>
              <w:jc w:val="center"/>
              <w:rPr>
                <w:rFonts w:ascii="Arial" w:hAnsi="Arial" w:cs="Arial"/>
                <w:b/>
                <w:bCs/>
                <w:color w:val="000000"/>
                <w:sz w:val="20"/>
                <w:szCs w:val="20"/>
                <w:vertAlign w:val="subscript"/>
              </w:rPr>
            </w:pPr>
            <w:r w:rsidRPr="00B667FF">
              <w:rPr>
                <w:rFonts w:ascii="Arial" w:hAnsi="Arial" w:cs="Arial"/>
                <w:b/>
                <w:bCs/>
                <w:color w:val="000000" w:themeColor="text1"/>
                <w:sz w:val="20"/>
                <w:szCs w:val="20"/>
                <w14:ligatures w14:val="none"/>
              </w:rPr>
              <w:t>T</w:t>
            </w:r>
            <w:r w:rsidRPr="00B667FF">
              <w:rPr>
                <w:rFonts w:ascii="Arial" w:hAnsi="Arial" w:cs="Arial"/>
                <w:b/>
                <w:bCs/>
                <w:color w:val="000000" w:themeColor="text1"/>
                <w:sz w:val="20"/>
                <w:szCs w:val="20"/>
                <w:vertAlign w:val="subscript"/>
                <w14:ligatures w14:val="none"/>
              </w:rPr>
              <w:t>3</w:t>
            </w:r>
          </w:p>
        </w:tc>
        <w:tc>
          <w:tcPr>
            <w:tcW w:w="2538" w:type="dxa"/>
            <w:tcBorders>
              <w:top w:val="single" w:sz="2" w:space="0" w:color="000000"/>
              <w:left w:val="single" w:sz="2" w:space="0" w:color="000000"/>
              <w:bottom w:val="single" w:sz="2" w:space="0" w:color="000000"/>
              <w:right w:val="single" w:sz="2" w:space="0" w:color="000000"/>
            </w:tcBorders>
            <w:vAlign w:val="center"/>
          </w:tcPr>
          <w:p w14:paraId="1175B87F" w14:textId="77777777" w:rsidR="00B667FF" w:rsidRPr="00B667FF" w:rsidRDefault="00B667FF" w:rsidP="00D27050">
            <w:pPr>
              <w:spacing w:after="3"/>
              <w:ind w:left="48"/>
              <w:jc w:val="center"/>
              <w:rPr>
                <w:rFonts w:ascii="Arial" w:hAnsi="Arial" w:cs="Arial"/>
                <w:color w:val="000000"/>
                <w:sz w:val="20"/>
                <w:szCs w:val="20"/>
              </w:rPr>
            </w:pPr>
            <w:r w:rsidRPr="00B667FF">
              <w:rPr>
                <w:rFonts w:ascii="Arial" w:hAnsi="Arial" w:cs="Arial"/>
                <w:color w:val="000000"/>
                <w:sz w:val="20"/>
                <w:szCs w:val="20"/>
              </w:rPr>
              <w:t>Carbendazim 12 % +</w:t>
            </w:r>
          </w:p>
          <w:p w14:paraId="6C339AF4" w14:textId="77777777" w:rsidR="00B667FF" w:rsidRPr="00B667FF" w:rsidRDefault="00B667FF" w:rsidP="00D27050">
            <w:pPr>
              <w:ind w:left="115"/>
              <w:jc w:val="center"/>
              <w:rPr>
                <w:rFonts w:ascii="Arial" w:hAnsi="Arial" w:cs="Arial"/>
                <w:color w:val="000000"/>
                <w:sz w:val="20"/>
                <w:szCs w:val="20"/>
              </w:rPr>
            </w:pPr>
            <w:r w:rsidRPr="00B667FF">
              <w:rPr>
                <w:rFonts w:ascii="Arial" w:hAnsi="Arial" w:cs="Arial"/>
                <w:color w:val="000000"/>
                <w:sz w:val="20"/>
                <w:szCs w:val="20"/>
              </w:rPr>
              <w:t>Mancozeb 63 % WP</w:t>
            </w:r>
          </w:p>
        </w:tc>
        <w:tc>
          <w:tcPr>
            <w:tcW w:w="726" w:type="dxa"/>
            <w:tcBorders>
              <w:top w:val="single" w:sz="2" w:space="0" w:color="000000"/>
              <w:left w:val="single" w:sz="2" w:space="0" w:color="000000"/>
              <w:bottom w:val="single" w:sz="2" w:space="0" w:color="000000"/>
              <w:right w:val="single" w:sz="2" w:space="0" w:color="000000"/>
            </w:tcBorders>
            <w:vAlign w:val="center"/>
          </w:tcPr>
          <w:p w14:paraId="12CC7309" w14:textId="77777777" w:rsidR="00B667FF" w:rsidRPr="00B667FF" w:rsidRDefault="00B667FF" w:rsidP="00D27050">
            <w:pPr>
              <w:ind w:left="58"/>
              <w:jc w:val="center"/>
              <w:rPr>
                <w:rFonts w:ascii="Arial" w:hAnsi="Arial" w:cs="Arial"/>
                <w:color w:val="000000"/>
                <w:sz w:val="20"/>
                <w:szCs w:val="20"/>
              </w:rPr>
            </w:pPr>
            <w:r w:rsidRPr="00B667FF">
              <w:rPr>
                <w:rFonts w:ascii="Arial" w:hAnsi="Arial" w:cs="Arial"/>
                <w:color w:val="000000"/>
                <w:sz w:val="20"/>
                <w:szCs w:val="20"/>
              </w:rPr>
              <w:t>6.40</w:t>
            </w:r>
          </w:p>
        </w:tc>
        <w:tc>
          <w:tcPr>
            <w:tcW w:w="839" w:type="dxa"/>
            <w:tcBorders>
              <w:top w:val="single" w:sz="2" w:space="0" w:color="000000"/>
              <w:left w:val="single" w:sz="2" w:space="0" w:color="000000"/>
              <w:bottom w:val="single" w:sz="2" w:space="0" w:color="000000"/>
              <w:right w:val="single" w:sz="2" w:space="0" w:color="000000"/>
            </w:tcBorders>
            <w:vAlign w:val="center"/>
          </w:tcPr>
          <w:p w14:paraId="4865E56E" w14:textId="77777777" w:rsidR="00B667FF" w:rsidRPr="00B667FF" w:rsidRDefault="00B667FF" w:rsidP="00D27050">
            <w:pPr>
              <w:ind w:left="110"/>
              <w:jc w:val="center"/>
              <w:rPr>
                <w:rFonts w:ascii="Arial" w:hAnsi="Arial" w:cs="Arial"/>
                <w:color w:val="000000"/>
                <w:sz w:val="20"/>
                <w:szCs w:val="20"/>
              </w:rPr>
            </w:pPr>
            <w:r w:rsidRPr="00B667FF">
              <w:rPr>
                <w:rFonts w:ascii="Arial" w:hAnsi="Arial" w:cs="Arial"/>
                <w:color w:val="000000"/>
                <w:sz w:val="20"/>
                <w:szCs w:val="20"/>
              </w:rPr>
              <w:t>00.00</w:t>
            </w:r>
          </w:p>
        </w:tc>
        <w:tc>
          <w:tcPr>
            <w:tcW w:w="766" w:type="dxa"/>
            <w:tcBorders>
              <w:top w:val="single" w:sz="2" w:space="0" w:color="000000"/>
              <w:left w:val="single" w:sz="2" w:space="0" w:color="000000"/>
              <w:bottom w:val="single" w:sz="2" w:space="0" w:color="000000"/>
              <w:right w:val="single" w:sz="2" w:space="0" w:color="000000"/>
            </w:tcBorders>
            <w:vAlign w:val="center"/>
          </w:tcPr>
          <w:p w14:paraId="081F798B" w14:textId="77777777" w:rsidR="00B667FF" w:rsidRPr="00B667FF" w:rsidRDefault="00B667FF" w:rsidP="00D27050">
            <w:pPr>
              <w:ind w:left="72"/>
              <w:jc w:val="center"/>
              <w:rPr>
                <w:rFonts w:ascii="Arial" w:hAnsi="Arial" w:cs="Arial"/>
                <w:color w:val="000000"/>
                <w:sz w:val="20"/>
                <w:szCs w:val="20"/>
              </w:rPr>
            </w:pPr>
            <w:r w:rsidRPr="00B667FF">
              <w:rPr>
                <w:rFonts w:ascii="Arial" w:hAnsi="Arial" w:cs="Arial"/>
                <w:color w:val="000000"/>
                <w:sz w:val="20"/>
                <w:szCs w:val="20"/>
              </w:rPr>
              <w:t>3.20</w:t>
            </w:r>
          </w:p>
        </w:tc>
        <w:tc>
          <w:tcPr>
            <w:tcW w:w="1090" w:type="dxa"/>
            <w:tcBorders>
              <w:top w:val="single" w:sz="2" w:space="0" w:color="000000"/>
              <w:left w:val="single" w:sz="2" w:space="0" w:color="000000"/>
              <w:bottom w:val="single" w:sz="2" w:space="0" w:color="000000"/>
              <w:right w:val="single" w:sz="2" w:space="0" w:color="000000"/>
            </w:tcBorders>
            <w:vAlign w:val="center"/>
          </w:tcPr>
          <w:p w14:paraId="3A866F09"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color w:val="000000"/>
                <w:sz w:val="20"/>
                <w:szCs w:val="20"/>
              </w:rPr>
              <w:t>92.88</w:t>
            </w:r>
          </w:p>
          <w:p w14:paraId="525E862F"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color w:val="000000"/>
                <w:sz w:val="20"/>
                <w:szCs w:val="20"/>
              </w:rPr>
              <w:t>(74.52)</w:t>
            </w:r>
          </w:p>
        </w:tc>
        <w:tc>
          <w:tcPr>
            <w:tcW w:w="1015" w:type="dxa"/>
            <w:tcBorders>
              <w:top w:val="single" w:sz="2" w:space="0" w:color="000000"/>
              <w:left w:val="single" w:sz="2" w:space="0" w:color="000000"/>
              <w:bottom w:val="single" w:sz="2" w:space="0" w:color="000000"/>
              <w:right w:val="single" w:sz="2" w:space="0" w:color="000000"/>
            </w:tcBorders>
            <w:vAlign w:val="center"/>
          </w:tcPr>
          <w:p w14:paraId="0F4E91B8" w14:textId="77777777" w:rsidR="00B667FF" w:rsidRPr="00B667FF" w:rsidRDefault="00B667FF" w:rsidP="00D27050">
            <w:pPr>
              <w:ind w:left="125"/>
              <w:rPr>
                <w:rFonts w:ascii="Arial" w:hAnsi="Arial" w:cs="Arial"/>
                <w:color w:val="000000"/>
                <w:sz w:val="20"/>
                <w:szCs w:val="20"/>
              </w:rPr>
            </w:pPr>
            <w:r w:rsidRPr="00B667FF">
              <w:rPr>
                <w:rFonts w:ascii="Arial" w:hAnsi="Arial" w:cs="Arial"/>
                <w:color w:val="000000"/>
                <w:sz w:val="20"/>
                <w:szCs w:val="20"/>
              </w:rPr>
              <w:t>100.00</w:t>
            </w:r>
          </w:p>
          <w:p w14:paraId="5438EEBF" w14:textId="77777777" w:rsidR="00B667FF" w:rsidRPr="00B667FF" w:rsidRDefault="00B667FF" w:rsidP="00D27050">
            <w:pPr>
              <w:ind w:left="125"/>
              <w:rPr>
                <w:rFonts w:ascii="Arial" w:hAnsi="Arial" w:cs="Arial"/>
                <w:color w:val="000000"/>
                <w:sz w:val="20"/>
                <w:szCs w:val="20"/>
              </w:rPr>
            </w:pPr>
            <w:r w:rsidRPr="00B667FF">
              <w:rPr>
                <w:rFonts w:ascii="Arial" w:hAnsi="Arial" w:cs="Arial"/>
                <w:color w:val="000000"/>
                <w:sz w:val="20"/>
                <w:szCs w:val="20"/>
              </w:rPr>
              <w:t>(90.00)</w:t>
            </w:r>
          </w:p>
        </w:tc>
        <w:tc>
          <w:tcPr>
            <w:tcW w:w="1177" w:type="dxa"/>
            <w:tcBorders>
              <w:top w:val="single" w:sz="2" w:space="0" w:color="000000"/>
              <w:left w:val="single" w:sz="2" w:space="0" w:color="000000"/>
              <w:bottom w:val="single" w:sz="2" w:space="0" w:color="000000"/>
              <w:right w:val="single" w:sz="2" w:space="0" w:color="000000"/>
            </w:tcBorders>
            <w:vAlign w:val="center"/>
          </w:tcPr>
          <w:p w14:paraId="272C0A5A" w14:textId="77777777" w:rsidR="00B667FF" w:rsidRPr="00B667FF" w:rsidRDefault="00B667FF" w:rsidP="00D27050">
            <w:pPr>
              <w:ind w:left="130"/>
              <w:rPr>
                <w:rFonts w:ascii="Arial" w:hAnsi="Arial" w:cs="Arial"/>
                <w:color w:val="000000"/>
                <w:sz w:val="20"/>
                <w:szCs w:val="20"/>
              </w:rPr>
            </w:pPr>
            <w:r w:rsidRPr="00B667FF">
              <w:rPr>
                <w:rFonts w:ascii="Arial" w:hAnsi="Arial" w:cs="Arial"/>
                <w:color w:val="000000"/>
                <w:sz w:val="20"/>
                <w:szCs w:val="20"/>
              </w:rPr>
              <w:t xml:space="preserve">    96.64</w:t>
            </w:r>
          </w:p>
          <w:p w14:paraId="5F95E6ED" w14:textId="77777777" w:rsidR="00B667FF" w:rsidRPr="00B667FF" w:rsidRDefault="00B667FF" w:rsidP="00D27050">
            <w:pPr>
              <w:jc w:val="center"/>
              <w:rPr>
                <w:rFonts w:ascii="Arial" w:hAnsi="Arial" w:cs="Arial"/>
                <w:color w:val="000000"/>
                <w:sz w:val="20"/>
                <w:szCs w:val="20"/>
              </w:rPr>
            </w:pPr>
            <w:r w:rsidRPr="00B667FF">
              <w:rPr>
                <w:rFonts w:ascii="Arial" w:hAnsi="Arial" w:cs="Arial"/>
                <w:color w:val="000000"/>
                <w:sz w:val="20"/>
                <w:szCs w:val="20"/>
              </w:rPr>
              <w:t>(79.43)</w:t>
            </w:r>
          </w:p>
        </w:tc>
      </w:tr>
      <w:tr w:rsidR="00B667FF" w:rsidRPr="00B667FF" w14:paraId="0F04ABA9" w14:textId="77777777" w:rsidTr="00D27050">
        <w:trPr>
          <w:trHeight w:val="254"/>
        </w:trPr>
        <w:tc>
          <w:tcPr>
            <w:tcW w:w="5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A5A122" w14:textId="77777777" w:rsidR="00B667FF" w:rsidRPr="00B667FF" w:rsidRDefault="00B667FF" w:rsidP="00D27050">
            <w:pPr>
              <w:jc w:val="center"/>
              <w:rPr>
                <w:rFonts w:ascii="Arial" w:hAnsi="Arial" w:cs="Arial"/>
                <w:b/>
                <w:bCs/>
                <w:color w:val="000000"/>
                <w:sz w:val="20"/>
                <w:szCs w:val="20"/>
                <w:vertAlign w:val="subscript"/>
              </w:rPr>
            </w:pPr>
            <w:r w:rsidRPr="00B667FF">
              <w:rPr>
                <w:rFonts w:ascii="Arial" w:hAnsi="Arial" w:cs="Arial"/>
                <w:b/>
                <w:bCs/>
                <w:color w:val="000000" w:themeColor="text1"/>
                <w:sz w:val="20"/>
                <w:szCs w:val="20"/>
                <w14:ligatures w14:val="none"/>
              </w:rPr>
              <w:t>T</w:t>
            </w:r>
            <w:r w:rsidRPr="00B667FF">
              <w:rPr>
                <w:rFonts w:ascii="Arial" w:hAnsi="Arial" w:cs="Arial"/>
                <w:b/>
                <w:bCs/>
                <w:color w:val="000000" w:themeColor="text1"/>
                <w:sz w:val="20"/>
                <w:szCs w:val="20"/>
                <w:vertAlign w:val="subscript"/>
                <w14:ligatures w14:val="none"/>
              </w:rPr>
              <w:t>4</w:t>
            </w:r>
          </w:p>
        </w:tc>
        <w:tc>
          <w:tcPr>
            <w:tcW w:w="2538" w:type="dxa"/>
            <w:tcBorders>
              <w:top w:val="single" w:sz="2" w:space="0" w:color="000000"/>
              <w:left w:val="single" w:sz="2" w:space="0" w:color="000000"/>
              <w:bottom w:val="single" w:sz="2" w:space="0" w:color="000000"/>
              <w:right w:val="single" w:sz="2" w:space="0" w:color="000000"/>
            </w:tcBorders>
            <w:vAlign w:val="center"/>
          </w:tcPr>
          <w:p w14:paraId="1C237EA1" w14:textId="77777777" w:rsidR="00B667FF" w:rsidRPr="00B667FF" w:rsidRDefault="00B667FF" w:rsidP="00D27050">
            <w:pPr>
              <w:jc w:val="center"/>
              <w:rPr>
                <w:rFonts w:ascii="Arial" w:hAnsi="Arial" w:cs="Arial"/>
                <w:sz w:val="20"/>
                <w:szCs w:val="20"/>
                <w:lang w:val="en"/>
              </w:rPr>
            </w:pPr>
            <w:r w:rsidRPr="00B667FF">
              <w:rPr>
                <w:rFonts w:ascii="Arial" w:hAnsi="Arial" w:cs="Arial"/>
                <w:sz w:val="20"/>
                <w:szCs w:val="20"/>
                <w:lang w:val="en"/>
              </w:rPr>
              <w:t>Fluopyram 17.7 % +</w:t>
            </w:r>
          </w:p>
          <w:p w14:paraId="18BDA1E9" w14:textId="77777777" w:rsidR="00B667FF" w:rsidRPr="00B667FF" w:rsidRDefault="00B667FF" w:rsidP="00D27050">
            <w:pPr>
              <w:jc w:val="center"/>
              <w:rPr>
                <w:rFonts w:ascii="Arial" w:hAnsi="Arial" w:cs="Arial"/>
                <w:color w:val="000000"/>
                <w:sz w:val="20"/>
                <w:szCs w:val="20"/>
              </w:rPr>
            </w:pPr>
            <w:r w:rsidRPr="00B667FF">
              <w:rPr>
                <w:rFonts w:ascii="Arial" w:hAnsi="Arial" w:cs="Arial"/>
                <w:sz w:val="20"/>
                <w:szCs w:val="20"/>
                <w:lang w:val="en"/>
              </w:rPr>
              <w:t>Tebuconazole 17.7 % 400 SC</w:t>
            </w:r>
          </w:p>
        </w:tc>
        <w:tc>
          <w:tcPr>
            <w:tcW w:w="726" w:type="dxa"/>
            <w:tcBorders>
              <w:top w:val="single" w:sz="2" w:space="0" w:color="000000"/>
              <w:left w:val="single" w:sz="2" w:space="0" w:color="000000"/>
              <w:bottom w:val="single" w:sz="2" w:space="0" w:color="000000"/>
              <w:right w:val="single" w:sz="2" w:space="0" w:color="000000"/>
            </w:tcBorders>
            <w:vAlign w:val="center"/>
          </w:tcPr>
          <w:p w14:paraId="3DF91CB2" w14:textId="77777777" w:rsidR="00B667FF" w:rsidRPr="00B667FF" w:rsidRDefault="00B667FF" w:rsidP="00D27050">
            <w:pPr>
              <w:ind w:left="58"/>
              <w:jc w:val="center"/>
              <w:rPr>
                <w:rFonts w:ascii="Arial" w:hAnsi="Arial" w:cs="Arial"/>
                <w:color w:val="000000"/>
                <w:sz w:val="20"/>
                <w:szCs w:val="20"/>
              </w:rPr>
            </w:pPr>
            <w:r w:rsidRPr="00B667FF">
              <w:rPr>
                <w:rFonts w:ascii="Arial" w:hAnsi="Arial" w:cs="Arial"/>
                <w:color w:val="000000"/>
                <w:sz w:val="20"/>
                <w:szCs w:val="20"/>
              </w:rPr>
              <w:t>32.00</w:t>
            </w:r>
          </w:p>
        </w:tc>
        <w:tc>
          <w:tcPr>
            <w:tcW w:w="839" w:type="dxa"/>
            <w:tcBorders>
              <w:top w:val="single" w:sz="2" w:space="0" w:color="000000"/>
              <w:left w:val="single" w:sz="2" w:space="0" w:color="000000"/>
              <w:bottom w:val="single" w:sz="2" w:space="0" w:color="000000"/>
              <w:right w:val="single" w:sz="2" w:space="0" w:color="000000"/>
            </w:tcBorders>
            <w:vAlign w:val="center"/>
          </w:tcPr>
          <w:p w14:paraId="18CEA338" w14:textId="77777777" w:rsidR="00B667FF" w:rsidRPr="00B667FF" w:rsidRDefault="00B667FF" w:rsidP="00D27050">
            <w:pPr>
              <w:ind w:left="110"/>
              <w:jc w:val="center"/>
              <w:rPr>
                <w:rFonts w:ascii="Arial" w:hAnsi="Arial" w:cs="Arial"/>
                <w:color w:val="000000"/>
                <w:sz w:val="20"/>
                <w:szCs w:val="20"/>
              </w:rPr>
            </w:pPr>
            <w:r w:rsidRPr="00B667FF">
              <w:rPr>
                <w:rFonts w:ascii="Arial" w:hAnsi="Arial" w:cs="Arial"/>
                <w:color w:val="000000"/>
                <w:sz w:val="20"/>
                <w:szCs w:val="20"/>
              </w:rPr>
              <w:t>14.00</w:t>
            </w:r>
          </w:p>
        </w:tc>
        <w:tc>
          <w:tcPr>
            <w:tcW w:w="766" w:type="dxa"/>
            <w:tcBorders>
              <w:top w:val="single" w:sz="2" w:space="0" w:color="000000"/>
              <w:left w:val="single" w:sz="2" w:space="0" w:color="000000"/>
              <w:bottom w:val="single" w:sz="2" w:space="0" w:color="000000"/>
              <w:right w:val="single" w:sz="2" w:space="0" w:color="000000"/>
            </w:tcBorders>
            <w:vAlign w:val="center"/>
          </w:tcPr>
          <w:p w14:paraId="4A586AEB" w14:textId="77777777" w:rsidR="00B667FF" w:rsidRPr="00B667FF" w:rsidRDefault="00B667FF" w:rsidP="00D27050">
            <w:pPr>
              <w:ind w:left="72"/>
              <w:jc w:val="center"/>
              <w:rPr>
                <w:rFonts w:ascii="Arial" w:hAnsi="Arial" w:cs="Arial"/>
                <w:color w:val="000000"/>
                <w:sz w:val="20"/>
                <w:szCs w:val="20"/>
              </w:rPr>
            </w:pPr>
            <w:r w:rsidRPr="00B667FF">
              <w:rPr>
                <w:rFonts w:ascii="Arial" w:hAnsi="Arial" w:cs="Arial"/>
                <w:color w:val="000000"/>
                <w:sz w:val="20"/>
                <w:szCs w:val="20"/>
              </w:rPr>
              <w:t>23.00</w:t>
            </w:r>
          </w:p>
        </w:tc>
        <w:tc>
          <w:tcPr>
            <w:tcW w:w="1090" w:type="dxa"/>
            <w:tcBorders>
              <w:top w:val="single" w:sz="2" w:space="0" w:color="000000"/>
              <w:left w:val="single" w:sz="2" w:space="0" w:color="000000"/>
              <w:bottom w:val="single" w:sz="2" w:space="0" w:color="000000"/>
              <w:right w:val="single" w:sz="2" w:space="0" w:color="000000"/>
            </w:tcBorders>
            <w:vAlign w:val="center"/>
          </w:tcPr>
          <w:p w14:paraId="3D0A8F77"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color w:val="000000"/>
                <w:sz w:val="20"/>
                <w:szCs w:val="20"/>
              </w:rPr>
              <w:t>64.45</w:t>
            </w:r>
          </w:p>
          <w:p w14:paraId="592E96C1"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color w:val="000000"/>
                <w:sz w:val="20"/>
                <w:szCs w:val="20"/>
              </w:rPr>
              <w:t>(53.39)</w:t>
            </w:r>
          </w:p>
        </w:tc>
        <w:tc>
          <w:tcPr>
            <w:tcW w:w="1015" w:type="dxa"/>
            <w:tcBorders>
              <w:top w:val="single" w:sz="2" w:space="0" w:color="000000"/>
              <w:left w:val="single" w:sz="2" w:space="0" w:color="000000"/>
              <w:bottom w:val="single" w:sz="2" w:space="0" w:color="000000"/>
              <w:right w:val="single" w:sz="2" w:space="0" w:color="000000"/>
            </w:tcBorders>
            <w:vAlign w:val="center"/>
          </w:tcPr>
          <w:p w14:paraId="6B5A51BD" w14:textId="77777777" w:rsidR="00B667FF" w:rsidRPr="00B667FF" w:rsidRDefault="00B667FF" w:rsidP="00D27050">
            <w:pPr>
              <w:ind w:left="125"/>
              <w:rPr>
                <w:rFonts w:ascii="Arial" w:hAnsi="Arial" w:cs="Arial"/>
                <w:color w:val="000000"/>
                <w:sz w:val="20"/>
                <w:szCs w:val="20"/>
              </w:rPr>
            </w:pPr>
            <w:r w:rsidRPr="00B667FF">
              <w:rPr>
                <w:rFonts w:ascii="Arial" w:hAnsi="Arial" w:cs="Arial"/>
                <w:color w:val="000000"/>
                <w:sz w:val="20"/>
                <w:szCs w:val="20"/>
              </w:rPr>
              <w:t xml:space="preserve"> 84.45</w:t>
            </w:r>
          </w:p>
          <w:p w14:paraId="02FEA185" w14:textId="77777777" w:rsidR="00B667FF" w:rsidRPr="00B667FF" w:rsidRDefault="00B667FF" w:rsidP="00D27050">
            <w:pPr>
              <w:rPr>
                <w:rFonts w:ascii="Arial" w:hAnsi="Arial" w:cs="Arial"/>
                <w:color w:val="000000"/>
                <w:sz w:val="20"/>
                <w:szCs w:val="20"/>
              </w:rPr>
            </w:pPr>
            <w:r w:rsidRPr="00B667FF">
              <w:rPr>
                <w:rFonts w:ascii="Arial" w:hAnsi="Arial" w:cs="Arial"/>
                <w:color w:val="000000"/>
                <w:sz w:val="20"/>
                <w:szCs w:val="20"/>
              </w:rPr>
              <w:t xml:space="preserve">  (66.77)</w:t>
            </w:r>
          </w:p>
        </w:tc>
        <w:tc>
          <w:tcPr>
            <w:tcW w:w="1177" w:type="dxa"/>
            <w:tcBorders>
              <w:top w:val="single" w:sz="2" w:space="0" w:color="000000"/>
              <w:left w:val="single" w:sz="2" w:space="0" w:color="000000"/>
              <w:bottom w:val="single" w:sz="2" w:space="0" w:color="000000"/>
              <w:right w:val="single" w:sz="2" w:space="0" w:color="000000"/>
            </w:tcBorders>
            <w:vAlign w:val="center"/>
          </w:tcPr>
          <w:p w14:paraId="7D87277B" w14:textId="77777777" w:rsidR="00B667FF" w:rsidRPr="00B667FF" w:rsidRDefault="00B667FF" w:rsidP="00D27050">
            <w:pPr>
              <w:ind w:left="139"/>
              <w:jc w:val="center"/>
              <w:rPr>
                <w:rFonts w:ascii="Arial" w:hAnsi="Arial" w:cs="Arial"/>
                <w:color w:val="000000"/>
                <w:sz w:val="20"/>
                <w:szCs w:val="20"/>
              </w:rPr>
            </w:pPr>
            <w:r w:rsidRPr="00B667FF">
              <w:rPr>
                <w:rFonts w:ascii="Arial" w:hAnsi="Arial" w:cs="Arial"/>
                <w:color w:val="000000"/>
                <w:sz w:val="20"/>
                <w:szCs w:val="20"/>
              </w:rPr>
              <w:t>74.45</w:t>
            </w:r>
          </w:p>
          <w:p w14:paraId="4502946B" w14:textId="77777777" w:rsidR="00B667FF" w:rsidRPr="00B667FF" w:rsidRDefault="00B667FF" w:rsidP="00D27050">
            <w:pPr>
              <w:ind w:left="139"/>
              <w:jc w:val="center"/>
              <w:rPr>
                <w:rFonts w:ascii="Arial" w:hAnsi="Arial" w:cs="Arial"/>
                <w:color w:val="000000"/>
                <w:sz w:val="20"/>
                <w:szCs w:val="20"/>
              </w:rPr>
            </w:pPr>
            <w:r w:rsidRPr="00B667FF">
              <w:rPr>
                <w:rFonts w:ascii="Arial" w:hAnsi="Arial" w:cs="Arial"/>
                <w:color w:val="000000"/>
                <w:sz w:val="20"/>
                <w:szCs w:val="20"/>
              </w:rPr>
              <w:t>(59.63)</w:t>
            </w:r>
          </w:p>
        </w:tc>
      </w:tr>
      <w:tr w:rsidR="00B667FF" w:rsidRPr="00B667FF" w14:paraId="09E3F493" w14:textId="77777777" w:rsidTr="00D27050">
        <w:trPr>
          <w:trHeight w:val="256"/>
        </w:trPr>
        <w:tc>
          <w:tcPr>
            <w:tcW w:w="5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3A1D41" w14:textId="77777777" w:rsidR="00B667FF" w:rsidRPr="00B667FF" w:rsidRDefault="00B667FF" w:rsidP="00D27050">
            <w:pPr>
              <w:jc w:val="center"/>
              <w:rPr>
                <w:rFonts w:ascii="Arial" w:hAnsi="Arial" w:cs="Arial"/>
                <w:b/>
                <w:bCs/>
                <w:color w:val="000000"/>
                <w:sz w:val="20"/>
                <w:szCs w:val="20"/>
                <w:vertAlign w:val="subscript"/>
              </w:rPr>
            </w:pPr>
            <w:r w:rsidRPr="00B667FF">
              <w:rPr>
                <w:rFonts w:ascii="Arial" w:hAnsi="Arial" w:cs="Arial"/>
                <w:b/>
                <w:bCs/>
                <w:color w:val="000000" w:themeColor="text1"/>
                <w:sz w:val="20"/>
                <w:szCs w:val="20"/>
                <w14:ligatures w14:val="none"/>
              </w:rPr>
              <w:t>T</w:t>
            </w:r>
            <w:r w:rsidRPr="00B667FF">
              <w:rPr>
                <w:rFonts w:ascii="Arial" w:hAnsi="Arial" w:cs="Arial"/>
                <w:b/>
                <w:bCs/>
                <w:color w:val="000000" w:themeColor="text1"/>
                <w:sz w:val="20"/>
                <w:szCs w:val="20"/>
                <w:vertAlign w:val="subscript"/>
                <w14:ligatures w14:val="none"/>
              </w:rPr>
              <w:t>5</w:t>
            </w:r>
          </w:p>
        </w:tc>
        <w:tc>
          <w:tcPr>
            <w:tcW w:w="2538" w:type="dxa"/>
            <w:tcBorders>
              <w:top w:val="single" w:sz="4" w:space="0" w:color="000000"/>
              <w:left w:val="single" w:sz="4" w:space="0" w:color="000000"/>
              <w:bottom w:val="single" w:sz="4" w:space="0" w:color="000000"/>
              <w:right w:val="single" w:sz="4" w:space="0" w:color="000000"/>
            </w:tcBorders>
            <w:vAlign w:val="center"/>
          </w:tcPr>
          <w:p w14:paraId="6D811C8E" w14:textId="77777777" w:rsidR="00B667FF" w:rsidRPr="00B667FF" w:rsidRDefault="00B667FF" w:rsidP="00D27050">
            <w:pPr>
              <w:jc w:val="center"/>
              <w:rPr>
                <w:rFonts w:ascii="Arial" w:hAnsi="Arial" w:cs="Arial"/>
                <w:sz w:val="20"/>
                <w:szCs w:val="20"/>
                <w:lang w:val="en"/>
              </w:rPr>
            </w:pPr>
            <w:r w:rsidRPr="00B667FF">
              <w:rPr>
                <w:rFonts w:ascii="Arial" w:hAnsi="Arial" w:cs="Arial"/>
                <w:sz w:val="20"/>
                <w:szCs w:val="20"/>
                <w:lang w:val="en"/>
              </w:rPr>
              <w:t>Boscalid 25.2 % +</w:t>
            </w:r>
          </w:p>
          <w:p w14:paraId="0D315A8A" w14:textId="77777777" w:rsidR="00B667FF" w:rsidRPr="00B667FF" w:rsidRDefault="00B667FF" w:rsidP="00D27050">
            <w:pPr>
              <w:ind w:left="115"/>
              <w:jc w:val="center"/>
              <w:rPr>
                <w:rFonts w:ascii="Arial" w:hAnsi="Arial" w:cs="Arial"/>
                <w:color w:val="000000"/>
                <w:sz w:val="20"/>
                <w:szCs w:val="20"/>
              </w:rPr>
            </w:pPr>
            <w:r w:rsidRPr="00B667FF">
              <w:rPr>
                <w:rFonts w:ascii="Arial" w:hAnsi="Arial" w:cs="Arial"/>
                <w:sz w:val="20"/>
                <w:szCs w:val="20"/>
                <w:lang w:val="en"/>
              </w:rPr>
              <w:t>Pyraclostrobin 12.8 % WG</w:t>
            </w:r>
          </w:p>
        </w:tc>
        <w:tc>
          <w:tcPr>
            <w:tcW w:w="726" w:type="dxa"/>
            <w:tcBorders>
              <w:top w:val="single" w:sz="2" w:space="0" w:color="000000"/>
              <w:left w:val="single" w:sz="2" w:space="0" w:color="000000"/>
              <w:bottom w:val="single" w:sz="2" w:space="0" w:color="000000"/>
              <w:right w:val="single" w:sz="2" w:space="0" w:color="000000"/>
            </w:tcBorders>
            <w:vAlign w:val="center"/>
          </w:tcPr>
          <w:p w14:paraId="396B29CA" w14:textId="77777777" w:rsidR="00B667FF" w:rsidRPr="00B667FF" w:rsidRDefault="00B667FF" w:rsidP="00D27050">
            <w:pPr>
              <w:ind w:left="58"/>
              <w:jc w:val="center"/>
              <w:rPr>
                <w:rFonts w:ascii="Arial" w:hAnsi="Arial" w:cs="Arial"/>
                <w:color w:val="000000"/>
                <w:sz w:val="20"/>
                <w:szCs w:val="20"/>
              </w:rPr>
            </w:pPr>
            <w:r w:rsidRPr="00B667FF">
              <w:rPr>
                <w:rFonts w:ascii="Arial" w:hAnsi="Arial" w:cs="Arial"/>
                <w:color w:val="000000"/>
                <w:sz w:val="20"/>
                <w:szCs w:val="20"/>
              </w:rPr>
              <w:t>41.00</w:t>
            </w:r>
          </w:p>
        </w:tc>
        <w:tc>
          <w:tcPr>
            <w:tcW w:w="839" w:type="dxa"/>
            <w:tcBorders>
              <w:top w:val="single" w:sz="2" w:space="0" w:color="000000"/>
              <w:left w:val="single" w:sz="2" w:space="0" w:color="000000"/>
              <w:bottom w:val="single" w:sz="2" w:space="0" w:color="000000"/>
              <w:right w:val="single" w:sz="2" w:space="0" w:color="000000"/>
            </w:tcBorders>
            <w:vAlign w:val="center"/>
          </w:tcPr>
          <w:p w14:paraId="5F2EF310" w14:textId="77777777" w:rsidR="00B667FF" w:rsidRPr="00B667FF" w:rsidRDefault="00B667FF" w:rsidP="00D27050">
            <w:pPr>
              <w:ind w:left="110"/>
              <w:jc w:val="center"/>
              <w:rPr>
                <w:rFonts w:ascii="Arial" w:hAnsi="Arial" w:cs="Arial"/>
                <w:color w:val="000000"/>
                <w:sz w:val="20"/>
                <w:szCs w:val="20"/>
              </w:rPr>
            </w:pPr>
            <w:r w:rsidRPr="00B667FF">
              <w:rPr>
                <w:rFonts w:ascii="Arial" w:hAnsi="Arial" w:cs="Arial"/>
                <w:color w:val="000000"/>
                <w:sz w:val="20"/>
                <w:szCs w:val="20"/>
              </w:rPr>
              <w:t>16.00</w:t>
            </w:r>
          </w:p>
        </w:tc>
        <w:tc>
          <w:tcPr>
            <w:tcW w:w="766" w:type="dxa"/>
            <w:tcBorders>
              <w:top w:val="single" w:sz="2" w:space="0" w:color="000000"/>
              <w:left w:val="single" w:sz="2" w:space="0" w:color="000000"/>
              <w:bottom w:val="single" w:sz="2" w:space="0" w:color="000000"/>
              <w:right w:val="single" w:sz="2" w:space="0" w:color="000000"/>
            </w:tcBorders>
            <w:vAlign w:val="center"/>
          </w:tcPr>
          <w:p w14:paraId="272F8DFF" w14:textId="77777777" w:rsidR="00B667FF" w:rsidRPr="00B667FF" w:rsidRDefault="00B667FF" w:rsidP="00D27050">
            <w:pPr>
              <w:ind w:left="72"/>
              <w:jc w:val="center"/>
              <w:rPr>
                <w:rFonts w:ascii="Arial" w:hAnsi="Arial" w:cs="Arial"/>
                <w:color w:val="000000"/>
                <w:sz w:val="20"/>
                <w:szCs w:val="20"/>
              </w:rPr>
            </w:pPr>
            <w:r w:rsidRPr="00B667FF">
              <w:rPr>
                <w:rFonts w:ascii="Arial" w:hAnsi="Arial" w:cs="Arial"/>
                <w:color w:val="000000"/>
                <w:sz w:val="20"/>
                <w:szCs w:val="20"/>
              </w:rPr>
              <w:t>28.50</w:t>
            </w:r>
          </w:p>
        </w:tc>
        <w:tc>
          <w:tcPr>
            <w:tcW w:w="1090" w:type="dxa"/>
            <w:tcBorders>
              <w:top w:val="single" w:sz="2" w:space="0" w:color="000000"/>
              <w:left w:val="single" w:sz="2" w:space="0" w:color="000000"/>
              <w:bottom w:val="single" w:sz="2" w:space="0" w:color="000000"/>
              <w:right w:val="single" w:sz="2" w:space="0" w:color="000000"/>
            </w:tcBorders>
            <w:vAlign w:val="center"/>
          </w:tcPr>
          <w:p w14:paraId="666739AA"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color w:val="000000"/>
                <w:sz w:val="20"/>
                <w:szCs w:val="20"/>
              </w:rPr>
              <w:t>54.45</w:t>
            </w:r>
          </w:p>
          <w:p w14:paraId="211C1A48"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color w:val="000000"/>
                <w:sz w:val="20"/>
                <w:szCs w:val="20"/>
              </w:rPr>
              <w:t>(47.55)</w:t>
            </w:r>
          </w:p>
        </w:tc>
        <w:tc>
          <w:tcPr>
            <w:tcW w:w="1015" w:type="dxa"/>
            <w:tcBorders>
              <w:top w:val="single" w:sz="2" w:space="0" w:color="000000"/>
              <w:left w:val="single" w:sz="2" w:space="0" w:color="000000"/>
              <w:bottom w:val="single" w:sz="2" w:space="0" w:color="000000"/>
              <w:right w:val="single" w:sz="2" w:space="0" w:color="000000"/>
            </w:tcBorders>
            <w:vAlign w:val="center"/>
          </w:tcPr>
          <w:p w14:paraId="4E2908BC" w14:textId="77777777" w:rsidR="00B667FF" w:rsidRPr="00B667FF" w:rsidRDefault="00B667FF" w:rsidP="00D27050">
            <w:pPr>
              <w:ind w:left="125"/>
              <w:rPr>
                <w:rFonts w:ascii="Arial" w:hAnsi="Arial" w:cs="Arial"/>
                <w:color w:val="000000"/>
                <w:sz w:val="20"/>
                <w:szCs w:val="20"/>
              </w:rPr>
            </w:pPr>
            <w:r w:rsidRPr="00B667FF">
              <w:rPr>
                <w:rFonts w:ascii="Arial" w:hAnsi="Arial" w:cs="Arial"/>
                <w:color w:val="000000"/>
                <w:sz w:val="20"/>
                <w:szCs w:val="20"/>
              </w:rPr>
              <w:t>82.23</w:t>
            </w:r>
          </w:p>
          <w:p w14:paraId="1740E034" w14:textId="77777777" w:rsidR="00B667FF" w:rsidRPr="00B667FF" w:rsidRDefault="00B667FF" w:rsidP="00D27050">
            <w:pPr>
              <w:ind w:left="125"/>
              <w:rPr>
                <w:rFonts w:ascii="Arial" w:hAnsi="Arial" w:cs="Arial"/>
                <w:color w:val="000000"/>
                <w:sz w:val="20"/>
                <w:szCs w:val="20"/>
              </w:rPr>
            </w:pPr>
            <w:r w:rsidRPr="00B667FF">
              <w:rPr>
                <w:rFonts w:ascii="Arial" w:hAnsi="Arial" w:cs="Arial"/>
                <w:color w:val="000000"/>
                <w:sz w:val="20"/>
                <w:szCs w:val="20"/>
              </w:rPr>
              <w:t>(65.06)</w:t>
            </w:r>
          </w:p>
        </w:tc>
        <w:tc>
          <w:tcPr>
            <w:tcW w:w="1177" w:type="dxa"/>
            <w:tcBorders>
              <w:top w:val="single" w:sz="2" w:space="0" w:color="000000"/>
              <w:left w:val="single" w:sz="2" w:space="0" w:color="000000"/>
              <w:bottom w:val="single" w:sz="2" w:space="0" w:color="000000"/>
              <w:right w:val="single" w:sz="2" w:space="0" w:color="000000"/>
            </w:tcBorders>
            <w:vAlign w:val="center"/>
          </w:tcPr>
          <w:p w14:paraId="2EE5DE71" w14:textId="77777777" w:rsidR="00B667FF" w:rsidRPr="00B667FF" w:rsidRDefault="00B667FF" w:rsidP="00D27050">
            <w:pPr>
              <w:ind w:left="168"/>
              <w:jc w:val="center"/>
              <w:rPr>
                <w:rFonts w:ascii="Arial" w:hAnsi="Arial" w:cs="Arial"/>
                <w:color w:val="000000"/>
                <w:sz w:val="20"/>
                <w:szCs w:val="20"/>
              </w:rPr>
            </w:pPr>
            <w:r w:rsidRPr="00B667FF">
              <w:rPr>
                <w:rFonts w:ascii="Arial" w:hAnsi="Arial" w:cs="Arial"/>
                <w:color w:val="000000"/>
                <w:sz w:val="20"/>
                <w:szCs w:val="20"/>
              </w:rPr>
              <w:t>68.34</w:t>
            </w:r>
          </w:p>
          <w:p w14:paraId="43936DB1" w14:textId="77777777" w:rsidR="00B667FF" w:rsidRPr="00B667FF" w:rsidRDefault="00B667FF" w:rsidP="00D27050">
            <w:pPr>
              <w:jc w:val="center"/>
              <w:rPr>
                <w:rFonts w:ascii="Arial" w:hAnsi="Arial" w:cs="Arial"/>
                <w:color w:val="000000"/>
                <w:sz w:val="20"/>
                <w:szCs w:val="20"/>
              </w:rPr>
            </w:pPr>
            <w:r w:rsidRPr="00B667FF">
              <w:rPr>
                <w:rFonts w:ascii="Arial" w:hAnsi="Arial" w:cs="Arial"/>
                <w:color w:val="000000"/>
                <w:sz w:val="20"/>
                <w:szCs w:val="20"/>
              </w:rPr>
              <w:t>(55.75)</w:t>
            </w:r>
          </w:p>
        </w:tc>
      </w:tr>
      <w:tr w:rsidR="00B667FF" w:rsidRPr="00B667FF" w14:paraId="04B717A4" w14:textId="77777777" w:rsidTr="00D27050">
        <w:trPr>
          <w:trHeight w:val="171"/>
        </w:trPr>
        <w:tc>
          <w:tcPr>
            <w:tcW w:w="5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2A53A4" w14:textId="77777777" w:rsidR="00B667FF" w:rsidRPr="00B667FF" w:rsidRDefault="00B667FF" w:rsidP="00D27050">
            <w:pPr>
              <w:jc w:val="center"/>
              <w:rPr>
                <w:rFonts w:ascii="Arial" w:hAnsi="Arial" w:cs="Arial"/>
                <w:b/>
                <w:bCs/>
                <w:color w:val="000000"/>
                <w:sz w:val="20"/>
                <w:szCs w:val="20"/>
                <w:vertAlign w:val="subscript"/>
              </w:rPr>
            </w:pPr>
            <w:r w:rsidRPr="00B667FF">
              <w:rPr>
                <w:rFonts w:ascii="Arial" w:hAnsi="Arial" w:cs="Arial"/>
                <w:b/>
                <w:bCs/>
                <w:color w:val="000000" w:themeColor="text1"/>
                <w:sz w:val="20"/>
                <w:szCs w:val="20"/>
                <w14:ligatures w14:val="none"/>
              </w:rPr>
              <w:t>T</w:t>
            </w:r>
            <w:r w:rsidRPr="00B667FF">
              <w:rPr>
                <w:rFonts w:ascii="Arial" w:hAnsi="Arial" w:cs="Arial"/>
                <w:b/>
                <w:bCs/>
                <w:color w:val="000000" w:themeColor="text1"/>
                <w:sz w:val="20"/>
                <w:szCs w:val="20"/>
                <w:vertAlign w:val="subscript"/>
                <w14:ligatures w14:val="none"/>
              </w:rPr>
              <w:t>6</w:t>
            </w:r>
          </w:p>
        </w:tc>
        <w:tc>
          <w:tcPr>
            <w:tcW w:w="2538" w:type="dxa"/>
            <w:tcBorders>
              <w:top w:val="single" w:sz="4" w:space="0" w:color="000000"/>
              <w:left w:val="single" w:sz="4" w:space="0" w:color="000000"/>
              <w:bottom w:val="single" w:sz="4" w:space="0" w:color="000000"/>
              <w:right w:val="single" w:sz="4" w:space="0" w:color="000000"/>
            </w:tcBorders>
            <w:vAlign w:val="center"/>
          </w:tcPr>
          <w:p w14:paraId="37D782CF" w14:textId="77777777" w:rsidR="00B667FF" w:rsidRPr="00B667FF" w:rsidRDefault="00B667FF" w:rsidP="00D27050">
            <w:pPr>
              <w:ind w:left="115"/>
              <w:jc w:val="center"/>
              <w:rPr>
                <w:rFonts w:ascii="Arial" w:hAnsi="Arial" w:cs="Arial"/>
                <w:color w:val="000000"/>
                <w:sz w:val="20"/>
                <w:szCs w:val="20"/>
              </w:rPr>
            </w:pPr>
            <w:r w:rsidRPr="00B667FF">
              <w:rPr>
                <w:rFonts w:ascii="Arial" w:hAnsi="Arial" w:cs="Arial"/>
                <w:sz w:val="20"/>
                <w:szCs w:val="20"/>
                <w:lang w:val="en"/>
              </w:rPr>
              <w:t>Dimethomorph12 % + Pyraclostrobin 6.7 % WG</w:t>
            </w:r>
          </w:p>
        </w:tc>
        <w:tc>
          <w:tcPr>
            <w:tcW w:w="726" w:type="dxa"/>
            <w:tcBorders>
              <w:top w:val="single" w:sz="2" w:space="0" w:color="000000"/>
              <w:left w:val="single" w:sz="2" w:space="0" w:color="000000"/>
              <w:bottom w:val="single" w:sz="2" w:space="0" w:color="000000"/>
              <w:right w:val="single" w:sz="2" w:space="0" w:color="000000"/>
            </w:tcBorders>
            <w:vAlign w:val="center"/>
          </w:tcPr>
          <w:p w14:paraId="61C21CEF" w14:textId="77777777" w:rsidR="00B667FF" w:rsidRPr="00B667FF" w:rsidRDefault="00B667FF" w:rsidP="00D27050">
            <w:pPr>
              <w:ind w:left="58"/>
              <w:jc w:val="center"/>
              <w:rPr>
                <w:rFonts w:ascii="Arial" w:hAnsi="Arial" w:cs="Arial"/>
                <w:color w:val="000000"/>
                <w:sz w:val="20"/>
                <w:szCs w:val="20"/>
              </w:rPr>
            </w:pPr>
            <w:r w:rsidRPr="00B667FF">
              <w:rPr>
                <w:rFonts w:ascii="Arial" w:hAnsi="Arial" w:cs="Arial"/>
                <w:color w:val="000000"/>
                <w:sz w:val="20"/>
                <w:szCs w:val="20"/>
              </w:rPr>
              <w:t>37.00</w:t>
            </w:r>
          </w:p>
        </w:tc>
        <w:tc>
          <w:tcPr>
            <w:tcW w:w="839" w:type="dxa"/>
            <w:tcBorders>
              <w:top w:val="single" w:sz="2" w:space="0" w:color="000000"/>
              <w:left w:val="single" w:sz="2" w:space="0" w:color="000000"/>
              <w:bottom w:val="single" w:sz="2" w:space="0" w:color="000000"/>
              <w:right w:val="single" w:sz="2" w:space="0" w:color="000000"/>
            </w:tcBorders>
            <w:vAlign w:val="center"/>
          </w:tcPr>
          <w:p w14:paraId="6EDCDF94" w14:textId="77777777" w:rsidR="00B667FF" w:rsidRPr="00B667FF" w:rsidRDefault="00B667FF" w:rsidP="00D27050">
            <w:pPr>
              <w:ind w:left="110"/>
              <w:jc w:val="center"/>
              <w:rPr>
                <w:rFonts w:ascii="Arial" w:hAnsi="Arial" w:cs="Arial"/>
                <w:color w:val="000000"/>
                <w:sz w:val="20"/>
                <w:szCs w:val="20"/>
              </w:rPr>
            </w:pPr>
            <w:r w:rsidRPr="00B667FF">
              <w:rPr>
                <w:rFonts w:ascii="Arial" w:hAnsi="Arial" w:cs="Arial"/>
                <w:color w:val="000000"/>
                <w:sz w:val="20"/>
                <w:szCs w:val="20"/>
              </w:rPr>
              <w:t>15.00</w:t>
            </w:r>
          </w:p>
        </w:tc>
        <w:tc>
          <w:tcPr>
            <w:tcW w:w="766" w:type="dxa"/>
            <w:tcBorders>
              <w:top w:val="single" w:sz="2" w:space="0" w:color="000000"/>
              <w:left w:val="single" w:sz="2" w:space="0" w:color="000000"/>
              <w:bottom w:val="single" w:sz="2" w:space="0" w:color="000000"/>
              <w:right w:val="single" w:sz="2" w:space="0" w:color="000000"/>
            </w:tcBorders>
            <w:vAlign w:val="center"/>
          </w:tcPr>
          <w:p w14:paraId="2A7A1A0B" w14:textId="77777777" w:rsidR="00B667FF" w:rsidRPr="00B667FF" w:rsidRDefault="00B667FF" w:rsidP="00D27050">
            <w:pPr>
              <w:ind w:left="72"/>
              <w:jc w:val="center"/>
              <w:rPr>
                <w:rFonts w:ascii="Arial" w:hAnsi="Arial" w:cs="Arial"/>
                <w:color w:val="000000"/>
                <w:sz w:val="20"/>
                <w:szCs w:val="20"/>
              </w:rPr>
            </w:pPr>
            <w:r w:rsidRPr="00B667FF">
              <w:rPr>
                <w:rFonts w:ascii="Arial" w:hAnsi="Arial" w:cs="Arial"/>
                <w:color w:val="000000"/>
                <w:sz w:val="20"/>
                <w:szCs w:val="20"/>
              </w:rPr>
              <w:t>26.00</w:t>
            </w:r>
          </w:p>
        </w:tc>
        <w:tc>
          <w:tcPr>
            <w:tcW w:w="1090" w:type="dxa"/>
            <w:tcBorders>
              <w:top w:val="single" w:sz="2" w:space="0" w:color="000000"/>
              <w:left w:val="single" w:sz="2" w:space="0" w:color="000000"/>
              <w:bottom w:val="single" w:sz="2" w:space="0" w:color="000000"/>
              <w:right w:val="single" w:sz="2" w:space="0" w:color="000000"/>
            </w:tcBorders>
          </w:tcPr>
          <w:p w14:paraId="2945D36A"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color w:val="000000"/>
                <w:sz w:val="20"/>
                <w:szCs w:val="20"/>
              </w:rPr>
              <w:t>58.89</w:t>
            </w:r>
          </w:p>
          <w:p w14:paraId="76CC64EB"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color w:val="000000"/>
                <w:sz w:val="20"/>
                <w:szCs w:val="20"/>
              </w:rPr>
              <w:t>(50.12)</w:t>
            </w:r>
          </w:p>
        </w:tc>
        <w:tc>
          <w:tcPr>
            <w:tcW w:w="1015" w:type="dxa"/>
            <w:tcBorders>
              <w:top w:val="single" w:sz="2" w:space="0" w:color="000000"/>
              <w:left w:val="single" w:sz="2" w:space="0" w:color="000000"/>
              <w:bottom w:val="single" w:sz="2" w:space="0" w:color="000000"/>
              <w:right w:val="single" w:sz="2" w:space="0" w:color="000000"/>
            </w:tcBorders>
          </w:tcPr>
          <w:p w14:paraId="1A487C4A" w14:textId="77777777" w:rsidR="00B667FF" w:rsidRPr="00B667FF" w:rsidRDefault="00B667FF" w:rsidP="00D27050">
            <w:pPr>
              <w:ind w:left="125"/>
              <w:rPr>
                <w:rFonts w:ascii="Arial" w:hAnsi="Arial" w:cs="Arial"/>
                <w:color w:val="000000"/>
                <w:sz w:val="20"/>
                <w:szCs w:val="20"/>
              </w:rPr>
            </w:pPr>
            <w:r w:rsidRPr="00B667FF">
              <w:rPr>
                <w:rFonts w:ascii="Arial" w:hAnsi="Arial" w:cs="Arial"/>
                <w:color w:val="000000"/>
                <w:sz w:val="20"/>
                <w:szCs w:val="20"/>
              </w:rPr>
              <w:t>83.34</w:t>
            </w:r>
          </w:p>
          <w:p w14:paraId="69D4F288" w14:textId="77777777" w:rsidR="00B667FF" w:rsidRPr="00B667FF" w:rsidRDefault="00B667FF" w:rsidP="00D27050">
            <w:pPr>
              <w:rPr>
                <w:rFonts w:ascii="Arial" w:hAnsi="Arial" w:cs="Arial"/>
                <w:color w:val="000000"/>
                <w:sz w:val="20"/>
                <w:szCs w:val="20"/>
              </w:rPr>
            </w:pPr>
            <w:r w:rsidRPr="00B667FF">
              <w:rPr>
                <w:rFonts w:ascii="Arial" w:hAnsi="Arial" w:cs="Arial"/>
                <w:color w:val="000000"/>
                <w:sz w:val="20"/>
                <w:szCs w:val="20"/>
              </w:rPr>
              <w:t xml:space="preserve"> (65.91)</w:t>
            </w:r>
          </w:p>
        </w:tc>
        <w:tc>
          <w:tcPr>
            <w:tcW w:w="1177" w:type="dxa"/>
            <w:tcBorders>
              <w:top w:val="single" w:sz="2" w:space="0" w:color="000000"/>
              <w:left w:val="single" w:sz="2" w:space="0" w:color="000000"/>
              <w:bottom w:val="single" w:sz="2" w:space="0" w:color="000000"/>
              <w:right w:val="single" w:sz="2" w:space="0" w:color="000000"/>
            </w:tcBorders>
          </w:tcPr>
          <w:p w14:paraId="29692878" w14:textId="77777777" w:rsidR="00B667FF" w:rsidRPr="00B667FF" w:rsidRDefault="00B667FF" w:rsidP="00D27050">
            <w:pPr>
              <w:ind w:right="5"/>
              <w:jc w:val="center"/>
              <w:rPr>
                <w:rFonts w:ascii="Arial" w:hAnsi="Arial" w:cs="Arial"/>
                <w:color w:val="000000"/>
                <w:sz w:val="20"/>
                <w:szCs w:val="20"/>
              </w:rPr>
            </w:pPr>
            <w:r w:rsidRPr="00B667FF">
              <w:rPr>
                <w:rFonts w:ascii="Arial" w:hAnsi="Arial" w:cs="Arial"/>
                <w:color w:val="000000"/>
                <w:sz w:val="20"/>
                <w:szCs w:val="20"/>
              </w:rPr>
              <w:t>71.11</w:t>
            </w:r>
          </w:p>
          <w:p w14:paraId="42424DFF" w14:textId="77777777" w:rsidR="00B667FF" w:rsidRPr="00B667FF" w:rsidRDefault="00B667FF" w:rsidP="00D27050">
            <w:pPr>
              <w:ind w:right="5"/>
              <w:jc w:val="center"/>
              <w:rPr>
                <w:rFonts w:ascii="Arial" w:hAnsi="Arial" w:cs="Arial"/>
                <w:color w:val="000000"/>
                <w:sz w:val="20"/>
                <w:szCs w:val="20"/>
              </w:rPr>
            </w:pPr>
            <w:r w:rsidRPr="00B667FF">
              <w:rPr>
                <w:rFonts w:ascii="Arial" w:hAnsi="Arial" w:cs="Arial"/>
                <w:color w:val="000000"/>
                <w:sz w:val="20"/>
                <w:szCs w:val="20"/>
              </w:rPr>
              <w:t>(57.48)</w:t>
            </w:r>
          </w:p>
        </w:tc>
      </w:tr>
      <w:tr w:rsidR="00B667FF" w:rsidRPr="00B667FF" w14:paraId="2A58DF8A" w14:textId="77777777" w:rsidTr="00D27050">
        <w:trPr>
          <w:trHeight w:val="171"/>
        </w:trPr>
        <w:tc>
          <w:tcPr>
            <w:tcW w:w="597" w:type="dxa"/>
            <w:tcBorders>
              <w:top w:val="single" w:sz="8" w:space="0" w:color="000000"/>
              <w:left w:val="single" w:sz="8" w:space="0" w:color="000000"/>
              <w:bottom w:val="single" w:sz="8" w:space="0" w:color="000000"/>
              <w:right w:val="single" w:sz="8" w:space="0" w:color="000000"/>
            </w:tcBorders>
            <w:vAlign w:val="center"/>
          </w:tcPr>
          <w:p w14:paraId="7F12A68C" w14:textId="77777777" w:rsidR="00B667FF" w:rsidRPr="00B667FF" w:rsidRDefault="00B667FF" w:rsidP="00D27050">
            <w:pPr>
              <w:jc w:val="center"/>
              <w:rPr>
                <w:rFonts w:ascii="Arial" w:hAnsi="Arial" w:cs="Arial"/>
                <w:b/>
                <w:bCs/>
                <w:color w:val="000000"/>
                <w:sz w:val="20"/>
                <w:szCs w:val="20"/>
                <w:vertAlign w:val="subscript"/>
              </w:rPr>
            </w:pPr>
            <w:r w:rsidRPr="00B667FF">
              <w:rPr>
                <w:rFonts w:ascii="Arial" w:hAnsi="Arial" w:cs="Arial"/>
                <w:b/>
                <w:bCs/>
                <w:color w:val="000000" w:themeColor="text1"/>
                <w:sz w:val="20"/>
                <w:szCs w:val="20"/>
                <w14:ligatures w14:val="none"/>
              </w:rPr>
              <w:lastRenderedPageBreak/>
              <w:t>T</w:t>
            </w:r>
            <w:r w:rsidRPr="00B667FF">
              <w:rPr>
                <w:rFonts w:ascii="Arial" w:hAnsi="Arial" w:cs="Arial"/>
                <w:b/>
                <w:bCs/>
                <w:color w:val="000000" w:themeColor="text1"/>
                <w:sz w:val="20"/>
                <w:szCs w:val="20"/>
                <w:vertAlign w:val="subscript"/>
                <w14:ligatures w14:val="none"/>
              </w:rPr>
              <w:t>7</w:t>
            </w:r>
          </w:p>
        </w:tc>
        <w:tc>
          <w:tcPr>
            <w:tcW w:w="2538" w:type="dxa"/>
            <w:tcBorders>
              <w:top w:val="single" w:sz="2" w:space="0" w:color="000000"/>
              <w:left w:val="single" w:sz="2" w:space="0" w:color="000000"/>
              <w:bottom w:val="single" w:sz="2" w:space="0" w:color="000000"/>
              <w:right w:val="single" w:sz="2" w:space="0" w:color="000000"/>
            </w:tcBorders>
            <w:vAlign w:val="center"/>
          </w:tcPr>
          <w:p w14:paraId="098C3D00" w14:textId="77777777" w:rsidR="00B667FF" w:rsidRPr="00B667FF" w:rsidRDefault="00B667FF" w:rsidP="00D27050">
            <w:pPr>
              <w:ind w:left="77"/>
              <w:jc w:val="center"/>
              <w:rPr>
                <w:rFonts w:ascii="Arial" w:hAnsi="Arial" w:cs="Arial"/>
                <w:color w:val="000000"/>
                <w:sz w:val="20"/>
                <w:szCs w:val="20"/>
              </w:rPr>
            </w:pPr>
            <w:r w:rsidRPr="00B667FF">
              <w:rPr>
                <w:rFonts w:ascii="Arial" w:hAnsi="Arial" w:cs="Arial"/>
                <w:color w:val="000000"/>
                <w:sz w:val="20"/>
                <w:szCs w:val="20"/>
              </w:rPr>
              <w:t>Control</w:t>
            </w:r>
          </w:p>
          <w:p w14:paraId="640CF174" w14:textId="77777777" w:rsidR="00B667FF" w:rsidRPr="00B667FF" w:rsidRDefault="00B667FF" w:rsidP="00D27050">
            <w:pPr>
              <w:ind w:left="10"/>
              <w:jc w:val="center"/>
              <w:rPr>
                <w:rFonts w:ascii="Arial" w:hAnsi="Arial" w:cs="Arial"/>
                <w:color w:val="000000"/>
                <w:sz w:val="20"/>
                <w:szCs w:val="20"/>
              </w:rPr>
            </w:pPr>
            <w:r w:rsidRPr="00B667FF">
              <w:rPr>
                <w:rFonts w:ascii="Arial" w:hAnsi="Arial" w:cs="Arial"/>
                <w:color w:val="000000"/>
                <w:sz w:val="20"/>
                <w:szCs w:val="20"/>
              </w:rPr>
              <w:t>(untreated)</w:t>
            </w:r>
          </w:p>
        </w:tc>
        <w:tc>
          <w:tcPr>
            <w:tcW w:w="726" w:type="dxa"/>
            <w:tcBorders>
              <w:top w:val="single" w:sz="2" w:space="0" w:color="000000"/>
              <w:left w:val="single" w:sz="2" w:space="0" w:color="000000"/>
              <w:bottom w:val="single" w:sz="2" w:space="0" w:color="000000"/>
              <w:right w:val="single" w:sz="2" w:space="0" w:color="000000"/>
            </w:tcBorders>
            <w:vAlign w:val="center"/>
          </w:tcPr>
          <w:p w14:paraId="5F97E1C8" w14:textId="77777777" w:rsidR="00B667FF" w:rsidRPr="00B667FF" w:rsidRDefault="00B667FF" w:rsidP="00D27050">
            <w:pPr>
              <w:ind w:left="58"/>
              <w:jc w:val="center"/>
              <w:rPr>
                <w:rFonts w:ascii="Arial" w:hAnsi="Arial" w:cs="Arial"/>
                <w:color w:val="000000"/>
                <w:sz w:val="20"/>
                <w:szCs w:val="20"/>
              </w:rPr>
            </w:pPr>
            <w:r w:rsidRPr="00B667FF">
              <w:rPr>
                <w:rFonts w:ascii="Arial" w:hAnsi="Arial" w:cs="Arial"/>
                <w:sz w:val="20"/>
                <w:szCs w:val="20"/>
              </w:rPr>
              <w:t>90.00</w:t>
            </w:r>
          </w:p>
        </w:tc>
        <w:tc>
          <w:tcPr>
            <w:tcW w:w="839" w:type="dxa"/>
            <w:tcBorders>
              <w:top w:val="single" w:sz="2" w:space="0" w:color="000000"/>
              <w:left w:val="single" w:sz="2" w:space="0" w:color="000000"/>
              <w:bottom w:val="single" w:sz="2" w:space="0" w:color="000000"/>
              <w:right w:val="single" w:sz="2" w:space="0" w:color="000000"/>
            </w:tcBorders>
            <w:vAlign w:val="center"/>
          </w:tcPr>
          <w:p w14:paraId="60BD8C0C" w14:textId="77777777" w:rsidR="00B667FF" w:rsidRPr="00B667FF" w:rsidRDefault="00B667FF" w:rsidP="00D27050">
            <w:pPr>
              <w:ind w:left="110"/>
              <w:jc w:val="center"/>
              <w:rPr>
                <w:rFonts w:ascii="Arial" w:hAnsi="Arial" w:cs="Arial"/>
                <w:color w:val="000000"/>
                <w:sz w:val="20"/>
                <w:szCs w:val="20"/>
              </w:rPr>
            </w:pPr>
            <w:r w:rsidRPr="00B667FF">
              <w:rPr>
                <w:rFonts w:ascii="Arial" w:hAnsi="Arial" w:cs="Arial"/>
                <w:sz w:val="20"/>
                <w:szCs w:val="20"/>
              </w:rPr>
              <w:t>90.00</w:t>
            </w:r>
          </w:p>
        </w:tc>
        <w:tc>
          <w:tcPr>
            <w:tcW w:w="766" w:type="dxa"/>
            <w:tcBorders>
              <w:top w:val="single" w:sz="2" w:space="0" w:color="000000"/>
              <w:left w:val="single" w:sz="2" w:space="0" w:color="000000"/>
              <w:bottom w:val="single" w:sz="2" w:space="0" w:color="000000"/>
              <w:right w:val="single" w:sz="2" w:space="0" w:color="000000"/>
            </w:tcBorders>
            <w:vAlign w:val="center"/>
          </w:tcPr>
          <w:p w14:paraId="62B292C1" w14:textId="77777777" w:rsidR="00B667FF" w:rsidRPr="00B667FF" w:rsidRDefault="00B667FF" w:rsidP="00D27050">
            <w:pPr>
              <w:ind w:left="82"/>
              <w:jc w:val="center"/>
              <w:rPr>
                <w:rFonts w:ascii="Arial" w:hAnsi="Arial" w:cs="Arial"/>
                <w:color w:val="000000"/>
                <w:sz w:val="20"/>
                <w:szCs w:val="20"/>
              </w:rPr>
            </w:pPr>
            <w:r w:rsidRPr="00B667FF">
              <w:rPr>
                <w:rFonts w:ascii="Arial" w:hAnsi="Arial" w:cs="Arial"/>
                <w:sz w:val="20"/>
                <w:szCs w:val="20"/>
              </w:rPr>
              <w:t>90.00</w:t>
            </w:r>
          </w:p>
        </w:tc>
        <w:tc>
          <w:tcPr>
            <w:tcW w:w="1090" w:type="dxa"/>
            <w:tcBorders>
              <w:top w:val="single" w:sz="2" w:space="0" w:color="000000"/>
              <w:left w:val="single" w:sz="2" w:space="0" w:color="000000"/>
              <w:bottom w:val="single" w:sz="2" w:space="0" w:color="000000"/>
              <w:right w:val="single" w:sz="2" w:space="0" w:color="000000"/>
            </w:tcBorders>
          </w:tcPr>
          <w:p w14:paraId="77B4F39D" w14:textId="77777777" w:rsidR="00B667FF" w:rsidRPr="00B667FF" w:rsidRDefault="00B667FF" w:rsidP="00D27050">
            <w:pPr>
              <w:ind w:left="14"/>
              <w:jc w:val="center"/>
              <w:rPr>
                <w:rFonts w:ascii="Arial" w:hAnsi="Arial" w:cs="Arial"/>
                <w:sz w:val="20"/>
                <w:szCs w:val="20"/>
              </w:rPr>
            </w:pPr>
            <w:r w:rsidRPr="00B667FF">
              <w:rPr>
                <w:rFonts w:ascii="Arial" w:hAnsi="Arial" w:cs="Arial"/>
                <w:sz w:val="20"/>
                <w:szCs w:val="20"/>
              </w:rPr>
              <w:t>00.00</w:t>
            </w:r>
          </w:p>
          <w:p w14:paraId="73F2D7C0"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sz w:val="20"/>
                <w:szCs w:val="20"/>
              </w:rPr>
              <w:t>(00.00)</w:t>
            </w:r>
          </w:p>
        </w:tc>
        <w:tc>
          <w:tcPr>
            <w:tcW w:w="1015" w:type="dxa"/>
            <w:tcBorders>
              <w:top w:val="single" w:sz="2" w:space="0" w:color="000000"/>
              <w:left w:val="single" w:sz="2" w:space="0" w:color="000000"/>
              <w:bottom w:val="single" w:sz="2" w:space="0" w:color="000000"/>
              <w:right w:val="single" w:sz="2" w:space="0" w:color="000000"/>
            </w:tcBorders>
          </w:tcPr>
          <w:p w14:paraId="464BDB8F" w14:textId="77777777" w:rsidR="00B667FF" w:rsidRPr="00B667FF" w:rsidRDefault="00B667FF" w:rsidP="00D27050">
            <w:pPr>
              <w:ind w:left="24"/>
              <w:jc w:val="center"/>
              <w:rPr>
                <w:rFonts w:ascii="Arial" w:hAnsi="Arial" w:cs="Arial"/>
                <w:sz w:val="20"/>
                <w:szCs w:val="20"/>
              </w:rPr>
            </w:pPr>
            <w:r w:rsidRPr="00B667FF">
              <w:rPr>
                <w:rFonts w:ascii="Arial" w:hAnsi="Arial" w:cs="Arial"/>
                <w:sz w:val="20"/>
                <w:szCs w:val="20"/>
              </w:rPr>
              <w:t>00.00</w:t>
            </w:r>
          </w:p>
          <w:p w14:paraId="6732CBB2" w14:textId="77777777" w:rsidR="00B667FF" w:rsidRPr="00B667FF" w:rsidRDefault="00B667FF" w:rsidP="00D27050">
            <w:pPr>
              <w:ind w:left="125"/>
              <w:rPr>
                <w:rFonts w:ascii="Arial" w:hAnsi="Arial" w:cs="Arial"/>
                <w:color w:val="000000"/>
                <w:sz w:val="20"/>
                <w:szCs w:val="20"/>
              </w:rPr>
            </w:pPr>
            <w:r w:rsidRPr="00B667FF">
              <w:rPr>
                <w:rFonts w:ascii="Arial" w:hAnsi="Arial" w:cs="Arial"/>
                <w:sz w:val="20"/>
                <w:szCs w:val="20"/>
              </w:rPr>
              <w:t>(00.00)</w:t>
            </w:r>
          </w:p>
        </w:tc>
        <w:tc>
          <w:tcPr>
            <w:tcW w:w="1177" w:type="dxa"/>
            <w:tcBorders>
              <w:top w:val="single" w:sz="2" w:space="0" w:color="000000"/>
              <w:left w:val="single" w:sz="2" w:space="0" w:color="000000"/>
              <w:bottom w:val="single" w:sz="2" w:space="0" w:color="000000"/>
              <w:right w:val="single" w:sz="2" w:space="0" w:color="000000"/>
            </w:tcBorders>
          </w:tcPr>
          <w:p w14:paraId="22BD6832" w14:textId="77777777" w:rsidR="00B667FF" w:rsidRPr="00B667FF" w:rsidRDefault="00B667FF" w:rsidP="00D27050">
            <w:pPr>
              <w:ind w:left="14"/>
              <w:jc w:val="center"/>
              <w:rPr>
                <w:rFonts w:ascii="Arial" w:hAnsi="Arial" w:cs="Arial"/>
                <w:sz w:val="20"/>
                <w:szCs w:val="20"/>
              </w:rPr>
            </w:pPr>
            <w:r w:rsidRPr="00B667FF">
              <w:rPr>
                <w:rFonts w:ascii="Arial" w:hAnsi="Arial" w:cs="Arial"/>
                <w:sz w:val="20"/>
                <w:szCs w:val="20"/>
              </w:rPr>
              <w:t>00.00</w:t>
            </w:r>
          </w:p>
          <w:p w14:paraId="57531BA8" w14:textId="77777777" w:rsidR="00B667FF" w:rsidRPr="00B667FF" w:rsidRDefault="00B667FF" w:rsidP="00D27050">
            <w:pPr>
              <w:ind w:right="5"/>
              <w:jc w:val="center"/>
              <w:rPr>
                <w:rFonts w:ascii="Arial" w:hAnsi="Arial" w:cs="Arial"/>
                <w:color w:val="000000"/>
                <w:sz w:val="20"/>
                <w:szCs w:val="20"/>
              </w:rPr>
            </w:pPr>
            <w:r w:rsidRPr="00B667FF">
              <w:rPr>
                <w:rFonts w:ascii="Arial" w:hAnsi="Arial" w:cs="Arial"/>
                <w:sz w:val="20"/>
                <w:szCs w:val="20"/>
              </w:rPr>
              <w:t>(00.00)</w:t>
            </w:r>
          </w:p>
        </w:tc>
      </w:tr>
      <w:tr w:rsidR="00B667FF" w:rsidRPr="00B667FF" w14:paraId="6B1233E3" w14:textId="77777777" w:rsidTr="00D27050">
        <w:trPr>
          <w:trHeight w:val="142"/>
        </w:trPr>
        <w:tc>
          <w:tcPr>
            <w:tcW w:w="597" w:type="dxa"/>
            <w:tcBorders>
              <w:top w:val="single" w:sz="2" w:space="0" w:color="000000"/>
              <w:left w:val="single" w:sz="2" w:space="0" w:color="000000"/>
              <w:bottom w:val="single" w:sz="2" w:space="0" w:color="000000"/>
              <w:right w:val="single" w:sz="2" w:space="0" w:color="000000"/>
            </w:tcBorders>
          </w:tcPr>
          <w:p w14:paraId="2E846D00" w14:textId="77777777" w:rsidR="00B667FF" w:rsidRPr="00B667FF" w:rsidRDefault="00B667FF" w:rsidP="00D27050">
            <w:pPr>
              <w:rPr>
                <w:rFonts w:ascii="Arial" w:hAnsi="Arial" w:cs="Arial"/>
                <w:color w:val="000000"/>
                <w:sz w:val="20"/>
                <w:szCs w:val="20"/>
              </w:rPr>
            </w:pPr>
          </w:p>
        </w:tc>
        <w:tc>
          <w:tcPr>
            <w:tcW w:w="2538" w:type="dxa"/>
            <w:tcBorders>
              <w:top w:val="single" w:sz="2" w:space="0" w:color="000000"/>
              <w:left w:val="single" w:sz="2" w:space="0" w:color="000000"/>
              <w:bottom w:val="single" w:sz="2" w:space="0" w:color="000000"/>
              <w:right w:val="single" w:sz="2" w:space="0" w:color="000000"/>
            </w:tcBorders>
          </w:tcPr>
          <w:p w14:paraId="295677DC" w14:textId="77777777" w:rsidR="00B667FF" w:rsidRPr="00B667FF" w:rsidRDefault="00B667FF" w:rsidP="00D27050">
            <w:pPr>
              <w:rPr>
                <w:rFonts w:ascii="Arial" w:hAnsi="Arial" w:cs="Arial"/>
                <w:color w:val="000000"/>
                <w:sz w:val="20"/>
                <w:szCs w:val="20"/>
              </w:rPr>
            </w:pPr>
            <w:r w:rsidRPr="00B667FF">
              <w:rPr>
                <w:rFonts w:ascii="Arial" w:hAnsi="Arial" w:cs="Arial"/>
                <w:color w:val="000000"/>
                <w:sz w:val="20"/>
                <w:szCs w:val="20"/>
              </w:rPr>
              <w:t xml:space="preserve">                 S. E ±</w:t>
            </w:r>
          </w:p>
        </w:tc>
        <w:tc>
          <w:tcPr>
            <w:tcW w:w="726" w:type="dxa"/>
            <w:tcBorders>
              <w:top w:val="single" w:sz="2" w:space="0" w:color="000000"/>
              <w:left w:val="single" w:sz="2" w:space="0" w:color="000000"/>
              <w:bottom w:val="single" w:sz="2" w:space="0" w:color="000000"/>
              <w:right w:val="single" w:sz="2" w:space="0" w:color="000000"/>
            </w:tcBorders>
            <w:vAlign w:val="center"/>
          </w:tcPr>
          <w:p w14:paraId="75410B1C" w14:textId="77777777" w:rsidR="00B667FF" w:rsidRPr="00B667FF" w:rsidRDefault="00B667FF" w:rsidP="00D27050">
            <w:pPr>
              <w:ind w:left="115"/>
              <w:rPr>
                <w:rFonts w:ascii="Arial" w:hAnsi="Arial" w:cs="Arial"/>
                <w:color w:val="000000"/>
                <w:sz w:val="20"/>
                <w:szCs w:val="20"/>
              </w:rPr>
            </w:pPr>
            <w:r w:rsidRPr="00B667FF">
              <w:rPr>
                <w:rFonts w:ascii="Arial" w:hAnsi="Arial" w:cs="Arial"/>
                <w:color w:val="000000"/>
                <w:sz w:val="20"/>
                <w:szCs w:val="20"/>
              </w:rPr>
              <w:t>0.4</w:t>
            </w:r>
          </w:p>
        </w:tc>
        <w:tc>
          <w:tcPr>
            <w:tcW w:w="839" w:type="dxa"/>
            <w:tcBorders>
              <w:top w:val="single" w:sz="2" w:space="0" w:color="000000"/>
              <w:left w:val="single" w:sz="2" w:space="0" w:color="000000"/>
              <w:bottom w:val="single" w:sz="2" w:space="0" w:color="000000"/>
              <w:right w:val="single" w:sz="2" w:space="0" w:color="000000"/>
            </w:tcBorders>
            <w:vAlign w:val="center"/>
          </w:tcPr>
          <w:p w14:paraId="5B54295B" w14:textId="77777777" w:rsidR="00B667FF" w:rsidRPr="00B667FF" w:rsidRDefault="00B667FF" w:rsidP="00D27050">
            <w:pPr>
              <w:ind w:left="29"/>
              <w:jc w:val="center"/>
              <w:rPr>
                <w:rFonts w:ascii="Arial" w:hAnsi="Arial" w:cs="Arial"/>
                <w:color w:val="000000"/>
                <w:sz w:val="20"/>
                <w:szCs w:val="20"/>
              </w:rPr>
            </w:pPr>
            <w:r w:rsidRPr="00B667FF">
              <w:rPr>
                <w:rFonts w:ascii="Arial" w:hAnsi="Arial" w:cs="Arial"/>
                <w:color w:val="000000"/>
                <w:sz w:val="20"/>
                <w:szCs w:val="20"/>
              </w:rPr>
              <w:t>0.4</w:t>
            </w:r>
          </w:p>
        </w:tc>
        <w:tc>
          <w:tcPr>
            <w:tcW w:w="766" w:type="dxa"/>
            <w:tcBorders>
              <w:top w:val="single" w:sz="2" w:space="0" w:color="000000"/>
              <w:left w:val="single" w:sz="2" w:space="0" w:color="000000"/>
              <w:bottom w:val="single" w:sz="2" w:space="0" w:color="000000"/>
              <w:right w:val="single" w:sz="2" w:space="0" w:color="000000"/>
            </w:tcBorders>
          </w:tcPr>
          <w:p w14:paraId="46C36F62" w14:textId="77777777" w:rsidR="00B667FF" w:rsidRPr="00B667FF" w:rsidRDefault="00B667FF" w:rsidP="00D27050">
            <w:pPr>
              <w:rPr>
                <w:rFonts w:ascii="Arial" w:hAnsi="Arial" w:cs="Arial"/>
                <w:color w:val="000000"/>
                <w:sz w:val="20"/>
                <w:szCs w:val="20"/>
              </w:rPr>
            </w:pPr>
          </w:p>
        </w:tc>
        <w:tc>
          <w:tcPr>
            <w:tcW w:w="1090" w:type="dxa"/>
            <w:tcBorders>
              <w:top w:val="single" w:sz="2" w:space="0" w:color="000000"/>
              <w:left w:val="single" w:sz="2" w:space="0" w:color="000000"/>
              <w:bottom w:val="single" w:sz="2" w:space="0" w:color="000000"/>
              <w:right w:val="single" w:sz="2" w:space="0" w:color="000000"/>
            </w:tcBorders>
            <w:vAlign w:val="center"/>
          </w:tcPr>
          <w:p w14:paraId="5294EEF2" w14:textId="77777777" w:rsidR="00B667FF" w:rsidRPr="00B667FF" w:rsidRDefault="00B667FF" w:rsidP="00D27050">
            <w:pPr>
              <w:ind w:right="5"/>
              <w:jc w:val="center"/>
              <w:rPr>
                <w:rFonts w:ascii="Arial" w:hAnsi="Arial" w:cs="Arial"/>
                <w:color w:val="000000"/>
                <w:sz w:val="20"/>
                <w:szCs w:val="20"/>
              </w:rPr>
            </w:pPr>
            <w:r w:rsidRPr="00B667FF">
              <w:rPr>
                <w:rFonts w:ascii="Arial" w:hAnsi="Arial" w:cs="Arial"/>
                <w:color w:val="000000"/>
                <w:sz w:val="20"/>
                <w:szCs w:val="20"/>
              </w:rPr>
              <w:t>0.45</w:t>
            </w:r>
          </w:p>
        </w:tc>
        <w:tc>
          <w:tcPr>
            <w:tcW w:w="1015" w:type="dxa"/>
            <w:tcBorders>
              <w:top w:val="single" w:sz="2" w:space="0" w:color="000000"/>
              <w:left w:val="single" w:sz="2" w:space="0" w:color="000000"/>
              <w:bottom w:val="single" w:sz="2" w:space="0" w:color="000000"/>
              <w:right w:val="single" w:sz="2" w:space="0" w:color="000000"/>
            </w:tcBorders>
            <w:vAlign w:val="center"/>
          </w:tcPr>
          <w:p w14:paraId="369FACC8" w14:textId="77777777" w:rsidR="00B667FF" w:rsidRPr="00B667FF" w:rsidRDefault="00B667FF" w:rsidP="00D27050">
            <w:pPr>
              <w:ind w:left="24"/>
              <w:jc w:val="center"/>
              <w:rPr>
                <w:rFonts w:ascii="Arial" w:hAnsi="Arial" w:cs="Arial"/>
                <w:color w:val="000000"/>
                <w:sz w:val="20"/>
                <w:szCs w:val="20"/>
              </w:rPr>
            </w:pPr>
            <w:r w:rsidRPr="00B667FF">
              <w:rPr>
                <w:rFonts w:ascii="Arial" w:hAnsi="Arial" w:cs="Arial"/>
                <w:color w:val="000000"/>
                <w:sz w:val="20"/>
                <w:szCs w:val="20"/>
              </w:rPr>
              <w:t>0.45</w:t>
            </w:r>
          </w:p>
        </w:tc>
        <w:tc>
          <w:tcPr>
            <w:tcW w:w="1177" w:type="dxa"/>
            <w:tcBorders>
              <w:top w:val="single" w:sz="2" w:space="0" w:color="000000"/>
              <w:left w:val="single" w:sz="2" w:space="0" w:color="000000"/>
              <w:bottom w:val="single" w:sz="2" w:space="0" w:color="000000"/>
              <w:right w:val="single" w:sz="2" w:space="0" w:color="000000"/>
            </w:tcBorders>
          </w:tcPr>
          <w:p w14:paraId="26B43998" w14:textId="77777777" w:rsidR="00B667FF" w:rsidRPr="00B667FF" w:rsidRDefault="00B667FF" w:rsidP="00D27050">
            <w:pPr>
              <w:rPr>
                <w:rFonts w:ascii="Arial" w:hAnsi="Arial" w:cs="Arial"/>
                <w:color w:val="000000"/>
                <w:sz w:val="20"/>
                <w:szCs w:val="20"/>
              </w:rPr>
            </w:pPr>
          </w:p>
        </w:tc>
      </w:tr>
      <w:tr w:rsidR="00B667FF" w:rsidRPr="00B667FF" w14:paraId="192F9CD0" w14:textId="77777777" w:rsidTr="00D27050">
        <w:trPr>
          <w:trHeight w:val="136"/>
        </w:trPr>
        <w:tc>
          <w:tcPr>
            <w:tcW w:w="597" w:type="dxa"/>
            <w:tcBorders>
              <w:top w:val="single" w:sz="2" w:space="0" w:color="000000"/>
              <w:left w:val="single" w:sz="2" w:space="0" w:color="000000"/>
              <w:bottom w:val="single" w:sz="2" w:space="0" w:color="000000"/>
              <w:right w:val="single" w:sz="2" w:space="0" w:color="000000"/>
            </w:tcBorders>
          </w:tcPr>
          <w:p w14:paraId="345D8A18" w14:textId="77777777" w:rsidR="00B667FF" w:rsidRPr="00B667FF" w:rsidRDefault="00B667FF" w:rsidP="00D27050">
            <w:pPr>
              <w:rPr>
                <w:rFonts w:ascii="Arial" w:hAnsi="Arial" w:cs="Arial"/>
                <w:color w:val="000000"/>
                <w:sz w:val="20"/>
                <w:szCs w:val="20"/>
              </w:rPr>
            </w:pPr>
          </w:p>
        </w:tc>
        <w:tc>
          <w:tcPr>
            <w:tcW w:w="2538" w:type="dxa"/>
            <w:tcBorders>
              <w:top w:val="single" w:sz="2" w:space="0" w:color="000000"/>
              <w:left w:val="single" w:sz="2" w:space="0" w:color="000000"/>
              <w:bottom w:val="single" w:sz="2" w:space="0" w:color="000000"/>
              <w:right w:val="single" w:sz="2" w:space="0" w:color="000000"/>
            </w:tcBorders>
            <w:vAlign w:val="center"/>
          </w:tcPr>
          <w:p w14:paraId="038793AA" w14:textId="77777777" w:rsidR="00B667FF" w:rsidRPr="00B667FF" w:rsidRDefault="00B667FF" w:rsidP="00D27050">
            <w:pPr>
              <w:ind w:left="537"/>
              <w:rPr>
                <w:rFonts w:ascii="Arial" w:hAnsi="Arial" w:cs="Arial"/>
                <w:color w:val="000000"/>
                <w:sz w:val="20"/>
                <w:szCs w:val="20"/>
              </w:rPr>
            </w:pPr>
            <w:r w:rsidRPr="00B667FF">
              <w:rPr>
                <w:rFonts w:ascii="Arial" w:hAnsi="Arial" w:cs="Arial"/>
                <w:color w:val="000000"/>
                <w:sz w:val="20"/>
                <w:szCs w:val="20"/>
              </w:rPr>
              <w:t xml:space="preserve">    C.D. at 1 %</w:t>
            </w:r>
          </w:p>
        </w:tc>
        <w:tc>
          <w:tcPr>
            <w:tcW w:w="726" w:type="dxa"/>
            <w:tcBorders>
              <w:top w:val="single" w:sz="2" w:space="0" w:color="000000"/>
              <w:left w:val="single" w:sz="2" w:space="0" w:color="000000"/>
              <w:bottom w:val="single" w:sz="2" w:space="0" w:color="000000"/>
              <w:right w:val="single" w:sz="2" w:space="0" w:color="000000"/>
            </w:tcBorders>
            <w:vAlign w:val="center"/>
          </w:tcPr>
          <w:p w14:paraId="0338852D" w14:textId="77777777" w:rsidR="00B667FF" w:rsidRPr="00B667FF" w:rsidRDefault="00B667FF" w:rsidP="00D27050">
            <w:pPr>
              <w:ind w:left="125"/>
              <w:rPr>
                <w:rFonts w:ascii="Arial" w:hAnsi="Arial" w:cs="Arial"/>
                <w:color w:val="000000"/>
                <w:sz w:val="20"/>
                <w:szCs w:val="20"/>
              </w:rPr>
            </w:pPr>
            <w:r w:rsidRPr="00B667FF">
              <w:rPr>
                <w:rFonts w:ascii="Arial" w:hAnsi="Arial" w:cs="Arial"/>
                <w:color w:val="000000"/>
                <w:sz w:val="20"/>
                <w:szCs w:val="20"/>
              </w:rPr>
              <w:t>1.76</w:t>
            </w:r>
          </w:p>
        </w:tc>
        <w:tc>
          <w:tcPr>
            <w:tcW w:w="839" w:type="dxa"/>
            <w:tcBorders>
              <w:top w:val="single" w:sz="2" w:space="0" w:color="000000"/>
              <w:left w:val="single" w:sz="2" w:space="0" w:color="000000"/>
              <w:bottom w:val="single" w:sz="2" w:space="0" w:color="000000"/>
              <w:right w:val="single" w:sz="2" w:space="0" w:color="000000"/>
            </w:tcBorders>
            <w:vAlign w:val="center"/>
          </w:tcPr>
          <w:p w14:paraId="2A59CD77" w14:textId="77777777" w:rsidR="00B667FF" w:rsidRPr="00B667FF" w:rsidRDefault="00B667FF" w:rsidP="00D27050">
            <w:pPr>
              <w:ind w:left="29"/>
              <w:jc w:val="center"/>
              <w:rPr>
                <w:rFonts w:ascii="Arial" w:hAnsi="Arial" w:cs="Arial"/>
                <w:color w:val="000000"/>
                <w:sz w:val="20"/>
                <w:szCs w:val="20"/>
              </w:rPr>
            </w:pPr>
            <w:r w:rsidRPr="00B667FF">
              <w:rPr>
                <w:rFonts w:ascii="Arial" w:hAnsi="Arial" w:cs="Arial"/>
                <w:color w:val="000000"/>
                <w:sz w:val="20"/>
                <w:szCs w:val="20"/>
              </w:rPr>
              <w:t>1.76</w:t>
            </w:r>
          </w:p>
        </w:tc>
        <w:tc>
          <w:tcPr>
            <w:tcW w:w="766" w:type="dxa"/>
            <w:tcBorders>
              <w:top w:val="single" w:sz="2" w:space="0" w:color="000000"/>
              <w:left w:val="single" w:sz="2" w:space="0" w:color="000000"/>
              <w:bottom w:val="single" w:sz="2" w:space="0" w:color="000000"/>
              <w:right w:val="single" w:sz="2" w:space="0" w:color="000000"/>
            </w:tcBorders>
          </w:tcPr>
          <w:p w14:paraId="522C17F6" w14:textId="77777777" w:rsidR="00B667FF" w:rsidRPr="00B667FF" w:rsidRDefault="00B667FF" w:rsidP="00D27050">
            <w:pPr>
              <w:rPr>
                <w:rFonts w:ascii="Arial" w:hAnsi="Arial" w:cs="Arial"/>
                <w:color w:val="000000"/>
                <w:sz w:val="20"/>
                <w:szCs w:val="20"/>
              </w:rPr>
            </w:pPr>
          </w:p>
        </w:tc>
        <w:tc>
          <w:tcPr>
            <w:tcW w:w="1090" w:type="dxa"/>
            <w:tcBorders>
              <w:top w:val="single" w:sz="2" w:space="0" w:color="000000"/>
              <w:left w:val="single" w:sz="2" w:space="0" w:color="000000"/>
              <w:bottom w:val="single" w:sz="2" w:space="0" w:color="000000"/>
              <w:right w:val="single" w:sz="2" w:space="0" w:color="000000"/>
            </w:tcBorders>
            <w:vAlign w:val="center"/>
          </w:tcPr>
          <w:p w14:paraId="00A01F06"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color w:val="000000"/>
                <w:sz w:val="20"/>
                <w:szCs w:val="20"/>
              </w:rPr>
              <w:t>1.96</w:t>
            </w:r>
          </w:p>
        </w:tc>
        <w:tc>
          <w:tcPr>
            <w:tcW w:w="1015" w:type="dxa"/>
            <w:tcBorders>
              <w:top w:val="single" w:sz="2" w:space="0" w:color="000000"/>
              <w:left w:val="single" w:sz="2" w:space="0" w:color="000000"/>
              <w:bottom w:val="single" w:sz="2" w:space="0" w:color="000000"/>
              <w:right w:val="single" w:sz="2" w:space="0" w:color="000000"/>
            </w:tcBorders>
            <w:vAlign w:val="center"/>
          </w:tcPr>
          <w:p w14:paraId="19D2D6D0" w14:textId="77777777" w:rsidR="00B667FF" w:rsidRPr="00B667FF" w:rsidRDefault="00B667FF" w:rsidP="00D27050">
            <w:pPr>
              <w:ind w:left="5"/>
              <w:jc w:val="center"/>
              <w:rPr>
                <w:rFonts w:ascii="Arial" w:hAnsi="Arial" w:cs="Arial"/>
                <w:color w:val="000000"/>
                <w:sz w:val="20"/>
                <w:szCs w:val="20"/>
              </w:rPr>
            </w:pPr>
            <w:r w:rsidRPr="00B667FF">
              <w:rPr>
                <w:rFonts w:ascii="Arial" w:hAnsi="Arial" w:cs="Arial"/>
                <w:color w:val="000000"/>
                <w:sz w:val="20"/>
                <w:szCs w:val="20"/>
              </w:rPr>
              <w:t>1.95</w:t>
            </w:r>
          </w:p>
        </w:tc>
        <w:tc>
          <w:tcPr>
            <w:tcW w:w="1177" w:type="dxa"/>
            <w:tcBorders>
              <w:top w:val="single" w:sz="2" w:space="0" w:color="000000"/>
              <w:left w:val="single" w:sz="2" w:space="0" w:color="000000"/>
              <w:bottom w:val="single" w:sz="2" w:space="0" w:color="000000"/>
              <w:right w:val="single" w:sz="2" w:space="0" w:color="000000"/>
            </w:tcBorders>
          </w:tcPr>
          <w:p w14:paraId="4887B4CB" w14:textId="77777777" w:rsidR="00B667FF" w:rsidRPr="00B667FF" w:rsidRDefault="00B667FF" w:rsidP="00D27050">
            <w:pPr>
              <w:rPr>
                <w:rFonts w:ascii="Arial" w:hAnsi="Arial" w:cs="Arial"/>
                <w:color w:val="000000"/>
                <w:sz w:val="20"/>
                <w:szCs w:val="20"/>
              </w:rPr>
            </w:pPr>
          </w:p>
        </w:tc>
      </w:tr>
    </w:tbl>
    <w:p w14:paraId="385B7CA7" w14:textId="77777777" w:rsidR="00B667FF" w:rsidRPr="00B31FBC" w:rsidRDefault="00B667FF" w:rsidP="00B31FBC">
      <w:pPr>
        <w:tabs>
          <w:tab w:val="left" w:pos="90"/>
        </w:tabs>
        <w:spacing w:before="120" w:line="360" w:lineRule="auto"/>
        <w:jc w:val="both"/>
        <w:outlineLvl w:val="1"/>
        <w:rPr>
          <w:rFonts w:ascii="Arial" w:hAnsi="Arial" w:cs="Arial"/>
          <w:b/>
          <w:bCs/>
        </w:rPr>
      </w:pPr>
    </w:p>
    <w:p w14:paraId="11283FF2" w14:textId="77777777" w:rsidR="00B667FF" w:rsidRDefault="00B667FF" w:rsidP="00B31FBC">
      <w:pPr>
        <w:spacing w:before="120" w:after="120" w:line="360" w:lineRule="auto"/>
        <w:ind w:left="90"/>
        <w:jc w:val="both"/>
        <w:outlineLvl w:val="1"/>
        <w:rPr>
          <w:rFonts w:ascii="Arial" w:hAnsi="Arial" w:cs="Arial"/>
        </w:rPr>
      </w:pPr>
    </w:p>
    <w:p w14:paraId="1A66CAB9" w14:textId="77777777" w:rsidR="00B667FF" w:rsidRDefault="00B667FF" w:rsidP="00B31FBC">
      <w:pPr>
        <w:spacing w:before="120" w:after="120" w:line="360" w:lineRule="auto"/>
        <w:ind w:left="90"/>
        <w:jc w:val="both"/>
        <w:outlineLvl w:val="1"/>
        <w:rPr>
          <w:rFonts w:ascii="Arial" w:hAnsi="Arial" w:cs="Arial"/>
        </w:rPr>
      </w:pPr>
    </w:p>
    <w:p w14:paraId="3A015564" w14:textId="77777777" w:rsidR="00B667FF" w:rsidRDefault="00B667FF" w:rsidP="00B31FBC">
      <w:pPr>
        <w:spacing w:before="120" w:after="120" w:line="360" w:lineRule="auto"/>
        <w:ind w:left="90"/>
        <w:jc w:val="both"/>
        <w:outlineLvl w:val="1"/>
        <w:rPr>
          <w:rFonts w:ascii="Arial" w:hAnsi="Arial" w:cs="Arial"/>
        </w:rPr>
      </w:pPr>
    </w:p>
    <w:p w14:paraId="72357C17" w14:textId="77777777" w:rsidR="00B667FF" w:rsidRDefault="00B667FF" w:rsidP="00B31FBC">
      <w:pPr>
        <w:spacing w:before="120" w:after="120" w:line="360" w:lineRule="auto"/>
        <w:ind w:left="90"/>
        <w:jc w:val="both"/>
        <w:outlineLvl w:val="1"/>
        <w:rPr>
          <w:rFonts w:ascii="Arial" w:hAnsi="Arial" w:cs="Arial"/>
        </w:rPr>
      </w:pPr>
    </w:p>
    <w:p w14:paraId="24F55D02" w14:textId="77777777" w:rsidR="00B667FF" w:rsidRDefault="00B667FF" w:rsidP="00B31FBC">
      <w:pPr>
        <w:spacing w:before="120" w:after="120" w:line="360" w:lineRule="auto"/>
        <w:ind w:left="90"/>
        <w:jc w:val="both"/>
        <w:outlineLvl w:val="1"/>
        <w:rPr>
          <w:rFonts w:ascii="Arial" w:hAnsi="Arial" w:cs="Arial"/>
        </w:rPr>
      </w:pPr>
    </w:p>
    <w:p w14:paraId="41CF748E" w14:textId="77777777" w:rsidR="00B667FF" w:rsidRDefault="00B667FF" w:rsidP="00B31FBC">
      <w:pPr>
        <w:spacing w:before="120" w:after="120" w:line="360" w:lineRule="auto"/>
        <w:ind w:left="90"/>
        <w:jc w:val="both"/>
        <w:outlineLvl w:val="1"/>
        <w:rPr>
          <w:rFonts w:ascii="Arial" w:hAnsi="Arial" w:cs="Arial"/>
        </w:rPr>
      </w:pPr>
    </w:p>
    <w:p w14:paraId="49760278" w14:textId="77777777" w:rsidR="00B667FF" w:rsidRDefault="00B667FF" w:rsidP="00B31FBC">
      <w:pPr>
        <w:spacing w:before="120" w:after="120" w:line="360" w:lineRule="auto"/>
        <w:ind w:left="90"/>
        <w:jc w:val="both"/>
        <w:outlineLvl w:val="1"/>
        <w:rPr>
          <w:rFonts w:ascii="Arial" w:hAnsi="Arial" w:cs="Arial"/>
        </w:rPr>
      </w:pPr>
    </w:p>
    <w:p w14:paraId="6B4678A7" w14:textId="77777777" w:rsidR="00B667FF" w:rsidRDefault="00B667FF" w:rsidP="00B31FBC">
      <w:pPr>
        <w:spacing w:before="120" w:after="120" w:line="360" w:lineRule="auto"/>
        <w:ind w:left="90"/>
        <w:jc w:val="both"/>
        <w:outlineLvl w:val="1"/>
        <w:rPr>
          <w:rFonts w:ascii="Arial" w:hAnsi="Arial" w:cs="Arial"/>
        </w:rPr>
      </w:pPr>
    </w:p>
    <w:p w14:paraId="115043FD" w14:textId="77777777" w:rsidR="00B667FF" w:rsidRDefault="00B667FF" w:rsidP="00B31FBC">
      <w:pPr>
        <w:spacing w:before="120" w:after="120" w:line="360" w:lineRule="auto"/>
        <w:ind w:left="90"/>
        <w:jc w:val="both"/>
        <w:outlineLvl w:val="1"/>
        <w:rPr>
          <w:rFonts w:ascii="Arial" w:hAnsi="Arial" w:cs="Arial"/>
        </w:rPr>
      </w:pPr>
    </w:p>
    <w:p w14:paraId="3E677C71" w14:textId="77777777" w:rsidR="00B667FF" w:rsidRDefault="00B667FF" w:rsidP="00B31FBC">
      <w:pPr>
        <w:spacing w:before="120" w:after="120" w:line="360" w:lineRule="auto"/>
        <w:ind w:left="90"/>
        <w:jc w:val="both"/>
        <w:outlineLvl w:val="1"/>
        <w:rPr>
          <w:rFonts w:ascii="Arial" w:hAnsi="Arial" w:cs="Arial"/>
        </w:rPr>
      </w:pPr>
    </w:p>
    <w:p w14:paraId="45EB869E" w14:textId="77777777" w:rsidR="00B667FF" w:rsidRDefault="00B667FF" w:rsidP="00B31FBC">
      <w:pPr>
        <w:spacing w:before="120" w:after="120" w:line="360" w:lineRule="auto"/>
        <w:ind w:left="90"/>
        <w:jc w:val="both"/>
        <w:outlineLvl w:val="1"/>
        <w:rPr>
          <w:rFonts w:ascii="Arial" w:hAnsi="Arial" w:cs="Arial"/>
        </w:rPr>
      </w:pPr>
    </w:p>
    <w:p w14:paraId="6646D669" w14:textId="77777777" w:rsidR="006B1172" w:rsidRDefault="006B1172" w:rsidP="006B1172">
      <w:pPr>
        <w:spacing w:before="120" w:after="120" w:line="360" w:lineRule="auto"/>
        <w:ind w:left="90"/>
        <w:jc w:val="both"/>
        <w:outlineLvl w:val="1"/>
        <w:rPr>
          <w:rFonts w:ascii="Arial" w:hAnsi="Arial" w:cs="Arial"/>
        </w:rPr>
      </w:pPr>
    </w:p>
    <w:p w14:paraId="3BED3104" w14:textId="0B26B051" w:rsidR="006B1172" w:rsidRDefault="00B31FBC" w:rsidP="006B1172">
      <w:pPr>
        <w:spacing w:before="120" w:after="120" w:line="360" w:lineRule="auto"/>
        <w:ind w:left="90"/>
        <w:jc w:val="both"/>
        <w:outlineLvl w:val="1"/>
        <w:rPr>
          <w:rFonts w:ascii="Arial" w:hAnsi="Arial" w:cs="Arial"/>
        </w:rPr>
      </w:pPr>
      <w:r w:rsidRPr="00B31FBC">
        <w:rPr>
          <w:rFonts w:ascii="Arial" w:hAnsi="Arial" w:cs="Arial"/>
        </w:rPr>
        <w:t>*: Mean of three replications.    **: Values in parenthesis are arcsin transformed values.  Dia.: Diameter, Avg.: Average</w:t>
      </w:r>
    </w:p>
    <w:p w14:paraId="631046F1" w14:textId="341244FB" w:rsidR="00E50AB3" w:rsidRPr="006B1172" w:rsidRDefault="00B31FBC" w:rsidP="006B1172">
      <w:pPr>
        <w:spacing w:before="120" w:after="120" w:line="360" w:lineRule="auto"/>
        <w:ind w:left="90"/>
        <w:jc w:val="both"/>
        <w:outlineLvl w:val="1"/>
        <w:rPr>
          <w:rFonts w:ascii="Arial" w:hAnsi="Arial" w:cs="Arial"/>
        </w:rPr>
      </w:pPr>
      <w:r w:rsidRPr="00B31FBC">
        <w:rPr>
          <w:rFonts w:ascii="Arial" w:eastAsia="Calibri" w:hAnsi="Arial" w:cs="Arial"/>
          <w:b/>
          <w:bCs/>
          <w:color w:val="000000" w:themeColor="text1"/>
          <w:kern w:val="24"/>
        </w:rPr>
        <w:t xml:space="preserve"> </w:t>
      </w:r>
      <w:r w:rsidR="00A457BD">
        <w:rPr>
          <w:rFonts w:ascii="Arial" w:eastAsia="Calibri" w:hAnsi="Arial" w:cs="Arial"/>
          <w:b/>
          <w:bCs/>
          <w:i/>
          <w:iCs/>
          <w:color w:val="000000" w:themeColor="text1"/>
          <w:kern w:val="24"/>
        </w:rPr>
        <w:t xml:space="preserve"> </w:t>
      </w:r>
      <w:r w:rsidR="00A457BD">
        <w:rPr>
          <w:rFonts w:ascii="Arial" w:eastAsia="Calibri" w:hAnsi="Arial" w:cs="Arial"/>
          <w:b/>
          <w:bCs/>
          <w:color w:val="000000" w:themeColor="text1"/>
          <w:kern w:val="24"/>
        </w:rPr>
        <w:t xml:space="preserve">Plate 2: </w:t>
      </w:r>
      <w:r w:rsidRPr="00B31FBC">
        <w:rPr>
          <w:rFonts w:ascii="Arial" w:hAnsi="Arial" w:cs="Arial"/>
          <w:b/>
          <w:bCs/>
          <w:i/>
          <w:iCs/>
          <w:color w:val="000000" w:themeColor="text1"/>
          <w:kern w:val="24"/>
        </w:rPr>
        <w:t xml:space="preserve">In vitro </w:t>
      </w:r>
      <w:r w:rsidRPr="00B31FBC">
        <w:rPr>
          <w:rFonts w:ascii="Arial" w:hAnsi="Arial" w:cs="Arial"/>
          <w:b/>
          <w:bCs/>
          <w:color w:val="000000" w:themeColor="text1"/>
          <w:kern w:val="24"/>
        </w:rPr>
        <w:t>evaluation of contact and combi-product fungicides against</w:t>
      </w:r>
      <w:r>
        <w:rPr>
          <w:rFonts w:ascii="Arial" w:hAnsi="Arial" w:cs="Arial"/>
          <w:b/>
          <w:bCs/>
          <w:color w:val="000000" w:themeColor="text1"/>
          <w:kern w:val="24"/>
        </w:rPr>
        <w:t xml:space="preserve"> </w:t>
      </w:r>
      <w:r w:rsidR="00E50AB3">
        <w:rPr>
          <w:rFonts w:ascii="Arial" w:hAnsi="Arial" w:cs="Arial"/>
          <w:b/>
          <w:bCs/>
          <w:i/>
          <w:iCs/>
          <w:color w:val="000000" w:themeColor="text1"/>
          <w:kern w:val="24"/>
        </w:rPr>
        <w:t>Alternariaster helianthi</w:t>
      </w:r>
    </w:p>
    <w:tbl>
      <w:tblPr>
        <w:tblStyle w:val="TableGrid"/>
        <w:tblW w:w="8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222"/>
        <w:gridCol w:w="4326"/>
      </w:tblGrid>
      <w:tr w:rsidR="00E50AB3" w14:paraId="2B64A43C" w14:textId="77777777" w:rsidTr="00E50AB3">
        <w:trPr>
          <w:trHeight w:val="3950"/>
        </w:trPr>
        <w:tc>
          <w:tcPr>
            <w:tcW w:w="4386" w:type="dxa"/>
          </w:tcPr>
          <w:p w14:paraId="0E8141BD" w14:textId="77777777" w:rsidR="00E50AB3" w:rsidRDefault="00E50AB3" w:rsidP="00D27050">
            <w:pPr>
              <w:tabs>
                <w:tab w:val="left" w:pos="6850"/>
              </w:tabs>
              <w:rPr>
                <w:rFonts w:ascii="Times New Roman" w:hAnsi="Times New Roman"/>
              </w:rPr>
            </w:pPr>
            <w:r>
              <w:rPr>
                <w:noProof/>
              </w:rPr>
              <w:drawing>
                <wp:inline distT="0" distB="0" distL="0" distR="0" wp14:anchorId="09577F64" wp14:editId="7CBEE588">
                  <wp:extent cx="2463800" cy="2686050"/>
                  <wp:effectExtent l="114300" t="76200" r="69850" b="133350"/>
                  <wp:docPr id="7" name="Picture 6">
                    <a:extLst xmlns:a="http://schemas.openxmlformats.org/drawingml/2006/main">
                      <a:ext uri="{FF2B5EF4-FFF2-40B4-BE49-F238E27FC236}">
                        <a16:creationId xmlns:a16="http://schemas.microsoft.com/office/drawing/2014/main" id="{D304B1E2-6F36-F87E-077C-D1EDB111AF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304B1E2-6F36-F87E-077C-D1EDB111AF5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7896" cy="26905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222" w:type="dxa"/>
          </w:tcPr>
          <w:p w14:paraId="0FC3A756" w14:textId="77777777" w:rsidR="00E50AB3" w:rsidRDefault="00E50AB3" w:rsidP="00D27050">
            <w:pPr>
              <w:tabs>
                <w:tab w:val="left" w:pos="6850"/>
              </w:tabs>
              <w:rPr>
                <w:rFonts w:ascii="Times New Roman" w:hAnsi="Times New Roman"/>
              </w:rPr>
            </w:pPr>
          </w:p>
        </w:tc>
        <w:tc>
          <w:tcPr>
            <w:tcW w:w="4326" w:type="dxa"/>
          </w:tcPr>
          <w:p w14:paraId="5FF74025" w14:textId="77777777" w:rsidR="00E50AB3" w:rsidRDefault="00E50AB3" w:rsidP="00D27050">
            <w:pPr>
              <w:tabs>
                <w:tab w:val="left" w:pos="6850"/>
              </w:tabs>
              <w:rPr>
                <w:rFonts w:ascii="Times New Roman" w:hAnsi="Times New Roman"/>
              </w:rPr>
            </w:pPr>
            <w:r>
              <w:rPr>
                <w:noProof/>
              </w:rPr>
              <w:drawing>
                <wp:inline distT="0" distB="0" distL="0" distR="0" wp14:anchorId="42789A2D" wp14:editId="27BF8F49">
                  <wp:extent cx="2431415" cy="2692400"/>
                  <wp:effectExtent l="114300" t="76200" r="64135" b="127000"/>
                  <wp:docPr id="106953370" name="Picture 7">
                    <a:extLst xmlns:a="http://schemas.openxmlformats.org/drawingml/2006/main">
                      <a:ext uri="{FF2B5EF4-FFF2-40B4-BE49-F238E27FC236}">
                        <a16:creationId xmlns:a16="http://schemas.microsoft.com/office/drawing/2014/main" id="{024DC067-4F8E-C326-08B2-C153B5BAC8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24DC067-4F8E-C326-08B2-C153B5BAC8C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48395" cy="271120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r w:rsidR="00E50AB3" w14:paraId="32372A1E" w14:textId="77777777" w:rsidTr="00E50AB3">
        <w:trPr>
          <w:trHeight w:val="548"/>
        </w:trPr>
        <w:tc>
          <w:tcPr>
            <w:tcW w:w="4386" w:type="dxa"/>
          </w:tcPr>
          <w:p w14:paraId="4EFD4EA3" w14:textId="77777777" w:rsidR="00E50AB3" w:rsidRPr="008D5EF1" w:rsidRDefault="00E50AB3" w:rsidP="00D27050">
            <w:pPr>
              <w:jc w:val="center"/>
              <w:rPr>
                <w:rFonts w:ascii="Times New Roman" w:hAnsi="Times New Roman"/>
                <w:b/>
                <w:bCs/>
                <w:sz w:val="24"/>
                <w:szCs w:val="24"/>
              </w:rPr>
            </w:pPr>
            <w:r w:rsidRPr="008D5EF1">
              <w:rPr>
                <w:rFonts w:ascii="Times New Roman" w:hAnsi="Times New Roman"/>
                <w:b/>
                <w:bCs/>
                <w:sz w:val="24"/>
                <w:szCs w:val="24"/>
              </w:rPr>
              <w:t>@</w:t>
            </w:r>
            <w:r>
              <w:rPr>
                <w:rFonts w:ascii="Times New Roman" w:hAnsi="Times New Roman"/>
                <w:b/>
                <w:bCs/>
                <w:sz w:val="24"/>
                <w:szCs w:val="24"/>
              </w:rPr>
              <w:t xml:space="preserve"> </w:t>
            </w:r>
            <w:r w:rsidRPr="008D5EF1">
              <w:rPr>
                <w:rFonts w:ascii="Times New Roman" w:hAnsi="Times New Roman"/>
                <w:b/>
                <w:bCs/>
                <w:sz w:val="24"/>
                <w:szCs w:val="24"/>
              </w:rPr>
              <w:t>500PPM</w:t>
            </w:r>
          </w:p>
          <w:p w14:paraId="66BEAFEF" w14:textId="77777777" w:rsidR="00E50AB3" w:rsidRDefault="00E50AB3" w:rsidP="00D27050">
            <w:pPr>
              <w:tabs>
                <w:tab w:val="left" w:pos="6850"/>
              </w:tabs>
              <w:rPr>
                <w:rFonts w:ascii="Times New Roman" w:hAnsi="Times New Roman"/>
              </w:rPr>
            </w:pPr>
          </w:p>
        </w:tc>
        <w:tc>
          <w:tcPr>
            <w:tcW w:w="222" w:type="dxa"/>
          </w:tcPr>
          <w:p w14:paraId="3C70532B" w14:textId="77777777" w:rsidR="00E50AB3" w:rsidRDefault="00E50AB3" w:rsidP="00D27050">
            <w:pPr>
              <w:tabs>
                <w:tab w:val="left" w:pos="6850"/>
              </w:tabs>
              <w:rPr>
                <w:rFonts w:ascii="Times New Roman" w:hAnsi="Times New Roman"/>
              </w:rPr>
            </w:pPr>
          </w:p>
        </w:tc>
        <w:tc>
          <w:tcPr>
            <w:tcW w:w="4326" w:type="dxa"/>
          </w:tcPr>
          <w:p w14:paraId="3C336F50" w14:textId="77777777" w:rsidR="00E50AB3" w:rsidRDefault="00E50AB3" w:rsidP="00D27050">
            <w:pPr>
              <w:jc w:val="center"/>
              <w:rPr>
                <w:rFonts w:ascii="Times New Roman" w:hAnsi="Times New Roman"/>
                <w:b/>
                <w:bCs/>
                <w:sz w:val="24"/>
                <w:szCs w:val="24"/>
              </w:rPr>
            </w:pPr>
            <w:r w:rsidRPr="008D5EF1">
              <w:rPr>
                <w:rFonts w:ascii="Times New Roman" w:hAnsi="Times New Roman"/>
                <w:b/>
                <w:bCs/>
                <w:sz w:val="24"/>
                <w:szCs w:val="24"/>
              </w:rPr>
              <w:t>@</w:t>
            </w:r>
            <w:r>
              <w:rPr>
                <w:rFonts w:ascii="Times New Roman" w:hAnsi="Times New Roman"/>
                <w:b/>
                <w:bCs/>
                <w:sz w:val="24"/>
                <w:szCs w:val="24"/>
              </w:rPr>
              <w:t xml:space="preserve"> 10</w:t>
            </w:r>
            <w:r w:rsidRPr="008D5EF1">
              <w:rPr>
                <w:rFonts w:ascii="Times New Roman" w:hAnsi="Times New Roman"/>
                <w:b/>
                <w:bCs/>
                <w:sz w:val="24"/>
                <w:szCs w:val="24"/>
              </w:rPr>
              <w:t>00PPM</w:t>
            </w:r>
          </w:p>
          <w:p w14:paraId="3A883FDA" w14:textId="77777777" w:rsidR="00E50AB3" w:rsidRPr="008D5EF1" w:rsidRDefault="00E50AB3" w:rsidP="00D27050">
            <w:pPr>
              <w:jc w:val="center"/>
              <w:rPr>
                <w:rFonts w:ascii="Times New Roman" w:hAnsi="Times New Roman"/>
                <w:b/>
                <w:bCs/>
                <w:sz w:val="24"/>
                <w:szCs w:val="24"/>
              </w:rPr>
            </w:pPr>
          </w:p>
          <w:p w14:paraId="1C422FF9" w14:textId="77777777" w:rsidR="00E50AB3" w:rsidRDefault="00E50AB3" w:rsidP="00D27050">
            <w:pPr>
              <w:tabs>
                <w:tab w:val="left" w:pos="6850"/>
              </w:tabs>
              <w:rPr>
                <w:rFonts w:ascii="Times New Roman" w:hAnsi="Times New Roman"/>
              </w:rPr>
            </w:pPr>
          </w:p>
        </w:tc>
      </w:tr>
    </w:tbl>
    <w:p w14:paraId="1BCDDBE2" w14:textId="0D98A13C" w:rsidR="00B31FBC" w:rsidRPr="00B31FBC" w:rsidRDefault="00E50AB3" w:rsidP="00B31FBC">
      <w:pPr>
        <w:pStyle w:val="NormalWeb"/>
        <w:tabs>
          <w:tab w:val="left" w:pos="585"/>
          <w:tab w:val="center" w:pos="1093"/>
        </w:tabs>
        <w:spacing w:before="0" w:beforeAutospacing="0" w:after="0" w:afterAutospacing="0"/>
        <w:textAlignment w:val="baseline"/>
        <w:rPr>
          <w:rFonts w:ascii="Arial" w:hAnsi="Arial" w:cs="Arial"/>
          <w:b/>
          <w:bCs/>
          <w:color w:val="000000" w:themeColor="text1"/>
          <w:kern w:val="24"/>
          <w:sz w:val="20"/>
          <w:szCs w:val="20"/>
        </w:rPr>
      </w:pPr>
      <w:r w:rsidRPr="00104E61">
        <w:rPr>
          <w:noProof/>
        </w:rPr>
        <w:lastRenderedPageBreak/>
        <w:drawing>
          <wp:inline distT="0" distB="0" distL="0" distR="0" wp14:anchorId="336E377D" wp14:editId="26539532">
            <wp:extent cx="5492750" cy="4127500"/>
            <wp:effectExtent l="0" t="0" r="12700" b="6350"/>
            <wp:docPr id="1070752268" name="Chart 1">
              <a:extLst xmlns:a="http://schemas.openxmlformats.org/drawingml/2006/main">
                <a:ext uri="{FF2B5EF4-FFF2-40B4-BE49-F238E27FC236}">
                  <a16:creationId xmlns:a16="http://schemas.microsoft.com/office/drawing/2014/main" id="{D2C11346-38E6-034A-153C-88954621F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31FBC" w:rsidRPr="00B31FBC">
        <w:rPr>
          <w:rFonts w:ascii="Arial" w:hAnsi="Arial" w:cs="Arial"/>
          <w:b/>
          <w:bCs/>
          <w:i/>
          <w:iCs/>
          <w:color w:val="000000" w:themeColor="text1"/>
          <w:kern w:val="24"/>
          <w:sz w:val="20"/>
          <w:szCs w:val="20"/>
        </w:rPr>
        <w:t xml:space="preserve"> </w:t>
      </w:r>
    </w:p>
    <w:p w14:paraId="1A6C58A3" w14:textId="77777777" w:rsidR="00E50AB3" w:rsidRPr="00B31FBC" w:rsidRDefault="00E50AB3" w:rsidP="00E50AB3">
      <w:pPr>
        <w:spacing w:before="120" w:after="120" w:line="360" w:lineRule="auto"/>
        <w:ind w:left="90"/>
        <w:jc w:val="both"/>
        <w:outlineLvl w:val="1"/>
        <w:rPr>
          <w:rFonts w:ascii="Arial" w:hAnsi="Arial" w:cs="Arial"/>
        </w:rPr>
      </w:pPr>
      <w:r w:rsidRPr="00B31FBC">
        <w:rPr>
          <w:rFonts w:ascii="Arial" w:hAnsi="Arial" w:cs="Arial"/>
        </w:rPr>
        <w:t>*: Mean of three replications.    **: Values in parenthesis are arcsin transformed values.  Dia.: Diameter, Avg.: Average</w:t>
      </w:r>
    </w:p>
    <w:p w14:paraId="2D31200B" w14:textId="0954F6FB" w:rsidR="00A457BD" w:rsidRDefault="00A457BD" w:rsidP="00A457BD">
      <w:pPr>
        <w:pStyle w:val="NormalWeb"/>
        <w:tabs>
          <w:tab w:val="left" w:pos="585"/>
          <w:tab w:val="center" w:pos="1093"/>
        </w:tabs>
        <w:spacing w:before="0" w:beforeAutospacing="0" w:after="0" w:afterAutospacing="0"/>
        <w:textAlignment w:val="baseline"/>
        <w:rPr>
          <w:rFonts w:ascii="Arial" w:hAnsi="Arial" w:cs="Arial"/>
          <w:b/>
          <w:bCs/>
          <w:i/>
          <w:iCs/>
          <w:color w:val="000000" w:themeColor="text1"/>
          <w:kern w:val="24"/>
          <w:sz w:val="20"/>
          <w:szCs w:val="20"/>
        </w:rPr>
      </w:pPr>
      <w:r w:rsidRPr="00B31FBC">
        <w:rPr>
          <w:rFonts w:ascii="Arial" w:eastAsia="Calibri" w:hAnsi="Arial" w:cs="Arial"/>
          <w:b/>
          <w:bCs/>
          <w:color w:val="000000" w:themeColor="text1"/>
          <w:kern w:val="24"/>
          <w:sz w:val="20"/>
          <w:szCs w:val="20"/>
        </w:rPr>
        <w:t xml:space="preserve"> </w:t>
      </w:r>
      <w:r>
        <w:rPr>
          <w:rFonts w:ascii="Arial" w:eastAsia="Calibri" w:hAnsi="Arial" w:cs="Arial"/>
          <w:b/>
          <w:bCs/>
          <w:i/>
          <w:iCs/>
          <w:color w:val="000000" w:themeColor="text1"/>
          <w:kern w:val="24"/>
          <w:sz w:val="20"/>
          <w:szCs w:val="20"/>
        </w:rPr>
        <w:t xml:space="preserve"> </w:t>
      </w:r>
      <w:r>
        <w:rPr>
          <w:rFonts w:ascii="Arial" w:eastAsia="Calibri" w:hAnsi="Arial" w:cs="Arial"/>
          <w:b/>
          <w:bCs/>
          <w:color w:val="000000" w:themeColor="text1"/>
          <w:kern w:val="24"/>
          <w:sz w:val="20"/>
          <w:szCs w:val="20"/>
        </w:rPr>
        <w:t xml:space="preserve">Fig 2: </w:t>
      </w:r>
      <w:r w:rsidRPr="00B31FBC">
        <w:rPr>
          <w:rFonts w:ascii="Arial" w:hAnsi="Arial" w:cs="Arial"/>
          <w:b/>
          <w:bCs/>
          <w:i/>
          <w:iCs/>
          <w:color w:val="000000" w:themeColor="text1"/>
          <w:kern w:val="24"/>
          <w:sz w:val="20"/>
          <w:szCs w:val="20"/>
        </w:rPr>
        <w:t xml:space="preserve">In vitro </w:t>
      </w:r>
      <w:r w:rsidRPr="00B31FBC">
        <w:rPr>
          <w:rFonts w:ascii="Arial" w:hAnsi="Arial" w:cs="Arial"/>
          <w:b/>
          <w:bCs/>
          <w:color w:val="000000" w:themeColor="text1"/>
          <w:kern w:val="24"/>
          <w:sz w:val="20"/>
          <w:szCs w:val="20"/>
        </w:rPr>
        <w:t>evaluation of contact and combi-product fungicides against</w:t>
      </w:r>
      <w:r>
        <w:rPr>
          <w:rFonts w:ascii="Arial" w:hAnsi="Arial" w:cs="Arial"/>
          <w:b/>
          <w:bCs/>
          <w:color w:val="000000" w:themeColor="text1"/>
          <w:kern w:val="24"/>
          <w:sz w:val="20"/>
          <w:szCs w:val="20"/>
        </w:rPr>
        <w:t xml:space="preserve"> </w:t>
      </w:r>
      <w:r>
        <w:rPr>
          <w:rFonts w:ascii="Arial" w:hAnsi="Arial" w:cs="Arial"/>
          <w:b/>
          <w:bCs/>
          <w:i/>
          <w:iCs/>
          <w:color w:val="000000" w:themeColor="text1"/>
          <w:kern w:val="24"/>
          <w:sz w:val="20"/>
          <w:szCs w:val="20"/>
        </w:rPr>
        <w:t>Alternariaster helianthi</w:t>
      </w:r>
    </w:p>
    <w:p w14:paraId="1BF17C43" w14:textId="2BA68A7E" w:rsidR="00B01FCD" w:rsidRDefault="00000F8F" w:rsidP="00441B6F">
      <w:pPr>
        <w:pStyle w:val="ConcHead"/>
        <w:spacing w:after="0"/>
        <w:jc w:val="both"/>
        <w:rPr>
          <w:rFonts w:ascii="Arial" w:hAnsi="Arial" w:cs="Arial"/>
        </w:rPr>
      </w:pPr>
      <w:r>
        <w:rPr>
          <w:rFonts w:ascii="Arial" w:hAnsi="Arial" w:cs="Arial"/>
        </w:rPr>
        <w:t xml:space="preserve"> </w:t>
      </w:r>
      <w:r w:rsidR="00B01FCD" w:rsidRPr="00FB3A86">
        <w:rPr>
          <w:rFonts w:ascii="Arial" w:hAnsi="Arial" w:cs="Arial"/>
        </w:rPr>
        <w:t>Conclusion</w:t>
      </w:r>
    </w:p>
    <w:p w14:paraId="1A38E757" w14:textId="0FA8445A" w:rsidR="00B31FBC" w:rsidRPr="00A457BD" w:rsidRDefault="00B31FBC" w:rsidP="00A457BD">
      <w:pPr>
        <w:pStyle w:val="NoSpacing"/>
        <w:spacing w:line="360" w:lineRule="auto"/>
        <w:ind w:firstLine="720"/>
        <w:jc w:val="both"/>
        <w:rPr>
          <w:rFonts w:ascii="Arial" w:eastAsia="Times New Roman" w:hAnsi="Arial" w:cs="Arial"/>
          <w:color w:val="000000" w:themeColor="text1"/>
          <w:sz w:val="20"/>
          <w:szCs w:val="20"/>
          <w:lang w:eastAsia="en-IN"/>
          <w14:ligatures w14:val="none"/>
        </w:rPr>
      </w:pPr>
      <w:r w:rsidRPr="00A457BD">
        <w:rPr>
          <w:rFonts w:ascii="Arial" w:hAnsi="Arial" w:cs="Arial"/>
          <w:sz w:val="20"/>
          <w:szCs w:val="20"/>
        </w:rPr>
        <w:t xml:space="preserve">The results of the conducted experiment documented that, all tested systemic, contact and combi-product fungicide significantly inhibited the growth of the test pathogen compared to the untreated control in </w:t>
      </w:r>
      <w:r w:rsidRPr="00A457BD">
        <w:rPr>
          <w:rFonts w:ascii="Arial" w:hAnsi="Arial" w:cs="Arial"/>
          <w:i/>
          <w:iCs/>
          <w:sz w:val="20"/>
          <w:szCs w:val="20"/>
        </w:rPr>
        <w:t>in vitro</w:t>
      </w:r>
      <w:r w:rsidRPr="00A457BD">
        <w:rPr>
          <w:rFonts w:ascii="Arial" w:hAnsi="Arial" w:cs="Arial"/>
          <w:sz w:val="20"/>
          <w:szCs w:val="20"/>
        </w:rPr>
        <w:t xml:space="preserve">. However, </w:t>
      </w:r>
      <w:r w:rsidR="00A457BD" w:rsidRPr="00A457BD">
        <w:rPr>
          <w:rFonts w:ascii="Arial" w:eastAsia="Times New Roman" w:hAnsi="Arial" w:cs="Arial"/>
          <w:color w:val="000000" w:themeColor="text1"/>
          <w:sz w:val="20"/>
          <w:szCs w:val="20"/>
          <w:lang w:eastAsia="en-IN"/>
          <w14:ligatures w14:val="none"/>
        </w:rPr>
        <w:t xml:space="preserve">among different systemic fungicides evaluated </w:t>
      </w:r>
      <w:r w:rsidR="00A457BD" w:rsidRPr="00A457BD">
        <w:rPr>
          <w:rFonts w:ascii="Arial" w:eastAsia="Times New Roman" w:hAnsi="Arial" w:cs="Arial"/>
          <w:color w:val="000000" w:themeColor="text1"/>
          <w:sz w:val="20"/>
          <w:szCs w:val="20"/>
          <w:lang w:val="en-US" w:eastAsia="en-IN"/>
          <w14:ligatures w14:val="none"/>
        </w:rPr>
        <w:t>Propiconazole 25 % EC, Difenoconazole 25 % EC and Azoxystrobin 23 % SC were found most effective in inhibiting mycelial growth of test fungus.</w:t>
      </w:r>
      <w:r w:rsidR="00A457BD" w:rsidRPr="00A457BD">
        <w:rPr>
          <w:rFonts w:ascii="Arial" w:eastAsia="Times New Roman" w:hAnsi="Arial" w:cs="Arial"/>
          <w:color w:val="000000" w:themeColor="text1"/>
          <w:sz w:val="20"/>
          <w:szCs w:val="20"/>
          <w:lang w:eastAsia="en-IN"/>
          <w14:ligatures w14:val="none"/>
        </w:rPr>
        <w:t xml:space="preserve"> Among different contact combi fungicides evaluated</w:t>
      </w:r>
      <w:r w:rsidR="00A457BD" w:rsidRPr="00A457BD">
        <w:rPr>
          <w:rFonts w:ascii="Arial" w:eastAsia="Times New Roman" w:hAnsi="Arial" w:cs="Arial"/>
          <w:color w:val="000000" w:themeColor="text1"/>
          <w:sz w:val="20"/>
          <w:szCs w:val="20"/>
          <w:lang w:val="en-US" w:eastAsia="en-IN"/>
          <w14:ligatures w14:val="none"/>
        </w:rPr>
        <w:t xml:space="preserve"> Mancozeb 75% WP, Azoxystrobin 18.2 % + Difenoconazole 11.4 % SC, Carbendazim 12 % + Mancozeb 63 % WP, were found most effective in inhibiting mycelial growth of test fungus</w:t>
      </w:r>
      <w:r w:rsidR="00A457BD">
        <w:rPr>
          <w:rFonts w:ascii="Arial" w:eastAsia="Times New Roman" w:hAnsi="Arial" w:cs="Arial"/>
          <w:color w:val="000000" w:themeColor="text1"/>
          <w:sz w:val="20"/>
          <w:szCs w:val="20"/>
          <w:lang w:val="en-US" w:eastAsia="en-IN"/>
          <w14:ligatures w14:val="none"/>
        </w:rPr>
        <w:t xml:space="preserve"> </w:t>
      </w:r>
      <w:r w:rsidRPr="00A457BD">
        <w:rPr>
          <w:rFonts w:ascii="Arial" w:hAnsi="Arial" w:cs="Arial"/>
          <w:sz w:val="20"/>
          <w:szCs w:val="20"/>
        </w:rPr>
        <w:t>found most effective in inhibiting growth of pathogen.</w:t>
      </w:r>
    </w:p>
    <w:p w14:paraId="140FB5A5" w14:textId="77777777" w:rsidR="00790ADA" w:rsidRPr="00B31FBC" w:rsidRDefault="00790ADA" w:rsidP="00441B6F">
      <w:pPr>
        <w:pStyle w:val="Body"/>
        <w:spacing w:after="0"/>
        <w:rPr>
          <w:rFonts w:ascii="Arial" w:hAnsi="Arial" w:cs="Arial"/>
        </w:rPr>
      </w:pPr>
    </w:p>
    <w:p w14:paraId="39B847E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AAE492" w14:textId="77777777" w:rsidR="007C23E2" w:rsidRPr="00FD08AA" w:rsidRDefault="007C23E2" w:rsidP="00FD08AA">
      <w:pPr>
        <w:pStyle w:val="ListParagraph"/>
        <w:numPr>
          <w:ilvl w:val="0"/>
          <w:numId w:val="34"/>
        </w:numPr>
        <w:spacing w:before="120" w:after="120" w:line="360" w:lineRule="auto"/>
        <w:ind w:left="360"/>
        <w:jc w:val="both"/>
        <w:rPr>
          <w:rFonts w:ascii="Arial" w:hAnsi="Arial" w:cs="Arial"/>
          <w:sz w:val="20"/>
          <w:szCs w:val="14"/>
        </w:rPr>
      </w:pPr>
      <w:r w:rsidRPr="00FD08AA">
        <w:rPr>
          <w:rFonts w:ascii="Arial" w:hAnsi="Arial" w:cs="Arial"/>
          <w:sz w:val="20"/>
          <w:szCs w:val="14"/>
        </w:rPr>
        <w:t xml:space="preserve">Nene, Y.L. &amp; Thapliyal, P.N. (1993). Evaluation of fungicides. In, Fungicides in Plant Disease Control (34 </w:t>
      </w:r>
      <w:proofErr w:type="spellStart"/>
      <w:r w:rsidRPr="00FD08AA">
        <w:rPr>
          <w:rFonts w:ascii="Arial" w:hAnsi="Arial" w:cs="Arial"/>
          <w:sz w:val="20"/>
          <w:szCs w:val="14"/>
        </w:rPr>
        <w:t>Edn</w:t>
      </w:r>
      <w:proofErr w:type="spellEnd"/>
      <w:r w:rsidRPr="00FD08AA">
        <w:rPr>
          <w:rFonts w:ascii="Arial" w:hAnsi="Arial" w:cs="Arial"/>
          <w:sz w:val="20"/>
          <w:szCs w:val="14"/>
        </w:rPr>
        <w:t xml:space="preserve">.). </w:t>
      </w:r>
      <w:r w:rsidRPr="00FD08AA">
        <w:rPr>
          <w:rFonts w:ascii="Arial" w:hAnsi="Arial" w:cs="Arial"/>
          <w:i/>
          <w:iCs/>
          <w:sz w:val="20"/>
          <w:szCs w:val="14"/>
        </w:rPr>
        <w:t>Oxford, IBH Publishing Co, New Delhi</w:t>
      </w:r>
      <w:r w:rsidRPr="00FD08AA">
        <w:rPr>
          <w:rFonts w:ascii="Arial" w:hAnsi="Arial" w:cs="Arial"/>
          <w:sz w:val="20"/>
          <w:szCs w:val="14"/>
        </w:rPr>
        <w:t>, 531- 532.</w:t>
      </w:r>
    </w:p>
    <w:p w14:paraId="2308A344" w14:textId="77777777" w:rsidR="00A457BD" w:rsidRDefault="007C23E2" w:rsidP="00A457BD">
      <w:pPr>
        <w:pStyle w:val="ListParagraph"/>
        <w:numPr>
          <w:ilvl w:val="0"/>
          <w:numId w:val="34"/>
        </w:numPr>
        <w:spacing w:before="120" w:after="120" w:line="360" w:lineRule="auto"/>
        <w:ind w:left="360"/>
        <w:jc w:val="both"/>
        <w:rPr>
          <w:rFonts w:ascii="Arial" w:hAnsi="Arial" w:cs="Arial"/>
          <w:sz w:val="20"/>
          <w:szCs w:val="14"/>
        </w:rPr>
      </w:pPr>
      <w:r w:rsidRPr="00FD08AA">
        <w:rPr>
          <w:rFonts w:ascii="Arial" w:hAnsi="Arial" w:cs="Arial"/>
          <w:sz w:val="20"/>
          <w:szCs w:val="14"/>
        </w:rPr>
        <w:t xml:space="preserve">Arora, D.K. &amp; Upadhyay, R.K. (1978). Effect of fungal staling growth substances on colony interaction. </w:t>
      </w:r>
      <w:r w:rsidRPr="00FD08AA">
        <w:rPr>
          <w:rFonts w:ascii="Arial" w:hAnsi="Arial" w:cs="Arial"/>
          <w:i/>
          <w:iCs/>
          <w:sz w:val="20"/>
          <w:szCs w:val="14"/>
        </w:rPr>
        <w:t>Plant Soil</w:t>
      </w:r>
      <w:r w:rsidRPr="00FD08AA">
        <w:rPr>
          <w:rFonts w:ascii="Arial" w:hAnsi="Arial" w:cs="Arial"/>
          <w:sz w:val="20"/>
          <w:szCs w:val="14"/>
        </w:rPr>
        <w:t>. 49, 685-690.</w:t>
      </w:r>
    </w:p>
    <w:p w14:paraId="00D5504A" w14:textId="77777777" w:rsidR="00A457BD" w:rsidRDefault="00A457BD" w:rsidP="00A457BD">
      <w:pPr>
        <w:pStyle w:val="ListParagraph"/>
        <w:numPr>
          <w:ilvl w:val="0"/>
          <w:numId w:val="34"/>
        </w:numPr>
        <w:spacing w:before="120" w:after="120" w:line="360" w:lineRule="auto"/>
        <w:ind w:left="360"/>
        <w:jc w:val="both"/>
        <w:rPr>
          <w:rFonts w:ascii="Arial" w:hAnsi="Arial" w:cs="Arial"/>
          <w:sz w:val="20"/>
        </w:rPr>
      </w:pPr>
      <w:r w:rsidRPr="00A457BD">
        <w:rPr>
          <w:rFonts w:ascii="Arial" w:hAnsi="Arial" w:cs="Arial"/>
          <w:sz w:val="20"/>
        </w:rPr>
        <w:t xml:space="preserve">Vasava, D. &amp; Gohel, M. (2024). Eco-friendly management of </w:t>
      </w:r>
      <w:r w:rsidRPr="00A457BD">
        <w:rPr>
          <w:rFonts w:ascii="Arial" w:hAnsi="Arial" w:cs="Arial"/>
          <w:i/>
          <w:sz w:val="20"/>
        </w:rPr>
        <w:t xml:space="preserve">Alternaria </w:t>
      </w:r>
      <w:r w:rsidRPr="00A457BD">
        <w:rPr>
          <w:rFonts w:ascii="Arial" w:hAnsi="Arial" w:cs="Arial"/>
          <w:sz w:val="20"/>
        </w:rPr>
        <w:t xml:space="preserve">leaf blight of sunflower caused by </w:t>
      </w:r>
      <w:r w:rsidRPr="00A457BD">
        <w:rPr>
          <w:rFonts w:ascii="Arial" w:hAnsi="Arial" w:cs="Arial"/>
          <w:i/>
          <w:sz w:val="20"/>
        </w:rPr>
        <w:t>Alternariaster helianthi</w:t>
      </w:r>
      <w:r w:rsidRPr="00A457BD">
        <w:rPr>
          <w:rFonts w:ascii="Arial" w:hAnsi="Arial" w:cs="Arial"/>
          <w:sz w:val="20"/>
        </w:rPr>
        <w:t xml:space="preserve"> (Hansford) E.G. Simmon. </w:t>
      </w:r>
      <w:r w:rsidRPr="00A457BD">
        <w:rPr>
          <w:rFonts w:ascii="Arial" w:hAnsi="Arial" w:cs="Arial"/>
          <w:i/>
          <w:sz w:val="20"/>
        </w:rPr>
        <w:t>International Journal of Advanced Biochemistry Research</w:t>
      </w:r>
      <w:r w:rsidRPr="00A457BD">
        <w:rPr>
          <w:rFonts w:ascii="Arial" w:hAnsi="Arial" w:cs="Arial"/>
          <w:sz w:val="20"/>
        </w:rPr>
        <w:t xml:space="preserve">. SP-8(8), 1095-1102 </w:t>
      </w:r>
    </w:p>
    <w:p w14:paraId="40243330" w14:textId="77777777" w:rsidR="00A457BD" w:rsidRDefault="00A457BD" w:rsidP="00A457BD">
      <w:pPr>
        <w:pStyle w:val="ListParagraph"/>
        <w:numPr>
          <w:ilvl w:val="0"/>
          <w:numId w:val="34"/>
        </w:numPr>
        <w:spacing w:before="120" w:after="120" w:line="360" w:lineRule="auto"/>
        <w:ind w:left="360"/>
        <w:jc w:val="both"/>
        <w:rPr>
          <w:rFonts w:ascii="Arial" w:hAnsi="Arial" w:cs="Arial"/>
          <w:sz w:val="20"/>
        </w:rPr>
      </w:pPr>
      <w:r w:rsidRPr="00A457BD">
        <w:rPr>
          <w:rFonts w:ascii="Arial" w:hAnsi="Arial" w:cs="Arial"/>
          <w:sz w:val="20"/>
        </w:rPr>
        <w:t xml:space="preserve">Anonymous, (2023). Annual report; All India Co-ordinated Research Project on sunflower. page No.201-203.  </w:t>
      </w:r>
    </w:p>
    <w:p w14:paraId="4314BE93" w14:textId="77777777" w:rsidR="006B35A7" w:rsidRDefault="00A457BD" w:rsidP="006B35A7">
      <w:pPr>
        <w:pStyle w:val="ListParagraph"/>
        <w:numPr>
          <w:ilvl w:val="0"/>
          <w:numId w:val="34"/>
        </w:numPr>
        <w:spacing w:before="120" w:after="120" w:line="360" w:lineRule="auto"/>
        <w:ind w:left="360"/>
        <w:jc w:val="both"/>
        <w:rPr>
          <w:rFonts w:ascii="Arial" w:hAnsi="Arial" w:cs="Arial"/>
          <w:sz w:val="20"/>
        </w:rPr>
      </w:pPr>
      <w:r w:rsidRPr="006B1172">
        <w:rPr>
          <w:rFonts w:ascii="Arial" w:hAnsi="Arial" w:cs="Arial"/>
          <w:sz w:val="20"/>
        </w:rPr>
        <w:t xml:space="preserve">Indiastat (2023). Area, Production and yield of sunflower in India. Available from, </w:t>
      </w:r>
      <w:hyperlink r:id="rId15">
        <w:r w:rsidRPr="006B1172">
          <w:rPr>
            <w:rFonts w:ascii="Arial" w:hAnsi="Arial" w:cs="Arial"/>
            <w:sz w:val="20"/>
            <w:u w:val="single"/>
          </w:rPr>
          <w:t>https,//www.indiastat.com/table/agriculture/season</w:t>
        </w:r>
      </w:hyperlink>
      <w:hyperlink r:id="rId16">
        <w:r w:rsidRPr="006B1172">
          <w:rPr>
            <w:rFonts w:ascii="Arial" w:hAnsi="Arial" w:cs="Arial"/>
            <w:sz w:val="20"/>
            <w:u w:val="single"/>
          </w:rPr>
          <w:t>-</w:t>
        </w:r>
      </w:hyperlink>
      <w:r w:rsidRPr="006B1172">
        <w:rPr>
          <w:rFonts w:ascii="Arial" w:hAnsi="Arial" w:cs="Arial"/>
          <w:sz w:val="20"/>
          <w:u w:val="single"/>
        </w:rPr>
        <w:t>wise - area, production yield-sunflower-India-</w:t>
      </w:r>
      <w:r w:rsidRPr="006B1172">
        <w:rPr>
          <w:rFonts w:ascii="Arial" w:hAnsi="Arial" w:cs="Arial"/>
          <w:sz w:val="20"/>
        </w:rPr>
        <w:t>/17394</w:t>
      </w:r>
      <w:r w:rsidR="006B35A7">
        <w:rPr>
          <w:rFonts w:ascii="Arial" w:hAnsi="Arial" w:cs="Arial"/>
          <w:sz w:val="20"/>
        </w:rPr>
        <w:t>.</w:t>
      </w:r>
    </w:p>
    <w:p w14:paraId="04DAE08F" w14:textId="77777777" w:rsidR="006B35A7" w:rsidRPr="006B35A7" w:rsidRDefault="006B35A7" w:rsidP="006B35A7">
      <w:pPr>
        <w:pStyle w:val="ListParagraph"/>
        <w:numPr>
          <w:ilvl w:val="0"/>
          <w:numId w:val="34"/>
        </w:numPr>
        <w:spacing w:before="120" w:after="120" w:line="360" w:lineRule="auto"/>
        <w:ind w:left="360"/>
        <w:jc w:val="both"/>
        <w:rPr>
          <w:rFonts w:ascii="Arial" w:hAnsi="Arial" w:cs="Arial"/>
          <w:sz w:val="20"/>
        </w:rPr>
      </w:pPr>
      <w:r w:rsidRPr="006B35A7">
        <w:rPr>
          <w:rFonts w:ascii="Arial" w:hAnsi="Arial" w:cs="Arial"/>
          <w:sz w:val="20"/>
        </w:rPr>
        <w:lastRenderedPageBreak/>
        <w:t xml:space="preserve">Mahadevaswamy, G., Vijayalakshmi, G., &amp; Gangadharanaik, G.  (2019). </w:t>
      </w:r>
      <w:r w:rsidRPr="006B35A7">
        <w:rPr>
          <w:rFonts w:ascii="Arial" w:hAnsi="Arial" w:cs="Arial"/>
          <w:i/>
          <w:sz w:val="20"/>
        </w:rPr>
        <w:t>In vitro</w:t>
      </w:r>
      <w:r w:rsidRPr="006B35A7">
        <w:rPr>
          <w:rFonts w:ascii="Arial" w:hAnsi="Arial" w:cs="Arial"/>
          <w:sz w:val="20"/>
        </w:rPr>
        <w:t xml:space="preserve"> Evaluation of Fungicides Plant Extracts and Bio-agents against </w:t>
      </w:r>
      <w:r w:rsidRPr="006B35A7">
        <w:rPr>
          <w:rFonts w:ascii="Arial" w:hAnsi="Arial" w:cs="Arial"/>
          <w:i/>
          <w:sz w:val="20"/>
        </w:rPr>
        <w:t>Alternaria helianthi</w:t>
      </w:r>
      <w:r w:rsidRPr="006B35A7">
        <w:rPr>
          <w:rFonts w:ascii="Arial" w:hAnsi="Arial" w:cs="Arial"/>
          <w:sz w:val="20"/>
        </w:rPr>
        <w:t xml:space="preserve"> causing Leaf Blight of Sunflower. </w:t>
      </w:r>
      <w:r w:rsidRPr="006B35A7">
        <w:rPr>
          <w:rFonts w:ascii="Arial" w:hAnsi="Arial" w:cs="Arial"/>
          <w:i/>
          <w:sz w:val="20"/>
        </w:rPr>
        <w:t>International Journal of Current Microbiology and Applied Sciences.</w:t>
      </w:r>
      <w:r w:rsidRPr="006B35A7">
        <w:rPr>
          <w:rFonts w:ascii="Arial" w:hAnsi="Arial" w:cs="Arial"/>
          <w:sz w:val="20"/>
        </w:rPr>
        <w:t>ISSN, 2319-7706 Volume 8 Number (2019).</w:t>
      </w:r>
      <w:r w:rsidRPr="006B35A7">
        <w:rPr>
          <w:rFonts w:ascii="Arial" w:eastAsia="Calibri" w:hAnsi="Arial" w:cs="Arial"/>
          <w:sz w:val="20"/>
        </w:rPr>
        <w:t xml:space="preserve">  </w:t>
      </w:r>
    </w:p>
    <w:p w14:paraId="247733BE" w14:textId="77777777" w:rsidR="006B35A7" w:rsidRPr="006B35A7" w:rsidRDefault="006B35A7" w:rsidP="006B35A7">
      <w:pPr>
        <w:pStyle w:val="ListParagraph"/>
        <w:numPr>
          <w:ilvl w:val="0"/>
          <w:numId w:val="34"/>
        </w:numPr>
        <w:spacing w:before="120" w:after="120" w:line="360" w:lineRule="auto"/>
        <w:ind w:left="360"/>
        <w:jc w:val="both"/>
        <w:rPr>
          <w:rFonts w:ascii="Arial" w:hAnsi="Arial" w:cs="Arial"/>
          <w:sz w:val="20"/>
        </w:rPr>
      </w:pPr>
      <w:r w:rsidRPr="006B35A7">
        <w:rPr>
          <w:rFonts w:ascii="Arial" w:hAnsi="Arial" w:cs="Arial"/>
          <w:sz w:val="20"/>
        </w:rPr>
        <w:t xml:space="preserve">Usha, D., Santha, M., Prasada, L. &amp; Sarada, C.  (2019). Sensitivity of different fungicides against isolates of </w:t>
      </w:r>
      <w:r w:rsidRPr="006B35A7">
        <w:rPr>
          <w:rFonts w:ascii="Arial" w:hAnsi="Arial" w:cs="Arial"/>
          <w:i/>
          <w:sz w:val="20"/>
        </w:rPr>
        <w:t>Alternariaster helianthi</w:t>
      </w:r>
      <w:r w:rsidRPr="006B35A7">
        <w:rPr>
          <w:rFonts w:ascii="Arial" w:hAnsi="Arial" w:cs="Arial"/>
          <w:sz w:val="20"/>
        </w:rPr>
        <w:t xml:space="preserve"> (Hansf) Tubaki and Nishihara, leaf blight in sunflower. </w:t>
      </w:r>
      <w:r w:rsidRPr="006B35A7">
        <w:rPr>
          <w:rFonts w:ascii="Arial" w:hAnsi="Arial" w:cs="Arial"/>
          <w:i/>
          <w:sz w:val="20"/>
        </w:rPr>
        <w:t>Indian Phytopathology</w:t>
      </w:r>
      <w:r w:rsidRPr="006B35A7">
        <w:rPr>
          <w:rFonts w:ascii="Arial" w:hAnsi="Arial" w:cs="Arial"/>
          <w:sz w:val="20"/>
        </w:rPr>
        <w:t xml:space="preserve">.  </w:t>
      </w:r>
    </w:p>
    <w:p w14:paraId="4F754124" w14:textId="77777777" w:rsidR="006B35A7" w:rsidRDefault="006B35A7" w:rsidP="006B35A7">
      <w:pPr>
        <w:pStyle w:val="ListParagraph"/>
        <w:numPr>
          <w:ilvl w:val="0"/>
          <w:numId w:val="34"/>
        </w:numPr>
        <w:spacing w:before="120" w:after="120" w:line="360" w:lineRule="auto"/>
        <w:ind w:left="360"/>
        <w:jc w:val="both"/>
        <w:rPr>
          <w:rFonts w:ascii="Arial" w:hAnsi="Arial" w:cs="Arial"/>
          <w:sz w:val="20"/>
        </w:rPr>
      </w:pPr>
      <w:r w:rsidRPr="006B35A7">
        <w:rPr>
          <w:rFonts w:ascii="Arial" w:hAnsi="Arial" w:cs="Arial"/>
          <w:sz w:val="20"/>
        </w:rPr>
        <w:t xml:space="preserve">Athira, K. (2017). </w:t>
      </w:r>
      <w:r w:rsidRPr="006B35A7">
        <w:rPr>
          <w:rFonts w:ascii="Arial" w:hAnsi="Arial" w:cs="Arial"/>
          <w:i/>
          <w:sz w:val="20"/>
        </w:rPr>
        <w:t>In vitro</w:t>
      </w:r>
      <w:r w:rsidRPr="006B35A7">
        <w:rPr>
          <w:rFonts w:ascii="Arial" w:hAnsi="Arial" w:cs="Arial"/>
          <w:sz w:val="20"/>
        </w:rPr>
        <w:t xml:space="preserve"> evaluation of fungicide and biocontrol agents against </w:t>
      </w:r>
      <w:r w:rsidRPr="006B35A7">
        <w:rPr>
          <w:rFonts w:ascii="Arial" w:hAnsi="Arial" w:cs="Arial"/>
          <w:i/>
          <w:sz w:val="20"/>
        </w:rPr>
        <w:t>Alternaria helianthin</w:t>
      </w:r>
      <w:r w:rsidRPr="006B35A7">
        <w:rPr>
          <w:rFonts w:ascii="Arial" w:hAnsi="Arial" w:cs="Arial"/>
          <w:sz w:val="20"/>
        </w:rPr>
        <w:t xml:space="preserve"> causing leaf blight of sunflower (</w:t>
      </w:r>
      <w:r w:rsidRPr="006B35A7">
        <w:rPr>
          <w:rFonts w:ascii="Arial" w:hAnsi="Arial" w:cs="Arial"/>
          <w:i/>
          <w:sz w:val="20"/>
        </w:rPr>
        <w:t>Helianthus annuus L</w:t>
      </w:r>
      <w:r w:rsidRPr="006B35A7">
        <w:rPr>
          <w:rFonts w:ascii="Arial" w:hAnsi="Arial" w:cs="Arial"/>
          <w:sz w:val="20"/>
        </w:rPr>
        <w:t xml:space="preserve">.) </w:t>
      </w:r>
      <w:r w:rsidRPr="006B35A7">
        <w:rPr>
          <w:rFonts w:ascii="Arial" w:hAnsi="Arial" w:cs="Arial"/>
          <w:i/>
          <w:iCs/>
          <w:sz w:val="20"/>
        </w:rPr>
        <w:t>International Journal of Plant Protection</w:t>
      </w:r>
      <w:r w:rsidRPr="006B35A7">
        <w:rPr>
          <w:rFonts w:ascii="Arial" w:hAnsi="Arial" w:cs="Arial"/>
          <w:sz w:val="20"/>
        </w:rPr>
        <w:t xml:space="preserve">. </w:t>
      </w:r>
    </w:p>
    <w:p w14:paraId="558B6D76" w14:textId="77777777" w:rsidR="00522003" w:rsidRPr="00522003" w:rsidRDefault="006B35A7" w:rsidP="00522003">
      <w:pPr>
        <w:pStyle w:val="ListParagraph"/>
        <w:numPr>
          <w:ilvl w:val="0"/>
          <w:numId w:val="34"/>
        </w:numPr>
        <w:spacing w:before="120" w:after="120" w:line="360" w:lineRule="auto"/>
        <w:ind w:left="360"/>
        <w:jc w:val="both"/>
        <w:rPr>
          <w:rFonts w:ascii="Arial" w:hAnsi="Arial" w:cs="Arial"/>
          <w:sz w:val="20"/>
        </w:rPr>
      </w:pPr>
      <w:r w:rsidRPr="00522003">
        <w:rPr>
          <w:rFonts w:ascii="Arial" w:hAnsi="Arial" w:cs="Arial"/>
          <w:sz w:val="20"/>
        </w:rPr>
        <w:t xml:space="preserve">Muljowati, J &amp; Hikam, A. R. (2023). Evaluation of several fungicides on mycelial growth and conidial germination of </w:t>
      </w:r>
      <w:r w:rsidRPr="00522003">
        <w:rPr>
          <w:rFonts w:ascii="Arial" w:hAnsi="Arial" w:cs="Arial"/>
          <w:i/>
          <w:sz w:val="20"/>
        </w:rPr>
        <w:t>Alternaria species</w:t>
      </w:r>
      <w:r w:rsidRPr="00522003">
        <w:rPr>
          <w:rFonts w:ascii="Arial" w:hAnsi="Arial" w:cs="Arial"/>
          <w:sz w:val="20"/>
        </w:rPr>
        <w:t xml:space="preserve"> causing leaf spots in sunflowers under </w:t>
      </w:r>
      <w:r w:rsidRPr="00522003">
        <w:rPr>
          <w:rFonts w:ascii="Arial" w:hAnsi="Arial" w:cs="Arial"/>
          <w:i/>
          <w:iCs/>
          <w:sz w:val="20"/>
        </w:rPr>
        <w:t>in vitro</w:t>
      </w:r>
      <w:r w:rsidRPr="00522003">
        <w:rPr>
          <w:rFonts w:ascii="Arial" w:hAnsi="Arial" w:cs="Arial"/>
          <w:sz w:val="20"/>
        </w:rPr>
        <w:t xml:space="preserve"> conditions</w:t>
      </w:r>
      <w:r w:rsidRPr="00522003">
        <w:rPr>
          <w:rFonts w:ascii="Arial" w:hAnsi="Arial" w:cs="Arial"/>
          <w:i/>
          <w:iCs/>
          <w:sz w:val="20"/>
        </w:rPr>
        <w:t>. Asian</w:t>
      </w:r>
      <w:r w:rsidRPr="00522003">
        <w:rPr>
          <w:rFonts w:ascii="Arial" w:hAnsi="Arial" w:cs="Arial"/>
          <w:sz w:val="20"/>
        </w:rPr>
        <w:t xml:space="preserve"> </w:t>
      </w:r>
      <w:r w:rsidRPr="00522003">
        <w:rPr>
          <w:rFonts w:ascii="Arial" w:hAnsi="Arial" w:cs="Arial"/>
          <w:i/>
          <w:sz w:val="20"/>
        </w:rPr>
        <w:t>Journal of Agriculture</w:t>
      </w:r>
      <w:r w:rsidRPr="00522003">
        <w:rPr>
          <w:rFonts w:ascii="Arial" w:hAnsi="Arial" w:cs="Arial"/>
          <w:sz w:val="20"/>
        </w:rPr>
        <w:t xml:space="preserve"> Volume 7, Number 1, June; E-ISSN, 2580-4537. </w:t>
      </w:r>
    </w:p>
    <w:p w14:paraId="41015B8D" w14:textId="3824D9DA" w:rsidR="00A457BD" w:rsidRPr="00522003" w:rsidRDefault="00522003" w:rsidP="00522003">
      <w:pPr>
        <w:pStyle w:val="ListParagraph"/>
        <w:numPr>
          <w:ilvl w:val="0"/>
          <w:numId w:val="34"/>
        </w:numPr>
        <w:spacing w:before="120" w:after="120" w:line="360" w:lineRule="auto"/>
        <w:ind w:left="360"/>
        <w:jc w:val="both"/>
        <w:rPr>
          <w:rFonts w:ascii="Arial" w:hAnsi="Arial" w:cs="Arial"/>
          <w:sz w:val="20"/>
        </w:rPr>
      </w:pPr>
      <w:r w:rsidRPr="00522003">
        <w:rPr>
          <w:rFonts w:ascii="Arial" w:hAnsi="Arial" w:cs="Arial"/>
          <w:sz w:val="20"/>
        </w:rPr>
        <w:t xml:space="preserve">Karthikeyan, R., Kumar, S., Prasad, R. &amp; Singh, M. (2021) </w:t>
      </w:r>
      <w:r w:rsidRPr="00522003">
        <w:rPr>
          <w:rFonts w:ascii="Arial" w:hAnsi="Arial" w:cs="Arial"/>
          <w:i/>
          <w:sz w:val="20"/>
        </w:rPr>
        <w:t>In vitro</w:t>
      </w:r>
      <w:r w:rsidRPr="00522003">
        <w:rPr>
          <w:rFonts w:ascii="Arial" w:hAnsi="Arial" w:cs="Arial"/>
          <w:sz w:val="20"/>
        </w:rPr>
        <w:t xml:space="preserve"> evaluation of fungicides and botanicals against </w:t>
      </w:r>
      <w:r w:rsidRPr="00522003">
        <w:rPr>
          <w:rFonts w:ascii="Arial" w:hAnsi="Arial" w:cs="Arial"/>
          <w:i/>
          <w:sz w:val="20"/>
        </w:rPr>
        <w:t>Alternaria brassicae</w:t>
      </w:r>
      <w:r w:rsidRPr="00522003">
        <w:rPr>
          <w:rFonts w:ascii="Arial" w:hAnsi="Arial" w:cs="Arial"/>
          <w:sz w:val="20"/>
        </w:rPr>
        <w:t xml:space="preserve"> causing leaf blight of mustard. </w:t>
      </w:r>
      <w:r w:rsidRPr="00522003">
        <w:rPr>
          <w:rFonts w:ascii="Arial" w:hAnsi="Arial" w:cs="Arial"/>
          <w:i/>
          <w:sz w:val="20"/>
        </w:rPr>
        <w:t>International Journal of Plant Pathology and Microbiology</w:t>
      </w:r>
      <w:r w:rsidRPr="00522003">
        <w:rPr>
          <w:rFonts w:ascii="Arial" w:hAnsi="Arial" w:cs="Arial"/>
          <w:sz w:val="20"/>
        </w:rPr>
        <w:t>. 1(1), 16-19</w:t>
      </w:r>
      <w:r>
        <w:t>.</w:t>
      </w:r>
    </w:p>
    <w:p w14:paraId="179555A8" w14:textId="77777777" w:rsidR="00790ADA" w:rsidRPr="00B31FBC" w:rsidRDefault="00790ADA" w:rsidP="00441B6F">
      <w:pPr>
        <w:pStyle w:val="ReferHead"/>
        <w:spacing w:after="0"/>
        <w:jc w:val="both"/>
        <w:rPr>
          <w:rFonts w:ascii="Arial" w:hAnsi="Arial" w:cs="Arial"/>
          <w:b w:val="0"/>
          <w:bCs/>
          <w:sz w:val="20"/>
        </w:rPr>
      </w:pPr>
    </w:p>
    <w:p w14:paraId="5703C3AE" w14:textId="77777777" w:rsidR="00B31FBC" w:rsidRPr="00B31FBC" w:rsidRDefault="00B31FBC" w:rsidP="00441B6F">
      <w:pPr>
        <w:pStyle w:val="Body"/>
        <w:spacing w:after="0"/>
        <w:rPr>
          <w:rFonts w:ascii="Arial" w:hAnsi="Arial" w:cs="Arial"/>
        </w:rPr>
      </w:pPr>
    </w:p>
    <w:p w14:paraId="4676C626" w14:textId="30C95630" w:rsidR="00B01FCD" w:rsidRPr="00FB3A86" w:rsidRDefault="00B01FCD" w:rsidP="00441B6F">
      <w:pPr>
        <w:pStyle w:val="Appendix"/>
        <w:spacing w:after="0"/>
        <w:jc w:val="both"/>
        <w:rPr>
          <w:rFonts w:ascii="Arial" w:hAnsi="Arial" w:cs="Arial"/>
          <w:b w:val="0"/>
        </w:rPr>
      </w:pPr>
    </w:p>
    <w:sectPr w:rsidR="00B01FCD" w:rsidRPr="00FB3A86" w:rsidSect="00FF418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B84DA" w14:textId="77777777" w:rsidR="00796938" w:rsidRDefault="00796938" w:rsidP="00C37E61">
      <w:r>
        <w:separator/>
      </w:r>
    </w:p>
  </w:endnote>
  <w:endnote w:type="continuationSeparator" w:id="0">
    <w:p w14:paraId="2BF46ABC" w14:textId="77777777" w:rsidR="00796938" w:rsidRDefault="007969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6D6D" w14:textId="77777777" w:rsidR="00F25C43" w:rsidRDefault="00F25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37C4" w14:textId="77777777" w:rsidR="00B31FBC" w:rsidRPr="00C37E61" w:rsidRDefault="00B31FB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04D95" w14:textId="77777777" w:rsidR="00F25C43" w:rsidRDefault="00F25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12A2" w14:textId="77777777" w:rsidR="00796938" w:rsidRDefault="00796938" w:rsidP="00C37E61">
      <w:r>
        <w:separator/>
      </w:r>
    </w:p>
  </w:footnote>
  <w:footnote w:type="continuationSeparator" w:id="0">
    <w:p w14:paraId="17F7FE0A" w14:textId="77777777" w:rsidR="00796938" w:rsidRDefault="007969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BC9A" w14:textId="01CBDA3A" w:rsidR="00F25C43" w:rsidRDefault="00F25C43">
    <w:pPr>
      <w:pStyle w:val="Header"/>
    </w:pPr>
    <w:r>
      <w:rPr>
        <w:noProof/>
      </w:rPr>
      <w:pict w14:anchorId="76284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9823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40A38" w14:textId="5B709CB1" w:rsidR="00F25C43" w:rsidRDefault="00F25C43">
    <w:pPr>
      <w:pStyle w:val="Header"/>
    </w:pPr>
    <w:r>
      <w:rPr>
        <w:noProof/>
      </w:rPr>
      <w:pict w14:anchorId="7C90D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9823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6EA5C" w14:textId="25A4361F" w:rsidR="00F25C43" w:rsidRDefault="00F25C43">
    <w:pPr>
      <w:pStyle w:val="Header"/>
    </w:pPr>
    <w:r>
      <w:rPr>
        <w:noProof/>
      </w:rPr>
      <w:pict w14:anchorId="346BC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98234"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BAE1DF2"/>
    <w:multiLevelType w:val="hybridMultilevel"/>
    <w:tmpl w:val="11EAB1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D6749FB"/>
    <w:multiLevelType w:val="hybridMultilevel"/>
    <w:tmpl w:val="D808578C"/>
    <w:lvl w:ilvl="0" w:tplc="8620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1"/>
  </w:num>
  <w:num w:numId="22">
    <w:abstractNumId w:val="16"/>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7"/>
  </w:num>
  <w:num w:numId="32">
    <w:abstractNumId w:val="14"/>
  </w:num>
  <w:num w:numId="33">
    <w:abstractNumId w:val="8"/>
  </w:num>
  <w:num w:numId="34">
    <w:abstractNumId w:val="2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4D9B"/>
    <w:rsid w:val="0004579C"/>
    <w:rsid w:val="00084578"/>
    <w:rsid w:val="000A47FA"/>
    <w:rsid w:val="000A51A6"/>
    <w:rsid w:val="000A5833"/>
    <w:rsid w:val="000A65D3"/>
    <w:rsid w:val="000B1E33"/>
    <w:rsid w:val="000D689F"/>
    <w:rsid w:val="000E1607"/>
    <w:rsid w:val="000E7B7B"/>
    <w:rsid w:val="000E7D62"/>
    <w:rsid w:val="000F255E"/>
    <w:rsid w:val="00103357"/>
    <w:rsid w:val="0010728A"/>
    <w:rsid w:val="00123C9F"/>
    <w:rsid w:val="00126190"/>
    <w:rsid w:val="00130F17"/>
    <w:rsid w:val="001320BF"/>
    <w:rsid w:val="001355F1"/>
    <w:rsid w:val="00163BC4"/>
    <w:rsid w:val="001836B2"/>
    <w:rsid w:val="0018551D"/>
    <w:rsid w:val="00191062"/>
    <w:rsid w:val="00192B72"/>
    <w:rsid w:val="001A28DE"/>
    <w:rsid w:val="001A29D8"/>
    <w:rsid w:val="001A5CAA"/>
    <w:rsid w:val="001B0427"/>
    <w:rsid w:val="001C6B66"/>
    <w:rsid w:val="001D3A51"/>
    <w:rsid w:val="001E10D2"/>
    <w:rsid w:val="001E25B4"/>
    <w:rsid w:val="001E44FE"/>
    <w:rsid w:val="00200595"/>
    <w:rsid w:val="00204835"/>
    <w:rsid w:val="00211D86"/>
    <w:rsid w:val="00231920"/>
    <w:rsid w:val="0023195C"/>
    <w:rsid w:val="0024282C"/>
    <w:rsid w:val="002460DC"/>
    <w:rsid w:val="00250985"/>
    <w:rsid w:val="002556F6"/>
    <w:rsid w:val="00283105"/>
    <w:rsid w:val="00284C4C"/>
    <w:rsid w:val="00287E68"/>
    <w:rsid w:val="00296529"/>
    <w:rsid w:val="002B27FB"/>
    <w:rsid w:val="002B685A"/>
    <w:rsid w:val="002C57D2"/>
    <w:rsid w:val="002D7338"/>
    <w:rsid w:val="002E0D56"/>
    <w:rsid w:val="00315186"/>
    <w:rsid w:val="0033343E"/>
    <w:rsid w:val="003512C2"/>
    <w:rsid w:val="00371FB6"/>
    <w:rsid w:val="003763C1"/>
    <w:rsid w:val="00376BBE"/>
    <w:rsid w:val="0039224F"/>
    <w:rsid w:val="003A43A4"/>
    <w:rsid w:val="003A7242"/>
    <w:rsid w:val="003A7E18"/>
    <w:rsid w:val="003C4C86"/>
    <w:rsid w:val="003C6258"/>
    <w:rsid w:val="003E2904"/>
    <w:rsid w:val="00401927"/>
    <w:rsid w:val="0041027F"/>
    <w:rsid w:val="00412008"/>
    <w:rsid w:val="00412475"/>
    <w:rsid w:val="00423789"/>
    <w:rsid w:val="00440F43"/>
    <w:rsid w:val="00441B6F"/>
    <w:rsid w:val="00446221"/>
    <w:rsid w:val="00450E62"/>
    <w:rsid w:val="004539DB"/>
    <w:rsid w:val="00463AD9"/>
    <w:rsid w:val="00471A80"/>
    <w:rsid w:val="004949F8"/>
    <w:rsid w:val="004C50EF"/>
    <w:rsid w:val="004D305E"/>
    <w:rsid w:val="004D327D"/>
    <w:rsid w:val="004D4277"/>
    <w:rsid w:val="00502516"/>
    <w:rsid w:val="00505F06"/>
    <w:rsid w:val="00506828"/>
    <w:rsid w:val="00522003"/>
    <w:rsid w:val="005271EB"/>
    <w:rsid w:val="00530058"/>
    <w:rsid w:val="0053056E"/>
    <w:rsid w:val="0053283E"/>
    <w:rsid w:val="005342B5"/>
    <w:rsid w:val="00554FDA"/>
    <w:rsid w:val="0056672D"/>
    <w:rsid w:val="005C784C"/>
    <w:rsid w:val="005D17F6"/>
    <w:rsid w:val="005E5539"/>
    <w:rsid w:val="005F0F3D"/>
    <w:rsid w:val="005F5025"/>
    <w:rsid w:val="00602BF5"/>
    <w:rsid w:val="00617FDD"/>
    <w:rsid w:val="00622E1F"/>
    <w:rsid w:val="0063075B"/>
    <w:rsid w:val="00633614"/>
    <w:rsid w:val="00633F68"/>
    <w:rsid w:val="00636EB2"/>
    <w:rsid w:val="006375B8"/>
    <w:rsid w:val="00643081"/>
    <w:rsid w:val="006608DB"/>
    <w:rsid w:val="00664F64"/>
    <w:rsid w:val="0066510A"/>
    <w:rsid w:val="00671EF0"/>
    <w:rsid w:val="00673F9F"/>
    <w:rsid w:val="00686953"/>
    <w:rsid w:val="00687DEA"/>
    <w:rsid w:val="00687E67"/>
    <w:rsid w:val="006967F7"/>
    <w:rsid w:val="006A250C"/>
    <w:rsid w:val="006B1172"/>
    <w:rsid w:val="006B21D3"/>
    <w:rsid w:val="006B35A7"/>
    <w:rsid w:val="006B57D0"/>
    <w:rsid w:val="006D30FF"/>
    <w:rsid w:val="006D67D8"/>
    <w:rsid w:val="006D6940"/>
    <w:rsid w:val="006E4EAB"/>
    <w:rsid w:val="006F11EC"/>
    <w:rsid w:val="006F11FD"/>
    <w:rsid w:val="0070082C"/>
    <w:rsid w:val="007024A0"/>
    <w:rsid w:val="007237D8"/>
    <w:rsid w:val="007369E6"/>
    <w:rsid w:val="00746E59"/>
    <w:rsid w:val="00754C9A"/>
    <w:rsid w:val="0075599A"/>
    <w:rsid w:val="00761D52"/>
    <w:rsid w:val="0077749E"/>
    <w:rsid w:val="00790ADA"/>
    <w:rsid w:val="00796938"/>
    <w:rsid w:val="007C23E2"/>
    <w:rsid w:val="007D2288"/>
    <w:rsid w:val="007E088F"/>
    <w:rsid w:val="007E2FAA"/>
    <w:rsid w:val="007F7B32"/>
    <w:rsid w:val="00804BC2"/>
    <w:rsid w:val="00807C81"/>
    <w:rsid w:val="008110D8"/>
    <w:rsid w:val="0081431A"/>
    <w:rsid w:val="0083216F"/>
    <w:rsid w:val="00860000"/>
    <w:rsid w:val="00862419"/>
    <w:rsid w:val="00863BD3"/>
    <w:rsid w:val="008641ED"/>
    <w:rsid w:val="00866D66"/>
    <w:rsid w:val="008671C6"/>
    <w:rsid w:val="00875803"/>
    <w:rsid w:val="00877770"/>
    <w:rsid w:val="008B459E"/>
    <w:rsid w:val="008D5306"/>
    <w:rsid w:val="008E13AE"/>
    <w:rsid w:val="008E1506"/>
    <w:rsid w:val="008E3E14"/>
    <w:rsid w:val="008E710C"/>
    <w:rsid w:val="008F69D6"/>
    <w:rsid w:val="00902823"/>
    <w:rsid w:val="00915CA6"/>
    <w:rsid w:val="00927834"/>
    <w:rsid w:val="0094032B"/>
    <w:rsid w:val="009500A6"/>
    <w:rsid w:val="00957C18"/>
    <w:rsid w:val="009659BA"/>
    <w:rsid w:val="00983040"/>
    <w:rsid w:val="009B18D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7BD"/>
    <w:rsid w:val="00A51431"/>
    <w:rsid w:val="00A539AD"/>
    <w:rsid w:val="00A75C0C"/>
    <w:rsid w:val="00A94063"/>
    <w:rsid w:val="00AA6219"/>
    <w:rsid w:val="00AA74E0"/>
    <w:rsid w:val="00AA774B"/>
    <w:rsid w:val="00AB703F"/>
    <w:rsid w:val="00AC6BB8"/>
    <w:rsid w:val="00AE008F"/>
    <w:rsid w:val="00B01FCD"/>
    <w:rsid w:val="00B1776C"/>
    <w:rsid w:val="00B31FBC"/>
    <w:rsid w:val="00B52583"/>
    <w:rsid w:val="00B52896"/>
    <w:rsid w:val="00B667FF"/>
    <w:rsid w:val="00B77B61"/>
    <w:rsid w:val="00B83F91"/>
    <w:rsid w:val="00B95236"/>
    <w:rsid w:val="00B96BD9"/>
    <w:rsid w:val="00BA1B01"/>
    <w:rsid w:val="00BA2641"/>
    <w:rsid w:val="00BB37AA"/>
    <w:rsid w:val="00BB6037"/>
    <w:rsid w:val="00BC53A0"/>
    <w:rsid w:val="00BD4D35"/>
    <w:rsid w:val="00BE3500"/>
    <w:rsid w:val="00BE3618"/>
    <w:rsid w:val="00BE62AD"/>
    <w:rsid w:val="00BF121F"/>
    <w:rsid w:val="00BF1F80"/>
    <w:rsid w:val="00C13909"/>
    <w:rsid w:val="00C166EF"/>
    <w:rsid w:val="00C17EB0"/>
    <w:rsid w:val="00C27784"/>
    <w:rsid w:val="00C27B88"/>
    <w:rsid w:val="00C27F5F"/>
    <w:rsid w:val="00C30A0F"/>
    <w:rsid w:val="00C37E61"/>
    <w:rsid w:val="00C56306"/>
    <w:rsid w:val="00C70F1B"/>
    <w:rsid w:val="00C71A47"/>
    <w:rsid w:val="00C7464C"/>
    <w:rsid w:val="00C85588"/>
    <w:rsid w:val="00CD6755"/>
    <w:rsid w:val="00CD6856"/>
    <w:rsid w:val="00CE0089"/>
    <w:rsid w:val="00CE793C"/>
    <w:rsid w:val="00CF193C"/>
    <w:rsid w:val="00D173F1"/>
    <w:rsid w:val="00D717AC"/>
    <w:rsid w:val="00D74CB0"/>
    <w:rsid w:val="00D75768"/>
    <w:rsid w:val="00D8295D"/>
    <w:rsid w:val="00D94055"/>
    <w:rsid w:val="00DB354A"/>
    <w:rsid w:val="00DB7E3B"/>
    <w:rsid w:val="00DC2A65"/>
    <w:rsid w:val="00DE15F0"/>
    <w:rsid w:val="00DE5160"/>
    <w:rsid w:val="00DE5663"/>
    <w:rsid w:val="00DE78AA"/>
    <w:rsid w:val="00E053D0"/>
    <w:rsid w:val="00E12CCB"/>
    <w:rsid w:val="00E15994"/>
    <w:rsid w:val="00E3114E"/>
    <w:rsid w:val="00E31A70"/>
    <w:rsid w:val="00E320C7"/>
    <w:rsid w:val="00E35B02"/>
    <w:rsid w:val="00E50AB3"/>
    <w:rsid w:val="00E66496"/>
    <w:rsid w:val="00E66B35"/>
    <w:rsid w:val="00E66E10"/>
    <w:rsid w:val="00E769F6"/>
    <w:rsid w:val="00E8407C"/>
    <w:rsid w:val="00E84F3C"/>
    <w:rsid w:val="00E85C39"/>
    <w:rsid w:val="00EA012C"/>
    <w:rsid w:val="00EC3CC8"/>
    <w:rsid w:val="00EC6A55"/>
    <w:rsid w:val="00ED0288"/>
    <w:rsid w:val="00EE52CB"/>
    <w:rsid w:val="00EF581D"/>
    <w:rsid w:val="00EF7FD8"/>
    <w:rsid w:val="00F0055E"/>
    <w:rsid w:val="00F06F59"/>
    <w:rsid w:val="00F164F3"/>
    <w:rsid w:val="00F17988"/>
    <w:rsid w:val="00F25C43"/>
    <w:rsid w:val="00F37F82"/>
    <w:rsid w:val="00F469F0"/>
    <w:rsid w:val="00F53273"/>
    <w:rsid w:val="00F64C49"/>
    <w:rsid w:val="00F755E4"/>
    <w:rsid w:val="00F77D02"/>
    <w:rsid w:val="00FB3A86"/>
    <w:rsid w:val="00FB77F3"/>
    <w:rsid w:val="00FD08AA"/>
    <w:rsid w:val="00FD36C8"/>
    <w:rsid w:val="00FD7FFA"/>
    <w:rsid w:val="00FF4187"/>
    <w:rsid w:val="00FF697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057CD0"/>
  <w15:docId w15:val="{D251A38A-18CD-4CD9-9F39-8E0B61FB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paragraph" w:styleId="NoSpacing">
    <w:name w:val="No Spacing"/>
    <w:uiPriority w:val="1"/>
    <w:qFormat/>
    <w:rsid w:val="00F0055E"/>
    <w:rPr>
      <w:rFonts w:asciiTheme="minorHAnsi" w:eastAsiaTheme="minorHAnsi" w:hAnsiTheme="minorHAnsi" w:cstheme="minorBidi"/>
      <w:kern w:val="2"/>
      <w:sz w:val="22"/>
      <w:szCs w:val="22"/>
      <w:lang w:val="en-IN"/>
      <w14:ligatures w14:val="standardContextual"/>
    </w:rPr>
  </w:style>
  <w:style w:type="table" w:customStyle="1" w:styleId="TableGrid1">
    <w:name w:val="TableGrid1"/>
    <w:rsid w:val="00B667FF"/>
    <w:rPr>
      <w:rFonts w:asciiTheme="minorHAnsi"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table" w:customStyle="1" w:styleId="TableGrid10">
    <w:name w:val="Table Grid1"/>
    <w:basedOn w:val="TableNormal"/>
    <w:next w:val="TableGrid"/>
    <w:uiPriority w:val="39"/>
    <w:rsid w:val="00E50A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4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diastat.com/table/agriculture/season-wi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diastat.com/table/agriculture/season-wise"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Avg Col Dia (mm)</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0</c:v>
                </c:pt>
                <c:pt idx="1">
                  <c:v>25.83</c:v>
                </c:pt>
                <c:pt idx="2">
                  <c:v>30.5</c:v>
                </c:pt>
                <c:pt idx="3">
                  <c:v>0</c:v>
                </c:pt>
                <c:pt idx="4">
                  <c:v>39.83</c:v>
                </c:pt>
                <c:pt idx="5">
                  <c:v>33.17</c:v>
                </c:pt>
                <c:pt idx="6">
                  <c:v>90</c:v>
                </c:pt>
              </c:numCache>
            </c:numRef>
          </c:val>
          <c:extLst>
            <c:ext xmlns:c16="http://schemas.microsoft.com/office/drawing/2014/chart" uri="{C3380CC4-5D6E-409C-BE32-E72D297353CC}">
              <c16:uniqueId val="{00000000-0CA0-46C5-8C18-8C6F30F3EF23}"/>
            </c:ext>
          </c:extLst>
        </c:ser>
        <c:ser>
          <c:idx val="1"/>
          <c:order val="1"/>
          <c:tx>
            <c:strRef>
              <c:f>Sheet1!$C$1</c:f>
              <c:strCache>
                <c:ptCount val="1"/>
                <c:pt idx="0">
                  <c:v>Avg % Inhibition</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100</c:v>
                </c:pt>
                <c:pt idx="1">
                  <c:v>71.099999999999994</c:v>
                </c:pt>
                <c:pt idx="2">
                  <c:v>66.11</c:v>
                </c:pt>
                <c:pt idx="3">
                  <c:v>100</c:v>
                </c:pt>
                <c:pt idx="4">
                  <c:v>55.74</c:v>
                </c:pt>
                <c:pt idx="5">
                  <c:v>63.15</c:v>
                </c:pt>
                <c:pt idx="6">
                  <c:v>0</c:v>
                </c:pt>
              </c:numCache>
            </c:numRef>
          </c:val>
          <c:extLst>
            <c:ext xmlns:c16="http://schemas.microsoft.com/office/drawing/2014/chart" uri="{C3380CC4-5D6E-409C-BE32-E72D297353CC}">
              <c16:uniqueId val="{00000001-0CA0-46C5-8C18-8C6F30F3EF23}"/>
            </c:ext>
          </c:extLst>
        </c:ser>
        <c:ser>
          <c:idx val="2"/>
          <c:order val="2"/>
          <c:tx>
            <c:strRef>
              <c:f>Sheet1!$D$1</c:f>
              <c:strCache>
                <c:ptCount val="1"/>
                <c:pt idx="0">
                  <c:v>Column1</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numCache>
            </c:numRef>
          </c:val>
          <c:extLst>
            <c:ext xmlns:c16="http://schemas.microsoft.com/office/drawing/2014/chart" uri="{C3380CC4-5D6E-409C-BE32-E72D297353CC}">
              <c16:uniqueId val="{00000002-0CA0-46C5-8C18-8C6F30F3EF23}"/>
            </c:ext>
          </c:extLst>
        </c:ser>
        <c:dLbls>
          <c:showLegendKey val="0"/>
          <c:showVal val="0"/>
          <c:showCatName val="0"/>
          <c:showSerName val="0"/>
          <c:showPercent val="0"/>
          <c:showBubbleSize val="0"/>
        </c:dLbls>
        <c:gapWidth val="100"/>
        <c:overlap val="-24"/>
        <c:axId val="137385088"/>
        <c:axId val="137387008"/>
      </c:barChart>
      <c:catAx>
        <c:axId val="137385088"/>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7387008"/>
        <c:crosses val="autoZero"/>
        <c:auto val="1"/>
        <c:lblAlgn val="ctr"/>
        <c:lblOffset val="100"/>
        <c:noMultiLvlLbl val="0"/>
      </c:catAx>
      <c:valAx>
        <c:axId val="1373870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Col. Dia (mm) and % Inhibition</a:t>
                </a:r>
              </a:p>
            </c:rich>
          </c:tx>
          <c:overlay val="0"/>
          <c:spPr>
            <a:noFill/>
            <a:ln>
              <a:noFill/>
            </a:ln>
            <a:effectLst/>
          </c:spPr>
          <c:txPr>
            <a:bodyPr rot="-540000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738508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Avg Col Dia (mm)</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0</c:v>
                </c:pt>
                <c:pt idx="1">
                  <c:v>0</c:v>
                </c:pt>
                <c:pt idx="2">
                  <c:v>3.2</c:v>
                </c:pt>
                <c:pt idx="3">
                  <c:v>23</c:v>
                </c:pt>
                <c:pt idx="4">
                  <c:v>28.5</c:v>
                </c:pt>
                <c:pt idx="5">
                  <c:v>26</c:v>
                </c:pt>
                <c:pt idx="6">
                  <c:v>90</c:v>
                </c:pt>
              </c:numCache>
            </c:numRef>
          </c:val>
          <c:extLst>
            <c:ext xmlns:c16="http://schemas.microsoft.com/office/drawing/2014/chart" uri="{C3380CC4-5D6E-409C-BE32-E72D297353CC}">
              <c16:uniqueId val="{00000000-B3B4-4762-8272-740ABCB22E57}"/>
            </c:ext>
          </c:extLst>
        </c:ser>
        <c:ser>
          <c:idx val="1"/>
          <c:order val="1"/>
          <c:tx>
            <c:strRef>
              <c:f>Sheet1!$C$1</c:f>
              <c:strCache>
                <c:ptCount val="1"/>
                <c:pt idx="0">
                  <c:v>Avg % Inhibition</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100</c:v>
                </c:pt>
                <c:pt idx="1">
                  <c:v>100</c:v>
                </c:pt>
                <c:pt idx="2">
                  <c:v>96.64</c:v>
                </c:pt>
                <c:pt idx="3">
                  <c:v>74.45</c:v>
                </c:pt>
                <c:pt idx="4">
                  <c:v>68.34</c:v>
                </c:pt>
                <c:pt idx="5">
                  <c:v>71.11</c:v>
                </c:pt>
                <c:pt idx="6">
                  <c:v>0</c:v>
                </c:pt>
              </c:numCache>
            </c:numRef>
          </c:val>
          <c:extLst>
            <c:ext xmlns:c16="http://schemas.microsoft.com/office/drawing/2014/chart" uri="{C3380CC4-5D6E-409C-BE32-E72D297353CC}">
              <c16:uniqueId val="{00000001-B3B4-4762-8272-740ABCB22E57}"/>
            </c:ext>
          </c:extLst>
        </c:ser>
        <c:ser>
          <c:idx val="2"/>
          <c:order val="2"/>
          <c:tx>
            <c:strRef>
              <c:f>Sheet1!$D$1</c:f>
              <c:strCache>
                <c:ptCount val="1"/>
                <c:pt idx="0">
                  <c:v>Column1</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numCache>
            </c:numRef>
          </c:val>
          <c:extLst>
            <c:ext xmlns:c16="http://schemas.microsoft.com/office/drawing/2014/chart" uri="{C3380CC4-5D6E-409C-BE32-E72D297353CC}">
              <c16:uniqueId val="{00000002-B3B4-4762-8272-740ABCB22E57}"/>
            </c:ext>
          </c:extLst>
        </c:ser>
        <c:dLbls>
          <c:showLegendKey val="0"/>
          <c:showVal val="0"/>
          <c:showCatName val="0"/>
          <c:showSerName val="0"/>
          <c:showPercent val="0"/>
          <c:showBubbleSize val="0"/>
        </c:dLbls>
        <c:gapWidth val="100"/>
        <c:overlap val="-24"/>
        <c:axId val="137385088"/>
        <c:axId val="137387008"/>
      </c:barChart>
      <c:catAx>
        <c:axId val="137385088"/>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7387008"/>
        <c:crosses val="autoZero"/>
        <c:auto val="1"/>
        <c:lblAlgn val="ctr"/>
        <c:lblOffset val="100"/>
        <c:noMultiLvlLbl val="0"/>
      </c:catAx>
      <c:valAx>
        <c:axId val="1373870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Col. Dia (mm) and % Inhibition</a:t>
                </a:r>
              </a:p>
            </c:rich>
          </c:tx>
          <c:overlay val="0"/>
          <c:spPr>
            <a:noFill/>
            <a:ln>
              <a:noFill/>
            </a:ln>
            <a:effectLst/>
          </c:spPr>
          <c:txPr>
            <a:bodyPr rot="-540000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738508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1197"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kern="1200"/>
  </cs:chartArea>
  <cs:dataLabel>
    <cs:lnRef idx="0"/>
    <cs:fillRef idx="0"/>
    <cs:effectRef idx="0"/>
    <cs:fontRef idx="minor">
      <a:schemeClr val="tx2"/>
    </cs:fontRef>
    <cs:defRPr sz="1197"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1197"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2128"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1197"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1197"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1197"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kern="1200"/>
  </cs:chartArea>
  <cs:dataLabel>
    <cs:lnRef idx="0"/>
    <cs:fillRef idx="0"/>
    <cs:effectRef idx="0"/>
    <cs:fontRef idx="minor">
      <a:schemeClr val="tx2"/>
    </cs:fontRef>
    <cs:defRPr sz="1197"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1197"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2128"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1197"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1197"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7B38-B018-466E-B684-FBA1FA25C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334</TotalTime>
  <Pages>9</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19550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40</cp:revision>
  <cp:lastPrinted>1999-07-06T11:00:00Z</cp:lastPrinted>
  <dcterms:created xsi:type="dcterms:W3CDTF">2025-07-26T04:25:00Z</dcterms:created>
  <dcterms:modified xsi:type="dcterms:W3CDTF">2025-08-16T11:39:00Z</dcterms:modified>
</cp:coreProperties>
</file>