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75ADF" w14:textId="77777777" w:rsidR="00A06C2F" w:rsidRPr="00A06C2F" w:rsidRDefault="00A06C2F" w:rsidP="00A06C2F">
      <w:pPr>
        <w:pStyle w:val="Author"/>
        <w:rPr>
          <w:rFonts w:ascii="Arial" w:hAnsi="Arial" w:cs="Arial"/>
          <w:bCs/>
          <w:i/>
          <w:iCs/>
          <w:kern w:val="28"/>
          <w:sz w:val="18"/>
          <w:szCs w:val="18"/>
          <w:u w:val="single"/>
        </w:rPr>
      </w:pPr>
      <w:r w:rsidRPr="00A06C2F">
        <w:rPr>
          <w:rFonts w:ascii="Arial" w:hAnsi="Arial" w:cs="Arial"/>
          <w:bCs/>
          <w:i/>
          <w:iCs/>
          <w:kern w:val="28"/>
          <w:sz w:val="18"/>
          <w:szCs w:val="18"/>
          <w:u w:val="single"/>
        </w:rPr>
        <w:t>Original Research Article</w:t>
      </w:r>
    </w:p>
    <w:p w14:paraId="7FACE470" w14:textId="543ADD59" w:rsidR="00163BC4" w:rsidRPr="00163BC4" w:rsidRDefault="00D159AD" w:rsidP="00441B6F">
      <w:pPr>
        <w:pStyle w:val="Author"/>
        <w:spacing w:line="240" w:lineRule="auto"/>
        <w:rPr>
          <w:rFonts w:ascii="Arial" w:hAnsi="Arial" w:cs="Arial"/>
          <w:bCs/>
          <w:iCs/>
          <w:kern w:val="28"/>
          <w:sz w:val="36"/>
        </w:rPr>
      </w:pPr>
      <w:r w:rsidRPr="00D159AD">
        <w:rPr>
          <w:rFonts w:ascii="Arial" w:hAnsi="Arial" w:cs="Arial"/>
          <w:bCs/>
          <w:iCs/>
          <w:kern w:val="28"/>
          <w:sz w:val="36"/>
        </w:rPr>
        <w:t xml:space="preserve">Effect of Purification </w:t>
      </w:r>
      <w:bookmarkStart w:id="0" w:name="_Hlk206071266"/>
      <w:r w:rsidRPr="00D159AD">
        <w:rPr>
          <w:rFonts w:ascii="Arial" w:hAnsi="Arial" w:cs="Arial"/>
          <w:bCs/>
          <w:iCs/>
          <w:kern w:val="28"/>
          <w:sz w:val="36"/>
        </w:rPr>
        <w:t>Methods</w:t>
      </w:r>
      <w:bookmarkEnd w:id="0"/>
      <w:r w:rsidRPr="00D159AD">
        <w:rPr>
          <w:rFonts w:ascii="Arial" w:hAnsi="Arial" w:cs="Arial"/>
          <w:bCs/>
          <w:iCs/>
          <w:kern w:val="28"/>
          <w:sz w:val="36"/>
        </w:rPr>
        <w:t xml:space="preserve"> on Yield, Physicochemical </w:t>
      </w:r>
      <w:r>
        <w:rPr>
          <w:rFonts w:ascii="Arial" w:hAnsi="Arial" w:cs="Arial"/>
          <w:bCs/>
          <w:iCs/>
          <w:kern w:val="28"/>
          <w:sz w:val="36"/>
        </w:rPr>
        <w:t>a</w:t>
      </w:r>
      <w:r w:rsidRPr="00D159AD">
        <w:rPr>
          <w:rFonts w:ascii="Arial" w:hAnsi="Arial" w:cs="Arial"/>
          <w:bCs/>
          <w:iCs/>
          <w:kern w:val="28"/>
          <w:sz w:val="36"/>
        </w:rPr>
        <w:t xml:space="preserve">nd Functional Properties of Ivorian Cashew </w:t>
      </w:r>
      <w:r w:rsidR="00923B97">
        <w:rPr>
          <w:rFonts w:ascii="Arial" w:hAnsi="Arial" w:cs="Arial"/>
          <w:bCs/>
          <w:iCs/>
          <w:kern w:val="28"/>
          <w:sz w:val="36"/>
        </w:rPr>
        <w:t xml:space="preserve">Tree </w:t>
      </w:r>
      <w:r w:rsidRPr="00D159AD">
        <w:rPr>
          <w:rFonts w:ascii="Arial" w:hAnsi="Arial" w:cs="Arial"/>
          <w:bCs/>
          <w:iCs/>
          <w:kern w:val="28"/>
          <w:sz w:val="36"/>
        </w:rPr>
        <w:t>(</w:t>
      </w:r>
      <w:r w:rsidRPr="00D159AD">
        <w:rPr>
          <w:rFonts w:ascii="Arial" w:hAnsi="Arial" w:cs="Arial"/>
          <w:bCs/>
          <w:i/>
          <w:kern w:val="28"/>
          <w:sz w:val="36"/>
        </w:rPr>
        <w:t>Anacardium occidental</w:t>
      </w:r>
      <w:r w:rsidR="00923B97">
        <w:rPr>
          <w:rFonts w:ascii="Arial" w:hAnsi="Arial" w:cs="Arial"/>
          <w:bCs/>
          <w:i/>
          <w:kern w:val="28"/>
          <w:sz w:val="36"/>
        </w:rPr>
        <w:t>e</w:t>
      </w:r>
      <w:r w:rsidRPr="00D159AD">
        <w:rPr>
          <w:rFonts w:ascii="Arial" w:hAnsi="Arial" w:cs="Arial"/>
          <w:bCs/>
          <w:iCs/>
          <w:kern w:val="28"/>
          <w:sz w:val="36"/>
        </w:rPr>
        <w:t>) Gum</w:t>
      </w:r>
      <w:r w:rsidR="00231920">
        <w:rPr>
          <w:rFonts w:ascii="Arial" w:hAnsi="Arial" w:cs="Arial"/>
          <w:bCs/>
          <w:iCs/>
          <w:kern w:val="28"/>
          <w:sz w:val="36"/>
        </w:rPr>
        <w:t xml:space="preserve"> </w:t>
      </w:r>
    </w:p>
    <w:p w14:paraId="26C4878A" w14:textId="77777777" w:rsidR="00A258C3" w:rsidRPr="00790ADA" w:rsidRDefault="00A258C3" w:rsidP="00441B6F">
      <w:pPr>
        <w:pStyle w:val="Author"/>
        <w:spacing w:line="240" w:lineRule="auto"/>
        <w:jc w:val="both"/>
        <w:rPr>
          <w:rFonts w:ascii="Arial" w:hAnsi="Arial" w:cs="Arial"/>
          <w:sz w:val="36"/>
        </w:rPr>
      </w:pPr>
    </w:p>
    <w:p w14:paraId="1B4FB1D3" w14:textId="77777777" w:rsidR="005F2A75" w:rsidRPr="008B3323" w:rsidRDefault="005F2A75" w:rsidP="008B3323">
      <w:pPr>
        <w:pStyle w:val="Affiliation"/>
        <w:spacing w:after="0" w:line="240" w:lineRule="auto"/>
        <w:jc w:val="both"/>
        <w:rPr>
          <w:rFonts w:ascii="Arial" w:hAnsi="Arial" w:cs="Arial"/>
          <w:i/>
        </w:rPr>
      </w:pPr>
    </w:p>
    <w:p w14:paraId="10344535" w14:textId="77777777" w:rsidR="002C57D2" w:rsidRPr="00FB3A86" w:rsidRDefault="002C57D2" w:rsidP="00441B6F">
      <w:pPr>
        <w:pStyle w:val="Affiliation"/>
        <w:spacing w:after="0" w:line="240" w:lineRule="auto"/>
        <w:jc w:val="both"/>
        <w:rPr>
          <w:rFonts w:ascii="Arial" w:hAnsi="Arial" w:cs="Arial"/>
        </w:rPr>
      </w:pPr>
    </w:p>
    <w:p w14:paraId="404FBF52" w14:textId="18EB30B5" w:rsidR="00B01FCD" w:rsidRPr="00FB3A86" w:rsidRDefault="00BA50AF" w:rsidP="00441B6F">
      <w:pPr>
        <w:pStyle w:val="Copyright"/>
        <w:spacing w:after="0" w:line="240" w:lineRule="auto"/>
        <w:jc w:val="both"/>
        <w:rPr>
          <w:rFonts w:ascii="Arial" w:hAnsi="Arial" w:cs="Arial"/>
        </w:rPr>
        <w:sectPr w:rsidR="00B01FCD" w:rsidRPr="00FB3A86" w:rsidSect="00AB4E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7BAF71" wp14:editId="45318C96">
                <wp:extent cx="5303520" cy="635"/>
                <wp:effectExtent l="13335" t="18415" r="17145" b="10160"/>
                <wp:docPr id="4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2D4B04" id="_x0000_t32" coordsize="21600,21600" o:spt="32" o:oned="t" path="m,l21600,21600e" filled="f">
                <v:path arrowok="t" fillok="f" o:connecttype="none"/>
                <o:lock v:ext="edit" shapetype="t"/>
              </v:shapetype>
              <v:shape id="AutoShape 5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E6B880D" w14:textId="1D96E8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4F3D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5FC0C9" w14:textId="77777777" w:rsidTr="001E44FE">
        <w:tc>
          <w:tcPr>
            <w:tcW w:w="9576" w:type="dxa"/>
            <w:shd w:val="clear" w:color="auto" w:fill="F2F2F2"/>
          </w:tcPr>
          <w:p w14:paraId="12722657" w14:textId="7A358496" w:rsidR="008A5FD9" w:rsidRDefault="008A5FD9" w:rsidP="00441B6F">
            <w:pPr>
              <w:pStyle w:val="Body"/>
              <w:spacing w:after="0"/>
              <w:rPr>
                <w:rFonts w:ascii="Arial" w:eastAsia="Calibri" w:hAnsi="Arial" w:cs="Arial"/>
                <w:szCs w:val="22"/>
              </w:rPr>
            </w:pPr>
            <w:r w:rsidRPr="008A5FD9">
              <w:rPr>
                <w:rFonts w:ascii="Arial" w:eastAsia="Calibri" w:hAnsi="Arial" w:cs="Arial"/>
                <w:b/>
                <w:bCs/>
                <w:szCs w:val="22"/>
              </w:rPr>
              <w:t>Aims:</w:t>
            </w:r>
            <w:r>
              <w:rPr>
                <w:rFonts w:ascii="Arial" w:eastAsia="Calibri" w:hAnsi="Arial" w:cs="Arial"/>
                <w:szCs w:val="22"/>
              </w:rPr>
              <w:t xml:space="preserve"> </w:t>
            </w:r>
            <w:r w:rsidR="00E7332E" w:rsidRPr="00E7332E">
              <w:rPr>
                <w:rFonts w:ascii="Arial" w:eastAsia="Calibri" w:hAnsi="Arial" w:cs="Arial"/>
                <w:szCs w:val="22"/>
              </w:rPr>
              <w:t xml:space="preserve">Plant hydrocolloids, such as exudates from the </w:t>
            </w:r>
            <w:r w:rsidR="00E7332E" w:rsidRPr="008A5FD9">
              <w:rPr>
                <w:rFonts w:ascii="Arial" w:eastAsia="Calibri" w:hAnsi="Arial" w:cs="Arial"/>
                <w:i/>
                <w:iCs/>
                <w:szCs w:val="22"/>
              </w:rPr>
              <w:t>Anacardium occidental</w:t>
            </w:r>
            <w:r w:rsidR="00E7332E" w:rsidRPr="00E7332E">
              <w:rPr>
                <w:rFonts w:ascii="Arial" w:eastAsia="Calibri" w:hAnsi="Arial" w:cs="Arial"/>
                <w:szCs w:val="22"/>
              </w:rPr>
              <w:t xml:space="preserve"> </w:t>
            </w:r>
            <w:r w:rsidR="00E7332E">
              <w:rPr>
                <w:rFonts w:ascii="Arial" w:eastAsia="Calibri" w:hAnsi="Arial" w:cs="Arial"/>
                <w:szCs w:val="22"/>
              </w:rPr>
              <w:t xml:space="preserve">(cashew) </w:t>
            </w:r>
            <w:r w:rsidR="00E7332E" w:rsidRPr="00E7332E">
              <w:rPr>
                <w:rFonts w:ascii="Arial" w:eastAsia="Calibri" w:hAnsi="Arial" w:cs="Arial"/>
                <w:szCs w:val="22"/>
              </w:rPr>
              <w:t xml:space="preserve">tree, play an important role in food industry. However, prior to </w:t>
            </w:r>
            <w:proofErr w:type="spellStart"/>
            <w:r w:rsidR="00E7332E" w:rsidRPr="00E7332E">
              <w:rPr>
                <w:rFonts w:ascii="Arial" w:eastAsia="Calibri" w:hAnsi="Arial" w:cs="Arial"/>
                <w:szCs w:val="22"/>
              </w:rPr>
              <w:t>utilisation</w:t>
            </w:r>
            <w:proofErr w:type="spellEnd"/>
            <w:r w:rsidR="00E7332E" w:rsidRPr="00E7332E">
              <w:rPr>
                <w:rFonts w:ascii="Arial" w:eastAsia="Calibri" w:hAnsi="Arial" w:cs="Arial"/>
                <w:szCs w:val="22"/>
              </w:rPr>
              <w:t xml:space="preserve">, raw exudates must undergo a purification process, to yield a purified gum with optimal technological properties. </w:t>
            </w:r>
          </w:p>
          <w:p w14:paraId="26B29C9A" w14:textId="4EEC4980" w:rsidR="008A5FD9" w:rsidRDefault="008A5FD9" w:rsidP="00441B6F">
            <w:pPr>
              <w:pStyle w:val="Body"/>
              <w:spacing w:after="0"/>
              <w:rPr>
                <w:rFonts w:ascii="Arial" w:eastAsia="Calibri" w:hAnsi="Arial" w:cs="Arial"/>
                <w:szCs w:val="22"/>
              </w:rPr>
            </w:pPr>
            <w:r w:rsidRPr="008A5FD9">
              <w:rPr>
                <w:rFonts w:ascii="Arial" w:eastAsia="Calibri" w:hAnsi="Arial" w:cs="Arial"/>
                <w:b/>
                <w:bCs/>
                <w:szCs w:val="22"/>
              </w:rPr>
              <w:t>Methodology:</w:t>
            </w:r>
            <w:r>
              <w:rPr>
                <w:rFonts w:ascii="Arial" w:eastAsia="Calibri" w:hAnsi="Arial" w:cs="Arial"/>
                <w:szCs w:val="22"/>
              </w:rPr>
              <w:t xml:space="preserve"> </w:t>
            </w:r>
            <w:r w:rsidR="00E7332E" w:rsidRPr="00E7332E">
              <w:rPr>
                <w:rFonts w:ascii="Arial" w:eastAsia="Calibri" w:hAnsi="Arial" w:cs="Arial"/>
                <w:szCs w:val="22"/>
              </w:rPr>
              <w:t xml:space="preserve">In order to enhance the value of cashew gum exudate from Ivorian cashew plantations, the stem exudate was collected and purified. The present study therefore sought to investigate the effect of purification methods on the yield, </w:t>
            </w:r>
            <w:proofErr w:type="spellStart"/>
            <w:r w:rsidR="00E7332E" w:rsidRPr="00E7332E">
              <w:rPr>
                <w:rFonts w:ascii="Arial" w:eastAsia="Calibri" w:hAnsi="Arial" w:cs="Arial"/>
                <w:szCs w:val="22"/>
              </w:rPr>
              <w:t>physico</w:t>
            </w:r>
            <w:proofErr w:type="spellEnd"/>
            <w:r w:rsidR="00E7332E" w:rsidRPr="00E7332E">
              <w:rPr>
                <w:rFonts w:ascii="Arial" w:eastAsia="Calibri" w:hAnsi="Arial" w:cs="Arial"/>
                <w:szCs w:val="22"/>
              </w:rPr>
              <w:t>-chemical constituents, and functional properties of cashew tree gum exudates.</w:t>
            </w:r>
          </w:p>
          <w:p w14:paraId="02F42370" w14:textId="1AF09A41" w:rsidR="008A5FD9" w:rsidRPr="002C0176" w:rsidRDefault="008A5FD9" w:rsidP="00441B6F">
            <w:pPr>
              <w:pStyle w:val="Body"/>
              <w:spacing w:after="0"/>
              <w:rPr>
                <w:rFonts w:ascii="Arial" w:eastAsia="Calibri" w:hAnsi="Arial" w:cs="Arial"/>
                <w:szCs w:val="22"/>
              </w:rPr>
            </w:pPr>
            <w:r w:rsidRPr="008A5FD9">
              <w:rPr>
                <w:rFonts w:ascii="Arial" w:eastAsia="Calibri" w:hAnsi="Arial" w:cs="Arial"/>
                <w:b/>
                <w:bCs/>
                <w:szCs w:val="22"/>
              </w:rPr>
              <w:t>Place and Duration study:</w:t>
            </w:r>
            <w:r w:rsidR="002C0176">
              <w:rPr>
                <w:rFonts w:ascii="Arial" w:eastAsia="Calibri" w:hAnsi="Arial" w:cs="Arial"/>
                <w:b/>
                <w:bCs/>
                <w:szCs w:val="22"/>
              </w:rPr>
              <w:t xml:space="preserve"> </w:t>
            </w:r>
            <w:r w:rsidR="007A33B6" w:rsidRPr="007A33B6">
              <w:rPr>
                <w:rFonts w:ascii="Arial" w:eastAsia="Calibri" w:hAnsi="Arial" w:cs="Arial"/>
                <w:szCs w:val="22"/>
              </w:rPr>
              <w:t>Department of Agriculture, Fisheries Resources and Agro-Industries, University of San Pedro</w:t>
            </w:r>
            <w:r w:rsidR="00E7332E" w:rsidRPr="00E7332E">
              <w:rPr>
                <w:rFonts w:ascii="Arial" w:eastAsia="Calibri" w:hAnsi="Arial" w:cs="Arial"/>
                <w:szCs w:val="22"/>
              </w:rPr>
              <w:t>, Southern Côte d'Ivoire, 2025.</w:t>
            </w:r>
          </w:p>
          <w:p w14:paraId="599B4DB1" w14:textId="778C4E4F" w:rsidR="00E7332E" w:rsidRDefault="008A5FD9" w:rsidP="00441B6F">
            <w:pPr>
              <w:pStyle w:val="Body"/>
              <w:spacing w:after="0"/>
              <w:rPr>
                <w:rFonts w:ascii="Arial" w:eastAsia="Calibri" w:hAnsi="Arial" w:cs="Arial"/>
                <w:szCs w:val="22"/>
              </w:rPr>
            </w:pPr>
            <w:r w:rsidRPr="008A5FD9">
              <w:rPr>
                <w:rFonts w:ascii="Arial" w:eastAsia="Calibri" w:hAnsi="Arial" w:cs="Arial"/>
                <w:b/>
                <w:bCs/>
                <w:szCs w:val="22"/>
              </w:rPr>
              <w:t>Results:</w:t>
            </w:r>
            <w:r>
              <w:rPr>
                <w:rFonts w:ascii="Arial" w:eastAsia="Calibri" w:hAnsi="Arial" w:cs="Arial"/>
                <w:szCs w:val="22"/>
              </w:rPr>
              <w:t xml:space="preserve"> </w:t>
            </w:r>
            <w:r w:rsidR="00E7332E" w:rsidRPr="00E7332E">
              <w:rPr>
                <w:rFonts w:ascii="Arial" w:eastAsia="Calibri" w:hAnsi="Arial" w:cs="Arial"/>
                <w:szCs w:val="22"/>
              </w:rPr>
              <w:t xml:space="preserve">The results of the analysis of variance demonstrated that the yield, physicochemical and functional properties of the purified gums were influenced by the different purification reagents employed (ethanol, isopropanol, a combination of ethanol and isopropanol, and Fehling's solution). Gums purified with isopropanol exhibited a superior purification yield (82.16%), elevated ash content (2.01%), and predominant mineral composition, including magnesium (647.41%), calcium (615.23%), and iron (143.98%), along with optimal oil retention capacity (615.23 g/g) in refined palm oil. However, it was observed that gum obtained from Fehling's solution purification exhibited lower protein content (0.23%), higher carbohydrate levels (85.14%), galactose (70.57%), water solubility (94.61%), and water holding capacity (2.04 g/g). However, it was observed that the purifications did not result in the complete removal of the protein fraction. All purifications significantly improved the solubility and water-holding capacity of cashew gum (p ≤ 0.05), in contrast to the reduced oil-holding capacity of cashew gum. </w:t>
            </w:r>
          </w:p>
          <w:p w14:paraId="08F1A551" w14:textId="7ECD8C4D" w:rsidR="00505F06" w:rsidRPr="00BA1B01" w:rsidRDefault="008A5FD9" w:rsidP="00441B6F">
            <w:pPr>
              <w:pStyle w:val="Body"/>
              <w:spacing w:after="0"/>
              <w:rPr>
                <w:rFonts w:ascii="Arial" w:eastAsia="Calibri" w:hAnsi="Arial" w:cs="Arial"/>
                <w:szCs w:val="22"/>
              </w:rPr>
            </w:pPr>
            <w:r w:rsidRPr="008A5FD9">
              <w:rPr>
                <w:rFonts w:ascii="Arial" w:eastAsia="Calibri" w:hAnsi="Arial" w:cs="Arial"/>
                <w:b/>
                <w:bCs/>
                <w:szCs w:val="22"/>
              </w:rPr>
              <w:t>Conclusion:</w:t>
            </w:r>
            <w:r>
              <w:rPr>
                <w:rFonts w:ascii="Arial" w:eastAsia="Calibri" w:hAnsi="Arial" w:cs="Arial"/>
                <w:szCs w:val="22"/>
              </w:rPr>
              <w:t xml:space="preserve"> </w:t>
            </w:r>
            <w:r w:rsidR="00417DC1" w:rsidRPr="00417DC1">
              <w:rPr>
                <w:rFonts w:ascii="Arial" w:eastAsia="Calibri" w:hAnsi="Arial" w:cs="Arial"/>
                <w:szCs w:val="22"/>
              </w:rPr>
              <w:t>The precipitation method employing Fehling's solution (method D) has been demonstrated to yield a more purified cashew gum product with a reduced protein content. This method has been shown to be advantageous for cashew gum applications in emulsion stabilization.</w:t>
            </w:r>
          </w:p>
        </w:tc>
      </w:tr>
    </w:tbl>
    <w:p w14:paraId="2973A6E1" w14:textId="77777777" w:rsidR="00636EB2" w:rsidRDefault="00636EB2" w:rsidP="00441B6F">
      <w:pPr>
        <w:pStyle w:val="Body"/>
        <w:spacing w:after="0"/>
        <w:rPr>
          <w:rFonts w:ascii="Arial" w:hAnsi="Arial" w:cs="Arial"/>
          <w:i/>
        </w:rPr>
      </w:pPr>
    </w:p>
    <w:p w14:paraId="54D5C0A2" w14:textId="385F67C3" w:rsidR="00A24E7E" w:rsidRDefault="00A24E7E" w:rsidP="00B320C9">
      <w:pPr>
        <w:pStyle w:val="Body"/>
        <w:rPr>
          <w:rFonts w:ascii="Arial" w:hAnsi="Arial" w:cs="Arial"/>
          <w:i/>
        </w:rPr>
      </w:pPr>
      <w:r>
        <w:rPr>
          <w:rFonts w:ascii="Arial" w:hAnsi="Arial" w:cs="Arial"/>
          <w:i/>
        </w:rPr>
        <w:t xml:space="preserve">Keywords: </w:t>
      </w:r>
      <w:r w:rsidR="00B320C9" w:rsidRPr="00B320C9">
        <w:rPr>
          <w:rFonts w:ascii="Arial" w:hAnsi="Arial" w:cs="Arial"/>
          <w:i/>
        </w:rPr>
        <w:t>Purification;</w:t>
      </w:r>
      <w:r w:rsidR="008A5FD9" w:rsidRPr="008A5FD9">
        <w:t xml:space="preserve"> </w:t>
      </w:r>
      <w:r w:rsidR="008A5FD9" w:rsidRPr="008A5FD9">
        <w:rPr>
          <w:rFonts w:ascii="Arial" w:hAnsi="Arial" w:cs="Arial"/>
          <w:i/>
        </w:rPr>
        <w:t>Methods</w:t>
      </w:r>
      <w:r w:rsidR="008A5FD9">
        <w:rPr>
          <w:rFonts w:ascii="Arial" w:hAnsi="Arial" w:cs="Arial"/>
          <w:i/>
        </w:rPr>
        <w:t>;</w:t>
      </w:r>
      <w:r w:rsidR="00B320C9">
        <w:rPr>
          <w:rFonts w:ascii="Arial" w:hAnsi="Arial" w:cs="Arial"/>
          <w:i/>
        </w:rPr>
        <w:t xml:space="preserve"> </w:t>
      </w:r>
      <w:r w:rsidR="00B320C9" w:rsidRPr="00B320C9">
        <w:rPr>
          <w:rFonts w:ascii="Arial" w:hAnsi="Arial" w:cs="Arial"/>
          <w:i/>
        </w:rPr>
        <w:t>Cashew;</w:t>
      </w:r>
      <w:r w:rsidR="00B320C9">
        <w:rPr>
          <w:rFonts w:ascii="Arial" w:hAnsi="Arial" w:cs="Arial"/>
          <w:i/>
        </w:rPr>
        <w:t xml:space="preserve"> </w:t>
      </w:r>
      <w:r w:rsidR="00B320C9" w:rsidRPr="00B320C9">
        <w:rPr>
          <w:rFonts w:ascii="Arial" w:hAnsi="Arial" w:cs="Arial"/>
          <w:i/>
        </w:rPr>
        <w:t xml:space="preserve">Gum; </w:t>
      </w:r>
      <w:r w:rsidR="00D019F4" w:rsidRPr="00D019F4">
        <w:rPr>
          <w:rFonts w:ascii="Arial" w:hAnsi="Arial" w:cs="Arial"/>
          <w:i/>
        </w:rPr>
        <w:t>Functional Properties</w:t>
      </w:r>
      <w:r w:rsidR="00B320C9" w:rsidRPr="00B320C9">
        <w:rPr>
          <w:rFonts w:ascii="Arial" w:hAnsi="Arial" w:cs="Arial"/>
          <w:i/>
        </w:rPr>
        <w:t>.</w:t>
      </w:r>
    </w:p>
    <w:p w14:paraId="41CDDDA6" w14:textId="77777777" w:rsidR="00505F06" w:rsidRPr="00A24E7E" w:rsidRDefault="00505F06" w:rsidP="00441B6F">
      <w:pPr>
        <w:pStyle w:val="Body"/>
        <w:spacing w:after="0"/>
        <w:rPr>
          <w:rFonts w:ascii="Arial" w:hAnsi="Arial" w:cs="Arial"/>
          <w:i/>
        </w:rPr>
      </w:pPr>
    </w:p>
    <w:p w14:paraId="11BD0B17" w14:textId="6AD1E0F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5F2668" w14:textId="77777777" w:rsidR="00790ADA" w:rsidRPr="00FB3A86" w:rsidRDefault="00790ADA" w:rsidP="00441B6F">
      <w:pPr>
        <w:pStyle w:val="AbstHead"/>
        <w:spacing w:after="0"/>
        <w:jc w:val="both"/>
        <w:rPr>
          <w:rFonts w:ascii="Arial" w:hAnsi="Arial" w:cs="Arial"/>
        </w:rPr>
      </w:pPr>
    </w:p>
    <w:p w14:paraId="537970B3" w14:textId="4D5BA0F0" w:rsidR="0043107C" w:rsidRPr="0043107C" w:rsidRDefault="0043107C" w:rsidP="0043107C">
      <w:pPr>
        <w:ind w:firstLine="374"/>
        <w:jc w:val="both"/>
        <w:rPr>
          <w:rFonts w:ascii="Arial" w:hAnsi="Arial" w:cs="Arial"/>
        </w:rPr>
      </w:pPr>
      <w:r w:rsidRPr="0043107C">
        <w:rPr>
          <w:rFonts w:ascii="Arial" w:hAnsi="Arial" w:cs="Arial"/>
        </w:rPr>
        <w:t xml:space="preserve">Plant gums are bio-organic substances that are derived from the barks of trees. They are biodegradable and non-adverse complex polysaccharides that have been gaining usage in recent years due to a number of advantages they contribute to various applications </w:t>
      </w:r>
      <w:r w:rsidRPr="0043107C">
        <w:rPr>
          <w:rFonts w:ascii="Arial" w:hAnsi="Arial" w:cs="Arial"/>
          <w:color w:val="333333"/>
          <w:shd w:val="clear" w:color="auto" w:fill="FFFFFF"/>
        </w:rPr>
        <w:fldChar w:fldCharType="begin"/>
      </w:r>
      <w:r w:rsidR="00D9455A">
        <w:rPr>
          <w:rFonts w:ascii="Arial" w:hAnsi="Arial" w:cs="Arial"/>
          <w:color w:val="333333"/>
          <w:shd w:val="clear" w:color="auto" w:fill="FFFFFF"/>
        </w:rPr>
        <w:instrText xml:space="preserve"> ADDIN ZOTERO_ITEM CSL_CITATION {"citationID":"PnDiriXx","properties":{"formattedCitation":"(Shobana et al., 2022)","plainCitation":"(Shobana et al., 2022)","noteIndex":0},"citationItems":[{"id":"wp0Dc69N/sAFmQ1Ng","uris":["http://zotero.org/users/8588538/items/DDBFR8ZM"],"itemData":{"id":1210,"type":"article-journal","abstract":"Plant gums are bio-organic substances that are derived from the barks of trees. They are biodegradable and non-adverse complex polysaccharides that have been gaining usage in recent years due to a number of advantages they contribute to various applications. In this study, gum was collected from Moringa oleifera and Azadirachta indica trees, then dried and powdered. Characterizations of gum polysaccharides were performed using TLC, GC-MS, NMR, etc., and sugar molecules such as glucose and xylose were found to be present. Effects of the gums on Abelmoschus esculentus growth were observed through root growth, shoot growth, and biomass content. The exposure of the seeds to the plant gums led to bio stimulation in the growth of the plants. Poor quality soil was exposed to the gum polysaccharide, where the polysaccharide was found to improve soil quality, which was observed through soil analysis and SEM analysis of soil porosity and structure. Furthermore, the plant gums were also found to have bio-pesticidal activity against mealybugs, which showed certain interstitial damage evident through histopathological analysis.","container-title":"Molecules","DOI":"10.3390/molecules27123720","ISSN":"1420-3049","issue":"12","journalAbbreviation":"Molecules","note":"PMID: 35744846\nPMCID: PMC9230390","page":"3720","source":"PubMed Central","title":"Purification and Characterization of Gum-Derived Polysaccharides of Moringa oleifera and Azadirachta indica and Their Applications as Plant Stimulants and Bio-Pesticidal Agents","volume":"27","author":[{"family":"Shobana","given":"Nagarajan"},{"family":"Prakash","given":"Pandurangan"},{"family":"Samrot","given":"Antony V."},{"family":"Jane Cypriyana","given":"P. J."},{"family":"Kajal","given":"Purohit"},{"family":"Sathiyasree","given":"Mahendran"},{"family":"Saigeetha","given":"Subramanian"},{"family":"Stalin Dhas","given":"T."},{"family":"Alex Anand","given":"D."},{"family":"Sabesan","given":"Gokul Shankar"},{"family":"Muthuvenkatachalam","given":"Bala Sundaram"},{"family":"Mohanty","given":"Basanta Kumar"},{"family":"Visvanathan","given":"Sridevi"}],"issued":{"date-parts":[["2022",6,9]]}}}],"schema":"https://github.com/citation-style-language/schema/raw/master/csl-citation.json"} </w:instrText>
      </w:r>
      <w:r w:rsidRPr="0043107C">
        <w:rPr>
          <w:rFonts w:ascii="Arial" w:hAnsi="Arial" w:cs="Arial"/>
          <w:color w:val="333333"/>
          <w:shd w:val="clear" w:color="auto" w:fill="FFFFFF"/>
        </w:rPr>
        <w:fldChar w:fldCharType="separate"/>
      </w:r>
      <w:r w:rsidR="00D9455A" w:rsidRPr="00D9455A">
        <w:rPr>
          <w:rFonts w:ascii="Arial" w:hAnsi="Arial" w:cs="Arial"/>
        </w:rPr>
        <w:t>(Shobana et al., 2022)</w:t>
      </w:r>
      <w:r w:rsidRPr="0043107C">
        <w:rPr>
          <w:rFonts w:ascii="Arial" w:hAnsi="Arial" w:cs="Arial"/>
          <w:color w:val="333333"/>
          <w:shd w:val="clear" w:color="auto" w:fill="FFFFFF"/>
        </w:rPr>
        <w:fldChar w:fldCharType="end"/>
      </w:r>
      <w:r w:rsidRPr="0043107C">
        <w:rPr>
          <w:rFonts w:ascii="Arial" w:hAnsi="Arial" w:cs="Arial"/>
          <w:color w:val="333333"/>
          <w:shd w:val="clear" w:color="auto" w:fill="FFFFFF"/>
        </w:rPr>
        <w:t xml:space="preserve">. </w:t>
      </w:r>
      <w:r w:rsidRPr="0043107C">
        <w:rPr>
          <w:rFonts w:ascii="Arial" w:hAnsi="Arial" w:cs="Arial"/>
        </w:rPr>
        <w:t xml:space="preserve">They are mainly polysaccharides of plants that form viscous solutions when dispersed in hot or cold water. Natural gums, which are preferred to synthetic gums as </w:t>
      </w:r>
      <w:r w:rsidRPr="0043107C">
        <w:rPr>
          <w:rFonts w:ascii="Arial" w:hAnsi="Arial" w:cs="Arial"/>
        </w:rPr>
        <w:lastRenderedPageBreak/>
        <w:t xml:space="preserve">excipients in formulation systems, are commonly obtained from the exudation of certain gum plants </w:t>
      </w:r>
      <w:r w:rsidRPr="0043107C">
        <w:rPr>
          <w:rFonts w:ascii="Arial" w:hAnsi="Arial" w:cs="Arial"/>
        </w:rPr>
        <w:fldChar w:fldCharType="begin"/>
      </w:r>
      <w:r w:rsidR="00D9455A">
        <w:rPr>
          <w:rFonts w:ascii="Arial" w:hAnsi="Arial" w:cs="Arial"/>
        </w:rPr>
        <w:instrText xml:space="preserve"> ADDIN ZOTERO_ITEM CSL_CITATION {"citationID":"9L7WKCjc","properties":{"formattedCitation":"(Barak et al., 2020; Naka et al., 2016)","plainCitation":"(Barak et al., 2020; Naka et al., 2016)","noteIndex":0},"citationItems":[{"id":"wp0Dc69N/CEQ9bBUC","uris":["http://zotero.org/users/11140031/items/R5ZMU44K"],"itemData":{"id":247,"type":"article-journal","container-title":"Journal of the Science of Food and Agriculture","issue":"7","note":"publisher: Wiley Online Library","page":"2828–2835","source":"Google Scholar","title":"Exudate gums: chemistry, properties and food applications–a review","title-short":"Exudate gums","volume":"100","author":[{"family":"Barak","given":"Sheweta"},{"family":"Mudgil","given":"Deepak"},{"family":"Taneja","given":"Shelly"}],"issued":{"date-parts":[["2020"]]}}},{"id":"wp0Dc69N/PjORafNn","uris":["http://zotero.org/users/11140031/items/PAYDS4UG"],"itemData":{"id":275,"type":"article-journal","container-title":"Agric. Biol. JN Am","page":"107–115","source":"Google Scholar","title":"Some physico-chemical properties of cashew gum from cashew exudates and its use as clarifying agent of juice from cashew apple","volume":"7","author":[{"family":"Naka","given":"Touré"},{"family":"Martin","given":"Djè Kouakou"},{"family":"Soumaila","given":"Dabonné"},{"family":"Simplice","given":"Guehi Tagro"},{"family":"Patrice","given":"Kouamé Lucien"},{"family":"Abrogoua","given":"N."}],"issued":{"date-parts":[["2016"]]}}}],"schema":"https://github.com/citation-style-language/schema/raw/master/csl-citation.json"} </w:instrText>
      </w:r>
      <w:r w:rsidRPr="0043107C">
        <w:rPr>
          <w:rFonts w:ascii="Arial" w:hAnsi="Arial" w:cs="Arial"/>
        </w:rPr>
        <w:fldChar w:fldCharType="separate"/>
      </w:r>
      <w:r w:rsidR="00D9455A" w:rsidRPr="00D9455A">
        <w:rPr>
          <w:rFonts w:ascii="Arial" w:hAnsi="Arial" w:cs="Arial"/>
        </w:rPr>
        <w:t>(Barak et al., 2020; Naka et al., 2016)</w:t>
      </w:r>
      <w:r w:rsidRPr="0043107C">
        <w:rPr>
          <w:rFonts w:ascii="Arial" w:hAnsi="Arial" w:cs="Arial"/>
        </w:rPr>
        <w:fldChar w:fldCharType="end"/>
      </w:r>
      <w:r w:rsidRPr="0043107C">
        <w:rPr>
          <w:rFonts w:ascii="Arial" w:hAnsi="Arial" w:cs="Arial"/>
        </w:rPr>
        <w:t xml:space="preserve"> as a defense mechanism in response to lesions occurring mainly on the stem or due to unfavorable conditions such as drying of the cell walls, as a form of pathological gummosis </w:t>
      </w:r>
      <w:r w:rsidRPr="0043107C">
        <w:rPr>
          <w:rFonts w:ascii="Arial" w:hAnsi="Arial" w:cs="Arial"/>
        </w:rPr>
        <w:fldChar w:fldCharType="begin"/>
      </w:r>
      <w:r w:rsidR="00D9455A">
        <w:rPr>
          <w:rFonts w:ascii="Arial" w:hAnsi="Arial" w:cs="Arial"/>
        </w:rPr>
        <w:instrText xml:space="preserve"> ADDIN ZOTERO_ITEM CSL_CITATION {"citationID":"GyADpPbk","properties":{"formattedCitation":"(Amaral et al., 2022)","plainCitation":"(Amaral et al., 2022)","noteIndex":0},"citationItems":[{"id":"wp0Dc69N/5Z8HREHu","uris":["http://zotero.org/users/local/2JspP3fw/items/HQ7CFC7H"],"itemData":{"id":1729,"type":"article-journal","abstract":"Natural polysaccharides are structures composed of highly diversified biological macromolecules whose properties have been exploited by a diversity of industries. Until 2018, the polysaccharides market raised more than US $ 12 billion worldwide, while an annual growth forecast of 4.8% is expected by 2026. The food industry is largely responsible for the consumption of this plant-source material, produced by microbiological fermentation. Among the used polysaccharides, gums are hydrocolloids obtained from a variety of sources and in different forms, being composed of salts of calcium, potassium, magnesium and sugar monomers. Their non-toxicity, hydrophilicity, viscosity, biodegradability, biocompatibility and sustainable production are among their main advantages. Although Brazil is amongst the largest producers of cashew gum, reaching 50 tons per year, the polysaccharide is not being used to its full potential, in particular, with regard to its uses in pharmaceuticals. Cashew gum (CG), obtained from Anacardium occidentale L., caught the attention of the industry only in 1970; in 1990, its production started to grow. Within the Brazilian academy, the groups from the Federal University of Ceará and Piauí are devoting the most efforts to the study of cashew gum, with a total of 31 articles already published. The number of patents in the country for innovations containing cashew tree gum has reached 14, including the technological process for the purification of cashew tree gum, comparison of physical and chemical methods for physicochemical characterizations, and optimum purification methodology. This scenario opens a range of opportunities for the use of cashew gum, mainly in the development of new pharmaceutical products, with a special interest in nanoparticles.","container-title":"Micromachines","DOI":"10.3390/mi13071137","ISSN":"2072-666X","issue":"7","journalAbbreviation":"Micromachines (Basel)","note":"PMID: 35888956\nPMCID: PMC9315767","page":"1137","source":"PubMed Central","title":"Cashew Gum: A Review of Brazilian Patents and Pharmaceutical Applications with a Special Focus on Nanoparticles","title-short":"Cashew Gum","volume":"13","author":[{"family":"Amaral","given":"Ricardo G."},{"family":"Andrade","given":"Lucas R. Melo","non-dropping-particle":"de"},{"family":"Andrade","given":"Luciana N."},{"family":"Loureiro","given":"Kahynna C."},{"family":"Souto","given":"Eliana B."},{"family":"Severino","given":"Patrícia"}],"issued":{"date-parts":[["2022",7,18]]}}}],"schema":"https://github.com/citation-style-language/schema/raw/master/csl-citation.json"} </w:instrText>
      </w:r>
      <w:r w:rsidRPr="0043107C">
        <w:rPr>
          <w:rFonts w:ascii="Arial" w:hAnsi="Arial" w:cs="Arial"/>
        </w:rPr>
        <w:fldChar w:fldCharType="separate"/>
      </w:r>
      <w:r w:rsidR="00D9455A" w:rsidRPr="00D9455A">
        <w:rPr>
          <w:rFonts w:ascii="Arial" w:hAnsi="Arial" w:cs="Arial"/>
        </w:rPr>
        <w:t>(Amaral et al., 2022)</w:t>
      </w:r>
      <w:r w:rsidRPr="0043107C">
        <w:rPr>
          <w:rFonts w:ascii="Arial" w:hAnsi="Arial" w:cs="Arial"/>
        </w:rPr>
        <w:fldChar w:fldCharType="end"/>
      </w:r>
      <w:r w:rsidRPr="0043107C">
        <w:rPr>
          <w:rFonts w:ascii="Arial" w:hAnsi="Arial" w:cs="Arial"/>
        </w:rPr>
        <w:t xml:space="preserve">. Production of exudate gums requires incision or knocking on the tree, picking of gum (dried/semidried), sorting, packing, and shipping to gum processors. Gum processors receive crude exudate gum in large chunk form, which is then ground, sieved and purified via air to remove impurities </w:t>
      </w:r>
      <w:r w:rsidRPr="0043107C">
        <w:rPr>
          <w:rFonts w:ascii="Arial" w:hAnsi="Arial" w:cs="Arial"/>
        </w:rPr>
        <w:fldChar w:fldCharType="begin"/>
      </w:r>
      <w:r w:rsidR="00D9455A">
        <w:rPr>
          <w:rFonts w:ascii="Arial" w:hAnsi="Arial" w:cs="Arial"/>
        </w:rPr>
        <w:instrText xml:space="preserve"> ADDIN ZOTERO_ITEM CSL_CITATION {"citationID":"TZUbb6tD","properties":{"formattedCitation":"(Barak et al., 2020; Naka et al., 2016; SORO et al., 2017, 2018)","plainCitation":"(Barak et al., 2020; Naka et al., 2016; SORO et al., 2017, 2018)","noteIndex":0},"citationItems":[{"id":"wp0Dc69N/CEQ9bBUC","uris":["http://zotero.org/users/11140031/items/R5ZMU44K"],"itemData":{"id":247,"type":"article-journal","container-title":"Journal of the Science of Food and Agriculture","issue":"7","note":"publisher: Wiley Online Library","page":"2828–2835","source":"Google Scholar","title":"Exudate gums: chemistry, properties and food applications–a review","title-short":"Exudate gums","volume":"100","author":[{"family":"Barak","given":"Sheweta"},{"family":"Mudgil","given":"Deepak"},{"family":"Taneja","given":"Shelly"}],"issued":{"date-parts":[["2020"]]}}},{"id":"wp0Dc69N/PjORafNn","uris":["http://zotero.org/users/11140031/items/PAYDS4UG"],"itemData":{"id":275,"type":"article-journal","container-title":"Agric. Biol. JN Am","page":"107–115","source":"Google Scholar","title":"Some physico-chemical properties of cashew gum from cashew exudates and its use as clarifying agent of juice from cashew apple","volume":"7","author":[{"family":"Naka","given":"Touré"},{"family":"Martin","given":"Djè Kouakou"},{"family":"Soumaila","given":"Dabonné"},{"family":"Simplice","given":"Guehi Tagro"},{"family":"Patrice","given":"Kouamé Lucien"},{"family":"Abrogoua","given":"N."}],"issued":{"date-parts":[["2016"]]}}},{"id":"wp0Dc69N/x1xOZ3FI","uris":["http://zotero.org/users/11140031/items/7S8LI6NM"],"itemData":{"id":149,"type":"article-journal","abstract":"A Plackett Burman design (PBD) was used to pre-optimize the yield for cashew gum from Anacardium occidentale exudates by aqueous extraction. Various factors influencing cashew gum production were screened using the PBD. These factors included extracting temperature, agitation speed, water exudates ratio, extracting time, pH and average particle size. In this study, the analysis of variance (ANOVA) of our findings revealed that extracting temperature, agitation speed, water exudates ratio and extracting time found to be significant effects (p≤0.05) on cashew gum production. On the other hand, the average particle size had insignificant (p&gt;0.05) effect and slight effect for pH factor. The established model from ANOVA analysis observed to be meaningful (p≤0.05) and a coefficient of determination (R2) value of 0.992","container-title":"International Journal of Agriculture Innovation and Research","ISSN":"2319-1473","issue":"6","license":"Licence Creative Commons Attribution - Pas d’utilisation commerciale - Pas de modification 4.0 International (CC-BY-NC-ND)","page":"944-949","title":"Application of Statistical Experiment Design for Pre-optimization of Crude Gum from Cashew Tree (Anacardium occidentale L.) Exudates by Aqueous Extraction","volume":"5","author":[{"family":"SORO","given":"Pégnonsienrè L."},{"family":"DJE","given":"Kouakou M."},{"family":"DABONNE","given":"Soumaila"}],"issued":{"date-parts":[["2017",5,12]]}}},{"id":"wp0Dc69N/dSCqpng9","uris":["http://zotero.org/users/11140031/items/3348HMA7"],"itemData":{"id":294,"type":"article-newspaper","abstract":"Response surface methodology using a BoxBehnken Design (BBD) was used to optimize the extraction conditions of crude gum from cashew tree (Anacardium occidentale) exudates. The impact of four independent variables, extracting temperature, agitation speed, water to\nexudates ratio and extracting time in the process were\ninvestigated for their individual, interactive and quadratic\neffects. Response surface methodology (RSM), based on a three level, four factor Box-Behnken design (BBD), was employed to obtain the best possible combination of extracting\ntemperature (X1:30-90 °C), agitation speed (X2:0-300 rpm),\nwater to exudates ratio (X3:2-6 mL/g) and extracting time\n(X4:20-40min)for maximum crude gum extraction yield.The\nexperimental data were fitted to a second-order polynomial\nequation via multiple regression analysis and also examined\nwith the appropriate statistical methods (ANOVA). The\ncoefficient of determination (R2) and the adjusted coefficient\nof determination (Adjusted-R2) for the model was 0.9409 and\n0.8682 respectively. An optimum CCG extraction yield was\nobtained when the extracting temperature of 75 °C, agitation\nspeed of 225 rpm, water to exudates ratio of 6 mL/g and\nextracting time of 35 min. Under these conditions, validation\nexperiments were performed, and the mean extraction yield of\npolysaccharides was 90.76 %, which is well in close agreement\nwith the value predicted by the model 91.03%.","container-title":"International Research Journal of Engineering and Technology","ISSN":"2395-0056;  2395-0072","page":"813-822","title":"Optimization of Crude Gum Extraction from Cashew Tree (Anacardium occidentale L.) Exudates by Response Surface Methodology Using Box-Behnken Design","author":[{"family":"SORO","given":"Pégnonsienrè L."},{"family":"DJE","given":"Kouakou M."},{"family":"DABONNE","given":"Soumaila"}],"issued":{"date-parts":[["2018",9,1]]}}}],"schema":"https://github.com/citation-style-language/schema/raw/master/csl-citation.json"} </w:instrText>
      </w:r>
      <w:r w:rsidRPr="0043107C">
        <w:rPr>
          <w:rFonts w:ascii="Arial" w:hAnsi="Arial" w:cs="Arial"/>
        </w:rPr>
        <w:fldChar w:fldCharType="separate"/>
      </w:r>
      <w:r w:rsidR="00D9455A" w:rsidRPr="00D9455A">
        <w:rPr>
          <w:rFonts w:ascii="Arial" w:hAnsi="Arial" w:cs="Arial"/>
        </w:rPr>
        <w:t>(Barak et al., 2020; Naka et al., 2016; S</w:t>
      </w:r>
      <w:r w:rsidR="00445CBE">
        <w:rPr>
          <w:rFonts w:ascii="Arial" w:hAnsi="Arial" w:cs="Arial"/>
        </w:rPr>
        <w:t>oro</w:t>
      </w:r>
      <w:r w:rsidR="00D9455A" w:rsidRPr="00D9455A">
        <w:rPr>
          <w:rFonts w:ascii="Arial" w:hAnsi="Arial" w:cs="Arial"/>
        </w:rPr>
        <w:t xml:space="preserve"> et al., 2017, 2018)</w:t>
      </w:r>
      <w:r w:rsidRPr="0043107C">
        <w:rPr>
          <w:rFonts w:ascii="Arial" w:hAnsi="Arial" w:cs="Arial"/>
        </w:rPr>
        <w:fldChar w:fldCharType="end"/>
      </w:r>
      <w:r w:rsidRPr="0043107C">
        <w:rPr>
          <w:rFonts w:ascii="Arial" w:hAnsi="Arial" w:cs="Arial"/>
        </w:rPr>
        <w:t xml:space="preserve">. </w:t>
      </w:r>
      <w:r w:rsidR="00923B97" w:rsidRPr="0043107C">
        <w:rPr>
          <w:rFonts w:ascii="Arial" w:hAnsi="Arial" w:cs="Arial"/>
        </w:rPr>
        <w:t xml:space="preserve">Crude </w:t>
      </w:r>
      <w:r w:rsidRPr="0043107C">
        <w:rPr>
          <w:rFonts w:ascii="Arial" w:hAnsi="Arial" w:cs="Arial"/>
        </w:rPr>
        <w:t xml:space="preserve">Cashew Gum (CCG) is obtained from the exudates of the stem bark of </w:t>
      </w:r>
      <w:r w:rsidRPr="0043107C">
        <w:rPr>
          <w:rFonts w:ascii="Arial" w:hAnsi="Arial" w:cs="Arial"/>
          <w:i/>
        </w:rPr>
        <w:t>Anacardium occidentale</w:t>
      </w:r>
      <w:r w:rsidRPr="0043107C">
        <w:rPr>
          <w:rFonts w:ascii="Arial" w:hAnsi="Arial" w:cs="Arial"/>
        </w:rPr>
        <w:t xml:space="preserve"> L. (family: </w:t>
      </w:r>
      <w:proofErr w:type="spellStart"/>
      <w:r w:rsidRPr="0043107C">
        <w:rPr>
          <w:rFonts w:ascii="Arial" w:hAnsi="Arial" w:cs="Arial"/>
        </w:rPr>
        <w:t>Anacardiaceae</w:t>
      </w:r>
      <w:proofErr w:type="spellEnd"/>
      <w:r w:rsidRPr="0043107C">
        <w:rPr>
          <w:rFonts w:ascii="Arial" w:hAnsi="Arial" w:cs="Arial"/>
        </w:rPr>
        <w:t xml:space="preserve">), which is widely available in Côte d'Ivoire. the gum is a hydrophilic complex polysaccharide with high galactoses content </w:t>
      </w:r>
      <w:r w:rsidRPr="0043107C">
        <w:rPr>
          <w:rFonts w:ascii="Arial" w:hAnsi="Arial" w:cs="Arial"/>
        </w:rPr>
        <w:fldChar w:fldCharType="begin"/>
      </w:r>
      <w:r w:rsidR="00D9455A">
        <w:rPr>
          <w:rFonts w:ascii="Arial" w:hAnsi="Arial" w:cs="Arial"/>
        </w:rPr>
        <w:instrText xml:space="preserve"> ADDIN ZOTERO_ITEM CSL_CITATION {"citationID":"J3oIhFeM","properties":{"formattedCitation":"(Amaral et al., 2022)","plainCitation":"(Amaral et al., 2022)","noteIndex":0},"citationItems":[{"id":"wp0Dc69N/5Z8HREHu","uris":["http://zotero.org/users/local/2JspP3fw/items/HQ7CFC7H"],"itemData":{"id":1729,"type":"article-journal","abstract":"Natural polysaccharides are structures composed of highly diversified biological macromolecules whose properties have been exploited by a diversity of industries. Until 2018, the polysaccharides market raised more than US $ 12 billion worldwide, while an annual growth forecast of 4.8% is expected by 2026. The food industry is largely responsible for the consumption of this plant-source material, produced by microbiological fermentation. Among the used polysaccharides, gums are hydrocolloids obtained from a variety of sources and in different forms, being composed of salts of calcium, potassium, magnesium and sugar monomers. Their non-toxicity, hydrophilicity, viscosity, biodegradability, biocompatibility and sustainable production are among their main advantages. Although Brazil is amongst the largest producers of cashew gum, reaching 50 tons per year, the polysaccharide is not being used to its full potential, in particular, with regard to its uses in pharmaceuticals. Cashew gum (CG), obtained from Anacardium occidentale L., caught the attention of the industry only in 1970; in 1990, its production started to grow. Within the Brazilian academy, the groups from the Federal University of Ceará and Piauí are devoting the most efforts to the study of cashew gum, with a total of 31 articles already published. The number of patents in the country for innovations containing cashew tree gum has reached 14, including the technological process for the purification of cashew tree gum, comparison of physical and chemical methods for physicochemical characterizations, and optimum purification methodology. This scenario opens a range of opportunities for the use of cashew gum, mainly in the development of new pharmaceutical products, with a special interest in nanoparticles.","container-title":"Micromachines","DOI":"10.3390/mi13071137","ISSN":"2072-666X","issue":"7","journalAbbreviation":"Micromachines (Basel)","note":"PMID: 35888956\nPMCID: PMC9315767","page":"1137","source":"PubMed Central","title":"Cashew Gum: A Review of Brazilian Patents and Pharmaceutical Applications with a Special Focus on Nanoparticles","title-short":"Cashew Gum","volume":"13","author":[{"family":"Amaral","given":"Ricardo G."},{"family":"Andrade","given":"Lucas R. Melo","non-dropping-particle":"de"},{"family":"Andrade","given":"Luciana N."},{"family":"Loureiro","given":"Kahynna C."},{"family":"Souto","given":"Eliana B."},{"family":"Severino","given":"Patrícia"}],"issued":{"date-parts":[["2022",7,18]]}}}],"schema":"https://github.com/citation-style-language/schema/raw/master/csl-citation.json"} </w:instrText>
      </w:r>
      <w:r w:rsidRPr="0043107C">
        <w:rPr>
          <w:rFonts w:ascii="Arial" w:hAnsi="Arial" w:cs="Arial"/>
        </w:rPr>
        <w:fldChar w:fldCharType="separate"/>
      </w:r>
      <w:r w:rsidR="00D9455A" w:rsidRPr="00D9455A">
        <w:rPr>
          <w:rFonts w:ascii="Arial" w:hAnsi="Arial" w:cs="Arial"/>
        </w:rPr>
        <w:t>(Amaral et al., 2022)</w:t>
      </w:r>
      <w:r w:rsidRPr="0043107C">
        <w:rPr>
          <w:rFonts w:ascii="Arial" w:hAnsi="Arial" w:cs="Arial"/>
        </w:rPr>
        <w:fldChar w:fldCharType="end"/>
      </w:r>
      <w:r w:rsidRPr="0043107C">
        <w:rPr>
          <w:rFonts w:ascii="Arial" w:hAnsi="Arial" w:cs="Arial"/>
        </w:rPr>
        <w:t xml:space="preserve">. Cashew gum has been recommended as an alternative to standard acacia and </w:t>
      </w:r>
      <w:proofErr w:type="spellStart"/>
      <w:r w:rsidRPr="0043107C">
        <w:rPr>
          <w:rFonts w:ascii="Arial" w:hAnsi="Arial" w:cs="Arial"/>
        </w:rPr>
        <w:t>arabic</w:t>
      </w:r>
      <w:proofErr w:type="spellEnd"/>
      <w:r w:rsidRPr="0043107C">
        <w:rPr>
          <w:rFonts w:ascii="Arial" w:hAnsi="Arial" w:cs="Arial"/>
        </w:rPr>
        <w:t xml:space="preserve"> gum, due to its structural similarity </w:t>
      </w:r>
      <w:r w:rsidRPr="0043107C">
        <w:rPr>
          <w:rFonts w:ascii="Arial" w:hAnsi="Arial" w:cs="Arial"/>
        </w:rPr>
        <w:fldChar w:fldCharType="begin"/>
      </w:r>
      <w:r w:rsidR="00D9455A">
        <w:rPr>
          <w:rFonts w:ascii="Arial" w:hAnsi="Arial" w:cs="Arial"/>
        </w:rPr>
        <w:instrText xml:space="preserve"> ADDIN ZOTERO_ITEM CSL_CITATION {"citationID":"XX6NMHOo","properties":{"formattedCitation":"(Kumoro &amp; Budiyati, 2010)","plainCitation":"(Kumoro &amp; Budiyati, 2010)","noteIndex":0},"citationItems":[{"id":"wp0Dc69N/gmcsrq6l","uris":["http://zotero.org/users/local/2JspP3fw/items/THA4QLTF"],"itemData":{"id":1728,"type":"article-journal","abstract":"The objectives of this research were to extract cashew tree gum (CTG) from cashew tree exudates and to modify it into a new drying aid, which can act as a substitute for Arabic gum. The cost problem faced in the spray drying of fruit juices is expected to be solved with the use of modified CTG as a replacement of Arabic gum. The CTG was extracted and precipitated from its raw cashew exudates solution with the help of ethanol as antisolvent. Glycerine and wheat starch were the additives used in the modification of the gum. The good quality of modified CTG was obtained based on their close similarity to Arabic gum properties.","container-title":"Jurnal Rekayasa Proses","issue":"2","language":"en","page":"40-44","source":"Zotero","title":"Extraction and Modification of Gum from Cashew Tree Exudates Using Wheat Starch and Glycerine","volume":"4","author":[{"family":"Kumoro","given":"Andri Cahyo"},{"family":"Budiyati","given":"Diah Susetyo Retnowati dan Catarina Sri"}],"issued":{"date-parts":[["2010"]]}}}],"schema":"https://github.com/citation-style-language/schema/raw/master/csl-citation.json"} </w:instrText>
      </w:r>
      <w:r w:rsidRPr="0043107C">
        <w:rPr>
          <w:rFonts w:ascii="Arial" w:hAnsi="Arial" w:cs="Arial"/>
        </w:rPr>
        <w:fldChar w:fldCharType="separate"/>
      </w:r>
      <w:r w:rsidR="00D9455A" w:rsidRPr="00D9455A">
        <w:rPr>
          <w:rFonts w:ascii="Arial" w:hAnsi="Arial" w:cs="Arial"/>
        </w:rPr>
        <w:t>(Kumoro &amp; Budiyati, 2010)</w:t>
      </w:r>
      <w:r w:rsidRPr="0043107C">
        <w:rPr>
          <w:rFonts w:ascii="Arial" w:hAnsi="Arial" w:cs="Arial"/>
        </w:rPr>
        <w:fldChar w:fldCharType="end"/>
      </w:r>
      <w:r w:rsidRPr="0043107C">
        <w:rPr>
          <w:rFonts w:ascii="Arial" w:hAnsi="Arial" w:cs="Arial"/>
        </w:rPr>
        <w:t xml:space="preserve">. Several natural gums, such as cashew gum, are considered one of the most adaptable naturally occurring polysaccharides and have been used in the food and pharmaceutical industries as emulsifiers, disintegrants, excipients, and additives. They are present in many pharmaceutical products due to their biodegradability, biocompatibility, non-toxicity, hydrophilicity and high viscosity </w:t>
      </w:r>
      <w:r w:rsidRPr="0043107C">
        <w:rPr>
          <w:rFonts w:ascii="Arial" w:hAnsi="Arial" w:cs="Arial"/>
        </w:rPr>
        <w:fldChar w:fldCharType="begin"/>
      </w:r>
      <w:r w:rsidR="00D9455A">
        <w:rPr>
          <w:rFonts w:ascii="Arial" w:hAnsi="Arial" w:cs="Arial"/>
        </w:rPr>
        <w:instrText xml:space="preserve"> ADDIN ZOTERO_ITEM CSL_CITATION {"citationID":"4jd2p9n9","properties":{"formattedCitation":"(Amaral et al., 2022; Naka et al., 2016; Nayak et al., 2019; Porto &amp; Cristianini, 2014)","plainCitation":"(Amaral et al., 2022; Naka et al., 2016; Nayak et al., 2019; Porto &amp; Cristianini, 2014)","dontUpdate":true,"noteIndex":0},"citationItems":[{"id":"wp0Dc69N/5Z8HREHu","uris":["http://zotero.org/users/local/2JspP3fw/items/HQ7CFC7H"],"itemData":{"id":1729,"type":"article-journal","abstract":"Natural polysaccharides are structures composed of highly diversified biological macromolecules whose properties have been exploited by a diversity of industries. Until 2018, the polysaccharides market raised more than US $ 12 billion worldwide, while an annual growth forecast of 4.8% is expected by 2026. The food industry is largely responsible for the consumption of this plant-source material, produced by microbiological fermentation. Among the used polysaccharides, gums are hydrocolloids obtained from a variety of sources and in different forms, being composed of salts of calcium, potassium, magnesium and sugar monomers. Their non-toxicity, hydrophilicity, viscosity, biodegradability, biocompatibility and sustainable production are among their main advantages. Although Brazil is amongst the largest producers of cashew gum, reaching 50 tons per year, the polysaccharide is not being used to its full potential, in particular, with regard to its uses in pharmaceuticals. Cashew gum (CG), obtained from Anacardium occidentale L., caught the attention of the industry only in 1970; in 1990, its production started to grow. Within the Brazilian academy, the groups from the Federal University of Ceará and Piauí are devoting the most efforts to the study of cashew gum, with a total of 31 articles already published. The number of patents in the country for innovations containing cashew tree gum has reached 14, including the technological process for the purification of cashew tree gum, comparison of physical and chemical methods for physicochemical characterizations, and optimum purification methodology. This scenario opens a range of opportunities for the use of cashew gum, mainly in the development of new pharmaceutical products, with a special interest in nanoparticles.","container-title":"Micromachines","DOI":"10.3390/mi13071137","ISSN":"2072-666X","issue":"7","journalAbbreviation":"Micromachines (Basel)","note":"PMID: 35888956\nPMCID: PMC9315767","page":"1137","source":"PubMed Central","title":"Cashew Gum: A Review of Brazilian Patents and Pharmaceutical Applications with a Special Focus on Nanoparticles","title-short":"Cashew Gum","volume":"13","author":[{"family":"Amaral","given":"Ricardo G."},{"family":"Andrade","given":"Lucas R. Melo","non-dropping-particle":"de"},{"family":"Andrade","given":"Luciana N."},{"family":"Loureiro","given":"Kahynna C."},{"family":"Souto","given":"Eliana B."},{"family":"Severino","given":"Patrícia"}],"issued":{"date-parts":[["2022",7,18]]}}},{"id":"wp0Dc69N/PjORafNn","uris":["http://zotero.org/users/11140031/items/PAYDS4UG"],"itemData":{"id":275,"type":"article-journal","container-title":"Agric. Biol. JN Am","page":"107–115","source":"Google Scholar","title":"Some physico-chemical properties of cashew gum from cashew exudates and its use as clarifying agent of juice from cashew apple","volume":"7","author":[{"family":"Naka","given":"Touré"},{"family":"Martin","given":"Djè Kouakou"},{"family":"Soumaila","given":"Dabonné"},{"family":"Simplice","given":"Guehi Tagro"},{"family":"Patrice","given":"Kouamé Lucien"},{"family":"Abrogoua","given":"N."}],"issued":{"date-parts":[["2016"]]}}},{"id":"wp0Dc69N/1737MyJ7","uris":["http://zotero.org/users/11140031/items/8L93LGVL"],"itemData":{"id":256,"type":"chapter","container-title":"Natural polysaccharides in drug delivery and biomedical applications","page":"263–283","publisher":"Elsevier","source":"Google Scholar","title":"Cashew gum in drug delivery applications","author":[{"family":"Nayak","given":"Amit Kumar"},{"family":"Ansari","given":"Mohammad Tahir"},{"family":"Sami","given":"Farheen"},{"family":"Bera","given":"Hriday"},{"family":"Hasnain","given":"Md Saquib"}],"issued":{"date-parts":[["2019"]]}}},{"id":"wp0Dc69N/wlilSFZP","uris":["http://zotero.org/users/11140031/items/SYEL2CS8"],"itemData":{"id":296,"type":"article-journal","abstract":"Cashew tree gum (CG) has been mentioned as potential alternative to replace Arabic gum (AG) in food applications. This study aimed to comparatively investigate the emulsifying properties of CG and AG. Emulsions were evaluated regarding particle size distribution (PSD), zeta potential, electric conductivity, turbidity, optical and confocal microscopy, creaming and rheology. The emulsions prepared using CG and AG presented volume-weighted mean diameter (D4,3) of 2.9 and 1.6 μm, surface-weighted mean diameter (D3,2) of 2.3 and 1.5 μm and dispersion index of 1.4 and 0.8, respectively. The apparent viscosity of CG emulsions were lower than AG emulsions. Furthermore, emulsions with CG and AG presented zeta potential of 1.3 and −23.4 mV, cloudiness of 218 and 390 cm−1 and electrical conductivity of 0.22 and 0.20 mS/cm, respectively. Regarding to the emulsion stability, only from the fifth day of storage it was observed the rising of serum phase of both emulsifiers (CG and AG) indicating emulsion instability. Finally, it can be concluded that the cashew tree gum has good emulsifying properties in liquid emulsions being a promising ingredient to be used in beverage emulsions.","collection-title":"10th SLACA - Food Science Impact on Nutrition and Health","container-title":"LWT - Food Science and Technology","DOI":"10.1016/j.lwt.2014.03.033","ISSN":"0023-6438","issue":"2, Part 2","journalAbbreviation":"LWT - Food Science and Technology","language":"en","page":"1325-1331","source":"ScienceDirect","title":"Evaluation of cashew tree gum (Anacardium occidentale L.) emulsifying properties","volume":"59","author":[{"family":"Porto","given":"Bruna Castro"},{"family":"Cristianini","given":"Marcelo"}],"issued":{"date-parts":[["2014",12,1]]}}}],"schema":"https://github.com/citation-style-language/schema/raw/master/csl-citation.json"} </w:instrText>
      </w:r>
      <w:r w:rsidRPr="0043107C">
        <w:rPr>
          <w:rFonts w:ascii="Arial" w:hAnsi="Arial" w:cs="Arial"/>
        </w:rPr>
        <w:fldChar w:fldCharType="separate"/>
      </w:r>
      <w:r w:rsidRPr="0043107C">
        <w:rPr>
          <w:rFonts w:ascii="Arial" w:hAnsi="Arial" w:cs="Arial"/>
        </w:rPr>
        <w:t>(Amaral et al., 2022; Naka et al., 2016; Nayak et al., 2019)</w:t>
      </w:r>
      <w:r w:rsidRPr="0043107C">
        <w:rPr>
          <w:rFonts w:ascii="Arial" w:hAnsi="Arial" w:cs="Arial"/>
        </w:rPr>
        <w:fldChar w:fldCharType="end"/>
      </w:r>
      <w:r w:rsidRPr="0043107C">
        <w:rPr>
          <w:rFonts w:ascii="Arial" w:hAnsi="Arial" w:cs="Arial"/>
        </w:rPr>
        <w:t xml:space="preserve">. As the extraction procedure of gums and </w:t>
      </w:r>
      <w:proofErr w:type="spellStart"/>
      <w:r w:rsidRPr="0043107C">
        <w:rPr>
          <w:rFonts w:ascii="Arial" w:hAnsi="Arial" w:cs="Arial"/>
        </w:rPr>
        <w:t>mucilages</w:t>
      </w:r>
      <w:proofErr w:type="spellEnd"/>
      <w:r w:rsidRPr="0043107C">
        <w:rPr>
          <w:rFonts w:ascii="Arial" w:hAnsi="Arial" w:cs="Arial"/>
        </w:rPr>
        <w:t xml:space="preserve"> is crucial for the accuracy of the determination of their constituents from plant materials, Soro et al. previously carried out an </w:t>
      </w:r>
      <w:proofErr w:type="spellStart"/>
      <w:r w:rsidRPr="0043107C">
        <w:rPr>
          <w:rFonts w:ascii="Arial" w:hAnsi="Arial" w:cs="Arial"/>
        </w:rPr>
        <w:t>optimisation</w:t>
      </w:r>
      <w:proofErr w:type="spellEnd"/>
      <w:r w:rsidRPr="0043107C">
        <w:rPr>
          <w:rFonts w:ascii="Arial" w:hAnsi="Arial" w:cs="Arial"/>
        </w:rPr>
        <w:t xml:space="preserve"> study of the exudate extraction and purification process. This showed that a maximum yield of CCG (90.76%) was possible at a temperature of 75 °C, a stirring speed of 225 rpm, a water/exudate ratio of 6 ml/g and an extraction time of 35 min </w:t>
      </w:r>
      <w:r w:rsidRPr="0043107C">
        <w:rPr>
          <w:rFonts w:ascii="Arial" w:hAnsi="Arial" w:cs="Arial"/>
        </w:rPr>
        <w:fldChar w:fldCharType="begin"/>
      </w:r>
      <w:r w:rsidR="00D9455A">
        <w:rPr>
          <w:rFonts w:ascii="Arial" w:hAnsi="Arial" w:cs="Arial"/>
        </w:rPr>
        <w:instrText xml:space="preserve"> ADDIN ZOTERO_ITEM CSL_CITATION {"citationID":"e3UuQ3eH","properties":{"formattedCitation":"(SORO et al., 2017, 2018)","plainCitation":"(SORO et al., 2017, 2018)","dontUpdate":true,"noteIndex":0},"citationItems":[{"id":"wp0Dc69N/x1xOZ3FI","uris":["http://zotero.org/users/11140031/items/7S8LI6NM"],"itemData":{"id":149,"type":"article-journal","abstract":"A Plackett Burman design (PBD) was used to pre-optimize the yield for cashew gum from Anacardium occidentale exudates by aqueous extraction. Various factors influencing cashew gum production were screened using the PBD. These factors included extracting temperature, agitation speed, water exudates ratio, extracting time, pH and average particle size. In this study, the analysis of variance (ANOVA) of our findings revealed that extracting temperature, agitation speed, water exudates ratio and extracting time found to be significant effects (p≤0.05) on cashew gum production. On the other hand, the average particle size had insignificant (p&gt;0.05) effect and slight effect for pH factor. The established model from ANOVA analysis observed to be meaningful (p≤0.05) and a coefficient of determination (R2) value of 0.992","container-title":"International Journal of Agriculture Innovation and Research","ISSN":"2319-1473","issue":"6","license":"Licence Creative Commons Attribution - Pas d’utilisation commerciale - Pas de modification 4.0 International (CC-BY-NC-ND)","page":"944-949","title":"Application of Statistical Experiment Design for Pre-optimization of Crude Gum from Cashew Tree (Anacardium occidentale L.) Exudates by Aqueous Extraction","volume":"5","author":[{"family":"SORO","given":"Pégnonsienrè L."},{"family":"DJE","given":"Kouakou M."},{"family":"DABONNE","given":"Soumaila"}],"issued":{"date-parts":[["2017",5,12]]}}},{"id":"wp0Dc69N/dSCqpng9","uris":["http://zotero.org/users/11140031/items/3348HMA7"],"itemData":{"id":294,"type":"article-newspaper","abstract":"Response surface methodology using a BoxBehnken Design (BBD) was used to optimize the extraction conditions of crude gum from cashew tree (Anacardium occidentale) exudates. The impact of four independent variables, extracting temperature, agitation speed, water to\nexudates ratio and extracting time in the process were\ninvestigated for their individual, interactive and quadratic\neffects. Response surface methodology (RSM), based on a three level, four factor Box-Behnken design (BBD), was employed to obtain the best possible combination of extracting\ntemperature (X1:30-90 °C), agitation speed (X2:0-300 rpm),\nwater to exudates ratio (X3:2-6 mL/g) and extracting time\n(X4:20-40min)for maximum crude gum extraction yield.The\nexperimental data were fitted to a second-order polynomial\nequation via multiple regression analysis and also examined\nwith the appropriate statistical methods (ANOVA). The\ncoefficient of determination (R2) and the adjusted coefficient\nof determination (Adjusted-R2) for the model was 0.9409 and\n0.8682 respectively. An optimum CCG extraction yield was\nobtained when the extracting temperature of 75 °C, agitation\nspeed of 225 rpm, water to exudates ratio of 6 mL/g and\nextracting time of 35 min. Under these conditions, validation\nexperiments were performed, and the mean extraction yield of\npolysaccharides was 90.76 %, which is well in close agreement\nwith the value predicted by the model 91.03%.","container-title":"International Research Journal of Engineering and Technology","ISSN":"2395-0056;  2395-0072","page":"813-822","title":"Optimization of Crude Gum Extraction from Cashew Tree (Anacardium occidentale L.) Exudates by Response Surface Methodology Using Box-Behnken Design","author":[{"family":"SORO","given":"Pégnonsienrè L."},{"family":"DJE","given":"Kouakou M."},{"family":"DABONNE","given":"Soumaila"}],"issued":{"date-parts":[["2018",9,1]]}}}],"schema":"https://github.com/citation-style-language/schema/raw/master/csl-citation.json"} </w:instrText>
      </w:r>
      <w:r w:rsidRPr="0043107C">
        <w:rPr>
          <w:rFonts w:ascii="Arial" w:hAnsi="Arial" w:cs="Arial"/>
        </w:rPr>
        <w:fldChar w:fldCharType="separate"/>
      </w:r>
      <w:r w:rsidRPr="0043107C">
        <w:rPr>
          <w:rFonts w:ascii="Arial" w:hAnsi="Arial" w:cs="Arial"/>
        </w:rPr>
        <w:t>(Soro et al., 2017, 2018)</w:t>
      </w:r>
      <w:r w:rsidRPr="0043107C">
        <w:rPr>
          <w:rFonts w:ascii="Arial" w:hAnsi="Arial" w:cs="Arial"/>
        </w:rPr>
        <w:fldChar w:fldCharType="end"/>
      </w:r>
      <w:r w:rsidRPr="0043107C">
        <w:rPr>
          <w:rFonts w:ascii="Arial" w:hAnsi="Arial" w:cs="Arial"/>
        </w:rPr>
        <w:t>. However, the physicochemical properties of these purified gums remain unknown. Therefore, the present study aims to determine the physicochemical properties of purified cashew gum in view of a possible technological application of this purified cashew gum. Consequently, this study compares the effect of different purification methods on cashew gum physicochemical and functional properties.</w:t>
      </w:r>
    </w:p>
    <w:p w14:paraId="0769BFB7" w14:textId="77777777" w:rsidR="0043107C" w:rsidRDefault="0043107C" w:rsidP="00441B6F">
      <w:pPr>
        <w:pStyle w:val="Body"/>
        <w:spacing w:after="0"/>
        <w:rPr>
          <w:rFonts w:ascii="Arial" w:hAnsi="Arial" w:cs="Arial"/>
        </w:rPr>
      </w:pPr>
    </w:p>
    <w:p w14:paraId="0EA6F73C" w14:textId="1FF98D7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67744A" w14:textId="77777777" w:rsidR="00790ADA" w:rsidRPr="00FB3A86" w:rsidRDefault="00790ADA" w:rsidP="00441B6F">
      <w:pPr>
        <w:pStyle w:val="AbstHead"/>
        <w:spacing w:after="0"/>
        <w:jc w:val="both"/>
        <w:rPr>
          <w:rFonts w:ascii="Arial" w:hAnsi="Arial" w:cs="Arial"/>
        </w:rPr>
      </w:pPr>
    </w:p>
    <w:p w14:paraId="45D7BA3C" w14:textId="77777777" w:rsidR="0043107C" w:rsidRDefault="0043107C" w:rsidP="0043107C">
      <w:pPr>
        <w:jc w:val="both"/>
        <w:rPr>
          <w:rFonts w:ascii="Arial" w:hAnsi="Arial" w:cs="Arial"/>
          <w:b/>
          <w:sz w:val="22"/>
          <w:szCs w:val="22"/>
        </w:rPr>
      </w:pPr>
      <w:r w:rsidRPr="0043107C">
        <w:rPr>
          <w:rFonts w:ascii="Arial" w:hAnsi="Arial" w:cs="Arial"/>
          <w:b/>
          <w:sz w:val="22"/>
          <w:szCs w:val="22"/>
        </w:rPr>
        <w:t xml:space="preserve">2.1. Materials </w:t>
      </w:r>
    </w:p>
    <w:p w14:paraId="613905D2" w14:textId="77777777" w:rsidR="0043107C" w:rsidRPr="0043107C" w:rsidRDefault="0043107C" w:rsidP="0043107C">
      <w:pPr>
        <w:jc w:val="both"/>
        <w:rPr>
          <w:rFonts w:ascii="Arial" w:hAnsi="Arial" w:cs="Arial"/>
          <w:b/>
          <w:sz w:val="22"/>
          <w:szCs w:val="22"/>
        </w:rPr>
      </w:pPr>
    </w:p>
    <w:p w14:paraId="00105D21" w14:textId="77777777" w:rsidR="0043107C" w:rsidRPr="0043107C" w:rsidRDefault="0043107C" w:rsidP="0043107C">
      <w:pPr>
        <w:jc w:val="both"/>
        <w:rPr>
          <w:rFonts w:ascii="Arial" w:hAnsi="Arial" w:cs="Arial"/>
        </w:rPr>
      </w:pPr>
      <w:r w:rsidRPr="0043107C">
        <w:rPr>
          <w:rFonts w:ascii="Arial" w:hAnsi="Arial" w:cs="Arial"/>
        </w:rPr>
        <w:t>Cashew (</w:t>
      </w:r>
      <w:r w:rsidRPr="0043107C">
        <w:rPr>
          <w:rFonts w:ascii="Arial" w:hAnsi="Arial" w:cs="Arial"/>
          <w:i/>
        </w:rPr>
        <w:t>Anacardium occidentale</w:t>
      </w:r>
      <w:r w:rsidRPr="0043107C">
        <w:rPr>
          <w:rFonts w:ascii="Arial" w:hAnsi="Arial" w:cs="Arial"/>
        </w:rPr>
        <w:t xml:space="preserve">) exudates were collected from cashew tree plantations in </w:t>
      </w:r>
      <w:proofErr w:type="spellStart"/>
      <w:r w:rsidRPr="0043107C">
        <w:rPr>
          <w:rFonts w:ascii="Arial" w:hAnsi="Arial" w:cs="Arial"/>
        </w:rPr>
        <w:t>Korhogo</w:t>
      </w:r>
      <w:proofErr w:type="spellEnd"/>
      <w:r w:rsidRPr="0043107C">
        <w:rPr>
          <w:rFonts w:ascii="Arial" w:hAnsi="Arial" w:cs="Arial"/>
        </w:rPr>
        <w:t xml:space="preserve">, in the </w:t>
      </w:r>
      <w:proofErr w:type="spellStart"/>
      <w:r w:rsidRPr="0043107C">
        <w:rPr>
          <w:rFonts w:ascii="Arial" w:hAnsi="Arial" w:cs="Arial"/>
        </w:rPr>
        <w:t>Poro</w:t>
      </w:r>
      <w:proofErr w:type="spellEnd"/>
      <w:r w:rsidRPr="0043107C">
        <w:rPr>
          <w:rFonts w:ascii="Arial" w:hAnsi="Arial" w:cs="Arial"/>
        </w:rPr>
        <w:t xml:space="preserve"> region of northern Côte d'Ivoire, in the month of February –March. All chemicals used were of analytical grade.</w:t>
      </w:r>
    </w:p>
    <w:p w14:paraId="4DAED1C2" w14:textId="77777777" w:rsidR="00BF41D5" w:rsidRDefault="0043107C" w:rsidP="00BF41D5">
      <w:pPr>
        <w:spacing w:before="240"/>
        <w:jc w:val="both"/>
        <w:rPr>
          <w:rFonts w:ascii="Arial" w:hAnsi="Arial" w:cs="Arial"/>
          <w:b/>
          <w:sz w:val="22"/>
          <w:szCs w:val="22"/>
        </w:rPr>
      </w:pPr>
      <w:r w:rsidRPr="0043107C">
        <w:rPr>
          <w:rFonts w:ascii="Arial" w:hAnsi="Arial" w:cs="Arial"/>
          <w:b/>
          <w:sz w:val="22"/>
          <w:szCs w:val="22"/>
        </w:rPr>
        <w:t>2.2. Isolation and collection of cashew exudate gum</w:t>
      </w:r>
    </w:p>
    <w:p w14:paraId="59CBC376" w14:textId="20E40568" w:rsidR="00DF7C9F" w:rsidRDefault="00DF7C9F" w:rsidP="00DF7C9F">
      <w:pPr>
        <w:keepNext/>
        <w:spacing w:before="240"/>
        <w:jc w:val="both"/>
        <w:rPr>
          <w:rFonts w:ascii="Arial" w:hAnsi="Arial" w:cs="Arial"/>
          <w:b/>
          <w:sz w:val="22"/>
          <w:szCs w:val="22"/>
        </w:rPr>
      </w:pPr>
      <w:r w:rsidRPr="00DF7C9F">
        <w:rPr>
          <w:rFonts w:ascii="Arial" w:hAnsi="Arial" w:cs="Arial"/>
        </w:rPr>
        <w:t>For exudate extraction, the selected Cashew trees were subjected to the stress by making injury on the trunk. Collected gum exudates</w:t>
      </w:r>
      <w:r>
        <w:rPr>
          <w:rFonts w:ascii="Arial" w:hAnsi="Arial" w:cs="Arial"/>
        </w:rPr>
        <w:t xml:space="preserve"> (Fig</w:t>
      </w:r>
      <w:r w:rsidR="00D40585">
        <w:rPr>
          <w:rFonts w:ascii="Arial" w:hAnsi="Arial" w:cs="Arial"/>
        </w:rPr>
        <w:t>.</w:t>
      </w:r>
      <w:r>
        <w:rPr>
          <w:rFonts w:ascii="Arial" w:hAnsi="Arial" w:cs="Arial"/>
        </w:rPr>
        <w:t xml:space="preserve"> 1)</w:t>
      </w:r>
      <w:r w:rsidRPr="00DF7C9F">
        <w:rPr>
          <w:rFonts w:ascii="Arial" w:hAnsi="Arial" w:cs="Arial"/>
        </w:rPr>
        <w:t xml:space="preserve"> </w:t>
      </w:r>
      <w:r>
        <w:rPr>
          <w:rFonts w:ascii="Arial" w:hAnsi="Arial" w:cs="Arial"/>
        </w:rPr>
        <w:t>were</w:t>
      </w:r>
      <w:r w:rsidRPr="00DF7C9F">
        <w:rPr>
          <w:rFonts w:ascii="Arial" w:hAnsi="Arial" w:cs="Arial"/>
        </w:rPr>
        <w:t xml:space="preserve"> dried at 30–40°C until constant </w:t>
      </w:r>
      <w:r w:rsidRPr="00DF7C9F">
        <w:rPr>
          <w:rFonts w:ascii="Arial" w:hAnsi="Arial" w:cs="Arial"/>
        </w:rPr>
        <w:lastRenderedPageBreak/>
        <w:t>weight was obtained and ground through grinder. Powdered gum passed through sieve</w:t>
      </w:r>
      <w:r>
        <w:rPr>
          <w:rFonts w:ascii="Arial" w:hAnsi="Arial" w:cs="Arial"/>
        </w:rPr>
        <w:t xml:space="preserve"> </w:t>
      </w:r>
      <w:r w:rsidRPr="00DF7C9F">
        <w:rPr>
          <w:rFonts w:ascii="Arial" w:hAnsi="Arial" w:cs="Arial"/>
        </w:rPr>
        <w:t>no. #22 and stored it in air tight container for further use</w:t>
      </w:r>
    </w:p>
    <w:p w14:paraId="6C567C61" w14:textId="77777777" w:rsidR="007060B5" w:rsidRDefault="00DF7C9F" w:rsidP="007060B5">
      <w:pPr>
        <w:keepNext/>
        <w:spacing w:before="240"/>
        <w:jc w:val="center"/>
      </w:pPr>
      <w:r w:rsidRPr="00961BF8">
        <w:rPr>
          <w:rFonts w:ascii="Arial" w:hAnsi="Arial" w:cs="Arial"/>
          <w:b/>
          <w:noProof/>
          <w:sz w:val="22"/>
          <w:szCs w:val="22"/>
        </w:rPr>
        <w:drawing>
          <wp:inline distT="0" distB="0" distL="0" distR="0" wp14:anchorId="686F27DB" wp14:editId="134D30A7">
            <wp:extent cx="3590760" cy="38766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92631" cy="3878695"/>
                    </a:xfrm>
                    <a:prstGeom prst="rect">
                      <a:avLst/>
                    </a:prstGeom>
                  </pic:spPr>
                </pic:pic>
              </a:graphicData>
            </a:graphic>
          </wp:inline>
        </w:drawing>
      </w:r>
    </w:p>
    <w:p w14:paraId="15E3831A" w14:textId="5C39BEDA" w:rsidR="00DF7C9F" w:rsidRPr="007060B5" w:rsidRDefault="007060B5" w:rsidP="007060B5">
      <w:pPr>
        <w:pStyle w:val="Caption"/>
        <w:jc w:val="center"/>
        <w:rPr>
          <w:rFonts w:ascii="Arial" w:hAnsi="Arial" w:cs="Arial"/>
          <w:b/>
          <w:bCs/>
          <w:i w:val="0"/>
          <w:iCs w:val="0"/>
          <w:sz w:val="20"/>
          <w:szCs w:val="20"/>
        </w:rPr>
      </w:pPr>
      <w:r w:rsidRPr="007060B5">
        <w:rPr>
          <w:rFonts w:ascii="Arial" w:hAnsi="Arial" w:cs="Arial"/>
          <w:b/>
          <w:bCs/>
          <w:i w:val="0"/>
          <w:iCs w:val="0"/>
          <w:sz w:val="20"/>
          <w:szCs w:val="20"/>
        </w:rPr>
        <w:t xml:space="preserve">Fig. </w:t>
      </w:r>
      <w:r w:rsidRPr="007060B5">
        <w:rPr>
          <w:rFonts w:ascii="Arial" w:hAnsi="Arial" w:cs="Arial"/>
          <w:b/>
          <w:bCs/>
          <w:i w:val="0"/>
          <w:iCs w:val="0"/>
          <w:sz w:val="20"/>
          <w:szCs w:val="20"/>
        </w:rPr>
        <w:fldChar w:fldCharType="begin"/>
      </w:r>
      <w:r w:rsidRPr="007060B5">
        <w:rPr>
          <w:rFonts w:ascii="Arial" w:hAnsi="Arial" w:cs="Arial"/>
          <w:b/>
          <w:bCs/>
          <w:i w:val="0"/>
          <w:iCs w:val="0"/>
          <w:sz w:val="20"/>
          <w:szCs w:val="20"/>
        </w:rPr>
        <w:instrText xml:space="preserve"> SEQ Fig. \* ARABIC </w:instrText>
      </w:r>
      <w:r w:rsidRPr="007060B5">
        <w:rPr>
          <w:rFonts w:ascii="Arial" w:hAnsi="Arial" w:cs="Arial"/>
          <w:b/>
          <w:bCs/>
          <w:i w:val="0"/>
          <w:iCs w:val="0"/>
          <w:sz w:val="20"/>
          <w:szCs w:val="20"/>
        </w:rPr>
        <w:fldChar w:fldCharType="separate"/>
      </w:r>
      <w:r w:rsidRPr="007060B5">
        <w:rPr>
          <w:rFonts w:ascii="Arial" w:hAnsi="Arial" w:cs="Arial"/>
          <w:b/>
          <w:bCs/>
          <w:i w:val="0"/>
          <w:iCs w:val="0"/>
          <w:noProof/>
          <w:sz w:val="20"/>
          <w:szCs w:val="20"/>
        </w:rPr>
        <w:t>1</w:t>
      </w:r>
      <w:r w:rsidRPr="007060B5">
        <w:rPr>
          <w:rFonts w:ascii="Arial" w:hAnsi="Arial" w:cs="Arial"/>
          <w:b/>
          <w:bCs/>
          <w:i w:val="0"/>
          <w:iCs w:val="0"/>
          <w:sz w:val="20"/>
          <w:szCs w:val="20"/>
        </w:rPr>
        <w:fldChar w:fldCharType="end"/>
      </w:r>
      <w:r w:rsidRPr="007060B5">
        <w:rPr>
          <w:rFonts w:ascii="Arial" w:hAnsi="Arial" w:cs="Arial"/>
          <w:b/>
          <w:bCs/>
          <w:i w:val="0"/>
          <w:iCs w:val="0"/>
          <w:sz w:val="20"/>
          <w:szCs w:val="20"/>
        </w:rPr>
        <w:t xml:space="preserve">: Samples of </w:t>
      </w:r>
      <w:r w:rsidR="00445CBE">
        <w:rPr>
          <w:rFonts w:ascii="Arial" w:hAnsi="Arial" w:cs="Arial"/>
          <w:b/>
          <w:bCs/>
          <w:i w:val="0"/>
          <w:iCs w:val="0"/>
          <w:sz w:val="20"/>
          <w:szCs w:val="20"/>
        </w:rPr>
        <w:t xml:space="preserve">raw </w:t>
      </w:r>
      <w:r w:rsidRPr="007060B5">
        <w:rPr>
          <w:rFonts w:ascii="Arial" w:hAnsi="Arial" w:cs="Arial"/>
          <w:b/>
          <w:bCs/>
          <w:i w:val="0"/>
          <w:iCs w:val="0"/>
          <w:sz w:val="20"/>
          <w:szCs w:val="20"/>
        </w:rPr>
        <w:t>cashew tree exudates</w:t>
      </w:r>
    </w:p>
    <w:p w14:paraId="453A8395" w14:textId="66C402C6" w:rsidR="0043107C" w:rsidRPr="0043107C" w:rsidRDefault="0043107C" w:rsidP="0043107C">
      <w:pPr>
        <w:pStyle w:val="NormalWeb"/>
        <w:spacing w:after="0"/>
        <w:jc w:val="both"/>
        <w:rPr>
          <w:rFonts w:ascii="Arial" w:hAnsi="Arial" w:cs="Arial"/>
          <w:sz w:val="22"/>
          <w:szCs w:val="22"/>
        </w:rPr>
      </w:pPr>
      <w:r w:rsidRPr="0043107C">
        <w:rPr>
          <w:rFonts w:ascii="Arial" w:hAnsi="Arial" w:cs="Arial"/>
          <w:b/>
          <w:sz w:val="22"/>
          <w:szCs w:val="22"/>
        </w:rPr>
        <w:t>2.3. Purification of cashew exudate</w:t>
      </w:r>
      <w:r w:rsidRPr="0043107C">
        <w:rPr>
          <w:rFonts w:ascii="Arial" w:hAnsi="Arial" w:cs="Arial"/>
          <w:sz w:val="22"/>
          <w:szCs w:val="22"/>
        </w:rPr>
        <w:t xml:space="preserve"> </w:t>
      </w:r>
    </w:p>
    <w:p w14:paraId="70D6B215" w14:textId="1BCC15E6" w:rsidR="0043107C" w:rsidRPr="0043107C" w:rsidRDefault="0043107C" w:rsidP="0043107C">
      <w:pPr>
        <w:pStyle w:val="NormalWeb"/>
        <w:spacing w:before="0" w:after="0"/>
        <w:jc w:val="both"/>
        <w:rPr>
          <w:rFonts w:ascii="Arial" w:hAnsi="Arial" w:cs="Arial"/>
        </w:rPr>
      </w:pPr>
      <w:r w:rsidRPr="0043107C">
        <w:rPr>
          <w:rFonts w:ascii="Arial" w:hAnsi="Arial" w:cs="Arial"/>
        </w:rPr>
        <w:t xml:space="preserve">Purification of the exudate gum was carried out using the method reported by </w:t>
      </w:r>
      <w:r w:rsidRPr="0043107C">
        <w:rPr>
          <w:rFonts w:ascii="Arial" w:hAnsi="Arial" w:cs="Arial"/>
        </w:rPr>
        <w:fldChar w:fldCharType="begin"/>
      </w:r>
      <w:r w:rsidR="00D9455A">
        <w:rPr>
          <w:rFonts w:ascii="Arial" w:hAnsi="Arial" w:cs="Arial"/>
        </w:rPr>
        <w:instrText xml:space="preserve"> ADDIN ZOTERO_ITEM CSL_CITATION {"citationID":"yNeBxCD7","properties":{"formattedCitation":"(Noureen et al., 2023)","plainCitation":"(Noureen et al., 2023)","noteIndex":0},"citationItems":[{"id":"wp0Dc69N/TNruEu3f","uris":["http://zotero.org/users/local/2JspP3fw/items/4FXICLT7"],"itemData":{"id":1761,"type":"article-journal","abstract":"Prunus armeniaca gum is used as food additive and ethno medicinal purpose. Two empirical models response surface methodology and artificial neural network were used to search for optimized extraction parameters for gum extraction. A four-factor design was implemented for optimization of extraction process for maximum yield which was obtained under the optimized extraction parameter (temperature, pH, extraction time, and gum/water ratio). Micro and macro-elemental composition of gum was determined by using laser induced breakdown spectroscopy. Gum was evaluated for toxicological effect and pharmacological properties. The maximum predicted yield obtained by response surface methodology and artificial neural network was 30.44 and 30.70% which was very close to maximum experimental yield 30.23%. Laser induced breakdown spectroscopic spectra confirmed the presence Calcium, Potassium, Magnesium, Sodium, Lithium, Carbon, Hydrogen, Nitrogen and Oxygen. Acute oral toxicity study showed that gum is non-toxic up to 2000 mg/Kg body weight in rabbits, accompanied by high cytotoxic effects of gum against HepG2 and MCF-7cells by MTT assay. Overall, Aqueous solution of gum showed various pharmacological activities with significant value of antioxidant, antibacterial, anti-nociceptive, anti-cancer, anti-inflammatory and thrombolytic activities. Thus, optimization of parameters using mathematical models cans offer better prediction and estimations with enhanced pharmacological properties of extracted components.","container-title":"Scientific Reports","DOI":"10.1038/s41598-023-37847-x","ISSN":"2045-2322","journalAbbreviation":"Sci Rep","note":"PMID: 37414773\nPMCID: PMC10326058","page":"10954","source":"PubMed Central","title":"Maximizing the extraction yield of plant gum exudate using response surface methodology and artificial neural networking and pharmacological characterization","volume":"13","author":[{"family":"Noureen","given":"Shazia"},{"family":"Noreen","given":"Sobia"},{"family":"Ghumman","given":"Shazia Akram"},{"family":"Al-Hussain","given":"Sami A."},{"family":"Hameed","given":"Huma"},{"family":"Anwar-Ul-Haq","given":"Muhammad"},{"family":"Irfan","given":"Ali"},{"family":"Batool","given":"Fozia"},{"family":"Hassan","given":"Muhammad Umair"},{"family":"Aslam","given":"Samina"},{"family":"Zaki","given":"Magdi E. A."}],"issued":{"date-parts":[["2023",7,6]]}}}],"schema":"https://github.com/citation-style-language/schema/raw/master/csl-citation.json"} </w:instrText>
      </w:r>
      <w:r w:rsidRPr="0043107C">
        <w:rPr>
          <w:rFonts w:ascii="Arial" w:hAnsi="Arial" w:cs="Arial"/>
        </w:rPr>
        <w:fldChar w:fldCharType="separate"/>
      </w:r>
      <w:r w:rsidR="00D9455A" w:rsidRPr="00D9455A">
        <w:rPr>
          <w:rFonts w:ascii="Arial" w:hAnsi="Arial" w:cs="Arial"/>
        </w:rPr>
        <w:t>(Noureen et al., 2023)</w:t>
      </w:r>
      <w:r w:rsidRPr="0043107C">
        <w:rPr>
          <w:rFonts w:ascii="Arial" w:hAnsi="Arial" w:cs="Arial"/>
        </w:rPr>
        <w:fldChar w:fldCharType="end"/>
      </w:r>
      <w:r w:rsidRPr="0043107C">
        <w:rPr>
          <w:rFonts w:ascii="Arial" w:hAnsi="Arial" w:cs="Arial"/>
        </w:rPr>
        <w:t xml:space="preserve">, with minor modifications. </w:t>
      </w:r>
    </w:p>
    <w:p w14:paraId="777AD05A" w14:textId="36BB517D" w:rsidR="0043107C" w:rsidRDefault="0043107C" w:rsidP="0043107C">
      <w:pPr>
        <w:pStyle w:val="NormalWeb"/>
        <w:spacing w:after="0"/>
        <w:jc w:val="both"/>
        <w:rPr>
          <w:rFonts w:ascii="Arial" w:hAnsi="Arial" w:cs="Arial"/>
          <w:b/>
        </w:rPr>
      </w:pPr>
      <w:r w:rsidRPr="0043107C">
        <w:rPr>
          <w:rFonts w:ascii="Arial" w:hAnsi="Arial" w:cs="Arial"/>
          <w:b/>
        </w:rPr>
        <w:t>Procedure includes two steps</w:t>
      </w:r>
      <w:r>
        <w:rPr>
          <w:rFonts w:ascii="Arial" w:hAnsi="Arial" w:cs="Arial"/>
          <w:b/>
        </w:rPr>
        <w:t>:</w:t>
      </w:r>
    </w:p>
    <w:p w14:paraId="3D980F4C" w14:textId="072F09C7" w:rsidR="0043107C" w:rsidRPr="0043107C" w:rsidRDefault="0043107C" w:rsidP="0043107C">
      <w:pPr>
        <w:pStyle w:val="NormalWeb"/>
        <w:spacing w:before="0" w:after="0"/>
        <w:jc w:val="both"/>
        <w:rPr>
          <w:rFonts w:ascii="Arial" w:hAnsi="Arial" w:cs="Arial"/>
          <w:b/>
        </w:rPr>
      </w:pPr>
      <w:r w:rsidRPr="0043107C">
        <w:rPr>
          <w:rFonts w:ascii="Arial" w:hAnsi="Arial" w:cs="Arial"/>
          <w:b/>
        </w:rPr>
        <w:t>Step 1:</w:t>
      </w:r>
      <w:r w:rsidR="009B17A1">
        <w:rPr>
          <w:rFonts w:ascii="Arial" w:hAnsi="Arial" w:cs="Arial"/>
          <w:b/>
        </w:rPr>
        <w:t xml:space="preserve"> Gum extraction</w:t>
      </w:r>
    </w:p>
    <w:p w14:paraId="0D8FA12B" w14:textId="77777777" w:rsidR="0043107C" w:rsidRPr="0043107C" w:rsidRDefault="0043107C" w:rsidP="0043107C">
      <w:pPr>
        <w:pStyle w:val="NormalWeb"/>
        <w:spacing w:before="0" w:after="0"/>
        <w:jc w:val="both"/>
        <w:rPr>
          <w:rFonts w:ascii="Arial" w:hAnsi="Arial" w:cs="Arial"/>
        </w:rPr>
      </w:pPr>
      <w:r w:rsidRPr="0043107C">
        <w:rPr>
          <w:rFonts w:ascii="Arial" w:hAnsi="Arial" w:cs="Arial"/>
        </w:rPr>
        <w:t>Powdered gum (50g) was dissolved 300 mL of distilled water at 75 °C in a 1000 mL beaker on a magnetic stirrer for a particular time at 225  rpm speed during 35 min. The gum suspension was kept at 4 ˚C overnight to allow complete hydration. Insoluble materials were removed from the dispersion by filtration through a muslin cloth. The separated solution was centrifuged (3-18K, Sartorius, Sigma 3-18, Allemagne) at 4000×g for 20 min, and suspended particles were removed.</w:t>
      </w:r>
    </w:p>
    <w:p w14:paraId="5A2697D5" w14:textId="77777777" w:rsidR="0043107C" w:rsidRPr="0043107C" w:rsidRDefault="0043107C" w:rsidP="0043107C">
      <w:pPr>
        <w:pStyle w:val="NormalWeb"/>
        <w:spacing w:after="0"/>
        <w:jc w:val="both"/>
        <w:rPr>
          <w:rFonts w:ascii="Arial" w:hAnsi="Arial" w:cs="Arial"/>
          <w:b/>
        </w:rPr>
      </w:pPr>
      <w:r w:rsidRPr="0043107C">
        <w:rPr>
          <w:rFonts w:ascii="Arial" w:hAnsi="Arial" w:cs="Arial"/>
          <w:b/>
        </w:rPr>
        <w:t>Step 2: Method of gum precipitation :</w:t>
      </w:r>
    </w:p>
    <w:p w14:paraId="159B9C79" w14:textId="77777777" w:rsidR="0043107C" w:rsidRPr="0043107C" w:rsidRDefault="0043107C" w:rsidP="0043107C">
      <w:pPr>
        <w:pStyle w:val="NormalWeb"/>
        <w:spacing w:before="0" w:after="0"/>
        <w:jc w:val="both"/>
        <w:rPr>
          <w:rFonts w:ascii="Arial" w:hAnsi="Arial" w:cs="Arial"/>
          <w:b/>
        </w:rPr>
      </w:pPr>
      <w:r w:rsidRPr="0043107C">
        <w:rPr>
          <w:rFonts w:ascii="Arial" w:hAnsi="Arial" w:cs="Arial"/>
          <w:b/>
        </w:rPr>
        <w:t>Method A (ethanol precipitation)</w:t>
      </w:r>
    </w:p>
    <w:p w14:paraId="0DCE9C7C" w14:textId="72EA2BB9" w:rsidR="0043107C" w:rsidRPr="0043107C" w:rsidRDefault="0043107C" w:rsidP="0043107C">
      <w:pPr>
        <w:pStyle w:val="NormalWeb"/>
        <w:spacing w:before="0" w:after="0"/>
        <w:jc w:val="both"/>
        <w:rPr>
          <w:rFonts w:ascii="Arial" w:hAnsi="Arial" w:cs="Arial"/>
        </w:rPr>
      </w:pPr>
      <w:r w:rsidRPr="0043107C">
        <w:rPr>
          <w:rFonts w:ascii="Arial" w:hAnsi="Arial" w:cs="Arial"/>
        </w:rPr>
        <w:t xml:space="preserve">The aqueous fraction was precipitated with ethanol as described by </w:t>
      </w:r>
      <w:r w:rsidR="00C50F86">
        <w:rPr>
          <w:rFonts w:ascii="Arial" w:hAnsi="Arial" w:cs="Arial"/>
        </w:rPr>
        <w:fldChar w:fldCharType="begin"/>
      </w:r>
      <w:r w:rsidR="00C50F86">
        <w:rPr>
          <w:rFonts w:ascii="Arial" w:hAnsi="Arial" w:cs="Arial"/>
        </w:rPr>
        <w:instrText xml:space="preserve"> ADDIN ZOTERO_ITEM CSL_CITATION {"citationID":"a0i1ROB2","properties":{"formattedCitation":"(Naka et al., 2016)","plainCitation":"(Naka et al., 2016)","noteIndex":0},"citationItems":[{"id":"wp0Dc69N/PjORafNn","uris":["http://zotero.org/users/11140031/items/PAYDS4UG"],"itemData":{"id":"wp0Dc69N/PjORafNn","type":"article-journal","container-title":"Agric. Biol. JN Am","page":"107–115","source":"Google Scholar","title":"Some physico-chemical properties of cashew gum from cashew exudates and its use as clarifying agent of juice from cashew apple","volume":"7","author":[{"family":"Naka","given":"Touré"},{"family":"Martin","given":"Djè Kouakou"},{"family":"Soumaila","given":"Dabonné"},{"family":"Simplice","given":"Guehi Tagro"},{"family":"Patrice","given":"Kouamé Lucien"},{"family":"Abrogoua","given":"N."}],"issued":{"date-parts":[["2016"]]}}}],"schema":"https://github.com/citation-style-language/schema/raw/master/csl-citation.json"} </w:instrText>
      </w:r>
      <w:r w:rsidR="00C50F86">
        <w:rPr>
          <w:rFonts w:ascii="Arial" w:hAnsi="Arial" w:cs="Arial"/>
        </w:rPr>
        <w:fldChar w:fldCharType="separate"/>
      </w:r>
      <w:r w:rsidR="00C50F86" w:rsidRPr="00C50F86">
        <w:rPr>
          <w:rFonts w:ascii="Arial" w:hAnsi="Arial" w:cs="Arial"/>
        </w:rPr>
        <w:t>Naka et al.</w:t>
      </w:r>
      <w:r w:rsidR="00C50F86">
        <w:rPr>
          <w:rFonts w:ascii="Arial" w:hAnsi="Arial" w:cs="Arial"/>
        </w:rPr>
        <w:t xml:space="preserve"> (</w:t>
      </w:r>
      <w:r w:rsidR="00C50F86" w:rsidRPr="00C50F86">
        <w:rPr>
          <w:rFonts w:ascii="Arial" w:hAnsi="Arial" w:cs="Arial"/>
        </w:rPr>
        <w:t>2016)</w:t>
      </w:r>
      <w:r w:rsidR="00C50F86">
        <w:rPr>
          <w:rFonts w:ascii="Arial" w:hAnsi="Arial" w:cs="Arial"/>
        </w:rPr>
        <w:fldChar w:fldCharType="end"/>
      </w:r>
      <w:r w:rsidRPr="0043107C">
        <w:rPr>
          <w:rFonts w:ascii="Arial" w:hAnsi="Arial" w:cs="Arial"/>
        </w:rPr>
        <w:t xml:space="preserve"> (Fig</w:t>
      </w:r>
      <w:r w:rsidR="00D40585">
        <w:rPr>
          <w:rFonts w:ascii="Arial" w:hAnsi="Arial" w:cs="Arial"/>
        </w:rPr>
        <w:t>.</w:t>
      </w:r>
      <w:r w:rsidRPr="0043107C">
        <w:rPr>
          <w:rFonts w:ascii="Arial" w:hAnsi="Arial" w:cs="Arial"/>
        </w:rPr>
        <w:t xml:space="preserve"> </w:t>
      </w:r>
      <w:r w:rsidR="00ED70C8">
        <w:rPr>
          <w:rFonts w:ascii="Arial" w:hAnsi="Arial" w:cs="Arial"/>
        </w:rPr>
        <w:t>2</w:t>
      </w:r>
      <w:r w:rsidRPr="0043107C">
        <w:rPr>
          <w:rFonts w:ascii="Arial" w:hAnsi="Arial" w:cs="Arial"/>
        </w:rPr>
        <w:t>).</w:t>
      </w:r>
      <w:r w:rsidR="009252D2">
        <w:rPr>
          <w:rFonts w:ascii="Arial" w:hAnsi="Arial" w:cs="Arial"/>
        </w:rPr>
        <w:t xml:space="preserve"> </w:t>
      </w:r>
      <w:r w:rsidRPr="0043107C">
        <w:rPr>
          <w:rFonts w:ascii="Arial" w:hAnsi="Arial" w:cs="Arial"/>
        </w:rPr>
        <w:t>The supernatant (250 mL) was precipitated by adding</w:t>
      </w:r>
      <w:r w:rsidR="009252D2">
        <w:rPr>
          <w:rFonts w:ascii="Arial" w:hAnsi="Arial" w:cs="Arial"/>
        </w:rPr>
        <w:t xml:space="preserve"> </w:t>
      </w:r>
      <w:r w:rsidRPr="0043107C">
        <w:rPr>
          <w:rFonts w:ascii="Arial" w:hAnsi="Arial" w:cs="Arial"/>
        </w:rPr>
        <w:t xml:space="preserve">ethanol 96% (ethanol/supernatant, 3/1). The precipitated gum was again filtered, then washed twice with ethanol (96% v/v) and finally dried in an oven (MEMMERT, Germany) at 50°C for 8 hours. The dry gum was ground </w:t>
      </w:r>
      <w:r w:rsidRPr="0043107C">
        <w:rPr>
          <w:rFonts w:ascii="Arial" w:hAnsi="Arial" w:cs="Arial"/>
        </w:rPr>
        <w:lastRenderedPageBreak/>
        <w:t>(sample E) and stored in a plastic container at room temperature (27 ± 1°C) for subsequent analysis.</w:t>
      </w:r>
    </w:p>
    <w:p w14:paraId="4A56024F" w14:textId="77777777" w:rsidR="0043107C" w:rsidRPr="0043107C" w:rsidRDefault="0043107C" w:rsidP="0043107C">
      <w:pPr>
        <w:pStyle w:val="NormalWeb"/>
        <w:spacing w:after="0"/>
        <w:jc w:val="both"/>
        <w:rPr>
          <w:rFonts w:ascii="Arial" w:hAnsi="Arial" w:cs="Arial"/>
          <w:b/>
        </w:rPr>
      </w:pPr>
      <w:r w:rsidRPr="0043107C">
        <w:rPr>
          <w:rFonts w:ascii="Arial" w:hAnsi="Arial" w:cs="Arial"/>
          <w:b/>
        </w:rPr>
        <w:t>Method B (isopropanol precipitation)</w:t>
      </w:r>
    </w:p>
    <w:p w14:paraId="60A3728E" w14:textId="06BB233E" w:rsidR="0043107C" w:rsidRPr="0043107C" w:rsidRDefault="0043107C" w:rsidP="0043107C">
      <w:pPr>
        <w:pStyle w:val="NormalWeb"/>
        <w:spacing w:before="0" w:after="0"/>
        <w:jc w:val="both"/>
        <w:rPr>
          <w:rFonts w:ascii="Arial" w:hAnsi="Arial" w:cs="Arial"/>
        </w:rPr>
      </w:pPr>
      <w:r w:rsidRPr="0043107C">
        <w:rPr>
          <w:rFonts w:ascii="Arial" w:hAnsi="Arial" w:cs="Arial"/>
        </w:rPr>
        <w:t>The aqueous fraction was precipitated with isopropanol as described by</w:t>
      </w:r>
      <w:r w:rsidR="00E84C6F">
        <w:rPr>
          <w:rFonts w:ascii="Arial" w:hAnsi="Arial" w:cs="Arial"/>
        </w:rPr>
        <w:t xml:space="preserve"> </w:t>
      </w:r>
      <w:r w:rsidR="00E84C6F">
        <w:rPr>
          <w:rFonts w:ascii="Arial" w:hAnsi="Arial" w:cs="Arial"/>
        </w:rPr>
        <w:fldChar w:fldCharType="begin"/>
      </w:r>
      <w:r w:rsidR="00E84C6F">
        <w:rPr>
          <w:rFonts w:ascii="Arial" w:hAnsi="Arial" w:cs="Arial"/>
        </w:rPr>
        <w:instrText xml:space="preserve"> ADDIN ZOTERO_ITEM CSL_CITATION {"citationID":"e9w8JYqW","properties":{"formattedCitation":"(Bouzouita et al., 2007)","plainCitation":"(Bouzouita et al., 2007)","noteIndex":0},"citationItems":[{"id":239,"uris":["http://zotero.org/users/16649851/items/AUXIGBFG"],"itemData":{"id":239,"type":"article-journal","abstract":"The crude and purified locust bean gum (LBG) from seven areas of the north and centre of Tunisia (Bouarada, Bargou, Kessra, Haffouz, Borj Toumi, Ben Arous and INRGREF) were analyzed for moisture, ash, protein, acid-insoluble matter and mannose/galactose ratio. The purified samples exhibited higher mannose/galactose ratios and lower amounts of ash, protein and acid-insoluble matter than the crude gum. The purified LBG from different regions had 3.43–6.99% moisture, 0.87–2.06% ash, 0.61–2.46% protein, 0.00–1.20% acid-insoluble matter and 3.55–4.32 mannose/galactose ratios. Statistical analysis revealed that purification significantly affected (P&lt;0.05) moisture, ash, protein, insoluble matter contents and mannose/galactose ratios of the crude LBG and purified LBG for all samples from different areas. The rheological properties of the different carob gum samples were determined, the best rheological properties are those of spontaneous carob trees of Bargou, Bouarada and Kessra areas. The climatic and geographic origin of carob and the cultivation mode influence the chemical and rheological properties. The purification of crude galactomannan samples by precipitation with isopropanol gave a clear and more stable solution, due to the elimination of impurities and endogenous enzymes.","container-title":"Food Chemistry","DOI":"10.1016/j.foodchem.2006.03.056","ISSN":"0308-8146","issue":"4","journalAbbreviation":"Food Chemistry","page":"1508-1515","source":"ScienceDirect","title":"The analysis of crude and purified locust bean gum: A comparison of samples from different carob tree populations in Tunisia","title-short":"The analysis of crude and purified locust bean gum","volume":"101","author":[{"family":"Bouzouita","given":"N."},{"family":"Khaldi","given":"A."},{"family":"Zgoulli","given":"S."},{"family":"Chebil","given":"L."},{"family":"Chekki","given":"R."},{"family":"Chaabouni","given":"M. M."},{"family":"Thonart","given":"P."}],"issued":{"date-parts":[["2007",1,1]]}}}],"schema":"https://github.com/citation-style-language/schema/raw/master/csl-citation.json"} </w:instrText>
      </w:r>
      <w:r w:rsidR="00E84C6F">
        <w:rPr>
          <w:rFonts w:ascii="Arial" w:hAnsi="Arial" w:cs="Arial"/>
        </w:rPr>
        <w:fldChar w:fldCharType="separate"/>
      </w:r>
      <w:r w:rsidR="00E84C6F" w:rsidRPr="00E84C6F">
        <w:rPr>
          <w:rFonts w:ascii="Arial" w:hAnsi="Arial" w:cs="Arial"/>
        </w:rPr>
        <w:t>Bouzouita et al.</w:t>
      </w:r>
      <w:r w:rsidR="00E84C6F">
        <w:rPr>
          <w:rFonts w:ascii="Arial" w:hAnsi="Arial" w:cs="Arial"/>
        </w:rPr>
        <w:t xml:space="preserve"> (</w:t>
      </w:r>
      <w:r w:rsidR="00E84C6F" w:rsidRPr="00E84C6F">
        <w:rPr>
          <w:rFonts w:ascii="Arial" w:hAnsi="Arial" w:cs="Arial"/>
        </w:rPr>
        <w:t>2007)</w:t>
      </w:r>
      <w:r w:rsidR="00E84C6F">
        <w:rPr>
          <w:rFonts w:ascii="Arial" w:hAnsi="Arial" w:cs="Arial"/>
        </w:rPr>
        <w:fldChar w:fldCharType="end"/>
      </w:r>
      <w:r w:rsidRPr="0043107C">
        <w:rPr>
          <w:rFonts w:ascii="Arial" w:hAnsi="Arial" w:cs="Arial"/>
        </w:rPr>
        <w:t xml:space="preserve"> with minor modifications (Fi</w:t>
      </w:r>
      <w:r w:rsidR="00D40585">
        <w:rPr>
          <w:rFonts w:ascii="Arial" w:hAnsi="Arial" w:cs="Arial"/>
        </w:rPr>
        <w:t>g.</w:t>
      </w:r>
      <w:r w:rsidRPr="0043107C">
        <w:rPr>
          <w:rFonts w:ascii="Arial" w:hAnsi="Arial" w:cs="Arial"/>
        </w:rPr>
        <w:t xml:space="preserve"> </w:t>
      </w:r>
      <w:r w:rsidR="00ED70C8">
        <w:rPr>
          <w:rFonts w:ascii="Arial" w:hAnsi="Arial" w:cs="Arial"/>
        </w:rPr>
        <w:t>2</w:t>
      </w:r>
      <w:r w:rsidRPr="0043107C">
        <w:rPr>
          <w:rFonts w:ascii="Arial" w:hAnsi="Arial" w:cs="Arial"/>
        </w:rPr>
        <w:t>). The supernatant (250 mL) was precipitated by adding isopropanol (isopropanol/supernatant, 2/1). The precipitated gum was again filtered, then washed twice with isopropanol and finally dried in an oven (MEMMERT, Germany) at 50°C for 8 hours. The dry gum was ground (sample I) and stored in a plastic container at room temperature (27 ± 1°C) for subsequent analysis.</w:t>
      </w:r>
    </w:p>
    <w:p w14:paraId="796E93F7" w14:textId="77777777" w:rsidR="0043107C" w:rsidRPr="0043107C" w:rsidRDefault="0043107C" w:rsidP="0043107C">
      <w:pPr>
        <w:pStyle w:val="NormalWeb"/>
        <w:spacing w:after="0"/>
        <w:jc w:val="both"/>
        <w:rPr>
          <w:rFonts w:ascii="Arial" w:hAnsi="Arial" w:cs="Arial"/>
          <w:b/>
        </w:rPr>
      </w:pPr>
      <w:r w:rsidRPr="0043107C">
        <w:rPr>
          <w:rFonts w:ascii="Arial" w:hAnsi="Arial" w:cs="Arial"/>
          <w:b/>
        </w:rPr>
        <w:t>Method C (ethanol precipitation with isopropanol washing)</w:t>
      </w:r>
    </w:p>
    <w:p w14:paraId="222F5787" w14:textId="10025408" w:rsidR="0043107C" w:rsidRPr="0043107C" w:rsidRDefault="0043107C" w:rsidP="0043107C">
      <w:pPr>
        <w:pStyle w:val="NormalWeb"/>
        <w:spacing w:before="0" w:after="0"/>
        <w:jc w:val="both"/>
        <w:rPr>
          <w:rFonts w:ascii="Arial" w:hAnsi="Arial" w:cs="Arial"/>
        </w:rPr>
      </w:pPr>
      <w:r w:rsidRPr="0043107C">
        <w:rPr>
          <w:rFonts w:ascii="Arial" w:hAnsi="Arial" w:cs="Arial"/>
        </w:rPr>
        <w:t xml:space="preserve">The aqueous fraction was precipitated with isopropanol according to the method of </w:t>
      </w:r>
      <w:r w:rsidRPr="0043107C">
        <w:rPr>
          <w:rFonts w:ascii="Arial" w:hAnsi="Arial" w:cs="Arial"/>
        </w:rPr>
        <w:fldChar w:fldCharType="begin"/>
      </w:r>
      <w:r w:rsidR="00D9455A">
        <w:rPr>
          <w:rFonts w:ascii="Arial" w:hAnsi="Arial" w:cs="Arial"/>
        </w:rPr>
        <w:instrText xml:space="preserve"> ADDIN ZOTERO_ITEM CSL_CITATION {"citationID":"eDRmNvBv","properties":{"formattedCitation":"(Amid &amp; Mirhosseini, 2012)","plainCitation":"(Amid &amp; Mirhosseini, 2012)","dontUpdate":true,"noteIndex":0},"citationItems":[{"id":"wp0Dc69N/8Qjle026","uris":["http://zotero.org/users/local/2JspP3fw/items/K27KYKKE"],"itemData":{"id":"ODHWzNm6/sSi1rqwf","type":"article-journal","abstract":"Natural biopolymers from plant sources contain many impurities (e.g., fat, protein, fiber, natural pigment and endogenous enzymes), therefore, an efficient purification process is recommended to minimize these impurities and consequently improve the functional properties of the biopolymer. The main objective of the present study was to investigate the effect of different purification techniques on the yield, protein content, solubility, water- and oil-holding capacity of a heteropolysaccharide-protein biopolymer obtained from durian seed. Four different purification methods using different chemicals and solvents (i.e., A (isopropanol and ethanol), B (isopropanol and acetone), C (saturated barium hydroxide), and D (Fehling solution)] to liberate the purified biopolymer from its crude form were compared. In most cases, the purification process significantly (p &lt; 0.05) improved the physicochemical properties of heteropolysaccharide-protein biopolymer from durian fruit seed. The present work showed that the precipitation using isopropanol and acetone (Method B) resulted in the highest purification yield among all the tested purification techniques. The precipitation using saturated barium hydroxide (Method C) led to induce the highest solubility and relatively high capacity of water absorption. The current study reveals that the precipitation using Fehling solution (Method D) most efficiently eliminates the protein fraction, thus providing more pure biopolymer suitable for biological applications.","container-title":"Molecules","DOI":"10.3390/molecules170910875","ISSN":"1420-3049","issue":"9","language":"en","license":"http://creativecommons.org/licenses/by/3.0/","note":"number: 9\npublisher: Molecular Diversity Preservation International","page":"10875-10892","source":"www.mdpi.com","title":"Effect of Different Purification Techniques on the Characteristics of Heteropolysaccharide-Protein Biopolymer from Durian (Durio zibethinus) Seed","volume":"17","author":[{"family":"Amid","given":"Bahareh Tabatabaee"},{"family":"Mirhosseini","given":"Hamed"}],"issued":{"date-parts":[["2012",9]]}}}],"schema":"https://github.com/citation-style-language/schema/raw/master/csl-citation.json"} </w:instrText>
      </w:r>
      <w:r w:rsidRPr="0043107C">
        <w:rPr>
          <w:rFonts w:ascii="Arial" w:hAnsi="Arial" w:cs="Arial"/>
        </w:rPr>
        <w:fldChar w:fldCharType="separate"/>
      </w:r>
      <w:r w:rsidRPr="0043107C">
        <w:rPr>
          <w:rFonts w:ascii="Arial" w:hAnsi="Arial" w:cs="Arial"/>
          <w:szCs w:val="16"/>
        </w:rPr>
        <w:t>Amid &amp; Mirhosseini (2012)</w:t>
      </w:r>
      <w:r w:rsidRPr="0043107C">
        <w:rPr>
          <w:rFonts w:ascii="Arial" w:hAnsi="Arial" w:cs="Arial"/>
        </w:rPr>
        <w:fldChar w:fldCharType="end"/>
      </w:r>
      <w:r w:rsidRPr="0043107C">
        <w:rPr>
          <w:rFonts w:ascii="Arial" w:hAnsi="Arial" w:cs="Arial"/>
        </w:rPr>
        <w:t xml:space="preserve"> with minor modifications </w:t>
      </w:r>
      <w:r w:rsidR="00D40585" w:rsidRPr="0043107C">
        <w:rPr>
          <w:rFonts w:ascii="Arial" w:hAnsi="Arial" w:cs="Arial"/>
        </w:rPr>
        <w:t>(Fig</w:t>
      </w:r>
      <w:r w:rsidR="00D40585">
        <w:rPr>
          <w:rFonts w:ascii="Arial" w:hAnsi="Arial" w:cs="Arial"/>
        </w:rPr>
        <w:t>.</w:t>
      </w:r>
      <w:r w:rsidR="00D40585" w:rsidRPr="0043107C">
        <w:rPr>
          <w:rFonts w:ascii="Arial" w:hAnsi="Arial" w:cs="Arial"/>
        </w:rPr>
        <w:t xml:space="preserve"> </w:t>
      </w:r>
      <w:r w:rsidR="00D40585">
        <w:rPr>
          <w:rFonts w:ascii="Arial" w:hAnsi="Arial" w:cs="Arial"/>
        </w:rPr>
        <w:t>2</w:t>
      </w:r>
      <w:r w:rsidR="00D40585" w:rsidRPr="0043107C">
        <w:rPr>
          <w:rFonts w:ascii="Arial" w:hAnsi="Arial" w:cs="Arial"/>
        </w:rPr>
        <w:t>)</w:t>
      </w:r>
      <w:r w:rsidRPr="0043107C">
        <w:rPr>
          <w:rFonts w:ascii="Arial" w:hAnsi="Arial" w:cs="Arial"/>
        </w:rPr>
        <w:t>. The supernatant was added with ethanol (95%) (ethanol/supernatant ratio, 2:1), and the whole was allowed to settle for 30 min at room temperature. The white precipitate formed was collected and kept overnight in 250 mL of 99.5% isopropanol. The collected precipitate was then dried in an oven (MEMMERT, Germany) at 50°C for 8 hours. The dry gum was ground (sample EI) and stored in a plastic container at room temperature (27 ± 1°C) for subsequent analysis.</w:t>
      </w:r>
    </w:p>
    <w:p w14:paraId="0D3DA5FF" w14:textId="77777777" w:rsidR="0043107C" w:rsidRPr="0043107C" w:rsidRDefault="0043107C" w:rsidP="0043107C">
      <w:pPr>
        <w:pStyle w:val="NormalWeb"/>
        <w:spacing w:after="0"/>
        <w:jc w:val="both"/>
        <w:rPr>
          <w:rFonts w:ascii="Arial" w:hAnsi="Arial" w:cs="Arial"/>
          <w:b/>
        </w:rPr>
      </w:pPr>
      <w:r w:rsidRPr="0043107C">
        <w:rPr>
          <w:rFonts w:ascii="Arial" w:hAnsi="Arial" w:cs="Arial"/>
          <w:b/>
        </w:rPr>
        <w:t>Method D (combined Fehling and ethanol precipitation with ethanol washing)</w:t>
      </w:r>
    </w:p>
    <w:p w14:paraId="1115D3D9" w14:textId="7A0D3982" w:rsidR="0043107C" w:rsidRDefault="0043107C" w:rsidP="0043107C">
      <w:pPr>
        <w:pStyle w:val="NormalWeb"/>
        <w:spacing w:before="0" w:after="0"/>
        <w:jc w:val="both"/>
        <w:rPr>
          <w:rFonts w:ascii="Arial" w:hAnsi="Arial" w:cs="Arial"/>
        </w:rPr>
      </w:pPr>
      <w:r w:rsidRPr="0043107C">
        <w:rPr>
          <w:rFonts w:ascii="Arial" w:hAnsi="Arial" w:cs="Arial"/>
        </w:rPr>
        <w:t xml:space="preserve">The aqueous fraction was precipitated with Fehling's solution according to the method of </w:t>
      </w:r>
      <w:r w:rsidRPr="0043107C">
        <w:rPr>
          <w:rFonts w:ascii="Arial" w:hAnsi="Arial" w:cs="Arial"/>
        </w:rPr>
        <w:fldChar w:fldCharType="begin"/>
      </w:r>
      <w:r w:rsidRPr="0043107C">
        <w:rPr>
          <w:rFonts w:ascii="Arial" w:hAnsi="Arial" w:cs="Arial"/>
        </w:rPr>
        <w:instrText xml:space="preserve"> ADDIN ZOTERO_ITEM CSL_CITATION {"citationID":"mCKzPs5f","properties":{"formattedCitation":"(Cunha et al., 2007)","plainCitation":"(Cunha et al., 2007)","dontUpdate":true,"noteIndex":0},"citationItems":[{"id":99,"uris":["http://zotero.org/users/16649851/items/K76TCU52"],"itemData":{"id":99,"type":"article-journal","abstract":"Commercial guar gum (GG) was purified by four different methods and characterized by gel permeation chromatography (GPC), thermogravimetric analysis and the determination of monosaccharides composition, protein and copper content, turbidity, intrinsic viscosity and rheological parameters. The first method was based on enzymatic hydrolysis with porcine pancreatin. In the second method successive gum dissolution, centrifugation and precipitation with acetone and ethanol were carried out. Precipitation with Fehling solution was employed in the third method. In the fourth method, the gum was purified by method 2 and then by method 3. All methods led to a reduction in protein content, arabinose and glucose residues, considered as sugar contaminants, and also in intrinsic viscosity and molar mass. Total elimination of protein was only achieved by method 4. Using methods 3 and 4, the gum was contaminated with small amounts of Cu(II) from the Fehling solution. Methods 2 and 4 apparently provided purer guar gum. If the amount of protein is a crucial parameter in the biological application and the guar will be taken in low amounts, method 4 is recommended. Taking into account the purity, thermal stability, rheological parameters of the purified gum and also the cost and simplicity of the procedure, method 2 has wider biological application.","container-title":"International Journal of Biological Macromolecules","DOI":"10.1016/j.ijbiomac.2007.04.003","ISSN":"0141-8130","issue":"3","journalAbbreviation":"International Journal of Biological Macromolecules","page":"324-331","source":"ScienceDirect","title":"Purification of guar gum for biological applications","volume":"41","author":[{"family":"Cunha","given":"Pablyana L. R."},{"family":"Paula","given":"Regina C. M.","dropping-particle":"de"},{"family":"Feitosa","given":"Judith P. A."}],"issued":{"date-parts":[["2007",8,1]]}}}],"schema":"https://github.com/citation-style-language/schema/raw/master/csl-citation.json"} </w:instrText>
      </w:r>
      <w:r w:rsidRPr="0043107C">
        <w:rPr>
          <w:rFonts w:ascii="Arial" w:hAnsi="Arial" w:cs="Arial"/>
        </w:rPr>
        <w:fldChar w:fldCharType="separate"/>
      </w:r>
      <w:r w:rsidRPr="0043107C">
        <w:rPr>
          <w:rFonts w:ascii="Arial" w:hAnsi="Arial" w:cs="Arial"/>
          <w:szCs w:val="16"/>
        </w:rPr>
        <w:t>Cunha et al., (2007)</w:t>
      </w:r>
      <w:r w:rsidRPr="0043107C">
        <w:rPr>
          <w:rFonts w:ascii="Arial" w:hAnsi="Arial" w:cs="Arial"/>
        </w:rPr>
        <w:fldChar w:fldCharType="end"/>
      </w:r>
      <w:r w:rsidRPr="0043107C">
        <w:rPr>
          <w:rFonts w:ascii="Arial" w:hAnsi="Arial" w:cs="Arial"/>
        </w:rPr>
        <w:t xml:space="preserve"> with minor modifications </w:t>
      </w:r>
      <w:r w:rsidR="00D40585" w:rsidRPr="0043107C">
        <w:rPr>
          <w:rFonts w:ascii="Arial" w:hAnsi="Arial" w:cs="Arial"/>
        </w:rPr>
        <w:t>(Fig</w:t>
      </w:r>
      <w:r w:rsidR="00D40585">
        <w:rPr>
          <w:rFonts w:ascii="Arial" w:hAnsi="Arial" w:cs="Arial"/>
        </w:rPr>
        <w:t>.</w:t>
      </w:r>
      <w:r w:rsidR="00D40585" w:rsidRPr="0043107C">
        <w:rPr>
          <w:rFonts w:ascii="Arial" w:hAnsi="Arial" w:cs="Arial"/>
        </w:rPr>
        <w:t xml:space="preserve"> </w:t>
      </w:r>
      <w:r w:rsidR="00D40585">
        <w:rPr>
          <w:rFonts w:ascii="Arial" w:hAnsi="Arial" w:cs="Arial"/>
        </w:rPr>
        <w:t>2</w:t>
      </w:r>
      <w:r w:rsidR="00D40585" w:rsidRPr="0043107C">
        <w:rPr>
          <w:rFonts w:ascii="Arial" w:hAnsi="Arial" w:cs="Arial"/>
        </w:rPr>
        <w:t>)</w:t>
      </w:r>
      <w:r w:rsidRPr="0043107C">
        <w:rPr>
          <w:rFonts w:ascii="Arial" w:hAnsi="Arial" w:cs="Arial"/>
        </w:rPr>
        <w:t xml:space="preserve">. The supernatant was precipitated by the addition of an equivalent volume of a freshly prepared Fehling solution. The precipitate, collected on filter paper, was then dissolved in 200 mL of hydrochloric acid solution (0.1 M HCl) with stirring for 1 h to complete dissolution. The resulting suspension was precipitated with 600 mL of 96% ethanol. The precipitate was then washed twice with ethanol (96% v/v) and dried in an oven (MEMMERT, Germany) at 50°C for 8 hours. The dry gum was ground (sample Fs) and stored in plastic containers at room temperature (27 ± 1°C) for futher analysis. </w:t>
      </w:r>
    </w:p>
    <w:p w14:paraId="082AA121" w14:textId="77777777" w:rsidR="00C81E0D" w:rsidRDefault="00C81E0D" w:rsidP="0043107C">
      <w:pPr>
        <w:pStyle w:val="NormalWeb"/>
        <w:spacing w:before="0" w:after="0"/>
        <w:jc w:val="both"/>
        <w:rPr>
          <w:rFonts w:ascii="Arial" w:hAnsi="Arial" w:cs="Arial"/>
        </w:rPr>
      </w:pPr>
    </w:p>
    <w:p w14:paraId="67E46FC3" w14:textId="77777777" w:rsidR="00C81E0D" w:rsidRDefault="00C81E0D" w:rsidP="0043107C">
      <w:pPr>
        <w:pStyle w:val="NormalWeb"/>
        <w:spacing w:before="0" w:after="0"/>
        <w:jc w:val="both"/>
        <w:rPr>
          <w:rFonts w:ascii="Arial" w:hAnsi="Arial" w:cs="Arial"/>
        </w:rPr>
      </w:pPr>
    </w:p>
    <w:p w14:paraId="393D1C01" w14:textId="77777777" w:rsidR="00C81E0D" w:rsidRDefault="00C81E0D" w:rsidP="0043107C">
      <w:pPr>
        <w:pStyle w:val="NormalWeb"/>
        <w:spacing w:before="0" w:after="0"/>
        <w:jc w:val="both"/>
        <w:rPr>
          <w:rFonts w:ascii="Arial" w:hAnsi="Arial" w:cs="Arial"/>
        </w:rPr>
      </w:pPr>
    </w:p>
    <w:p w14:paraId="1606F7AA" w14:textId="089256AA" w:rsidR="004F10DA" w:rsidRDefault="004F10DA" w:rsidP="0043107C">
      <w:pPr>
        <w:pStyle w:val="NormalWeb"/>
        <w:spacing w:before="0" w:after="0"/>
        <w:jc w:val="both"/>
        <w:rPr>
          <w:rFonts w:ascii="Arial" w:hAnsi="Arial" w:cs="Arial"/>
          <w:noProof/>
        </w:rPr>
      </w:pPr>
    </w:p>
    <w:p w14:paraId="0B7F5149" w14:textId="6CA304B5" w:rsidR="004F10DA" w:rsidRDefault="00BA50AF" w:rsidP="007060B5">
      <w:pPr>
        <w:pStyle w:val="NormalWeb"/>
        <w:spacing w:before="0" w:after="0"/>
        <w:jc w:val="both"/>
        <w:rPr>
          <w:rFonts w:ascii="Arial" w:hAnsi="Arial" w:cs="Arial"/>
        </w:rPr>
      </w:pPr>
      <w:r>
        <w:rPr>
          <w:noProof/>
        </w:rPr>
        <w:lastRenderedPageBreak/>
        <mc:AlternateContent>
          <mc:Choice Requires="wps">
            <w:drawing>
              <wp:anchor distT="0" distB="0" distL="114300" distR="114300" simplePos="0" relativeHeight="251671552" behindDoc="0" locked="0" layoutInCell="1" allowOverlap="1" wp14:anchorId="4FADB1FA" wp14:editId="21B9B6B5">
                <wp:simplePos x="0" y="0"/>
                <wp:positionH relativeFrom="column">
                  <wp:posOffset>4062730</wp:posOffset>
                </wp:positionH>
                <wp:positionV relativeFrom="paragraph">
                  <wp:posOffset>4883150</wp:posOffset>
                </wp:positionV>
                <wp:extent cx="1071880" cy="457200"/>
                <wp:effectExtent l="18415" t="15875" r="14605" b="12700"/>
                <wp:wrapNone/>
                <wp:docPr id="4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57200"/>
                        </a:xfrm>
                        <a:prstGeom prst="rect">
                          <a:avLst/>
                        </a:prstGeom>
                        <a:solidFill>
                          <a:srgbClr val="FFFFFF"/>
                        </a:solidFill>
                        <a:ln w="19050">
                          <a:solidFill>
                            <a:srgbClr val="0070C0"/>
                          </a:solidFill>
                          <a:miter lim="800000"/>
                          <a:headEnd/>
                          <a:tailEnd/>
                        </a:ln>
                      </wps:spPr>
                      <wps:txbx>
                        <w:txbxContent>
                          <w:p w14:paraId="503FFE64"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Washing</w:t>
                            </w:r>
                          </w:p>
                          <w:p w14:paraId="420F20F6"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FADB1FA" id="_x0000_t202" coordsize="21600,21600" o:spt="202" path="m,l,21600r21600,l21600,xe">
                <v:stroke joinstyle="miter"/>
                <v:path gradientshapeok="t" o:connecttype="rect"/>
              </v:shapetype>
              <v:shape id="Text Box 66" o:spid="_x0000_s1026" type="#_x0000_t202" style="position:absolute;left:0;text-align:left;margin-left:319.9pt;margin-top:384.5pt;width:84.4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" strokecolor="#0070c0" strokeweight="1.5pt">
                <v:textbox>
                  <w:txbxContent>
                    <w:p w14:paraId="503FFE64"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Washing</w:t>
                      </w:r>
                    </w:p>
                    <w:p w14:paraId="420F20F6"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1C87E2D" wp14:editId="58DA2840">
                <wp:simplePos x="0" y="0"/>
                <wp:positionH relativeFrom="column">
                  <wp:posOffset>4062730</wp:posOffset>
                </wp:positionH>
                <wp:positionV relativeFrom="paragraph">
                  <wp:posOffset>4255770</wp:posOffset>
                </wp:positionV>
                <wp:extent cx="1043940" cy="454025"/>
                <wp:effectExtent l="18415" t="17145" r="13970" b="14605"/>
                <wp:wrapNone/>
                <wp:docPr id="4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54025"/>
                        </a:xfrm>
                        <a:prstGeom prst="rect">
                          <a:avLst/>
                        </a:prstGeom>
                        <a:solidFill>
                          <a:srgbClr val="FFFFFF"/>
                        </a:solidFill>
                        <a:ln w="19050">
                          <a:solidFill>
                            <a:srgbClr val="0070C0"/>
                          </a:solidFill>
                          <a:miter lim="800000"/>
                          <a:headEnd/>
                          <a:tailEnd/>
                        </a:ln>
                      </wps:spPr>
                      <wps:txbx>
                        <w:txbxContent>
                          <w:p w14:paraId="6AC24729"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 precipitation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7E2D" id="Text Box 51" o:spid="_x0000_s1027" type="#_x0000_t202" style="position:absolute;left:0;text-align:left;margin-left:319.9pt;margin-top:335.1pt;width:82.2pt;height:3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" strokecolor="#0070c0" strokeweight="1.5pt">
                <v:textbox>
                  <w:txbxContent>
                    <w:p w14:paraId="6AC24729"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 precipitation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C7DF536" wp14:editId="6A6067AE">
                <wp:simplePos x="0" y="0"/>
                <wp:positionH relativeFrom="column">
                  <wp:posOffset>4062730</wp:posOffset>
                </wp:positionH>
                <wp:positionV relativeFrom="paragraph">
                  <wp:posOffset>3660140</wp:posOffset>
                </wp:positionV>
                <wp:extent cx="1043940" cy="436880"/>
                <wp:effectExtent l="18415" t="12065" r="13970" b="17780"/>
                <wp:wrapNone/>
                <wp:docPr id="45"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36880"/>
                        </a:xfrm>
                        <a:prstGeom prst="rect">
                          <a:avLst/>
                        </a:prstGeom>
                        <a:solidFill>
                          <a:srgbClr val="FFFFFF"/>
                        </a:solidFill>
                        <a:ln w="19050">
                          <a:solidFill>
                            <a:srgbClr val="0070C0"/>
                          </a:solidFill>
                          <a:miter lim="800000"/>
                          <a:headEnd/>
                          <a:tailEnd/>
                        </a:ln>
                      </wps:spPr>
                      <wps:txbx>
                        <w:txbxContent>
                          <w:p w14:paraId="74F0FC92" w14:textId="77777777" w:rsidR="00E2169E" w:rsidRPr="00E2169E" w:rsidRDefault="00E2169E" w:rsidP="00E2169E">
                            <w:pPr>
                              <w:jc w:val="center"/>
                              <w:rPr>
                                <w:rFonts w:ascii="Arial" w:hAnsi="Arial" w:cs="Arial"/>
                                <w:sz w:val="22"/>
                                <w:szCs w:val="18"/>
                              </w:rPr>
                            </w:pPr>
                            <w:bookmarkStart w:id="2" w:name="_Hlk193124686"/>
                            <w:bookmarkStart w:id="3" w:name="_Hlk193124687"/>
                            <w:r w:rsidRPr="00E2169E">
                              <w:rPr>
                                <w:rFonts w:ascii="Arial" w:hAnsi="Arial" w:cs="Arial"/>
                                <w:sz w:val="22"/>
                                <w:szCs w:val="18"/>
                              </w:rPr>
                              <w:t>Dissolution</w:t>
                            </w:r>
                          </w:p>
                          <w:p w14:paraId="5C1662FA" w14:textId="03B4959B" w:rsidR="00E2169E" w:rsidRPr="00E2169E" w:rsidRDefault="00E2169E" w:rsidP="00E2169E">
                            <w:pPr>
                              <w:jc w:val="center"/>
                              <w:rPr>
                                <w:rFonts w:ascii="Arial" w:hAnsi="Arial" w:cs="Arial"/>
                                <w:sz w:val="22"/>
                                <w:szCs w:val="18"/>
                              </w:rPr>
                            </w:pPr>
                            <w:r w:rsidRPr="00E2169E">
                              <w:rPr>
                                <w:rFonts w:ascii="Arial" w:hAnsi="Arial" w:cs="Arial"/>
                                <w:sz w:val="22"/>
                                <w:szCs w:val="18"/>
                              </w:rPr>
                              <w:t>(HCl</w:t>
                            </w:r>
                            <w:bookmarkEnd w:id="2"/>
                            <w:bookmarkEnd w:id="3"/>
                            <w:r>
                              <w:rPr>
                                <w:rFonts w:ascii="Arial" w:hAnsi="Arial" w:cs="Arial"/>
                                <w:sz w:val="22"/>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DF536" id="Text Box 383" o:spid="_x0000_s1028" type="#_x0000_t202" style="position:absolute;left:0;text-align:left;margin-left:319.9pt;margin-top:288.2pt;width:82.2pt;height:3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" strokecolor="#0070c0" strokeweight="1.5pt">
                <v:textbox>
                  <w:txbxContent>
                    <w:p w14:paraId="74F0FC92" w14:textId="77777777" w:rsidR="00E2169E" w:rsidRPr="00E2169E" w:rsidRDefault="00E2169E" w:rsidP="00E2169E">
                      <w:pPr>
                        <w:jc w:val="center"/>
                        <w:rPr>
                          <w:rFonts w:ascii="Arial" w:hAnsi="Arial" w:cs="Arial"/>
                          <w:sz w:val="22"/>
                          <w:szCs w:val="18"/>
                        </w:rPr>
                      </w:pPr>
                      <w:bookmarkStart w:id="4" w:name="_Hlk193124686"/>
                      <w:bookmarkStart w:id="5" w:name="_Hlk193124687"/>
                      <w:r w:rsidRPr="00E2169E">
                        <w:rPr>
                          <w:rFonts w:ascii="Arial" w:hAnsi="Arial" w:cs="Arial"/>
                          <w:sz w:val="22"/>
                          <w:szCs w:val="18"/>
                        </w:rPr>
                        <w:t>Dissolution</w:t>
                      </w:r>
                    </w:p>
                    <w:p w14:paraId="5C1662FA" w14:textId="03B4959B" w:rsidR="00E2169E" w:rsidRPr="00E2169E" w:rsidRDefault="00E2169E" w:rsidP="00E2169E">
                      <w:pPr>
                        <w:jc w:val="center"/>
                        <w:rPr>
                          <w:rFonts w:ascii="Arial" w:hAnsi="Arial" w:cs="Arial"/>
                          <w:sz w:val="22"/>
                          <w:szCs w:val="18"/>
                        </w:rPr>
                      </w:pPr>
                      <w:r w:rsidRPr="00E2169E">
                        <w:rPr>
                          <w:rFonts w:ascii="Arial" w:hAnsi="Arial" w:cs="Arial"/>
                          <w:sz w:val="22"/>
                          <w:szCs w:val="18"/>
                        </w:rPr>
                        <w:t>(HCl</w:t>
                      </w:r>
                      <w:bookmarkEnd w:id="4"/>
                      <w:bookmarkEnd w:id="5"/>
                      <w:r>
                        <w:rPr>
                          <w:rFonts w:ascii="Arial" w:hAnsi="Arial" w:cs="Arial"/>
                          <w:sz w:val="22"/>
                          <w:szCs w:val="18"/>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E14D6A6" wp14:editId="28150329">
                <wp:simplePos x="0" y="0"/>
                <wp:positionH relativeFrom="column">
                  <wp:posOffset>2957195</wp:posOffset>
                </wp:positionH>
                <wp:positionV relativeFrom="paragraph">
                  <wp:posOffset>3660140</wp:posOffset>
                </wp:positionV>
                <wp:extent cx="1033145" cy="487045"/>
                <wp:effectExtent l="17780" t="12065" r="15875" b="15240"/>
                <wp:wrapNone/>
                <wp:docPr id="4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487045"/>
                        </a:xfrm>
                        <a:prstGeom prst="rect">
                          <a:avLst/>
                        </a:prstGeom>
                        <a:solidFill>
                          <a:srgbClr val="FFFFFF"/>
                        </a:solidFill>
                        <a:ln w="19050">
                          <a:solidFill>
                            <a:srgbClr val="0070C0"/>
                          </a:solidFill>
                          <a:miter lim="800000"/>
                          <a:headEnd/>
                          <a:tailEnd/>
                        </a:ln>
                      </wps:spPr>
                      <wps:txbx>
                        <w:txbxContent>
                          <w:p w14:paraId="270F38F2" w14:textId="77777777" w:rsidR="00E2169E" w:rsidRPr="00E2169E" w:rsidRDefault="00E2169E" w:rsidP="00E2169E">
                            <w:pPr>
                              <w:jc w:val="center"/>
                              <w:rPr>
                                <w:rFonts w:ascii="Arial" w:hAnsi="Arial" w:cs="Arial"/>
                                <w:sz w:val="22"/>
                                <w:szCs w:val="18"/>
                              </w:rPr>
                            </w:pPr>
                            <w:bookmarkStart w:id="6" w:name="_Hlk193124544"/>
                            <w:r w:rsidRPr="00E2169E">
                              <w:rPr>
                                <w:rFonts w:ascii="Arial" w:hAnsi="Arial" w:cs="Arial"/>
                                <w:sz w:val="22"/>
                                <w:szCs w:val="18"/>
                              </w:rPr>
                              <w:t>Washing</w:t>
                            </w:r>
                          </w:p>
                          <w:p w14:paraId="0E085F5A" w14:textId="77777777" w:rsidR="00E2169E" w:rsidRPr="00E2169E" w:rsidRDefault="00E2169E" w:rsidP="00E2169E">
                            <w:pPr>
                              <w:jc w:val="center"/>
                              <w:rPr>
                                <w:rFonts w:ascii="Arial" w:hAnsi="Arial" w:cs="Arial"/>
                                <w:sz w:val="22"/>
                                <w:szCs w:val="18"/>
                              </w:rPr>
                            </w:pPr>
                            <w:r w:rsidRPr="00E2169E">
                              <w:rPr>
                                <w:rFonts w:ascii="Arial" w:hAnsi="Arial" w:cs="Arial"/>
                                <w:sz w:val="22"/>
                                <w:szCs w:val="18"/>
                              </w:rPr>
                              <w:t>(Isopropanol</w:t>
                            </w:r>
                            <w:bookmarkEnd w:id="6"/>
                            <w:r w:rsidRPr="00E2169E">
                              <w:rPr>
                                <w:rFonts w:ascii="Arial" w:hAnsi="Arial" w:cs="Arial"/>
                                <w:sz w:val="22"/>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D6A6" id="Text Box 384" o:spid="_x0000_s1029" type="#_x0000_t202" style="position:absolute;left:0;text-align:left;margin-left:232.85pt;margin-top:288.2pt;width:81.35pt;height: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" strokecolor="#0070c0" strokeweight="1.5pt">
                <v:textbox>
                  <w:txbxContent>
                    <w:p w14:paraId="270F38F2" w14:textId="77777777" w:rsidR="00E2169E" w:rsidRPr="00E2169E" w:rsidRDefault="00E2169E" w:rsidP="00E2169E">
                      <w:pPr>
                        <w:jc w:val="center"/>
                        <w:rPr>
                          <w:rFonts w:ascii="Arial" w:hAnsi="Arial" w:cs="Arial"/>
                          <w:sz w:val="22"/>
                          <w:szCs w:val="18"/>
                        </w:rPr>
                      </w:pPr>
                      <w:bookmarkStart w:id="7" w:name="_Hlk193124544"/>
                      <w:r w:rsidRPr="00E2169E">
                        <w:rPr>
                          <w:rFonts w:ascii="Arial" w:hAnsi="Arial" w:cs="Arial"/>
                          <w:sz w:val="22"/>
                          <w:szCs w:val="18"/>
                        </w:rPr>
                        <w:t>Washing</w:t>
                      </w:r>
                    </w:p>
                    <w:p w14:paraId="0E085F5A" w14:textId="77777777" w:rsidR="00E2169E" w:rsidRPr="00E2169E" w:rsidRDefault="00E2169E" w:rsidP="00E2169E">
                      <w:pPr>
                        <w:jc w:val="center"/>
                        <w:rPr>
                          <w:rFonts w:ascii="Arial" w:hAnsi="Arial" w:cs="Arial"/>
                          <w:sz w:val="22"/>
                          <w:szCs w:val="18"/>
                        </w:rPr>
                      </w:pPr>
                      <w:r w:rsidRPr="00E2169E">
                        <w:rPr>
                          <w:rFonts w:ascii="Arial" w:hAnsi="Arial" w:cs="Arial"/>
                          <w:sz w:val="22"/>
                          <w:szCs w:val="18"/>
                        </w:rPr>
                        <w:t>(Isopropanol</w:t>
                      </w:r>
                      <w:bookmarkEnd w:id="7"/>
                      <w:r w:rsidRPr="00E2169E">
                        <w:rPr>
                          <w:rFonts w:ascii="Arial" w:hAnsi="Arial" w:cs="Arial"/>
                          <w:sz w:val="22"/>
                          <w:szCs w:val="18"/>
                        </w:rPr>
                        <w:t>)</w:t>
                      </w:r>
                    </w:p>
                  </w:txbxContent>
                </v:textbox>
              </v:shape>
            </w:pict>
          </mc:Fallback>
        </mc:AlternateContent>
      </w:r>
      <w:r>
        <w:rPr>
          <w:rFonts w:ascii="Arial" w:hAnsi="Arial" w:cs="Arial"/>
          <w:noProof/>
        </w:rPr>
        <mc:AlternateContent>
          <mc:Choice Requires="wpg">
            <w:drawing>
              <wp:inline distT="0" distB="0" distL="0" distR="0" wp14:anchorId="49BE9CF3" wp14:editId="0A14ADCA">
                <wp:extent cx="5313045" cy="6850380"/>
                <wp:effectExtent l="22860" t="19050" r="17145" b="17145"/>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3045" cy="6850380"/>
                          <a:chOff x="0" y="-779"/>
                          <a:chExt cx="53133" cy="68501"/>
                        </a:xfrm>
                      </wpg:grpSpPr>
                      <wps:wsp>
                        <wps:cNvPr id="5" name="AutoShape 48"/>
                        <wps:cNvSpPr>
                          <a:spLocks noChangeArrowheads="1"/>
                        </wps:cNvSpPr>
                        <wps:spPr bwMode="auto">
                          <a:xfrm>
                            <a:off x="29450" y="60862"/>
                            <a:ext cx="10951" cy="6735"/>
                          </a:xfrm>
                          <a:prstGeom prst="flowChartTerminator">
                            <a:avLst/>
                          </a:prstGeom>
                          <a:solidFill>
                            <a:schemeClr val="accent3">
                              <a:lumMod val="40000"/>
                              <a:lumOff val="60000"/>
                            </a:schemeClr>
                          </a:solidFill>
                          <a:ln w="28575">
                            <a:solidFill>
                              <a:schemeClr val="tx1">
                                <a:lumMod val="100000"/>
                                <a:lumOff val="0"/>
                              </a:schemeClr>
                            </a:solidFill>
                            <a:miter lim="800000"/>
                            <a:headEnd/>
                            <a:tailEnd/>
                          </a:ln>
                        </wps:spPr>
                        <wps:txbx>
                          <w:txbxContent>
                            <w:p w14:paraId="7464ECE2"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EI</w:t>
                              </w:r>
                            </w:p>
                            <w:p w14:paraId="5EE0821A"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(C)</w:t>
                              </w:r>
                            </w:p>
                            <w:p w14:paraId="65EBFDC7" w14:textId="77777777" w:rsidR="00E2169E" w:rsidRPr="00E2169E" w:rsidRDefault="00E2169E" w:rsidP="00E2169E">
                              <w:pPr>
                                <w:spacing w:line="360" w:lineRule="auto"/>
                                <w:jc w:val="center"/>
                                <w:rPr>
                                  <w:rFonts w:ascii="Arial" w:hAnsi="Arial" w:cs="Arial"/>
                                  <w:b/>
                                  <w:sz w:val="22"/>
                                  <w:szCs w:val="22"/>
                                </w:rPr>
                              </w:pPr>
                            </w:p>
                            <w:p w14:paraId="2973AF6F" w14:textId="77777777" w:rsidR="00E2169E" w:rsidRPr="00E2169E" w:rsidRDefault="00E2169E" w:rsidP="00E2169E">
                              <w:pPr>
                                <w:spacing w:line="360" w:lineRule="auto"/>
                                <w:rPr>
                                  <w:rFonts w:ascii="Arial" w:hAnsi="Arial" w:cs="Arial"/>
                                  <w:sz w:val="22"/>
                                  <w:szCs w:val="22"/>
                                </w:rPr>
                              </w:pPr>
                            </w:p>
                          </w:txbxContent>
                        </wps:txbx>
                        <wps:bodyPr rot="0" vert="horz" wrap="square" lIns="91440" tIns="45720" rIns="91440" bIns="45720" anchor="t" anchorCtr="0" upright="1">
                          <a:noAutofit/>
                        </wps:bodyPr>
                      </wps:wsp>
                      <wps:wsp>
                        <wps:cNvPr id="6" name="AutoShape 34"/>
                        <wps:cNvCnPr>
                          <a:cxnSpLocks noChangeShapeType="1"/>
                        </wps:cNvCnPr>
                        <wps:spPr bwMode="auto">
                          <a:xfrm>
                            <a:off x="28834" y="25391"/>
                            <a:ext cx="0" cy="10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3"/>
                        <wps:cNvSpPr>
                          <a:spLocks noChangeArrowheads="1"/>
                        </wps:cNvSpPr>
                        <wps:spPr bwMode="auto">
                          <a:xfrm>
                            <a:off x="17029" y="61030"/>
                            <a:ext cx="10930" cy="6692"/>
                          </a:xfrm>
                          <a:prstGeom prst="flowChartTerminator">
                            <a:avLst/>
                          </a:prstGeom>
                          <a:solidFill>
                            <a:schemeClr val="accent3">
                              <a:lumMod val="40000"/>
                              <a:lumOff val="60000"/>
                            </a:schemeClr>
                          </a:solidFill>
                          <a:ln w="28575">
                            <a:solidFill>
                              <a:schemeClr val="tx1">
                                <a:lumMod val="100000"/>
                                <a:lumOff val="0"/>
                              </a:schemeClr>
                            </a:solidFill>
                            <a:miter lim="800000"/>
                            <a:headEnd/>
                            <a:tailEnd/>
                          </a:ln>
                        </wps:spPr>
                        <wps:txbx>
                          <w:txbxContent>
                            <w:p w14:paraId="5797EE31"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I</w:t>
                              </w:r>
                            </w:p>
                            <w:p w14:paraId="747907F8" w14:textId="2FDC4422" w:rsidR="00E2169E" w:rsidRPr="00C50F86" w:rsidRDefault="00E2169E" w:rsidP="00C50F86">
                              <w:pPr>
                                <w:jc w:val="center"/>
                                <w:rPr>
                                  <w:rFonts w:ascii="Arial" w:hAnsi="Arial" w:cs="Arial"/>
                                  <w:b/>
                                  <w:sz w:val="22"/>
                                  <w:szCs w:val="22"/>
                                </w:rPr>
                              </w:pPr>
                              <w:r w:rsidRPr="00E2169E">
                                <w:rPr>
                                  <w:rFonts w:ascii="Arial" w:hAnsi="Arial" w:cs="Arial"/>
                                  <w:b/>
                                  <w:sz w:val="22"/>
                                  <w:szCs w:val="22"/>
                                </w:rPr>
                                <w:t>Method (B)</w:t>
                              </w:r>
                            </w:p>
                          </w:txbxContent>
                        </wps:txbx>
                        <wps:bodyPr rot="0" vert="horz" wrap="square" lIns="91440" tIns="45720" rIns="91440" bIns="45720" anchor="t" anchorCtr="0" upright="1">
                          <a:noAutofit/>
                        </wps:bodyPr>
                      </wps:wsp>
                      <wps:wsp>
                        <wps:cNvPr id="8" name="AutoShape 45"/>
                        <wps:cNvCnPr>
                          <a:cxnSpLocks noChangeShapeType="1"/>
                        </wps:cNvCnPr>
                        <wps:spPr bwMode="auto">
                          <a:xfrm>
                            <a:off x="46544" y="56544"/>
                            <a:ext cx="0" cy="4318"/>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46"/>
                        <wps:cNvCnPr>
                          <a:cxnSpLocks noChangeShapeType="1"/>
                        </wps:cNvCnPr>
                        <wps:spPr bwMode="auto">
                          <a:xfrm>
                            <a:off x="22833" y="56544"/>
                            <a:ext cx="0" cy="4318"/>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47"/>
                        <wps:cNvCnPr>
                          <a:cxnSpLocks noChangeShapeType="1"/>
                        </wps:cNvCnPr>
                        <wps:spPr bwMode="auto">
                          <a:xfrm>
                            <a:off x="35273" y="56544"/>
                            <a:ext cx="0" cy="4318"/>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0948" y="26667"/>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CnPr>
                          <a:cxnSpLocks noChangeShapeType="1"/>
                        </wps:cNvCnPr>
                        <wps:spPr bwMode="auto">
                          <a:xfrm>
                            <a:off x="22431" y="26667"/>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1"/>
                        <wps:cNvCnPr>
                          <a:cxnSpLocks noChangeShapeType="1"/>
                        </wps:cNvCnPr>
                        <wps:spPr bwMode="auto">
                          <a:xfrm>
                            <a:off x="10951" y="26687"/>
                            <a:ext cx="3491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
                        <wps:cNvCnPr>
                          <a:cxnSpLocks noChangeShapeType="1"/>
                        </wps:cNvCnPr>
                        <wps:spPr bwMode="auto">
                          <a:xfrm>
                            <a:off x="679" y="4397"/>
                            <a:ext cx="51479" cy="0"/>
                          </a:xfrm>
                          <a:prstGeom prst="straightConnector1">
                            <a:avLst/>
                          </a:prstGeom>
                          <a:noFill/>
                          <a:ln w="3810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flipH="1">
                            <a:off x="27957" y="3463"/>
                            <a:ext cx="2" cy="175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28067" y="20393"/>
                            <a:ext cx="0" cy="14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32"/>
                        <wps:cNvCnPr>
                          <a:cxnSpLocks noChangeShapeType="1"/>
                        </wps:cNvCnPr>
                        <wps:spPr bwMode="auto">
                          <a:xfrm>
                            <a:off x="34659" y="26667"/>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35"/>
                        <wps:cNvSpPr txBox="1">
                          <a:spLocks noChangeArrowheads="1"/>
                        </wps:cNvSpPr>
                        <wps:spPr bwMode="auto">
                          <a:xfrm>
                            <a:off x="212" y="6465"/>
                            <a:ext cx="4318" cy="19081"/>
                          </a:xfrm>
                          <a:prstGeom prst="rect">
                            <a:avLst/>
                          </a:prstGeom>
                          <a:solidFill>
                            <a:srgbClr val="FFFFFF"/>
                          </a:solidFill>
                          <a:ln w="12700">
                            <a:solidFill>
                              <a:schemeClr val="accent4">
                                <a:lumMod val="75000"/>
                                <a:lumOff val="0"/>
                              </a:schemeClr>
                            </a:solidFill>
                            <a:miter lim="800000"/>
                            <a:headEnd/>
                            <a:tailEnd/>
                          </a:ln>
                        </wps:spPr>
                        <wps:txbx>
                          <w:txbxContent>
                            <w:p w14:paraId="756B6E98"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Extraction step</w:t>
                              </w:r>
                            </w:p>
                          </w:txbxContent>
                        </wps:txbx>
                        <wps:bodyPr rot="0" vert="vert270" wrap="square" lIns="91440" tIns="45720" rIns="91440" bIns="45720" anchor="t" anchorCtr="0" upright="1">
                          <a:noAutofit/>
                        </wps:bodyPr>
                      </wps:wsp>
                      <wps:wsp>
                        <wps:cNvPr id="19" name="AutoShape 33"/>
                        <wps:cNvCnPr>
                          <a:cxnSpLocks noChangeShapeType="1"/>
                        </wps:cNvCnPr>
                        <wps:spPr bwMode="auto">
                          <a:xfrm>
                            <a:off x="45823" y="26773"/>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30"/>
                        <wps:cNvCnPr>
                          <a:cxnSpLocks noChangeShapeType="1"/>
                        </wps:cNvCnPr>
                        <wps:spPr bwMode="auto">
                          <a:xfrm>
                            <a:off x="0" y="26156"/>
                            <a:ext cx="51841" cy="0"/>
                          </a:xfrm>
                          <a:prstGeom prst="straightConnector1">
                            <a:avLst/>
                          </a:prstGeom>
                          <a:noFill/>
                          <a:ln w="2857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1" name="Text Box 36"/>
                        <wps:cNvSpPr txBox="1">
                          <a:spLocks noChangeArrowheads="1"/>
                        </wps:cNvSpPr>
                        <wps:spPr bwMode="auto">
                          <a:xfrm>
                            <a:off x="318" y="26667"/>
                            <a:ext cx="4318" cy="30238"/>
                          </a:xfrm>
                          <a:prstGeom prst="rect">
                            <a:avLst/>
                          </a:prstGeom>
                          <a:solidFill>
                            <a:srgbClr val="FFFFFF"/>
                          </a:solidFill>
                          <a:ln w="12700">
                            <a:solidFill>
                              <a:schemeClr val="accent4">
                                <a:lumMod val="75000"/>
                                <a:lumOff val="0"/>
                              </a:schemeClr>
                            </a:solidFill>
                            <a:miter lim="800000"/>
                            <a:headEnd/>
                            <a:tailEnd/>
                          </a:ln>
                        </wps:spPr>
                        <wps:txbx>
                          <w:txbxContent>
                            <w:p w14:paraId="58A05C4A"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Purification step</w:t>
                              </w:r>
                            </w:p>
                          </w:txbxContent>
                        </wps:txbx>
                        <wps:bodyPr rot="0" vert="vert270" wrap="square" lIns="91440" tIns="45720" rIns="91440" bIns="45720" anchor="t" anchorCtr="0" upright="1">
                          <a:noAutofit/>
                        </wps:bodyPr>
                      </wps:wsp>
                      <wps:wsp>
                        <wps:cNvPr id="22" name="Text Box 38"/>
                        <wps:cNvSpPr txBox="1">
                          <a:spLocks noChangeArrowheads="1"/>
                        </wps:cNvSpPr>
                        <wps:spPr bwMode="auto">
                          <a:xfrm>
                            <a:off x="5528" y="28825"/>
                            <a:ext cx="10440" cy="4674"/>
                          </a:xfrm>
                          <a:prstGeom prst="rect">
                            <a:avLst/>
                          </a:prstGeom>
                          <a:solidFill>
                            <a:srgbClr val="FFFFFF"/>
                          </a:solidFill>
                          <a:ln w="19050">
                            <a:solidFill>
                              <a:srgbClr val="0070C0"/>
                            </a:solidFill>
                            <a:miter lim="800000"/>
                            <a:headEnd/>
                            <a:tailEnd/>
                          </a:ln>
                        </wps:spPr>
                        <wps:txbx>
                          <w:txbxContent>
                            <w:p w14:paraId="212BF5E7"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w:t>
                              </w:r>
                            </w:p>
                            <w:p w14:paraId="2E856940"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precipitation</w:t>
                              </w:r>
                            </w:p>
                          </w:txbxContent>
                        </wps:txbx>
                        <wps:bodyPr rot="0" vert="horz" wrap="square" lIns="91440" tIns="45720" rIns="91440" bIns="45720" anchor="t" anchorCtr="0" upright="1">
                          <a:noAutofit/>
                        </wps:bodyPr>
                      </wps:wsp>
                      <wps:wsp>
                        <wps:cNvPr id="23" name="Text Box 39"/>
                        <wps:cNvSpPr txBox="1">
                          <a:spLocks noChangeArrowheads="1"/>
                        </wps:cNvSpPr>
                        <wps:spPr bwMode="auto">
                          <a:xfrm>
                            <a:off x="17011" y="28825"/>
                            <a:ext cx="10439" cy="4674"/>
                          </a:xfrm>
                          <a:prstGeom prst="rect">
                            <a:avLst/>
                          </a:prstGeom>
                          <a:solidFill>
                            <a:srgbClr val="FFFFFF"/>
                          </a:solidFill>
                          <a:ln w="19050">
                            <a:solidFill>
                              <a:srgbClr val="0070C0"/>
                            </a:solidFill>
                            <a:miter lim="800000"/>
                            <a:headEnd/>
                            <a:tailEnd/>
                          </a:ln>
                        </wps:spPr>
                        <wps:txbx>
                          <w:txbxContent>
                            <w:p w14:paraId="1E95F7D4"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Isopropanol</w:t>
                              </w:r>
                            </w:p>
                            <w:p w14:paraId="7A514D6A"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precipitation</w:t>
                              </w:r>
                            </w:p>
                          </w:txbxContent>
                        </wps:txbx>
                        <wps:bodyPr rot="0" vert="horz" wrap="square" lIns="91440" tIns="45720" rIns="91440" bIns="45720" anchor="t" anchorCtr="0" upright="1">
                          <a:noAutofit/>
                        </wps:bodyPr>
                      </wps:wsp>
                      <wps:wsp>
                        <wps:cNvPr id="24" name="Text Box 40"/>
                        <wps:cNvSpPr txBox="1">
                          <a:spLocks noChangeArrowheads="1"/>
                        </wps:cNvSpPr>
                        <wps:spPr bwMode="auto">
                          <a:xfrm>
                            <a:off x="29344" y="28931"/>
                            <a:ext cx="10439" cy="4568"/>
                          </a:xfrm>
                          <a:prstGeom prst="rect">
                            <a:avLst/>
                          </a:prstGeom>
                          <a:solidFill>
                            <a:srgbClr val="FFFFFF"/>
                          </a:solidFill>
                          <a:ln w="19050">
                            <a:solidFill>
                              <a:srgbClr val="0070C0"/>
                            </a:solidFill>
                            <a:miter lim="800000"/>
                            <a:headEnd/>
                            <a:tailEnd/>
                          </a:ln>
                        </wps:spPr>
                        <wps:txbx>
                          <w:txbxContent>
                            <w:p w14:paraId="3EC71EF9"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 precipitation</w:t>
                              </w:r>
                            </w:p>
                          </w:txbxContent>
                        </wps:txbx>
                        <wps:bodyPr rot="0" vert="horz" wrap="square" lIns="91440" tIns="45720" rIns="91440" bIns="45720" anchor="t" anchorCtr="0" upright="1">
                          <a:noAutofit/>
                        </wps:bodyPr>
                      </wps:wsp>
                      <wps:wsp>
                        <wps:cNvPr id="25" name="AutoShape 20"/>
                        <wps:cNvCnPr>
                          <a:cxnSpLocks noChangeShapeType="1"/>
                        </wps:cNvCnPr>
                        <wps:spPr bwMode="auto">
                          <a:xfrm>
                            <a:off x="34659" y="33471"/>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63"/>
                        <wps:cNvSpPr txBox="1">
                          <a:spLocks noChangeArrowheads="1"/>
                        </wps:cNvSpPr>
                        <wps:spPr bwMode="auto">
                          <a:xfrm>
                            <a:off x="40401" y="28824"/>
                            <a:ext cx="10439" cy="4675"/>
                          </a:xfrm>
                          <a:prstGeom prst="rect">
                            <a:avLst/>
                          </a:prstGeom>
                          <a:solidFill>
                            <a:srgbClr val="FFFFFF"/>
                          </a:solidFill>
                          <a:ln w="19050">
                            <a:solidFill>
                              <a:srgbClr val="0070C0"/>
                            </a:solidFill>
                            <a:miter lim="800000"/>
                            <a:headEnd/>
                            <a:tailEnd/>
                          </a:ln>
                        </wps:spPr>
                        <wps:txbx>
                          <w:txbxContent>
                            <w:p w14:paraId="1C7A203D"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CuSO</w:t>
                              </w:r>
                              <w:r w:rsidRPr="00E2169E">
                                <w:rPr>
                                  <w:rFonts w:ascii="Arial" w:hAnsi="Arial" w:cs="Arial"/>
                                  <w:bCs/>
                                  <w:sz w:val="22"/>
                                  <w:szCs w:val="22"/>
                                  <w:vertAlign w:val="subscript"/>
                                </w:rPr>
                                <w:t>4</w:t>
                              </w:r>
                              <w:r w:rsidRPr="00E2169E">
                                <w:rPr>
                                  <w:rFonts w:ascii="Arial" w:hAnsi="Arial" w:cs="Arial"/>
                                  <w:bCs/>
                                  <w:sz w:val="22"/>
                                  <w:szCs w:val="22"/>
                                </w:rPr>
                                <w:t xml:space="preserve"> precipitation</w:t>
                              </w:r>
                            </w:p>
                          </w:txbxContent>
                        </wps:txbx>
                        <wps:bodyPr rot="0" vert="horz" wrap="square" lIns="91440" tIns="45720" rIns="91440" bIns="45720" anchor="t" anchorCtr="0" upright="1">
                          <a:noAutofit/>
                        </wps:bodyPr>
                      </wps:wsp>
                      <wps:wsp>
                        <wps:cNvPr id="27" name="AutoShape 56"/>
                        <wps:cNvCnPr>
                          <a:cxnSpLocks noChangeShapeType="1"/>
                        </wps:cNvCnPr>
                        <wps:spPr bwMode="auto">
                          <a:xfrm>
                            <a:off x="10842" y="33365"/>
                            <a:ext cx="0" cy="2051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58"/>
                        <wps:cNvCnPr>
                          <a:cxnSpLocks noChangeShapeType="1"/>
                        </wps:cNvCnPr>
                        <wps:spPr bwMode="auto">
                          <a:xfrm>
                            <a:off x="22219" y="33578"/>
                            <a:ext cx="0" cy="2016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67"/>
                        <wps:cNvCnPr>
                          <a:cxnSpLocks noChangeShapeType="1"/>
                        </wps:cNvCnPr>
                        <wps:spPr bwMode="auto">
                          <a:xfrm>
                            <a:off x="45717" y="33471"/>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71"/>
                        <wps:cNvSpPr>
                          <a:spLocks noChangeArrowheads="1"/>
                        </wps:cNvSpPr>
                        <wps:spPr bwMode="auto">
                          <a:xfrm>
                            <a:off x="13240" y="-779"/>
                            <a:ext cx="28862" cy="4338"/>
                          </a:xfrm>
                          <a:prstGeom prst="flowChartTerminator">
                            <a:avLst/>
                          </a:prstGeom>
                          <a:solidFill>
                            <a:schemeClr val="accent3">
                              <a:lumMod val="40000"/>
                              <a:lumOff val="6000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1C04DE"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CASHEW CRUDE EXUDATES</w:t>
                              </w:r>
                            </w:p>
                          </w:txbxContent>
                        </wps:txbx>
                        <wps:bodyPr rot="0" vert="horz" wrap="square" lIns="91440" tIns="45720" rIns="91440" bIns="45720" anchor="t" anchorCtr="0" upright="1">
                          <a:noAutofit/>
                        </wps:bodyPr>
                      </wps:wsp>
                      <wps:wsp>
                        <wps:cNvPr id="31" name="Text Box 73"/>
                        <wps:cNvSpPr txBox="1">
                          <a:spLocks noChangeArrowheads="1"/>
                        </wps:cNvSpPr>
                        <wps:spPr bwMode="auto">
                          <a:xfrm>
                            <a:off x="19347" y="5220"/>
                            <a:ext cx="17279" cy="4731"/>
                          </a:xfrm>
                          <a:prstGeom prst="rect">
                            <a:avLst/>
                          </a:prstGeom>
                          <a:solidFill>
                            <a:srgbClr val="FFFFFF"/>
                          </a:solidFill>
                          <a:ln w="19050">
                            <a:solidFill>
                              <a:srgbClr val="FFC000"/>
                            </a:solidFill>
                            <a:miter lim="800000"/>
                            <a:headEnd/>
                            <a:tailEnd/>
                          </a:ln>
                        </wps:spPr>
                        <wps:txbx>
                          <w:txbxContent>
                            <w:p w14:paraId="78375CEA"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u w:val="single"/>
                                </w:rPr>
                                <w:t>Pre-treatments</w:t>
                              </w:r>
                            </w:p>
                            <w:p w14:paraId="7EF47D0F" w14:textId="77777777" w:rsidR="00E2169E" w:rsidRPr="00E2169E" w:rsidRDefault="00E2169E" w:rsidP="00E2169E">
                              <w:pPr>
                                <w:jc w:val="center"/>
                                <w:rPr>
                                  <w:rFonts w:ascii="Arial" w:hAnsi="Arial" w:cs="Arial"/>
                                  <w:sz w:val="22"/>
                                  <w:szCs w:val="22"/>
                                </w:rPr>
                              </w:pPr>
                              <w:r w:rsidRPr="00E2169E">
                                <w:rPr>
                                  <w:rFonts w:ascii="Arial" w:hAnsi="Arial" w:cs="Arial"/>
                                  <w:sz w:val="22"/>
                                  <w:szCs w:val="22"/>
                                </w:rPr>
                                <w:t>Sorting-drying-grinding</w:t>
                              </w:r>
                            </w:p>
                          </w:txbxContent>
                        </wps:txbx>
                        <wps:bodyPr rot="0" vert="horz" wrap="square" lIns="91440" tIns="45720" rIns="91440" bIns="45720" anchor="t" anchorCtr="0" upright="1">
                          <a:noAutofit/>
                        </wps:bodyPr>
                      </wps:wsp>
                      <wps:wsp>
                        <wps:cNvPr id="32" name="Text Box 74"/>
                        <wps:cNvSpPr txBox="1">
                          <a:spLocks noChangeArrowheads="1"/>
                        </wps:cNvSpPr>
                        <wps:spPr bwMode="auto">
                          <a:xfrm>
                            <a:off x="19347" y="10608"/>
                            <a:ext cx="17342" cy="4382"/>
                          </a:xfrm>
                          <a:prstGeom prst="rect">
                            <a:avLst/>
                          </a:prstGeom>
                          <a:solidFill>
                            <a:srgbClr val="FFFFFF"/>
                          </a:solidFill>
                          <a:ln w="19050">
                            <a:solidFill>
                              <a:srgbClr val="FFC000"/>
                            </a:solidFill>
                            <a:miter lim="800000"/>
                            <a:headEnd/>
                            <a:tailEnd/>
                          </a:ln>
                        </wps:spPr>
                        <wps:txbx>
                          <w:txbxContent>
                            <w:p w14:paraId="20FBC670" w14:textId="77777777" w:rsidR="00E2169E" w:rsidRPr="00E2169E" w:rsidRDefault="00E2169E" w:rsidP="00E2169E">
                              <w:pPr>
                                <w:shd w:val="clear" w:color="auto" w:fill="FDFDFD"/>
                                <w:jc w:val="center"/>
                                <w:rPr>
                                  <w:rFonts w:ascii="Arial" w:hAnsi="Arial" w:cs="Arial"/>
                                  <w:sz w:val="22"/>
                                  <w:szCs w:val="22"/>
                                  <w:lang w:val="en" w:eastAsia="fr-FR"/>
                                </w:rPr>
                              </w:pPr>
                              <w:r w:rsidRPr="00E2169E">
                                <w:rPr>
                                  <w:rFonts w:ascii="Arial" w:hAnsi="Arial" w:cs="Arial"/>
                                  <w:bCs/>
                                  <w:sz w:val="22"/>
                                  <w:szCs w:val="22"/>
                                  <w:u w:val="single"/>
                                </w:rPr>
                                <w:t>Solid-liquid extraction</w:t>
                              </w:r>
                              <w:r w:rsidRPr="00E2169E">
                                <w:rPr>
                                  <w:rFonts w:ascii="Arial" w:hAnsi="Arial" w:cs="Arial"/>
                                  <w:b/>
                                  <w:sz w:val="22"/>
                                  <w:szCs w:val="22"/>
                                  <w:u w:val="single"/>
                                </w:rPr>
                                <w:t xml:space="preserve"> </w:t>
                              </w:r>
                              <w:r w:rsidRPr="00E2169E">
                                <w:rPr>
                                  <w:rFonts w:ascii="Arial" w:hAnsi="Arial" w:cs="Arial"/>
                                  <w:sz w:val="22"/>
                                  <w:szCs w:val="22"/>
                                  <w:lang w:val="en" w:eastAsia="fr-FR"/>
                                </w:rPr>
                                <w:t>Solubilization</w:t>
                              </w:r>
                            </w:p>
                          </w:txbxContent>
                        </wps:txbx>
                        <wps:bodyPr rot="0" vert="horz" wrap="square" lIns="91440" tIns="45720" rIns="91440" bIns="45720" anchor="t" anchorCtr="0" upright="1">
                          <a:noAutofit/>
                        </wps:bodyPr>
                      </wps:wsp>
                      <wps:wsp>
                        <wps:cNvPr id="33" name="AutoShape 49"/>
                        <wps:cNvSpPr>
                          <a:spLocks noChangeArrowheads="1"/>
                        </wps:cNvSpPr>
                        <wps:spPr bwMode="auto">
                          <a:xfrm>
                            <a:off x="41358" y="60951"/>
                            <a:ext cx="11118" cy="6646"/>
                          </a:xfrm>
                          <a:prstGeom prst="flowChartTerminator">
                            <a:avLst/>
                          </a:prstGeom>
                          <a:solidFill>
                            <a:schemeClr val="accent3">
                              <a:lumMod val="40000"/>
                              <a:lumOff val="60000"/>
                            </a:schemeClr>
                          </a:solidFill>
                          <a:ln w="28575">
                            <a:solidFill>
                              <a:schemeClr val="tx1">
                                <a:lumMod val="100000"/>
                                <a:lumOff val="0"/>
                              </a:schemeClr>
                            </a:solidFill>
                            <a:miter lim="800000"/>
                            <a:headEnd/>
                            <a:tailEnd/>
                          </a:ln>
                        </wps:spPr>
                        <wps:txbx>
                          <w:txbxContent>
                            <w:p w14:paraId="5A604D23"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Fs</w:t>
                              </w:r>
                            </w:p>
                            <w:p w14:paraId="3B7C29D5"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(D)</w:t>
                              </w:r>
                            </w:p>
                          </w:txbxContent>
                        </wps:txbx>
                        <wps:bodyPr rot="0" vert="horz" wrap="square" lIns="91440" tIns="45720" rIns="91440" bIns="45720" anchor="t" anchorCtr="0" upright="1">
                          <a:noAutofit/>
                        </wps:bodyPr>
                      </wps:wsp>
                      <wps:wsp>
                        <wps:cNvPr id="34" name="Text Box 23"/>
                        <wps:cNvSpPr txBox="1">
                          <a:spLocks noChangeArrowheads="1"/>
                        </wps:cNvSpPr>
                        <wps:spPr bwMode="auto">
                          <a:xfrm>
                            <a:off x="4997" y="53780"/>
                            <a:ext cx="47161" cy="2882"/>
                          </a:xfrm>
                          <a:prstGeom prst="rect">
                            <a:avLst/>
                          </a:prstGeom>
                          <a:solidFill>
                            <a:srgbClr val="FFFFFF"/>
                          </a:solidFill>
                          <a:ln w="19050">
                            <a:solidFill>
                              <a:srgbClr val="FFC000"/>
                            </a:solidFill>
                            <a:miter lim="800000"/>
                            <a:headEnd/>
                            <a:tailEnd/>
                          </a:ln>
                        </wps:spPr>
                        <wps:txbx>
                          <w:txbxContent>
                            <w:p w14:paraId="13442FF2"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rPr>
                                <w:t>Drying/ Grinding/ Sieving</w:t>
                              </w:r>
                            </w:p>
                          </w:txbxContent>
                        </wps:txbx>
                        <wps:bodyPr rot="0" vert="horz" wrap="square" lIns="91440" tIns="45720" rIns="91440" bIns="45720" anchor="t" anchorCtr="0" upright="1">
                          <a:noAutofit/>
                        </wps:bodyPr>
                      </wps:wsp>
                      <wps:wsp>
                        <wps:cNvPr id="35" name="AutoShape 28"/>
                        <wps:cNvCnPr>
                          <a:cxnSpLocks noChangeShapeType="1"/>
                        </wps:cNvCnPr>
                        <wps:spPr bwMode="auto">
                          <a:xfrm>
                            <a:off x="212" y="57628"/>
                            <a:ext cx="52921" cy="0"/>
                          </a:xfrm>
                          <a:prstGeom prst="straightConnector1">
                            <a:avLst/>
                          </a:prstGeom>
                          <a:noFill/>
                          <a:ln w="2857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36" name="AutoShape 42"/>
                        <wps:cNvSpPr>
                          <a:spLocks noChangeArrowheads="1"/>
                        </wps:cNvSpPr>
                        <wps:spPr bwMode="auto">
                          <a:xfrm>
                            <a:off x="4530" y="60968"/>
                            <a:ext cx="11333" cy="6700"/>
                          </a:xfrm>
                          <a:prstGeom prst="flowChartTerminator">
                            <a:avLst/>
                          </a:prstGeom>
                          <a:solidFill>
                            <a:schemeClr val="accent3">
                              <a:lumMod val="40000"/>
                              <a:lumOff val="60000"/>
                            </a:schemeClr>
                          </a:solidFill>
                          <a:ln w="28575">
                            <a:solidFill>
                              <a:schemeClr val="tx1">
                                <a:lumMod val="100000"/>
                                <a:lumOff val="0"/>
                              </a:schemeClr>
                            </a:solidFill>
                            <a:miter lim="800000"/>
                            <a:headEnd/>
                            <a:tailEnd/>
                          </a:ln>
                        </wps:spPr>
                        <wps:txbx>
                          <w:txbxContent>
                            <w:p w14:paraId="47FF592F"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w:t>
                              </w:r>
                            </w:p>
                            <w:p w14:paraId="2A0D2B27"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(A)</w:t>
                              </w:r>
                            </w:p>
                          </w:txbxContent>
                        </wps:txbx>
                        <wps:bodyPr rot="0" vert="horz" wrap="square" lIns="91440" tIns="45720" rIns="91440" bIns="45720" anchor="t" anchorCtr="0" upright="1">
                          <a:noAutofit/>
                        </wps:bodyPr>
                      </wps:wsp>
                      <wps:wsp>
                        <wps:cNvPr id="37" name="AutoShape 44"/>
                        <wps:cNvCnPr>
                          <a:cxnSpLocks noChangeShapeType="1"/>
                        </wps:cNvCnPr>
                        <wps:spPr bwMode="auto">
                          <a:xfrm>
                            <a:off x="10818" y="56650"/>
                            <a:ext cx="0" cy="4318"/>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80"/>
                        <wps:cNvSpPr txBox="1">
                          <a:spLocks noChangeArrowheads="1"/>
                        </wps:cNvSpPr>
                        <wps:spPr bwMode="auto">
                          <a:xfrm>
                            <a:off x="19554" y="16139"/>
                            <a:ext cx="17133" cy="4910"/>
                          </a:xfrm>
                          <a:prstGeom prst="rect">
                            <a:avLst/>
                          </a:prstGeom>
                          <a:solidFill>
                            <a:srgbClr val="FFFFFF"/>
                          </a:solidFill>
                          <a:ln w="19050">
                            <a:solidFill>
                              <a:srgbClr val="FFC000"/>
                            </a:solidFill>
                            <a:miter lim="800000"/>
                            <a:headEnd/>
                            <a:tailEnd/>
                          </a:ln>
                        </wps:spPr>
                        <wps:txbx>
                          <w:txbxContent>
                            <w:p w14:paraId="095F4B25"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u w:val="single"/>
                                </w:rPr>
                                <w:t>Liquid-solid separation</w:t>
                              </w:r>
                            </w:p>
                            <w:p w14:paraId="27D2753A" w14:textId="77777777" w:rsidR="00E2169E" w:rsidRPr="00E2169E" w:rsidRDefault="00E2169E" w:rsidP="00E2169E">
                              <w:pPr>
                                <w:jc w:val="center"/>
                                <w:rPr>
                                  <w:rFonts w:ascii="Arial" w:hAnsi="Arial" w:cs="Arial"/>
                                  <w:sz w:val="22"/>
                                  <w:szCs w:val="22"/>
                                </w:rPr>
                              </w:pPr>
                              <w:r w:rsidRPr="00E2169E">
                                <w:rPr>
                                  <w:rFonts w:ascii="Arial" w:hAnsi="Arial" w:cs="Arial"/>
                                  <w:sz w:val="22"/>
                                  <w:szCs w:val="22"/>
                                </w:rPr>
                                <w:t>Centrifugation</w:t>
                              </w:r>
                            </w:p>
                          </w:txbxContent>
                        </wps:txbx>
                        <wps:bodyPr rot="0" vert="horz" wrap="square" lIns="91440" tIns="45720" rIns="91440" bIns="45720" anchor="t" anchorCtr="0" upright="1">
                          <a:noAutofit/>
                        </wps:bodyPr>
                      </wps:wsp>
                      <wps:wsp>
                        <wps:cNvPr id="39" name="AutoShape 62"/>
                        <wps:cNvCnPr>
                          <a:cxnSpLocks noChangeShapeType="1"/>
                        </wps:cNvCnPr>
                        <wps:spPr bwMode="auto">
                          <a:xfrm>
                            <a:off x="34659" y="39426"/>
                            <a:ext cx="0" cy="1440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68"/>
                        <wps:cNvCnPr>
                          <a:cxnSpLocks noChangeShapeType="1"/>
                        </wps:cNvCnPr>
                        <wps:spPr bwMode="auto">
                          <a:xfrm>
                            <a:off x="45610" y="39426"/>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69"/>
                        <wps:cNvCnPr>
                          <a:cxnSpLocks noChangeShapeType="1"/>
                        </wps:cNvCnPr>
                        <wps:spPr bwMode="auto">
                          <a:xfrm>
                            <a:off x="45717" y="45699"/>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70"/>
                        <wps:cNvCnPr>
                          <a:cxnSpLocks noChangeShapeType="1"/>
                        </wps:cNvCnPr>
                        <wps:spPr bwMode="auto">
                          <a:xfrm>
                            <a:off x="45929" y="51759"/>
                            <a:ext cx="0" cy="21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75"/>
                        <wps:cNvSpPr>
                          <a:spLocks noChangeArrowheads="1"/>
                        </wps:cNvSpPr>
                        <wps:spPr bwMode="auto">
                          <a:xfrm>
                            <a:off x="20541" y="21688"/>
                            <a:ext cx="15481" cy="4107"/>
                          </a:xfrm>
                          <a:prstGeom prst="flowChartTerminator">
                            <a:avLst/>
                          </a:prstGeom>
                          <a:solidFill>
                            <a:schemeClr val="bg1">
                              <a:lumMod val="95000"/>
                              <a:lumOff val="0"/>
                            </a:schemeClr>
                          </a:solidFill>
                          <a:ln w="28575">
                            <a:solidFill>
                              <a:schemeClr val="tx1">
                                <a:lumMod val="100000"/>
                                <a:lumOff val="0"/>
                              </a:schemeClr>
                            </a:solidFill>
                            <a:miter lim="800000"/>
                            <a:headEnd/>
                            <a:tailEnd/>
                          </a:ln>
                        </wps:spPr>
                        <wps:txbx>
                          <w:txbxContent>
                            <w:p w14:paraId="127CEE12"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 xml:space="preserve">Aqueous extract </w:t>
                              </w:r>
                            </w:p>
                          </w:txbxContent>
                        </wps:txbx>
                        <wps:bodyPr rot="0" vert="horz" wrap="square" lIns="91440" tIns="45720" rIns="91440" bIns="45720" anchor="t" anchorCtr="0" upright="1">
                          <a:noAutofit/>
                        </wps:bodyPr>
                      </wps:wsp>
                    </wpg:wgp>
                  </a:graphicData>
                </a:graphic>
              </wp:inline>
            </w:drawing>
          </mc:Choice>
          <mc:Fallback>
            <w:pict>
              <v:group w14:anchorId="49BE9CF3" id="Groupe 3" o:spid="_x0000_s1030" style="width:418.35pt;height:539.4pt;mso-position-horizontal-relative:char;mso-position-vertical-relative:line" coordorigin=",-779" coordsize="53133,6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">
                <v:shapetype id="_x0000_t116" coordsize="21600,21600" o:spt="116" path="m3475,qx,10800,3475,21600l18125,21600qx21600,10800,18125,xe">
                  <v:stroke joinstyle="miter"/>
                  <v:path gradientshapeok="t" o:connecttype="rect" textboxrect="1018,3163,20582,18437"/>
                </v:shapetype>
                <v:shape id="AutoShape 48" o:spid="_x0000_s1031" type="#_x0000_t116" style="position:absolute;left:29450;top:60862;width:10951;height:6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" fillcolor="#d6e3bc [1302]" strokecolor="black [3213]" strokeweight="2.25pt">
                  <v:textbox>
                    <w:txbxContent>
                      <w:p w14:paraId="7464ECE2"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EI</w:t>
                        </w:r>
                      </w:p>
                      <w:p w14:paraId="5EE0821A"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(C)</w:t>
                        </w:r>
                      </w:p>
                      <w:p w14:paraId="65EBFDC7" w14:textId="77777777" w:rsidR="00E2169E" w:rsidRPr="00E2169E" w:rsidRDefault="00E2169E" w:rsidP="00E2169E">
                        <w:pPr>
                          <w:spacing w:line="360" w:lineRule="auto"/>
                          <w:jc w:val="center"/>
                          <w:rPr>
                            <w:rFonts w:ascii="Arial" w:hAnsi="Arial" w:cs="Arial"/>
                            <w:b/>
                            <w:sz w:val="22"/>
                            <w:szCs w:val="22"/>
                          </w:rPr>
                        </w:pPr>
                      </w:p>
                      <w:p w14:paraId="2973AF6F" w14:textId="77777777" w:rsidR="00E2169E" w:rsidRPr="00E2169E" w:rsidRDefault="00E2169E" w:rsidP="00E2169E">
                        <w:pPr>
                          <w:spacing w:line="360" w:lineRule="auto"/>
                          <w:rPr>
                            <w:rFonts w:ascii="Arial" w:hAnsi="Arial" w:cs="Arial"/>
                            <w:sz w:val="22"/>
                            <w:szCs w:val="22"/>
                          </w:rPr>
                        </w:pPr>
                      </w:p>
                    </w:txbxContent>
                  </v:textbox>
                </v:shape>
                <v:shapetype id="_x0000_t32" coordsize="21600,21600" o:spt="32" o:oned="t" path="m,l21600,21600e" filled="f">
                  <v:path arrowok="t" fillok="f" o:connecttype="none"/>
                  <o:lock v:ext="edit" shapetype="t"/>
                </v:shapetype>
                <v:shape id="AutoShape 34" o:spid="_x0000_s1032" type="#_x0000_t32" style="position:absolute;left:28834;top:25391;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" strokeweight="1.5pt"/>
                <v:shape id="AutoShape 43" o:spid="_x0000_s1033" type="#_x0000_t116" style="position:absolute;left:17029;top:61030;width:10930;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" fillcolor="#d6e3bc [1302]" strokecolor="black [3213]" strokeweight="2.25pt">
                  <v:textbox>
                    <w:txbxContent>
                      <w:p w14:paraId="5797EE31"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I</w:t>
                        </w:r>
                      </w:p>
                      <w:p w14:paraId="747907F8" w14:textId="2FDC4422" w:rsidR="00E2169E" w:rsidRPr="00C50F86" w:rsidRDefault="00E2169E" w:rsidP="00C50F86">
                        <w:pPr>
                          <w:jc w:val="center"/>
                          <w:rPr>
                            <w:rFonts w:ascii="Arial" w:hAnsi="Arial" w:cs="Arial"/>
                            <w:b/>
                            <w:sz w:val="22"/>
                            <w:szCs w:val="22"/>
                          </w:rPr>
                        </w:pPr>
                        <w:r w:rsidRPr="00E2169E">
                          <w:rPr>
                            <w:rFonts w:ascii="Arial" w:hAnsi="Arial" w:cs="Arial"/>
                            <w:b/>
                            <w:sz w:val="22"/>
                            <w:szCs w:val="22"/>
                          </w:rPr>
                          <w:t>Method (B)</w:t>
                        </w:r>
                      </w:p>
                    </w:txbxContent>
                  </v:textbox>
                </v:shape>
                <v:shape id="AutoShape 45" o:spid="_x0000_s1034" type="#_x0000_t32" style="position:absolute;left:46544;top:56544;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" strokeweight="4.5pt">
                  <v:stroke endarrow="block"/>
                </v:shape>
                <v:shape id="AutoShape 46" o:spid="_x0000_s1035" type="#_x0000_t32" style="position:absolute;left:22833;top:56544;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" strokeweight="4.5pt">
                  <v:stroke endarrow="block"/>
                </v:shape>
                <v:shape id="AutoShape 47" o:spid="_x0000_s1036" type="#_x0000_t32" style="position:absolute;left:35273;top:56544;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" strokeweight="4.5pt">
                  <v:stroke endarrow="block"/>
                </v:shape>
                <v:shape id="AutoShape 14" o:spid="_x0000_s1037" type="#_x0000_t32" style="position:absolute;left:10948;top:266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" strokeweight="1.5pt">
                  <v:stroke endarrow="block"/>
                </v:shape>
                <v:shape id="AutoShape 16" o:spid="_x0000_s1038" type="#_x0000_t32" style="position:absolute;left:22431;top:266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" strokeweight="1.5pt">
                  <v:stroke endarrow="block"/>
                </v:shape>
                <v:shape id="AutoShape 31" o:spid="_x0000_s1039" type="#_x0000_t32" style="position:absolute;left:10951;top:26687;width:349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4" o:spid="_x0000_s1040" type="#_x0000_t32" style="position:absolute;left:679;top:4397;width:514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" strokecolor="#943634 [2405]" strokeweight="3pt"/>
                <v:shape id="AutoShape 13" o:spid="_x0000_s1041" type="#_x0000_t32" style="position:absolute;left:27957;top:3463;width:2;height:17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" strokeweight="1.5pt">
                  <v:stroke endarrow="block"/>
                </v:shape>
                <v:shape id="AutoShape 15" o:spid="_x0000_s1042" type="#_x0000_t32" style="position:absolute;left:28067;top:20393;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" strokeweight="1.5pt">
                  <v:stroke endarrow="block"/>
                </v:shape>
                <v:shape id="AutoShape 32" o:spid="_x0000_s1043" type="#_x0000_t32" style="position:absolute;left:34659;top:266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" strokeweight="1.5pt">
                  <v:stroke endarrow="block"/>
                </v:shape>
                <v:shape id="Text Box 35" o:spid="_x0000_s1044" type="#_x0000_t202" style="position:absolute;left:212;top:6465;width:4318;height:19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" strokecolor="#5f497a [2407]" strokeweight="1pt">
                  <v:textbox style="layout-flow:vertical;mso-layout-flow-alt:bottom-to-top">
                    <w:txbxContent>
                      <w:p w14:paraId="756B6E98"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Extraction step</w:t>
                        </w:r>
                      </w:p>
                    </w:txbxContent>
                  </v:textbox>
                </v:shape>
                <v:shape id="AutoShape 33" o:spid="_x0000_s1045" type="#_x0000_t32" style="position:absolute;left:45823;top:26773;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" strokeweight="1.5pt">
                  <v:stroke endarrow="block"/>
                </v:shape>
                <v:shape id="AutoShape 30" o:spid="_x0000_s1046" type="#_x0000_t32" style="position:absolute;top:26156;width:51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" strokecolor="#943634 [2405]" strokeweight="2.25pt"/>
                <v:shape id="Text Box 36" o:spid="_x0000_s1047" type="#_x0000_t202" style="position:absolute;left:318;top:26667;width:4318;height:30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" strokecolor="#5f497a [2407]" strokeweight="1pt">
                  <v:textbox style="layout-flow:vertical;mso-layout-flow-alt:bottom-to-top">
                    <w:txbxContent>
                      <w:p w14:paraId="58A05C4A"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Purification step</w:t>
                        </w:r>
                      </w:p>
                    </w:txbxContent>
                  </v:textbox>
                </v:shape>
                <v:shape id="Text Box 38" o:spid="_x0000_s1048" type="#_x0000_t202" style="position:absolute;left:5528;top:28825;width:10440;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" strokecolor="#0070c0" strokeweight="1.5pt">
                  <v:textbox>
                    <w:txbxContent>
                      <w:p w14:paraId="212BF5E7"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w:t>
                        </w:r>
                      </w:p>
                      <w:p w14:paraId="2E856940"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precipitation</w:t>
                        </w:r>
                      </w:p>
                    </w:txbxContent>
                  </v:textbox>
                </v:shape>
                <v:shape id="Text Box 39" o:spid="_x0000_s1049" type="#_x0000_t202" style="position:absolute;left:17011;top:28825;width:10439;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" strokecolor="#0070c0" strokeweight="1.5pt">
                  <v:textbox>
                    <w:txbxContent>
                      <w:p w14:paraId="1E95F7D4"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Isopropanol</w:t>
                        </w:r>
                      </w:p>
                      <w:p w14:paraId="7A514D6A"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precipitation</w:t>
                        </w:r>
                      </w:p>
                    </w:txbxContent>
                  </v:textbox>
                </v:shape>
                <v:shape id="Text Box 40" o:spid="_x0000_s1050" type="#_x0000_t202" style="position:absolute;left:29344;top:28931;width:10439;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" strokecolor="#0070c0" strokeweight="1.5pt">
                  <v:textbox>
                    <w:txbxContent>
                      <w:p w14:paraId="3EC71EF9"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Ethanol precipitation</w:t>
                        </w:r>
                      </w:p>
                    </w:txbxContent>
                  </v:textbox>
                </v:shape>
                <v:shape id="AutoShape 20" o:spid="_x0000_s1051" type="#_x0000_t32" style="position:absolute;left:34659;top:33471;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" strokeweight="1.5pt">
                  <v:stroke endarrow="block"/>
                </v:shape>
                <v:shape id="Text Box 63" o:spid="_x0000_s1052" type="#_x0000_t202" style="position:absolute;left:40401;top:28824;width:10439;height: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" strokecolor="#0070c0" strokeweight="1.5pt">
                  <v:textbox>
                    <w:txbxContent>
                      <w:p w14:paraId="1C7A203D" w14:textId="77777777" w:rsidR="00E2169E" w:rsidRPr="00E2169E" w:rsidRDefault="00E2169E" w:rsidP="00E2169E">
                        <w:pPr>
                          <w:jc w:val="center"/>
                          <w:rPr>
                            <w:rFonts w:ascii="Arial" w:hAnsi="Arial" w:cs="Arial"/>
                            <w:bCs/>
                            <w:sz w:val="22"/>
                            <w:szCs w:val="22"/>
                          </w:rPr>
                        </w:pPr>
                        <w:r w:rsidRPr="00E2169E">
                          <w:rPr>
                            <w:rFonts w:ascii="Arial" w:hAnsi="Arial" w:cs="Arial"/>
                            <w:bCs/>
                            <w:sz w:val="22"/>
                            <w:szCs w:val="22"/>
                          </w:rPr>
                          <w:t>CuSO</w:t>
                        </w:r>
                        <w:r w:rsidRPr="00E2169E">
                          <w:rPr>
                            <w:rFonts w:ascii="Arial" w:hAnsi="Arial" w:cs="Arial"/>
                            <w:bCs/>
                            <w:sz w:val="22"/>
                            <w:szCs w:val="22"/>
                            <w:vertAlign w:val="subscript"/>
                          </w:rPr>
                          <w:t>4</w:t>
                        </w:r>
                        <w:r w:rsidRPr="00E2169E">
                          <w:rPr>
                            <w:rFonts w:ascii="Arial" w:hAnsi="Arial" w:cs="Arial"/>
                            <w:bCs/>
                            <w:sz w:val="22"/>
                            <w:szCs w:val="22"/>
                          </w:rPr>
                          <w:t xml:space="preserve"> precipitation</w:t>
                        </w:r>
                      </w:p>
                    </w:txbxContent>
                  </v:textbox>
                </v:shape>
                <v:shape id="AutoShape 56" o:spid="_x0000_s1053" type="#_x0000_t32" style="position:absolute;left:10842;top:33365;width:0;height:20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" strokeweight="1.5pt">
                  <v:stroke endarrow="block"/>
                </v:shape>
                <v:shape id="AutoShape 58" o:spid="_x0000_s1054" type="#_x0000_t32" style="position:absolute;left:22219;top:33578;width:0;height:20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" strokeweight="1.5pt">
                  <v:stroke endarrow="block"/>
                </v:shape>
                <v:shape id="AutoShape 67" o:spid="_x0000_s1055" type="#_x0000_t32" style="position:absolute;left:45717;top:33471;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" strokeweight="1.5pt">
                  <v:stroke endarrow="block"/>
                </v:shape>
                <v:shape id="AutoShape 71" o:spid="_x0000_s1056" type="#_x0000_t116" style="position:absolute;left:13240;top:-779;width:28862;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" fillcolor="#d6e3bc [1302]" strokecolor="black [3200]" strokeweight="2.5pt">
                  <v:shadow color="#868686"/>
                  <v:textbox>
                    <w:txbxContent>
                      <w:p w14:paraId="1A1C04DE"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CASHEW CRUDE EXUDATES</w:t>
                        </w:r>
                      </w:p>
                    </w:txbxContent>
                  </v:textbox>
                </v:shape>
                <v:shape id="Text Box 73" o:spid="_x0000_s1057" type="#_x0000_t202" style="position:absolute;left:19347;top:5220;width:17279;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" strokecolor="#ffc000" strokeweight="1.5pt">
                  <v:textbox>
                    <w:txbxContent>
                      <w:p w14:paraId="78375CEA"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u w:val="single"/>
                          </w:rPr>
                          <w:t>Pre-treatments</w:t>
                        </w:r>
                      </w:p>
                      <w:p w14:paraId="7EF47D0F" w14:textId="77777777" w:rsidR="00E2169E" w:rsidRPr="00E2169E" w:rsidRDefault="00E2169E" w:rsidP="00E2169E">
                        <w:pPr>
                          <w:jc w:val="center"/>
                          <w:rPr>
                            <w:rFonts w:ascii="Arial" w:hAnsi="Arial" w:cs="Arial"/>
                            <w:sz w:val="22"/>
                            <w:szCs w:val="22"/>
                          </w:rPr>
                        </w:pPr>
                        <w:r w:rsidRPr="00E2169E">
                          <w:rPr>
                            <w:rFonts w:ascii="Arial" w:hAnsi="Arial" w:cs="Arial"/>
                            <w:sz w:val="22"/>
                            <w:szCs w:val="22"/>
                          </w:rPr>
                          <w:t>Sorting-drying-grinding</w:t>
                        </w:r>
                      </w:p>
                    </w:txbxContent>
                  </v:textbox>
                </v:shape>
                <v:shape id="Text Box 74" o:spid="_x0000_s1058" type="#_x0000_t202" style="position:absolute;left:19347;top:10608;width:1734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" strokecolor="#ffc000" strokeweight="1.5pt">
                  <v:textbox>
                    <w:txbxContent>
                      <w:p w14:paraId="20FBC670" w14:textId="77777777" w:rsidR="00E2169E" w:rsidRPr="00E2169E" w:rsidRDefault="00E2169E" w:rsidP="00E2169E">
                        <w:pPr>
                          <w:shd w:val="clear" w:color="auto" w:fill="FDFDFD"/>
                          <w:jc w:val="center"/>
                          <w:rPr>
                            <w:rFonts w:ascii="Arial" w:hAnsi="Arial" w:cs="Arial"/>
                            <w:sz w:val="22"/>
                            <w:szCs w:val="22"/>
                            <w:lang w:val="en" w:eastAsia="fr-FR"/>
                          </w:rPr>
                        </w:pPr>
                        <w:r w:rsidRPr="00E2169E">
                          <w:rPr>
                            <w:rFonts w:ascii="Arial" w:hAnsi="Arial" w:cs="Arial"/>
                            <w:bCs/>
                            <w:sz w:val="22"/>
                            <w:szCs w:val="22"/>
                            <w:u w:val="single"/>
                          </w:rPr>
                          <w:t>Solid-liquid extraction</w:t>
                        </w:r>
                        <w:r w:rsidRPr="00E2169E">
                          <w:rPr>
                            <w:rFonts w:ascii="Arial" w:hAnsi="Arial" w:cs="Arial"/>
                            <w:b/>
                            <w:sz w:val="22"/>
                            <w:szCs w:val="22"/>
                            <w:u w:val="single"/>
                          </w:rPr>
                          <w:t xml:space="preserve"> </w:t>
                        </w:r>
                        <w:r w:rsidRPr="00E2169E">
                          <w:rPr>
                            <w:rFonts w:ascii="Arial" w:hAnsi="Arial" w:cs="Arial"/>
                            <w:sz w:val="22"/>
                            <w:szCs w:val="22"/>
                            <w:lang w:val="en" w:eastAsia="fr-FR"/>
                          </w:rPr>
                          <w:t>Solubilization</w:t>
                        </w:r>
                      </w:p>
                    </w:txbxContent>
                  </v:textbox>
                </v:shape>
                <v:shape id="AutoShape 49" o:spid="_x0000_s1059" type="#_x0000_t116" style="position:absolute;left:41358;top:60951;width:11118;height:6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" fillcolor="#d6e3bc [1302]" strokecolor="black [3213]" strokeweight="2.25pt">
                  <v:textbox>
                    <w:txbxContent>
                      <w:p w14:paraId="5A604D23"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Fs</w:t>
                        </w:r>
                      </w:p>
                      <w:p w14:paraId="3B7C29D5"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(D)</w:t>
                        </w:r>
                      </w:p>
                    </w:txbxContent>
                  </v:textbox>
                </v:shape>
                <v:shape id="Text Box 23" o:spid="_x0000_s1060" type="#_x0000_t202" style="position:absolute;left:4997;top:53780;width:47161;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" strokecolor="#ffc000" strokeweight="1.5pt">
                  <v:textbox>
                    <w:txbxContent>
                      <w:p w14:paraId="13442FF2"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rPr>
                          <w:t>Drying/ Grinding/ Sieving</w:t>
                        </w:r>
                      </w:p>
                    </w:txbxContent>
                  </v:textbox>
                </v:shape>
                <v:shape id="AutoShape 28" o:spid="_x0000_s1061" type="#_x0000_t32" style="position:absolute;left:212;top:57628;width:52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" strokecolor="#943634 [2405]" strokeweight="2.25pt"/>
                <v:shape id="AutoShape 42" o:spid="_x0000_s1062" type="#_x0000_t116" style="position:absolute;left:4530;top:60968;width:11333;height:6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" fillcolor="#d6e3bc [1302]" strokecolor="black [3213]" strokeweight="2.25pt">
                  <v:textbox>
                    <w:txbxContent>
                      <w:p w14:paraId="47FF592F"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E</w:t>
                        </w:r>
                      </w:p>
                      <w:p w14:paraId="2A0D2B27"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Method (A)</w:t>
                        </w:r>
                      </w:p>
                    </w:txbxContent>
                  </v:textbox>
                </v:shape>
                <v:shape id="AutoShape 44" o:spid="_x0000_s1063" type="#_x0000_t32" style="position:absolute;left:10818;top:56650;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" strokeweight="4.5pt">
                  <v:stroke endarrow="block"/>
                </v:shape>
                <v:shape id="Text Box 80" o:spid="_x0000_s1064" type="#_x0000_t202" style="position:absolute;left:19554;top:16139;width:17133;height:4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" strokecolor="#ffc000" strokeweight="1.5pt">
                  <v:textbox>
                    <w:txbxContent>
                      <w:p w14:paraId="095F4B25" w14:textId="77777777" w:rsidR="00E2169E" w:rsidRPr="00E2169E" w:rsidRDefault="00E2169E" w:rsidP="00E2169E">
                        <w:pPr>
                          <w:jc w:val="center"/>
                          <w:rPr>
                            <w:rFonts w:ascii="Arial" w:hAnsi="Arial" w:cs="Arial"/>
                            <w:bCs/>
                            <w:sz w:val="22"/>
                            <w:szCs w:val="22"/>
                            <w:u w:val="single"/>
                          </w:rPr>
                        </w:pPr>
                        <w:r w:rsidRPr="00E2169E">
                          <w:rPr>
                            <w:rFonts w:ascii="Arial" w:hAnsi="Arial" w:cs="Arial"/>
                            <w:bCs/>
                            <w:sz w:val="22"/>
                            <w:szCs w:val="22"/>
                            <w:u w:val="single"/>
                          </w:rPr>
                          <w:t>Liquid-solid separation</w:t>
                        </w:r>
                      </w:p>
                      <w:p w14:paraId="27D2753A" w14:textId="77777777" w:rsidR="00E2169E" w:rsidRPr="00E2169E" w:rsidRDefault="00E2169E" w:rsidP="00E2169E">
                        <w:pPr>
                          <w:jc w:val="center"/>
                          <w:rPr>
                            <w:rFonts w:ascii="Arial" w:hAnsi="Arial" w:cs="Arial"/>
                            <w:sz w:val="22"/>
                            <w:szCs w:val="22"/>
                          </w:rPr>
                        </w:pPr>
                        <w:r w:rsidRPr="00E2169E">
                          <w:rPr>
                            <w:rFonts w:ascii="Arial" w:hAnsi="Arial" w:cs="Arial"/>
                            <w:sz w:val="22"/>
                            <w:szCs w:val="22"/>
                          </w:rPr>
                          <w:t>Centrifugation</w:t>
                        </w:r>
                      </w:p>
                    </w:txbxContent>
                  </v:textbox>
                </v:shape>
                <v:shape id="AutoShape 62" o:spid="_x0000_s1065" type="#_x0000_t32" style="position:absolute;left:34659;top:39426;width:0;height:14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" strokeweight="1.5pt">
                  <v:stroke endarrow="block"/>
                </v:shape>
                <v:shape id="AutoShape 68" o:spid="_x0000_s1066" type="#_x0000_t32" style="position:absolute;left:45610;top:39426;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" strokeweight="1.5pt">
                  <v:stroke endarrow="block"/>
                </v:shape>
                <v:shape id="AutoShape 69" o:spid="_x0000_s1067" type="#_x0000_t32" style="position:absolute;left:45717;top:45699;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" strokeweight="1.5pt">
                  <v:stroke endarrow="block"/>
                </v:shape>
                <v:shape id="AutoShape 70" o:spid="_x0000_s1068" type="#_x0000_t32" style="position:absolute;left:45929;top:51759;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" strokeweight="1.5pt">
                  <v:stroke endarrow="block"/>
                </v:shape>
                <v:shape id="AutoShape 75" o:spid="_x0000_s1069" type="#_x0000_t116" style="position:absolute;left:20541;top:21688;width:15481;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" fillcolor="#f2f2f2 [3052]" strokecolor="black [3213]" strokeweight="2.25pt">
                  <v:textbox>
                    <w:txbxContent>
                      <w:p w14:paraId="127CEE12" w14:textId="77777777" w:rsidR="00E2169E" w:rsidRPr="00E2169E" w:rsidRDefault="00E2169E" w:rsidP="00E2169E">
                        <w:pPr>
                          <w:jc w:val="center"/>
                          <w:rPr>
                            <w:rFonts w:ascii="Arial" w:hAnsi="Arial" w:cs="Arial"/>
                            <w:b/>
                            <w:sz w:val="22"/>
                            <w:szCs w:val="22"/>
                          </w:rPr>
                        </w:pPr>
                        <w:r w:rsidRPr="00E2169E">
                          <w:rPr>
                            <w:rFonts w:ascii="Arial" w:hAnsi="Arial" w:cs="Arial"/>
                            <w:b/>
                            <w:sz w:val="22"/>
                            <w:szCs w:val="22"/>
                          </w:rPr>
                          <w:t xml:space="preserve">Aqueous extract </w:t>
                        </w:r>
                      </w:p>
                    </w:txbxContent>
                  </v:textbox>
                </v:shape>
                <w10:anchorlock/>
              </v:group>
            </w:pict>
          </mc:Fallback>
        </mc:AlternateContent>
      </w:r>
    </w:p>
    <w:p w14:paraId="7AA775B6" w14:textId="6F8A57E1" w:rsidR="007060B5" w:rsidRPr="007060B5" w:rsidRDefault="007060B5" w:rsidP="007060B5">
      <w:pPr>
        <w:pStyle w:val="Caption"/>
        <w:jc w:val="center"/>
        <w:rPr>
          <w:rFonts w:ascii="Arial" w:hAnsi="Arial" w:cs="Arial"/>
          <w:b/>
          <w:bCs/>
          <w:i w:val="0"/>
          <w:iCs w:val="0"/>
          <w:sz w:val="20"/>
          <w:szCs w:val="20"/>
        </w:rPr>
      </w:pPr>
      <w:r w:rsidRPr="007060B5">
        <w:rPr>
          <w:rFonts w:ascii="Arial" w:hAnsi="Arial" w:cs="Arial"/>
          <w:b/>
          <w:bCs/>
          <w:i w:val="0"/>
          <w:iCs w:val="0"/>
          <w:sz w:val="20"/>
          <w:szCs w:val="20"/>
        </w:rPr>
        <w:t xml:space="preserve">Fig. </w:t>
      </w:r>
      <w:r w:rsidRPr="007060B5">
        <w:rPr>
          <w:rFonts w:ascii="Arial" w:hAnsi="Arial" w:cs="Arial"/>
          <w:b/>
          <w:bCs/>
          <w:i w:val="0"/>
          <w:iCs w:val="0"/>
          <w:sz w:val="20"/>
          <w:szCs w:val="20"/>
        </w:rPr>
        <w:fldChar w:fldCharType="begin"/>
      </w:r>
      <w:r w:rsidRPr="007060B5">
        <w:rPr>
          <w:rFonts w:ascii="Arial" w:hAnsi="Arial" w:cs="Arial"/>
          <w:b/>
          <w:bCs/>
          <w:i w:val="0"/>
          <w:iCs w:val="0"/>
          <w:sz w:val="20"/>
          <w:szCs w:val="20"/>
        </w:rPr>
        <w:instrText xml:space="preserve"> SEQ Fig. \* ARABIC </w:instrText>
      </w:r>
      <w:r w:rsidRPr="007060B5">
        <w:rPr>
          <w:rFonts w:ascii="Arial" w:hAnsi="Arial" w:cs="Arial"/>
          <w:b/>
          <w:bCs/>
          <w:i w:val="0"/>
          <w:iCs w:val="0"/>
          <w:sz w:val="20"/>
          <w:szCs w:val="20"/>
        </w:rPr>
        <w:fldChar w:fldCharType="separate"/>
      </w:r>
      <w:r w:rsidRPr="007060B5">
        <w:rPr>
          <w:rFonts w:ascii="Arial" w:hAnsi="Arial" w:cs="Arial"/>
          <w:b/>
          <w:bCs/>
          <w:i w:val="0"/>
          <w:iCs w:val="0"/>
          <w:noProof/>
          <w:sz w:val="20"/>
          <w:szCs w:val="20"/>
        </w:rPr>
        <w:t>2</w:t>
      </w:r>
      <w:r w:rsidRPr="007060B5">
        <w:rPr>
          <w:rFonts w:ascii="Arial" w:hAnsi="Arial" w:cs="Arial"/>
          <w:b/>
          <w:bCs/>
          <w:i w:val="0"/>
          <w:iCs w:val="0"/>
          <w:sz w:val="20"/>
          <w:szCs w:val="20"/>
        </w:rPr>
        <w:fldChar w:fldCharType="end"/>
      </w:r>
      <w:r w:rsidRPr="007060B5">
        <w:rPr>
          <w:rFonts w:ascii="Arial" w:hAnsi="Arial" w:cs="Arial"/>
          <w:b/>
          <w:bCs/>
          <w:i w:val="0"/>
          <w:iCs w:val="0"/>
          <w:sz w:val="20"/>
          <w:szCs w:val="20"/>
        </w:rPr>
        <w:t xml:space="preserve">: </w:t>
      </w:r>
      <w:r w:rsidRPr="007060B5">
        <w:rPr>
          <w:rFonts w:ascii="Arial" w:hAnsi="Arial" w:cs="Arial"/>
          <w:b/>
          <w:bCs/>
          <w:i w:val="0"/>
          <w:sz w:val="20"/>
          <w:szCs w:val="20"/>
        </w:rPr>
        <w:t>Cashew gums different purification methods</w:t>
      </w:r>
    </w:p>
    <w:p w14:paraId="4CEDBA1B" w14:textId="579CEFD4" w:rsidR="00BF41D5" w:rsidRDefault="00BA50AF" w:rsidP="00BF41D5">
      <w:pPr>
        <w:pStyle w:val="NormalWeb"/>
        <w:spacing w:after="0"/>
        <w:jc w:val="both"/>
        <w:rPr>
          <w:rFonts w:ascii="Arial" w:hAnsi="Arial" w:cs="Arial"/>
          <w:b/>
          <w:sz w:val="22"/>
          <w:szCs w:val="22"/>
        </w:rPr>
      </w:pPr>
      <w:r>
        <w:rPr>
          <w:noProof/>
        </w:rPr>
        <mc:AlternateContent>
          <mc:Choice Requires="wps">
            <w:drawing>
              <wp:anchor distT="0" distB="0" distL="114300" distR="114300" simplePos="0" relativeHeight="251663360" behindDoc="0" locked="0" layoutInCell="1" allowOverlap="1" wp14:anchorId="4919B5A0" wp14:editId="0E89CD7D">
                <wp:simplePos x="0" y="0"/>
                <wp:positionH relativeFrom="column">
                  <wp:posOffset>5537835</wp:posOffset>
                </wp:positionH>
                <wp:positionV relativeFrom="paragraph">
                  <wp:posOffset>5499100</wp:posOffset>
                </wp:positionV>
                <wp:extent cx="1043940" cy="454025"/>
                <wp:effectExtent l="0" t="0" r="3810" b="31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54025"/>
                        </a:xfrm>
                        <a:prstGeom prst="rect">
                          <a:avLst/>
                        </a:prstGeom>
                        <a:solidFill>
                          <a:srgbClr val="FFFFFF"/>
                        </a:solidFill>
                        <a:ln w="9525">
                          <a:solidFill>
                            <a:schemeClr val="tx1">
                              <a:lumMod val="100000"/>
                              <a:lumOff val="0"/>
                            </a:schemeClr>
                          </a:solidFill>
                          <a:miter lim="800000"/>
                          <a:headEnd/>
                          <a:tailEnd/>
                        </a:ln>
                      </wps:spPr>
                      <wps:txbx>
                        <w:txbxContent>
                          <w:p w14:paraId="363D1B7C" w14:textId="77777777" w:rsidR="00E2169E" w:rsidRPr="00DE7A82" w:rsidRDefault="00E2169E" w:rsidP="00E2169E">
                            <w:pPr>
                              <w:jc w:val="center"/>
                              <w:rPr>
                                <w:rFonts w:ascii="Times New Roman" w:hAnsi="Times New Roman"/>
                                <w:bCs/>
                                <w:sz w:val="24"/>
                                <w:szCs w:val="24"/>
                              </w:rPr>
                            </w:pPr>
                            <w:r w:rsidRPr="00DE7A82">
                              <w:rPr>
                                <w:rFonts w:ascii="Times New Roman" w:hAnsi="Times New Roman"/>
                                <w:bCs/>
                                <w:sz w:val="24"/>
                                <w:szCs w:val="24"/>
                              </w:rPr>
                              <w:t>Ethanol precipitation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9B5A0" id="Zone de texte 2" o:spid="_x0000_s1070" type="#_x0000_t202" style="position:absolute;left:0;text-align:left;margin-left:436.05pt;margin-top:433pt;width:82.2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" strokecolor="black [3213]">
                <v:textbox>
                  <w:txbxContent>
                    <w:p w14:paraId="363D1B7C" w14:textId="77777777" w:rsidR="00E2169E" w:rsidRPr="00DE7A82" w:rsidRDefault="00E2169E" w:rsidP="00E2169E">
                      <w:pPr>
                        <w:jc w:val="center"/>
                        <w:rPr>
                          <w:rFonts w:ascii="Times New Roman" w:hAnsi="Times New Roman"/>
                          <w:bCs/>
                          <w:sz w:val="24"/>
                          <w:szCs w:val="24"/>
                        </w:rPr>
                      </w:pPr>
                      <w:r w:rsidRPr="00DE7A82">
                        <w:rPr>
                          <w:rFonts w:ascii="Times New Roman" w:hAnsi="Times New Roman"/>
                          <w:bCs/>
                          <w:sz w:val="24"/>
                          <w:szCs w:val="24"/>
                        </w:rPr>
                        <w:t>Ethanol precipitation</w:t>
                      </w:r>
                    </w:p>
                  </w:txbxContent>
                </v:textbox>
              </v:shape>
            </w:pict>
          </mc:Fallback>
        </mc:AlternateContent>
      </w:r>
      <w:r w:rsidR="0043107C" w:rsidRPr="0043107C">
        <w:rPr>
          <w:rFonts w:ascii="Arial" w:hAnsi="Arial" w:cs="Arial"/>
          <w:b/>
          <w:sz w:val="22"/>
          <w:szCs w:val="22"/>
        </w:rPr>
        <w:t>2.4. Gum Yield Determination</w:t>
      </w:r>
    </w:p>
    <w:p w14:paraId="73C5C77F" w14:textId="1438D305" w:rsidR="0043107C" w:rsidRPr="00BF41D5" w:rsidRDefault="0043107C" w:rsidP="00BF41D5">
      <w:pPr>
        <w:pStyle w:val="NormalWeb"/>
        <w:spacing w:after="0"/>
        <w:jc w:val="both"/>
        <w:rPr>
          <w:rFonts w:ascii="Arial" w:hAnsi="Arial" w:cs="Arial"/>
          <w:b/>
          <w:sz w:val="22"/>
          <w:szCs w:val="22"/>
        </w:rPr>
      </w:pPr>
      <w:r w:rsidRPr="0043107C">
        <w:rPr>
          <w:rFonts w:ascii="Arial" w:hAnsi="Arial" w:cs="Arial"/>
        </w:rPr>
        <w:lastRenderedPageBreak/>
        <w:t xml:space="preserve">Gum yields (Y) according various cashew gum (CG) purification were determined according to the method of </w:t>
      </w:r>
      <w:r w:rsidRPr="0043107C">
        <w:rPr>
          <w:rFonts w:ascii="Arial" w:hAnsi="Arial" w:cs="Arial"/>
        </w:rPr>
        <w:fldChar w:fldCharType="begin"/>
      </w:r>
      <w:r w:rsidR="00D9455A">
        <w:rPr>
          <w:rFonts w:ascii="Arial" w:hAnsi="Arial" w:cs="Arial"/>
        </w:rPr>
        <w:instrText xml:space="preserve"> ADDIN ZOTERO_ITEM CSL_CITATION {"citationID":"BcyCbhzA","properties":{"formattedCitation":"(Noureen et al., 2023)","plainCitation":"(Noureen et al., 2023)","noteIndex":0},"citationItems":[{"id":"wp0Dc69N/TNruEu3f","uris":["http://zotero.org/users/local/2JspP3fw/items/4FXICLT7"],"itemData":{"id":1761,"type":"article-journal","abstract":"Prunus armeniaca gum is used as food additive and ethno medicinal purpose. Two empirical models response surface methodology and artificial neural network were used to search for optimized extraction parameters for gum extraction. A four-factor design was implemented for optimization of extraction process for maximum yield which was obtained under the optimized extraction parameter (temperature, pH, extraction time, and gum/water ratio). Micro and macro-elemental composition of gum was determined by using laser induced breakdown spectroscopy. Gum was evaluated for toxicological effect and pharmacological properties. The maximum predicted yield obtained by response surface methodology and artificial neural network was 30.44 and 30.70% which was very close to maximum experimental yield 30.23%. Laser induced breakdown spectroscopic spectra confirmed the presence Calcium, Potassium, Magnesium, Sodium, Lithium, Carbon, Hydrogen, Nitrogen and Oxygen. Acute oral toxicity study showed that gum is non-toxic up to 2000 mg/Kg body weight in rabbits, accompanied by high cytotoxic effects of gum against HepG2 and MCF-7cells by MTT assay. Overall, Aqueous solution of gum showed various pharmacological activities with significant value of antioxidant, antibacterial, anti-nociceptive, anti-cancer, anti-inflammatory and thrombolytic activities. Thus, optimization of parameters using mathematical models cans offer better prediction and estimations with enhanced pharmacological properties of extracted components.","container-title":"Scientific Reports","DOI":"10.1038/s41598-023-37847-x","ISSN":"2045-2322","journalAbbreviation":"Sci Rep","note":"PMID: 37414773\nPMCID: PMC10326058","page":"10954","source":"PubMed Central","title":"Maximizing the extraction yield of plant gum exudate using response surface methodology and artificial neural networking and pharmacological characterization","volume":"13","author":[{"family":"Noureen","given":"Shazia"},{"family":"Noreen","given":"Sobia"},{"family":"Ghumman","given":"Shazia Akram"},{"family":"Al-Hussain","given":"Sami A."},{"family":"Hameed","given":"Huma"},{"family":"Anwar-Ul-Haq","given":"Muhammad"},{"family":"Irfan","given":"Ali"},{"family":"Batool","given":"Fozia"},{"family":"Hassan","given":"Muhammad Umair"},{"family":"Aslam","given":"Samina"},{"family":"Zaki","given":"Magdi E. A."}],"issued":{"date-parts":[["2023",7,6]]}}}],"schema":"https://github.com/citation-style-language/schema/raw/master/csl-citation.json"} </w:instrText>
      </w:r>
      <w:r w:rsidRPr="0043107C">
        <w:rPr>
          <w:rFonts w:ascii="Arial" w:hAnsi="Arial" w:cs="Arial"/>
        </w:rPr>
        <w:fldChar w:fldCharType="separate"/>
      </w:r>
      <w:r w:rsidR="00D9455A" w:rsidRPr="00D9455A">
        <w:rPr>
          <w:rFonts w:ascii="Arial" w:hAnsi="Arial" w:cs="Arial"/>
        </w:rPr>
        <w:t>(Noureen et al., 2023)</w:t>
      </w:r>
      <w:r w:rsidRPr="0043107C">
        <w:rPr>
          <w:rFonts w:ascii="Arial" w:hAnsi="Arial" w:cs="Arial"/>
        </w:rPr>
        <w:fldChar w:fldCharType="end"/>
      </w:r>
      <w:r w:rsidRPr="0043107C">
        <w:rPr>
          <w:rFonts w:ascii="Arial" w:hAnsi="Arial" w:cs="Arial"/>
        </w:rPr>
        <w:t>. Yields (g/100 g DM) were calculated using the formula.</w:t>
      </w:r>
    </w:p>
    <w:p w14:paraId="05834196" w14:textId="00FB6BCF" w:rsidR="0043107C" w:rsidRPr="0043107C" w:rsidRDefault="00D34243" w:rsidP="0043107C">
      <w:pPr>
        <w:pStyle w:val="NormalWeb"/>
        <w:spacing w:after="0"/>
        <w:jc w:val="center"/>
        <w:rPr>
          <w:rFonts w:ascii="Arial" w:hAnsi="Arial" w:cs="Arial"/>
        </w:rPr>
      </w:pPr>
      <w:r w:rsidRPr="00EF0A03">
        <w:rPr>
          <w:rFonts w:ascii="Arial" w:hAnsi="Arial" w:cs="Arial"/>
          <w:noProof/>
          <w:position w:val="-22"/>
        </w:rPr>
        <w:object w:dxaOrig="3280" w:dyaOrig="560" w14:anchorId="4E34A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4.45pt;height:28.7pt;mso-width-percent:0;mso-height-percent:0;mso-width-percent:0;mso-height-percent:0" o:ole="">
            <v:imagedata r:id="rId15" o:title=""/>
          </v:shape>
          <o:OLEObject Type="Embed" ProgID="Equation.DSMT4" ShapeID="_x0000_i1025" DrawAspect="Content" ObjectID="_1818668516" r:id="rId16"/>
        </w:object>
      </w:r>
    </w:p>
    <w:p w14:paraId="1777C115" w14:textId="7F81C3BF" w:rsidR="0043107C" w:rsidRDefault="0040185E" w:rsidP="0043107C">
      <w:pPr>
        <w:pStyle w:val="NormalWeb"/>
        <w:spacing w:after="0"/>
        <w:jc w:val="both"/>
        <w:rPr>
          <w:rFonts w:ascii="Arial" w:hAnsi="Arial" w:cs="Arial"/>
          <w:b/>
          <w:sz w:val="22"/>
          <w:szCs w:val="22"/>
        </w:rPr>
      </w:pPr>
      <w:r>
        <w:rPr>
          <w:rFonts w:ascii="Arial" w:hAnsi="Arial" w:cs="Arial"/>
          <w:b/>
          <w:sz w:val="22"/>
          <w:szCs w:val="22"/>
        </w:rPr>
        <w:t xml:space="preserve">2.5. </w:t>
      </w:r>
      <w:r w:rsidR="0043107C" w:rsidRPr="0043107C">
        <w:rPr>
          <w:rFonts w:ascii="Arial" w:hAnsi="Arial" w:cs="Arial"/>
          <w:b/>
          <w:sz w:val="22"/>
          <w:szCs w:val="22"/>
        </w:rPr>
        <w:t xml:space="preserve">Physicochemical analysis </w:t>
      </w:r>
    </w:p>
    <w:p w14:paraId="391510CF" w14:textId="77777777" w:rsidR="0040185E" w:rsidRDefault="0040185E" w:rsidP="0043107C">
      <w:pPr>
        <w:pStyle w:val="NormalWeb"/>
        <w:spacing w:before="0" w:after="0"/>
        <w:jc w:val="both"/>
        <w:rPr>
          <w:rFonts w:ascii="Arial" w:hAnsi="Arial" w:cs="Arial"/>
        </w:rPr>
      </w:pPr>
    </w:p>
    <w:p w14:paraId="6836EED6" w14:textId="773EC998" w:rsidR="0043107C" w:rsidRPr="0043107C" w:rsidRDefault="0043107C" w:rsidP="0043107C">
      <w:pPr>
        <w:pStyle w:val="NormalWeb"/>
        <w:spacing w:before="0" w:after="0"/>
        <w:jc w:val="both"/>
        <w:rPr>
          <w:rFonts w:ascii="Arial" w:hAnsi="Arial" w:cs="Arial"/>
        </w:rPr>
      </w:pPr>
      <w:r w:rsidRPr="0043107C">
        <w:rPr>
          <w:rFonts w:ascii="Arial" w:hAnsi="Arial" w:cs="Arial"/>
        </w:rPr>
        <w:t>The fat content of the gum exudates was determined using a Soxhlet apparatus</w:t>
      </w:r>
      <w:r w:rsidR="00270FAE">
        <w:rPr>
          <w:rFonts w:ascii="Arial" w:hAnsi="Arial" w:cs="Arial"/>
        </w:rPr>
        <w:t xml:space="preserve"> </w:t>
      </w:r>
      <w:r w:rsidR="00270FAE" w:rsidRPr="00270FAE">
        <w:rPr>
          <w:rFonts w:ascii="Arial" w:hAnsi="Arial" w:cs="Arial"/>
        </w:rPr>
        <w:t>with petroleum ether as solvent</w:t>
      </w:r>
      <w:r w:rsidR="00270FAE">
        <w:rPr>
          <w:rFonts w:ascii="Arial" w:hAnsi="Arial" w:cs="Arial"/>
        </w:rPr>
        <w:t xml:space="preserve"> </w:t>
      </w:r>
      <w:r w:rsidRPr="0043107C">
        <w:rPr>
          <w:rFonts w:ascii="Arial" w:hAnsi="Arial" w:cs="Arial"/>
        </w:rPr>
        <w:t xml:space="preserve">according to the official methods (AOAC), while the dry matter was determined after dehydration at 105 °C for 24 h in an oven using a (MEMMERT, Germany). </w:t>
      </w:r>
      <w:r w:rsidR="00270FAE" w:rsidRPr="00270FAE">
        <w:rPr>
          <w:rFonts w:ascii="Arial" w:hAnsi="Arial" w:cs="Arial"/>
        </w:rPr>
        <w:t>The nitrogen content of the samples was determined using the micro-Kjeldahl method. The nitrogen value obtained was multiplied by 6.25 to convert it to crude protein</w:t>
      </w:r>
      <w:r w:rsidRPr="0043107C">
        <w:rPr>
          <w:rFonts w:ascii="Arial" w:hAnsi="Arial" w:cs="Arial"/>
        </w:rPr>
        <w:t xml:space="preserve">. The ash content of the cashew gum exudates was determined in </w:t>
      </w:r>
      <w:r w:rsidRPr="0043107C">
        <w:rPr>
          <w:rFonts w:ascii="Arial" w:hAnsi="Arial" w:cs="Arial"/>
          <w:lang w:val="en-US"/>
        </w:rPr>
        <w:t>a muffle furnace at 550°C</w:t>
      </w:r>
      <w:r w:rsidRPr="0043107C">
        <w:rPr>
          <w:rFonts w:ascii="Arial" w:hAnsi="Arial" w:cs="Arial"/>
        </w:rPr>
        <w:t xml:space="preserve"> according to the official methods </w:t>
      </w:r>
      <w:r w:rsidRPr="0043107C">
        <w:rPr>
          <w:rFonts w:ascii="Arial" w:hAnsi="Arial" w:cs="Arial"/>
        </w:rPr>
        <w:fldChar w:fldCharType="begin"/>
      </w:r>
      <w:r w:rsidR="00D9455A">
        <w:rPr>
          <w:rFonts w:ascii="Arial" w:hAnsi="Arial" w:cs="Arial"/>
        </w:rPr>
        <w:instrText xml:space="preserve"> ADDIN ZOTERO_ITEM CSL_CITATION {"citationID":"ktDiuZ43","properties":{"formattedCitation":"(AOAC, 2005)","plainCitation":"(AOAC, 2005)","noteIndex":0},"citationItems":[{"id":"wp0Dc69N/uEpdBZCa","uris":["http://zotero.org/users/local/2JspP3fw/items/7QVSUL4R"],"itemData":{"id":105,"type":"book","edition":"18th","event-place":"Gaithersburg, Maryland 20877-2417, USA","ISBN":"ISBN 0-935584-77-3","number-of-pages":"28","publisher-place":"Gaithersburg, Maryland 20877-2417, USA","source":"ResearchGate","title":"Official Methods of Analysis of AOAC International","author":[{"family":"AOAC","given":""}],"issued":{"date-parts":[["2005"]]}}}],"schema":"https://github.com/citation-style-language/schema/raw/master/csl-citation.json"} </w:instrText>
      </w:r>
      <w:r w:rsidRPr="0043107C">
        <w:rPr>
          <w:rFonts w:ascii="Arial" w:hAnsi="Arial" w:cs="Arial"/>
        </w:rPr>
        <w:fldChar w:fldCharType="separate"/>
      </w:r>
      <w:r w:rsidR="00D9455A" w:rsidRPr="00D9455A">
        <w:rPr>
          <w:rFonts w:ascii="Arial" w:hAnsi="Arial" w:cs="Arial"/>
        </w:rPr>
        <w:t>(AOAC, 2005)</w:t>
      </w:r>
      <w:r w:rsidRPr="0043107C">
        <w:rPr>
          <w:rFonts w:ascii="Arial" w:hAnsi="Arial" w:cs="Arial"/>
        </w:rPr>
        <w:fldChar w:fldCharType="end"/>
      </w:r>
      <w:r w:rsidRPr="0043107C">
        <w:rPr>
          <w:rFonts w:ascii="Arial" w:hAnsi="Arial" w:cs="Arial"/>
        </w:rPr>
        <w:t xml:space="preserve">, and the total carbohydrate content was estimated by the phenol-sulphur method </w:t>
      </w:r>
      <w:r w:rsidRPr="0043107C">
        <w:rPr>
          <w:rFonts w:ascii="Arial" w:hAnsi="Arial" w:cs="Arial"/>
        </w:rPr>
        <w:fldChar w:fldCharType="begin"/>
      </w:r>
      <w:r w:rsidR="00D9455A">
        <w:rPr>
          <w:rFonts w:ascii="Arial" w:hAnsi="Arial" w:cs="Arial"/>
        </w:rPr>
        <w:instrText xml:space="preserve"> ADDIN ZOTERO_ITEM CSL_CITATION {"citationID":"TgK7uN7H","properties":{"formattedCitation":"(DuBois et al., 1956)","plainCitation":"(DuBois et al., 1956)","noteIndex":0},"citationItems":[{"id":"wp0Dc69N/8iBHUmHG","uris":["http://zotero.org/users/local/2JspP3fw/items/23BAPNTR"],"itemData":{"id":129,"type":"article-journal","container-title":"Analytical Chemistry","issue":"3","journalAbbreviation":"Anal. Chem.","language":"EN","note":"archive_location: world\npublisher: American Chemical Society\nDOI: 10.1021/ac60111a017","page":"350–356","title":"Colorimetric Method for Determination of Sugars and Related Substances","volume":"28","author":[{"family":"DuBois","given":"Michel"},{"family":"Gilles","given":"K. A."},{"family":"Hamilton","given":"J. K."},{"family":"Rebers","given":"P. A."},{"family":"Smith","given":"Fred"}],"issued":{"date-parts":[["1956"]]}}}],"schema":"https://github.com/citation-style-language/schema/raw/master/csl-citation.json"} </w:instrText>
      </w:r>
      <w:r w:rsidRPr="0043107C">
        <w:rPr>
          <w:rFonts w:ascii="Arial" w:hAnsi="Arial" w:cs="Arial"/>
        </w:rPr>
        <w:fldChar w:fldCharType="separate"/>
      </w:r>
      <w:r w:rsidR="00D9455A" w:rsidRPr="00D9455A">
        <w:rPr>
          <w:rFonts w:ascii="Arial" w:hAnsi="Arial" w:cs="Arial"/>
        </w:rPr>
        <w:t>(DuBois et al., 1956)</w:t>
      </w:r>
      <w:r w:rsidRPr="0043107C">
        <w:rPr>
          <w:rFonts w:ascii="Arial" w:hAnsi="Arial" w:cs="Arial"/>
        </w:rPr>
        <w:fldChar w:fldCharType="end"/>
      </w:r>
      <w:r w:rsidRPr="0043107C">
        <w:rPr>
          <w:rFonts w:ascii="Arial" w:hAnsi="Arial" w:cs="Arial"/>
        </w:rPr>
        <w:t>.</w:t>
      </w:r>
    </w:p>
    <w:p w14:paraId="0A1C435D" w14:textId="550C7FCD" w:rsidR="0040185E" w:rsidRDefault="0043107C" w:rsidP="0040185E">
      <w:pPr>
        <w:pStyle w:val="NormalWeb"/>
        <w:spacing w:after="0"/>
        <w:jc w:val="both"/>
        <w:rPr>
          <w:rFonts w:ascii="Arial" w:hAnsi="Arial" w:cs="Arial"/>
          <w:b/>
          <w:sz w:val="22"/>
          <w:szCs w:val="22"/>
        </w:rPr>
      </w:pPr>
      <w:r w:rsidRPr="0040185E">
        <w:rPr>
          <w:rFonts w:ascii="Arial" w:hAnsi="Arial" w:cs="Arial"/>
          <w:b/>
          <w:sz w:val="22"/>
          <w:szCs w:val="22"/>
        </w:rPr>
        <w:t>2.</w:t>
      </w:r>
      <w:r w:rsidR="00EF0A03">
        <w:rPr>
          <w:rFonts w:ascii="Arial" w:hAnsi="Arial" w:cs="Arial"/>
          <w:b/>
          <w:sz w:val="22"/>
          <w:szCs w:val="22"/>
        </w:rPr>
        <w:t>6</w:t>
      </w:r>
      <w:r w:rsidRPr="0040185E">
        <w:rPr>
          <w:rFonts w:ascii="Arial" w:hAnsi="Arial" w:cs="Arial"/>
          <w:b/>
          <w:sz w:val="22"/>
          <w:szCs w:val="22"/>
        </w:rPr>
        <w:t xml:space="preserve">. Determination of sugar composition </w:t>
      </w:r>
    </w:p>
    <w:p w14:paraId="192497AE" w14:textId="11EE9D7B" w:rsidR="0043107C" w:rsidRPr="0040185E" w:rsidRDefault="0043107C" w:rsidP="0040185E">
      <w:pPr>
        <w:pStyle w:val="NormalWeb"/>
        <w:spacing w:after="0"/>
        <w:jc w:val="both"/>
        <w:rPr>
          <w:rFonts w:ascii="Arial" w:hAnsi="Arial" w:cs="Arial"/>
          <w:b/>
        </w:rPr>
      </w:pPr>
      <w:r w:rsidRPr="0040185E">
        <w:rPr>
          <w:rFonts w:ascii="Arial" w:hAnsi="Arial" w:cs="Arial"/>
        </w:rPr>
        <w:t xml:space="preserve">Gum solutions for HPLC analysis were prepared by following the method given by </w:t>
      </w:r>
      <w:r w:rsidRPr="0040185E">
        <w:rPr>
          <w:rFonts w:ascii="Arial" w:hAnsi="Arial" w:cs="Arial"/>
        </w:rPr>
        <w:fldChar w:fldCharType="begin"/>
      </w:r>
      <w:r w:rsidRPr="0040185E">
        <w:rPr>
          <w:rFonts w:ascii="Arial" w:hAnsi="Arial" w:cs="Arial"/>
        </w:rPr>
        <w:instrText xml:space="preserve"> ADDIN ZOTERO_ITEM CSL_CITATION {"citationID":"NgM0MMqv","properties":{"formattedCitation":"(Rezaei et al., 2016)","plainCitation":"(Rezaei et al., 2016)","dontUpdate":true,"noteIndex":0},"citationItems":[{"id":94,"uris":["http://zotero.org/users/16649851/items/8T44KGPA"],"itemData":{"id":94,"type":"article-journal","abstract":"Semantic Scholar extracted view of \"Fractionation and some physicochemical properties of almond gum (Amygdalus communis L.) exudates\" by A. Rezaei et al.","container-title":"Food Hydrocolloids","DOI":"10.1016/j.foodhyd.2016.04.027","ISSN":"0268005X","journalAbbreviation":"Food Hydrocolloids","language":"en","page":"461-469","source":"Semantic Scholar","title":"Fractionation and some physicochemical properties of almond gum (Amygdalus communis L.) exudates","volume":"60","author":[{"family":"Rezaei","given":"Atefe"},{"family":"Nasirpour","given":"Ali"},{"family":"Tavanai","given":"Hossein"}],"issued":{"date-parts":[["2016",10]]}}}],"schema":"https://github.com/citation-style-language/schema/raw/master/csl-citation.json"} </w:instrText>
      </w:r>
      <w:r w:rsidRPr="0040185E">
        <w:rPr>
          <w:rFonts w:ascii="Arial" w:hAnsi="Arial" w:cs="Arial"/>
        </w:rPr>
        <w:fldChar w:fldCharType="separate"/>
      </w:r>
      <w:r w:rsidRPr="0040185E">
        <w:rPr>
          <w:rFonts w:ascii="Arial" w:hAnsi="Arial" w:cs="Arial"/>
        </w:rPr>
        <w:t>Rezaei et al. (2016)</w:t>
      </w:r>
      <w:r w:rsidRPr="0040185E">
        <w:rPr>
          <w:rFonts w:ascii="Arial" w:hAnsi="Arial" w:cs="Arial"/>
        </w:rPr>
        <w:fldChar w:fldCharType="end"/>
      </w:r>
      <w:r w:rsidRPr="0040185E">
        <w:rPr>
          <w:rFonts w:ascii="Arial" w:hAnsi="Arial" w:cs="Arial"/>
        </w:rPr>
        <w:t xml:space="preserve"> with some modifications. In brief, 10 mg of purified gum was hydrolyzed at 100◦C for 3 h with 1 mL of trifluoroacetic acid (2 M). After cooling to room temperature, the reaction mixture was centrifuged at 1000 rpm for 5 minutes. The supernatant was collected and the pH was adjusted with 0.3M NaOH (pH=7). The neutralised solutions obtained were dried and then 1 mL of distilled water was added to form the hydrolysates. Further, the filtrate was used for HPLC 1100 (Agilent Technologies, Waldbronn, Germany) analysis. The chromatographic separation and quantification was performed on a Zorbax Extend-C18 column (250 mm × 4.6 mm, 5 μm), with a mobile phase of acetonitrile and water (80: 20, v/v) at a flow rate of 2 mL/min, and ultraviolet detection at 250 nm. D-glucose, D-galactose, L-arabinose, L-rhamnose, D-xylose, D-mannose, acid D-glucuronic, acide D-galacturonic, standards were used for interpretation of HPLC spectra.</w:t>
      </w:r>
    </w:p>
    <w:p w14:paraId="1D39F3F3" w14:textId="77777777" w:rsidR="0043107C" w:rsidRPr="0040185E" w:rsidRDefault="0043107C" w:rsidP="00441B6F">
      <w:pPr>
        <w:pStyle w:val="Body"/>
        <w:spacing w:after="0"/>
        <w:rPr>
          <w:rFonts w:ascii="Arial" w:hAnsi="Arial" w:cs="Arial"/>
        </w:rPr>
      </w:pPr>
    </w:p>
    <w:p w14:paraId="3470A3DF" w14:textId="0CB9F95B" w:rsidR="0040185E" w:rsidRPr="0040185E" w:rsidRDefault="0040185E" w:rsidP="0040185E">
      <w:pPr>
        <w:pStyle w:val="NormalWeb"/>
        <w:spacing w:before="0" w:after="0"/>
        <w:jc w:val="both"/>
        <w:rPr>
          <w:rFonts w:ascii="Arial" w:hAnsi="Arial" w:cs="Arial"/>
          <w:b/>
          <w:sz w:val="22"/>
          <w:szCs w:val="22"/>
        </w:rPr>
      </w:pPr>
      <w:r w:rsidRPr="0040185E">
        <w:rPr>
          <w:rFonts w:ascii="Arial" w:hAnsi="Arial" w:cs="Arial"/>
          <w:b/>
          <w:sz w:val="22"/>
          <w:szCs w:val="22"/>
        </w:rPr>
        <w:t>2.</w:t>
      </w:r>
      <w:r w:rsidR="00EF0A03">
        <w:rPr>
          <w:rFonts w:ascii="Arial" w:hAnsi="Arial" w:cs="Arial"/>
          <w:b/>
          <w:sz w:val="22"/>
          <w:szCs w:val="22"/>
        </w:rPr>
        <w:t>7</w:t>
      </w:r>
      <w:r w:rsidRPr="0040185E">
        <w:rPr>
          <w:rFonts w:ascii="Arial" w:hAnsi="Arial" w:cs="Arial"/>
          <w:b/>
          <w:sz w:val="22"/>
          <w:szCs w:val="22"/>
        </w:rPr>
        <w:t>. Mineral analysis</w:t>
      </w:r>
    </w:p>
    <w:p w14:paraId="3062FD8F" w14:textId="77777777" w:rsidR="0040185E" w:rsidRDefault="0040185E" w:rsidP="0040185E">
      <w:pPr>
        <w:pStyle w:val="NormalWeb"/>
        <w:spacing w:before="0" w:after="0"/>
        <w:jc w:val="both"/>
        <w:rPr>
          <w:rFonts w:ascii="Arial" w:hAnsi="Arial" w:cs="Arial"/>
          <w:b/>
        </w:rPr>
      </w:pPr>
    </w:p>
    <w:p w14:paraId="674CBE05" w14:textId="59AA57EE" w:rsidR="0040185E" w:rsidRPr="0040185E" w:rsidRDefault="0040185E" w:rsidP="0040185E">
      <w:pPr>
        <w:pStyle w:val="NormalWeb"/>
        <w:spacing w:before="0" w:after="0"/>
        <w:jc w:val="both"/>
        <w:rPr>
          <w:rFonts w:ascii="Arial" w:hAnsi="Arial" w:cs="Arial"/>
          <w:b/>
        </w:rPr>
      </w:pPr>
      <w:r w:rsidRPr="0040185E">
        <w:rPr>
          <w:rFonts w:ascii="Arial" w:hAnsi="Arial" w:cs="Arial"/>
        </w:rPr>
        <w:t xml:space="preserve">The mineral content of the different ashes was determined according to </w:t>
      </w:r>
      <w:r w:rsidRPr="0040185E">
        <w:rPr>
          <w:rFonts w:ascii="Arial" w:hAnsi="Arial" w:cs="Arial"/>
        </w:rPr>
        <w:fldChar w:fldCharType="begin"/>
      </w:r>
      <w:r w:rsidR="00D9455A">
        <w:rPr>
          <w:rFonts w:ascii="Arial" w:hAnsi="Arial" w:cs="Arial"/>
        </w:rPr>
        <w:instrText xml:space="preserve"> ADDIN ZOTERO_ITEM CSL_CITATION {"citationID":"meNmjRSb","properties":{"formattedCitation":"(AOAC, 2005)","plainCitation":"(AOAC, 2005)","dontUpdate":true,"noteIndex":0},"citationItems":[{"id":"wp0Dc69N/uEpdBZCa","uris":["http://zotero.org/users/local/2JspP3fw/items/7QVSUL4R"],"itemData":{"id":105,"type":"book","edition":"18th","event-place":"Gaithersburg, Maryland 20877-2417, USA","ISBN":"ISBN 0-935584-77-3","number-of-pages":"28","publisher-place":"Gaithersburg, Maryland 20877-2417, USA","source":"ResearchGate","title":"Official Methods of Analysis of AOAC International","author":[{"family":"AOAC","given":""}],"issued":{"date-parts":[["2005"]]}}}],"schema":"https://github.com/citation-style-language/schema/raw/master/csl-citation.json"} </w:instrText>
      </w:r>
      <w:r w:rsidRPr="0040185E">
        <w:rPr>
          <w:rFonts w:ascii="Arial" w:hAnsi="Arial" w:cs="Arial"/>
        </w:rPr>
        <w:fldChar w:fldCharType="separate"/>
      </w:r>
      <w:r w:rsidRPr="0040185E">
        <w:rPr>
          <w:rFonts w:ascii="Arial" w:hAnsi="Arial" w:cs="Arial"/>
        </w:rPr>
        <w:t>AOAC, (2005)</w:t>
      </w:r>
      <w:r w:rsidRPr="0040185E">
        <w:rPr>
          <w:rFonts w:ascii="Arial" w:hAnsi="Arial" w:cs="Arial"/>
        </w:rPr>
        <w:fldChar w:fldCharType="end"/>
      </w:r>
      <w:r w:rsidRPr="0040185E">
        <w:rPr>
          <w:rFonts w:ascii="Arial" w:hAnsi="Arial" w:cs="Arial"/>
        </w:rPr>
        <w:t>. Crude and purified cashew gum (CG) samples (1 g) were dissolved in 10 mL HNO</w:t>
      </w:r>
      <w:r w:rsidRPr="0040185E">
        <w:rPr>
          <w:rFonts w:ascii="Arial" w:hAnsi="Arial" w:cs="Arial"/>
          <w:vertAlign w:val="subscript"/>
        </w:rPr>
        <w:t>3</w:t>
      </w:r>
      <w:r w:rsidRPr="0040185E">
        <w:rPr>
          <w:rFonts w:ascii="Arial" w:hAnsi="Arial" w:cs="Arial"/>
        </w:rPr>
        <w:t>/HCl (1/3, v/v). The mixture was then filtered through Whatman No. 4 paper and transferred to volumetric flasks (100 mL) and boiled for 10 min. The final volume was made up with distilled water. These solutions were used for the determination of minerals. The concentration (mg/100 g dry matter) of metal ions in the sample was determined by flame atomic absorption spectrophotometry (SHIMADZU 5, type A.A-6200) using a regression equation of linear calibration analysis. The sample was analysed in duplicate. Standard solutions were prepared from a 1000 ppm stock solution of 2% nitric acid for each of the elements analysed.</w:t>
      </w:r>
    </w:p>
    <w:p w14:paraId="63E7F074" w14:textId="39B70ABE" w:rsidR="0040185E" w:rsidRPr="0040185E" w:rsidRDefault="0040185E" w:rsidP="0040185E">
      <w:pPr>
        <w:pStyle w:val="NormalWeb"/>
        <w:spacing w:after="0"/>
        <w:jc w:val="both"/>
        <w:rPr>
          <w:rFonts w:ascii="Arial" w:hAnsi="Arial" w:cs="Arial"/>
          <w:b/>
          <w:sz w:val="22"/>
          <w:szCs w:val="22"/>
          <w:lang w:val="en-US"/>
        </w:rPr>
      </w:pPr>
      <w:r w:rsidRPr="0040185E">
        <w:rPr>
          <w:rFonts w:ascii="Arial" w:hAnsi="Arial" w:cs="Arial"/>
          <w:b/>
          <w:sz w:val="22"/>
          <w:szCs w:val="22"/>
        </w:rPr>
        <w:t>2.</w:t>
      </w:r>
      <w:r w:rsidR="00EF0A03">
        <w:rPr>
          <w:rFonts w:ascii="Arial" w:hAnsi="Arial" w:cs="Arial"/>
          <w:b/>
          <w:sz w:val="22"/>
          <w:szCs w:val="22"/>
        </w:rPr>
        <w:t>8</w:t>
      </w:r>
      <w:r w:rsidRPr="0040185E">
        <w:rPr>
          <w:rFonts w:ascii="Arial" w:hAnsi="Arial" w:cs="Arial"/>
          <w:b/>
          <w:sz w:val="22"/>
          <w:szCs w:val="22"/>
        </w:rPr>
        <w:t xml:space="preserve">. </w:t>
      </w:r>
      <w:r w:rsidR="00670C9C">
        <w:rPr>
          <w:rFonts w:ascii="Arial" w:hAnsi="Arial" w:cs="Arial"/>
          <w:b/>
          <w:sz w:val="22"/>
          <w:szCs w:val="22"/>
          <w:lang w:val="en-US"/>
        </w:rPr>
        <w:t>W</w:t>
      </w:r>
      <w:r w:rsidRPr="0040185E">
        <w:rPr>
          <w:rFonts w:ascii="Arial" w:hAnsi="Arial" w:cs="Arial"/>
          <w:b/>
          <w:sz w:val="22"/>
          <w:szCs w:val="22"/>
          <w:lang w:val="en-US"/>
        </w:rPr>
        <w:t>ater solubility index</w:t>
      </w:r>
      <w:r w:rsidR="00670C9C">
        <w:rPr>
          <w:rFonts w:ascii="Arial" w:hAnsi="Arial" w:cs="Arial"/>
          <w:b/>
          <w:sz w:val="22"/>
          <w:szCs w:val="22"/>
          <w:lang w:val="en-US"/>
        </w:rPr>
        <w:t xml:space="preserve"> determination</w:t>
      </w:r>
    </w:p>
    <w:p w14:paraId="37DB68AD" w14:textId="31BE3FFB" w:rsidR="0040185E" w:rsidRPr="0040185E" w:rsidRDefault="0040185E" w:rsidP="0040185E">
      <w:pPr>
        <w:pStyle w:val="NormalWeb"/>
        <w:spacing w:after="0"/>
        <w:jc w:val="both"/>
        <w:rPr>
          <w:rFonts w:ascii="Arial" w:hAnsi="Arial" w:cs="Arial"/>
          <w:b/>
          <w:lang w:val="en-US"/>
        </w:rPr>
      </w:pPr>
      <w:r w:rsidRPr="0040185E">
        <w:rPr>
          <w:rFonts w:ascii="Arial" w:hAnsi="Arial" w:cs="Arial"/>
          <w:bCs/>
          <w:lang w:val="en-US"/>
        </w:rPr>
        <w:t xml:space="preserve">Water solubility index (WSI) was determined according to the method of </w:t>
      </w:r>
      <w:r w:rsidRPr="0040185E">
        <w:rPr>
          <w:rFonts w:ascii="Arial" w:hAnsi="Arial" w:cs="Arial"/>
          <w:bCs/>
          <w:lang w:val="en-US"/>
        </w:rPr>
        <w:fldChar w:fldCharType="begin"/>
      </w:r>
      <w:r w:rsidR="00D9455A">
        <w:rPr>
          <w:rFonts w:ascii="Arial" w:hAnsi="Arial" w:cs="Arial"/>
          <w:bCs/>
          <w:lang w:val="en-US"/>
        </w:rPr>
        <w:instrText xml:space="preserve"> ADDIN ZOTERO_ITEM CSL_CITATION {"citationID":"PXryW1bx","properties":{"formattedCitation":"(Torruco-Uco &amp; Betancur-Ancona, 2007)","plainCitation":"(Torruco-Uco &amp; Betancur-Ancona, 2007)","dontUpdate":true,"noteIndex":0},"citationItems":[{"id":"wp0Dc69N/GpEEhJCa","uris":["http://zotero.org/users/8588538/items/6VHJUCY7"],"itemData":{"id":1213,"type":"article-journal","abstract":"Physicochemical and functional properties of makal (Xanthosoma yucatanensis) starch were determined. Granules were oval in shape and 12.4μm average di…","container-title":"Food Chemistry","DOI":"10.1016/j.foodchem.2006.03.047","ISSN":"0308-8146","issue":"4","language":"en-US","note":"publisher: Elsevier","page":"1319-1326","source":"www.sciencedirect.com","title":"Physicochemical and functional properties of makal (Xanthosoma yucatanensis) starch","volume":"101","author":[{"family":"Torruco-Uco","given":"Juan"},{"family":"Betancur-Ancona","given":"David"}],"issued":{"date-parts":[["2007",1,1]]}}}],"schema":"https://github.com/citation-style-language/schema/raw/master/csl-citation.json"} </w:instrText>
      </w:r>
      <w:r w:rsidRPr="0040185E">
        <w:rPr>
          <w:rFonts w:ascii="Arial" w:hAnsi="Arial" w:cs="Arial"/>
          <w:bCs/>
          <w:lang w:val="en-US"/>
        </w:rPr>
        <w:fldChar w:fldCharType="separate"/>
      </w:r>
      <w:r w:rsidRPr="0040185E">
        <w:rPr>
          <w:rFonts w:ascii="Arial" w:hAnsi="Arial" w:cs="Arial"/>
        </w:rPr>
        <w:t>Torruco-Uco &amp; Betancur-Ancona (2007)</w:t>
      </w:r>
      <w:r w:rsidRPr="0040185E">
        <w:rPr>
          <w:rFonts w:ascii="Arial" w:hAnsi="Arial" w:cs="Arial"/>
          <w:bCs/>
          <w:lang w:val="en-US"/>
        </w:rPr>
        <w:fldChar w:fldCharType="end"/>
      </w:r>
      <w:r w:rsidRPr="0040185E">
        <w:rPr>
          <w:rFonts w:ascii="Arial" w:hAnsi="Arial" w:cs="Arial"/>
          <w:bCs/>
          <w:lang w:val="en-US"/>
        </w:rPr>
        <w:t xml:space="preserve"> with slight modifications. Briefly, 1 g of cashew gum powder samples were weighed in a test tube and added with 30 mL of distilled water. The mixture was stirred mechanically at room temperature (25 ± 1°C) and elevated temperature (80°C) for 30 min instead of a series of times. The gum solutions were then centrifuged at 6000 rpm for 30 min, </w:t>
      </w:r>
      <w:r w:rsidRPr="0040185E">
        <w:rPr>
          <w:rFonts w:ascii="Arial" w:hAnsi="Arial" w:cs="Arial"/>
          <w:bCs/>
          <w:lang w:val="en-US"/>
        </w:rPr>
        <w:lastRenderedPageBreak/>
        <w:t xml:space="preserve">the supernatant was transferred to pre-weighed Petri dishes and the sample was immediately dried at 105 °C to obtain the dry solids. Finally, the WSI was obtained following formula </w:t>
      </w:r>
    </w:p>
    <w:p w14:paraId="774B8026" w14:textId="0DF3FBE3" w:rsidR="0040185E" w:rsidRPr="0040185E" w:rsidRDefault="00D34243" w:rsidP="0040185E">
      <w:pPr>
        <w:pStyle w:val="NormalWeb"/>
        <w:spacing w:after="0"/>
        <w:jc w:val="center"/>
        <w:rPr>
          <w:rFonts w:ascii="Arial" w:hAnsi="Arial" w:cs="Arial"/>
          <w:b/>
          <w:bCs/>
          <w:lang w:val="en-US"/>
        </w:rPr>
      </w:pPr>
      <w:r w:rsidRPr="00670C9C">
        <w:rPr>
          <w:rFonts w:ascii="Arial" w:hAnsi="Arial" w:cs="Arial"/>
          <w:noProof/>
          <w:position w:val="-20"/>
        </w:rPr>
        <w:object w:dxaOrig="1760" w:dyaOrig="540" w14:anchorId="098954EE">
          <v:shape id="_x0000_i1026" type="#_x0000_t75" alt="" style="width:89.05pt;height:27.75pt;mso-width-percent:0;mso-height-percent:0;mso-width-percent:0;mso-height-percent:0" o:ole="">
            <v:imagedata r:id="rId17" o:title=""/>
          </v:shape>
          <o:OLEObject Type="Embed" ProgID="Equation.DSMT4" ShapeID="_x0000_i1026" DrawAspect="Content" ObjectID="_1818668517" r:id="rId18"/>
        </w:object>
      </w:r>
    </w:p>
    <w:p w14:paraId="70DA73FE" w14:textId="6643DD20" w:rsidR="0040185E" w:rsidRDefault="0040185E" w:rsidP="0040185E">
      <w:pPr>
        <w:pStyle w:val="NormalWeb"/>
        <w:spacing w:after="0"/>
        <w:jc w:val="both"/>
        <w:rPr>
          <w:rFonts w:ascii="Arial" w:hAnsi="Arial" w:cs="Arial"/>
          <w:b/>
          <w:lang w:val="en-US"/>
        </w:rPr>
      </w:pPr>
      <w:r w:rsidRPr="0040185E">
        <w:rPr>
          <w:rFonts w:ascii="Arial" w:hAnsi="Arial" w:cs="Arial"/>
          <w:b/>
          <w:sz w:val="22"/>
          <w:szCs w:val="22"/>
          <w:lang w:val="en-US"/>
        </w:rPr>
        <w:t>2.</w:t>
      </w:r>
      <w:r w:rsidR="00670C9C">
        <w:rPr>
          <w:rFonts w:ascii="Arial" w:hAnsi="Arial" w:cs="Arial"/>
          <w:b/>
          <w:sz w:val="22"/>
          <w:szCs w:val="22"/>
          <w:lang w:val="en-US"/>
        </w:rPr>
        <w:t>9</w:t>
      </w:r>
      <w:r w:rsidRPr="0040185E">
        <w:rPr>
          <w:rFonts w:ascii="Arial" w:hAnsi="Arial" w:cs="Arial"/>
          <w:b/>
          <w:sz w:val="22"/>
          <w:szCs w:val="22"/>
          <w:lang w:val="en-US"/>
        </w:rPr>
        <w:t xml:space="preserve">. Water holding capacity </w:t>
      </w:r>
      <w:r w:rsidR="00670C9C">
        <w:rPr>
          <w:rFonts w:ascii="Arial" w:hAnsi="Arial" w:cs="Arial"/>
          <w:b/>
          <w:sz w:val="22"/>
          <w:szCs w:val="22"/>
          <w:lang w:val="en-US"/>
        </w:rPr>
        <w:t>determination</w:t>
      </w:r>
    </w:p>
    <w:p w14:paraId="1C734646" w14:textId="18E2003C" w:rsidR="0040185E" w:rsidRPr="0040185E" w:rsidRDefault="0040185E" w:rsidP="0040185E">
      <w:pPr>
        <w:pStyle w:val="NormalWeb"/>
        <w:spacing w:after="0"/>
        <w:jc w:val="both"/>
        <w:rPr>
          <w:rFonts w:ascii="Arial" w:hAnsi="Arial" w:cs="Arial"/>
          <w:b/>
          <w:lang w:val="en-US"/>
        </w:rPr>
      </w:pPr>
      <w:r w:rsidRPr="0040185E">
        <w:rPr>
          <w:rFonts w:ascii="Arial" w:hAnsi="Arial" w:cs="Arial"/>
          <w:bCs/>
          <w:lang w:val="en-US"/>
        </w:rPr>
        <w:t xml:space="preserve">The water-holding capacity (WHC) of cashew gum powders were calculated according to the adapted method of </w:t>
      </w:r>
      <w:r w:rsidRPr="0040185E">
        <w:rPr>
          <w:rFonts w:ascii="Arial" w:hAnsi="Arial" w:cs="Arial"/>
          <w:bCs/>
          <w:lang w:val="en-US"/>
        </w:rPr>
        <w:fldChar w:fldCharType="begin"/>
      </w:r>
      <w:r w:rsidR="00D9455A">
        <w:rPr>
          <w:rFonts w:ascii="Arial" w:hAnsi="Arial" w:cs="Arial"/>
          <w:bCs/>
          <w:lang w:val="en-US"/>
        </w:rPr>
        <w:instrText xml:space="preserve"> ADDIN ZOTERO_ITEM CSL_CITATION {"citationID":"OpzsTiry","properties":{"formattedCitation":"(Torruco-Uco &amp; Betancur-Ancona, 2007)","plainCitation":"(Torruco-Uco &amp; Betancur-Ancona, 2007)","dontUpdate":true,"noteIndex":0},"citationItems":[{"id":"wp0Dc69N/GpEEhJCa","uris":["http://zotero.org/users/8588538/items/6VHJUCY7"],"itemData":{"id":1213,"type":"article-journal","abstract":"Physicochemical and functional properties of makal (Xanthosoma yucatanensis) starch were determined. Granules were oval in shape and 12.4μm average di…","container-title":"Food Chemistry","DOI":"10.1016/j.foodchem.2006.03.047","ISSN":"0308-8146","issue":"4","language":"en-US","note":"publisher: Elsevier","page":"1319-1326","source":"www.sciencedirect.com","title":"Physicochemical and functional properties of makal (Xanthosoma yucatanensis) starch","volume":"101","author":[{"family":"Torruco-Uco","given":"Juan"},{"family":"Betancur-Ancona","given":"David"}],"issued":{"date-parts":[["2007",1,1]]}}}],"schema":"https://github.com/citation-style-language/schema/raw/master/csl-citation.json"} </w:instrText>
      </w:r>
      <w:r w:rsidRPr="0040185E">
        <w:rPr>
          <w:rFonts w:ascii="Arial" w:hAnsi="Arial" w:cs="Arial"/>
          <w:bCs/>
          <w:lang w:val="en-US"/>
        </w:rPr>
        <w:fldChar w:fldCharType="separate"/>
      </w:r>
      <w:r w:rsidRPr="0040185E">
        <w:rPr>
          <w:rFonts w:ascii="Arial" w:hAnsi="Arial" w:cs="Arial"/>
        </w:rPr>
        <w:t>Torruco-Uco &amp; Betancur-Ancona (2007)</w:t>
      </w:r>
      <w:r w:rsidRPr="0040185E">
        <w:rPr>
          <w:rFonts w:ascii="Arial" w:hAnsi="Arial" w:cs="Arial"/>
          <w:bCs/>
          <w:lang w:val="en-US"/>
        </w:rPr>
        <w:fldChar w:fldCharType="end"/>
      </w:r>
      <w:r w:rsidRPr="0040185E">
        <w:rPr>
          <w:rFonts w:ascii="Arial" w:hAnsi="Arial" w:cs="Arial"/>
          <w:bCs/>
          <w:lang w:val="en-US"/>
        </w:rPr>
        <w:t>. Briefly, 1 g of samples were weighed in a test tube and added with 30 mL of distilled water. The mixture was centrifuged at 3000 rpm for 30 min at 25 °C, and the supernatant was collected. The swollen residue was weighed. The water holding capacity was expressed as g of water held per g of sample. The formula for calculating WHC is as follows</w:t>
      </w:r>
    </w:p>
    <w:p w14:paraId="0D5BBDB4" w14:textId="030BBB97" w:rsidR="0040185E" w:rsidRPr="0040185E" w:rsidRDefault="00D34243" w:rsidP="0040185E">
      <w:pPr>
        <w:pStyle w:val="NormalWeb"/>
        <w:spacing w:after="0"/>
        <w:jc w:val="center"/>
        <w:rPr>
          <w:rFonts w:ascii="Arial" w:hAnsi="Arial" w:cs="Arial"/>
        </w:rPr>
      </w:pPr>
      <w:r w:rsidRPr="00670C9C">
        <w:rPr>
          <w:rFonts w:ascii="Arial" w:hAnsi="Arial" w:cs="Arial"/>
          <w:noProof/>
          <w:position w:val="-24"/>
        </w:rPr>
        <w:object w:dxaOrig="3900" w:dyaOrig="580" w14:anchorId="2F606194">
          <v:shape id="_x0000_i1027" type="#_x0000_t75" alt="" style="width:196.55pt;height:29.7pt;mso-width-percent:0;mso-height-percent:0;mso-width-percent:0;mso-height-percent:0" o:ole="">
            <v:imagedata r:id="rId19" o:title=""/>
          </v:shape>
          <o:OLEObject Type="Embed" ProgID="Equation.DSMT4" ShapeID="_x0000_i1027" DrawAspect="Content" ObjectID="_1818668518" r:id="rId20"/>
        </w:object>
      </w:r>
    </w:p>
    <w:p w14:paraId="138966CE" w14:textId="17FA5546" w:rsidR="0040185E" w:rsidRPr="00D019F4" w:rsidRDefault="0040185E" w:rsidP="0040185E">
      <w:pPr>
        <w:pStyle w:val="NormalWeb"/>
        <w:spacing w:before="0" w:after="0"/>
        <w:jc w:val="center"/>
        <w:rPr>
          <w:rFonts w:ascii="Arial" w:hAnsi="Arial" w:cs="Arial"/>
          <w:bCs/>
          <w:i/>
          <w:iCs/>
          <w:lang w:val="en-US"/>
        </w:rPr>
      </w:pPr>
      <w:r w:rsidRPr="00D019F4">
        <w:rPr>
          <w:rFonts w:ascii="Arial" w:hAnsi="Arial" w:cs="Arial"/>
          <w:bCs/>
          <w:i/>
          <w:iCs/>
          <w:lang w:val="en-US"/>
        </w:rPr>
        <w:t>S = sample</w:t>
      </w:r>
    </w:p>
    <w:p w14:paraId="709C36E2" w14:textId="4259153C" w:rsidR="0040185E" w:rsidRPr="0040185E" w:rsidRDefault="0040185E" w:rsidP="0040185E">
      <w:pPr>
        <w:pStyle w:val="NormalWeb"/>
        <w:spacing w:after="0"/>
        <w:jc w:val="both"/>
        <w:rPr>
          <w:rFonts w:ascii="Arial" w:hAnsi="Arial" w:cs="Arial"/>
          <w:bCs/>
          <w:sz w:val="22"/>
          <w:szCs w:val="22"/>
          <w:lang w:val="en-US"/>
        </w:rPr>
      </w:pPr>
      <w:r w:rsidRPr="0040185E">
        <w:rPr>
          <w:rFonts w:ascii="Arial" w:hAnsi="Arial" w:cs="Arial"/>
          <w:b/>
          <w:sz w:val="22"/>
          <w:szCs w:val="22"/>
          <w:lang w:val="en-US"/>
        </w:rPr>
        <w:t>2.</w:t>
      </w:r>
      <w:r w:rsidR="00670C9C">
        <w:rPr>
          <w:rFonts w:ascii="Arial" w:hAnsi="Arial" w:cs="Arial"/>
          <w:b/>
          <w:sz w:val="22"/>
          <w:szCs w:val="22"/>
          <w:lang w:val="en-US"/>
        </w:rPr>
        <w:t>10</w:t>
      </w:r>
      <w:r w:rsidRPr="0040185E">
        <w:rPr>
          <w:rFonts w:ascii="Arial" w:hAnsi="Arial" w:cs="Arial"/>
          <w:b/>
          <w:sz w:val="22"/>
          <w:szCs w:val="22"/>
          <w:lang w:val="en-US"/>
        </w:rPr>
        <w:t xml:space="preserve">. Oil holding capacity </w:t>
      </w:r>
      <w:r w:rsidR="00670C9C">
        <w:rPr>
          <w:rFonts w:ascii="Arial" w:hAnsi="Arial" w:cs="Arial"/>
          <w:b/>
          <w:sz w:val="22"/>
          <w:szCs w:val="22"/>
          <w:lang w:val="en-US"/>
        </w:rPr>
        <w:t>determination</w:t>
      </w:r>
      <w:r w:rsidRPr="0040185E">
        <w:rPr>
          <w:rFonts w:ascii="Arial" w:hAnsi="Arial" w:cs="Arial"/>
          <w:bCs/>
          <w:sz w:val="22"/>
          <w:szCs w:val="22"/>
          <w:lang w:val="en-US"/>
        </w:rPr>
        <w:t xml:space="preserve"> </w:t>
      </w:r>
    </w:p>
    <w:p w14:paraId="51D95978" w14:textId="1B63E398" w:rsidR="0040185E" w:rsidRPr="0040185E" w:rsidRDefault="0040185E" w:rsidP="0040185E">
      <w:pPr>
        <w:pStyle w:val="NormalWeb"/>
        <w:spacing w:after="0"/>
        <w:jc w:val="both"/>
        <w:rPr>
          <w:rFonts w:ascii="Arial" w:hAnsi="Arial" w:cs="Arial"/>
          <w:bCs/>
          <w:lang w:val="en-US"/>
        </w:rPr>
      </w:pPr>
      <w:r w:rsidRPr="0040185E">
        <w:rPr>
          <w:rFonts w:ascii="Arial" w:hAnsi="Arial" w:cs="Arial"/>
          <w:bCs/>
          <w:lang w:val="en-US"/>
        </w:rPr>
        <w:t xml:space="preserve">The </w:t>
      </w:r>
      <w:r>
        <w:rPr>
          <w:rFonts w:ascii="Arial" w:hAnsi="Arial" w:cs="Arial"/>
          <w:bCs/>
          <w:lang w:val="en-US"/>
        </w:rPr>
        <w:t>o</w:t>
      </w:r>
      <w:r w:rsidRPr="0040185E">
        <w:rPr>
          <w:rFonts w:ascii="Arial" w:hAnsi="Arial" w:cs="Arial"/>
          <w:bCs/>
          <w:lang w:val="en-US"/>
        </w:rPr>
        <w:t xml:space="preserve">il holding capacity </w:t>
      </w:r>
      <w:r w:rsidR="00670C9C">
        <w:rPr>
          <w:rFonts w:ascii="Arial" w:hAnsi="Arial" w:cs="Arial"/>
          <w:bCs/>
          <w:lang w:val="en-US"/>
        </w:rPr>
        <w:t>(</w:t>
      </w:r>
      <w:r w:rsidRPr="0040185E">
        <w:rPr>
          <w:rFonts w:ascii="Arial" w:hAnsi="Arial" w:cs="Arial"/>
          <w:bCs/>
          <w:lang w:val="en-US"/>
        </w:rPr>
        <w:t>OHC</w:t>
      </w:r>
      <w:r w:rsidR="00670C9C">
        <w:rPr>
          <w:rFonts w:ascii="Arial" w:hAnsi="Arial" w:cs="Arial"/>
          <w:bCs/>
          <w:lang w:val="en-US"/>
        </w:rPr>
        <w:t>)</w:t>
      </w:r>
      <w:r w:rsidRPr="0040185E">
        <w:rPr>
          <w:rFonts w:ascii="Arial" w:hAnsi="Arial" w:cs="Arial"/>
          <w:bCs/>
          <w:lang w:val="en-US"/>
        </w:rPr>
        <w:t xml:space="preserve"> was measured according to </w:t>
      </w:r>
      <w:r w:rsidRPr="0040185E">
        <w:rPr>
          <w:rFonts w:ascii="Arial" w:hAnsi="Arial" w:cs="Arial"/>
          <w:bCs/>
          <w:lang w:val="en-US"/>
        </w:rPr>
        <w:fldChar w:fldCharType="begin"/>
      </w:r>
      <w:r w:rsidR="00D9455A">
        <w:rPr>
          <w:rFonts w:ascii="Arial" w:hAnsi="Arial" w:cs="Arial"/>
          <w:bCs/>
          <w:lang w:val="en-US"/>
        </w:rPr>
        <w:instrText xml:space="preserve"> ADDIN ZOTERO_ITEM CSL_CITATION {"citationID":"xW4bpuM0","properties":{"formattedCitation":"(Amid &amp; Mirhosseini, 2012)","plainCitation":"(Amid &amp; Mirhosseini, 2012)","dontUpdate":true,"noteIndex":0},"citationItems":[{"id":"wp0Dc69N/8Qjle026","uris":["http://zotero.org/users/local/2JspP3fw/items/K27KYKKE"],"itemData":{"id":"kREK3rjv/80vNOLSw","type":"article-journal","abstract":"Natural biopolymers from plant sources contain many impurities (e.g., fat, protein, fiber, natural pigment and endogenous enzymes), therefore, an efficient purification process is recommended to minimize these impurities and consequently improve the functional properties of the biopolymer. The main objective of the present study was to investigate the effect of different purification techniques on the yield, protein content, solubility, water- and oil-holding capacity of a heteropolysaccharide-protein biopolymer obtained from durian seed. Four different purification methods using different chemicals and solvents (i.e., A (isopropanol and ethanol), B (isopropanol and acetone), C (saturated barium hydroxide), and D (Fehling solution)] to liberate the purified biopolymer from its crude form were compared. In most cases, the purification process significantly (p &lt; 0.05) improved the physicochemical properties of heteropolysaccharide-protein biopolymer from durian fruit seed. The present work showed that the precipitation using isopropanol and acetone (Method B) resulted in the highest purification yield among all the tested purification techniques. The precipitation using saturated barium hydroxide (Method C) led to induce the highest solubility and relatively high capacity of water absorption. The current study reveals that the precipitation using Fehling solution (Method D) most efficiently eliminates the protein fraction, thus providing more pure biopolymer suitable for biological applications.","container-title":"Molecules","DOI":"10.3390/molecules170910875","ISSN":"1420-3049","issue":"9","language":"en","license":"http://creativecommons.org/licenses/by/3.0/","note":"number: 9\npublisher: Molecular Diversity Preservation International","page":"10875-10892","source":"www.mdpi.com","title":"Effect of Different Purification Techniques on the Characteristics of Heteropolysaccharide-Protein Biopolymer from Durian (Durio zibethinus) Seed","volume":"17","author":[{"family":"Amid","given":"Bahareh Tabatabaee"},{"family":"Mirhosseini","given":"Hamed"}],"issued":{"date-parts":[["2012",9]]}}}],"schema":"https://github.com/citation-style-language/schema/raw/master/csl-citation.json"} </w:instrText>
      </w:r>
      <w:r w:rsidRPr="0040185E">
        <w:rPr>
          <w:rFonts w:ascii="Arial" w:hAnsi="Arial" w:cs="Arial"/>
          <w:bCs/>
          <w:lang w:val="en-US"/>
        </w:rPr>
        <w:fldChar w:fldCharType="separate"/>
      </w:r>
      <w:r w:rsidRPr="0040185E">
        <w:rPr>
          <w:rFonts w:ascii="Arial" w:hAnsi="Arial" w:cs="Arial"/>
        </w:rPr>
        <w:t>Amid &amp; Mirhosseini (2012)</w:t>
      </w:r>
      <w:r w:rsidRPr="0040185E">
        <w:rPr>
          <w:rFonts w:ascii="Arial" w:hAnsi="Arial" w:cs="Arial"/>
          <w:bCs/>
          <w:lang w:val="en-US"/>
        </w:rPr>
        <w:fldChar w:fldCharType="end"/>
      </w:r>
      <w:r w:rsidRPr="0040185E">
        <w:rPr>
          <w:rFonts w:ascii="Arial" w:hAnsi="Arial" w:cs="Arial"/>
          <w:bCs/>
          <w:lang w:val="en-US"/>
        </w:rPr>
        <w:t xml:space="preserve"> with minor modifications. About 1 g of gum was suspended in 10 mL of refined edible oils (sunflower oil, corn oil, olive oil, palm oil). The suspension was vigorously stirred in a vortex for 10 s every 5 min for a total duration of 30 min, followed by centrifugation at 3000 rpm for 20 min and removing the oil. The OHC is defined as grams of oil absorbed per g of samples.</w:t>
      </w:r>
    </w:p>
    <w:p w14:paraId="59C19BD1" w14:textId="7EFF6927" w:rsidR="0040185E" w:rsidRDefault="0040185E" w:rsidP="0040185E">
      <w:pPr>
        <w:pStyle w:val="NormalWeb"/>
        <w:spacing w:after="0"/>
        <w:jc w:val="both"/>
        <w:rPr>
          <w:rFonts w:ascii="Arial" w:hAnsi="Arial" w:cs="Arial"/>
          <w:b/>
          <w:sz w:val="22"/>
          <w:szCs w:val="22"/>
        </w:rPr>
      </w:pPr>
      <w:r w:rsidRPr="0040185E">
        <w:rPr>
          <w:rFonts w:ascii="Arial" w:hAnsi="Arial" w:cs="Arial"/>
          <w:b/>
          <w:sz w:val="22"/>
          <w:szCs w:val="22"/>
        </w:rPr>
        <w:t>2.1</w:t>
      </w:r>
      <w:r w:rsidR="00BF41D5">
        <w:rPr>
          <w:rFonts w:ascii="Arial" w:hAnsi="Arial" w:cs="Arial"/>
          <w:b/>
          <w:sz w:val="22"/>
          <w:szCs w:val="22"/>
        </w:rPr>
        <w:t>1</w:t>
      </w:r>
      <w:r w:rsidRPr="0040185E">
        <w:rPr>
          <w:rFonts w:ascii="Arial" w:hAnsi="Arial" w:cs="Arial"/>
          <w:b/>
          <w:sz w:val="22"/>
          <w:szCs w:val="22"/>
        </w:rPr>
        <w:t>. Statistical analysis</w:t>
      </w:r>
    </w:p>
    <w:p w14:paraId="29BDDC56" w14:textId="6A776443" w:rsidR="0040185E" w:rsidRPr="0040185E" w:rsidRDefault="0040185E" w:rsidP="0040185E">
      <w:pPr>
        <w:pStyle w:val="NormalWeb"/>
        <w:spacing w:after="0"/>
        <w:jc w:val="both"/>
        <w:rPr>
          <w:rFonts w:ascii="Arial" w:hAnsi="Arial" w:cs="Arial"/>
          <w:b/>
          <w:sz w:val="22"/>
          <w:szCs w:val="22"/>
        </w:rPr>
      </w:pPr>
      <w:r w:rsidRPr="0040185E">
        <w:rPr>
          <w:rFonts w:ascii="Arial" w:hAnsi="Arial" w:cs="Arial"/>
        </w:rPr>
        <w:t xml:space="preserve">All the experimental studies were carried out in triplicates. Data </w:t>
      </w:r>
      <w:r w:rsidRPr="009B17A1">
        <w:rPr>
          <w:rFonts w:ascii="Arial" w:hAnsi="Arial" w:cs="Arial"/>
          <w:lang w:val="en-US"/>
        </w:rPr>
        <w:t>expressed as means ±</w:t>
      </w:r>
      <w:r w:rsidR="00670C9C" w:rsidRPr="009B17A1">
        <w:rPr>
          <w:rFonts w:ascii="Arial" w:hAnsi="Arial" w:cs="Arial"/>
          <w:lang w:val="en-US"/>
        </w:rPr>
        <w:t xml:space="preserve"> </w:t>
      </w:r>
      <w:r w:rsidRPr="009B17A1">
        <w:rPr>
          <w:rFonts w:ascii="Arial" w:hAnsi="Arial" w:cs="Arial"/>
          <w:lang w:val="en-US"/>
        </w:rPr>
        <w:t>standard deviations</w:t>
      </w:r>
      <w:r w:rsidRPr="0040185E">
        <w:rPr>
          <w:rFonts w:ascii="Arial" w:hAnsi="Arial" w:cs="Arial"/>
        </w:rPr>
        <w:t xml:space="preserve"> were statistically analysed by one-way analysis of variance (ANOVA) using Duncan’s test. </w:t>
      </w:r>
      <w:r w:rsidRPr="009B17A1">
        <w:rPr>
          <w:rFonts w:ascii="Arial" w:hAnsi="Arial" w:cs="Arial"/>
          <w:lang w:val="en-US"/>
        </w:rPr>
        <w:t xml:space="preserve">All statistical treatments were performed </w:t>
      </w:r>
      <w:r w:rsidRPr="0040185E">
        <w:rPr>
          <w:rFonts w:ascii="Arial" w:hAnsi="Arial" w:cs="Arial"/>
        </w:rPr>
        <w:t>performed using STATISTICA (Version 10. Statsoft Inc, Tulsa-USA Headquarters) et EXCEL (Version 2016, Microsoft.com).</w:t>
      </w:r>
    </w:p>
    <w:p w14:paraId="043F1BD1" w14:textId="77777777" w:rsidR="0043107C" w:rsidRDefault="0043107C" w:rsidP="00441B6F">
      <w:pPr>
        <w:pStyle w:val="Body"/>
        <w:spacing w:after="0"/>
        <w:rPr>
          <w:rFonts w:ascii="Arial" w:hAnsi="Arial" w:cs="Arial"/>
        </w:rPr>
      </w:pPr>
    </w:p>
    <w:p w14:paraId="565DBD97" w14:textId="1DAD99E3" w:rsidR="0043107C" w:rsidRPr="00FC63C1" w:rsidRDefault="004F10DA" w:rsidP="00441B6F">
      <w:pPr>
        <w:pStyle w:val="Body"/>
        <w:spacing w:after="0"/>
        <w:rPr>
          <w:rFonts w:ascii="Arial" w:hAnsi="Arial" w:cs="Arial"/>
          <w:b/>
          <w:bCs/>
          <w:sz w:val="22"/>
          <w:szCs w:val="22"/>
        </w:rPr>
      </w:pPr>
      <w:r w:rsidRPr="004F10DA">
        <w:rPr>
          <w:rFonts w:ascii="Arial" w:hAnsi="Arial" w:cs="Arial"/>
          <w:b/>
          <w:bCs/>
          <w:sz w:val="22"/>
          <w:szCs w:val="22"/>
        </w:rPr>
        <w:t>3.</w:t>
      </w:r>
      <w:r w:rsidR="00BF41D5">
        <w:rPr>
          <w:rFonts w:ascii="Arial" w:hAnsi="Arial" w:cs="Arial"/>
          <w:b/>
          <w:bCs/>
          <w:sz w:val="22"/>
          <w:szCs w:val="22"/>
        </w:rPr>
        <w:t xml:space="preserve"> </w:t>
      </w:r>
      <w:r w:rsidR="00BF41D5" w:rsidRPr="004F10DA">
        <w:rPr>
          <w:rFonts w:ascii="Arial" w:hAnsi="Arial" w:cs="Arial"/>
          <w:b/>
          <w:bCs/>
          <w:sz w:val="22"/>
          <w:szCs w:val="22"/>
        </w:rPr>
        <w:t>RESULTS AND DISCUSSIONS</w:t>
      </w:r>
    </w:p>
    <w:p w14:paraId="7F8573DD" w14:textId="6239EDE4" w:rsidR="00B03A1F" w:rsidRDefault="004F10DA" w:rsidP="00A56367">
      <w:pPr>
        <w:pStyle w:val="Revista"/>
        <w:spacing w:before="240"/>
        <w:ind w:firstLine="0"/>
        <w:rPr>
          <w:rFonts w:ascii="Arial" w:hAnsi="Arial" w:cs="Arial"/>
          <w:sz w:val="20"/>
          <w:shd w:val="clear" w:color="auto" w:fill="FFFFFF"/>
        </w:rPr>
      </w:pPr>
      <w:r w:rsidRPr="00B03A1F">
        <w:rPr>
          <w:rFonts w:ascii="Arial" w:hAnsi="Arial" w:cs="Arial"/>
          <w:sz w:val="20"/>
          <w:shd w:val="clear" w:color="auto" w:fill="FFFFFF"/>
        </w:rPr>
        <w:t xml:space="preserve">Cashew </w:t>
      </w:r>
      <w:r w:rsidR="00445CBE">
        <w:rPr>
          <w:rFonts w:ascii="Arial" w:hAnsi="Arial" w:cs="Arial"/>
          <w:sz w:val="20"/>
          <w:shd w:val="clear" w:color="auto" w:fill="FFFFFF"/>
        </w:rPr>
        <w:t xml:space="preserve">gum </w:t>
      </w:r>
      <w:r w:rsidRPr="00B03A1F">
        <w:rPr>
          <w:rFonts w:ascii="Arial" w:hAnsi="Arial" w:cs="Arial"/>
          <w:sz w:val="20"/>
          <w:shd w:val="clear" w:color="auto" w:fill="FFFFFF"/>
        </w:rPr>
        <w:t xml:space="preserve">exudate is a brown resin extracted from the trunk of the cashew tree. It is </w:t>
      </w:r>
      <w:r w:rsidR="003B0022" w:rsidRPr="00B03A1F">
        <w:rPr>
          <w:rFonts w:ascii="Arial" w:hAnsi="Arial" w:cs="Arial"/>
          <w:sz w:val="20"/>
          <w:shd w:val="clear" w:color="auto" w:fill="FFFFFF"/>
        </w:rPr>
        <w:t>characterized</w:t>
      </w:r>
      <w:r w:rsidRPr="00B03A1F">
        <w:rPr>
          <w:rFonts w:ascii="Arial" w:hAnsi="Arial" w:cs="Arial"/>
          <w:sz w:val="20"/>
          <w:shd w:val="clear" w:color="auto" w:fill="FFFFFF"/>
        </w:rPr>
        <w:t xml:space="preserve"> by the presence of inorganic salts, proteins, </w:t>
      </w:r>
      <w:proofErr w:type="spellStart"/>
      <w:r w:rsidRPr="00B03A1F">
        <w:rPr>
          <w:rFonts w:ascii="Arial" w:hAnsi="Arial" w:cs="Arial"/>
          <w:sz w:val="20"/>
          <w:shd w:val="clear" w:color="auto" w:fill="FFFFFF"/>
        </w:rPr>
        <w:t>lignins</w:t>
      </w:r>
      <w:proofErr w:type="spellEnd"/>
      <w:r w:rsidRPr="00B03A1F">
        <w:rPr>
          <w:rFonts w:ascii="Arial" w:hAnsi="Arial" w:cs="Arial"/>
          <w:sz w:val="20"/>
          <w:shd w:val="clear" w:color="auto" w:fill="FFFFFF"/>
        </w:rPr>
        <w:t xml:space="preserve"> and nucleic acids. In order to obtain a gum with desirable techno-functional properties, it is necessary to find an efficient, reproducible and reliable purification method that gives satisfactory results. For this reason, purification is often carried out as a first step in </w:t>
      </w:r>
      <w:r w:rsidR="003B0022" w:rsidRPr="00B03A1F">
        <w:rPr>
          <w:rFonts w:ascii="Arial" w:hAnsi="Arial" w:cs="Arial"/>
          <w:sz w:val="20"/>
          <w:shd w:val="clear" w:color="auto" w:fill="FFFFFF"/>
        </w:rPr>
        <w:t>characterizing</w:t>
      </w:r>
      <w:r w:rsidRPr="00B03A1F">
        <w:rPr>
          <w:rFonts w:ascii="Arial" w:hAnsi="Arial" w:cs="Arial"/>
          <w:sz w:val="20"/>
          <w:shd w:val="clear" w:color="auto" w:fill="FFFFFF"/>
        </w:rPr>
        <w:t xml:space="preserve"> and exploring the potential application of polysaccharides in food and pharmaceutical systems </w:t>
      </w:r>
      <w:r w:rsidRPr="00B03A1F">
        <w:rPr>
          <w:rFonts w:ascii="Arial" w:hAnsi="Arial" w:cs="Arial"/>
          <w:sz w:val="20"/>
          <w:shd w:val="clear" w:color="auto" w:fill="FFFFFF"/>
        </w:rPr>
        <w:fldChar w:fldCharType="begin"/>
      </w:r>
      <w:r w:rsidR="00D9455A">
        <w:rPr>
          <w:rFonts w:ascii="Arial" w:hAnsi="Arial" w:cs="Arial"/>
          <w:sz w:val="20"/>
          <w:shd w:val="clear" w:color="auto" w:fill="FFFFFF"/>
        </w:rPr>
        <w:instrText xml:space="preserve"> ADDIN ZOTERO_ITEM CSL_CITATION {"citationID":"6CoTVyJ3","properties":{"formattedCitation":"(Loureiro et al., 2021; Salarbashi et al., 2021)","plainCitation":"(Loureiro et al., 2021; Salarbashi et al., 2021)","noteIndex":0},"citationItems":[{"id":"wp0Dc69N/wK5jrPsu","uris":["http://zotero.org/users/8588538/items/JF9KXVKQ"],"itemData":{"id":1175,"type":"article-journal","abstract":"Every year, more than thirty thousand tons of Cashew gum (Anacardium occidentale, family: Anacardiaceae) are produced in Brazil; however, only a small amount is used for different applications in foodstuff and in pharmaceutical industries. As a raw material for the production of drug delivery systems, cashew gum is still regarded as an innovative compound worth to be exploited. In this work, cashew gum was extracted from the crude exudate of cashew tree employing four methodologies resulting in a light brown powder in different yields (40.61% to 58.40%). The total ashes (0.34% to 1.05%) and moisture (12.90% to 14.81%) were also dependent on the purification approach. FTIR spectra showed the typical bands of purified cashew gum samples, confirming their suitability for the development of a pharmaceutical product. Cashew gum nanoparticles were produced by nanoprecipitation resulting in particles of low polydispersity (&lt;0.2) and an average size depending on the percentage of the oil. The zeta potential of nanoparticles was found to be below 20 mV, which promotes electrostatic stability. Encapsulation efficiencies were above 99.9%, while loading capacity increased with the increase of the percentage of the oil content of particles. The release of the oil from the nanoparticles followed the Korsmeyer–Peppas kinetics model, while particles did not show any signs of toxicity when tested in three distinct cell lines (LLC-MK2, HepG2, and THP-1). Our study highlights the potential added value of using a protein-, lignans-, and nucleic acids-enriched resin obtained from crude extract as a new raw material for the production of drug delivery systems.","container-title":"Applied Sciences","DOI":"10.3390/app11188467","ISSN":"2076-3417","issue":"18","language":"en","license":"http://creativecommons.org/licenses/by/3.0/","note":"number: 18\npublisher: Multidisciplinary Digital Publishing Institute","page":"8467","source":"www.mdpi.com","title":"Cashew Gum (Anacardium occidentale) as a Potential Source for the Production of Tocopherol-Loaded Nanoparticles: Formulation, Release Profile and Cytotoxicity","title-short":"Cashew Gum (Anacardium occidentale) as a Potential Source for the Production of Tocopherol-Loaded Nanoparticles","volume":"11","author":[{"family":"Loureiro","given":"Kahynna C."},{"family":"Jäger","given":"Alessandro"},{"family":"Pavlova","given":"Ewa"},{"family":"Lima-Verde","given":"Isabel B."},{"family":"Štěpánek","given":"Petr"},{"family":"Sangenito","given":"Leandro S."},{"family":"Santos","given":"André L. S."},{"family":"Chaud","given":"Marco V."},{"family":"Barud","given":"Hernane S."},{"family":"Soares","given":"Mônica F. La R."},{"family":"Albuquerque-Júnior","given":"Ricardo L. C.","dropping-particle":"de"},{"family":"Cardoso","given":"Juliana C."},{"family":"Souto","given":"Eliana B."},{"family":"Mendonça","given":"Marcelo da Costa"},{"family":"Severino","given":"Patrícia"}],"issued":{"date-parts":[["2021",1]]}}},{"id":"wp0Dc69N/uthfOx58","uris":["http://zotero.org/users/8588538/items/FVQSYYZN"],"itemData":{"id":1173,"type":"article-journal","abstract":"Prunus armeniaca gum exudate (PAGE) is obtained from the trunk branches of apricot trees. PAGE is a high-molecular-weight polysaccharide with arabinogalactan structure. The physicochemical and rheological characteristics of this gum have been investigated in various researches. PAGE offers a good potential for use as an emulsifying, binding, and stabilizing agent in food and pharmaceutical industries. It also can be used as an organic additive in tissue culture media, synthesizing of metallic nanoparticles, binding potential in tablets, antioxidant agent, and corrosion inhibitor. For desirable emulsifying, stabilizing, shelf life-enhancing properties, and antioxidant activity of PAGE, it can be used as additive in many foods. We present here a comprehensive review on the existing literatures on characterization of this source of polysaccharide to explore its potential applications in various systems.","container-title":"Food Science &amp; Nutrition","DOI":"10.1002/fsn3.2107","ISSN":"2048-7177","issue":"2","language":"en","license":"© 2021 The Authors. Food Science &amp; Nutrition published by Wiley Periodicals LLC","note":"_eprint: https://onlinelibrary.wiley.com/doi/pdf/10.1002/fsn3.2107","page":"1240-1255","source":"Wiley Online Library","title":"Prunus armeniaca gum exudates: An overview on purification, structure, physicochemical properties, and applications","title-short":"Prunus armeniaca gum exudates","volume":"9","author":[{"family":"Salarbashi","given":"Davoud"},{"family":"Jahanbin","given":"Kambiz"},{"family":"Tafaghodi","given":"Mohsen"},{"family":"Fahmideh-Rad","given":"Elham"}],"issued":{"date-parts":[["2021"]]}}}],"schema":"https://github.com/citation-style-language/schema/raw/master/csl-citation.json"} </w:instrText>
      </w:r>
      <w:r w:rsidRPr="00B03A1F">
        <w:rPr>
          <w:rFonts w:ascii="Arial" w:hAnsi="Arial" w:cs="Arial"/>
          <w:sz w:val="20"/>
          <w:shd w:val="clear" w:color="auto" w:fill="FFFFFF"/>
        </w:rPr>
        <w:fldChar w:fldCharType="separate"/>
      </w:r>
      <w:r w:rsidR="00D9455A" w:rsidRPr="00D9455A">
        <w:rPr>
          <w:rFonts w:ascii="Arial" w:hAnsi="Arial" w:cs="Arial"/>
          <w:sz w:val="20"/>
        </w:rPr>
        <w:t>(Loureiro et al., 2021; Salarbashi et al., 2021)</w:t>
      </w:r>
      <w:r w:rsidRPr="00B03A1F">
        <w:rPr>
          <w:rFonts w:ascii="Arial" w:hAnsi="Arial" w:cs="Arial"/>
          <w:sz w:val="20"/>
          <w:shd w:val="clear" w:color="auto" w:fill="FFFFFF"/>
        </w:rPr>
        <w:fldChar w:fldCharType="end"/>
      </w:r>
      <w:r w:rsidRPr="00B03A1F">
        <w:rPr>
          <w:rFonts w:ascii="Arial" w:hAnsi="Arial" w:cs="Arial"/>
          <w:sz w:val="20"/>
          <w:shd w:val="clear" w:color="auto" w:fill="FFFFFF"/>
        </w:rPr>
        <w:t xml:space="preserve">. </w:t>
      </w:r>
    </w:p>
    <w:p w14:paraId="73F47EFF" w14:textId="08109EE0" w:rsidR="00B03A1F" w:rsidRPr="00BF41D5" w:rsidRDefault="004F10DA" w:rsidP="00B03A1F">
      <w:pPr>
        <w:pStyle w:val="Revista"/>
        <w:spacing w:before="240"/>
        <w:ind w:firstLine="0"/>
        <w:rPr>
          <w:rFonts w:ascii="Arial" w:hAnsi="Arial" w:cs="Arial"/>
          <w:b/>
          <w:sz w:val="22"/>
          <w:szCs w:val="22"/>
        </w:rPr>
      </w:pPr>
      <w:r w:rsidRPr="00BF41D5">
        <w:rPr>
          <w:rFonts w:ascii="Arial" w:hAnsi="Arial" w:cs="Arial"/>
          <w:b/>
          <w:sz w:val="22"/>
          <w:szCs w:val="22"/>
        </w:rPr>
        <w:t xml:space="preserve">3.1. </w:t>
      </w:r>
      <w:r w:rsidR="00445CBE" w:rsidRPr="00445CBE">
        <w:rPr>
          <w:rFonts w:ascii="Arial" w:hAnsi="Arial" w:cs="Arial"/>
          <w:b/>
          <w:sz w:val="22"/>
          <w:szCs w:val="22"/>
        </w:rPr>
        <w:t>Isolation, purification, and yield of plant exudate</w:t>
      </w:r>
    </w:p>
    <w:p w14:paraId="7134AE1E" w14:textId="4C2C963F" w:rsidR="004F10DA" w:rsidRPr="00C50F86" w:rsidRDefault="00C50F86" w:rsidP="00B03A1F">
      <w:pPr>
        <w:pStyle w:val="Revista"/>
        <w:spacing w:before="240"/>
        <w:ind w:firstLine="0"/>
        <w:rPr>
          <w:rFonts w:ascii="Arial" w:hAnsi="Arial" w:cs="Arial"/>
          <w:sz w:val="20"/>
        </w:rPr>
      </w:pPr>
      <w:r w:rsidRPr="00C50F86">
        <w:rPr>
          <w:rFonts w:ascii="Arial" w:hAnsi="Arial" w:cs="Arial"/>
          <w:sz w:val="20"/>
        </w:rPr>
        <w:t>The polysaccharide is a mixture of various macromolecular substances that are produced naturally in adverse conditions such as a lack of moisture, high elevation, and excessive heat</w:t>
      </w: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ADDIN ZOTERO_ITEM CSL_CITATION {"citationID":"p4bEwkgx","properties":{"formattedCitation":"(Chaudhari &amp; Annapure, 2021)","plainCitation":"(Chaudhari &amp; Annapure, 2021)","noteIndex":0},"citationItems":[{"id":236,"uris":["http://zotero.org/users/16649851/items/VLK9XE2D"],"itemData":{"id":236,"type":"article-journal","abstract":"Limonia acidissima L., locally known as “Kavat” is the major gum yielding plant of the Indian sub-continent; however, it is not yet explored commercially. This study explained the physio-chemical and functional properties of the L. acidissima L. gum comparing with gum Acacia and their suitable application in extrusion processing. The purified gum was water-soluble and showed pseudoplastic behavior. Monosaccharide composition of Kavat gum quantified the presence of arabinose (38.81%) as major sugar. SEM and XRD confirmed both the gums' amorphous nature, while DSC and TGA analysis showed gums' good thermal stability. Gums' effect on extrusion cooking and extruded product properties was studied by evaluating water absorption index, expansion ratio, density, water solubility index, and extrudates' hardness. The remarkable properties of L. acidissima L. gum have been confirmed that the gum possesses the potentials to be used as an additive in food and other industries.","container-title":"Carbohydrate Polymer Technologies and Applications","DOI":"10.1016/j.carpta.2020.100020","ISSN":"2666-8939","journalAbbreviation":"Carbohydrate Polymer Technologies and Applications","page":"100020","source":"ScienceDirect","title":"Rheological, Physicochemical, and Spectroscopic characterizations of &lt;i&gt;Limonia acidissima&lt;/i&gt; L. gum exudate with an application in extrusion processing","volume":"2","author":[{"family":"Chaudhari","given":"B. B."},{"family":"Annapure","given":"U. S."}],"issued":{"date-parts":[["2021",12,25]]}}}],"schema":"https://github.com/citation-style-language/schema/raw/master/csl-citation.json"} </w:instrText>
      </w:r>
      <w:r>
        <w:rPr>
          <w:rFonts w:ascii="Arial" w:hAnsi="Arial" w:cs="Arial"/>
          <w:sz w:val="20"/>
        </w:rPr>
        <w:fldChar w:fldCharType="separate"/>
      </w:r>
      <w:r w:rsidRPr="00C50F86">
        <w:rPr>
          <w:rFonts w:ascii="Arial" w:hAnsi="Arial" w:cs="Arial"/>
          <w:sz w:val="20"/>
        </w:rPr>
        <w:t>(Chaudhari &amp; Annapure, 2021)</w:t>
      </w:r>
      <w:r>
        <w:rPr>
          <w:rFonts w:ascii="Arial" w:hAnsi="Arial" w:cs="Arial"/>
          <w:sz w:val="20"/>
        </w:rPr>
        <w:fldChar w:fldCharType="end"/>
      </w:r>
      <w:r w:rsidRPr="00C50F86">
        <w:rPr>
          <w:rFonts w:ascii="Arial" w:hAnsi="Arial" w:cs="Arial"/>
          <w:sz w:val="20"/>
        </w:rPr>
        <w:t>.</w:t>
      </w:r>
      <w:r w:rsidR="006467F8">
        <w:rPr>
          <w:rFonts w:ascii="Arial" w:hAnsi="Arial" w:cs="Arial"/>
          <w:sz w:val="20"/>
        </w:rPr>
        <w:t xml:space="preserve"> </w:t>
      </w:r>
      <w:r w:rsidR="006467F8" w:rsidRPr="006467F8">
        <w:rPr>
          <w:rFonts w:ascii="Arial" w:hAnsi="Arial" w:cs="Arial"/>
          <w:sz w:val="20"/>
        </w:rPr>
        <w:t xml:space="preserve">The yield and composition of the gum produced varies depending on the isolation method used. </w:t>
      </w:r>
      <w:r w:rsidR="004F10DA" w:rsidRPr="00B03A1F">
        <w:rPr>
          <w:rFonts w:ascii="Arial" w:hAnsi="Arial" w:cs="Arial"/>
          <w:sz w:val="20"/>
        </w:rPr>
        <w:t xml:space="preserve">The purification yields obtained by each method </w:t>
      </w:r>
      <w:r w:rsidR="004F10DA" w:rsidRPr="00B03A1F">
        <w:rPr>
          <w:rFonts w:ascii="Arial" w:hAnsi="Arial" w:cs="Arial"/>
          <w:sz w:val="20"/>
        </w:rPr>
        <w:lastRenderedPageBreak/>
        <w:t>were 79.34%</w:t>
      </w:r>
      <w:r>
        <w:rPr>
          <w:rFonts w:ascii="Arial" w:hAnsi="Arial" w:cs="Arial"/>
          <w:sz w:val="20"/>
        </w:rPr>
        <w:t xml:space="preserve"> for ethanol precipitation (methods A)</w:t>
      </w:r>
      <w:r w:rsidR="004F10DA" w:rsidRPr="00B03A1F">
        <w:rPr>
          <w:rFonts w:ascii="Arial" w:hAnsi="Arial" w:cs="Arial"/>
          <w:sz w:val="20"/>
        </w:rPr>
        <w:t>, 82.16%</w:t>
      </w:r>
      <w:r>
        <w:rPr>
          <w:rFonts w:ascii="Arial" w:hAnsi="Arial" w:cs="Arial"/>
          <w:sz w:val="20"/>
        </w:rPr>
        <w:t xml:space="preserve"> for isopropanol precipitation (methods B)</w:t>
      </w:r>
      <w:r w:rsidRPr="00B03A1F">
        <w:rPr>
          <w:rFonts w:ascii="Arial" w:hAnsi="Arial" w:cs="Arial"/>
          <w:sz w:val="20"/>
        </w:rPr>
        <w:t>,</w:t>
      </w:r>
      <w:r w:rsidR="004F10DA" w:rsidRPr="00B03A1F">
        <w:rPr>
          <w:rFonts w:ascii="Arial" w:hAnsi="Arial" w:cs="Arial"/>
          <w:sz w:val="20"/>
        </w:rPr>
        <w:t xml:space="preserve"> 73.52%</w:t>
      </w:r>
      <w:r>
        <w:rPr>
          <w:rFonts w:ascii="Arial" w:hAnsi="Arial" w:cs="Arial"/>
          <w:sz w:val="20"/>
        </w:rPr>
        <w:t xml:space="preserve"> for </w:t>
      </w:r>
      <w:r w:rsidRPr="00C50F86">
        <w:rPr>
          <w:rFonts w:ascii="Arial" w:hAnsi="Arial" w:cs="Arial"/>
          <w:sz w:val="20"/>
        </w:rPr>
        <w:t>ethanol and isopropanol</w:t>
      </w:r>
      <w:r>
        <w:rPr>
          <w:rFonts w:ascii="Arial" w:hAnsi="Arial" w:cs="Arial"/>
          <w:sz w:val="20"/>
        </w:rPr>
        <w:t xml:space="preserve"> precipitation (methods C)</w:t>
      </w:r>
      <w:r w:rsidR="004F10DA" w:rsidRPr="00B03A1F">
        <w:rPr>
          <w:rFonts w:ascii="Arial" w:hAnsi="Arial" w:cs="Arial"/>
          <w:sz w:val="20"/>
        </w:rPr>
        <w:t xml:space="preserve"> and 76.40% </w:t>
      </w:r>
      <w:r>
        <w:rPr>
          <w:rFonts w:ascii="Arial" w:hAnsi="Arial" w:cs="Arial"/>
          <w:sz w:val="20"/>
        </w:rPr>
        <w:t xml:space="preserve">for </w:t>
      </w:r>
      <w:r w:rsidRPr="00C50F86">
        <w:rPr>
          <w:rFonts w:ascii="Arial" w:hAnsi="Arial" w:cs="Arial"/>
          <w:sz w:val="20"/>
        </w:rPr>
        <w:t xml:space="preserve">Fehling's solution </w:t>
      </w:r>
      <w:r>
        <w:rPr>
          <w:rFonts w:ascii="Arial" w:hAnsi="Arial" w:cs="Arial"/>
          <w:sz w:val="20"/>
        </w:rPr>
        <w:t>precipitation (methods D)</w:t>
      </w:r>
      <w:r w:rsidR="004F10DA" w:rsidRPr="00B03A1F">
        <w:rPr>
          <w:rFonts w:ascii="Arial" w:hAnsi="Arial" w:cs="Arial"/>
          <w:sz w:val="20"/>
        </w:rPr>
        <w:t xml:space="preserve"> (Fig</w:t>
      </w:r>
      <w:r w:rsidR="00D40585">
        <w:rPr>
          <w:rFonts w:ascii="Arial" w:hAnsi="Arial" w:cs="Arial"/>
          <w:sz w:val="20"/>
        </w:rPr>
        <w:t>.</w:t>
      </w:r>
      <w:r w:rsidR="004F10DA" w:rsidRPr="00B03A1F">
        <w:rPr>
          <w:rFonts w:ascii="Arial" w:hAnsi="Arial" w:cs="Arial"/>
          <w:sz w:val="20"/>
        </w:rPr>
        <w:t xml:space="preserve"> </w:t>
      </w:r>
      <w:r w:rsidR="00D40585">
        <w:rPr>
          <w:rFonts w:ascii="Arial" w:hAnsi="Arial" w:cs="Arial"/>
          <w:sz w:val="20"/>
        </w:rPr>
        <w:t>3</w:t>
      </w:r>
      <w:r w:rsidR="004F10DA" w:rsidRPr="00B03A1F">
        <w:rPr>
          <w:rFonts w:ascii="Arial" w:hAnsi="Arial" w:cs="Arial"/>
          <w:sz w:val="20"/>
        </w:rPr>
        <w:t>). Methods B (isopropanol purification) give the highest (82.16%) purification yield</w:t>
      </w:r>
      <w:r w:rsidR="006467F8">
        <w:rPr>
          <w:rFonts w:ascii="Arial" w:hAnsi="Arial" w:cs="Arial"/>
          <w:sz w:val="20"/>
        </w:rPr>
        <w:t xml:space="preserve"> </w:t>
      </w:r>
      <w:r w:rsidR="006467F8" w:rsidRPr="006467F8">
        <w:rPr>
          <w:rFonts w:ascii="Arial" w:hAnsi="Arial" w:cs="Arial"/>
          <w:sz w:val="20"/>
        </w:rPr>
        <w:t>of the dried mass of the gum</w:t>
      </w:r>
      <w:r w:rsidR="004F10DA" w:rsidRPr="00B03A1F">
        <w:rPr>
          <w:rFonts w:ascii="Arial" w:hAnsi="Arial" w:cs="Arial"/>
          <w:sz w:val="20"/>
        </w:rPr>
        <w:t xml:space="preserve">. The ANOVA results indicated that the purification method had a significant effect </w:t>
      </w:r>
      <w:r w:rsidR="00BF41D5" w:rsidRPr="00BF41D5">
        <w:rPr>
          <w:rFonts w:ascii="Arial" w:hAnsi="Arial" w:cs="Arial"/>
          <w:i/>
          <w:iCs/>
          <w:sz w:val="20"/>
          <w:szCs w:val="16"/>
        </w:rPr>
        <w:t>(P = .05)</w:t>
      </w:r>
      <w:r w:rsidR="004F10DA" w:rsidRPr="00B03A1F">
        <w:rPr>
          <w:rFonts w:ascii="Arial" w:hAnsi="Arial" w:cs="Arial"/>
          <w:sz w:val="20"/>
        </w:rPr>
        <w:t xml:space="preserve"> on the yield of cashew gum. The efficiency of a purification process depends mainly on several factors, such as the sample matrix and the nature and content of impurities (such as trace elements, tannins, natural pigments, and proteins). It can also be influenced by the purification conditions, such as the polarity and dielectric constant of the solvents and reagents used </w:t>
      </w:r>
      <w:r w:rsidR="004F10DA" w:rsidRPr="00B03A1F">
        <w:rPr>
          <w:rFonts w:ascii="Arial" w:hAnsi="Arial" w:cs="Arial"/>
          <w:sz w:val="20"/>
        </w:rPr>
        <w:fldChar w:fldCharType="begin"/>
      </w:r>
      <w:r w:rsidR="009779D8">
        <w:rPr>
          <w:rFonts w:ascii="Arial" w:hAnsi="Arial" w:cs="Arial"/>
          <w:sz w:val="20"/>
        </w:rPr>
        <w:instrText xml:space="preserve"> ADDIN ZOTERO_ITEM CSL_CITATION {"citationID":"y2My5PgG","properties":{"formattedCitation":"(Amid &amp; Mirhosseini, 2012a)","plainCitation":"(Amid &amp; Mirhosseini, 2012a)","noteIndex":0},"citationItems":[{"id":"wp0Dc69N/8Qjle026","uris":["http://zotero.org/users/local/2JspP3fw/items/K27KYKKE"],"itemData":{"id":1777,"type":"article-journal","abstract":"Natural biopolymers from plant sources contain many impurities (e.g., fat, protein, fiber, natural pigment and endogenous enzymes), therefore, an efficient purification process is recommended to minimize these impurities and consequently improve the functional properties of the biopolymer. The main objective of the present study was to investigate the effect of different purification techniques on the yield, protein content, solubility, water- and oil-holding capacity of a heteropolysaccharide-protein biopolymer obtained from durian seed. Four different purification methods using different chemicals and solvents (i.e., A (isopropanol and ethanol), B (isopropanol and acetone), C (saturated barium hydroxide), and D (Fehling solution)] to liberate the purified biopolymer from its crude form were compared. In most cases, the purification process significantly (p &lt; 0.05) improved the physicochemical properties of heteropolysaccharide-protein biopolymer from durian fruit seed. The present work showed that the precipitation using isopropanol and acetone (Method B) resulted in the highest purification yield among all the tested purification techniques. The precipitation using saturated barium hydroxide (Method C) led to induce the highest solubility and relatively high capacity of water absorption. The current study reveals that the precipitation using Fehling solution (Method D) most efficiently eliminates the protein fraction, thus providing more pure biopolymer suitable for biological applications.","container-title":"Molecules","DOI":"10.3390/molecules170910875","ISSN":"1420-3049","issue":"9","language":"en","license":"http://creativecommons.org/licenses/by/3.0/","note":"number: 9\npublisher: Molecular Diversity Preservation International","page":"10875-10892","source":"www.mdpi.com","title":"Effect of Different Purification Techniques on the Characteristics of Heteropolysaccharide-Protein Biopolymer from Durian (Durio zibethinus) Seed","volume":"17","author":[{"family":"Amid","given":"Bahareh Tabatabaee"},{"family":"Mirhosseini","given":"Hamed"}],"issued":{"date-parts":[["2012",9]]}}}],"schema":"https://github.com/citation-style-language/schema/raw/master/csl-citation.json"} </w:instrText>
      </w:r>
      <w:r w:rsidR="004F10DA" w:rsidRPr="00B03A1F">
        <w:rPr>
          <w:rFonts w:ascii="Arial" w:hAnsi="Arial" w:cs="Arial"/>
          <w:sz w:val="20"/>
        </w:rPr>
        <w:fldChar w:fldCharType="separate"/>
      </w:r>
      <w:r w:rsidR="009779D8" w:rsidRPr="009779D8">
        <w:rPr>
          <w:rFonts w:ascii="Arial" w:hAnsi="Arial" w:cs="Arial"/>
          <w:sz w:val="20"/>
        </w:rPr>
        <w:t>(Amid &amp; Mirhosseini, 2012a)</w:t>
      </w:r>
      <w:r w:rsidR="004F10DA" w:rsidRPr="00B03A1F">
        <w:rPr>
          <w:rFonts w:ascii="Arial" w:hAnsi="Arial" w:cs="Arial"/>
          <w:sz w:val="20"/>
        </w:rPr>
        <w:fldChar w:fldCharType="end"/>
      </w:r>
      <w:r w:rsidR="004F10DA" w:rsidRPr="00B03A1F">
        <w:rPr>
          <w:rFonts w:ascii="Arial" w:hAnsi="Arial" w:cs="Arial"/>
          <w:sz w:val="20"/>
        </w:rPr>
        <w:t xml:space="preserve">. Previous studies by Olawale et al, using ethanol precipitation, washed with diethyl ether, found a low yield (81.66%) from cashew exudate gum </w:t>
      </w:r>
      <w:r w:rsidR="004F10DA" w:rsidRPr="00B03A1F">
        <w:rPr>
          <w:rFonts w:ascii="Arial" w:hAnsi="Arial" w:cs="Arial"/>
          <w:sz w:val="20"/>
        </w:rPr>
        <w:fldChar w:fldCharType="begin"/>
      </w:r>
      <w:r w:rsidR="00D9455A">
        <w:rPr>
          <w:rFonts w:ascii="Arial" w:hAnsi="Arial" w:cs="Arial"/>
          <w:sz w:val="20"/>
        </w:rPr>
        <w:instrText xml:space="preserve"> ADDIN ZOTERO_ITEM CSL_CITATION {"citationID":"3LICwyXC","properties":{"formattedCitation":"(Olawale et al., 2024)","plainCitation":"(Olawale et al., 2024)","noteIndex":0},"citationItems":[{"id":"wp0Dc69N/cjkqZLB0","uris":["http://zotero.org/users/8588538/items/W5TZ8A45"],"itemData":{"id":1178,"type":"article-journal","abstract":"Effective vaccine delivery is crucial for controlling infectious diseases. Natural polymers are increasingly considered in drug delivery systems due to their low cost, biocompatibility, biodegradability, safety and dose sparing. Despite these advantages, there is limited information on their use in veterinary applications. This study explores cashew tree gum (CTG) as a potential vaccine carrier, especially in veterinary setting, focusing on its purification, phytochemical profile, and biocompatibility. Cashew tree gum was harvested from incisions in the tree trunk, followed by a purification process. Phytochemical analysis, rheological properties, and proximate and metallic content were assessed using standard methods. The viscosity was measured with a Brookfield viscometer, and pH values were determined using a Jenway 3510 pH meter. Data were analyzed using one-way ANOVA with MiniTab Version 9.5. The purification process yielded 81.61%. The purified gum exhibited a glassy white colour, odourless smell, and bland taste. The pH values for crude and purified gums were 3.91 and 4.08, respectively. Moisture content was 0.08% in crude gum and 0.13% in purified gum, while total solids were 99.92%. Ash content was 0.999% for crude gum and 0.565% for purified gum. The gum contained glycosides, tannins, alkaloids, and triterpenoids, with no detectable heavy metals. Essential minerals such as sodium, potassium, iron, zinc, calcium, and manganese were present at concentrations within acceptable ranges. Cashew tree gum shows significant promise as a vaccine carrier due to its high yield, safe phytochemical profile, and biocompatibility; therefore, can be used in advancing oral vaccine delivery.","container-title":"Tropical Journal of Natural Product Research (TJNPR)","DOI":"10.26538/tjnpr/v8i9.29","ISSN":"2616-0692","issue":"9","language":"en","license":"Copyright (c) 2024 Tropical Journal of Natural Product Research (TJNPR)","note":"number: 9","page":"8447-8452","source":"tjnpr.org","title":"Evaluating Cashew Tree Gum as A Potential Vaccine Carrier: Purification, Phytochemical Analysis and Biocompatibility Assessment","title-short":"Evaluating Cashew Tree Gum as A Potential Vaccine Carrier","volume":"8","author":[{"family":"Olawale","given":"Ola O."},{"family":"Benjamin","given":"Emikpe O."},{"family":"Noble","given":"Kuntworbe"},{"family":"Michael","given":"Odeniyi A."},{"family":"Theophilus","given":"Jarikre A."},{"family":"Opeyemi","given":"Onilude M."},{"family":"Asantewaa","given":"Osei Y."},{"family":"Derrick","given":"Asare A."}],"issued":{"date-parts":[["2024",10,2]]}}}],"schema":"https://github.com/citation-style-language/schema/raw/master/csl-citation.json"} </w:instrText>
      </w:r>
      <w:r w:rsidR="004F10DA" w:rsidRPr="00B03A1F">
        <w:rPr>
          <w:rFonts w:ascii="Arial" w:hAnsi="Arial" w:cs="Arial"/>
          <w:sz w:val="20"/>
        </w:rPr>
        <w:fldChar w:fldCharType="separate"/>
      </w:r>
      <w:r w:rsidR="00D9455A" w:rsidRPr="00D9455A">
        <w:rPr>
          <w:rFonts w:ascii="Arial" w:hAnsi="Arial" w:cs="Arial"/>
          <w:sz w:val="20"/>
        </w:rPr>
        <w:t>(Olawale et al., 2024)</w:t>
      </w:r>
      <w:r w:rsidR="004F10DA" w:rsidRPr="00B03A1F">
        <w:rPr>
          <w:rFonts w:ascii="Arial" w:hAnsi="Arial" w:cs="Arial"/>
          <w:sz w:val="20"/>
        </w:rPr>
        <w:fldChar w:fldCharType="end"/>
      </w:r>
      <w:r w:rsidR="004F10DA" w:rsidRPr="00B03A1F">
        <w:rPr>
          <w:rFonts w:ascii="Arial" w:hAnsi="Arial" w:cs="Arial"/>
          <w:sz w:val="20"/>
        </w:rPr>
        <w:t xml:space="preserve">. </w:t>
      </w:r>
    </w:p>
    <w:p w14:paraId="57723638" w14:textId="77777777" w:rsidR="007060B5" w:rsidRPr="007060B5" w:rsidRDefault="004F10DA" w:rsidP="007060B5">
      <w:pPr>
        <w:pStyle w:val="Caption"/>
        <w:jc w:val="center"/>
        <w:rPr>
          <w:rFonts w:ascii="Arial" w:hAnsi="Arial" w:cs="Arial"/>
          <w:b/>
          <w:bCs/>
          <w:i w:val="0"/>
          <w:iCs w:val="0"/>
          <w:sz w:val="20"/>
          <w:szCs w:val="20"/>
        </w:rPr>
      </w:pPr>
      <w:r w:rsidRPr="007060B5">
        <w:rPr>
          <w:rFonts w:ascii="Arial" w:hAnsi="Arial" w:cs="Arial"/>
          <w:b/>
          <w:bCs/>
          <w:i w:val="0"/>
          <w:iCs w:val="0"/>
          <w:noProof/>
          <w:sz w:val="20"/>
        </w:rPr>
        <w:drawing>
          <wp:inline distT="0" distB="0" distL="0" distR="0" wp14:anchorId="4DFA87E0" wp14:editId="19622606">
            <wp:extent cx="2926715" cy="2114550"/>
            <wp:effectExtent l="0" t="0" r="0" b="0"/>
            <wp:docPr id="1305881768" name="Graphique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060B5" w:rsidRPr="007060B5">
        <w:rPr>
          <w:rFonts w:ascii="Arial" w:hAnsi="Arial" w:cs="Arial"/>
          <w:b/>
          <w:bCs/>
          <w:i w:val="0"/>
          <w:iCs w:val="0"/>
          <w:sz w:val="20"/>
          <w:szCs w:val="20"/>
        </w:rPr>
        <w:t xml:space="preserve"> </w:t>
      </w:r>
    </w:p>
    <w:p w14:paraId="0D08AD63" w14:textId="7AF088C6" w:rsidR="004F10DA" w:rsidRPr="007060B5" w:rsidRDefault="007060B5" w:rsidP="007060B5">
      <w:pPr>
        <w:pStyle w:val="Revista"/>
        <w:ind w:firstLine="0"/>
        <w:jc w:val="center"/>
        <w:rPr>
          <w:rFonts w:ascii="Arial" w:hAnsi="Arial" w:cs="Arial"/>
          <w:b/>
          <w:bCs/>
          <w:sz w:val="20"/>
        </w:rPr>
      </w:pPr>
      <w:r w:rsidRPr="007060B5">
        <w:rPr>
          <w:rFonts w:ascii="Arial" w:hAnsi="Arial" w:cs="Arial"/>
          <w:b/>
          <w:bCs/>
          <w:sz w:val="20"/>
        </w:rPr>
        <w:t xml:space="preserve">Fig. </w:t>
      </w:r>
      <w:r w:rsidRPr="007060B5">
        <w:rPr>
          <w:rFonts w:ascii="Arial" w:hAnsi="Arial" w:cs="Arial"/>
          <w:b/>
          <w:bCs/>
          <w:sz w:val="20"/>
        </w:rPr>
        <w:fldChar w:fldCharType="begin"/>
      </w:r>
      <w:r w:rsidRPr="007060B5">
        <w:rPr>
          <w:rFonts w:ascii="Arial" w:hAnsi="Arial" w:cs="Arial"/>
          <w:b/>
          <w:bCs/>
          <w:sz w:val="20"/>
        </w:rPr>
        <w:instrText xml:space="preserve"> SEQ Fig. \* ARABIC </w:instrText>
      </w:r>
      <w:r w:rsidRPr="007060B5">
        <w:rPr>
          <w:rFonts w:ascii="Arial" w:hAnsi="Arial" w:cs="Arial"/>
          <w:b/>
          <w:bCs/>
          <w:sz w:val="20"/>
        </w:rPr>
        <w:fldChar w:fldCharType="separate"/>
      </w:r>
      <w:r w:rsidRPr="007060B5">
        <w:rPr>
          <w:rFonts w:ascii="Arial" w:hAnsi="Arial" w:cs="Arial"/>
          <w:b/>
          <w:bCs/>
          <w:noProof/>
          <w:sz w:val="20"/>
        </w:rPr>
        <w:t>3</w:t>
      </w:r>
      <w:r w:rsidRPr="007060B5">
        <w:rPr>
          <w:rFonts w:ascii="Arial" w:hAnsi="Arial" w:cs="Arial"/>
          <w:b/>
          <w:bCs/>
          <w:sz w:val="20"/>
        </w:rPr>
        <w:fldChar w:fldCharType="end"/>
      </w:r>
      <w:r w:rsidRPr="007060B5">
        <w:rPr>
          <w:rFonts w:ascii="Arial" w:hAnsi="Arial" w:cs="Arial"/>
          <w:b/>
          <w:bCs/>
          <w:sz w:val="20"/>
        </w:rPr>
        <w:t>: Purification method gum yield</w:t>
      </w:r>
    </w:p>
    <w:p w14:paraId="0D8ED03A" w14:textId="0B1F2B0B" w:rsidR="004F10DA" w:rsidRDefault="004F10DA" w:rsidP="00CA54AA">
      <w:pPr>
        <w:pStyle w:val="Revista"/>
        <w:ind w:firstLine="0"/>
        <w:jc w:val="center"/>
        <w:rPr>
          <w:rFonts w:ascii="Arial" w:hAnsi="Arial" w:cs="Arial"/>
          <w:i/>
          <w:sz w:val="20"/>
        </w:rPr>
      </w:pPr>
      <w:r w:rsidRPr="00B03A1F">
        <w:rPr>
          <w:rFonts w:ascii="Arial" w:hAnsi="Arial" w:cs="Arial"/>
          <w:i/>
          <w:sz w:val="20"/>
        </w:rPr>
        <w:t>E = ethanol purification;</w:t>
      </w:r>
      <w:r w:rsidRPr="00B03A1F">
        <w:rPr>
          <w:rFonts w:ascii="Arial" w:hAnsi="Arial" w:cs="Arial"/>
          <w:b/>
          <w:i/>
          <w:sz w:val="20"/>
        </w:rPr>
        <w:t xml:space="preserve"> </w:t>
      </w:r>
      <w:r w:rsidRPr="00B03A1F">
        <w:rPr>
          <w:rFonts w:ascii="Arial" w:hAnsi="Arial" w:cs="Arial"/>
          <w:i/>
          <w:sz w:val="20"/>
        </w:rPr>
        <w:t xml:space="preserve">I = </w:t>
      </w:r>
      <w:bookmarkStart w:id="8" w:name="_Hlk191155776"/>
      <w:r w:rsidRPr="00B03A1F">
        <w:rPr>
          <w:rFonts w:ascii="Arial" w:hAnsi="Arial" w:cs="Arial"/>
          <w:i/>
          <w:sz w:val="20"/>
        </w:rPr>
        <w:t>isopropanol purification</w:t>
      </w:r>
      <w:bookmarkEnd w:id="8"/>
      <w:r w:rsidRPr="00B03A1F">
        <w:rPr>
          <w:rFonts w:ascii="Arial" w:hAnsi="Arial" w:cs="Arial"/>
          <w:i/>
          <w:sz w:val="20"/>
        </w:rPr>
        <w:t>,</w:t>
      </w:r>
      <w:r w:rsidRPr="00B03A1F">
        <w:rPr>
          <w:rFonts w:ascii="Arial" w:hAnsi="Arial" w:cs="Arial"/>
          <w:b/>
          <w:i/>
          <w:sz w:val="20"/>
        </w:rPr>
        <w:t xml:space="preserve"> </w:t>
      </w:r>
      <w:r w:rsidRPr="00B03A1F">
        <w:rPr>
          <w:rFonts w:ascii="Arial" w:hAnsi="Arial" w:cs="Arial"/>
          <w:i/>
          <w:sz w:val="20"/>
        </w:rPr>
        <w:t>EI = ethanol and isopropanol purification; and</w:t>
      </w:r>
      <w:r w:rsidR="00CA54AA">
        <w:rPr>
          <w:rFonts w:ascii="Arial" w:hAnsi="Arial" w:cs="Arial"/>
          <w:b/>
          <w:i/>
          <w:sz w:val="20"/>
        </w:rPr>
        <w:t xml:space="preserve"> </w:t>
      </w:r>
      <w:r w:rsidRPr="00B03A1F">
        <w:rPr>
          <w:rFonts w:ascii="Arial" w:hAnsi="Arial" w:cs="Arial"/>
          <w:i/>
          <w:sz w:val="20"/>
        </w:rPr>
        <w:t xml:space="preserve">Fs = Fehling's solution purification. Values are expressed as mean ± standard deviation. Mean values with different superscript letters were significantly different </w:t>
      </w:r>
      <w:r w:rsidR="00BF41D5" w:rsidRPr="00BF41D5">
        <w:rPr>
          <w:rFonts w:ascii="Arial" w:hAnsi="Arial" w:cs="Arial"/>
          <w:i/>
          <w:iCs/>
          <w:sz w:val="20"/>
          <w:szCs w:val="16"/>
        </w:rPr>
        <w:t>(P = .05)</w:t>
      </w:r>
      <w:r w:rsidRPr="00B03A1F">
        <w:rPr>
          <w:rFonts w:ascii="Arial" w:hAnsi="Arial" w:cs="Arial"/>
          <w:i/>
          <w:sz w:val="20"/>
        </w:rPr>
        <w:t>.</w:t>
      </w:r>
    </w:p>
    <w:p w14:paraId="4B236F2A" w14:textId="77777777" w:rsidR="00B03A1F" w:rsidRDefault="00B03A1F" w:rsidP="004F10DA">
      <w:pPr>
        <w:pStyle w:val="Revista"/>
        <w:ind w:firstLine="0"/>
        <w:rPr>
          <w:rFonts w:ascii="Arial" w:hAnsi="Arial" w:cs="Arial"/>
          <w:sz w:val="20"/>
          <w:shd w:val="clear" w:color="auto" w:fill="FFFFFF"/>
        </w:rPr>
      </w:pPr>
    </w:p>
    <w:p w14:paraId="00DE5002" w14:textId="516348AE" w:rsidR="004F10DA" w:rsidRPr="00684B62" w:rsidRDefault="004F10DA" w:rsidP="004F10DA">
      <w:pPr>
        <w:pStyle w:val="Revista"/>
        <w:ind w:firstLine="0"/>
        <w:rPr>
          <w:rFonts w:ascii="Arial" w:hAnsi="Arial" w:cs="Arial"/>
          <w:sz w:val="20"/>
        </w:rPr>
      </w:pPr>
      <w:r w:rsidRPr="00B03A1F">
        <w:rPr>
          <w:rFonts w:ascii="Arial" w:hAnsi="Arial" w:cs="Arial"/>
          <w:sz w:val="20"/>
          <w:shd w:val="clear" w:color="auto" w:fill="FFFFFF"/>
        </w:rPr>
        <w:t xml:space="preserve">The better performance with isopropanol in this study could be explained by the fact that alcohols with more carbon atoms have been suggested to increase hydrolysis and reduce </w:t>
      </w:r>
      <w:r w:rsidR="003B0022" w:rsidRPr="00B03A1F">
        <w:rPr>
          <w:rFonts w:ascii="Arial" w:hAnsi="Arial" w:cs="Arial"/>
          <w:sz w:val="20"/>
          <w:shd w:val="clear" w:color="auto" w:fill="FFFFFF"/>
        </w:rPr>
        <w:t>polymerization</w:t>
      </w:r>
      <w:r w:rsidRPr="00B03A1F">
        <w:rPr>
          <w:rFonts w:ascii="Arial" w:hAnsi="Arial" w:cs="Arial"/>
          <w:sz w:val="20"/>
          <w:shd w:val="clear" w:color="auto" w:fill="FFFFFF"/>
        </w:rPr>
        <w:t xml:space="preserve"> in the exudate </w:t>
      </w:r>
      <w:r w:rsidRPr="00B03A1F">
        <w:rPr>
          <w:rFonts w:ascii="Arial" w:hAnsi="Arial" w:cs="Arial"/>
          <w:sz w:val="20"/>
        </w:rPr>
        <w:fldChar w:fldCharType="begin"/>
      </w:r>
      <w:r w:rsidR="00D9455A">
        <w:rPr>
          <w:rFonts w:ascii="Arial" w:hAnsi="Arial" w:cs="Arial"/>
          <w:sz w:val="20"/>
        </w:rPr>
        <w:instrText xml:space="preserve"> ADDIN ZOTERO_ITEM CSL_CITATION {"citationID":"gXH40qUM","properties":{"formattedCitation":"(Hay et al., 2024)","plainCitation":"(Hay et al., 2024)","noteIndex":0},"citationItems":[{"id":"wp0Dc69N/VuwM4QmR","uris":["http://zotero.org/users/8588538/items/EZ7JFCYT"],"itemData":{"id":1200,"type":"article-journal","abstract":"This study investigated a new gum sourced from Acacia cambagei, Gidyea gum, by comparative characterisation with gum Arabic. The polysaccharide compositional analysis of Gidyea gum via Fourier transfer infrared and nuclear magnetic resonance spectroscopies was conducted, showing common structural features to gum Arabic, with minor differences in polymer branching. Microstructural imaging using transmission electron microscopy revealed the typical globular arabinogalactan glycoprotein structures of </w:instrText>
      </w:r>
      <w:r w:rsidR="00D9455A">
        <w:rPr>
          <w:rFonts w:ascii="Cambria Math" w:hAnsi="Cambria Math" w:cs="Cambria Math"/>
          <w:sz w:val="20"/>
        </w:rPr>
        <w:instrText>∼</w:instrText>
      </w:r>
      <w:r w:rsidR="00D9455A">
        <w:rPr>
          <w:rFonts w:ascii="Arial" w:hAnsi="Arial" w:cs="Arial"/>
          <w:sz w:val="20"/>
        </w:rPr>
        <w:instrText xml:space="preserve">10 nm diameter for both samples. Size exclusion chromatography also confirmed a similar molecular weight with 28 × 103 g mol−1 and 25 × 103 g mol−1 for Gidyea gum and gum Arabic, respectively. Gum rheological analysis determined a significantly lower apparent viscosity in the Gidyea gum. Modelling of the temporal evolution of dynamic surface and interfacial tensions revealed that Gidyea gum had a significantly lower rate of diffusion to the interfaces but similar adsorption and rearrangement rates. The dilatational viscoelastic response of Gidyea gum at the oil-water interface was consistent with gum Arabic, indicating similarities in functional performance. Indeed, Gidyea gum could stabilise orange oil-water emulsions for 15 days, exhibiting a comparable performance to those stabilised with gum Arabic. This study revealed that Gidyea gum is a functional emulsifier with the potential to be a gum Arabic alternative within the food and pharmaceutical industries.","container-title":"Food Hydrocolloids","DOI":"10.1016/j.foodhyd.2024.110003","ISSN":"0268-005X","journalAbbreviation":"Food Hydrocolloids","page":"110003","source":"ScienceDirect","title":"A new hydrocolloid to rival gum Arabic: Characterisation of a traditional food gum from Australian &lt;i&gt;Acacia cambagei&lt;/i&gt;.","title-short":"A new hydrocolloid to rival gum Arabic","volume":"153","author":[{"family":"Hay","given":"Thomas Owen"},{"family":"Kontogiorgos","given":"Vassillis"},{"family":"Thompson","given":"Suzanne"},{"family":"Nastasi","given":"Joseph Robert"},{"family":"Fitzgerald","given":"Melissa"}],"issued":{"date-parts":[["2024",8,1]]}}}],"schema":"https://github.com/citation-style-language/schema/raw/master/csl-citation.json"}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(Hay et al., 2024)</w:t>
      </w:r>
      <w:r w:rsidRPr="00B03A1F">
        <w:rPr>
          <w:rFonts w:ascii="Arial" w:hAnsi="Arial" w:cs="Arial"/>
          <w:sz w:val="20"/>
        </w:rPr>
        <w:fldChar w:fldCharType="end"/>
      </w:r>
      <w:r w:rsidRPr="00B03A1F">
        <w:rPr>
          <w:rFonts w:ascii="Arial" w:hAnsi="Arial" w:cs="Arial"/>
          <w:sz w:val="20"/>
          <w:shd w:val="clear" w:color="auto" w:fill="FFFFFF"/>
        </w:rPr>
        <w:t>. The relatively high yield suggests that the isopropanol solvent extraction process used was ideal for cashew gum.</w:t>
      </w:r>
      <w:r w:rsidRPr="00B03A1F">
        <w:rPr>
          <w:rFonts w:ascii="Arial" w:hAnsi="Arial" w:cs="Arial"/>
          <w:sz w:val="20"/>
        </w:rPr>
        <w:t xml:space="preserve"> The better performance with isopropanol in this study could be explained by the fact that it allows better precipitation of polysaccharides in the exudate. According to Huang et al., polysaccharide purification using ethanol or isopropanol is one of the methods that results in a decrease in the dielectric constant of the polysaccharide solution, which leads to better purification </w:t>
      </w:r>
      <w:r w:rsidRPr="00B03A1F">
        <w:rPr>
          <w:rFonts w:ascii="Arial" w:hAnsi="Arial" w:cs="Arial"/>
          <w:sz w:val="20"/>
        </w:rPr>
        <w:fldChar w:fldCharType="begin"/>
      </w:r>
      <w:r w:rsidR="00D9455A">
        <w:rPr>
          <w:rFonts w:ascii="Arial" w:hAnsi="Arial" w:cs="Arial"/>
          <w:sz w:val="20"/>
        </w:rPr>
        <w:instrText xml:space="preserve"> ADDIN ZOTERO_ITEM CSL_CITATION {"citationID":"11M6K3Gx","properties":{"formattedCitation":"(Huang et al., 2022)","plainCitation":"(Huang et al., 2022)","noteIndex":0},"citationItems":[{"id":"wp0Dc69N/UwGEHuNC","uris":["http://zotero.org/users/8588538/items/2JBLZ6XM"],"itemData":{"id":1180,"type":"article-journal","abstract":"Polysaccharide is widely distributed in natural resources, and currently attracts scientists' attention for their various bio-functions including immunomodulatory activity, hypoglycemic activity, hypolipidemic activity, antitumor activity, promoting effects on gastrointestinal function, and so on. The purity and structure characteristics of different polysaccharides greatly restrict the in-depth study of their bioactivity mechanism. Therefore, this guideline will display the extraction, isolation, purification, and structural characterization of polysaccharides from natural resources. The extraction methods of acid-soluble polysaccharides, water-soluble polysaccharides, and alkaline soluble polysaccharides are included. Common purification methods like membrane filtration, alcohol precipitation, and column chromatographic separation are explained in detail. A comprehensive procedure for polysaccharide structural characterization is given from molecular weight and monosaccharide composition study to Fourier transform infrared and nuclear magnetic resonance analysis. Examples are added where necessary to help you better understand this guideline.","container-title":"eFood","DOI":"10.1002/efd2.37","ISSN":"2666-3066","issue":"6","language":"en","license":"© 2022 The Authors. eFood published by John Wiley &amp; Sons Australia, Ltd on behalf of International Association of Dietetic Nutrition and Safety.","note":"_eprint: https://onlinelibrary.wiley.com/doi/pdf/10.1002/efd2.37","page":"e37","source":"Wiley Online Library","title":"Guideline for the extraction, isolation, purification, and structural characterization of polysaccharides from natural resources","volume":"3","author":[{"family":"Huang","given":"Xiaojun"},{"family":"Ai","given":"Chao"},{"family":"Yao","given":"Haoyingye"},{"family":"Zhao","given":"Chengang"},{"family":"Xiang","given":"Chunhong"},{"family":"Hong","given":"Tao"},{"family":"Xiao","given":"Jianbo"}],"issued":{"date-parts":[["2022"]]}}}],"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(Huang et al., 2022)</w:t>
      </w:r>
      <w:r w:rsidRPr="00B03A1F">
        <w:rPr>
          <w:rFonts w:ascii="Arial" w:hAnsi="Arial" w:cs="Arial"/>
          <w:sz w:val="20"/>
        </w:rPr>
        <w:fldChar w:fldCharType="end"/>
      </w:r>
      <w:r w:rsidRPr="00B03A1F">
        <w:rPr>
          <w:rFonts w:ascii="Arial" w:hAnsi="Arial" w:cs="Arial"/>
          <w:sz w:val="20"/>
        </w:rPr>
        <w:t xml:space="preserve">. </w:t>
      </w:r>
    </w:p>
    <w:p w14:paraId="01BE2D4C" w14:textId="77777777" w:rsidR="00B03A1F" w:rsidRDefault="00B03A1F" w:rsidP="00B03A1F">
      <w:pPr>
        <w:pStyle w:val="Revista"/>
        <w:spacing w:before="240"/>
        <w:ind w:firstLine="0"/>
        <w:rPr>
          <w:rFonts w:ascii="Arial" w:hAnsi="Arial" w:cs="Arial"/>
          <w:b/>
          <w:sz w:val="20"/>
        </w:rPr>
      </w:pPr>
      <w:r w:rsidRPr="00BF41D5">
        <w:rPr>
          <w:rFonts w:ascii="Arial" w:hAnsi="Arial" w:cs="Arial"/>
          <w:b/>
          <w:sz w:val="22"/>
          <w:szCs w:val="22"/>
        </w:rPr>
        <w:t>3.2. Dry matter content in the cashew gum</w:t>
      </w:r>
    </w:p>
    <w:p w14:paraId="4D5FAC79" w14:textId="11631046" w:rsidR="00B03A1F" w:rsidRPr="00B03A1F" w:rsidRDefault="00B03A1F" w:rsidP="00A56367">
      <w:pPr>
        <w:pStyle w:val="Revista"/>
        <w:spacing w:before="240"/>
        <w:ind w:firstLine="0"/>
        <w:rPr>
          <w:rFonts w:ascii="Arial" w:hAnsi="Arial" w:cs="Arial"/>
          <w:sz w:val="20"/>
        </w:rPr>
      </w:pPr>
      <w:r w:rsidRPr="00B03A1F">
        <w:rPr>
          <w:rFonts w:ascii="Arial" w:hAnsi="Arial" w:cs="Arial"/>
          <w:sz w:val="20"/>
        </w:rPr>
        <w:t>As shown in Fig</w:t>
      </w:r>
      <w:r w:rsidR="00D40585">
        <w:rPr>
          <w:rFonts w:ascii="Arial" w:hAnsi="Arial" w:cs="Arial"/>
          <w:sz w:val="20"/>
        </w:rPr>
        <w:t>.</w:t>
      </w:r>
      <w:r w:rsidRPr="00B03A1F">
        <w:rPr>
          <w:rFonts w:ascii="Arial" w:hAnsi="Arial" w:cs="Arial"/>
          <w:sz w:val="20"/>
        </w:rPr>
        <w:t xml:space="preserve"> </w:t>
      </w:r>
      <w:r w:rsidR="00D40585">
        <w:rPr>
          <w:rFonts w:ascii="Arial" w:hAnsi="Arial" w:cs="Arial"/>
          <w:sz w:val="20"/>
        </w:rPr>
        <w:t>4</w:t>
      </w:r>
      <w:r w:rsidRPr="00B03A1F">
        <w:rPr>
          <w:rFonts w:ascii="Arial" w:hAnsi="Arial" w:cs="Arial"/>
          <w:sz w:val="20"/>
        </w:rPr>
        <w:t>, the dry matter (DM) content of all the purified cashew gums (91.04% - 91.50%) is higher than that of the crude sample (88.66%).</w:t>
      </w:r>
      <w:r>
        <w:rPr>
          <w:rFonts w:ascii="Arial" w:hAnsi="Arial" w:cs="Arial"/>
          <w:sz w:val="20"/>
        </w:rPr>
        <w:t xml:space="preserve"> </w:t>
      </w:r>
      <w:r w:rsidRPr="00B03A1F">
        <w:rPr>
          <w:rFonts w:ascii="Arial" w:hAnsi="Arial" w:cs="Arial"/>
          <w:sz w:val="20"/>
        </w:rPr>
        <w:t>Among the purified gums, the EI sample obtained by the successive ethanol and isopropanol purification method (method C) had a higher dry matter (91.50%) (Figure 2). These values are in line with the minimum standards (&lt;15%) for good quality gums according to the European specification. The ANOVA results also showed a significant effect</w:t>
      </w:r>
      <w:r w:rsidR="00BF41D5">
        <w:rPr>
          <w:rFonts w:ascii="Arial" w:hAnsi="Arial" w:cs="Arial"/>
          <w:sz w:val="20"/>
        </w:rPr>
        <w:t xml:space="preserve"> </w:t>
      </w:r>
      <w:r w:rsidR="00BF41D5" w:rsidRPr="00BF41D5">
        <w:rPr>
          <w:rFonts w:ascii="Arial" w:hAnsi="Arial" w:cs="Arial"/>
          <w:i/>
          <w:iCs/>
          <w:sz w:val="20"/>
          <w:szCs w:val="16"/>
        </w:rPr>
        <w:t>(P = .05)</w:t>
      </w:r>
      <w:r w:rsidRPr="00B03A1F">
        <w:rPr>
          <w:rFonts w:ascii="Arial" w:hAnsi="Arial" w:cs="Arial"/>
          <w:sz w:val="20"/>
        </w:rPr>
        <w:t xml:space="preserve"> of the purification methods on dry matter (DM). The DM values found in this study were lower than that found by Olawale in purified cashew gum (99.92%) </w:t>
      </w:r>
      <w:r w:rsidRPr="00B03A1F">
        <w:rPr>
          <w:rFonts w:ascii="Arial" w:hAnsi="Arial" w:cs="Arial"/>
          <w:sz w:val="20"/>
        </w:rPr>
        <w:fldChar w:fldCharType="begin"/>
      </w:r>
      <w:r w:rsidR="00D9455A">
        <w:rPr>
          <w:rFonts w:ascii="Arial" w:hAnsi="Arial" w:cs="Arial"/>
          <w:sz w:val="20"/>
        </w:rPr>
        <w:instrText xml:space="preserve"> ADDIN ZOTERO_ITEM CSL_CITATION {"citationID":"xYTGzHjA","properties":{"formattedCitation":"(Olawale et al., 2024)","plainCitation":"(Olawale et al., 2024)","noteIndex":0},"citationItems":[{"id":"wp0Dc69N/cjkqZLB0","uris":["http://zotero.org/users/8588538/items/W5TZ8A45"],"itemData":{"id":1178,"type":"article-journal","abstract":"Effective vaccine delivery is crucial for controlling infectious diseases. Natural polymers are increasingly considered in drug delivery systems due to their low cost, biocompatibility, biodegradability, safety and dose sparing. Despite these advantages, there is limited information on their use in veterinary applications. This study explores cashew tree gum (CTG) as a potential vaccine carrier, especially in veterinary setting, focusing on its purification, phytochemical profile, and biocompatibility. Cashew tree gum was harvested from incisions in the tree trunk, followed by a purification process. Phytochemical analysis, rheological properties, and proximate and metallic content were assessed using standard methods. The viscosity was measured with a Brookfield viscometer, and pH values were determined using a Jenway 3510 pH meter. Data were analyzed using one-way ANOVA with MiniTab Version 9.5. The purification process yielded 81.61%. The purified gum exhibited a glassy white colour, odourless smell, and bland taste. The pH values for crude and purified gums were 3.91 and 4.08, respectively. Moisture content was 0.08% in crude gum and 0.13% in purified gum, while total solids were 99.92%. Ash content was 0.999% for crude gum and 0.565% for purified gum. The gum contained glycosides, tannins, alkaloids, and triterpenoids, with no detectable heavy metals. Essential minerals such as sodium, potassium, iron, zinc, calcium, and manganese were present at concentrations within acceptable ranges. Cashew tree gum shows significant promise as a vaccine carrier due to its high yield, safe phytochemical profile, and biocompatibility; therefore, can be used in advancing oral vaccine delivery.","container-title":"Tropical Journal of Natural Product Research (TJNPR)","DOI":"10.26538/tjnpr/v8i9.29","ISSN":"2616-0692","issue":"9","language":"en","license":"Copyright (c) 2024 Tropical Journal of Natural Product Research (TJNPR)","note":"number: 9","page":"8447-8452","source":"tjnpr.org","title":"Evaluating Cashew Tree Gum as A Potential Vaccine Carrier: Purification, Phytochemical Analysis and Biocompatibility Assessment","title-short":"Evaluating Cashew Tree Gum as A Potential Vaccine Carrier","volume":"8","author":[{"family":"Olawale","given":"Ola O."},{"family":"Benjamin","given":"Emikpe O."},{"family":"Noble","given":"Kuntworbe"},{"family":"Michael","given":"Odeniyi A."},{"family":"Theophilus","given":"Jarikre A."},{"family":"Opeyemi","given":"Onilude M."},{"family":"Asantewaa","given":"Osei Y."},{"family":"Derrick","given":"Asare A."}],"issued":{"date-parts":[["2024",10,2]]}}}],"schema":"https://github.com/citation-style-language/schema/raw/master/csl-citation.json"}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(Olawale et al., 2024)</w:t>
      </w:r>
      <w:r w:rsidRPr="00B03A1F">
        <w:rPr>
          <w:rFonts w:ascii="Arial" w:hAnsi="Arial" w:cs="Arial"/>
          <w:sz w:val="20"/>
        </w:rPr>
        <w:fldChar w:fldCharType="end"/>
      </w:r>
      <w:r w:rsidRPr="00B03A1F">
        <w:rPr>
          <w:rFonts w:ascii="Arial" w:hAnsi="Arial" w:cs="Arial"/>
          <w:sz w:val="20"/>
        </w:rPr>
        <w:t xml:space="preserve">. This suggests that the gum contains a significant amount of moisture, which has the potential to promote microbial growth and enzymatic </w:t>
      </w:r>
      <w:r w:rsidRPr="00B03A1F">
        <w:rPr>
          <w:rFonts w:ascii="Arial" w:hAnsi="Arial" w:cs="Arial"/>
          <w:sz w:val="20"/>
        </w:rPr>
        <w:lastRenderedPageBreak/>
        <w:t xml:space="preserve">degradation during storage. However, relative moisture is important as it facilitates the solubility of hydrophilic carbohydrates and hydrophobic proteins in the gum </w:t>
      </w:r>
      <w:r w:rsidRPr="00B03A1F">
        <w:rPr>
          <w:rFonts w:ascii="Arial" w:hAnsi="Arial" w:cs="Arial"/>
          <w:sz w:val="20"/>
        </w:rPr>
        <w:fldChar w:fldCharType="begin"/>
      </w:r>
      <w:r w:rsidR="00D9455A">
        <w:rPr>
          <w:rFonts w:ascii="Arial" w:hAnsi="Arial" w:cs="Arial"/>
          <w:sz w:val="20"/>
        </w:rPr>
        <w:instrText xml:space="preserve"> ADDIN ZOTERO_ITEM CSL_CITATION {"citationID":"pUOzrIOY","properties":{"formattedCitation":"(Ali &amp; Daffalla, 2018)","plainCitation":"(Ali &amp; Daffalla, 2018)","noteIndex":0},"citationItems":[{"id":"wp0Dc69N/9T3mInm5","uris":["http://zotero.org/users/8588538/items/CU9IUNZU"],"itemData":{"id":1194,"type":"article-journal","abstract":"Different studies reported variation on the physicochemical properties of Acacia Senegal var. Senegal gum Arabic exudates due to different factors... | Find, read and cite all the research you need on ResearchGate","container-title":"Annals. Food Science and Technology","issue":"1","language":"en","page":"27-34","title":"Physicochemical and functional properties of the gum arabic from Acacia Senegal","volume":"19","author":[{"family":"Ali","given":"Kauther Sir Elkhatim"},{"family":"Daffalla","given":"Hussien M."}],"issued":{"date-parts":[["2018"]]}}}],"schema":"https://github.com/citation-style-language/schema/raw/master/csl-citation.json"}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(Ali &amp; Daffalla, 2018)</w:t>
      </w:r>
      <w:r w:rsidRPr="00B03A1F">
        <w:rPr>
          <w:rFonts w:ascii="Arial" w:hAnsi="Arial" w:cs="Arial"/>
          <w:sz w:val="20"/>
        </w:rPr>
        <w:fldChar w:fldCharType="end"/>
      </w:r>
      <w:r w:rsidRPr="00B03A1F">
        <w:rPr>
          <w:rFonts w:ascii="Arial" w:hAnsi="Arial" w:cs="Arial"/>
          <w:sz w:val="20"/>
        </w:rPr>
        <w:t xml:space="preserve">. Also, several authors asserted that low moisture gum has desirable properties that make it suitable for various food and pharmaceutical applications </w:t>
      </w:r>
      <w:r w:rsidRPr="00B03A1F">
        <w:rPr>
          <w:rFonts w:ascii="Arial" w:hAnsi="Arial" w:cs="Arial"/>
          <w:sz w:val="20"/>
        </w:rPr>
        <w:fldChar w:fldCharType="begin"/>
      </w:r>
      <w:r w:rsidR="00D9455A">
        <w:rPr>
          <w:rFonts w:ascii="Arial" w:hAnsi="Arial" w:cs="Arial"/>
          <w:sz w:val="20"/>
        </w:rPr>
        <w:instrText xml:space="preserve"> ADDIN ZOTERO_ITEM CSL_CITATION {"citationID":"Lv9TjVWa","properties":{"formattedCitation":"(Olawale et al., 2024)","plainCitation":"(Olawale et al., 2024)","noteIndex":0},"citationItems":[{"id":"wp0Dc69N/cjkqZLB0","uris":["http://zotero.org/users/8588538/items/W5TZ8A45"],"itemData":{"id":1178,"type":"article-journal","abstract":"Effective vaccine delivery is crucial for controlling infectious diseases. Natural polymers are increasingly considered in drug delivery systems due to their low cost, biocompatibility, biodegradability, safety and dose sparing. Despite these advantages, there is limited information on their use in veterinary applications. This study explores cashew tree gum (CTG) as a potential vaccine carrier, especially in veterinary setting, focusing on its purification, phytochemical profile, and biocompatibility. Cashew tree gum was harvested from incisions in the tree trunk, followed by a purification process. Phytochemical analysis, rheological properties, and proximate and metallic content were assessed using standard methods. The viscosity was measured with a Brookfield viscometer, and pH values were determined using a Jenway 3510 pH meter. Data were analyzed using one-way ANOVA with MiniTab Version 9.5. The purification process yielded 81.61%. The purified gum exhibited a glassy white colour, odourless smell, and bland taste. The pH values for crude and purified gums were 3.91 and 4.08, respectively. Moisture content was 0.08% in crude gum and 0.13% in purified gum, while total solids were 99.92%. Ash content was 0.999% for crude gum and 0.565% for purified gum. The gum contained glycosides, tannins, alkaloids, and triterpenoids, with no detectable heavy metals. Essential minerals such as sodium, potassium, iron, zinc, calcium, and manganese were present at concentrations within acceptable ranges. Cashew tree gum shows significant promise as a vaccine carrier due to its high yield, safe phytochemical profile, and biocompatibility; therefore, can be used in advancing oral vaccine delivery.","container-title":"Tropical Journal of Natural Product Research (TJNPR)","DOI":"10.26538/tjnpr/v8i9.29","ISSN":"2616-0692","issue":"9","language":"en","license":"Copyright (c) 2024 Tropical Journal of Natural Product Research (TJNPR)","note":"number: 9","page":"8447-8452","source":"tjnpr.org","title":"Evaluating Cashew Tree Gum as A Potential Vaccine Carrier: Purification, Phytochemical Analysis and Biocompatibility Assessment","title-short":"Evaluating Cashew Tree Gum as A Potential Vaccine Carrier","volume":"8","author":[{"family":"Olawale","given":"Ola O."},{"family":"Benjamin","given":"Emikpe O."},{"family":"Noble","given":"Kuntworbe"},{"family":"Michael","given":"Odeniyi A."},{"family":"Theophilus","given":"Jarikre A."},{"family":"Opeyemi","given":"Onilude M."},{"family":"Asantewaa","given":"Osei Y."},{"family":"Derrick","given":"Asare A."}],"issued":{"date-parts":[["2024",10,2]]}}}],"schema":"https://github.com/citation-style-language/schema/raw/master/csl-citation.json"}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(Olawale et al., 2024)</w:t>
      </w:r>
      <w:r w:rsidRPr="00B03A1F">
        <w:rPr>
          <w:rFonts w:ascii="Arial" w:hAnsi="Arial" w:cs="Arial"/>
          <w:sz w:val="20"/>
        </w:rPr>
        <w:fldChar w:fldCharType="end"/>
      </w:r>
      <w:r w:rsidRPr="00B03A1F">
        <w:rPr>
          <w:rFonts w:ascii="Arial" w:hAnsi="Arial" w:cs="Arial"/>
          <w:sz w:val="20"/>
        </w:rPr>
        <w:t>.</w:t>
      </w:r>
    </w:p>
    <w:p w14:paraId="6A687DDD" w14:textId="77777777" w:rsidR="00B03A1F" w:rsidRDefault="00B03A1F" w:rsidP="00B03A1F">
      <w:pPr>
        <w:pStyle w:val="Revista"/>
        <w:keepNext/>
        <w:ind w:firstLine="0"/>
        <w:jc w:val="center"/>
        <w:rPr>
          <w:rFonts w:ascii="Arial" w:hAnsi="Arial" w:cs="Arial"/>
          <w:sz w:val="20"/>
        </w:rPr>
      </w:pPr>
      <w:r w:rsidRPr="00A56367">
        <w:rPr>
          <w:rFonts w:ascii="Arial" w:hAnsi="Arial" w:cs="Arial"/>
          <w:noProof/>
          <w:sz w:val="20"/>
        </w:rPr>
        <w:drawing>
          <wp:inline distT="0" distB="0" distL="0" distR="0" wp14:anchorId="390FD849" wp14:editId="0A4C3EE4">
            <wp:extent cx="2926715" cy="1981200"/>
            <wp:effectExtent l="0" t="0" r="0" b="0"/>
            <wp:docPr id="1084641460" name="Graphique 1">
              <a:extLst xmlns:a="http://schemas.openxmlformats.org/drawingml/2006/main">
                <a:ext uri="{FF2B5EF4-FFF2-40B4-BE49-F238E27FC236}">
                  <a16:creationId xmlns:a16="http://schemas.microsoft.com/office/drawing/2014/main" id="{FE81F2F6-DD6A-4A12-0C53-56519F0E8D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726F3B" w14:textId="7B34934D" w:rsidR="007060B5" w:rsidRPr="007060B5" w:rsidRDefault="007060B5" w:rsidP="007060B5">
      <w:pPr>
        <w:pStyle w:val="Revista"/>
        <w:ind w:firstLine="0"/>
        <w:jc w:val="center"/>
        <w:rPr>
          <w:rFonts w:ascii="Arial" w:hAnsi="Arial" w:cs="Arial"/>
          <w:b/>
          <w:bCs/>
          <w:sz w:val="20"/>
        </w:rPr>
      </w:pPr>
      <w:r w:rsidRPr="007060B5">
        <w:rPr>
          <w:rFonts w:ascii="Arial" w:hAnsi="Arial" w:cs="Arial"/>
          <w:b/>
          <w:bCs/>
          <w:sz w:val="20"/>
        </w:rPr>
        <w:t xml:space="preserve">Fig. </w:t>
      </w:r>
      <w:r w:rsidRPr="007060B5">
        <w:rPr>
          <w:rFonts w:ascii="Arial" w:hAnsi="Arial" w:cs="Arial"/>
          <w:b/>
          <w:bCs/>
          <w:sz w:val="20"/>
        </w:rPr>
        <w:fldChar w:fldCharType="begin"/>
      </w:r>
      <w:r w:rsidRPr="007060B5">
        <w:rPr>
          <w:rFonts w:ascii="Arial" w:hAnsi="Arial" w:cs="Arial"/>
          <w:b/>
          <w:bCs/>
          <w:sz w:val="20"/>
        </w:rPr>
        <w:instrText xml:space="preserve"> SEQ Fig. \* ARABIC </w:instrText>
      </w:r>
      <w:r w:rsidRPr="007060B5">
        <w:rPr>
          <w:rFonts w:ascii="Arial" w:hAnsi="Arial" w:cs="Arial"/>
          <w:b/>
          <w:bCs/>
          <w:sz w:val="20"/>
        </w:rPr>
        <w:fldChar w:fldCharType="separate"/>
      </w:r>
      <w:r>
        <w:rPr>
          <w:rFonts w:ascii="Arial" w:hAnsi="Arial" w:cs="Arial"/>
          <w:b/>
          <w:bCs/>
          <w:noProof/>
          <w:sz w:val="20"/>
        </w:rPr>
        <w:t>4</w:t>
      </w:r>
      <w:r w:rsidRPr="007060B5">
        <w:rPr>
          <w:rFonts w:ascii="Arial" w:hAnsi="Arial" w:cs="Arial"/>
          <w:b/>
          <w:bCs/>
          <w:sz w:val="20"/>
        </w:rPr>
        <w:fldChar w:fldCharType="end"/>
      </w:r>
      <w:r w:rsidRPr="007060B5">
        <w:rPr>
          <w:rFonts w:ascii="Arial" w:hAnsi="Arial" w:cs="Arial"/>
          <w:b/>
          <w:bCs/>
          <w:sz w:val="20"/>
        </w:rPr>
        <w:t xml:space="preserve">: </w:t>
      </w:r>
      <w:r w:rsidRPr="009B17A1">
        <w:rPr>
          <w:rFonts w:ascii="Arial" w:hAnsi="Arial" w:cs="Arial"/>
          <w:sz w:val="20"/>
        </w:rPr>
        <w:t>Effect of purification method on gum dry matter content</w:t>
      </w:r>
    </w:p>
    <w:p w14:paraId="60185302" w14:textId="45185FCC" w:rsidR="00B03A1F" w:rsidRPr="00CA54AA" w:rsidRDefault="00B03A1F" w:rsidP="007060B5">
      <w:pPr>
        <w:pStyle w:val="Revista"/>
        <w:ind w:firstLine="0"/>
        <w:jc w:val="center"/>
        <w:rPr>
          <w:rFonts w:ascii="Arial" w:hAnsi="Arial" w:cs="Arial"/>
          <w:b/>
          <w:i/>
          <w:sz w:val="20"/>
        </w:rPr>
      </w:pPr>
      <w:r w:rsidRPr="00B03A1F">
        <w:rPr>
          <w:rFonts w:ascii="Arial" w:hAnsi="Arial" w:cs="Arial"/>
          <w:i/>
          <w:sz w:val="20"/>
        </w:rPr>
        <w:t>E = ethanol purification;</w:t>
      </w:r>
      <w:r w:rsidRPr="00B03A1F">
        <w:rPr>
          <w:rFonts w:ascii="Arial" w:hAnsi="Arial" w:cs="Arial"/>
          <w:b/>
          <w:i/>
          <w:sz w:val="20"/>
        </w:rPr>
        <w:t xml:space="preserve"> </w:t>
      </w:r>
      <w:r w:rsidRPr="00B03A1F">
        <w:rPr>
          <w:rFonts w:ascii="Arial" w:hAnsi="Arial" w:cs="Arial"/>
          <w:i/>
          <w:sz w:val="20"/>
        </w:rPr>
        <w:t>I = isopropanol purification,</w:t>
      </w:r>
      <w:r w:rsidRPr="00B03A1F">
        <w:rPr>
          <w:rFonts w:ascii="Arial" w:hAnsi="Arial" w:cs="Arial"/>
          <w:b/>
          <w:i/>
          <w:sz w:val="20"/>
        </w:rPr>
        <w:t xml:space="preserve"> </w:t>
      </w:r>
      <w:r w:rsidRPr="00B03A1F">
        <w:rPr>
          <w:rFonts w:ascii="Arial" w:hAnsi="Arial" w:cs="Arial"/>
          <w:i/>
          <w:sz w:val="20"/>
        </w:rPr>
        <w:t>EI = ethanol and isopropanol purification; and</w:t>
      </w:r>
      <w:r w:rsidR="00CA54AA">
        <w:rPr>
          <w:rFonts w:ascii="Arial" w:hAnsi="Arial" w:cs="Arial"/>
          <w:b/>
          <w:i/>
          <w:sz w:val="20"/>
        </w:rPr>
        <w:t xml:space="preserve"> </w:t>
      </w:r>
      <w:r w:rsidRPr="00B03A1F">
        <w:rPr>
          <w:rFonts w:ascii="Arial" w:hAnsi="Arial" w:cs="Arial"/>
          <w:i/>
          <w:sz w:val="20"/>
        </w:rPr>
        <w:t xml:space="preserve">Fs = Fehling's solution purification. Values are expressed as mean ± standard deviation. Mean values with different superscript letters were significantly different </w:t>
      </w:r>
      <w:r w:rsidR="00BF41D5" w:rsidRPr="00BF41D5">
        <w:rPr>
          <w:rFonts w:ascii="Arial" w:hAnsi="Arial" w:cs="Arial"/>
          <w:i/>
          <w:iCs/>
          <w:sz w:val="20"/>
          <w:szCs w:val="16"/>
        </w:rPr>
        <w:t>(P = .05)</w:t>
      </w:r>
      <w:r w:rsidRPr="00B03A1F">
        <w:rPr>
          <w:rFonts w:ascii="Arial" w:hAnsi="Arial" w:cs="Arial"/>
          <w:i/>
          <w:sz w:val="20"/>
        </w:rPr>
        <w:t>.</w:t>
      </w:r>
    </w:p>
    <w:p w14:paraId="4AEE5D9F" w14:textId="77777777" w:rsidR="00B03A1F" w:rsidRDefault="00B03A1F" w:rsidP="00B03A1F">
      <w:pPr>
        <w:pStyle w:val="Revista"/>
        <w:spacing w:before="240"/>
        <w:ind w:firstLine="0"/>
        <w:rPr>
          <w:rFonts w:ascii="Arial" w:hAnsi="Arial" w:cs="Arial"/>
          <w:b/>
          <w:bCs/>
        </w:rPr>
      </w:pPr>
      <w:r w:rsidRPr="00BF41D5">
        <w:rPr>
          <w:rFonts w:ascii="Arial" w:hAnsi="Arial" w:cs="Arial"/>
          <w:b/>
          <w:sz w:val="22"/>
          <w:szCs w:val="18"/>
        </w:rPr>
        <w:t xml:space="preserve">3.3. </w:t>
      </w:r>
      <w:r w:rsidRPr="00BF41D5">
        <w:rPr>
          <w:rFonts w:ascii="Arial" w:hAnsi="Arial" w:cs="Arial"/>
          <w:b/>
          <w:bCs/>
          <w:sz w:val="22"/>
          <w:szCs w:val="18"/>
        </w:rPr>
        <w:t>Protein content in the cashew gum</w:t>
      </w:r>
    </w:p>
    <w:p w14:paraId="1215AB8A" w14:textId="08E6E893" w:rsidR="00B03A1F" w:rsidRPr="00B03A1F" w:rsidRDefault="00B03A1F" w:rsidP="00B03A1F">
      <w:pPr>
        <w:pStyle w:val="Revista"/>
        <w:spacing w:before="240"/>
        <w:ind w:firstLine="0"/>
        <w:rPr>
          <w:rFonts w:ascii="Arial" w:hAnsi="Arial" w:cs="Arial"/>
          <w:b/>
          <w:bCs/>
        </w:rPr>
      </w:pPr>
      <w:r w:rsidRPr="00B03A1F">
        <w:rPr>
          <w:rFonts w:ascii="Arial" w:hAnsi="Arial" w:cs="Arial"/>
          <w:sz w:val="20"/>
        </w:rPr>
        <w:t xml:space="preserve">The emulsifying properties of the gum are due to the protein fraction </w:t>
      </w:r>
      <w:r w:rsidRPr="00B03A1F">
        <w:rPr>
          <w:rFonts w:ascii="Arial" w:hAnsi="Arial" w:cs="Arial"/>
          <w:sz w:val="20"/>
        </w:rPr>
        <w:fldChar w:fldCharType="begin"/>
      </w:r>
      <w:r w:rsidR="00D9455A">
        <w:rPr>
          <w:rFonts w:ascii="Arial" w:hAnsi="Arial" w:cs="Arial"/>
          <w:sz w:val="20"/>
        </w:rPr>
        <w:instrText xml:space="preserve"> ADDIN ZOTERO_ITEM CSL_CITATION {"citationID":"XarkFmqW","properties":{"formattedCitation":"(Sharma et al., 2020)","plainCitation":"(Sharma et al., 2020)","noteIndex":0},"citationItems":[{"id":"wp0Dc69N/kvf32l1d","uris":["http://zotero.org/users/local/2JspP3fw/items/HE8MJSEJ"],"itemData":{"id":"jNSpDc7V/jwWf9pIq","type":"article-journal","abstract":"Prunus domestica is one of the gums producing species of Roscaceae family and not yet explored due to unavailability of scientific data on gum properties. The present work was undertaken to study the physicochemical and functional properties of Prunus domestica plant exudate. The Prunus domestica exudate gum made-up of two fractions water-soluble (73%) and non-soluble (23%). Carbohydrate profiling of PDG shows that Galactose contributes a major fraction of purified gum followed by arabinose, xylose, and mannose. FTIR spectra give a typical pattern of polysaccharides. The XRD analysis of these fractions showed that the crystallinity index of the non-soluble fraction was higher than a soluble fraction. The GPC result reviles that the molecular weight of PDG is 4.9 x106 Da. PDG shows good emulsion stability at 3% concentration. The physicochemical and functional properties of the PDG shows the greater potential as an additive for food and pharmaceutical industries.","container-title":"Carbohydrate Polymer Technologies and Applications","DOI":"10.1016/j.carpta.2020.100003","ISSN":"2666-8939","journalAbbreviation":"Carbohydrate Polymer Technologies and Applications","page":"100003","source":"ScienceDirect","title":"Purification and physicochemical characterization of &lt;i&gt;Prunus domestica&lt;/i&gt; exudate gum polysaccharide","volume":"1","author":[{"family":"Sharma","given":"Aroshi"},{"family":"Bhushette","given":"Pravin R."},{"family":"Annapure","given":"Uday S."}],"issued":{"date-parts":[["2020",12,25]]}}}],"schema":"https://github.com/citation-style-language/schema/raw/master/csl-citation.json"}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(Sharma et al., 2020)</w:t>
      </w:r>
      <w:r w:rsidRPr="00B03A1F">
        <w:rPr>
          <w:rFonts w:ascii="Arial" w:hAnsi="Arial" w:cs="Arial"/>
          <w:sz w:val="20"/>
        </w:rPr>
        <w:fldChar w:fldCharType="end"/>
      </w:r>
      <w:r w:rsidRPr="00B03A1F">
        <w:rPr>
          <w:rFonts w:ascii="Arial" w:hAnsi="Arial" w:cs="Arial"/>
          <w:sz w:val="20"/>
        </w:rPr>
        <w:t>. The total proteins (0.23% and 1.25%) in the purified cashew gums were lower than those in the crude exudate (3.8%) (Fig</w:t>
      </w:r>
      <w:r w:rsidR="00D40585">
        <w:rPr>
          <w:rFonts w:ascii="Arial" w:hAnsi="Arial" w:cs="Arial"/>
          <w:sz w:val="20"/>
        </w:rPr>
        <w:t>. 5</w:t>
      </w:r>
      <w:r w:rsidRPr="00B03A1F">
        <w:rPr>
          <w:rFonts w:ascii="Arial" w:hAnsi="Arial" w:cs="Arial"/>
          <w:sz w:val="20"/>
        </w:rPr>
        <w:t xml:space="preserve">). Among the purified gums, sample Fs (method D) had the lowest protein content (0.23%), while the highest protein content (1.25%) was found in sample I (method B). Higher levels of protein (1.57%) have been found in purified cashew gum from Ghana by </w:t>
      </w:r>
      <w:r w:rsidRPr="00B03A1F">
        <w:rPr>
          <w:rFonts w:ascii="Arial" w:hAnsi="Arial" w:cs="Arial"/>
          <w:sz w:val="20"/>
        </w:rPr>
        <w:fldChar w:fldCharType="begin"/>
      </w:r>
      <w:r w:rsidR="00D9455A">
        <w:rPr>
          <w:rFonts w:ascii="Arial" w:hAnsi="Arial" w:cs="Arial"/>
          <w:sz w:val="20"/>
        </w:rPr>
        <w:instrText xml:space="preserve"> ADDIN ZOTERO_ITEM CSL_CITATION {"citationID":"jTvDdEOV","properties":{"formattedCitation":"(Olawale et al., 2024)","plainCitation":"(Olawale et al., 2024)","dontUpdate":true,"noteIndex":0},"citationItems":[{"id":"wp0Dc69N/cjkqZLB0","uris":["http://zotero.org/users/8588538/items/W5TZ8A45"],"itemData":{"id":1178,"type":"article-journal","abstract":"Effective vaccine delivery is crucial for controlling infectious diseases. Natural polymers are increasingly considered in drug delivery systems due to their low cost, biocompatibility, biodegradability, safety and dose sparing. Despite these advantages, there is limited information on their use in veterinary applications. This study explores cashew tree gum (CTG) as a potential vaccine carrier, especially in veterinary setting, focusing on its purification, phytochemical profile, and biocompatibility. Cashew tree gum was harvested from incisions in the tree trunk, followed by a purification process. Phytochemical analysis, rheological properties, and proximate and metallic content were assessed using standard methods. The viscosity was measured with a Brookfield viscometer, and pH values were determined using a Jenway 3510 pH meter. Data were analyzed using one-way ANOVA with MiniTab Version 9.5. The purification process yielded 81.61%. The purified gum exhibited a glassy white colour, odourless smell, and bland taste. The pH values for crude and purified gums were 3.91 and 4.08, respectively. Moisture content was 0.08% in crude gum and 0.13% in purified gum, while total solids were 99.92%. Ash content was 0.999% for crude gum and 0.565% for purified gum. The gum contained glycosides, tannins, alkaloids, and triterpenoids, with no detectable heavy metals. Essential minerals such as sodium, potassium, iron, zinc, calcium, and manganese were present at concentrations within acceptable ranges. Cashew tree gum shows significant promise as a vaccine carrier due to its high yield, safe phytochemical profile, and biocompatibility; therefore, can be used in advancing oral vaccine delivery.","container-title":"Tropical Journal of Natural Product Research (TJNPR)","DOI":"10.26538/tjnpr/v8i9.29","ISSN":"2616-0692","issue":"9","language":"en","license":"Copyright (c) 2024 Tropical Journal of Natural Product Research (TJNPR)","note":"number: 9","page":"8447-8452","source":"tjnpr.org","title":"Evaluating Cashew Tree Gum as A Potential Vaccine Carrier: Purification, Phytochemical Analysis and Biocompatibility Assessment","title-short":"Evaluating Cashew Tree Gum as A Potential Vaccine Carrier","volume":"8","author":[{"family":"Olawale","given":"Ola O."},{"family":"Benjamin","given":"Emikpe O."},{"family":"Noble","given":"Kuntworbe"},{"family":"Michael","given":"Odeniyi A."},{"family":"Theophilus","given":"Jarikre A."},{"family":"Opeyemi","given":"Onilude M."},{"family":"Asantewaa","given":"Osei Y."},{"family":"Derrick","given":"Asare A."}],"issued":{"date-parts":[["2024",10,2]]}}}],"schema":"https://github.com/citation-style-language/schema/raw/master/csl-citation.json"} </w:instrText>
      </w:r>
      <w:r w:rsidRPr="00B03A1F">
        <w:rPr>
          <w:rFonts w:ascii="Arial" w:hAnsi="Arial" w:cs="Arial"/>
          <w:sz w:val="20"/>
        </w:rPr>
        <w:fldChar w:fldCharType="separate"/>
      </w:r>
      <w:r w:rsidRPr="00B03A1F">
        <w:rPr>
          <w:rFonts w:ascii="Arial" w:hAnsi="Arial" w:cs="Arial"/>
          <w:sz w:val="20"/>
        </w:rPr>
        <w:t>Olawale et al. (2024)</w:t>
      </w:r>
      <w:r w:rsidRPr="00B03A1F">
        <w:rPr>
          <w:rFonts w:ascii="Arial" w:hAnsi="Arial" w:cs="Arial"/>
          <w:sz w:val="20"/>
        </w:rPr>
        <w:fldChar w:fldCharType="end"/>
      </w:r>
      <w:r w:rsidRPr="00B03A1F">
        <w:rPr>
          <w:rFonts w:ascii="Arial" w:hAnsi="Arial" w:cs="Arial"/>
          <w:sz w:val="20"/>
        </w:rPr>
        <w:t xml:space="preserve">. The results of the ANOVA show that the purification method had a significant effect </w:t>
      </w:r>
      <w:r w:rsidR="00BF41D5" w:rsidRPr="00BF41D5">
        <w:rPr>
          <w:rFonts w:ascii="Arial" w:hAnsi="Arial" w:cs="Arial"/>
          <w:i/>
          <w:iCs/>
          <w:sz w:val="20"/>
          <w:szCs w:val="16"/>
        </w:rPr>
        <w:t>(P = .05)</w:t>
      </w:r>
      <w:r w:rsidRPr="00B03A1F">
        <w:rPr>
          <w:rFonts w:ascii="Arial" w:hAnsi="Arial" w:cs="Arial"/>
          <w:sz w:val="20"/>
        </w:rPr>
        <w:t xml:space="preserve"> on the total protein content. Although exudates are not a rich source of protein, the presence of proteins in polysaccharides may improve their ability to adsorb at oil-water interfaces, and that contributed to the enhancement of their emulsion-stabilizing properties </w:t>
      </w:r>
      <w:r w:rsidRPr="00B03A1F">
        <w:rPr>
          <w:rFonts w:ascii="Arial" w:hAnsi="Arial" w:cs="Arial"/>
          <w:sz w:val="20"/>
        </w:rPr>
        <w:fldChar w:fldCharType="begin"/>
      </w:r>
      <w:r w:rsidR="00D9455A">
        <w:rPr>
          <w:rFonts w:ascii="Arial" w:hAnsi="Arial" w:cs="Arial"/>
          <w:sz w:val="20"/>
        </w:rPr>
        <w:instrText xml:space="preserve"> ADDIN ZOTERO_ITEM CSL_CITATION {"citationID":"6I2I9BXP","properties":{"formattedCitation":"(Asamoa Mensa et al., 2024)","plainCitation":"(Asamoa Mensa et al., 2024)","noteIndex":0},"citationItems":[{"id":"wp0Dc69N/fNvZoNa6","uris":["http://zotero.org/users/8588538/items/3ZLMN6XQ"],"itemData":{"id":1202,"type":"article-journal","abstract":"Naturally occurring hydrophilic colloids are versatile excipients in drug delivery systems. They are often used as coating materials, disintegrating agents, binders, emulsion stabilizers, and other applications. This study sought to investigate the physicochemical and emulsifying properties of gum extracted from Melia azedarach (MA). The gum was harvested, authenticated, and purified using ethanol precipitation. Physicochemical, microbial, and proximate analyses were performed on the purified gum. Oil of olive emulsions containing different amounts (5–15%w/v) of the gum as emulsifiers were prepared by homogenization. The zeta potential, creaming index, and average droplet size of products were assessed. The effects of pH changes, temperature, and monovalent and divalent electrolytes on the stability of the emulsions were also investigated. The yield of the gum after purification was 68.3%w/w. The gum has low moisture content and good swelling properties. Lead, copper, cadmium, and mercury were not detected. Emulsions containing 15%w/v of acacia or MA gum had the smallest average (Z-average) droplet size (acacia: 1.837 ± 0.420 μm; MA gum: 2.791 ± 0.694 μm) and the highest zeta potential (acacia: −30.45 mV; MA gum: −32.867 mV). Increasing the concentration of the gums increased the emulsion viscosity with MA gum emulsions being more viscous than corresponding acacia emulsions. MA gum emulsions had higher emulsion capacity and stability but lower creaming index relative to acacia gum emulsions of similar concentrations. Potassium chloride (KCl) reduced zeta potential but increased Z-average for emulsions prepared with either gum. Calcium chloride (CaCl2) produced a similar but more pronounced effect. When the pH was decreased from 10 to 2, the zeta potential of the droplets was reduced, but the droplet size of emulsions prepared from either gum was increased. Increasing temperature from 25 to 90°C produced no significant (p value &gt;0.9999) change in droplet size. These findings suggest that MA gum is a capable emulsifying agent at 15%w/v.","container-title":"Scientifica","DOI":"10.1155/2024/3308441","ISSN":"2090-908X","issue":"1","language":"en","note":"_eprint: https://onlinelibrary.wiley.com/doi/pdf/10.1155/2024/3308441","page":"3308441","source":"Wiley Online Library","title":"Physicochemical and Emulsifying Properties of Melia azedarach Gum","volume":"2024","author":[{"family":"Asamoa Mensa","given":"Kofi Acheampong"},{"family":"Kuntworbe","given":"Noble"},{"family":"Osei","given":"Yaa Asantewaa"},{"family":"El Boakye-Gyasi","given":"Mariam"},{"family":"Owusu","given":"Frederick William Akuffo"},{"family":"Obeng","given":"Lawrence Michael"},{"family":"Antwi","given":"Osei-Asibey"},{"family":"Adoley","given":"Winifred Naa"},{"family":"Ofori-Kwakye","given":"Kwabena"}],"issued":{"date-parts":[["2024"]]}}}],"schema":"https://github.com/citation-style-language/schema/raw/master/csl-citation.json"}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(Asamoa Mensa et al., 2024)</w:t>
      </w:r>
      <w:r w:rsidRPr="00B03A1F">
        <w:rPr>
          <w:rFonts w:ascii="Arial" w:hAnsi="Arial" w:cs="Arial"/>
          <w:sz w:val="20"/>
        </w:rPr>
        <w:fldChar w:fldCharType="end"/>
      </w:r>
      <w:r w:rsidRPr="00B03A1F">
        <w:rPr>
          <w:rFonts w:ascii="Arial" w:hAnsi="Arial" w:cs="Arial"/>
          <w:sz w:val="20"/>
        </w:rPr>
        <w:t xml:space="preserve">. Depending on the protein content, the gum can be used as an anti-inflammatory agent or as a surfactant </w:t>
      </w:r>
      <w:r w:rsidRPr="00B03A1F">
        <w:rPr>
          <w:rFonts w:ascii="Arial" w:hAnsi="Arial" w:cs="Arial"/>
          <w:sz w:val="20"/>
        </w:rPr>
        <w:fldChar w:fldCharType="begin"/>
      </w:r>
      <w:r w:rsidR="00D9455A">
        <w:rPr>
          <w:rFonts w:ascii="Arial" w:hAnsi="Arial" w:cs="Arial"/>
          <w:sz w:val="20"/>
        </w:rPr>
        <w:instrText xml:space="preserve"> ADDIN ZOTERO_ITEM CSL_CITATION {"citationID":"mK8x2YKX","properties":{"formattedCitation":"(Pirsa &amp; Hafezi, 2023)","plainCitation":"(Pirsa &amp; Hafezi, 2023)","noteIndex":0},"citationItems":[{"id":"wp0Dc69N/mM8Fpzzi","uris":["http://zotero.org/users/local/2JspP3fw/items/69MZNHDF"],"itemData":{"id":1784,"type":"article-journal","abstract":"Hydrocolloids are a group of polysaccharides that act as thickeners, gelling agents, emulsion stabilizers, inhibitors of the growth and expansion of ice crystals in frozen materials, and inhibitors of the growth of sugar crystals in different industries. Hydrocolloids are used both to improve the rheological and textural properties of food products and also as fat substitutes. Also hydrocolloids are used in the production of low-calorie foods and also their beneficial nutritional properties causes their extensive application in the food industry. Food hydrocolloids or gums are high molecular weight hydrophilic biopolymers that are used as functional compounds in the food industry. Hydrocolloids are obtained from plants, animals, microorganisms, and modified biopolymers. The purpose of this article is to review hydrocolloids and their application in food, pharmaceutical and agricultural industries. Therefore, this article discusses the structure, origin, preparation methods, extraction and the applications of hydrocoloids in various industries.","container-title":"Food Chemistry","DOI":"10.1016/j.foodchem.2022.133967","ISSN":"0308-8146","journalAbbreviation":"Food Chemistry","page":"133967","source":"ScienceDirect","title":"Hydrocolloids: Structure, preparation method, and application in food industry","title-short":"Hydrocolloids","volume":"399","author":[{"family":"Pirsa","given":"Sajad"},{"family":"Hafezi","given":"Kosar"}],"issued":{"date-parts":[["2023",1,15]]}}}],"schema":"https://github.com/citation-style-language/schema/raw/master/csl-citation.json"}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(Pirsa &amp; Hafezi, 2023)</w:t>
      </w:r>
      <w:r w:rsidRPr="00B03A1F">
        <w:rPr>
          <w:rFonts w:ascii="Arial" w:hAnsi="Arial" w:cs="Arial"/>
          <w:sz w:val="20"/>
        </w:rPr>
        <w:fldChar w:fldCharType="end"/>
      </w:r>
      <w:r w:rsidRPr="00B03A1F">
        <w:rPr>
          <w:rFonts w:ascii="Arial" w:hAnsi="Arial" w:cs="Arial"/>
          <w:sz w:val="20"/>
        </w:rPr>
        <w:t xml:space="preserve">. This study shows that purification using isopropanol (Method B) will be recommended, if the interfacial activity or emulsifying property of the emulsifying property of the biopolymer is targeted, while the purification process using Fehling's Fehling solution (Method D) will be recommended if a biological application of the gum is targeted. It is important to note that protein content is a significant quality attribute of cashew gum and can be affected by the growing region, seasonality and age of the trees </w:t>
      </w:r>
      <w:r w:rsidRPr="00B03A1F">
        <w:rPr>
          <w:rFonts w:ascii="Arial" w:hAnsi="Arial" w:cs="Arial"/>
          <w:sz w:val="20"/>
        </w:rPr>
        <w:fldChar w:fldCharType="begin"/>
      </w:r>
      <w:r w:rsidR="00D9455A">
        <w:rPr>
          <w:rFonts w:ascii="Arial" w:hAnsi="Arial" w:cs="Arial"/>
          <w:sz w:val="20"/>
        </w:rPr>
        <w:instrText xml:space="preserve"> ADDIN ZOTERO_ITEM CSL_CITATION {"citationID":"veXGzwSO","properties":{"formattedCitation":"(Hay et al., 2024)","plainCitation":"(Hay et al., 2024)","noteIndex":0},"citationItems":[{"id":"wp0Dc69N/VuwM4QmR","uris":["http://zotero.org/users/8588538/items/EZ7JFCYT"],"itemData":{"id":1200,"type":"article-journal","abstract":"This study investigated a new gum sourced from Acacia cambagei, Gidyea gum, by comparative characterisation with gum Arabic. The polysaccharide compositional analysis of Gidyea gum via Fourier transfer infrared and nuclear magnetic resonance spectroscopies was conducted, showing common structural features to gum Arabic, with minor differences in polymer branching. Microstructural imaging using transmission electron microscopy revealed the typical globular arabinogalactan glycoprotein structures of </w:instrText>
      </w:r>
      <w:r w:rsidR="00D9455A">
        <w:rPr>
          <w:rFonts w:ascii="Cambria Math" w:hAnsi="Cambria Math" w:cs="Cambria Math"/>
          <w:sz w:val="20"/>
        </w:rPr>
        <w:instrText>∼</w:instrText>
      </w:r>
      <w:r w:rsidR="00D9455A">
        <w:rPr>
          <w:rFonts w:ascii="Arial" w:hAnsi="Arial" w:cs="Arial"/>
          <w:sz w:val="20"/>
        </w:rPr>
        <w:instrText xml:space="preserve">10 nm diameter for both samples. Size exclusion chromatography also confirmed a similar molecular weight with 28 × 103 g mol−1 and 25 × 103 g mol−1 for Gidyea gum and gum Arabic, respectively. Gum rheological analysis determined a significantly lower apparent viscosity in the Gidyea gum. Modelling of the temporal evolution of dynamic surface and interfacial tensions revealed that Gidyea gum had a significantly lower rate of diffusion to the interfaces but similar adsorption and rearrangement rates. The dilatational viscoelastic response of Gidyea gum at the oil-water interface was consistent with gum Arabic, indicating similarities in functional performance. Indeed, Gidyea gum could stabilise orange oil-water emulsions for 15 days, exhibiting a comparable performance to those stabilised with gum Arabic. This study revealed that Gidyea gum is a functional emulsifier with the potential to be a gum Arabic alternative within the food and pharmaceutical industries.","container-title":"Food Hydrocolloids","DOI":"10.1016/j.foodhyd.2024.110003","ISSN":"0268-005X","journalAbbreviation":"Food Hydrocolloids","page":"110003","source":"ScienceDirect","title":"A new hydrocolloid to rival gum Arabic: Characterisation of a traditional food gum from Australian &lt;i&gt;Acacia cambagei&lt;/i&gt;.","title-short":"A new hydrocolloid to rival gum Arabic","volume":"153","author":[{"family":"Hay","given":"Thomas Owen"},{"family":"Kontogiorgos","given":"Vassillis"},{"family":"Thompson","given":"Suzanne"},{"family":"Nastasi","given":"Joseph Robert"},{"family":"Fitzgerald","given":"Melissa"}],"issued":{"date-parts":[["2024",8,1]]}}}],"schema":"https://github.com/citation-style-language/schema/raw/master/csl-citation.json"} </w:instrText>
      </w:r>
      <w:r w:rsidRPr="00B03A1F">
        <w:rPr>
          <w:rFonts w:ascii="Arial" w:hAnsi="Arial" w:cs="Arial"/>
          <w:sz w:val="20"/>
        </w:rPr>
        <w:fldChar w:fldCharType="separate"/>
      </w:r>
      <w:r w:rsidR="00D9455A" w:rsidRPr="00D9455A">
        <w:rPr>
          <w:rFonts w:ascii="Arial" w:hAnsi="Arial" w:cs="Arial"/>
          <w:sz w:val="20"/>
        </w:rPr>
        <w:t>(Hay et al., 2024)</w:t>
      </w:r>
      <w:r w:rsidRPr="00B03A1F">
        <w:rPr>
          <w:rFonts w:ascii="Arial" w:hAnsi="Arial" w:cs="Arial"/>
          <w:sz w:val="20"/>
        </w:rPr>
        <w:fldChar w:fldCharType="end"/>
      </w:r>
      <w:r w:rsidRPr="00B03A1F">
        <w:rPr>
          <w:rFonts w:ascii="Arial" w:hAnsi="Arial" w:cs="Arial"/>
          <w:sz w:val="20"/>
        </w:rPr>
        <w:t>.</w:t>
      </w:r>
    </w:p>
    <w:p w14:paraId="64627D3C" w14:textId="77777777" w:rsidR="00B03A1F" w:rsidRDefault="00B03A1F" w:rsidP="00B03A1F">
      <w:pPr>
        <w:pStyle w:val="Revista"/>
        <w:keepNext/>
        <w:spacing w:before="240"/>
        <w:ind w:firstLine="0"/>
        <w:jc w:val="center"/>
        <w:rPr>
          <w:rFonts w:ascii="Arial" w:hAnsi="Arial" w:cs="Arial"/>
          <w:sz w:val="20"/>
        </w:rPr>
      </w:pPr>
      <w:r w:rsidRPr="00B03A1F">
        <w:rPr>
          <w:rFonts w:ascii="Arial" w:hAnsi="Arial" w:cs="Arial"/>
          <w:noProof/>
          <w:sz w:val="20"/>
        </w:rPr>
        <w:lastRenderedPageBreak/>
        <w:drawing>
          <wp:inline distT="0" distB="0" distL="0" distR="0" wp14:anchorId="6F10B294" wp14:editId="71B87FCB">
            <wp:extent cx="3343275" cy="1876425"/>
            <wp:effectExtent l="0" t="0" r="0" b="0"/>
            <wp:docPr id="1844035350" name="Graphique 1">
              <a:extLst xmlns:a="http://schemas.openxmlformats.org/drawingml/2006/main">
                <a:ext uri="{FF2B5EF4-FFF2-40B4-BE49-F238E27FC236}">
                  <a16:creationId xmlns:a16="http://schemas.microsoft.com/office/drawing/2014/main" id="{25C3D5E4-46FC-EA6F-356E-44CD3A7C37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9D92A6" w14:textId="546F5BBE" w:rsidR="00275E86" w:rsidRPr="00275E86" w:rsidRDefault="00275E86" w:rsidP="00275E86">
      <w:pPr>
        <w:pStyle w:val="Revista"/>
        <w:ind w:firstLine="0"/>
        <w:jc w:val="center"/>
        <w:rPr>
          <w:rFonts w:ascii="Arial" w:hAnsi="Arial" w:cs="Arial"/>
          <w:b/>
          <w:bCs/>
          <w:sz w:val="20"/>
        </w:rPr>
      </w:pPr>
      <w:r w:rsidRPr="00275E86">
        <w:rPr>
          <w:rFonts w:ascii="Arial" w:hAnsi="Arial" w:cs="Arial"/>
          <w:b/>
          <w:bCs/>
          <w:sz w:val="20"/>
        </w:rPr>
        <w:t xml:space="preserve">Fig. </w:t>
      </w:r>
      <w:r w:rsidRPr="00275E86">
        <w:rPr>
          <w:rFonts w:ascii="Arial" w:hAnsi="Arial" w:cs="Arial"/>
          <w:b/>
          <w:bCs/>
          <w:sz w:val="20"/>
        </w:rPr>
        <w:fldChar w:fldCharType="begin"/>
      </w:r>
      <w:r w:rsidRPr="00275E86">
        <w:rPr>
          <w:rFonts w:ascii="Arial" w:hAnsi="Arial" w:cs="Arial"/>
          <w:b/>
          <w:bCs/>
          <w:sz w:val="20"/>
        </w:rPr>
        <w:instrText xml:space="preserve"> SEQ Fig. \* ARABIC </w:instrText>
      </w:r>
      <w:r w:rsidRPr="00275E86">
        <w:rPr>
          <w:rFonts w:ascii="Arial" w:hAnsi="Arial" w:cs="Arial"/>
          <w:b/>
          <w:bCs/>
          <w:sz w:val="20"/>
        </w:rPr>
        <w:fldChar w:fldCharType="separate"/>
      </w:r>
      <w:r w:rsidRPr="00275E86">
        <w:rPr>
          <w:rFonts w:ascii="Arial" w:hAnsi="Arial" w:cs="Arial"/>
          <w:b/>
          <w:bCs/>
          <w:noProof/>
          <w:sz w:val="20"/>
        </w:rPr>
        <w:t>5</w:t>
      </w:r>
      <w:r w:rsidRPr="00275E86">
        <w:rPr>
          <w:rFonts w:ascii="Arial" w:hAnsi="Arial" w:cs="Arial"/>
          <w:b/>
          <w:bCs/>
          <w:sz w:val="20"/>
        </w:rPr>
        <w:fldChar w:fldCharType="end"/>
      </w:r>
      <w:r w:rsidRPr="00275E86">
        <w:rPr>
          <w:rFonts w:ascii="Arial" w:hAnsi="Arial" w:cs="Arial"/>
          <w:b/>
          <w:bCs/>
          <w:sz w:val="20"/>
        </w:rPr>
        <w:t>: Effect of purification method on gum protein content</w:t>
      </w:r>
    </w:p>
    <w:p w14:paraId="7CBD8585" w14:textId="52D14D2B" w:rsidR="00B03A1F" w:rsidRPr="00CA54AA" w:rsidRDefault="00B03A1F" w:rsidP="00CA54AA">
      <w:pPr>
        <w:pStyle w:val="Revista"/>
        <w:spacing w:before="240"/>
        <w:ind w:firstLine="0"/>
        <w:jc w:val="center"/>
        <w:rPr>
          <w:rFonts w:ascii="Arial" w:hAnsi="Arial" w:cs="Arial"/>
          <w:sz w:val="20"/>
        </w:rPr>
      </w:pPr>
      <w:r w:rsidRPr="00B03A1F">
        <w:rPr>
          <w:rFonts w:ascii="Arial" w:hAnsi="Arial" w:cs="Arial"/>
          <w:b/>
          <w:i/>
          <w:sz w:val="20"/>
        </w:rPr>
        <w:t>E</w:t>
      </w:r>
      <w:r w:rsidRPr="00B03A1F">
        <w:rPr>
          <w:rFonts w:ascii="Arial" w:hAnsi="Arial" w:cs="Arial"/>
          <w:i/>
          <w:sz w:val="20"/>
        </w:rPr>
        <w:t xml:space="preserve"> = ethanol purification;</w:t>
      </w:r>
      <w:r w:rsidRPr="00B03A1F">
        <w:rPr>
          <w:rFonts w:ascii="Arial" w:hAnsi="Arial" w:cs="Arial"/>
          <w:b/>
          <w:i/>
          <w:sz w:val="20"/>
        </w:rPr>
        <w:t xml:space="preserve"> I </w:t>
      </w:r>
      <w:r w:rsidRPr="00B03A1F">
        <w:rPr>
          <w:rFonts w:ascii="Arial" w:hAnsi="Arial" w:cs="Arial"/>
          <w:i/>
          <w:sz w:val="20"/>
        </w:rPr>
        <w:t>= isopropanol purification,</w:t>
      </w:r>
      <w:r w:rsidRPr="00B03A1F">
        <w:rPr>
          <w:rFonts w:ascii="Arial" w:hAnsi="Arial" w:cs="Arial"/>
          <w:b/>
          <w:i/>
          <w:sz w:val="20"/>
        </w:rPr>
        <w:t xml:space="preserve"> EI</w:t>
      </w:r>
      <w:r w:rsidRPr="00B03A1F">
        <w:rPr>
          <w:rFonts w:ascii="Arial" w:hAnsi="Arial" w:cs="Arial"/>
          <w:i/>
          <w:sz w:val="20"/>
        </w:rPr>
        <w:t xml:space="preserve"> = ethanol and isopropanol purification; and</w:t>
      </w:r>
      <w:r w:rsidR="00CA54AA">
        <w:rPr>
          <w:rFonts w:ascii="Arial" w:hAnsi="Arial" w:cs="Arial"/>
          <w:sz w:val="20"/>
        </w:rPr>
        <w:t xml:space="preserve"> </w:t>
      </w:r>
      <w:r w:rsidRPr="00B03A1F">
        <w:rPr>
          <w:rFonts w:ascii="Arial" w:hAnsi="Arial" w:cs="Arial"/>
          <w:b/>
          <w:i/>
          <w:sz w:val="20"/>
        </w:rPr>
        <w:t>Fs</w:t>
      </w:r>
      <w:r w:rsidRPr="00B03A1F">
        <w:rPr>
          <w:rFonts w:ascii="Arial" w:hAnsi="Arial" w:cs="Arial"/>
          <w:i/>
          <w:sz w:val="20"/>
        </w:rPr>
        <w:t xml:space="preserve"> = Fehling's solution purification. Values are expressed as mean ± standard deviation. Mean values with different superscript letters were significantly different (p &lt; 0.05).</w:t>
      </w:r>
    </w:p>
    <w:p w14:paraId="04E5CF83" w14:textId="77777777" w:rsidR="00B03A1F" w:rsidRPr="00B03A1F" w:rsidRDefault="00B03A1F" w:rsidP="00B03A1F">
      <w:pPr>
        <w:pStyle w:val="Revista"/>
        <w:jc w:val="center"/>
        <w:rPr>
          <w:rFonts w:ascii="Arial" w:hAnsi="Arial" w:cs="Arial"/>
          <w:i/>
          <w:sz w:val="20"/>
        </w:rPr>
      </w:pPr>
    </w:p>
    <w:p w14:paraId="0D4534BC" w14:textId="77777777" w:rsidR="00B03A1F" w:rsidRPr="00BF41D5" w:rsidRDefault="00B03A1F" w:rsidP="00441B6F">
      <w:pPr>
        <w:pStyle w:val="Body"/>
        <w:spacing w:after="0"/>
        <w:rPr>
          <w:rFonts w:ascii="Arial" w:hAnsi="Arial" w:cs="Arial"/>
          <w:b/>
        </w:rPr>
      </w:pPr>
      <w:r w:rsidRPr="00BF41D5">
        <w:rPr>
          <w:rFonts w:ascii="Arial" w:hAnsi="Arial" w:cs="Arial"/>
          <w:b/>
          <w:sz w:val="22"/>
          <w:szCs w:val="22"/>
        </w:rPr>
        <w:t>3.4. Ash content and mineral composition</w:t>
      </w:r>
    </w:p>
    <w:p w14:paraId="3A26DB3F" w14:textId="77777777" w:rsidR="00B03A1F" w:rsidRDefault="00B03A1F" w:rsidP="00441B6F">
      <w:pPr>
        <w:pStyle w:val="Body"/>
        <w:spacing w:after="0"/>
        <w:rPr>
          <w:b/>
        </w:rPr>
      </w:pPr>
    </w:p>
    <w:p w14:paraId="4F583EFA" w14:textId="063BF1D4" w:rsidR="004E29C8" w:rsidRDefault="00B03A1F" w:rsidP="00441B6F">
      <w:pPr>
        <w:pStyle w:val="Body"/>
        <w:spacing w:after="0"/>
      </w:pPr>
      <w:r w:rsidRPr="00467F94">
        <w:t>The total ash content is an indication of the degree of purity and the level of inorganic compounds present in the gum,</w:t>
      </w:r>
      <w:r>
        <w:t xml:space="preserve"> </w:t>
      </w:r>
      <w:r w:rsidRPr="00AB6B17">
        <w:t xml:space="preserve">Ash </w:t>
      </w:r>
      <w:r>
        <w:t>(</w:t>
      </w:r>
      <w:r w:rsidRPr="00AB6B17">
        <w:t>g/100 g DM</w:t>
      </w:r>
      <w:r>
        <w:t>)</w:t>
      </w:r>
      <w:r w:rsidRPr="00AB6B17">
        <w:t xml:space="preserve"> </w:t>
      </w:r>
      <w:r>
        <w:t xml:space="preserve">contents </w:t>
      </w:r>
      <w:r w:rsidRPr="00AB6B17">
        <w:t>and mineral</w:t>
      </w:r>
      <w:r>
        <w:t xml:space="preserve"> (</w:t>
      </w:r>
      <w:r w:rsidRPr="00AB6B17">
        <w:t>mg/100 g DM</w:t>
      </w:r>
      <w:r>
        <w:t>)</w:t>
      </w:r>
      <w:r w:rsidRPr="00AB6B17">
        <w:t xml:space="preserve"> composition of the cashew gum samples are shown in </w:t>
      </w:r>
      <w:r>
        <w:t xml:space="preserve">Table I. </w:t>
      </w:r>
      <w:r w:rsidRPr="00AB6B17">
        <w:t xml:space="preserve">The ANOVA indicates a significant effect </w:t>
      </w:r>
      <w:r w:rsidR="00BF41D5" w:rsidRPr="00BF41D5">
        <w:rPr>
          <w:rFonts w:ascii="Arial" w:hAnsi="Arial" w:cs="Arial"/>
          <w:i/>
          <w:iCs/>
          <w:szCs w:val="16"/>
        </w:rPr>
        <w:t>(P = .05)</w:t>
      </w:r>
      <w:r w:rsidRPr="00AB6B17">
        <w:t xml:space="preserve"> of the purification method on </w:t>
      </w:r>
      <w:r>
        <w:t>ashes and</w:t>
      </w:r>
      <w:r w:rsidRPr="00AB6B17">
        <w:t xml:space="preserve"> minerals.</w:t>
      </w:r>
      <w:r>
        <w:t xml:space="preserve"> The ash contents (1.03% -</w:t>
      </w:r>
      <w:r w:rsidRPr="00AB6B17">
        <w:t xml:space="preserve"> 1.55%) of the different purified gum samples are lower than that of the crude</w:t>
      </w:r>
      <w:r>
        <w:t xml:space="preserve"> cashew</w:t>
      </w:r>
      <w:r w:rsidRPr="00AB6B17">
        <w:t xml:space="preserve"> exudate (2.71%).</w:t>
      </w:r>
      <w:r>
        <w:t xml:space="preserve"> </w:t>
      </w:r>
      <w:r w:rsidRPr="00FA2CCB">
        <w:t>T</w:t>
      </w:r>
      <w:r>
        <w:t>h</w:t>
      </w:r>
      <w:r w:rsidRPr="00FA2CCB">
        <w:t xml:space="preserve">is value is </w:t>
      </w:r>
      <w:r>
        <w:t>high</w:t>
      </w:r>
      <w:r w:rsidRPr="00FA2CCB">
        <w:t xml:space="preserve"> in comparison to that detected for </w:t>
      </w:r>
      <w:r>
        <w:t xml:space="preserve">purified cashew </w:t>
      </w:r>
      <w:r w:rsidRPr="00FA2CCB">
        <w:t>gums (</w:t>
      </w:r>
      <w:r>
        <w:t>0</w:t>
      </w:r>
      <w:r w:rsidRPr="00FA2CCB">
        <w:t>.</w:t>
      </w:r>
      <w:r>
        <w:t>5</w:t>
      </w:r>
      <w:r w:rsidRPr="00FA2CCB">
        <w:t xml:space="preserve">6%) by </w:t>
      </w:r>
      <w:r>
        <w:fldChar w:fldCharType="begin"/>
      </w:r>
      <w:r w:rsidR="00D9455A">
        <w:instrText xml:space="preserve"> ADDIN ZOTERO_ITEM CSL_CITATION {"citationID":"ENHFnPx9","properties":{"formattedCitation":"(Olawale et al., 2024)","plainCitation":"(Olawale et al., 2024)","dontUpdate":true,"noteIndex":0},"citationItems":[{"id":"wp0Dc69N/cjkqZLB0","uris":["http://zotero.org/users/8588538/items/W5TZ8A45"],"itemData":{"id":1178,"type":"article-journal","abstract":"Effective vaccine delivery is crucial for controlling infectious diseases. Natural polymers are increasingly considered in drug delivery systems due to their low cost, biocompatibility, biodegradability, safety and dose sparing. Despite these advantages, there is limited information on their use in veterinary applications. This study explores cashew tree gum (CTG) as a potential vaccine carrier, especially in veterinary setting, focusing on its purification, phytochemical profile, and biocompatibility. Cashew tree gum was harvested from incisions in the tree trunk, followed by a purification process. Phytochemical analysis, rheological properties, and proximate and metallic content were assessed using standard methods. The viscosity was measured with a Brookfield viscometer, and pH values were determined using a Jenway 3510 pH meter. Data were analyzed using one-way ANOVA with MiniTab Version 9.5. The purification process yielded 81.61%. The purified gum exhibited a glassy white colour, odourless smell, and bland taste. The pH values for crude and purified gums were 3.91 and 4.08, respectively. Moisture content was 0.08% in crude gum and 0.13% in purified gum, while total solids were 99.92%. Ash content was 0.999% for crude gum and 0.565% for purified gum. The gum contained glycosides, tannins, alkaloids, and triterpenoids, with no detectable heavy metals. Essential minerals such as sodium, potassium, iron, zinc, calcium, and manganese were present at concentrations within acceptable ranges. Cashew tree gum shows significant promise as a vaccine carrier due to its high yield, safe phytochemical profile, and biocompatibility; therefore, can be used in advancing oral vaccine delivery.","container-title":"Tropical Journal of Natural Product Research (TJNPR)","DOI":"10.26538/tjnpr/v8i9.29","ISSN":"2616-0692","issue":"9","language":"en","license":"Copyright (c) 2024 Tropical Journal of Natural Product Research (TJNPR)","note":"number: 9","page":"8447-8452","source":"tjnpr.org","title":"Evaluating Cashew Tree Gum as A Potential Vaccine Carrier: Purification, Phytochemical Analysis and Biocompatibility Assessment","title-short":"Evaluating Cashew Tree Gum as A Potential Vaccine Carrier","volume":"8","author":[{"family":"Olawale","given":"Ola O."},{"family":"Benjamin","given":"Emikpe O."},{"family":"Noble","given":"Kuntworbe"},{"family":"Michael","given":"Odeniyi A."},{"family":"Theophilus","given":"Jarikre A."},{"family":"Opeyemi","given":"Onilude M."},{"family":"Asantewaa","given":"Osei Y."},{"family":"Derrick","given":"Asare A."}],"issued":{"date-parts":[["2024",10,2]]}}}],"schema":"https://github.com/citation-style-language/schema/raw/master/csl-citation.json"} </w:instrText>
      </w:r>
      <w:r>
        <w:fldChar w:fldCharType="separate"/>
      </w:r>
      <w:r w:rsidRPr="00514008">
        <w:t>Olawale et al.</w:t>
      </w:r>
      <w:r>
        <w:t xml:space="preserve"> (</w:t>
      </w:r>
      <w:r w:rsidRPr="00514008">
        <w:t>2024)</w:t>
      </w:r>
      <w:r>
        <w:fldChar w:fldCharType="end"/>
      </w:r>
      <w:r w:rsidRPr="008671D3">
        <w:t>.</w:t>
      </w:r>
      <w:r>
        <w:t xml:space="preserve"> </w:t>
      </w:r>
      <w:r w:rsidRPr="00D77796">
        <w:t>Previous authors found high values (3.6%) for ammonia gum and (2.59%) for Persian gum</w:t>
      </w:r>
      <w:r>
        <w:t xml:space="preserve"> </w:t>
      </w:r>
      <w:r>
        <w:fldChar w:fldCharType="begin"/>
      </w:r>
      <w:r w:rsidR="00D9455A">
        <w:instrText xml:space="preserve"> ADDIN ZOTERO_ITEM CSL_CITATION {"citationID":"hQzIbAET","properties":{"formattedCitation":"(Ebrahimi et al., 2020; Golkar et al., 2018)","plainCitation":"(Ebrahimi et al., 2020; Golkar et al., 2018)","noteIndex":0},"citationItems":[{"id":"wp0Dc69N/TwnbvUkF","uris":["http://zotero.org/users/8588538/items/YZZYG5L7"],"itemData":{"id":1207,"type":"article-journal","abstract":"In this study, the emulsifying and foaming properties of a novel exudate gum from Dorema ammoniacum (AMG) were assessed in comparison with the well-known gum Arabic from Acacia tree (GAC). The sunflower oil-based emulsion (10% v/v) containing various concentrations (5%-15% w/v) of AMG and GAC was prepared. At all concentrations, AMG showed higher surface and interface activity than GAC. Increasing in AMG and GAC concentrations caused to increase and decrease in Z average, respectively. Overall, the GAC-stabilized emulsion showed lower Z average and PDI value than the AMG-stabilized emulsion during storage time. The sample containing AMG showed higher emulsion capacity and lower emulsion stability in comparison with the one containing GAC at all concentrations. The storage stability decreased and increased with increasing in AMG and GAC concentrations, respectively. After two-week storage, the emulsions containing 10 and 15% AMG showed higher phase separation than those containing GAC; however, this was opposite about sample containing 5% AMG. At thermal, centrifuge, and freezing conditions, the emulsion containing 5% AMG indicated significantly higher stability than GAC samples; however, at higher concentration, opposite effect could be observed. The foaming capacity of the samples containing AMG increased from 81% to 93% by increasing gum concentration from 5% to 15%. The solutions containing AMG showed higher foam capacity than control samples (without gum) and those containing GAC at all concentrations. Increasing in AMG and GAC concentrations slightly improved foam stability, and the highest value (92%) belonged to 15% AMG solution.","container-title":"Food Science &amp; Nutrition","DOI":"10.1002/fsn3.1658","ISSN":"2048-7177","issue":"7","journalAbbreviation":"Food Sci Nutr","language":"eng","note":"PMID: 32724634\nPMCID: PMC7382130","page":"3716-3730","source":"PubMed","title":"The emulsifying and foaming properties of Amuniacum gum (Dorema ammoniacum) in comparison with gum Arabic","volume":"8","author":[{"family":"Ebrahimi","given":"Behzad"},{"family":"Homayouni Rad","given":"Aziz"},{"family":"Ghanbarzadeh","given":"Babak"},{"family":"Torbati","given":"Mohammadali"},{"family":"Falcone","given":"Pasquale M."}],"issued":{"date-parts":[["2020",7]]}}},{"id":"wp0Dc69N/wCyBwFhm","uris":["http://zotero.org/users/8588538/items/ZMEAH3D7"],"itemData":{"id":1205,"type":"article-journal","container-title":"International Journal of Food Properties","DOI":"10.1080/10942912.2018.1454464","ISSN":"1094-2912, 1532-2386","issue":"1","journalAbbreviation":"International Journal of Food Properties","language":"en","page":"416-436","source":"DOI.org (Crossref)","title":"The emulsifying properties of Persian gum (Amygdalus scoparia Spach) as compared with gum Arabic","volume":"21","author":[{"family":"Golkar","given":"Abdolkhalegh"},{"family":"Taghavi","given":"Seyed Masoud"},{"family":"Aghili Dehnavi","given":"Farzaneh"}],"issued":{"date-parts":[["2018",1,1]]}}}],"schema":"https://github.com/citation-style-language/schema/raw/master/csl-citation.json"} </w:instrText>
      </w:r>
      <w:r>
        <w:fldChar w:fldCharType="separate"/>
      </w:r>
      <w:r w:rsidR="00D9455A" w:rsidRPr="00D9455A">
        <w:rPr>
          <w:rFonts w:cs="Helvetica"/>
        </w:rPr>
        <w:t>(Ebrahimi et al., 2020; Golkar et al., 2018)</w:t>
      </w:r>
      <w:r>
        <w:fldChar w:fldCharType="end"/>
      </w:r>
      <w:r>
        <w:t xml:space="preserve">. </w:t>
      </w:r>
      <w:r w:rsidRPr="00B06318">
        <w:t xml:space="preserve">Atomic absorption spectrophotometry was used to quantify the elements in the gum. Lead, copper, cadmium, sodium and mercury were either absent or below the detection limits. In terms of micro-elements, magnesium (303.46-878.14) was predominant, followed by calcium (287.89-834.5), potassium (22.49-59.26) and finally sodium (8.89-23.43). Microelements such as iron (195.27 - 74.11), copper (314.98 - 9.65), zinc (24.97 - 9.48) and manganese (22.41 - 8.51) were also found. </w:t>
      </w:r>
      <w:r w:rsidR="00B06344" w:rsidRPr="00B06344">
        <w:t>The variation in mineral content could be due to geographical conditions.</w:t>
      </w:r>
      <w:r w:rsidR="00B06344">
        <w:t xml:space="preserve"> </w:t>
      </w:r>
      <w:r w:rsidRPr="00B06318">
        <w:t xml:space="preserve">The reduction of inorganic matter during the purification process is within the regulatory limit (4%), which is desirable for food and pharmaceutical grade gums </w:t>
      </w:r>
      <w:r>
        <w:fldChar w:fldCharType="begin"/>
      </w:r>
      <w:r>
        <w:instrText xml:space="preserve"> ADDIN ZOTERO_ITEM CSL_CITATION {"citationID":"9T0XzlLv","properties":{"formattedCitation":"(Joint FAO/WHO Expert Committee on Food Additives et al., 2014)","plainCitation":"(Joint FAO/WHO Expert Committee on Food Additives et al., 2014)","dontUpdate":true,"noteIndex":0},"citationItems":[{"id":103,"uris":["http://zotero.org/users/16649851/items/EFLMQU5H"],"itemData":{"id":103,"type":"book","call-number":"TX553.A3 J655 2013b","collection-number":"14","collection-title":"FAO JECFA monographs","event-place":"Rome","ISBN":"978-92-5-108091-7","language":"en","note":"OCLC: ocn871060767","number-of-pages":"94","publisher":"Food and Agriculture Organization of the United Nations","publisher-place":"Rome","source":"Library of Congress ISBN","title":"Compendium of food additive specifications: Joint FAO/WHO Expert Committee on Food Additives, 77th meeting 2013","title-short":"Compendium of food additive specifications","editor":[{"literal":"Joint FAO/WHO Expert Committee on Food Additives"},{"literal":"Food and Agriculture Organization of the United Nations"},{"literal":"World Health Organization"}],"issued":{"date-parts":[["2014"]]}}}],"schema":"https://github.com/citation-style-language/schema/raw/master/csl-citation.json"} </w:instrText>
      </w:r>
      <w:r>
        <w:fldChar w:fldCharType="separate"/>
      </w:r>
      <w:r w:rsidRPr="004F0030">
        <w:t>(Joint FAO/WHO Expert Committee on Food Additives, 2014)</w:t>
      </w:r>
      <w:r>
        <w:fldChar w:fldCharType="end"/>
      </w:r>
      <w:r w:rsidRPr="00B06318">
        <w:t xml:space="preserve">. It is a proven fact that minerals found in gums have a positive effect on human health. Magnesium is essential for normal muscle and nerve function and helps to stabilize heart rhythm. Calcium is an important structural component of bones, while potassium, along with sodium, plays a key role in maintaining electrical potential across cell membranes and in the conduction of nerve impulses. </w:t>
      </w:r>
      <w:r w:rsidRPr="005A69B2">
        <w:t xml:space="preserve">Calcium, potassium and magnesium are necessary for the repair of dead body cells and the production of red blood cells, while trace elements (copper, iron, zinc and manganese) are essential for enzyme metabolism </w:t>
      </w:r>
      <w:r w:rsidR="004E29C8" w:rsidRPr="005A69B2">
        <w:fldChar w:fldCharType="begin"/>
      </w:r>
      <w:r w:rsidR="004E29C8" w:rsidRPr="005A69B2">
        <w:instrText xml:space="preserve"> ADDIN ZOTERO_ITEM CSL_CITATION {"citationID":"XKAyWZra","properties":{"formattedCitation":"(Joint FAO/WHO Expert Consultation on Human Vitamin and Mineral Requirements, 2004)","plainCitation":"(Joint FAO/WHO Expert Consultation on Human Vitamin and Mineral Requirements, 2004)","noteIndex":0},"citationItems":[{"id":108,"uris":["http://zotero.org/users/16649851/items/U8EY4TM5"],"itemData":{"id":108,"type":"book","edition":"2. ed","event-place":"Geneva","ISBN":"978-92-4-154612-6","language":"en","number-of-pages":"341","publisher-place":"Geneva","source":"K10plus ISBN","title":"Vitamin and mineral requirements in human nutrition : report of a joint FAO/WHO expert  consultation,","editor":[{"literal":"Joint FAO/WHO Expert Consultation on Human Vitamin and Mineral Requirements"}],"issued":{"date-parts":[["2004"]]}}}],"schema":"https://github.com/citation-style-language/schema/raw/master/csl-citation.json"} </w:instrText>
      </w:r>
      <w:r w:rsidR="004E29C8" w:rsidRPr="005A69B2">
        <w:fldChar w:fldCharType="separate"/>
      </w:r>
      <w:r w:rsidR="00D9455A" w:rsidRPr="00D9455A">
        <w:rPr>
          <w:rFonts w:cs="Helvetica"/>
        </w:rPr>
        <w:t>(Joint FAO/WHO Expert Consultation on Human Vitamin and Mineral Requirements, 2004)</w:t>
      </w:r>
      <w:r w:rsidR="004E29C8" w:rsidRPr="005A69B2">
        <w:fldChar w:fldCharType="end"/>
      </w:r>
      <w:r w:rsidR="004E29C8">
        <w:t>.</w:t>
      </w:r>
    </w:p>
    <w:p w14:paraId="1997F8D4" w14:textId="77777777" w:rsidR="00367C50" w:rsidRDefault="00367C50" w:rsidP="00441B6F">
      <w:pPr>
        <w:pStyle w:val="Body"/>
        <w:spacing w:after="0"/>
      </w:pPr>
    </w:p>
    <w:p w14:paraId="52DEAD74" w14:textId="77777777" w:rsidR="00367C50" w:rsidRDefault="00367C50" w:rsidP="00441B6F">
      <w:pPr>
        <w:pStyle w:val="Body"/>
        <w:spacing w:after="0"/>
      </w:pPr>
    </w:p>
    <w:p w14:paraId="51756CA7" w14:textId="77777777" w:rsidR="00367C50" w:rsidRDefault="00367C50" w:rsidP="00441B6F">
      <w:pPr>
        <w:pStyle w:val="Body"/>
        <w:spacing w:after="0"/>
      </w:pPr>
    </w:p>
    <w:p w14:paraId="353BD638" w14:textId="77777777" w:rsidR="00367C50" w:rsidRDefault="00367C50" w:rsidP="00441B6F">
      <w:pPr>
        <w:pStyle w:val="Body"/>
        <w:spacing w:after="0"/>
      </w:pPr>
    </w:p>
    <w:p w14:paraId="5632F751" w14:textId="77777777" w:rsidR="00367C50" w:rsidRDefault="00367C50" w:rsidP="00441B6F">
      <w:pPr>
        <w:pStyle w:val="Body"/>
        <w:spacing w:after="0"/>
      </w:pPr>
    </w:p>
    <w:p w14:paraId="52F8E1F3" w14:textId="64FAF2C1" w:rsidR="00875C0E" w:rsidRPr="00367C50" w:rsidRDefault="00875C0E" w:rsidP="00875C0E">
      <w:pPr>
        <w:pStyle w:val="Caption"/>
        <w:keepNext/>
        <w:jc w:val="center"/>
        <w:rPr>
          <w:rFonts w:ascii="Arial" w:hAnsi="Arial" w:cs="Arial"/>
          <w:b/>
          <w:bCs/>
          <w:i w:val="0"/>
          <w:iCs w:val="0"/>
          <w:sz w:val="20"/>
          <w:szCs w:val="20"/>
        </w:rPr>
      </w:pPr>
      <w:r w:rsidRPr="00367C50">
        <w:rPr>
          <w:rFonts w:ascii="Arial" w:hAnsi="Arial" w:cs="Arial"/>
          <w:b/>
          <w:bCs/>
          <w:i w:val="0"/>
          <w:iCs w:val="0"/>
          <w:sz w:val="20"/>
          <w:szCs w:val="20"/>
        </w:rPr>
        <w:lastRenderedPageBreak/>
        <w:t xml:space="preserve">Table </w:t>
      </w:r>
      <w:r w:rsidRPr="00367C50">
        <w:rPr>
          <w:rFonts w:ascii="Arial" w:hAnsi="Arial" w:cs="Arial"/>
          <w:b/>
          <w:bCs/>
          <w:i w:val="0"/>
          <w:iCs w:val="0"/>
          <w:sz w:val="20"/>
          <w:szCs w:val="20"/>
        </w:rPr>
        <w:fldChar w:fldCharType="begin"/>
      </w:r>
      <w:r w:rsidRPr="00367C50">
        <w:rPr>
          <w:rFonts w:ascii="Arial" w:hAnsi="Arial" w:cs="Arial"/>
          <w:b/>
          <w:bCs/>
          <w:i w:val="0"/>
          <w:iCs w:val="0"/>
          <w:sz w:val="20"/>
          <w:szCs w:val="20"/>
        </w:rPr>
        <w:instrText xml:space="preserve"> SEQ Table \* ARABIC </w:instrText>
      </w:r>
      <w:r w:rsidRPr="00367C50">
        <w:rPr>
          <w:rFonts w:ascii="Arial" w:hAnsi="Arial" w:cs="Arial"/>
          <w:b/>
          <w:bCs/>
          <w:i w:val="0"/>
          <w:iCs w:val="0"/>
          <w:sz w:val="20"/>
          <w:szCs w:val="20"/>
        </w:rPr>
        <w:fldChar w:fldCharType="separate"/>
      </w:r>
      <w:r w:rsidRPr="00367C50">
        <w:rPr>
          <w:rFonts w:ascii="Arial" w:hAnsi="Arial" w:cs="Arial"/>
          <w:b/>
          <w:bCs/>
          <w:i w:val="0"/>
          <w:iCs w:val="0"/>
          <w:noProof/>
          <w:sz w:val="20"/>
          <w:szCs w:val="20"/>
        </w:rPr>
        <w:t>1</w:t>
      </w:r>
      <w:r w:rsidRPr="00367C50">
        <w:rPr>
          <w:rFonts w:ascii="Arial" w:hAnsi="Arial" w:cs="Arial"/>
          <w:b/>
          <w:bCs/>
          <w:i w:val="0"/>
          <w:iCs w:val="0"/>
          <w:sz w:val="20"/>
          <w:szCs w:val="20"/>
        </w:rPr>
        <w:fldChar w:fldCharType="end"/>
      </w:r>
      <w:r w:rsidRPr="00367C50">
        <w:rPr>
          <w:rFonts w:ascii="Arial" w:hAnsi="Arial" w:cs="Arial"/>
          <w:b/>
          <w:bCs/>
          <w:i w:val="0"/>
          <w:iCs w:val="0"/>
          <w:sz w:val="20"/>
          <w:szCs w:val="20"/>
        </w:rPr>
        <w:t xml:space="preserve">: </w:t>
      </w:r>
      <w:r w:rsidR="00367C50" w:rsidRPr="00367C50">
        <w:rPr>
          <w:rFonts w:ascii="Arial" w:hAnsi="Arial" w:cs="Arial"/>
          <w:b/>
          <w:bCs/>
          <w:i w:val="0"/>
          <w:iCs w:val="0"/>
          <w:sz w:val="20"/>
          <w:szCs w:val="20"/>
        </w:rPr>
        <w:t>Ash and mineral composition of cashew gum</w:t>
      </w:r>
    </w:p>
    <w:p w14:paraId="24F0BC6B" w14:textId="6E684FDE" w:rsidR="00A03B96" w:rsidRDefault="00A03B96" w:rsidP="00441B6F">
      <w:pPr>
        <w:pStyle w:val="Body"/>
        <w:spacing w:after="0"/>
      </w:pPr>
    </w:p>
    <w:tbl>
      <w:tblPr>
        <w:tblStyle w:val="TableGrid"/>
        <w:tblpPr w:leftFromText="141" w:rightFromText="141" w:vertAnchor="text" w:horzAnchor="margin" w:tblpXSpec="center" w:tblpY="-68"/>
        <w:tblW w:w="913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659"/>
        <w:gridCol w:w="1547"/>
        <w:gridCol w:w="1550"/>
        <w:gridCol w:w="1513"/>
        <w:gridCol w:w="1553"/>
      </w:tblGrid>
      <w:tr w:rsidR="004E29C8" w:rsidRPr="00367C50" w14:paraId="283C3682" w14:textId="77777777" w:rsidTr="00367C50">
        <w:trPr>
          <w:trHeight w:val="340"/>
        </w:trPr>
        <w:tc>
          <w:tcPr>
            <w:tcW w:w="1235" w:type="dxa"/>
            <w:vMerge w:val="restart"/>
            <w:vAlign w:val="center"/>
          </w:tcPr>
          <w:p w14:paraId="5762694C" w14:textId="77777777" w:rsidR="004E29C8" w:rsidRPr="00CE23B7" w:rsidRDefault="004E29C8" w:rsidP="00367C50">
            <w:pPr>
              <w:pStyle w:val="Body"/>
              <w:jc w:val="center"/>
              <w:rPr>
                <w:rFonts w:ascii="Arial" w:hAnsi="Arial" w:cs="Arial"/>
                <w:b/>
                <w:bCs/>
                <w:sz w:val="20"/>
                <w:szCs w:val="20"/>
              </w:rPr>
            </w:pPr>
            <w:r w:rsidRPr="00CE23B7">
              <w:rPr>
                <w:rFonts w:ascii="Arial" w:eastAsia="TimesNewRomanPSMT" w:hAnsi="Arial" w:cs="Arial"/>
                <w:b/>
                <w:bCs/>
                <w:sz w:val="20"/>
                <w:szCs w:val="20"/>
              </w:rPr>
              <w:t xml:space="preserve">Mineral </w:t>
            </w:r>
            <w:r w:rsidRPr="00CE23B7">
              <w:rPr>
                <w:rFonts w:ascii="Arial" w:hAnsi="Arial" w:cs="Arial"/>
                <w:b/>
                <w:bCs/>
                <w:sz w:val="20"/>
                <w:szCs w:val="20"/>
              </w:rPr>
              <w:t>(mg/100g)</w:t>
            </w:r>
          </w:p>
        </w:tc>
        <w:tc>
          <w:tcPr>
            <w:tcW w:w="7904" w:type="dxa"/>
            <w:gridSpan w:val="5"/>
            <w:tcBorders>
              <w:bottom w:val="single" w:sz="12" w:space="0" w:color="auto"/>
            </w:tcBorders>
            <w:vAlign w:val="center"/>
          </w:tcPr>
          <w:p w14:paraId="756E6C43" w14:textId="77777777" w:rsidR="004E29C8" w:rsidRPr="00367C50" w:rsidRDefault="004E29C8" w:rsidP="00367C50">
            <w:pPr>
              <w:pStyle w:val="Body"/>
              <w:jc w:val="center"/>
              <w:rPr>
                <w:rFonts w:ascii="Arial" w:hAnsi="Arial" w:cs="Arial"/>
                <w:b/>
                <w:bCs/>
                <w:sz w:val="20"/>
                <w:szCs w:val="20"/>
              </w:rPr>
            </w:pPr>
            <w:r w:rsidRPr="00367C50">
              <w:rPr>
                <w:rFonts w:ascii="Arial" w:eastAsia="TimesNewRomanPSMT" w:hAnsi="Arial" w:cs="Arial"/>
                <w:b/>
                <w:bCs/>
                <w:sz w:val="20"/>
                <w:szCs w:val="20"/>
              </w:rPr>
              <w:t>Purification methods</w:t>
            </w:r>
          </w:p>
        </w:tc>
      </w:tr>
      <w:tr w:rsidR="004E29C8" w:rsidRPr="00367C50" w14:paraId="05210E6C" w14:textId="77777777" w:rsidTr="00367C50">
        <w:trPr>
          <w:trHeight w:val="806"/>
        </w:trPr>
        <w:tc>
          <w:tcPr>
            <w:tcW w:w="1235" w:type="dxa"/>
            <w:vMerge/>
            <w:tcBorders>
              <w:bottom w:val="single" w:sz="12" w:space="0" w:color="auto"/>
            </w:tcBorders>
            <w:vAlign w:val="center"/>
          </w:tcPr>
          <w:p w14:paraId="2903EFEC" w14:textId="77777777" w:rsidR="004E29C8" w:rsidRPr="00367C50" w:rsidRDefault="004E29C8" w:rsidP="00367C50">
            <w:pPr>
              <w:pStyle w:val="Body"/>
              <w:jc w:val="center"/>
              <w:rPr>
                <w:rFonts w:ascii="Arial" w:hAnsi="Arial" w:cs="Arial"/>
                <w:sz w:val="20"/>
                <w:szCs w:val="20"/>
              </w:rPr>
            </w:pPr>
          </w:p>
        </w:tc>
        <w:tc>
          <w:tcPr>
            <w:tcW w:w="1701" w:type="dxa"/>
            <w:tcBorders>
              <w:top w:val="single" w:sz="12" w:space="0" w:color="auto"/>
              <w:bottom w:val="single" w:sz="12" w:space="0" w:color="auto"/>
            </w:tcBorders>
            <w:vAlign w:val="center"/>
          </w:tcPr>
          <w:p w14:paraId="1717EA48" w14:textId="77777777" w:rsidR="004E29C8" w:rsidRPr="00367C50" w:rsidRDefault="004E29C8" w:rsidP="00367C50">
            <w:pPr>
              <w:pStyle w:val="Body"/>
              <w:jc w:val="center"/>
              <w:rPr>
                <w:rFonts w:ascii="Arial" w:hAnsi="Arial" w:cs="Arial"/>
                <w:b/>
                <w:bCs/>
                <w:sz w:val="20"/>
                <w:szCs w:val="20"/>
              </w:rPr>
            </w:pPr>
            <w:r w:rsidRPr="00367C50">
              <w:rPr>
                <w:rFonts w:ascii="Arial" w:hAnsi="Arial" w:cs="Arial"/>
                <w:b/>
                <w:bCs/>
                <w:sz w:val="20"/>
                <w:szCs w:val="20"/>
              </w:rPr>
              <w:t>Raw gum</w:t>
            </w:r>
          </w:p>
        </w:tc>
        <w:tc>
          <w:tcPr>
            <w:tcW w:w="1559" w:type="dxa"/>
            <w:tcBorders>
              <w:top w:val="single" w:sz="12" w:space="0" w:color="auto"/>
              <w:bottom w:val="single" w:sz="12" w:space="0" w:color="auto"/>
            </w:tcBorders>
            <w:vAlign w:val="center"/>
          </w:tcPr>
          <w:p w14:paraId="0B8392D1" w14:textId="77777777" w:rsidR="004E29C8" w:rsidRPr="00367C50" w:rsidRDefault="004E29C8" w:rsidP="00367C50">
            <w:pPr>
              <w:pStyle w:val="Body"/>
              <w:jc w:val="center"/>
              <w:rPr>
                <w:rFonts w:ascii="Arial" w:hAnsi="Arial" w:cs="Arial"/>
                <w:b/>
                <w:bCs/>
                <w:iCs/>
                <w:sz w:val="20"/>
                <w:szCs w:val="20"/>
              </w:rPr>
            </w:pPr>
            <w:r w:rsidRPr="00367C50">
              <w:rPr>
                <w:rFonts w:ascii="Arial" w:hAnsi="Arial" w:cs="Arial"/>
                <w:b/>
                <w:bCs/>
                <w:iCs/>
                <w:sz w:val="20"/>
                <w:szCs w:val="20"/>
              </w:rPr>
              <w:t>Ethanol purification</w:t>
            </w:r>
          </w:p>
        </w:tc>
        <w:tc>
          <w:tcPr>
            <w:tcW w:w="1559" w:type="dxa"/>
            <w:tcBorders>
              <w:top w:val="single" w:sz="12" w:space="0" w:color="auto"/>
              <w:bottom w:val="single" w:sz="12" w:space="0" w:color="auto"/>
            </w:tcBorders>
            <w:vAlign w:val="center"/>
          </w:tcPr>
          <w:p w14:paraId="51A41A6A" w14:textId="77777777" w:rsidR="004E29C8" w:rsidRPr="00367C50" w:rsidRDefault="004E29C8" w:rsidP="00367C50">
            <w:pPr>
              <w:pStyle w:val="Body"/>
              <w:jc w:val="center"/>
              <w:rPr>
                <w:rFonts w:ascii="Arial" w:hAnsi="Arial" w:cs="Arial"/>
                <w:b/>
                <w:bCs/>
                <w:sz w:val="20"/>
                <w:szCs w:val="20"/>
              </w:rPr>
            </w:pPr>
            <w:r w:rsidRPr="00367C50">
              <w:rPr>
                <w:rFonts w:ascii="Arial" w:hAnsi="Arial" w:cs="Arial"/>
                <w:b/>
                <w:bCs/>
                <w:sz w:val="20"/>
                <w:szCs w:val="20"/>
              </w:rPr>
              <w:t>Isopropanol purification</w:t>
            </w:r>
          </w:p>
        </w:tc>
        <w:tc>
          <w:tcPr>
            <w:tcW w:w="1520" w:type="dxa"/>
            <w:tcBorders>
              <w:top w:val="single" w:sz="12" w:space="0" w:color="auto"/>
              <w:bottom w:val="single" w:sz="12" w:space="0" w:color="auto"/>
            </w:tcBorders>
            <w:vAlign w:val="center"/>
          </w:tcPr>
          <w:p w14:paraId="1F964115" w14:textId="77777777" w:rsidR="004E29C8" w:rsidRPr="00367C50" w:rsidRDefault="004E29C8" w:rsidP="00367C50">
            <w:pPr>
              <w:pStyle w:val="Body"/>
              <w:jc w:val="center"/>
              <w:rPr>
                <w:rFonts w:ascii="Arial" w:hAnsi="Arial" w:cs="Arial"/>
                <w:b/>
                <w:bCs/>
                <w:sz w:val="20"/>
                <w:szCs w:val="20"/>
              </w:rPr>
            </w:pPr>
            <w:r w:rsidRPr="00367C50">
              <w:rPr>
                <w:rFonts w:ascii="Arial" w:hAnsi="Arial" w:cs="Arial"/>
                <w:b/>
                <w:bCs/>
                <w:sz w:val="20"/>
                <w:szCs w:val="20"/>
              </w:rPr>
              <w:t>Ethanol and isopropanol purification</w:t>
            </w:r>
          </w:p>
        </w:tc>
        <w:tc>
          <w:tcPr>
            <w:tcW w:w="1565" w:type="dxa"/>
            <w:tcBorders>
              <w:top w:val="single" w:sz="12" w:space="0" w:color="auto"/>
              <w:bottom w:val="single" w:sz="12" w:space="0" w:color="auto"/>
            </w:tcBorders>
            <w:vAlign w:val="center"/>
          </w:tcPr>
          <w:p w14:paraId="624B7DAC" w14:textId="77777777" w:rsidR="004E29C8" w:rsidRPr="00367C50" w:rsidRDefault="004E29C8" w:rsidP="00367C50">
            <w:pPr>
              <w:pStyle w:val="Body"/>
              <w:jc w:val="center"/>
              <w:rPr>
                <w:rFonts w:ascii="Arial" w:hAnsi="Arial" w:cs="Arial"/>
                <w:b/>
                <w:bCs/>
                <w:sz w:val="20"/>
                <w:szCs w:val="20"/>
              </w:rPr>
            </w:pPr>
            <w:r w:rsidRPr="00367C50">
              <w:rPr>
                <w:rFonts w:ascii="Arial" w:hAnsi="Arial" w:cs="Arial"/>
                <w:b/>
                <w:bCs/>
                <w:sz w:val="20"/>
                <w:szCs w:val="20"/>
              </w:rPr>
              <w:t>Fehling's solution purification</w:t>
            </w:r>
          </w:p>
        </w:tc>
      </w:tr>
      <w:tr w:rsidR="004E29C8" w:rsidRPr="00367C50" w14:paraId="5C363CBA" w14:textId="77777777" w:rsidTr="00367C50">
        <w:trPr>
          <w:trHeight w:val="340"/>
        </w:trPr>
        <w:tc>
          <w:tcPr>
            <w:tcW w:w="1235" w:type="dxa"/>
            <w:tcBorders>
              <w:top w:val="single" w:sz="12" w:space="0" w:color="auto"/>
              <w:bottom w:val="nil"/>
            </w:tcBorders>
          </w:tcPr>
          <w:p w14:paraId="6032FE07" w14:textId="77777777" w:rsidR="004E29C8" w:rsidRPr="00367C50" w:rsidRDefault="004E29C8" w:rsidP="00367C50">
            <w:pPr>
              <w:pStyle w:val="Body"/>
              <w:rPr>
                <w:rFonts w:ascii="Arial" w:hAnsi="Arial" w:cs="Arial"/>
                <w:b/>
                <w:bCs/>
                <w:sz w:val="20"/>
                <w:szCs w:val="20"/>
              </w:rPr>
            </w:pPr>
            <w:r w:rsidRPr="00367C50">
              <w:rPr>
                <w:rFonts w:ascii="Arial" w:eastAsia="TimesNewRomanPSMT" w:hAnsi="Arial" w:cs="Arial"/>
                <w:b/>
                <w:bCs/>
                <w:sz w:val="20"/>
                <w:szCs w:val="20"/>
              </w:rPr>
              <w:t>Total ash (%)</w:t>
            </w:r>
          </w:p>
        </w:tc>
        <w:tc>
          <w:tcPr>
            <w:tcW w:w="1701" w:type="dxa"/>
            <w:tcBorders>
              <w:top w:val="single" w:sz="12" w:space="0" w:color="auto"/>
              <w:bottom w:val="nil"/>
            </w:tcBorders>
          </w:tcPr>
          <w:p w14:paraId="1F48469C"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2.71 ± 0.03</w:t>
            </w:r>
            <w:r w:rsidRPr="00367C50">
              <w:rPr>
                <w:rFonts w:ascii="Arial" w:eastAsia="Times New Roman" w:hAnsi="Arial" w:cs="Arial"/>
                <w:color w:val="000000"/>
                <w:sz w:val="20"/>
                <w:szCs w:val="20"/>
                <w:vertAlign w:val="superscript"/>
                <w:lang w:eastAsia="fr-FR"/>
              </w:rPr>
              <w:t>e</w:t>
            </w:r>
          </w:p>
        </w:tc>
        <w:tc>
          <w:tcPr>
            <w:tcW w:w="1559" w:type="dxa"/>
            <w:tcBorders>
              <w:top w:val="single" w:sz="12" w:space="0" w:color="auto"/>
              <w:bottom w:val="nil"/>
            </w:tcBorders>
          </w:tcPr>
          <w:p w14:paraId="32C99003"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1.55 ± 0.02</w:t>
            </w:r>
            <w:r w:rsidRPr="00367C50">
              <w:rPr>
                <w:rFonts w:ascii="Arial" w:eastAsia="Times New Roman" w:hAnsi="Arial" w:cs="Arial"/>
                <w:color w:val="000000"/>
                <w:sz w:val="20"/>
                <w:szCs w:val="20"/>
                <w:vertAlign w:val="superscript"/>
                <w:lang w:eastAsia="fr-FR"/>
              </w:rPr>
              <w:t>c</w:t>
            </w:r>
          </w:p>
        </w:tc>
        <w:tc>
          <w:tcPr>
            <w:tcW w:w="1559" w:type="dxa"/>
            <w:tcBorders>
              <w:top w:val="single" w:sz="12" w:space="0" w:color="auto"/>
              <w:bottom w:val="nil"/>
            </w:tcBorders>
          </w:tcPr>
          <w:p w14:paraId="79A6858C"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2.01 ± 0.01</w:t>
            </w:r>
            <w:r w:rsidRPr="00367C50">
              <w:rPr>
                <w:rFonts w:ascii="Arial" w:eastAsia="Times New Roman" w:hAnsi="Arial" w:cs="Arial"/>
                <w:color w:val="000000"/>
                <w:sz w:val="20"/>
                <w:szCs w:val="20"/>
                <w:vertAlign w:val="superscript"/>
                <w:lang w:eastAsia="fr-FR"/>
              </w:rPr>
              <w:t>d</w:t>
            </w:r>
          </w:p>
        </w:tc>
        <w:tc>
          <w:tcPr>
            <w:tcW w:w="1520" w:type="dxa"/>
            <w:tcBorders>
              <w:top w:val="single" w:sz="12" w:space="0" w:color="auto"/>
              <w:bottom w:val="nil"/>
            </w:tcBorders>
          </w:tcPr>
          <w:p w14:paraId="045E507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1.03 ± 0.01</w:t>
            </w:r>
            <w:r w:rsidRPr="00367C50">
              <w:rPr>
                <w:rFonts w:ascii="Arial" w:eastAsia="Times New Roman" w:hAnsi="Arial" w:cs="Arial"/>
                <w:color w:val="000000"/>
                <w:sz w:val="20"/>
                <w:szCs w:val="20"/>
                <w:vertAlign w:val="superscript"/>
                <w:lang w:eastAsia="fr-FR"/>
              </w:rPr>
              <w:t>a</w:t>
            </w:r>
          </w:p>
        </w:tc>
        <w:tc>
          <w:tcPr>
            <w:tcW w:w="1565" w:type="dxa"/>
            <w:tcBorders>
              <w:top w:val="single" w:sz="12" w:space="0" w:color="auto"/>
              <w:bottom w:val="nil"/>
            </w:tcBorders>
          </w:tcPr>
          <w:p w14:paraId="31426C01"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1.43 ± 0.02</w:t>
            </w:r>
            <w:r w:rsidRPr="00367C50">
              <w:rPr>
                <w:rFonts w:ascii="Arial" w:eastAsia="Times New Roman" w:hAnsi="Arial" w:cs="Arial"/>
                <w:color w:val="000000"/>
                <w:sz w:val="20"/>
                <w:szCs w:val="20"/>
                <w:vertAlign w:val="superscript"/>
                <w:lang w:eastAsia="fr-FR"/>
              </w:rPr>
              <w:t>b</w:t>
            </w:r>
          </w:p>
        </w:tc>
      </w:tr>
      <w:tr w:rsidR="004E29C8" w:rsidRPr="00367C50" w14:paraId="2264E423" w14:textId="77777777" w:rsidTr="00367C50">
        <w:trPr>
          <w:trHeight w:val="472"/>
        </w:trPr>
        <w:tc>
          <w:tcPr>
            <w:tcW w:w="1235" w:type="dxa"/>
            <w:tcBorders>
              <w:top w:val="nil"/>
            </w:tcBorders>
          </w:tcPr>
          <w:p w14:paraId="27C487A9"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 xml:space="preserve">Iron </w:t>
            </w:r>
          </w:p>
        </w:tc>
        <w:tc>
          <w:tcPr>
            <w:tcW w:w="1701" w:type="dxa"/>
            <w:tcBorders>
              <w:top w:val="nil"/>
            </w:tcBorders>
          </w:tcPr>
          <w:p w14:paraId="39951AF0"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195. ±0.01</w:t>
            </w:r>
            <w:r w:rsidRPr="00367C50">
              <w:rPr>
                <w:rFonts w:ascii="Arial" w:eastAsia="Times New Roman" w:hAnsi="Arial" w:cs="Arial"/>
                <w:color w:val="000000"/>
                <w:sz w:val="20"/>
                <w:szCs w:val="20"/>
                <w:vertAlign w:val="superscript"/>
                <w:lang w:eastAsia="fr-FR"/>
              </w:rPr>
              <w:t>e</w:t>
            </w:r>
          </w:p>
        </w:tc>
        <w:tc>
          <w:tcPr>
            <w:tcW w:w="1559" w:type="dxa"/>
            <w:tcBorders>
              <w:top w:val="nil"/>
            </w:tcBorders>
          </w:tcPr>
          <w:p w14:paraId="28373A09"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111.8 ± 0.01</w:t>
            </w:r>
            <w:r w:rsidRPr="00367C50">
              <w:rPr>
                <w:rFonts w:ascii="Arial" w:eastAsia="Times New Roman" w:hAnsi="Arial" w:cs="Arial"/>
                <w:color w:val="000000"/>
                <w:sz w:val="20"/>
                <w:szCs w:val="20"/>
                <w:vertAlign w:val="superscript"/>
                <w:lang w:eastAsia="fr-FR"/>
              </w:rPr>
              <w:t>c</w:t>
            </w:r>
          </w:p>
        </w:tc>
        <w:tc>
          <w:tcPr>
            <w:tcW w:w="1559" w:type="dxa"/>
            <w:tcBorders>
              <w:top w:val="nil"/>
            </w:tcBorders>
          </w:tcPr>
          <w:p w14:paraId="69BA44BB"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143.98 ± 0.04</w:t>
            </w:r>
            <w:r w:rsidRPr="00367C50">
              <w:rPr>
                <w:rFonts w:ascii="Arial" w:eastAsia="Times New Roman" w:hAnsi="Arial" w:cs="Arial"/>
                <w:color w:val="000000"/>
                <w:sz w:val="20"/>
                <w:szCs w:val="20"/>
                <w:vertAlign w:val="superscript"/>
                <w:lang w:eastAsia="fr-FR"/>
              </w:rPr>
              <w:t>d</w:t>
            </w:r>
          </w:p>
        </w:tc>
        <w:tc>
          <w:tcPr>
            <w:tcW w:w="1520" w:type="dxa"/>
            <w:tcBorders>
              <w:top w:val="nil"/>
            </w:tcBorders>
          </w:tcPr>
          <w:p w14:paraId="29EBB57E"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74.1 ± 0.01</w:t>
            </w:r>
            <w:r w:rsidRPr="00367C50">
              <w:rPr>
                <w:rFonts w:ascii="Arial" w:eastAsia="Times New Roman" w:hAnsi="Arial" w:cs="Arial"/>
                <w:color w:val="000000"/>
                <w:sz w:val="20"/>
                <w:szCs w:val="20"/>
                <w:vertAlign w:val="superscript"/>
                <w:lang w:eastAsia="fr-FR"/>
              </w:rPr>
              <w:t xml:space="preserve"> a</w:t>
            </w:r>
          </w:p>
        </w:tc>
        <w:tc>
          <w:tcPr>
            <w:tcW w:w="1565" w:type="dxa"/>
            <w:tcBorders>
              <w:top w:val="nil"/>
            </w:tcBorders>
          </w:tcPr>
          <w:p w14:paraId="529E6A67"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82.43 ± 0.01</w:t>
            </w:r>
            <w:r w:rsidRPr="00367C50">
              <w:rPr>
                <w:rFonts w:ascii="Arial" w:eastAsia="Times New Roman" w:hAnsi="Arial" w:cs="Arial"/>
                <w:color w:val="000000"/>
                <w:sz w:val="20"/>
                <w:szCs w:val="20"/>
                <w:vertAlign w:val="superscript"/>
                <w:lang w:eastAsia="fr-FR"/>
              </w:rPr>
              <w:t>b</w:t>
            </w:r>
          </w:p>
        </w:tc>
      </w:tr>
      <w:tr w:rsidR="004E29C8" w:rsidRPr="00367C50" w14:paraId="52427A4A" w14:textId="77777777" w:rsidTr="00367C50">
        <w:trPr>
          <w:trHeight w:val="340"/>
        </w:trPr>
        <w:tc>
          <w:tcPr>
            <w:tcW w:w="1235" w:type="dxa"/>
          </w:tcPr>
          <w:p w14:paraId="1390C9B7"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Sodium</w:t>
            </w:r>
          </w:p>
        </w:tc>
        <w:tc>
          <w:tcPr>
            <w:tcW w:w="1701" w:type="dxa"/>
          </w:tcPr>
          <w:p w14:paraId="34973165"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13.42 ± 0.01</w:t>
            </w:r>
            <w:r w:rsidRPr="00367C50">
              <w:rPr>
                <w:rFonts w:ascii="Arial" w:eastAsia="Times New Roman" w:hAnsi="Arial" w:cs="Arial"/>
                <w:color w:val="000000"/>
                <w:sz w:val="20"/>
                <w:szCs w:val="20"/>
                <w:vertAlign w:val="superscript"/>
                <w:lang w:eastAsia="fr-FR"/>
              </w:rPr>
              <w:t>e</w:t>
            </w:r>
          </w:p>
        </w:tc>
        <w:tc>
          <w:tcPr>
            <w:tcW w:w="1559" w:type="dxa"/>
          </w:tcPr>
          <w:p w14:paraId="274EC736"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17.26 ±0.02</w:t>
            </w:r>
            <w:r w:rsidRPr="00367C50">
              <w:rPr>
                <w:rFonts w:ascii="Arial" w:eastAsia="Times New Roman" w:hAnsi="Arial" w:cs="Arial"/>
                <w:color w:val="000000"/>
                <w:sz w:val="20"/>
                <w:szCs w:val="20"/>
                <w:vertAlign w:val="superscript"/>
                <w:lang w:eastAsia="fr-FR"/>
              </w:rPr>
              <w:t>c</w:t>
            </w:r>
          </w:p>
        </w:tc>
        <w:tc>
          <w:tcPr>
            <w:tcW w:w="1559" w:type="dxa"/>
          </w:tcPr>
          <w:p w14:paraId="143D1C17"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8.89 ± 0.00</w:t>
            </w:r>
            <w:r w:rsidRPr="00367C50">
              <w:rPr>
                <w:rFonts w:ascii="Arial" w:eastAsia="Times New Roman" w:hAnsi="Arial" w:cs="Arial"/>
                <w:color w:val="000000"/>
                <w:sz w:val="20"/>
                <w:szCs w:val="20"/>
                <w:vertAlign w:val="superscript"/>
                <w:lang w:eastAsia="fr-FR"/>
              </w:rPr>
              <w:t>d</w:t>
            </w:r>
          </w:p>
        </w:tc>
        <w:tc>
          <w:tcPr>
            <w:tcW w:w="1520" w:type="dxa"/>
          </w:tcPr>
          <w:p w14:paraId="076B5E0C"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10.16 ± 0.01</w:t>
            </w:r>
            <w:r w:rsidRPr="00367C50">
              <w:rPr>
                <w:rFonts w:ascii="Arial" w:eastAsia="Times New Roman" w:hAnsi="Arial" w:cs="Arial"/>
                <w:color w:val="000000"/>
                <w:sz w:val="20"/>
                <w:szCs w:val="20"/>
                <w:vertAlign w:val="superscript"/>
                <w:lang w:eastAsia="fr-FR"/>
              </w:rPr>
              <w:t xml:space="preserve"> a</w:t>
            </w:r>
          </w:p>
        </w:tc>
        <w:tc>
          <w:tcPr>
            <w:tcW w:w="1565" w:type="dxa"/>
          </w:tcPr>
          <w:p w14:paraId="3D03B4F9"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17.26 ±0.02</w:t>
            </w:r>
            <w:r w:rsidRPr="00367C50">
              <w:rPr>
                <w:rFonts w:ascii="Arial" w:eastAsia="Times New Roman" w:hAnsi="Arial" w:cs="Arial"/>
                <w:color w:val="000000"/>
                <w:sz w:val="20"/>
                <w:szCs w:val="20"/>
                <w:vertAlign w:val="superscript"/>
                <w:lang w:eastAsia="fr-FR"/>
              </w:rPr>
              <w:t>b</w:t>
            </w:r>
          </w:p>
        </w:tc>
      </w:tr>
      <w:tr w:rsidR="004E29C8" w:rsidRPr="00367C50" w14:paraId="2BF5F32C" w14:textId="77777777" w:rsidTr="00367C50">
        <w:trPr>
          <w:trHeight w:val="340"/>
        </w:trPr>
        <w:tc>
          <w:tcPr>
            <w:tcW w:w="1235" w:type="dxa"/>
          </w:tcPr>
          <w:p w14:paraId="5B5A4DCF"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Potassium</w:t>
            </w:r>
          </w:p>
        </w:tc>
        <w:tc>
          <w:tcPr>
            <w:tcW w:w="1701" w:type="dxa"/>
          </w:tcPr>
          <w:p w14:paraId="3267F1B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59.26 ± 0.02</w:t>
            </w:r>
            <w:r w:rsidRPr="00367C50">
              <w:rPr>
                <w:rFonts w:ascii="Arial" w:eastAsia="Times New Roman" w:hAnsi="Arial" w:cs="Arial"/>
                <w:color w:val="000000"/>
                <w:sz w:val="20"/>
                <w:szCs w:val="20"/>
                <w:vertAlign w:val="superscript"/>
                <w:lang w:eastAsia="fr-FR"/>
              </w:rPr>
              <w:t>e</w:t>
            </w:r>
          </w:p>
        </w:tc>
        <w:tc>
          <w:tcPr>
            <w:tcW w:w="1559" w:type="dxa"/>
          </w:tcPr>
          <w:p w14:paraId="58B1BCF2"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33.95± 0.01</w:t>
            </w:r>
            <w:r w:rsidRPr="00367C50">
              <w:rPr>
                <w:rFonts w:ascii="Arial" w:eastAsia="Times New Roman" w:hAnsi="Arial" w:cs="Arial"/>
                <w:color w:val="000000"/>
                <w:sz w:val="20"/>
                <w:szCs w:val="20"/>
                <w:vertAlign w:val="superscript"/>
                <w:lang w:eastAsia="fr-FR"/>
              </w:rPr>
              <w:t>c</w:t>
            </w:r>
          </w:p>
        </w:tc>
        <w:tc>
          <w:tcPr>
            <w:tcW w:w="1559" w:type="dxa"/>
          </w:tcPr>
          <w:p w14:paraId="35AA6F39"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43.68± 0.01</w:t>
            </w:r>
            <w:r w:rsidRPr="00367C50">
              <w:rPr>
                <w:rFonts w:ascii="Arial" w:eastAsia="Times New Roman" w:hAnsi="Arial" w:cs="Arial"/>
                <w:color w:val="000000"/>
                <w:sz w:val="20"/>
                <w:szCs w:val="20"/>
                <w:vertAlign w:val="superscript"/>
                <w:lang w:eastAsia="fr-FR"/>
              </w:rPr>
              <w:t>d</w:t>
            </w:r>
          </w:p>
        </w:tc>
        <w:tc>
          <w:tcPr>
            <w:tcW w:w="1520" w:type="dxa"/>
          </w:tcPr>
          <w:p w14:paraId="6679B958"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22.49± 0.02</w:t>
            </w:r>
            <w:r w:rsidRPr="00367C50">
              <w:rPr>
                <w:rFonts w:ascii="Arial" w:eastAsia="Times New Roman" w:hAnsi="Arial" w:cs="Arial"/>
                <w:color w:val="000000"/>
                <w:sz w:val="20"/>
                <w:szCs w:val="20"/>
                <w:vertAlign w:val="superscript"/>
                <w:lang w:eastAsia="fr-FR"/>
              </w:rPr>
              <w:t xml:space="preserve"> a</w:t>
            </w:r>
          </w:p>
        </w:tc>
        <w:tc>
          <w:tcPr>
            <w:tcW w:w="1565" w:type="dxa"/>
          </w:tcPr>
          <w:p w14:paraId="66C8446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27.53± 0.02</w:t>
            </w:r>
            <w:r w:rsidRPr="00367C50">
              <w:rPr>
                <w:rFonts w:ascii="Arial" w:eastAsia="Times New Roman" w:hAnsi="Arial" w:cs="Arial"/>
                <w:color w:val="000000"/>
                <w:sz w:val="20"/>
                <w:szCs w:val="20"/>
                <w:vertAlign w:val="superscript"/>
                <w:lang w:eastAsia="fr-FR"/>
              </w:rPr>
              <w:t>b</w:t>
            </w:r>
          </w:p>
        </w:tc>
      </w:tr>
      <w:tr w:rsidR="004E29C8" w:rsidRPr="00367C50" w14:paraId="11273F73" w14:textId="77777777" w:rsidTr="00367C50">
        <w:trPr>
          <w:trHeight w:val="340"/>
        </w:trPr>
        <w:tc>
          <w:tcPr>
            <w:tcW w:w="1235" w:type="dxa"/>
          </w:tcPr>
          <w:p w14:paraId="157EB634"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Calcium</w:t>
            </w:r>
          </w:p>
        </w:tc>
        <w:tc>
          <w:tcPr>
            <w:tcW w:w="1701" w:type="dxa"/>
          </w:tcPr>
          <w:p w14:paraId="3920ACDA"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834.50 ± 0.02</w:t>
            </w:r>
            <w:r w:rsidRPr="00367C50">
              <w:rPr>
                <w:rFonts w:ascii="Arial" w:eastAsia="Times New Roman" w:hAnsi="Arial" w:cs="Arial"/>
                <w:color w:val="000000"/>
                <w:sz w:val="20"/>
                <w:szCs w:val="20"/>
                <w:vertAlign w:val="superscript"/>
                <w:lang w:eastAsia="fr-FR"/>
              </w:rPr>
              <w:t>e</w:t>
            </w:r>
          </w:p>
        </w:tc>
        <w:tc>
          <w:tcPr>
            <w:tcW w:w="1559" w:type="dxa"/>
          </w:tcPr>
          <w:p w14:paraId="3593F75F"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478.19 ±0.02</w:t>
            </w:r>
            <w:r w:rsidRPr="00367C50">
              <w:rPr>
                <w:rFonts w:ascii="Arial" w:eastAsia="Times New Roman" w:hAnsi="Arial" w:cs="Arial"/>
                <w:color w:val="000000"/>
                <w:sz w:val="20"/>
                <w:szCs w:val="20"/>
                <w:vertAlign w:val="superscript"/>
                <w:lang w:eastAsia="fr-FR"/>
              </w:rPr>
              <w:t>c</w:t>
            </w:r>
          </w:p>
        </w:tc>
        <w:tc>
          <w:tcPr>
            <w:tcW w:w="1559" w:type="dxa"/>
          </w:tcPr>
          <w:p w14:paraId="0885B8A1"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615.23 ±0.03</w:t>
            </w:r>
            <w:r w:rsidRPr="00367C50">
              <w:rPr>
                <w:rFonts w:ascii="Arial" w:eastAsia="Times New Roman" w:hAnsi="Arial" w:cs="Arial"/>
                <w:color w:val="000000"/>
                <w:sz w:val="20"/>
                <w:szCs w:val="20"/>
                <w:vertAlign w:val="superscript"/>
                <w:lang w:eastAsia="fr-FR"/>
              </w:rPr>
              <w:t>d</w:t>
            </w:r>
          </w:p>
        </w:tc>
        <w:tc>
          <w:tcPr>
            <w:tcW w:w="1520" w:type="dxa"/>
          </w:tcPr>
          <w:p w14:paraId="0D08A60C"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316.75 ±0.01</w:t>
            </w:r>
            <w:r w:rsidRPr="00367C50">
              <w:rPr>
                <w:rFonts w:ascii="Arial" w:eastAsia="Times New Roman" w:hAnsi="Arial" w:cs="Arial"/>
                <w:color w:val="000000"/>
                <w:sz w:val="20"/>
                <w:szCs w:val="20"/>
                <w:vertAlign w:val="superscript"/>
                <w:lang w:eastAsia="fr-FR"/>
              </w:rPr>
              <w:t>b</w:t>
            </w:r>
          </w:p>
        </w:tc>
        <w:tc>
          <w:tcPr>
            <w:tcW w:w="1565" w:type="dxa"/>
          </w:tcPr>
          <w:p w14:paraId="1FD6DE9F"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287.89 ± 0.01</w:t>
            </w:r>
            <w:r w:rsidRPr="00367C50">
              <w:rPr>
                <w:rFonts w:ascii="Arial" w:eastAsia="Times New Roman" w:hAnsi="Arial" w:cs="Arial"/>
                <w:color w:val="000000"/>
                <w:sz w:val="20"/>
                <w:szCs w:val="20"/>
                <w:vertAlign w:val="superscript"/>
                <w:lang w:eastAsia="fr-FR"/>
              </w:rPr>
              <w:t>a</w:t>
            </w:r>
          </w:p>
        </w:tc>
      </w:tr>
      <w:tr w:rsidR="004E29C8" w:rsidRPr="00367C50" w14:paraId="7C7DDAB8" w14:textId="77777777" w:rsidTr="00367C50">
        <w:trPr>
          <w:trHeight w:val="340"/>
        </w:trPr>
        <w:tc>
          <w:tcPr>
            <w:tcW w:w="1235" w:type="dxa"/>
          </w:tcPr>
          <w:p w14:paraId="29B9CF68"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Magnesium</w:t>
            </w:r>
          </w:p>
        </w:tc>
        <w:tc>
          <w:tcPr>
            <w:tcW w:w="1701" w:type="dxa"/>
          </w:tcPr>
          <w:p w14:paraId="58569E33"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878.14 ± 0.03</w:t>
            </w:r>
            <w:r w:rsidRPr="00367C50">
              <w:rPr>
                <w:rFonts w:ascii="Arial" w:eastAsia="Times New Roman" w:hAnsi="Arial" w:cs="Arial"/>
                <w:color w:val="000000"/>
                <w:sz w:val="20"/>
                <w:szCs w:val="20"/>
                <w:vertAlign w:val="superscript"/>
                <w:lang w:eastAsia="fr-FR"/>
              </w:rPr>
              <w:t>e</w:t>
            </w:r>
          </w:p>
        </w:tc>
        <w:tc>
          <w:tcPr>
            <w:tcW w:w="1559" w:type="dxa"/>
          </w:tcPr>
          <w:p w14:paraId="0DFFE711"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503.17 ± 0.01</w:t>
            </w:r>
            <w:r w:rsidRPr="00367C50">
              <w:rPr>
                <w:rFonts w:ascii="Arial" w:eastAsia="Times New Roman" w:hAnsi="Arial" w:cs="Arial"/>
                <w:color w:val="000000"/>
                <w:sz w:val="20"/>
                <w:szCs w:val="20"/>
                <w:vertAlign w:val="superscript"/>
                <w:lang w:eastAsia="fr-FR"/>
              </w:rPr>
              <w:t>c</w:t>
            </w:r>
          </w:p>
        </w:tc>
        <w:tc>
          <w:tcPr>
            <w:tcW w:w="1559" w:type="dxa"/>
          </w:tcPr>
          <w:p w14:paraId="2D50372A"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647.41 ± 0.01</w:t>
            </w:r>
            <w:r w:rsidRPr="00367C50">
              <w:rPr>
                <w:rFonts w:ascii="Arial" w:eastAsia="Times New Roman" w:hAnsi="Arial" w:cs="Arial"/>
                <w:color w:val="000000"/>
                <w:sz w:val="20"/>
                <w:szCs w:val="20"/>
                <w:vertAlign w:val="superscript"/>
                <w:lang w:eastAsia="fr-FR"/>
              </w:rPr>
              <w:t>d</w:t>
            </w:r>
          </w:p>
        </w:tc>
        <w:tc>
          <w:tcPr>
            <w:tcW w:w="1520" w:type="dxa"/>
          </w:tcPr>
          <w:p w14:paraId="796124B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333.34 ± 0.03</w:t>
            </w:r>
            <w:r w:rsidRPr="00367C50">
              <w:rPr>
                <w:rFonts w:ascii="Arial" w:eastAsia="Times New Roman" w:hAnsi="Arial" w:cs="Arial"/>
                <w:color w:val="000000"/>
                <w:sz w:val="20"/>
                <w:szCs w:val="20"/>
                <w:vertAlign w:val="superscript"/>
                <w:lang w:eastAsia="fr-FR"/>
              </w:rPr>
              <w:t>b</w:t>
            </w:r>
          </w:p>
        </w:tc>
        <w:tc>
          <w:tcPr>
            <w:tcW w:w="1565" w:type="dxa"/>
          </w:tcPr>
          <w:p w14:paraId="1ECB68B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303.46 ± 0.02</w:t>
            </w:r>
            <w:r w:rsidRPr="00367C50">
              <w:rPr>
                <w:rFonts w:ascii="Arial" w:eastAsia="Times New Roman" w:hAnsi="Arial" w:cs="Arial"/>
                <w:color w:val="000000"/>
                <w:sz w:val="20"/>
                <w:szCs w:val="20"/>
                <w:vertAlign w:val="superscript"/>
                <w:lang w:eastAsia="fr-FR"/>
              </w:rPr>
              <w:t>a</w:t>
            </w:r>
          </w:p>
        </w:tc>
      </w:tr>
      <w:tr w:rsidR="004E29C8" w:rsidRPr="00367C50" w14:paraId="56F9126B" w14:textId="77777777" w:rsidTr="00367C50">
        <w:trPr>
          <w:trHeight w:val="340"/>
        </w:trPr>
        <w:tc>
          <w:tcPr>
            <w:tcW w:w="1235" w:type="dxa"/>
          </w:tcPr>
          <w:p w14:paraId="033CD0AA"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 xml:space="preserve">Manganese </w:t>
            </w:r>
          </w:p>
        </w:tc>
        <w:tc>
          <w:tcPr>
            <w:tcW w:w="1701" w:type="dxa"/>
          </w:tcPr>
          <w:p w14:paraId="4F1DBB23"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22.41 ± 0.02</w:t>
            </w:r>
            <w:r w:rsidRPr="00367C50">
              <w:rPr>
                <w:rFonts w:ascii="Arial" w:eastAsia="Times New Roman" w:hAnsi="Arial" w:cs="Arial"/>
                <w:color w:val="000000"/>
                <w:sz w:val="20"/>
                <w:szCs w:val="20"/>
                <w:vertAlign w:val="superscript"/>
                <w:lang w:eastAsia="fr-FR"/>
              </w:rPr>
              <w:t>e</w:t>
            </w:r>
          </w:p>
        </w:tc>
        <w:tc>
          <w:tcPr>
            <w:tcW w:w="1559" w:type="dxa"/>
          </w:tcPr>
          <w:p w14:paraId="42A0FC18"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12.85 ± 0.01</w:t>
            </w:r>
            <w:r w:rsidRPr="00367C50">
              <w:rPr>
                <w:rFonts w:ascii="Arial" w:eastAsia="Times New Roman" w:hAnsi="Arial" w:cs="Arial"/>
                <w:color w:val="000000"/>
                <w:sz w:val="20"/>
                <w:szCs w:val="20"/>
                <w:vertAlign w:val="superscript"/>
                <w:lang w:eastAsia="fr-FR"/>
              </w:rPr>
              <w:t>c</w:t>
            </w:r>
          </w:p>
        </w:tc>
        <w:tc>
          <w:tcPr>
            <w:tcW w:w="1559" w:type="dxa"/>
          </w:tcPr>
          <w:p w14:paraId="34F3EF0C"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16.54 ± 0.03</w:t>
            </w:r>
            <w:r w:rsidRPr="00367C50">
              <w:rPr>
                <w:rFonts w:ascii="Arial" w:eastAsia="Times New Roman" w:hAnsi="Arial" w:cs="Arial"/>
                <w:color w:val="000000"/>
                <w:sz w:val="20"/>
                <w:szCs w:val="20"/>
                <w:vertAlign w:val="superscript"/>
                <w:lang w:eastAsia="fr-FR"/>
              </w:rPr>
              <w:t>d</w:t>
            </w:r>
          </w:p>
        </w:tc>
        <w:tc>
          <w:tcPr>
            <w:tcW w:w="1520" w:type="dxa"/>
          </w:tcPr>
          <w:p w14:paraId="0D268065"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8.51 ± 0.02</w:t>
            </w:r>
            <w:r w:rsidRPr="00367C50">
              <w:rPr>
                <w:rFonts w:ascii="Arial" w:eastAsia="Times New Roman" w:hAnsi="Arial" w:cs="Arial"/>
                <w:color w:val="000000"/>
                <w:sz w:val="20"/>
                <w:szCs w:val="20"/>
                <w:vertAlign w:val="superscript"/>
                <w:lang w:eastAsia="fr-FR"/>
              </w:rPr>
              <w:t xml:space="preserve"> a</w:t>
            </w:r>
          </w:p>
        </w:tc>
        <w:tc>
          <w:tcPr>
            <w:tcW w:w="1565" w:type="dxa"/>
          </w:tcPr>
          <w:p w14:paraId="19185EC9"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11.86 ± 0.01</w:t>
            </w:r>
            <w:r w:rsidRPr="00367C50">
              <w:rPr>
                <w:rFonts w:ascii="Arial" w:eastAsia="Times New Roman" w:hAnsi="Arial" w:cs="Arial"/>
                <w:color w:val="000000"/>
                <w:sz w:val="20"/>
                <w:szCs w:val="20"/>
                <w:vertAlign w:val="superscript"/>
                <w:lang w:eastAsia="fr-FR"/>
              </w:rPr>
              <w:t>b</w:t>
            </w:r>
          </w:p>
        </w:tc>
      </w:tr>
      <w:tr w:rsidR="004E29C8" w:rsidRPr="00367C50" w14:paraId="5ABB7837" w14:textId="77777777" w:rsidTr="00367C50">
        <w:trPr>
          <w:trHeight w:val="340"/>
        </w:trPr>
        <w:tc>
          <w:tcPr>
            <w:tcW w:w="1235" w:type="dxa"/>
          </w:tcPr>
          <w:p w14:paraId="2C448510"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 xml:space="preserve">Copper </w:t>
            </w:r>
          </w:p>
        </w:tc>
        <w:tc>
          <w:tcPr>
            <w:tcW w:w="1701" w:type="dxa"/>
          </w:tcPr>
          <w:p w14:paraId="5BB189C2"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25.6 ± 0.01</w:t>
            </w:r>
            <w:r w:rsidRPr="00367C50">
              <w:rPr>
                <w:rFonts w:ascii="Arial" w:eastAsia="Times New Roman" w:hAnsi="Arial" w:cs="Arial"/>
                <w:color w:val="000000"/>
                <w:sz w:val="20"/>
                <w:szCs w:val="20"/>
                <w:vertAlign w:val="superscript"/>
                <w:lang w:eastAsia="fr-FR"/>
              </w:rPr>
              <w:t>d</w:t>
            </w:r>
          </w:p>
        </w:tc>
        <w:tc>
          <w:tcPr>
            <w:tcW w:w="1559" w:type="dxa"/>
          </w:tcPr>
          <w:p w14:paraId="44FEB43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14.7 ± 0.01</w:t>
            </w:r>
            <w:r w:rsidRPr="00367C50">
              <w:rPr>
                <w:rFonts w:ascii="Arial" w:eastAsia="Times New Roman" w:hAnsi="Arial" w:cs="Arial"/>
                <w:color w:val="000000"/>
                <w:sz w:val="20"/>
                <w:szCs w:val="20"/>
                <w:vertAlign w:val="superscript"/>
                <w:lang w:eastAsia="fr-FR"/>
              </w:rPr>
              <w:t>c</w:t>
            </w:r>
          </w:p>
        </w:tc>
        <w:tc>
          <w:tcPr>
            <w:tcW w:w="1559" w:type="dxa"/>
          </w:tcPr>
          <w:p w14:paraId="7A555D0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14.7 ±0.00</w:t>
            </w:r>
            <w:r w:rsidRPr="00367C50">
              <w:rPr>
                <w:rFonts w:ascii="Arial" w:eastAsia="Times New Roman" w:hAnsi="Arial" w:cs="Arial"/>
                <w:color w:val="000000"/>
                <w:sz w:val="20"/>
                <w:szCs w:val="20"/>
                <w:vertAlign w:val="superscript"/>
                <w:lang w:eastAsia="fr-FR"/>
              </w:rPr>
              <w:t>d</w:t>
            </w:r>
          </w:p>
        </w:tc>
        <w:tc>
          <w:tcPr>
            <w:tcW w:w="1520" w:type="dxa"/>
          </w:tcPr>
          <w:p w14:paraId="37DFB435"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14.7 ± 0.00</w:t>
            </w:r>
            <w:r w:rsidRPr="00367C50">
              <w:rPr>
                <w:rFonts w:ascii="Arial" w:eastAsia="Times New Roman" w:hAnsi="Arial" w:cs="Arial"/>
                <w:color w:val="000000"/>
                <w:sz w:val="20"/>
                <w:szCs w:val="20"/>
                <w:vertAlign w:val="superscript"/>
                <w:lang w:eastAsia="fr-FR"/>
              </w:rPr>
              <w:t xml:space="preserve"> a</w:t>
            </w:r>
          </w:p>
        </w:tc>
        <w:tc>
          <w:tcPr>
            <w:tcW w:w="1565" w:type="dxa"/>
          </w:tcPr>
          <w:p w14:paraId="1C113218"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14.7 ± 0.00</w:t>
            </w:r>
            <w:r w:rsidRPr="00367C50">
              <w:rPr>
                <w:rFonts w:ascii="Arial" w:eastAsia="Times New Roman" w:hAnsi="Arial" w:cs="Arial"/>
                <w:color w:val="000000"/>
                <w:sz w:val="20"/>
                <w:szCs w:val="20"/>
                <w:vertAlign w:val="superscript"/>
                <w:lang w:eastAsia="fr-FR"/>
              </w:rPr>
              <w:t xml:space="preserve"> e</w:t>
            </w:r>
          </w:p>
        </w:tc>
      </w:tr>
      <w:tr w:rsidR="004E29C8" w:rsidRPr="00367C50" w14:paraId="2A718A6F" w14:textId="77777777" w:rsidTr="00367C50">
        <w:trPr>
          <w:trHeight w:val="340"/>
        </w:trPr>
        <w:tc>
          <w:tcPr>
            <w:tcW w:w="1235" w:type="dxa"/>
          </w:tcPr>
          <w:p w14:paraId="64FFCA58" w14:textId="77777777" w:rsidR="004E29C8" w:rsidRPr="00367C50" w:rsidRDefault="004E29C8" w:rsidP="00367C50">
            <w:pPr>
              <w:pStyle w:val="Body"/>
              <w:rPr>
                <w:rFonts w:ascii="Arial" w:hAnsi="Arial" w:cs="Arial"/>
                <w:b/>
                <w:bCs/>
                <w:sz w:val="20"/>
                <w:szCs w:val="20"/>
              </w:rPr>
            </w:pPr>
            <w:r w:rsidRPr="00367C50">
              <w:rPr>
                <w:rFonts w:ascii="Arial" w:hAnsi="Arial" w:cs="Arial"/>
                <w:b/>
                <w:bCs/>
                <w:sz w:val="20"/>
                <w:szCs w:val="20"/>
              </w:rPr>
              <w:t>Zinc</w:t>
            </w:r>
          </w:p>
        </w:tc>
        <w:tc>
          <w:tcPr>
            <w:tcW w:w="1701" w:type="dxa"/>
          </w:tcPr>
          <w:p w14:paraId="44026F2E"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24.97 ± 0.01</w:t>
            </w:r>
            <w:r w:rsidRPr="00367C50">
              <w:rPr>
                <w:rFonts w:ascii="Arial" w:eastAsia="Times New Roman" w:hAnsi="Arial" w:cs="Arial"/>
                <w:color w:val="000000"/>
                <w:sz w:val="20"/>
                <w:szCs w:val="20"/>
                <w:vertAlign w:val="superscript"/>
                <w:lang w:eastAsia="fr-FR"/>
              </w:rPr>
              <w:t>e</w:t>
            </w:r>
          </w:p>
        </w:tc>
        <w:tc>
          <w:tcPr>
            <w:tcW w:w="1559" w:type="dxa"/>
          </w:tcPr>
          <w:p w14:paraId="2C70100E"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14.33 ± 0.02</w:t>
            </w:r>
            <w:r w:rsidRPr="00367C50">
              <w:rPr>
                <w:rFonts w:ascii="Arial" w:eastAsia="Times New Roman" w:hAnsi="Arial" w:cs="Arial"/>
                <w:color w:val="000000"/>
                <w:sz w:val="20"/>
                <w:szCs w:val="20"/>
                <w:vertAlign w:val="superscript"/>
                <w:lang w:eastAsia="fr-FR"/>
              </w:rPr>
              <w:t>c</w:t>
            </w:r>
          </w:p>
        </w:tc>
        <w:tc>
          <w:tcPr>
            <w:tcW w:w="1559" w:type="dxa"/>
          </w:tcPr>
          <w:p w14:paraId="6224A27B"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18.41 ± 0.02</w:t>
            </w:r>
            <w:r w:rsidRPr="00367C50">
              <w:rPr>
                <w:rFonts w:ascii="Arial" w:eastAsia="Times New Roman" w:hAnsi="Arial" w:cs="Arial"/>
                <w:color w:val="000000"/>
                <w:sz w:val="20"/>
                <w:szCs w:val="20"/>
                <w:vertAlign w:val="superscript"/>
                <w:lang w:eastAsia="fr-FR"/>
              </w:rPr>
              <w:t>d</w:t>
            </w:r>
          </w:p>
        </w:tc>
        <w:tc>
          <w:tcPr>
            <w:tcW w:w="1520" w:type="dxa"/>
          </w:tcPr>
          <w:p w14:paraId="327A27C5"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9.48 ± 0.01</w:t>
            </w:r>
            <w:r w:rsidRPr="00367C50">
              <w:rPr>
                <w:rFonts w:ascii="Arial" w:eastAsia="Times New Roman" w:hAnsi="Arial" w:cs="Arial"/>
                <w:color w:val="000000"/>
                <w:sz w:val="20"/>
                <w:szCs w:val="20"/>
                <w:vertAlign w:val="superscript"/>
                <w:lang w:eastAsia="fr-FR"/>
              </w:rPr>
              <w:t>a</w:t>
            </w:r>
          </w:p>
        </w:tc>
        <w:tc>
          <w:tcPr>
            <w:tcW w:w="1565" w:type="dxa"/>
          </w:tcPr>
          <w:p w14:paraId="1354774D" w14:textId="77777777" w:rsidR="004E29C8" w:rsidRPr="00367C50" w:rsidRDefault="004E29C8" w:rsidP="00367C50">
            <w:pPr>
              <w:pStyle w:val="Body"/>
              <w:rPr>
                <w:rFonts w:ascii="Arial" w:hAnsi="Arial" w:cs="Arial"/>
                <w:sz w:val="20"/>
                <w:szCs w:val="20"/>
              </w:rPr>
            </w:pPr>
            <w:r w:rsidRPr="00367C50">
              <w:rPr>
                <w:rFonts w:ascii="Arial" w:eastAsia="Times New Roman" w:hAnsi="Arial" w:cs="Arial"/>
                <w:color w:val="000000"/>
                <w:sz w:val="20"/>
                <w:szCs w:val="20"/>
                <w:lang w:eastAsia="fr-FR"/>
              </w:rPr>
              <w:t>13.21 ± 0.03</w:t>
            </w:r>
            <w:r w:rsidRPr="00367C50">
              <w:rPr>
                <w:rFonts w:ascii="Arial" w:eastAsia="Times New Roman" w:hAnsi="Arial" w:cs="Arial"/>
                <w:color w:val="000000"/>
                <w:sz w:val="20"/>
                <w:szCs w:val="20"/>
                <w:vertAlign w:val="superscript"/>
                <w:lang w:eastAsia="fr-FR"/>
              </w:rPr>
              <w:t>b</w:t>
            </w:r>
          </w:p>
        </w:tc>
      </w:tr>
    </w:tbl>
    <w:p w14:paraId="037C5FD3" w14:textId="6E302B78" w:rsidR="00B03A1F" w:rsidRPr="00CA54AA" w:rsidRDefault="00B03A1F" w:rsidP="00B03A1F">
      <w:pPr>
        <w:pStyle w:val="Revista"/>
        <w:ind w:firstLine="0"/>
        <w:jc w:val="center"/>
        <w:rPr>
          <w:rFonts w:ascii="Arial" w:hAnsi="Arial" w:cs="Arial"/>
          <w:i/>
          <w:sz w:val="20"/>
        </w:rPr>
      </w:pPr>
      <w:r w:rsidRPr="00CA54AA">
        <w:rPr>
          <w:rFonts w:ascii="Arial" w:hAnsi="Arial" w:cs="Arial"/>
          <w:i/>
          <w:sz w:val="18"/>
        </w:rPr>
        <w:t xml:space="preserve">Mean values in the same line with different superscript letters were significantly different </w:t>
      </w:r>
      <w:r w:rsidR="005572BE" w:rsidRPr="00BF41D5">
        <w:rPr>
          <w:rFonts w:ascii="Arial" w:hAnsi="Arial" w:cs="Arial"/>
          <w:i/>
          <w:iCs/>
          <w:sz w:val="20"/>
          <w:szCs w:val="16"/>
        </w:rPr>
        <w:t>(P = .05)</w:t>
      </w:r>
      <w:r w:rsidR="005572BE" w:rsidRPr="00AB6B17">
        <w:t xml:space="preserve"> </w:t>
      </w:r>
      <w:r w:rsidRPr="00CA54AA">
        <w:rPr>
          <w:rFonts w:ascii="Arial" w:hAnsi="Arial" w:cs="Arial"/>
          <w:i/>
          <w:sz w:val="20"/>
        </w:rPr>
        <w:t xml:space="preserve">according to Duncan's multiple comparison test </w:t>
      </w:r>
    </w:p>
    <w:p w14:paraId="12C4C184" w14:textId="77777777" w:rsidR="00B03A1F" w:rsidRPr="00B03A1F" w:rsidRDefault="00B03A1F" w:rsidP="00441B6F">
      <w:pPr>
        <w:pStyle w:val="Body"/>
        <w:spacing w:after="0"/>
        <w:rPr>
          <w:b/>
        </w:rPr>
      </w:pPr>
    </w:p>
    <w:p w14:paraId="46727D0E" w14:textId="77777777" w:rsidR="00CA54AA" w:rsidRPr="003E1520" w:rsidRDefault="00CA54AA" w:rsidP="00CA54AA">
      <w:pPr>
        <w:jc w:val="both"/>
        <w:rPr>
          <w:rFonts w:ascii="Arial" w:hAnsi="Arial" w:cs="Arial"/>
          <w:b/>
          <w:bCs/>
          <w:sz w:val="22"/>
          <w:szCs w:val="22"/>
        </w:rPr>
      </w:pPr>
      <w:r w:rsidRPr="003E1520">
        <w:rPr>
          <w:rFonts w:ascii="Arial" w:hAnsi="Arial" w:cs="Arial"/>
          <w:b/>
          <w:bCs/>
          <w:sz w:val="22"/>
          <w:szCs w:val="22"/>
        </w:rPr>
        <w:t xml:space="preserve">3.5. Total carbohydrates, monosaccharide analyses, and total </w:t>
      </w:r>
      <w:proofErr w:type="spellStart"/>
      <w:r w:rsidRPr="003E1520">
        <w:rPr>
          <w:rFonts w:ascii="Arial" w:hAnsi="Arial" w:cs="Arial"/>
          <w:b/>
          <w:bCs/>
          <w:sz w:val="22"/>
          <w:szCs w:val="22"/>
        </w:rPr>
        <w:t>uronic</w:t>
      </w:r>
      <w:proofErr w:type="spellEnd"/>
      <w:r w:rsidRPr="003E1520">
        <w:rPr>
          <w:rFonts w:ascii="Arial" w:hAnsi="Arial" w:cs="Arial"/>
          <w:b/>
          <w:bCs/>
          <w:sz w:val="22"/>
          <w:szCs w:val="22"/>
        </w:rPr>
        <w:t xml:space="preserve"> acids contents</w:t>
      </w:r>
    </w:p>
    <w:p w14:paraId="1AE39DC4" w14:textId="77777777" w:rsidR="00CA54AA" w:rsidRPr="00CA54AA" w:rsidRDefault="00CA54AA" w:rsidP="00CA54AA">
      <w:pPr>
        <w:jc w:val="both"/>
        <w:rPr>
          <w:rFonts w:ascii="Arial" w:hAnsi="Arial" w:cs="Arial"/>
          <w:b/>
          <w:bCs/>
        </w:rPr>
      </w:pPr>
    </w:p>
    <w:p w14:paraId="42791473" w14:textId="69ADE9D5" w:rsidR="00A03B96" w:rsidRPr="00CA54AA" w:rsidRDefault="00CA54AA" w:rsidP="00CA54AA">
      <w:pPr>
        <w:jc w:val="both"/>
        <w:rPr>
          <w:rFonts w:ascii="Arial" w:hAnsi="Arial" w:cs="Arial"/>
        </w:rPr>
      </w:pPr>
      <w:r w:rsidRPr="00CA54AA">
        <w:rPr>
          <w:rFonts w:ascii="Arial" w:hAnsi="Arial" w:cs="Arial"/>
        </w:rPr>
        <w:t xml:space="preserve">The total carbohydrate (79.5% - 85.14%) in purified gum was higher than that of the raw cashew sample (65.41%). As shown in Table </w:t>
      </w:r>
      <w:r w:rsidR="00367C50">
        <w:rPr>
          <w:rFonts w:ascii="Arial" w:hAnsi="Arial" w:cs="Arial"/>
        </w:rPr>
        <w:t>2</w:t>
      </w:r>
      <w:r w:rsidRPr="00CA54AA">
        <w:rPr>
          <w:rFonts w:ascii="Arial" w:hAnsi="Arial" w:cs="Arial"/>
        </w:rPr>
        <w:t xml:space="preserve">, the Fs sample (method D) has a higher total carbohydrate content (85.14%). This may be due to the use of Fehling's reagent for purification, which results in hydrolysis of soluble sugars. A high carbohydrate content. as found in this study. confirms the purity of the gum. which indicates good quality </w:t>
      </w:r>
      <w:r w:rsidRPr="00CA54AA">
        <w:rPr>
          <w:rFonts w:ascii="Arial" w:hAnsi="Arial" w:cs="Arial"/>
        </w:rPr>
        <w:fldChar w:fldCharType="begin"/>
      </w:r>
      <w:r w:rsidR="00D9455A">
        <w:rPr>
          <w:rFonts w:ascii="Arial" w:hAnsi="Arial" w:cs="Arial"/>
        </w:rPr>
        <w:instrText xml:space="preserve"> ADDIN ZOTERO_ITEM CSL_CITATION {"citationID":"rbD2N6Ye","properties":{"formattedCitation":"(Asamoa Mensa et al., 2024)","plainCitation":"(Asamoa Mensa et al., 2024)","dontUpdate":true,"noteIndex":0},"citationItems":[{"id":"wp0Dc69N/fNvZoNa6","uris":["http://zotero.org/users/8588538/items/3ZLMN6XQ"],"itemData":{"id":1202,"type":"article-journal","abstract":"Naturally occurring hydrophilic colloids are versatile excipients in drug delivery systems. They are often used as coating materials, disintegrating agents, binders, emulsion stabilizers, and other applications. This study sought to investigate the physicochemical and emulsifying properties of gum extracted from Melia azedarach (MA). The gum was harvested, authenticated, and purified using ethanol precipitation. Physicochemical, microbial, and proximate analyses were performed on the purified gum. Oil of olive emulsions containing different amounts (5–15%w/v) of the gum as emulsifiers were prepared by homogenization. The zeta potential, creaming index, and average droplet size of products were assessed. The effects of pH changes, temperature, and monovalent and divalent electrolytes on the stability of the emulsions were also investigated. The yield of the gum after purification was 68.3%w/w. The gum has low moisture content and good swelling properties. Lead, copper, cadmium, and mercury were not detected. Emulsions containing 15%w/v of acacia or MA gum had the smallest average (Z-average) droplet size (acacia: 1.837 ± 0.420 μm; MA gum: 2.791 ± 0.694 μm) and the highest zeta potential (acacia: −30.45 mV; MA gum: −32.867 mV). Increasing the concentration of the gums increased the emulsion viscosity with MA gum emulsions being more viscous than corresponding acacia emulsions. MA gum emulsions had higher emulsion capacity and stability but lower creaming index relative to acacia gum emulsions of similar concentrations. Potassium chloride (KCl) reduced zeta potential but increased Z-average for emulsions prepared with either gum. Calcium chloride (CaCl2) produced a similar but more pronounced effect. When the pH was decreased from 10 to 2, the zeta potential of the droplets was reduced, but the droplet size of emulsions prepared from either gum was increased. Increasing temperature from 25 to 90°C produced no significant (p value &gt;0.9999) change in droplet size. These findings suggest that MA gum is a capable emulsifying agent at 15%w/v.","container-title":"Scientifica","DOI":"10.1155/2024/3308441","ISSN":"2090-908X","issue":"1","language":"en","note":"_eprint: https://onlinelibrary.wiley.com/doi/pdf/10.1155/2024/3308441","page":"3308441","source":"Wiley Online Library","title":"Physicochemical and Emulsifying Properties of Melia azedarach Gum","volume":"2024","author":[{"family":"Asamoa Mensa","given":"Kofi Acheampong"},{"family":"Kuntworbe","given":"Noble"},{"family":"Osei","given":"Yaa Asantewaa"},{"family":"El Boakye-Gyasi","given":"Mariam"},{"family":"Owusu","given":"Frederick William Akuffo"},{"family":"Obeng","given":"Lawrence Michael"},{"family":"Antwi","given":"Osei-Asibey"},{"family":"Adoley","given":"Winifred Naa"},{"family":"Ofori-Kwakye","given":"Kwabena"}],"issued":{"date-parts":[["2024"]]}}}],"schema":"https://github.com/citation-style-language/schema/raw/master/csl-citation.json"} </w:instrText>
      </w:r>
      <w:r w:rsidRPr="00CA54AA">
        <w:rPr>
          <w:rFonts w:ascii="Arial" w:hAnsi="Arial" w:cs="Arial"/>
        </w:rPr>
        <w:fldChar w:fldCharType="separate"/>
      </w:r>
      <w:r w:rsidRPr="00CA54AA">
        <w:rPr>
          <w:rFonts w:ascii="Arial" w:hAnsi="Arial" w:cs="Arial"/>
        </w:rPr>
        <w:t>(Asamoa Mensa et al.</w:t>
      </w:r>
      <w:r w:rsidR="00367C50">
        <w:rPr>
          <w:rFonts w:ascii="Arial" w:hAnsi="Arial" w:cs="Arial"/>
        </w:rPr>
        <w:t>,</w:t>
      </w:r>
      <w:r w:rsidRPr="00CA54AA">
        <w:rPr>
          <w:rFonts w:ascii="Arial" w:hAnsi="Arial" w:cs="Arial"/>
        </w:rPr>
        <w:t xml:space="preserve"> 2024)</w:t>
      </w:r>
      <w:r w:rsidRPr="00CA54AA">
        <w:rPr>
          <w:rFonts w:ascii="Arial" w:hAnsi="Arial" w:cs="Arial"/>
        </w:rPr>
        <w:fldChar w:fldCharType="end"/>
      </w:r>
      <w:r w:rsidRPr="00CA54AA">
        <w:rPr>
          <w:rFonts w:ascii="Arial" w:hAnsi="Arial" w:cs="Arial"/>
        </w:rPr>
        <w:t>. The results of the carbohydrate profiling by high performance liquid chromatography show that these cashew gums contain the neutral saccharides galactose (33.22- 70.57%), and arabinose (10. 90-14%), glucose (7.82-11.77%), rhamnose (3.39-8.80%), mannose (0.96-1.289%) and xylose (0.76-0.96%) with galacturonic acid (0.82-1.25%), and glucuronic acid (2.28-3.72%). The results of the analysis of variance (ANOVA) show a statistically significant effect</w:t>
      </w:r>
      <w:r w:rsidR="005572BE">
        <w:rPr>
          <w:rFonts w:ascii="Arial" w:hAnsi="Arial" w:cs="Arial"/>
        </w:rPr>
        <w:t xml:space="preserve"> </w:t>
      </w:r>
      <w:r w:rsidR="005572BE" w:rsidRPr="00BF41D5">
        <w:rPr>
          <w:rFonts w:ascii="Arial" w:hAnsi="Arial" w:cs="Arial"/>
          <w:i/>
          <w:iCs/>
          <w:szCs w:val="16"/>
        </w:rPr>
        <w:t>(P = .05)</w:t>
      </w:r>
      <w:r w:rsidR="005572BE" w:rsidRPr="00AB6B17">
        <w:t xml:space="preserve"> </w:t>
      </w:r>
      <w:r w:rsidRPr="00CA54AA">
        <w:rPr>
          <w:rFonts w:ascii="Arial" w:hAnsi="Arial" w:cs="Arial"/>
        </w:rPr>
        <w:t xml:space="preserve">of the purification methods on both the total carbohydrate and monosaccharide composition of cashew gums. This monosaccharide composition influences the structure and degree of branching. This would affect the </w:t>
      </w:r>
      <w:proofErr w:type="spellStart"/>
      <w:r w:rsidRPr="00CA54AA">
        <w:rPr>
          <w:rFonts w:ascii="Arial" w:hAnsi="Arial" w:cs="Arial"/>
        </w:rPr>
        <w:t>physico</w:t>
      </w:r>
      <w:proofErr w:type="spellEnd"/>
      <w:r w:rsidRPr="00CA54AA">
        <w:rPr>
          <w:rFonts w:ascii="Arial" w:hAnsi="Arial" w:cs="Arial"/>
        </w:rPr>
        <w:t>-chemical properties of the gum. such as its solubility and thickening</w:t>
      </w:r>
      <w:r>
        <w:rPr>
          <w:rFonts w:ascii="Arial" w:hAnsi="Arial" w:cs="Arial"/>
        </w:rPr>
        <w:t xml:space="preserve"> </w:t>
      </w:r>
      <w:r w:rsidRPr="00B06318">
        <w:t>ability</w:t>
      </w:r>
      <w:r>
        <w:t xml:space="preserve"> </w:t>
      </w:r>
      <w:r>
        <w:fldChar w:fldCharType="begin"/>
      </w:r>
      <w:r w:rsidR="00D9455A">
        <w:instrText xml:space="preserve"> ADDIN ZOTERO_ITEM CSL_CITATION {"citationID":"aDqVYgx4","properties":{"formattedCitation":"(Hamdani et al., 2019)","plainCitation":"(Hamdani et al., 2019)","dontUpdate":true,"noteIndex":0},"citationItems":[{"id":"wp0Dc69N/VcuF1P1u","uris":["http://zotero.org/users/8588538/items/X86UPKK6"],"itemData":{"id":1170,"type":"article-journal","abstract":"This article has been developed with the aim of reviewing the different sources, structure, extraction, composition, properties and health benefits of plant gums. Gums are known for their multifarious uses in food industries like bakery, meat, fruit and vegetable. Those obtained from different sources exhibit differences in their chemistry. All have a rich nutritional profile and require different methods for extraction/purification. Most studies reveal fair flow characteristics of plant gums. The X-ray diffraction studies and scanning electron micrographs confer their amorphous nature. General appearance of plant gums varies from yellow–cream to whitish in color. Water absorption and swelling are two essential physicochemical properties of the plant gums owing to their hydrophilic nature. In spite of hydrophilicity, plant gums exhibit significant interfacial properties like emulsifying and foaming. Aqueous plant gum dispersions are acidic in nature and show great variations in their rheological behaviour. Thermal properties (DSC) of the plant gums reveal endothermic as well as exothermic transitions. Many gums obtained from botanical sources have proven health promoting benefits.","container-title":"International Journal of Biological Macromolecules","DOI":"10.1016/j.ijbiomac.2019.05.103","ISSN":"0141-8130","journalAbbreviation":"International Journal of Biological Macromolecules","page":"46-61","source":"ScienceDirect","title":"Sources, structure, properties and health benefits of plant gums: A review","title-short":"Sources, structure, properties and health benefits of plant gums","volume":"135","author":[{"family":"Hamdani","given":"Afshan Mumtaz"},{"family":"Wani","given":"Idrees Ahmed"},{"family":"Bhat","given":"Naseer Ahmad"}],"issued":{"date-parts":[["2019",8,15]]}}}],"schema":"https://github.com/citation-style-language/schema/raw/master/csl-citation.json"} </w:instrText>
      </w:r>
      <w:r>
        <w:fldChar w:fldCharType="separate"/>
      </w:r>
      <w:r w:rsidRPr="00DF4F5C">
        <w:t>(Hamdani et al.</w:t>
      </w:r>
      <w:r w:rsidR="00367C50">
        <w:t>,</w:t>
      </w:r>
      <w:r w:rsidRPr="00DF4F5C">
        <w:t xml:space="preserve"> 2019)</w:t>
      </w:r>
      <w:r>
        <w:fldChar w:fldCharType="end"/>
      </w:r>
      <w:r w:rsidRPr="00DF4F5C">
        <w:t>.</w:t>
      </w:r>
      <w:r w:rsidRPr="00B20390">
        <w:t xml:space="preserve"> </w:t>
      </w:r>
      <w:r w:rsidRPr="00B06318">
        <w:t>This study also showed a statistically significant decrease</w:t>
      </w:r>
      <w:r w:rsidR="00BF41D5">
        <w:t xml:space="preserve"> </w:t>
      </w:r>
      <w:r w:rsidR="00BF41D5" w:rsidRPr="00BF41D5">
        <w:rPr>
          <w:rFonts w:ascii="Arial" w:hAnsi="Arial" w:cs="Arial"/>
          <w:i/>
          <w:iCs/>
          <w:szCs w:val="16"/>
        </w:rPr>
        <w:t>(P = .05)</w:t>
      </w:r>
      <w:r w:rsidR="00BF41D5" w:rsidRPr="00EF4194">
        <w:rPr>
          <w:rFonts w:ascii="Arial" w:hAnsi="Arial" w:cs="Arial"/>
          <w:szCs w:val="16"/>
        </w:rPr>
        <w:t xml:space="preserve"> </w:t>
      </w:r>
      <w:r w:rsidRPr="00B06318">
        <w:t>in the monosaccharide content of all chewing gum samples after purification</w:t>
      </w:r>
      <w:r>
        <w:t>.</w:t>
      </w:r>
      <w:r w:rsidRPr="00B06318">
        <w:t xml:space="preserve"> except for galactose</w:t>
      </w:r>
      <w:r>
        <w:t>.</w:t>
      </w:r>
      <w:r w:rsidRPr="00B06318">
        <w:t xml:space="preserve"> which showed an increase. Previous authors reported that galactose (predominant)</w:t>
      </w:r>
      <w:r>
        <w:t>.</w:t>
      </w:r>
      <w:r w:rsidRPr="00B06318">
        <w:t xml:space="preserve"> arabinose</w:t>
      </w:r>
      <w:r>
        <w:t>.</w:t>
      </w:r>
      <w:r w:rsidRPr="00B06318">
        <w:t xml:space="preserve"> mannose and xylose are the major sugar components of cashew gum</w:t>
      </w:r>
      <w:r>
        <w:t>.</w:t>
      </w:r>
      <w:r w:rsidRPr="00B06318">
        <w:t xml:space="preserve"> with </w:t>
      </w:r>
      <w:r w:rsidRPr="00B06318">
        <w:lastRenderedPageBreak/>
        <w:t>glucuronic acid and</w:t>
      </w:r>
      <w:r>
        <w:t xml:space="preserve"> </w:t>
      </w:r>
      <w:r w:rsidRPr="00B06318">
        <w:t>galacturonic acid as minor components</w:t>
      </w:r>
      <w:r>
        <w:t xml:space="preserve"> </w:t>
      </w:r>
      <w:r>
        <w:fldChar w:fldCharType="begin"/>
      </w:r>
      <w:r w:rsidR="00D9455A">
        <w:instrText xml:space="preserve"> ADDIN ZOTERO_ITEM CSL_CITATION {"citationID":"OUPk5eaf","properties":{"formattedCitation":"(Amaral et al., 2022)","plainCitation":"(Amaral et al., 2022)","dontUpdate":true,"noteIndex":0},"citationItems":[{"id":"wp0Dc69N/5Z8HREHu","uris":["http://zotero.org/users/local/2JspP3fw/items/HQ7CFC7H"],"itemData":{"id":"AcqFBkR6/MXaQ7D0c","type":"article-journal","abstract":"Natural polysaccharides are structures composed of highly diversified biological macromolecules whose properties have been exploited by a diversity of industries. Until 2018, the polysaccharides market raised more than US $ 12 billion worldwide, while an annual growth forecast of 4.8% is expected by 2026. The food industry is largely responsible for the consumption of this plant-source material, produced by microbiological fermentation. Among the used polysaccharides, gums are hydrocolloids obtained from a variety of sources and in different forms, being composed of salts of calcium, potassium, magnesium and sugar monomers. Their non-toxicity, hydrophilicity, viscosity, biodegradability, biocompatibility and sustainable production are among their main advantages. Although Brazil is amongst the largest producers of cashew gum, reaching 50 tons per year, the polysaccharide is not being used to its full potential, in particular, with regard to its uses in pharmaceuticals. Cashew gum (CG), obtained from Anacardium occidentale L., caught the attention of the industry only in 1970; in 1990, its production started to grow. Within the Brazilian academy, the groups from the Federal University of Ceará and Piauí are devoting the most efforts to the study of cashew gum, with a total of 31 articles already published. The number of patents in the country for innovations containing cashew tree gum has reached 14, including the technological process for the purification of cashew tree gum, comparison of physical and chemical methods for physicochemical characterizations, and optimum purification methodology. This scenario opens a range of opportunities for the use of cashew gum, mainly in the development of new pharmaceutical products, with a special interest in nanoparticles.","container-title":"Micromachines","DOI":"10.3390/mi13071137","ISSN":"2072-666X","issue":"7","journalAbbreviation":"Micromachines (Basel)","note":"PMID: 35888956\nPMCID: PMC9315767","page":"1137","source":"PubMed Central","title":"Cashew Gum: A Review of Brazilian Patents and Pharmaceutical Applications with a Special Focus on Nanoparticles","title-short":"Cashew Gum","volume":"13","author":[{"family":"Amaral","given":"Ricardo G."},{"family":"Andrade","given":"Lucas R. Melo","non-dropping-particle":"de"},{"family":"Andrade","given":"Luciana N."},{"family":"Loureiro","given":"Kahynna C."},{"family":"Souto","given":"Eliana B."},{"family":"Severino","given":"Patrícia"}],"issued":{"date-parts":[["2022",7,18]]}}}],"schema":"https://github.com/citation-style-language/schema/raw/master/csl-citation.json"} </w:instrText>
      </w:r>
      <w:r>
        <w:fldChar w:fldCharType="separate"/>
      </w:r>
      <w:r w:rsidRPr="00DC66FA">
        <w:t>(Amaral et al.</w:t>
      </w:r>
      <w:r w:rsidR="00367C50">
        <w:t>,</w:t>
      </w:r>
      <w:r w:rsidRPr="00DC66FA">
        <w:t xml:space="preserve"> 2022)</w:t>
      </w:r>
      <w:r>
        <w:fldChar w:fldCharType="end"/>
      </w:r>
      <w:r w:rsidRPr="004B4593">
        <w:t>.</w:t>
      </w:r>
      <w:r>
        <w:t xml:space="preserve"> </w:t>
      </w:r>
      <w:r w:rsidRPr="00B06318">
        <w:t xml:space="preserve">The cashew gum monosaccharide and total </w:t>
      </w:r>
      <w:proofErr w:type="spellStart"/>
      <w:r w:rsidRPr="00B06318">
        <w:t>uronic</w:t>
      </w:r>
      <w:proofErr w:type="spellEnd"/>
      <w:r w:rsidRPr="00B06318">
        <w:t xml:space="preserve"> acids give the gum a polyelectrolyte character which can interact</w:t>
      </w:r>
      <w:r>
        <w:t xml:space="preserve"> </w:t>
      </w:r>
      <w:r w:rsidRPr="00B06318">
        <w:t>with the salt in the food and modify its physiological properties</w:t>
      </w:r>
      <w:r>
        <w:t>.</w:t>
      </w:r>
      <w:r w:rsidRPr="007C6EB7">
        <w:t xml:space="preserve"> </w:t>
      </w:r>
      <w:r w:rsidRPr="00B06318">
        <w:t>It is therefore necessary to determine the salt dependency of the purified gum</w:t>
      </w:r>
      <w:r>
        <w:t>.</w:t>
      </w:r>
    </w:p>
    <w:p w14:paraId="43EC1128" w14:textId="77777777" w:rsidR="00CA54AA" w:rsidRPr="00367C50" w:rsidRDefault="00CA54AA" w:rsidP="00CA54AA">
      <w:pPr>
        <w:pStyle w:val="Caption"/>
        <w:keepNext/>
        <w:jc w:val="center"/>
        <w:rPr>
          <w:rFonts w:ascii="Arial" w:hAnsi="Arial" w:cs="Arial"/>
          <w:b/>
          <w:bCs/>
          <w:i w:val="0"/>
          <w:iCs w:val="0"/>
          <w:sz w:val="20"/>
          <w:szCs w:val="20"/>
        </w:rPr>
      </w:pPr>
      <w:r w:rsidRPr="00367C50">
        <w:rPr>
          <w:rFonts w:ascii="Arial" w:hAnsi="Arial" w:cs="Arial"/>
          <w:b/>
          <w:bCs/>
          <w:i w:val="0"/>
          <w:iCs w:val="0"/>
          <w:sz w:val="20"/>
          <w:szCs w:val="20"/>
        </w:rPr>
        <w:t xml:space="preserve">Table </w:t>
      </w:r>
      <w:r w:rsidRPr="00367C50">
        <w:rPr>
          <w:rFonts w:ascii="Arial" w:hAnsi="Arial" w:cs="Arial"/>
          <w:b/>
          <w:bCs/>
          <w:i w:val="0"/>
          <w:iCs w:val="0"/>
          <w:sz w:val="20"/>
          <w:szCs w:val="20"/>
        </w:rPr>
        <w:fldChar w:fldCharType="begin"/>
      </w:r>
      <w:r w:rsidRPr="00367C50">
        <w:rPr>
          <w:rFonts w:ascii="Arial" w:hAnsi="Arial" w:cs="Arial"/>
          <w:b/>
          <w:bCs/>
          <w:i w:val="0"/>
          <w:iCs w:val="0"/>
          <w:sz w:val="20"/>
          <w:szCs w:val="20"/>
        </w:rPr>
        <w:instrText xml:space="preserve"> SEQ Table \* ARABIC </w:instrText>
      </w:r>
      <w:r w:rsidRPr="00367C50">
        <w:rPr>
          <w:rFonts w:ascii="Arial" w:hAnsi="Arial" w:cs="Arial"/>
          <w:b/>
          <w:bCs/>
          <w:i w:val="0"/>
          <w:iCs w:val="0"/>
          <w:sz w:val="20"/>
          <w:szCs w:val="20"/>
        </w:rPr>
        <w:fldChar w:fldCharType="separate"/>
      </w:r>
      <w:r w:rsidRPr="00367C50">
        <w:rPr>
          <w:rFonts w:ascii="Arial" w:hAnsi="Arial" w:cs="Arial"/>
          <w:b/>
          <w:bCs/>
          <w:i w:val="0"/>
          <w:iCs w:val="0"/>
          <w:noProof/>
          <w:sz w:val="20"/>
          <w:szCs w:val="20"/>
        </w:rPr>
        <w:t>2</w:t>
      </w:r>
      <w:r w:rsidRPr="00367C50">
        <w:rPr>
          <w:rFonts w:ascii="Arial" w:hAnsi="Arial" w:cs="Arial"/>
          <w:b/>
          <w:bCs/>
          <w:i w:val="0"/>
          <w:iCs w:val="0"/>
          <w:sz w:val="20"/>
          <w:szCs w:val="20"/>
        </w:rPr>
        <w:fldChar w:fldCharType="end"/>
      </w:r>
      <w:r w:rsidRPr="00367C50">
        <w:rPr>
          <w:rFonts w:ascii="Arial" w:hAnsi="Arial" w:cs="Arial"/>
          <w:b/>
          <w:bCs/>
          <w:i w:val="0"/>
          <w:iCs w:val="0"/>
          <w:sz w:val="20"/>
          <w:szCs w:val="20"/>
        </w:rPr>
        <w:t>: Carbohydrates and monosaccharides composition of gum</w:t>
      </w:r>
    </w:p>
    <w:tbl>
      <w:tblPr>
        <w:tblStyle w:val="TableGrid"/>
        <w:tblW w:w="9557"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85"/>
        <w:gridCol w:w="1559"/>
        <w:gridCol w:w="1487"/>
        <w:gridCol w:w="1559"/>
        <w:gridCol w:w="1559"/>
        <w:gridCol w:w="1408"/>
      </w:tblGrid>
      <w:tr w:rsidR="00CA54AA" w:rsidRPr="00CA54AA" w14:paraId="32D54DE6" w14:textId="77777777" w:rsidTr="00367C50">
        <w:trPr>
          <w:jc w:val="center"/>
        </w:trPr>
        <w:tc>
          <w:tcPr>
            <w:tcW w:w="1985" w:type="dxa"/>
            <w:vMerge w:val="restart"/>
            <w:vAlign w:val="center"/>
          </w:tcPr>
          <w:p w14:paraId="525AFB7B" w14:textId="59FC5F2B" w:rsidR="00F464E8" w:rsidRPr="00CA54AA" w:rsidRDefault="00F464E8" w:rsidP="00F464E8">
            <w:pPr>
              <w:pStyle w:val="Contenudetableau"/>
              <w:jc w:val="center"/>
              <w:rPr>
                <w:rFonts w:ascii="Arial" w:hAnsi="Arial" w:cs="Arial"/>
                <w:b/>
                <w:bCs/>
                <w:sz w:val="20"/>
                <w:szCs w:val="20"/>
              </w:rPr>
            </w:pPr>
            <w:r>
              <w:rPr>
                <w:rFonts w:ascii="Arial" w:hAnsi="Arial" w:cs="Arial"/>
                <w:b/>
                <w:bCs/>
                <w:sz w:val="20"/>
                <w:szCs w:val="20"/>
              </w:rPr>
              <w:t>Sugar (</w:t>
            </w:r>
            <w:r w:rsidRPr="00CA54AA">
              <w:rPr>
                <w:rFonts w:ascii="Arial" w:hAnsi="Arial" w:cs="Arial"/>
              </w:rPr>
              <w:t>%</w:t>
            </w:r>
            <w:r>
              <w:rPr>
                <w:rFonts w:ascii="Arial" w:hAnsi="Arial" w:cs="Arial"/>
                <w:b/>
                <w:bCs/>
                <w:sz w:val="20"/>
                <w:szCs w:val="20"/>
              </w:rPr>
              <w:t>)</w:t>
            </w:r>
          </w:p>
        </w:tc>
        <w:tc>
          <w:tcPr>
            <w:tcW w:w="7572" w:type="dxa"/>
            <w:gridSpan w:val="5"/>
            <w:tcBorders>
              <w:bottom w:val="single" w:sz="12" w:space="0" w:color="auto"/>
            </w:tcBorders>
            <w:vAlign w:val="center"/>
          </w:tcPr>
          <w:p w14:paraId="076E7042" w14:textId="77777777" w:rsidR="00CA54AA" w:rsidRPr="00CA54AA" w:rsidRDefault="00CA54AA" w:rsidP="00F464E8">
            <w:pPr>
              <w:pStyle w:val="Contenudetableau"/>
              <w:jc w:val="center"/>
              <w:rPr>
                <w:rFonts w:ascii="Arial" w:hAnsi="Arial" w:cs="Arial"/>
                <w:b/>
                <w:bCs/>
                <w:sz w:val="20"/>
                <w:szCs w:val="20"/>
              </w:rPr>
            </w:pPr>
            <w:r w:rsidRPr="00CA54AA">
              <w:rPr>
                <w:rFonts w:ascii="Arial" w:hAnsi="Arial" w:cs="Arial"/>
                <w:b/>
                <w:bCs/>
                <w:sz w:val="20"/>
                <w:szCs w:val="20"/>
              </w:rPr>
              <w:t>Purification methods</w:t>
            </w:r>
          </w:p>
        </w:tc>
      </w:tr>
      <w:tr w:rsidR="00F464E8" w:rsidRPr="00CA54AA" w14:paraId="5BBFED4F" w14:textId="77777777" w:rsidTr="00367C50">
        <w:trPr>
          <w:jc w:val="center"/>
        </w:trPr>
        <w:tc>
          <w:tcPr>
            <w:tcW w:w="1985" w:type="dxa"/>
            <w:vMerge/>
            <w:tcBorders>
              <w:bottom w:val="single" w:sz="12" w:space="0" w:color="auto"/>
            </w:tcBorders>
            <w:vAlign w:val="center"/>
          </w:tcPr>
          <w:p w14:paraId="3C1A33B1" w14:textId="77777777" w:rsidR="00F464E8" w:rsidRPr="00CA54AA" w:rsidRDefault="00F464E8" w:rsidP="00F464E8">
            <w:pPr>
              <w:pStyle w:val="Contenudetableau"/>
              <w:jc w:val="center"/>
              <w:rPr>
                <w:rFonts w:ascii="Arial" w:hAnsi="Arial" w:cs="Arial"/>
                <w:b/>
                <w:bCs/>
                <w:sz w:val="20"/>
                <w:szCs w:val="20"/>
              </w:rPr>
            </w:pPr>
          </w:p>
        </w:tc>
        <w:tc>
          <w:tcPr>
            <w:tcW w:w="1559" w:type="dxa"/>
            <w:tcBorders>
              <w:top w:val="single" w:sz="12" w:space="0" w:color="auto"/>
              <w:bottom w:val="single" w:sz="12" w:space="0" w:color="auto"/>
            </w:tcBorders>
            <w:vAlign w:val="center"/>
          </w:tcPr>
          <w:p w14:paraId="543DDD8C" w14:textId="41780FFD" w:rsidR="00F464E8" w:rsidRPr="00CA54AA" w:rsidRDefault="00F464E8" w:rsidP="00F464E8">
            <w:pPr>
              <w:pStyle w:val="Contenudetableau"/>
              <w:jc w:val="center"/>
              <w:rPr>
                <w:rFonts w:ascii="Arial" w:hAnsi="Arial" w:cs="Arial"/>
                <w:b/>
                <w:bCs/>
                <w:sz w:val="20"/>
                <w:szCs w:val="20"/>
              </w:rPr>
            </w:pPr>
            <w:r w:rsidRPr="00CA54AA">
              <w:rPr>
                <w:rFonts w:ascii="Arial" w:hAnsi="Arial" w:cs="Arial"/>
                <w:b/>
                <w:sz w:val="20"/>
                <w:szCs w:val="20"/>
              </w:rPr>
              <w:t>Raw</w:t>
            </w:r>
            <w:r>
              <w:rPr>
                <w:rFonts w:ascii="Arial" w:hAnsi="Arial" w:cs="Arial"/>
                <w:b/>
                <w:sz w:val="20"/>
                <w:szCs w:val="20"/>
              </w:rPr>
              <w:t xml:space="preserve"> gum</w:t>
            </w:r>
          </w:p>
        </w:tc>
        <w:tc>
          <w:tcPr>
            <w:tcW w:w="1487" w:type="dxa"/>
            <w:tcBorders>
              <w:top w:val="single" w:sz="12" w:space="0" w:color="auto"/>
              <w:bottom w:val="single" w:sz="12" w:space="0" w:color="auto"/>
            </w:tcBorders>
            <w:vAlign w:val="center"/>
          </w:tcPr>
          <w:p w14:paraId="6469324D" w14:textId="3E4E132B" w:rsidR="00F464E8" w:rsidRPr="00CA54AA" w:rsidRDefault="00F464E8" w:rsidP="00F464E8">
            <w:pPr>
              <w:pStyle w:val="Contenudetableau"/>
              <w:jc w:val="center"/>
              <w:rPr>
                <w:rFonts w:ascii="Arial" w:hAnsi="Arial" w:cs="Arial"/>
                <w:b/>
                <w:bCs/>
                <w:sz w:val="20"/>
                <w:szCs w:val="20"/>
              </w:rPr>
            </w:pPr>
            <w:r w:rsidRPr="00F464E8">
              <w:rPr>
                <w:rFonts w:ascii="Arial" w:hAnsi="Arial" w:cs="Arial"/>
                <w:b/>
                <w:bCs/>
                <w:iCs/>
                <w:sz w:val="20"/>
                <w:szCs w:val="24"/>
              </w:rPr>
              <w:t>Ethanol purification</w:t>
            </w:r>
          </w:p>
        </w:tc>
        <w:tc>
          <w:tcPr>
            <w:tcW w:w="1559" w:type="dxa"/>
            <w:tcBorders>
              <w:top w:val="single" w:sz="12" w:space="0" w:color="auto"/>
              <w:bottom w:val="single" w:sz="12" w:space="0" w:color="auto"/>
            </w:tcBorders>
            <w:vAlign w:val="center"/>
          </w:tcPr>
          <w:p w14:paraId="32BBAA23" w14:textId="6A10C831" w:rsidR="00F464E8" w:rsidRPr="00CA54AA" w:rsidRDefault="00166FDC" w:rsidP="00F464E8">
            <w:pPr>
              <w:pStyle w:val="Contenudetableau"/>
              <w:jc w:val="center"/>
              <w:rPr>
                <w:rFonts w:ascii="Arial" w:hAnsi="Arial" w:cs="Arial"/>
                <w:b/>
                <w:bCs/>
                <w:sz w:val="20"/>
                <w:szCs w:val="20"/>
              </w:rPr>
            </w:pPr>
            <w:r>
              <w:rPr>
                <w:rFonts w:ascii="Arial" w:hAnsi="Arial" w:cs="Arial"/>
                <w:b/>
                <w:sz w:val="20"/>
                <w:szCs w:val="20"/>
              </w:rPr>
              <w:t>I</w:t>
            </w:r>
            <w:r w:rsidR="00F464E8" w:rsidRPr="00F464E8">
              <w:rPr>
                <w:rFonts w:ascii="Arial" w:hAnsi="Arial" w:cs="Arial"/>
                <w:b/>
                <w:sz w:val="20"/>
                <w:szCs w:val="20"/>
              </w:rPr>
              <w:t>sopropanol purification</w:t>
            </w:r>
          </w:p>
        </w:tc>
        <w:tc>
          <w:tcPr>
            <w:tcW w:w="1559" w:type="dxa"/>
            <w:tcBorders>
              <w:top w:val="single" w:sz="12" w:space="0" w:color="auto"/>
              <w:bottom w:val="single" w:sz="12" w:space="0" w:color="auto"/>
            </w:tcBorders>
            <w:vAlign w:val="center"/>
          </w:tcPr>
          <w:p w14:paraId="647AC559" w14:textId="4FA58846" w:rsidR="00F464E8" w:rsidRPr="00CA54AA" w:rsidRDefault="00F464E8" w:rsidP="00F464E8">
            <w:pPr>
              <w:pStyle w:val="Contenudetableau"/>
              <w:jc w:val="center"/>
              <w:rPr>
                <w:rFonts w:ascii="Arial" w:hAnsi="Arial" w:cs="Arial"/>
                <w:b/>
                <w:bCs/>
                <w:sz w:val="20"/>
                <w:szCs w:val="20"/>
              </w:rPr>
            </w:pPr>
            <w:r>
              <w:rPr>
                <w:rFonts w:ascii="Arial" w:hAnsi="Arial" w:cs="Arial"/>
                <w:b/>
                <w:sz w:val="20"/>
                <w:szCs w:val="20"/>
              </w:rPr>
              <w:t>E</w:t>
            </w:r>
            <w:r w:rsidRPr="00F464E8">
              <w:rPr>
                <w:rFonts w:ascii="Arial" w:hAnsi="Arial" w:cs="Arial"/>
                <w:b/>
                <w:sz w:val="20"/>
                <w:szCs w:val="20"/>
              </w:rPr>
              <w:t>thanol and isopropanol purification</w:t>
            </w:r>
          </w:p>
        </w:tc>
        <w:tc>
          <w:tcPr>
            <w:tcW w:w="1408" w:type="dxa"/>
            <w:tcBorders>
              <w:top w:val="single" w:sz="12" w:space="0" w:color="auto"/>
              <w:bottom w:val="single" w:sz="12" w:space="0" w:color="auto"/>
            </w:tcBorders>
            <w:vAlign w:val="center"/>
          </w:tcPr>
          <w:p w14:paraId="54F1CFDB" w14:textId="1F968ED8" w:rsidR="00F464E8" w:rsidRPr="00CA54AA" w:rsidRDefault="00F464E8" w:rsidP="00F464E8">
            <w:pPr>
              <w:pStyle w:val="Contenudetableau"/>
              <w:jc w:val="center"/>
              <w:rPr>
                <w:rFonts w:ascii="Arial" w:hAnsi="Arial" w:cs="Arial"/>
                <w:b/>
                <w:bCs/>
                <w:sz w:val="20"/>
                <w:szCs w:val="20"/>
              </w:rPr>
            </w:pPr>
            <w:r w:rsidRPr="00F464E8">
              <w:rPr>
                <w:rFonts w:ascii="Arial" w:hAnsi="Arial" w:cs="Arial"/>
                <w:b/>
                <w:sz w:val="20"/>
                <w:szCs w:val="20"/>
              </w:rPr>
              <w:t>Fehling's solution purification</w:t>
            </w:r>
          </w:p>
        </w:tc>
      </w:tr>
      <w:tr w:rsidR="00CA54AA" w:rsidRPr="00CA54AA" w14:paraId="78813157" w14:textId="77777777" w:rsidTr="00367C50">
        <w:trPr>
          <w:jc w:val="center"/>
        </w:trPr>
        <w:tc>
          <w:tcPr>
            <w:tcW w:w="1985" w:type="dxa"/>
            <w:tcBorders>
              <w:top w:val="single" w:sz="12" w:space="0" w:color="auto"/>
              <w:bottom w:val="nil"/>
            </w:tcBorders>
          </w:tcPr>
          <w:p w14:paraId="6CFFC6FD" w14:textId="7BC337AD" w:rsidR="00CA54AA" w:rsidRPr="00CA54AA" w:rsidRDefault="00166FDC" w:rsidP="00B07693">
            <w:pPr>
              <w:pStyle w:val="Contenudetableau"/>
              <w:rPr>
                <w:rFonts w:ascii="Arial" w:hAnsi="Arial" w:cs="Arial"/>
                <w:b/>
                <w:bCs/>
                <w:sz w:val="20"/>
                <w:szCs w:val="20"/>
              </w:rPr>
            </w:pPr>
            <w:r>
              <w:rPr>
                <w:rFonts w:ascii="Arial" w:hAnsi="Arial" w:cs="Arial"/>
                <w:b/>
                <w:bCs/>
                <w:sz w:val="20"/>
                <w:szCs w:val="20"/>
              </w:rPr>
              <w:t>Total c</w:t>
            </w:r>
            <w:r w:rsidR="00CA54AA" w:rsidRPr="00CA54AA">
              <w:rPr>
                <w:rFonts w:ascii="Arial" w:hAnsi="Arial" w:cs="Arial"/>
                <w:b/>
                <w:bCs/>
                <w:sz w:val="20"/>
                <w:szCs w:val="20"/>
              </w:rPr>
              <w:t>arbohydrates</w:t>
            </w:r>
          </w:p>
        </w:tc>
        <w:tc>
          <w:tcPr>
            <w:tcW w:w="1559" w:type="dxa"/>
            <w:tcBorders>
              <w:top w:val="single" w:sz="12" w:space="0" w:color="auto"/>
              <w:bottom w:val="nil"/>
            </w:tcBorders>
          </w:tcPr>
          <w:p w14:paraId="2B81C934"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65.41</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a</w:t>
            </w:r>
          </w:p>
        </w:tc>
        <w:tc>
          <w:tcPr>
            <w:tcW w:w="1487" w:type="dxa"/>
            <w:tcBorders>
              <w:top w:val="single" w:sz="12" w:space="0" w:color="auto"/>
              <w:bottom w:val="nil"/>
            </w:tcBorders>
          </w:tcPr>
          <w:p w14:paraId="2D109BF2"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83.35</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d</w:t>
            </w:r>
          </w:p>
        </w:tc>
        <w:tc>
          <w:tcPr>
            <w:tcW w:w="1559" w:type="dxa"/>
            <w:tcBorders>
              <w:top w:val="single" w:sz="12" w:space="0" w:color="auto"/>
              <w:bottom w:val="nil"/>
            </w:tcBorders>
          </w:tcPr>
          <w:p w14:paraId="713B5466"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79.50</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 xml:space="preserve"> b</w:t>
            </w:r>
          </w:p>
        </w:tc>
        <w:tc>
          <w:tcPr>
            <w:tcW w:w="1559" w:type="dxa"/>
            <w:tcBorders>
              <w:top w:val="single" w:sz="12" w:space="0" w:color="auto"/>
              <w:bottom w:val="nil"/>
            </w:tcBorders>
          </w:tcPr>
          <w:p w14:paraId="0C21C3D2"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80.14</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c</w:t>
            </w:r>
          </w:p>
        </w:tc>
        <w:tc>
          <w:tcPr>
            <w:tcW w:w="1408" w:type="dxa"/>
            <w:tcBorders>
              <w:top w:val="single" w:sz="12" w:space="0" w:color="auto"/>
              <w:bottom w:val="nil"/>
            </w:tcBorders>
          </w:tcPr>
          <w:p w14:paraId="0661FF06"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85.14</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e</w:t>
            </w:r>
          </w:p>
        </w:tc>
      </w:tr>
      <w:tr w:rsidR="00CA54AA" w:rsidRPr="00CA54AA" w14:paraId="5C6942B4" w14:textId="77777777" w:rsidTr="00367C50">
        <w:trPr>
          <w:jc w:val="center"/>
        </w:trPr>
        <w:tc>
          <w:tcPr>
            <w:tcW w:w="1985" w:type="dxa"/>
            <w:tcBorders>
              <w:top w:val="nil"/>
            </w:tcBorders>
          </w:tcPr>
          <w:p w14:paraId="0F4EBE3C"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Galactose</w:t>
            </w:r>
          </w:p>
        </w:tc>
        <w:tc>
          <w:tcPr>
            <w:tcW w:w="1559" w:type="dxa"/>
            <w:tcBorders>
              <w:top w:val="nil"/>
            </w:tcBorders>
          </w:tcPr>
          <w:p w14:paraId="5AE4BF5D"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33.22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a</w:t>
            </w:r>
          </w:p>
        </w:tc>
        <w:tc>
          <w:tcPr>
            <w:tcW w:w="1487" w:type="dxa"/>
            <w:tcBorders>
              <w:top w:val="nil"/>
            </w:tcBorders>
          </w:tcPr>
          <w:p w14:paraId="148E3C23"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59.46</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559" w:type="dxa"/>
            <w:tcBorders>
              <w:top w:val="nil"/>
            </w:tcBorders>
          </w:tcPr>
          <w:p w14:paraId="2FA5CD07"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54.61</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b</w:t>
            </w:r>
          </w:p>
        </w:tc>
        <w:tc>
          <w:tcPr>
            <w:tcW w:w="1559" w:type="dxa"/>
            <w:tcBorders>
              <w:top w:val="nil"/>
            </w:tcBorders>
          </w:tcPr>
          <w:p w14:paraId="06B755DF"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64.76</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d</w:t>
            </w:r>
          </w:p>
        </w:tc>
        <w:tc>
          <w:tcPr>
            <w:tcW w:w="1408" w:type="dxa"/>
            <w:tcBorders>
              <w:top w:val="nil"/>
            </w:tcBorders>
          </w:tcPr>
          <w:p w14:paraId="4265F4B3"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70.57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0.04</w:t>
            </w:r>
            <w:r w:rsidRPr="00CA54AA">
              <w:rPr>
                <w:rFonts w:ascii="Arial" w:eastAsia="Times New Roman" w:hAnsi="Arial" w:cs="Arial"/>
                <w:color w:val="000000"/>
                <w:sz w:val="20"/>
                <w:szCs w:val="20"/>
                <w:vertAlign w:val="superscript"/>
                <w:lang w:eastAsia="fr-FR"/>
              </w:rPr>
              <w:t>e</w:t>
            </w:r>
          </w:p>
        </w:tc>
      </w:tr>
      <w:tr w:rsidR="00CA54AA" w:rsidRPr="00CA54AA" w14:paraId="00F5A728" w14:textId="77777777" w:rsidTr="00367C50">
        <w:trPr>
          <w:jc w:val="center"/>
        </w:trPr>
        <w:tc>
          <w:tcPr>
            <w:tcW w:w="1985" w:type="dxa"/>
          </w:tcPr>
          <w:p w14:paraId="4D30DEC3"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Arabinose</w:t>
            </w:r>
          </w:p>
        </w:tc>
        <w:tc>
          <w:tcPr>
            <w:tcW w:w="1559" w:type="dxa"/>
          </w:tcPr>
          <w:p w14:paraId="66DEC3D7"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14.62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e</w:t>
            </w:r>
          </w:p>
        </w:tc>
        <w:tc>
          <w:tcPr>
            <w:tcW w:w="1487" w:type="dxa"/>
          </w:tcPr>
          <w:p w14:paraId="0B0C099E"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11.62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0.03</w:t>
            </w:r>
            <w:r w:rsidRPr="00CA54AA">
              <w:rPr>
                <w:rFonts w:ascii="Arial" w:eastAsia="Times New Roman" w:hAnsi="Arial" w:cs="Arial"/>
                <w:color w:val="000000"/>
                <w:sz w:val="20"/>
                <w:szCs w:val="20"/>
                <w:vertAlign w:val="superscript"/>
                <w:lang w:eastAsia="fr-FR"/>
              </w:rPr>
              <w:t>b</w:t>
            </w:r>
          </w:p>
        </w:tc>
        <w:tc>
          <w:tcPr>
            <w:tcW w:w="1559" w:type="dxa"/>
          </w:tcPr>
          <w:p w14:paraId="67D9A533"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12.47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559" w:type="dxa"/>
          </w:tcPr>
          <w:p w14:paraId="23A37536"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12.97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d</w:t>
            </w:r>
          </w:p>
        </w:tc>
        <w:tc>
          <w:tcPr>
            <w:tcW w:w="1408" w:type="dxa"/>
          </w:tcPr>
          <w:p w14:paraId="50D470BB"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10.90</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a</w:t>
            </w:r>
          </w:p>
        </w:tc>
      </w:tr>
      <w:tr w:rsidR="00CA54AA" w:rsidRPr="00CA54AA" w14:paraId="4EA80510" w14:textId="77777777" w:rsidTr="00367C50">
        <w:trPr>
          <w:jc w:val="center"/>
        </w:trPr>
        <w:tc>
          <w:tcPr>
            <w:tcW w:w="1985" w:type="dxa"/>
          </w:tcPr>
          <w:p w14:paraId="6B1A4840"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Glucose</w:t>
            </w:r>
          </w:p>
        </w:tc>
        <w:tc>
          <w:tcPr>
            <w:tcW w:w="1559" w:type="dxa"/>
          </w:tcPr>
          <w:p w14:paraId="6A52AB38"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11.77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e</w:t>
            </w:r>
          </w:p>
        </w:tc>
        <w:tc>
          <w:tcPr>
            <w:tcW w:w="1487" w:type="dxa"/>
          </w:tcPr>
          <w:p w14:paraId="007F8559"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7.82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0.04</w:t>
            </w:r>
            <w:r w:rsidRPr="00CA54AA">
              <w:rPr>
                <w:rFonts w:ascii="Arial" w:eastAsia="Times New Roman" w:hAnsi="Arial" w:cs="Arial"/>
                <w:color w:val="000000"/>
                <w:sz w:val="20"/>
                <w:szCs w:val="20"/>
                <w:vertAlign w:val="superscript"/>
                <w:lang w:eastAsia="fr-FR"/>
              </w:rPr>
              <w:t>c</w:t>
            </w:r>
          </w:p>
        </w:tc>
        <w:tc>
          <w:tcPr>
            <w:tcW w:w="1559" w:type="dxa"/>
          </w:tcPr>
          <w:p w14:paraId="372B606E"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7.99</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0.05</w:t>
            </w:r>
            <w:r w:rsidRPr="00CA54AA">
              <w:rPr>
                <w:rFonts w:ascii="Arial" w:eastAsia="Times New Roman" w:hAnsi="Arial" w:cs="Arial"/>
                <w:color w:val="000000"/>
                <w:sz w:val="20"/>
                <w:szCs w:val="20"/>
                <w:vertAlign w:val="superscript"/>
                <w:lang w:eastAsia="fr-FR"/>
              </w:rPr>
              <w:t>d</w:t>
            </w:r>
          </w:p>
        </w:tc>
        <w:tc>
          <w:tcPr>
            <w:tcW w:w="1559" w:type="dxa"/>
          </w:tcPr>
          <w:p w14:paraId="161F1F2D"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8.45</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408" w:type="dxa"/>
          </w:tcPr>
          <w:p w14:paraId="42FBBDAA"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8.56</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d</w:t>
            </w:r>
          </w:p>
        </w:tc>
      </w:tr>
      <w:tr w:rsidR="00CA54AA" w:rsidRPr="00CA54AA" w14:paraId="14167145" w14:textId="77777777" w:rsidTr="00367C50">
        <w:trPr>
          <w:jc w:val="center"/>
        </w:trPr>
        <w:tc>
          <w:tcPr>
            <w:tcW w:w="1985" w:type="dxa"/>
          </w:tcPr>
          <w:p w14:paraId="1ED71CA4"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Rhamnose</w:t>
            </w:r>
          </w:p>
        </w:tc>
        <w:tc>
          <w:tcPr>
            <w:tcW w:w="1559" w:type="dxa"/>
          </w:tcPr>
          <w:p w14:paraId="3D7293A6"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8.80</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e</w:t>
            </w:r>
          </w:p>
        </w:tc>
        <w:tc>
          <w:tcPr>
            <w:tcW w:w="1487" w:type="dxa"/>
          </w:tcPr>
          <w:p w14:paraId="6F971980"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4.80</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a</w:t>
            </w:r>
          </w:p>
        </w:tc>
        <w:tc>
          <w:tcPr>
            <w:tcW w:w="1559" w:type="dxa"/>
          </w:tcPr>
          <w:p w14:paraId="12BA274F"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6.75</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559" w:type="dxa"/>
          </w:tcPr>
          <w:p w14:paraId="0A82B315"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4.67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0.00</w:t>
            </w:r>
            <w:r w:rsidRPr="00CA54AA">
              <w:rPr>
                <w:rFonts w:ascii="Arial" w:eastAsia="Times New Roman" w:hAnsi="Arial" w:cs="Arial"/>
                <w:color w:val="000000"/>
                <w:sz w:val="20"/>
                <w:szCs w:val="20"/>
                <w:vertAlign w:val="superscript"/>
                <w:lang w:eastAsia="fr-FR"/>
              </w:rPr>
              <w:t>b</w:t>
            </w:r>
          </w:p>
        </w:tc>
        <w:tc>
          <w:tcPr>
            <w:tcW w:w="1408" w:type="dxa"/>
          </w:tcPr>
          <w:p w14:paraId="531CD4A4"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3.39</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a</w:t>
            </w:r>
          </w:p>
        </w:tc>
      </w:tr>
      <w:tr w:rsidR="00CA54AA" w:rsidRPr="00CA54AA" w14:paraId="2F282657" w14:textId="77777777" w:rsidTr="00367C50">
        <w:trPr>
          <w:jc w:val="center"/>
        </w:trPr>
        <w:tc>
          <w:tcPr>
            <w:tcW w:w="1985" w:type="dxa"/>
          </w:tcPr>
          <w:p w14:paraId="3C0427CD"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Mannose</w:t>
            </w:r>
          </w:p>
        </w:tc>
        <w:tc>
          <w:tcPr>
            <w:tcW w:w="1559" w:type="dxa"/>
          </w:tcPr>
          <w:p w14:paraId="0677C51C"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1.28</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d</w:t>
            </w:r>
          </w:p>
        </w:tc>
        <w:tc>
          <w:tcPr>
            <w:tcW w:w="1487" w:type="dxa"/>
          </w:tcPr>
          <w:p w14:paraId="3BD16A49"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0.89</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0.03</w:t>
            </w:r>
            <w:r w:rsidRPr="00CA54AA">
              <w:rPr>
                <w:rFonts w:ascii="Arial" w:eastAsia="Times New Roman" w:hAnsi="Arial" w:cs="Arial"/>
                <w:color w:val="000000"/>
                <w:sz w:val="20"/>
                <w:szCs w:val="20"/>
                <w:vertAlign w:val="superscript"/>
                <w:lang w:eastAsia="fr-FR"/>
              </w:rPr>
              <w:t>a</w:t>
            </w:r>
          </w:p>
        </w:tc>
        <w:tc>
          <w:tcPr>
            <w:tcW w:w="1559" w:type="dxa"/>
          </w:tcPr>
          <w:p w14:paraId="6BE74550"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1.12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0.04</w:t>
            </w:r>
            <w:r w:rsidRPr="00CA54AA">
              <w:rPr>
                <w:rFonts w:ascii="Arial" w:eastAsia="Times New Roman" w:hAnsi="Arial" w:cs="Arial"/>
                <w:color w:val="000000"/>
                <w:sz w:val="20"/>
                <w:szCs w:val="20"/>
                <w:vertAlign w:val="superscript"/>
                <w:lang w:eastAsia="fr-FR"/>
              </w:rPr>
              <w:t>c</w:t>
            </w:r>
          </w:p>
        </w:tc>
        <w:tc>
          <w:tcPr>
            <w:tcW w:w="1559" w:type="dxa"/>
          </w:tcPr>
          <w:p w14:paraId="225B0341"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1.27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d</w:t>
            </w:r>
          </w:p>
        </w:tc>
        <w:tc>
          <w:tcPr>
            <w:tcW w:w="1408" w:type="dxa"/>
          </w:tcPr>
          <w:p w14:paraId="18988B63"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0.96</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b</w:t>
            </w:r>
          </w:p>
        </w:tc>
      </w:tr>
      <w:tr w:rsidR="00CA54AA" w:rsidRPr="00CA54AA" w14:paraId="3E51F5A5" w14:textId="77777777" w:rsidTr="00367C50">
        <w:trPr>
          <w:jc w:val="center"/>
        </w:trPr>
        <w:tc>
          <w:tcPr>
            <w:tcW w:w="1985" w:type="dxa"/>
          </w:tcPr>
          <w:p w14:paraId="3253951F"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Xylose</w:t>
            </w:r>
          </w:p>
        </w:tc>
        <w:tc>
          <w:tcPr>
            <w:tcW w:w="1559" w:type="dxa"/>
          </w:tcPr>
          <w:p w14:paraId="4B8CA4F8"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0.96</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e</w:t>
            </w:r>
          </w:p>
        </w:tc>
        <w:tc>
          <w:tcPr>
            <w:tcW w:w="1487" w:type="dxa"/>
          </w:tcPr>
          <w:p w14:paraId="6DA1AEB5"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0.73</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a</w:t>
            </w:r>
          </w:p>
        </w:tc>
        <w:tc>
          <w:tcPr>
            <w:tcW w:w="1559" w:type="dxa"/>
          </w:tcPr>
          <w:p w14:paraId="6EB8562E"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559" w:type="dxa"/>
          </w:tcPr>
          <w:p w14:paraId="30CF0970"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0.97</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d</w:t>
            </w:r>
          </w:p>
        </w:tc>
        <w:tc>
          <w:tcPr>
            <w:tcW w:w="1408" w:type="dxa"/>
          </w:tcPr>
          <w:p w14:paraId="11A9E8BB"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0.83</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b</w:t>
            </w:r>
          </w:p>
        </w:tc>
      </w:tr>
      <w:tr w:rsidR="00CA54AA" w:rsidRPr="00CA54AA" w14:paraId="41FCA518" w14:textId="77777777" w:rsidTr="00367C50">
        <w:trPr>
          <w:jc w:val="center"/>
        </w:trPr>
        <w:tc>
          <w:tcPr>
            <w:tcW w:w="1985" w:type="dxa"/>
          </w:tcPr>
          <w:p w14:paraId="69499F1E"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Glucuronic acid</w:t>
            </w:r>
          </w:p>
        </w:tc>
        <w:tc>
          <w:tcPr>
            <w:tcW w:w="1559" w:type="dxa"/>
          </w:tcPr>
          <w:p w14:paraId="486A3C7B"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3.72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487" w:type="dxa"/>
          </w:tcPr>
          <w:p w14:paraId="2E9F1AD1"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2.28</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0.03</w:t>
            </w:r>
            <w:r w:rsidRPr="00CA54AA">
              <w:rPr>
                <w:rFonts w:ascii="Arial" w:eastAsia="Times New Roman" w:hAnsi="Arial" w:cs="Arial"/>
                <w:color w:val="000000"/>
                <w:sz w:val="20"/>
                <w:szCs w:val="20"/>
                <w:vertAlign w:val="superscript"/>
                <w:lang w:eastAsia="fr-FR"/>
              </w:rPr>
              <w:t>b</w:t>
            </w:r>
          </w:p>
        </w:tc>
        <w:tc>
          <w:tcPr>
            <w:tcW w:w="1559" w:type="dxa"/>
          </w:tcPr>
          <w:p w14:paraId="28D49F7D"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2.98</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0.04</w:t>
            </w:r>
            <w:r w:rsidRPr="00CA54AA">
              <w:rPr>
                <w:rFonts w:ascii="Arial" w:eastAsia="Times New Roman" w:hAnsi="Arial" w:cs="Arial"/>
                <w:color w:val="000000"/>
                <w:sz w:val="20"/>
                <w:szCs w:val="20"/>
                <w:vertAlign w:val="superscript"/>
                <w:lang w:eastAsia="fr-FR"/>
              </w:rPr>
              <w:t>b</w:t>
            </w:r>
          </w:p>
        </w:tc>
        <w:tc>
          <w:tcPr>
            <w:tcW w:w="1559" w:type="dxa"/>
          </w:tcPr>
          <w:p w14:paraId="7FF756E6"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3.32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b</w:t>
            </w:r>
          </w:p>
        </w:tc>
        <w:tc>
          <w:tcPr>
            <w:tcW w:w="1408" w:type="dxa"/>
          </w:tcPr>
          <w:p w14:paraId="4ECDA340"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2.55</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0.03</w:t>
            </w:r>
            <w:r w:rsidRPr="00CA54AA">
              <w:rPr>
                <w:rFonts w:ascii="Arial" w:eastAsia="Times New Roman" w:hAnsi="Arial" w:cs="Arial"/>
                <w:color w:val="000000"/>
                <w:sz w:val="20"/>
                <w:szCs w:val="20"/>
                <w:vertAlign w:val="superscript"/>
                <w:lang w:eastAsia="fr-FR"/>
              </w:rPr>
              <w:t>a</w:t>
            </w:r>
          </w:p>
        </w:tc>
      </w:tr>
      <w:tr w:rsidR="00CA54AA" w:rsidRPr="00CA54AA" w14:paraId="3B960B5E" w14:textId="77777777" w:rsidTr="00367C50">
        <w:trPr>
          <w:jc w:val="center"/>
        </w:trPr>
        <w:tc>
          <w:tcPr>
            <w:tcW w:w="1985" w:type="dxa"/>
          </w:tcPr>
          <w:p w14:paraId="14565134" w14:textId="77777777" w:rsidR="00CA54AA" w:rsidRPr="00CA54AA" w:rsidRDefault="00CA54AA" w:rsidP="00B07693">
            <w:pPr>
              <w:pStyle w:val="Contenudetableau"/>
              <w:rPr>
                <w:rFonts w:ascii="Arial" w:hAnsi="Arial" w:cs="Arial"/>
                <w:b/>
                <w:bCs/>
                <w:sz w:val="20"/>
                <w:szCs w:val="20"/>
              </w:rPr>
            </w:pPr>
            <w:r w:rsidRPr="00CA54AA">
              <w:rPr>
                <w:rFonts w:ascii="Arial" w:hAnsi="Arial" w:cs="Arial"/>
                <w:b/>
                <w:bCs/>
                <w:sz w:val="20"/>
                <w:szCs w:val="20"/>
              </w:rPr>
              <w:t>Galacturonic acid</w:t>
            </w:r>
          </w:p>
        </w:tc>
        <w:tc>
          <w:tcPr>
            <w:tcW w:w="1559" w:type="dxa"/>
          </w:tcPr>
          <w:p w14:paraId="4E75F64E"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1.25</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0.03</w:t>
            </w:r>
            <w:r w:rsidRPr="00CA54AA">
              <w:rPr>
                <w:rFonts w:ascii="Arial" w:eastAsia="Times New Roman" w:hAnsi="Arial" w:cs="Arial"/>
                <w:color w:val="000000"/>
                <w:sz w:val="20"/>
                <w:szCs w:val="20"/>
                <w:vertAlign w:val="superscript"/>
                <w:lang w:eastAsia="fr-FR"/>
              </w:rPr>
              <w:t>e</w:t>
            </w:r>
          </w:p>
        </w:tc>
        <w:tc>
          <w:tcPr>
            <w:tcW w:w="1487" w:type="dxa"/>
          </w:tcPr>
          <w:p w14:paraId="1E76F3F1"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0.98</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a</w:t>
            </w:r>
          </w:p>
        </w:tc>
        <w:tc>
          <w:tcPr>
            <w:tcW w:w="1559" w:type="dxa"/>
          </w:tcPr>
          <w:p w14:paraId="547923B7"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0.99</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0.01</w:t>
            </w:r>
            <w:r w:rsidRPr="00CA54AA">
              <w:rPr>
                <w:rFonts w:ascii="Arial" w:eastAsia="Times New Roman" w:hAnsi="Arial" w:cs="Arial"/>
                <w:color w:val="000000"/>
                <w:sz w:val="20"/>
                <w:szCs w:val="20"/>
                <w:vertAlign w:val="superscript"/>
                <w:lang w:eastAsia="fr-FR"/>
              </w:rPr>
              <w:t>c</w:t>
            </w:r>
          </w:p>
        </w:tc>
        <w:tc>
          <w:tcPr>
            <w:tcW w:w="1559" w:type="dxa"/>
          </w:tcPr>
          <w:p w14:paraId="465C020A"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0.99</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0.02</w:t>
            </w:r>
            <w:r w:rsidRPr="00CA54AA">
              <w:rPr>
                <w:rFonts w:ascii="Arial" w:eastAsia="Times New Roman" w:hAnsi="Arial" w:cs="Arial"/>
                <w:color w:val="000000"/>
                <w:sz w:val="20"/>
                <w:szCs w:val="20"/>
                <w:vertAlign w:val="superscript"/>
                <w:lang w:eastAsia="fr-FR"/>
              </w:rPr>
              <w:t>d</w:t>
            </w:r>
          </w:p>
        </w:tc>
        <w:tc>
          <w:tcPr>
            <w:tcW w:w="1408" w:type="dxa"/>
          </w:tcPr>
          <w:p w14:paraId="52C71C50" w14:textId="77777777" w:rsidR="00CA54AA" w:rsidRPr="00CA54AA" w:rsidRDefault="00CA54AA" w:rsidP="00B07693">
            <w:pPr>
              <w:pStyle w:val="Contenudetableau"/>
              <w:jc w:val="center"/>
              <w:rPr>
                <w:rFonts w:ascii="Arial" w:eastAsia="Times New Roman" w:hAnsi="Arial" w:cs="Arial"/>
                <w:color w:val="000000"/>
                <w:sz w:val="20"/>
                <w:szCs w:val="20"/>
                <w:lang w:val="fr-FR" w:eastAsia="fr-FR"/>
              </w:rPr>
            </w:pPr>
            <w:r w:rsidRPr="00CA54AA">
              <w:rPr>
                <w:rFonts w:ascii="Arial" w:hAnsi="Arial" w:cs="Arial"/>
                <w:sz w:val="20"/>
                <w:szCs w:val="20"/>
              </w:rPr>
              <w:t>0.82</w:t>
            </w:r>
            <w:r w:rsidRPr="00CA54AA">
              <w:rPr>
                <w:rFonts w:ascii="Arial" w:eastAsia="Times New Roman" w:hAnsi="Arial" w:cs="Arial"/>
                <w:color w:val="000000"/>
                <w:sz w:val="20"/>
                <w:szCs w:val="20"/>
                <w:lang w:eastAsia="fr-FR"/>
              </w:rPr>
              <w:t xml:space="preserve"> ± </w:t>
            </w:r>
            <w:r w:rsidRPr="00CA54AA">
              <w:rPr>
                <w:rFonts w:ascii="Arial" w:hAnsi="Arial" w:cs="Arial"/>
                <w:sz w:val="20"/>
                <w:szCs w:val="20"/>
              </w:rPr>
              <w:t>0.00</w:t>
            </w:r>
            <w:r w:rsidRPr="00CA54AA">
              <w:rPr>
                <w:rFonts w:ascii="Arial" w:eastAsia="Times New Roman" w:hAnsi="Arial" w:cs="Arial"/>
                <w:color w:val="000000"/>
                <w:sz w:val="20"/>
                <w:szCs w:val="20"/>
                <w:vertAlign w:val="superscript"/>
                <w:lang w:eastAsia="fr-FR"/>
              </w:rPr>
              <w:t>b</w:t>
            </w:r>
          </w:p>
        </w:tc>
      </w:tr>
    </w:tbl>
    <w:p w14:paraId="063EFAFB" w14:textId="310F8F4A" w:rsidR="00CA54AA" w:rsidRPr="00CA54AA" w:rsidRDefault="00CA54AA" w:rsidP="00CA54AA">
      <w:pPr>
        <w:pStyle w:val="Revista"/>
        <w:ind w:firstLine="0"/>
        <w:jc w:val="center"/>
        <w:rPr>
          <w:rFonts w:ascii="Arial" w:hAnsi="Arial" w:cs="Arial"/>
          <w:i/>
          <w:sz w:val="20"/>
        </w:rPr>
      </w:pPr>
      <w:r w:rsidRPr="00CA54AA">
        <w:rPr>
          <w:rFonts w:ascii="Arial" w:hAnsi="Arial" w:cs="Arial"/>
          <w:i/>
          <w:sz w:val="20"/>
        </w:rPr>
        <w:t>Values are expressed as mean ±</w:t>
      </w:r>
      <w:r>
        <w:rPr>
          <w:rFonts w:ascii="Arial" w:hAnsi="Arial" w:cs="Arial"/>
          <w:i/>
          <w:sz w:val="20"/>
        </w:rPr>
        <w:t xml:space="preserve"> </w:t>
      </w:r>
      <w:r w:rsidRPr="00CA54AA">
        <w:rPr>
          <w:rFonts w:ascii="Arial" w:hAnsi="Arial" w:cs="Arial"/>
          <w:i/>
          <w:sz w:val="20"/>
        </w:rPr>
        <w:t xml:space="preserve">standard deviation. Mean values in the same line with different superscript letters were significantly different </w:t>
      </w:r>
      <w:r w:rsidR="005572BE" w:rsidRPr="00BF41D5">
        <w:rPr>
          <w:rFonts w:ascii="Arial" w:hAnsi="Arial" w:cs="Arial"/>
          <w:i/>
          <w:iCs/>
          <w:sz w:val="20"/>
          <w:szCs w:val="16"/>
        </w:rPr>
        <w:t>(P = .05)</w:t>
      </w:r>
      <w:r w:rsidRPr="00CA54AA">
        <w:rPr>
          <w:rFonts w:ascii="Arial" w:hAnsi="Arial" w:cs="Arial"/>
          <w:i/>
          <w:sz w:val="20"/>
        </w:rPr>
        <w:t xml:space="preserve"> according to Duncan's multiple comparison test </w:t>
      </w:r>
    </w:p>
    <w:p w14:paraId="7151A57F" w14:textId="77777777" w:rsidR="00CA54AA" w:rsidRDefault="00CA54AA" w:rsidP="00CA54AA">
      <w:pPr>
        <w:pStyle w:val="Body"/>
        <w:spacing w:after="0"/>
        <w:rPr>
          <w:rFonts w:ascii="Arial" w:hAnsi="Arial" w:cs="Arial"/>
        </w:rPr>
      </w:pPr>
    </w:p>
    <w:p w14:paraId="3CC8D489" w14:textId="709B62D7" w:rsidR="00C55F55" w:rsidRPr="003E1520" w:rsidRDefault="00CA54AA" w:rsidP="00C55F55">
      <w:pPr>
        <w:pStyle w:val="Revista"/>
        <w:spacing w:before="240"/>
        <w:ind w:firstLine="0"/>
        <w:rPr>
          <w:rFonts w:ascii="Arial" w:hAnsi="Arial" w:cs="Arial"/>
          <w:b/>
          <w:bCs/>
        </w:rPr>
      </w:pPr>
      <w:r w:rsidRPr="003E1520">
        <w:rPr>
          <w:rFonts w:ascii="Arial" w:hAnsi="Arial" w:cs="Arial"/>
          <w:b/>
          <w:sz w:val="22"/>
          <w:szCs w:val="18"/>
        </w:rPr>
        <w:t xml:space="preserve">3.6. </w:t>
      </w:r>
      <w:r w:rsidRPr="003E1520">
        <w:rPr>
          <w:rFonts w:ascii="Arial" w:hAnsi="Arial" w:cs="Arial"/>
          <w:b/>
          <w:bCs/>
          <w:sz w:val="22"/>
          <w:szCs w:val="18"/>
        </w:rPr>
        <w:t>Water solubility index</w:t>
      </w:r>
      <w:r w:rsidR="003F4153">
        <w:rPr>
          <w:rFonts w:ascii="Arial" w:hAnsi="Arial" w:cs="Arial"/>
          <w:b/>
          <w:bCs/>
          <w:sz w:val="22"/>
          <w:szCs w:val="18"/>
        </w:rPr>
        <w:t xml:space="preserve"> </w:t>
      </w:r>
      <w:r w:rsidRPr="003E1520">
        <w:rPr>
          <w:rFonts w:ascii="Arial" w:hAnsi="Arial" w:cs="Arial"/>
          <w:b/>
          <w:bCs/>
          <w:sz w:val="22"/>
          <w:szCs w:val="18"/>
        </w:rPr>
        <w:t>and Water holding capacity</w:t>
      </w:r>
    </w:p>
    <w:p w14:paraId="5B76CF80" w14:textId="18EC3091" w:rsidR="003F4153" w:rsidRPr="009779D8" w:rsidRDefault="00CA54AA" w:rsidP="005572BE">
      <w:pPr>
        <w:pStyle w:val="Revista"/>
        <w:spacing w:before="240"/>
        <w:ind w:firstLine="0"/>
        <w:rPr>
          <w:rFonts w:ascii="Arial" w:hAnsi="Arial" w:cs="Arial"/>
          <w:sz w:val="20"/>
        </w:rPr>
      </w:pPr>
      <w:r w:rsidRPr="00C55F55">
        <w:rPr>
          <w:rFonts w:ascii="Arial" w:hAnsi="Arial" w:cs="Arial"/>
          <w:sz w:val="20"/>
        </w:rPr>
        <w:t xml:space="preserve">The </w:t>
      </w:r>
      <w:r w:rsidR="00942D3E">
        <w:rPr>
          <w:rFonts w:ascii="Arial" w:hAnsi="Arial" w:cs="Arial"/>
          <w:sz w:val="20"/>
          <w:szCs w:val="16"/>
        </w:rPr>
        <w:t>w</w:t>
      </w:r>
      <w:r w:rsidR="003F4153" w:rsidRPr="003F4153">
        <w:rPr>
          <w:rFonts w:ascii="Arial" w:hAnsi="Arial" w:cs="Arial"/>
          <w:sz w:val="20"/>
          <w:szCs w:val="16"/>
        </w:rPr>
        <w:t>ater solubility index</w:t>
      </w:r>
      <w:r w:rsidR="003F4153" w:rsidRPr="003F4153">
        <w:rPr>
          <w:rFonts w:ascii="Arial" w:hAnsi="Arial" w:cs="Arial"/>
          <w:b/>
          <w:bCs/>
          <w:sz w:val="20"/>
          <w:szCs w:val="16"/>
        </w:rPr>
        <w:t xml:space="preserve"> </w:t>
      </w:r>
      <w:r w:rsidR="003F4153">
        <w:rPr>
          <w:rFonts w:ascii="Arial" w:hAnsi="Arial" w:cs="Arial"/>
          <w:sz w:val="20"/>
        </w:rPr>
        <w:t>(</w:t>
      </w:r>
      <w:r w:rsidRPr="00C55F55">
        <w:rPr>
          <w:rFonts w:ascii="Arial" w:hAnsi="Arial" w:cs="Arial"/>
          <w:sz w:val="20"/>
        </w:rPr>
        <w:t>WSI</w:t>
      </w:r>
      <w:r w:rsidR="003F4153">
        <w:rPr>
          <w:rFonts w:ascii="Arial" w:hAnsi="Arial" w:cs="Arial"/>
          <w:sz w:val="20"/>
        </w:rPr>
        <w:t>)</w:t>
      </w:r>
      <w:r w:rsidRPr="00C55F55">
        <w:rPr>
          <w:rFonts w:ascii="Arial" w:hAnsi="Arial" w:cs="Arial"/>
          <w:sz w:val="20"/>
        </w:rPr>
        <w:t xml:space="preserve"> is defined as the maximum concentration of a solute that can dissolve in a solvent at a given temperature </w:t>
      </w:r>
      <w:r w:rsidRPr="00C55F55">
        <w:rPr>
          <w:rFonts w:ascii="Arial" w:hAnsi="Arial" w:cs="Arial"/>
          <w:sz w:val="20"/>
        </w:rPr>
        <w:fldChar w:fldCharType="begin"/>
      </w:r>
      <w:r w:rsidR="00D9455A">
        <w:rPr>
          <w:rFonts w:ascii="Arial" w:hAnsi="Arial" w:cs="Arial"/>
          <w:sz w:val="20"/>
        </w:rPr>
        <w:instrText xml:space="preserve"> ADDIN ZOTERO_ITEM CSL_CITATION {"citationID":"Pn6mc12a","properties":{"formattedCitation":"(Lu et al., 2025)","plainCitation":"(Lu et al., 2025)","noteIndex":0},"citationItems":[{"id":"wp0Dc69N/TH87ty5H","uris":["http://zotero.org/users/8588538/items/9HTAI4QY"],"itemData":{"id":1220,"type":"chapter","abstract":"Dissolution is the process where a solute in a gaseous, liquid, or solid phase dissolves in a solvent to form a solution. Solubility is the maximum concentration of a solute that can dissolve in a solvent at a given temperature. At the maximum solute concentration, the solution is said to be saturated. The units of solubility can be provided in mol/L or g/L. Factors that affect solubility include the concentration of the solute, temperature of the system, pressure (for gases in solution), and polarity of the solute and the solvent.","call-number":"NBK431100","container-title":"StatPearls","event-place":"Treasure Island (FL)","language":"eng","license":"Copyright © 2025, StatPearls Publishing LLC.","note":"PMID: 28613752","publisher":"StatPearls Publishing","publisher-place":"Treasure Island (FL)","source":"PubMed","title":"Biochemistry, Dissolution and Solubility","URL":"http://www.ncbi.nlm.nih.gov/books/NBK431100/","author":[{"family":"Lu","given":"Jue Xi"},{"family":"Tupper","given":"Connor"},{"family":"Gutierrez","given":"Alejandra V."},{"family":"Murray","given":"John"}],"accessed":{"date-parts":[["2025",3,4]]},"issued":{"date-parts":[["2025"]]}}}],"schema":"https://github.com/citation-style-language/schema/raw/master/csl-citation.json"} </w:instrText>
      </w:r>
      <w:r w:rsidRPr="00C55F55">
        <w:rPr>
          <w:rFonts w:ascii="Arial" w:hAnsi="Arial" w:cs="Arial"/>
          <w:sz w:val="20"/>
        </w:rPr>
        <w:fldChar w:fldCharType="separate"/>
      </w:r>
      <w:r w:rsidR="00D9455A" w:rsidRPr="00D9455A">
        <w:rPr>
          <w:rFonts w:ascii="Arial" w:hAnsi="Arial" w:cs="Arial"/>
          <w:sz w:val="20"/>
        </w:rPr>
        <w:t>(Lu et al., 2025)</w:t>
      </w:r>
      <w:r w:rsidRPr="00C55F55">
        <w:rPr>
          <w:rFonts w:ascii="Arial" w:hAnsi="Arial" w:cs="Arial"/>
          <w:sz w:val="20"/>
        </w:rPr>
        <w:fldChar w:fldCharType="end"/>
      </w:r>
      <w:r w:rsidRPr="00C55F55">
        <w:rPr>
          <w:rFonts w:ascii="Arial" w:hAnsi="Arial" w:cs="Arial"/>
          <w:sz w:val="20"/>
        </w:rPr>
        <w:t xml:space="preserve">, and it is the most reliable criterion for evaluating the </w:t>
      </w:r>
      <w:proofErr w:type="spellStart"/>
      <w:r w:rsidRPr="00C55F55">
        <w:rPr>
          <w:rFonts w:ascii="Arial" w:hAnsi="Arial" w:cs="Arial"/>
          <w:sz w:val="20"/>
        </w:rPr>
        <w:t>behaviour</w:t>
      </w:r>
      <w:proofErr w:type="spellEnd"/>
      <w:r w:rsidRPr="00C55F55">
        <w:rPr>
          <w:rFonts w:ascii="Arial" w:hAnsi="Arial" w:cs="Arial"/>
          <w:sz w:val="20"/>
        </w:rPr>
        <w:t xml:space="preserve"> of a powder in an aqueous medium </w:t>
      </w:r>
      <w:r w:rsidRPr="00C55F55">
        <w:rPr>
          <w:rFonts w:ascii="Arial" w:hAnsi="Arial" w:cs="Arial"/>
          <w:sz w:val="20"/>
        </w:rPr>
        <w:fldChar w:fldCharType="begin"/>
      </w:r>
      <w:r w:rsidR="00D9455A">
        <w:rPr>
          <w:rFonts w:ascii="Arial" w:hAnsi="Arial" w:cs="Arial"/>
          <w:sz w:val="20"/>
        </w:rPr>
        <w:instrText xml:space="preserve"> ADDIN ZOTERO_ITEM CSL_CITATION {"citationID":"jh8oNV7s","properties":{"formattedCitation":"(Sarkar et al., 2018)","plainCitation":"(Sarkar et al., 2018)","noteIndex":0},"citationItems":[{"id":"wp0Dc69N/U6Uo3r9n","uris":["http://zotero.org/users/8588538/items/NDSDQE4R"],"itemData":{"id":1218,"type":"article-journal","abstract":"Studies on physico-chemical and functional properties of some natural Indian gums","container-title":"Asian Journal of Dairy and Food Research","ISSN":"0971-4456","issue":"2","page":"126-131","source":"arccjournals.com","title":"Studies on physico-chemical and functional properties of some natural Indian gums","volume":"37","author":[{"family":"Sarkar","given":"P. C."},{"family":"Sahu","given":"Upali"},{"family":"Binsi","given":"P. K."},{"family":"Nayak","given":"Natasha"},{"family":"Ninan","given":"George"},{"family":"Ravishanker","given":"C. N."}],"issued":{"date-parts":[["2018",5,14]]}}}],"schema":"https://github.com/citation-style-language/schema/raw/master/csl-citation.json"} </w:instrText>
      </w:r>
      <w:r w:rsidRPr="00C55F55">
        <w:rPr>
          <w:rFonts w:ascii="Arial" w:hAnsi="Arial" w:cs="Arial"/>
          <w:sz w:val="20"/>
        </w:rPr>
        <w:fldChar w:fldCharType="separate"/>
      </w:r>
      <w:r w:rsidR="00D9455A" w:rsidRPr="00D9455A">
        <w:rPr>
          <w:rFonts w:ascii="Arial" w:hAnsi="Arial" w:cs="Arial"/>
          <w:sz w:val="20"/>
        </w:rPr>
        <w:t>(Sarkar et al., 2018)</w:t>
      </w:r>
      <w:r w:rsidRPr="00C55F55">
        <w:rPr>
          <w:rFonts w:ascii="Arial" w:hAnsi="Arial" w:cs="Arial"/>
          <w:sz w:val="20"/>
        </w:rPr>
        <w:fldChar w:fldCharType="end"/>
      </w:r>
      <w:r w:rsidRPr="00C55F55">
        <w:rPr>
          <w:rFonts w:ascii="Arial" w:hAnsi="Arial" w:cs="Arial"/>
          <w:sz w:val="20"/>
        </w:rPr>
        <w:t>. As shown in Fig</w:t>
      </w:r>
      <w:r w:rsidR="00367C50">
        <w:rPr>
          <w:rFonts w:ascii="Arial" w:hAnsi="Arial" w:cs="Arial"/>
          <w:sz w:val="20"/>
        </w:rPr>
        <w:t>.</w:t>
      </w:r>
      <w:r w:rsidRPr="00C55F55">
        <w:rPr>
          <w:rFonts w:ascii="Arial" w:hAnsi="Arial" w:cs="Arial"/>
          <w:sz w:val="20"/>
        </w:rPr>
        <w:t xml:space="preserve"> </w:t>
      </w:r>
      <w:r w:rsidR="00367C50">
        <w:rPr>
          <w:rFonts w:ascii="Arial" w:hAnsi="Arial" w:cs="Arial"/>
          <w:sz w:val="20"/>
        </w:rPr>
        <w:t>6</w:t>
      </w:r>
      <w:r w:rsidRPr="00C55F55">
        <w:rPr>
          <w:rFonts w:ascii="Arial" w:hAnsi="Arial" w:cs="Arial"/>
          <w:sz w:val="20"/>
        </w:rPr>
        <w:t xml:space="preserve">, all gum samples showed </w:t>
      </w:r>
      <w:proofErr w:type="spellStart"/>
      <w:r w:rsidRPr="00C55F55">
        <w:rPr>
          <w:rFonts w:ascii="Arial" w:hAnsi="Arial" w:cs="Arial"/>
          <w:sz w:val="20"/>
        </w:rPr>
        <w:t>solubilisation</w:t>
      </w:r>
      <w:proofErr w:type="spellEnd"/>
      <w:r w:rsidRPr="00C55F55">
        <w:rPr>
          <w:rFonts w:ascii="Arial" w:hAnsi="Arial" w:cs="Arial"/>
          <w:sz w:val="20"/>
        </w:rPr>
        <w:t xml:space="preserve"> in both cold and hot water and solubility increases with temperature. </w:t>
      </w:r>
      <w:r w:rsidR="00D9455A" w:rsidRPr="00D9455A">
        <w:rPr>
          <w:rFonts w:ascii="Arial" w:hAnsi="Arial" w:cs="Arial"/>
          <w:sz w:val="20"/>
        </w:rPr>
        <w:t>Moreover, the solubility in hot water was more than in cold water, and</w:t>
      </w:r>
      <w:r w:rsidR="00D9455A">
        <w:rPr>
          <w:rFonts w:ascii="Arial" w:hAnsi="Arial" w:cs="Arial"/>
          <w:sz w:val="20"/>
        </w:rPr>
        <w:t xml:space="preserve"> </w:t>
      </w:r>
      <w:r w:rsidR="00D9455A">
        <w:rPr>
          <w:rFonts w:ascii="Arial" w:hAnsi="Arial" w:cs="Arial"/>
          <w:sz w:val="20"/>
        </w:rPr>
        <w:fldChar w:fldCharType="begin"/>
      </w:r>
      <w:r w:rsidR="00D9455A">
        <w:rPr>
          <w:rFonts w:ascii="Arial" w:hAnsi="Arial" w:cs="Arial"/>
          <w:sz w:val="20"/>
        </w:rPr>
        <w:instrText xml:space="preserve"> ADDIN ZOTERO_ITEM CSL_CITATION {"citationID":"hadytA9w","properties":{"formattedCitation":"(Chaudhari &amp; Annapure, 2021)","plainCitation":"(Chaudhari &amp; Annapure, 2021)","noteIndex":0},"citationItems":[{"id":236,"uris":["http://zotero.org/users/16649851/items/VLK9XE2D"],"itemData":{"id":236,"type":"article-journal","abstract":"Limonia acidissima L., locally known as “Kavat” is the major gum yielding plant of the Indian sub-continent; however, it is not yet explored commercially. This study explained the physio-chemical and functional properties of the L. acidissima L. gum comparing with gum Acacia and their suitable application in extrusion processing. The purified gum was water-soluble and showed pseudoplastic behavior. Monosaccharide composition of Kavat gum quantified the presence of arabinose (38.81%) as major sugar. SEM and XRD confirmed both the gums' amorphous nature, while DSC and TGA analysis showed gums' good thermal stability. Gums' effect on extrusion cooking and extruded product properties was studied by evaluating water absorption index, expansion ratio, density, water solubility index, and extrudates' hardness. The remarkable properties of L. acidissima L. gum have been confirmed that the gum possesses the potentials to be used as an additive in food and other industries.","container-title":"Carbohydrate Polymer Technologies and Applications","DOI":"10.1016/j.carpta.2020.100020","ISSN":"2666-8939","journalAbbreviation":"Carbohydrate Polymer Technologies and Applications","page":"100020","source":"ScienceDirect","title":"Rheological, Physicochemical, and Spectroscopic characterizations of &lt;i&gt;Limonia acidissima&lt;/i&gt; L. gum exudate with an application in extrusion processing","volume":"2","author":[{"family":"Chaudhari","given":"B. B."},{"family":"Annapure","given":"U. S."}],"issued":{"date-parts":[["2021",12,25]]}}}],"schema":"https://github.com/citation-style-language/schema/raw/master/csl-citation.json"} </w:instrText>
      </w:r>
      <w:r w:rsidR="00D9455A">
        <w:rPr>
          <w:rFonts w:ascii="Arial" w:hAnsi="Arial" w:cs="Arial"/>
          <w:sz w:val="20"/>
        </w:rPr>
        <w:fldChar w:fldCharType="separate"/>
      </w:r>
      <w:r w:rsidR="00D9455A" w:rsidRPr="00D9455A">
        <w:rPr>
          <w:rFonts w:ascii="Arial" w:hAnsi="Arial" w:cs="Arial"/>
          <w:sz w:val="20"/>
        </w:rPr>
        <w:t xml:space="preserve">Chaudhari &amp; Annapure, </w:t>
      </w:r>
      <w:r w:rsidR="00D9455A">
        <w:rPr>
          <w:rFonts w:ascii="Arial" w:hAnsi="Arial" w:cs="Arial"/>
          <w:sz w:val="20"/>
        </w:rPr>
        <w:t>(</w:t>
      </w:r>
      <w:r w:rsidR="00D9455A" w:rsidRPr="00D9455A">
        <w:rPr>
          <w:rFonts w:ascii="Arial" w:hAnsi="Arial" w:cs="Arial"/>
          <w:sz w:val="20"/>
        </w:rPr>
        <w:t>2021)</w:t>
      </w:r>
      <w:r w:rsidR="00D9455A">
        <w:rPr>
          <w:rFonts w:ascii="Arial" w:hAnsi="Arial" w:cs="Arial"/>
          <w:sz w:val="20"/>
        </w:rPr>
        <w:fldChar w:fldCharType="end"/>
      </w:r>
      <w:r w:rsidR="00D9455A" w:rsidRPr="00D9455A">
        <w:rPr>
          <w:rFonts w:ascii="Arial" w:hAnsi="Arial" w:cs="Arial"/>
          <w:sz w:val="20"/>
        </w:rPr>
        <w:t xml:space="preserve"> confirmed this phenomenon</w:t>
      </w:r>
      <w:r w:rsidR="009779D8">
        <w:rPr>
          <w:rFonts w:ascii="Arial" w:hAnsi="Arial" w:cs="Arial"/>
          <w:sz w:val="20"/>
        </w:rPr>
        <w:t>. Concerning t</w:t>
      </w:r>
      <w:r w:rsidRPr="00C55F55">
        <w:rPr>
          <w:rFonts w:ascii="Arial" w:hAnsi="Arial" w:cs="Arial"/>
          <w:sz w:val="20"/>
        </w:rPr>
        <w:t>he WSI of purified cashew gums (73.83% to 86.27%)</w:t>
      </w:r>
      <w:r w:rsidR="009779D8">
        <w:rPr>
          <w:rFonts w:ascii="Arial" w:hAnsi="Arial" w:cs="Arial"/>
          <w:sz w:val="20"/>
        </w:rPr>
        <w:t>, values</w:t>
      </w:r>
      <w:r w:rsidRPr="00C55F55">
        <w:rPr>
          <w:rFonts w:ascii="Arial" w:hAnsi="Arial" w:cs="Arial"/>
          <w:sz w:val="20"/>
        </w:rPr>
        <w:t xml:space="preserve"> were found to be higher compared to the crude exudate (69.51%) at 25°C. Additionally, at 80°C, WSI was found to be high (85.76% to 94.61%) for purified compared to the crude exudate (74.49%). </w:t>
      </w:r>
      <w:r w:rsidRPr="00C55F55">
        <w:rPr>
          <w:rFonts w:ascii="Arial" w:hAnsi="Arial" w:cs="Arial"/>
          <w:sz w:val="20"/>
          <w:szCs w:val="16"/>
        </w:rPr>
        <w:t xml:space="preserve">The highest and lowest WSI values were observed in samples Fs (method D) and I (method B), respectively. The analysis of variance (ANOVA) results indicated that the purification method and temperature (80°C) significantly </w:t>
      </w:r>
      <w:r w:rsidR="00BF41D5" w:rsidRPr="00BF41D5">
        <w:rPr>
          <w:rFonts w:ascii="Arial" w:hAnsi="Arial" w:cs="Arial"/>
          <w:i/>
          <w:iCs/>
          <w:sz w:val="20"/>
          <w:szCs w:val="16"/>
        </w:rPr>
        <w:t>(P = .05)</w:t>
      </w:r>
      <w:r w:rsidRPr="00C55F55">
        <w:rPr>
          <w:rFonts w:ascii="Arial" w:hAnsi="Arial" w:cs="Arial"/>
          <w:sz w:val="20"/>
          <w:szCs w:val="16"/>
        </w:rPr>
        <w:t xml:space="preserve"> enhanced the solubility of purified cashew gums. The solubility of exudate gums in any aqueous medium is the most important factor to evaluate their utility, as it enhances the appearance and texture of the final products. Solubility is mainly affected by the protein fraction, presence of hydroxyl groups, monosaccharide composition, presence of branched chains with galactose and ionic groups in the backbone and side chains of the </w:t>
      </w:r>
      <w:r w:rsidRPr="00C55F55">
        <w:rPr>
          <w:rFonts w:ascii="Arial" w:hAnsi="Arial" w:cs="Arial"/>
          <w:sz w:val="20"/>
          <w:szCs w:val="16"/>
        </w:rPr>
        <w:lastRenderedPageBreak/>
        <w:t xml:space="preserve">molecular skeleton </w:t>
      </w:r>
      <w:r w:rsidRPr="00C55F55">
        <w:rPr>
          <w:rFonts w:ascii="Arial" w:hAnsi="Arial" w:cs="Arial"/>
          <w:sz w:val="20"/>
          <w:szCs w:val="16"/>
        </w:rPr>
        <w:fldChar w:fldCharType="begin"/>
      </w:r>
      <w:r w:rsidR="00D9455A">
        <w:rPr>
          <w:rFonts w:ascii="Arial" w:hAnsi="Arial" w:cs="Arial"/>
          <w:sz w:val="20"/>
          <w:szCs w:val="16"/>
        </w:rPr>
        <w:instrText xml:space="preserve"> ADDIN ZOTERO_ITEM CSL_CITATION {"citationID":"z51biOFx","properties":{"formattedCitation":"(Nevara et al., 2022; Singh et al., 2024)","plainCitation":"(Nevara et al., 2022; Singh et al., 2024)","noteIndex":0},"citationItems":[{"id":"wp0Dc69N/AsMDjOQe","uris":["http://zotero.org/users/8588538/items/BWI5ZY2D"],"itemData":{"id":1223,"type":"article-journal","abstract":"Kenaf seed gum (KSG) is a novel potential hydrocolloid extracted from kenaf seed. The physicochemical and functional characteristics of KSG were compared with guar gum (GG) and locust bean gum (LBG). The Fourier transform infrared (FTIR) analysis of KSG revealed representative peaks of polysaccharides in the regions of 3272, 2923, 1744, 1623, 1448 and 1082 cm-1. The X-ray diffraction (XRD) patterns displayed an amorphous structure of KSG, similar to other commercial gums. Based on the morphological evaluation, the gums exhibit a smooth surface microstructure. Furthermore, the KSG has comparable functional characteristics as GG and LBG in terms of water solubility, oil-holding capacity, emulsion capacity and foaming capacity. This study provides basic information for exploring KSG as non-conventional seed gum with the potential for further utilisation in the food and non-food industries.","container-title":"International Journal of Food Science and Technology","DOI":"10.1111/ijfs.15421","ISSN":"0950-5423","issue":"1","journalAbbreviation":"International Journal of Food Science and Technology","page":"258-267","source":"Silverchair","title":"Physicochemical and functional properties of carbohydrate–protein gum extracted from kenaf (Hibiscus cannabinus L.) seed","volume":"57","author":[{"family":"Nevara","given":"Gita Addelia"},{"family":"Syed Muhammad","given":"Sharifah Kharidah"},{"family":"Zawawi","given":"Norhasnida"},{"family":"Mustapha","given":"Nor Afizah"},{"family":"Karim","given":"Roselina"}],"issued":{"date-parts":[["2022",1,1]]}}},{"id":"wp0Dc69N/8iuk5zdp","uris":["http://zotero.org/users/8588538/items/FHV6LUM2"],"itemData":{"id":1233,"type":"article-journal","container-title":"ACS Omega","DOI":"10.1021/acsomega.3c08198","ISSN":"2470-1343, 2470-1343","issue":"9","journalAbbreviation":"ACS Omega","language":"en","license":"https://creativecommons.org/licenses/by-nc-nd/4.0/","page":"9974-9990","source":"DOI.org (Crossref)","title":"Gum Ghatti: A Comprehensive Review on Production, Processing, Remarkable Properties, and Diverse Applications","title-short":"Gum Ghatti","volume":"9","author":[{"family":"Singh","given":"Ranjit"},{"family":"Priya","given":"Himani"},{"family":"Kumar","given":"Simmi Ranjan"},{"family":"Trivedi","given":"Dipika"},{"family":"Prasad","given":"Niranjan"},{"family":"Ahmad","given":"Faraz"},{"family":"Chengaiyan","given":"Jeevitha Gada"},{"family":"Haque","given":"Shafiul"},{"family":"Rana","given":"Sandeep Singh"}],"issued":{"date-parts":[["2024",3,5]]}}}],"schema":"https://github.com/citation-style-language/schema/raw/master/csl-citation.json"} </w:instrText>
      </w:r>
      <w:r w:rsidRPr="00C55F55">
        <w:rPr>
          <w:rFonts w:ascii="Arial" w:hAnsi="Arial" w:cs="Arial"/>
          <w:sz w:val="20"/>
          <w:szCs w:val="16"/>
        </w:rPr>
        <w:fldChar w:fldCharType="separate"/>
      </w:r>
      <w:r w:rsidR="00D9455A" w:rsidRPr="00D9455A">
        <w:rPr>
          <w:rFonts w:ascii="Arial" w:hAnsi="Arial" w:cs="Arial"/>
          <w:sz w:val="20"/>
        </w:rPr>
        <w:t>(Nevara et al., 2022; Singh et al., 2024)</w:t>
      </w:r>
      <w:r w:rsidRPr="00C55F55">
        <w:rPr>
          <w:rFonts w:ascii="Arial" w:hAnsi="Arial" w:cs="Arial"/>
          <w:sz w:val="20"/>
          <w:szCs w:val="16"/>
        </w:rPr>
        <w:fldChar w:fldCharType="end"/>
      </w:r>
      <w:r w:rsidRPr="00C55F55">
        <w:rPr>
          <w:rFonts w:ascii="Arial" w:hAnsi="Arial" w:cs="Arial"/>
          <w:sz w:val="20"/>
          <w:szCs w:val="16"/>
        </w:rPr>
        <w:t xml:space="preserve">. </w:t>
      </w:r>
      <w:r w:rsidR="009779D8" w:rsidRPr="009779D8">
        <w:rPr>
          <w:rFonts w:ascii="Arial" w:hAnsi="Arial" w:cs="Arial"/>
          <w:sz w:val="20"/>
          <w:szCs w:val="16"/>
        </w:rPr>
        <w:t>The presence of an ionic compound suggests that the gum was insoluble in ethanol, acetone and chloroform.</w:t>
      </w:r>
    </w:p>
    <w:p w14:paraId="645995FB" w14:textId="7B01BB9C" w:rsidR="00B06344" w:rsidRPr="00683CFF" w:rsidRDefault="00CA54AA" w:rsidP="005572BE">
      <w:pPr>
        <w:pStyle w:val="Revista"/>
        <w:spacing w:before="240"/>
        <w:ind w:firstLine="0"/>
        <w:rPr>
          <w:rFonts w:ascii="Arial" w:hAnsi="Arial" w:cs="Arial"/>
          <w:sz w:val="20"/>
          <w:szCs w:val="16"/>
        </w:rPr>
      </w:pPr>
      <w:r w:rsidRPr="00C55F55">
        <w:rPr>
          <w:rFonts w:ascii="Arial" w:hAnsi="Arial" w:cs="Arial"/>
          <w:sz w:val="20"/>
          <w:szCs w:val="16"/>
        </w:rPr>
        <w:t>Regarding the water holding capacity (WHC)</w:t>
      </w:r>
      <w:r w:rsidR="003F4153">
        <w:rPr>
          <w:rFonts w:ascii="Arial" w:hAnsi="Arial" w:cs="Arial"/>
          <w:sz w:val="20"/>
          <w:szCs w:val="16"/>
        </w:rPr>
        <w:t xml:space="preserve"> </w:t>
      </w:r>
      <w:r w:rsidR="003F4153" w:rsidRPr="00C55F55">
        <w:rPr>
          <w:rFonts w:ascii="Arial" w:hAnsi="Arial" w:cs="Arial"/>
          <w:sz w:val="20"/>
        </w:rPr>
        <w:t>in Fig</w:t>
      </w:r>
      <w:r w:rsidR="003F4153">
        <w:rPr>
          <w:rFonts w:ascii="Arial" w:hAnsi="Arial" w:cs="Arial"/>
          <w:sz w:val="20"/>
        </w:rPr>
        <w:t>.</w:t>
      </w:r>
      <w:r w:rsidR="003F4153" w:rsidRPr="00C55F55">
        <w:rPr>
          <w:rFonts w:ascii="Arial" w:hAnsi="Arial" w:cs="Arial"/>
          <w:sz w:val="20"/>
        </w:rPr>
        <w:t xml:space="preserve"> </w:t>
      </w:r>
      <w:r w:rsidR="003F4153">
        <w:rPr>
          <w:rFonts w:ascii="Arial" w:hAnsi="Arial" w:cs="Arial"/>
          <w:sz w:val="20"/>
        </w:rPr>
        <w:t>7</w:t>
      </w:r>
      <w:r w:rsidRPr="00C55F55">
        <w:rPr>
          <w:rFonts w:ascii="Arial" w:hAnsi="Arial" w:cs="Arial"/>
          <w:sz w:val="20"/>
          <w:szCs w:val="16"/>
        </w:rPr>
        <w:t xml:space="preserve">, the results demonstrate that sample Fs (method D) exhibited a high WHC of 2.04 </w:t>
      </w:r>
      <w:r w:rsidR="00466FB0" w:rsidRPr="00466FB0">
        <w:rPr>
          <w:rFonts w:ascii="Arial" w:hAnsi="Arial" w:cs="Arial"/>
          <w:sz w:val="20"/>
          <w:szCs w:val="16"/>
        </w:rPr>
        <w:t>(g of water/g of gum)</w:t>
      </w:r>
      <w:r w:rsidRPr="00C55F55">
        <w:rPr>
          <w:rFonts w:ascii="Arial" w:hAnsi="Arial" w:cs="Arial"/>
          <w:sz w:val="20"/>
          <w:szCs w:val="16"/>
        </w:rPr>
        <w:t xml:space="preserve">, while sample I (method B) exhibited a low WHC of 1.58 </w:t>
      </w:r>
      <w:r w:rsidR="00466FB0" w:rsidRPr="00466FB0">
        <w:rPr>
          <w:rFonts w:ascii="Arial" w:hAnsi="Arial" w:cs="Arial"/>
          <w:sz w:val="20"/>
          <w:szCs w:val="16"/>
        </w:rPr>
        <w:t>(g of water/g of gum)</w:t>
      </w:r>
      <w:r w:rsidRPr="00C55F55">
        <w:rPr>
          <w:rFonts w:ascii="Arial" w:hAnsi="Arial" w:cs="Arial"/>
          <w:sz w:val="20"/>
          <w:szCs w:val="16"/>
        </w:rPr>
        <w:t xml:space="preserve">. </w:t>
      </w:r>
      <w:r w:rsidR="00CE23B7">
        <w:rPr>
          <w:rFonts w:ascii="Arial" w:hAnsi="Arial" w:cs="Arial"/>
          <w:sz w:val="20"/>
          <w:szCs w:val="16"/>
        </w:rPr>
        <w:t xml:space="preserve">According to </w:t>
      </w:r>
      <w:r w:rsidR="00CE23B7" w:rsidRPr="00C55F55">
        <w:rPr>
          <w:rFonts w:ascii="Arial" w:hAnsi="Arial" w:cs="Arial"/>
          <w:sz w:val="20"/>
          <w:szCs w:val="16"/>
        </w:rPr>
        <w:fldChar w:fldCharType="begin"/>
      </w:r>
      <w:r w:rsidR="00D9455A">
        <w:rPr>
          <w:rFonts w:ascii="Arial" w:hAnsi="Arial" w:cs="Arial"/>
          <w:sz w:val="20"/>
          <w:szCs w:val="16"/>
        </w:rPr>
        <w:instrText xml:space="preserve"> ADDIN ZOTERO_ITEM CSL_CITATION {"citationID":"QLt6r0Ps","properties":{"formattedCitation":"(Sarkar et al., 2018)","plainCitation":"(Sarkar et al., 2018)","dontUpdate":true,"noteIndex":0},"citationItems":[{"id":"wp0Dc69N/U6Uo3r9n","uris":["http://zotero.org/users/8588538/items/NDSDQE4R"],"itemData":{"id":1218,"type":"article-journal","abstract":"Studies on physico-chemical and functional properties of some natural Indian gums","container-title":"Asian Journal of Dairy and Food Research","ISSN":"0971-4456","issue":"2","page":"126-131","source":"arccjournals.com","title":"Studies on physico-chemical and functional properties of some natural Indian gums","volume":"37","author":[{"family":"Sarkar","given":"P. C."},{"family":"Sahu","given":"Upali"},{"family":"Binsi","given":"P. K."},{"family":"Nayak","given":"Natasha"},{"family":"Ninan","given":"George"},{"family":"Ravishanker","given":"C. N."}],"issued":{"date-parts":[["2018",5,14]]}}}],"schema":"https://github.com/citation-style-language/schema/raw/master/csl-citation.json"} </w:instrText>
      </w:r>
      <w:r w:rsidR="00CE23B7" w:rsidRPr="00C55F55">
        <w:rPr>
          <w:rFonts w:ascii="Arial" w:hAnsi="Arial" w:cs="Arial"/>
          <w:sz w:val="20"/>
          <w:szCs w:val="16"/>
        </w:rPr>
        <w:fldChar w:fldCharType="separate"/>
      </w:r>
      <w:r w:rsidR="00CE23B7" w:rsidRPr="00C55F55">
        <w:rPr>
          <w:rFonts w:ascii="Arial" w:hAnsi="Arial" w:cs="Arial"/>
          <w:sz w:val="20"/>
          <w:szCs w:val="16"/>
        </w:rPr>
        <w:t xml:space="preserve">Sarkar et al. </w:t>
      </w:r>
      <w:r w:rsidR="00CE23B7">
        <w:rPr>
          <w:rFonts w:ascii="Arial" w:hAnsi="Arial" w:cs="Arial"/>
          <w:sz w:val="20"/>
          <w:szCs w:val="16"/>
        </w:rPr>
        <w:t>(</w:t>
      </w:r>
      <w:r w:rsidR="00CE23B7" w:rsidRPr="00C55F55">
        <w:rPr>
          <w:rFonts w:ascii="Arial" w:hAnsi="Arial" w:cs="Arial"/>
          <w:sz w:val="20"/>
          <w:szCs w:val="16"/>
        </w:rPr>
        <w:t>2018)</w:t>
      </w:r>
      <w:r w:rsidR="00CE23B7" w:rsidRPr="00C55F55">
        <w:rPr>
          <w:rFonts w:ascii="Arial" w:hAnsi="Arial" w:cs="Arial"/>
          <w:sz w:val="20"/>
          <w:szCs w:val="16"/>
        </w:rPr>
        <w:fldChar w:fldCharType="end"/>
      </w:r>
      <w:r w:rsidR="00CE23B7">
        <w:rPr>
          <w:rFonts w:ascii="Arial" w:hAnsi="Arial" w:cs="Arial"/>
          <w:sz w:val="20"/>
          <w:szCs w:val="16"/>
        </w:rPr>
        <w:t xml:space="preserve">, </w:t>
      </w:r>
      <w:r w:rsidR="00445CBE">
        <w:rPr>
          <w:rFonts w:ascii="Arial" w:hAnsi="Arial" w:cs="Arial"/>
          <w:sz w:val="20"/>
          <w:szCs w:val="16"/>
        </w:rPr>
        <w:t>t</w:t>
      </w:r>
      <w:r w:rsidR="00445CBE" w:rsidRPr="00445CBE">
        <w:rPr>
          <w:rFonts w:ascii="Arial" w:hAnsi="Arial" w:cs="Arial"/>
          <w:sz w:val="20"/>
          <w:szCs w:val="16"/>
        </w:rPr>
        <w:t>he WHC of gums varies depending on several factors, such as the balance of hydrophilic and hydrophobic amino acids in the protein molecule, as well as the associated lipid and carbohydrate fractions</w:t>
      </w:r>
      <w:r w:rsidR="00683CFF" w:rsidRPr="00683CFF">
        <w:rPr>
          <w:rFonts w:ascii="Arial" w:hAnsi="Arial" w:cs="Arial"/>
          <w:sz w:val="20"/>
          <w:szCs w:val="16"/>
        </w:rPr>
        <w:t>.</w:t>
      </w:r>
      <w:r w:rsidR="00683CFF">
        <w:rPr>
          <w:rFonts w:ascii="Arial" w:hAnsi="Arial" w:cs="Arial"/>
          <w:sz w:val="20"/>
          <w:szCs w:val="16"/>
        </w:rPr>
        <w:t xml:space="preserve"> </w:t>
      </w:r>
      <w:r w:rsidRPr="00C55F55">
        <w:rPr>
          <w:rFonts w:ascii="Arial" w:hAnsi="Arial" w:cs="Arial"/>
          <w:sz w:val="20"/>
          <w:szCs w:val="16"/>
        </w:rPr>
        <w:t>The poor WHC of cashew gum could be attributed to its neutral or slightly acidic salt (D-</w:t>
      </w:r>
      <w:proofErr w:type="spellStart"/>
      <w:r w:rsidRPr="00C55F55">
        <w:rPr>
          <w:rFonts w:ascii="Arial" w:hAnsi="Arial" w:cs="Arial"/>
          <w:sz w:val="20"/>
          <w:szCs w:val="16"/>
        </w:rPr>
        <w:t>glucoronic</w:t>
      </w:r>
      <w:proofErr w:type="spellEnd"/>
      <w:r w:rsidRPr="00C55F55">
        <w:rPr>
          <w:rFonts w:ascii="Arial" w:hAnsi="Arial" w:cs="Arial"/>
          <w:sz w:val="20"/>
          <w:szCs w:val="16"/>
        </w:rPr>
        <w:t xml:space="preserve">) of a complex polysaccharide containing calcium, magnesium and potassium ions </w:t>
      </w:r>
      <w:r w:rsidRPr="00C55F55">
        <w:rPr>
          <w:rFonts w:ascii="Arial" w:hAnsi="Arial" w:cs="Arial"/>
          <w:sz w:val="20"/>
          <w:szCs w:val="16"/>
        </w:rPr>
        <w:fldChar w:fldCharType="begin"/>
      </w:r>
      <w:r w:rsidR="00D9455A">
        <w:rPr>
          <w:rFonts w:ascii="Arial" w:hAnsi="Arial" w:cs="Arial"/>
          <w:sz w:val="20"/>
          <w:szCs w:val="16"/>
        </w:rPr>
        <w:instrText xml:space="preserve"> ADDIN ZOTERO_ITEM CSL_CITATION {"citationID":"R2QcDjBZ","properties":{"formattedCitation":"(Sarkar et al., 2018)","plainCitation":"(Sarkar et al., 2018)","noteIndex":0},"citationItems":[{"id":"wp0Dc69N/U6Uo3r9n","uris":["http://zotero.org/users/8588538/items/NDSDQE4R"],"itemData":{"id":1218,"type":"article-journal","abstract":"Studies on physico-chemical and functional properties of some natural Indian gums","container-title":"Asian Journal of Dairy and Food Research","ISSN":"0971-4456","issue":"2","page":"126-131","source":"arccjournals.com","title":"Studies on physico-chemical and functional properties of some natural Indian gums","volume":"37","author":[{"family":"Sarkar","given":"P. C."},{"family":"Sahu","given":"Upali"},{"family":"Binsi","given":"P. K."},{"family":"Nayak","given":"Natasha"},{"family":"Ninan","given":"George"},{"family":"Ravishanker","given":"C. N."}],"issued":{"date-parts":[["2018",5,14]]}}}],"schema":"https://github.com/citation-style-language/schema/raw/master/csl-citation.json"} </w:instrText>
      </w:r>
      <w:r w:rsidRPr="00C55F55">
        <w:rPr>
          <w:rFonts w:ascii="Arial" w:hAnsi="Arial" w:cs="Arial"/>
          <w:sz w:val="20"/>
          <w:szCs w:val="16"/>
        </w:rPr>
        <w:fldChar w:fldCharType="separate"/>
      </w:r>
      <w:r w:rsidR="00D9455A" w:rsidRPr="00D9455A">
        <w:rPr>
          <w:rFonts w:ascii="Arial" w:hAnsi="Arial" w:cs="Arial"/>
          <w:sz w:val="20"/>
        </w:rPr>
        <w:t>(Sarkar et al., 2018)</w:t>
      </w:r>
      <w:r w:rsidRPr="00C55F55">
        <w:rPr>
          <w:rFonts w:ascii="Arial" w:hAnsi="Arial" w:cs="Arial"/>
          <w:sz w:val="20"/>
          <w:szCs w:val="16"/>
        </w:rPr>
        <w:fldChar w:fldCharType="end"/>
      </w:r>
      <w:r w:rsidRPr="00C55F55">
        <w:rPr>
          <w:rFonts w:ascii="Arial" w:hAnsi="Arial" w:cs="Arial"/>
          <w:sz w:val="20"/>
          <w:szCs w:val="16"/>
        </w:rPr>
        <w:t>. The results</w:t>
      </w:r>
      <w:r w:rsidR="00466FB0">
        <w:rPr>
          <w:rFonts w:ascii="Arial" w:hAnsi="Arial" w:cs="Arial"/>
          <w:sz w:val="20"/>
          <w:szCs w:val="16"/>
        </w:rPr>
        <w:t xml:space="preserve"> (</w:t>
      </w:r>
      <w:r w:rsidR="00466FB0" w:rsidRPr="00466FB0">
        <w:rPr>
          <w:rFonts w:ascii="Arial" w:hAnsi="Arial" w:cs="Arial"/>
          <w:sz w:val="20"/>
          <w:szCs w:val="16"/>
        </w:rPr>
        <w:t>g of water/g of gum</w:t>
      </w:r>
      <w:r w:rsidR="00466FB0">
        <w:rPr>
          <w:rFonts w:ascii="Arial" w:hAnsi="Arial" w:cs="Arial"/>
          <w:sz w:val="20"/>
          <w:szCs w:val="16"/>
        </w:rPr>
        <w:t>)</w:t>
      </w:r>
      <w:r w:rsidRPr="00C55F55">
        <w:rPr>
          <w:rFonts w:ascii="Arial" w:hAnsi="Arial" w:cs="Arial"/>
          <w:sz w:val="20"/>
          <w:szCs w:val="16"/>
        </w:rPr>
        <w:t xml:space="preserve"> obtained in this study were </w:t>
      </w:r>
      <w:r w:rsidR="00651D03">
        <w:rPr>
          <w:rFonts w:ascii="Arial" w:hAnsi="Arial" w:cs="Arial"/>
          <w:sz w:val="20"/>
          <w:szCs w:val="16"/>
        </w:rPr>
        <w:t>inferior to</w:t>
      </w:r>
      <w:r w:rsidR="00683CFF">
        <w:rPr>
          <w:rFonts w:ascii="Arial" w:hAnsi="Arial" w:cs="Arial"/>
          <w:sz w:val="20"/>
          <w:szCs w:val="16"/>
        </w:rPr>
        <w:t xml:space="preserve"> </w:t>
      </w:r>
      <w:r w:rsidR="00683CFF" w:rsidRPr="00683CFF">
        <w:rPr>
          <w:rFonts w:ascii="Arial" w:hAnsi="Arial" w:cs="Arial"/>
          <w:i/>
          <w:iCs/>
          <w:sz w:val="20"/>
          <w:szCs w:val="16"/>
        </w:rPr>
        <w:t>Psyllium</w:t>
      </w:r>
      <w:r w:rsidR="00683CFF" w:rsidRPr="00683CFF">
        <w:rPr>
          <w:rFonts w:ascii="Arial" w:hAnsi="Arial" w:cs="Arial"/>
          <w:sz w:val="20"/>
          <w:szCs w:val="16"/>
        </w:rPr>
        <w:t xml:space="preserve"> gum</w:t>
      </w:r>
      <w:r w:rsidR="00651D03">
        <w:rPr>
          <w:rFonts w:ascii="Arial" w:hAnsi="Arial" w:cs="Arial"/>
          <w:sz w:val="20"/>
          <w:szCs w:val="16"/>
        </w:rPr>
        <w:t xml:space="preserve"> (</w:t>
      </w:r>
      <w:r w:rsidR="00BC01A5">
        <w:rPr>
          <w:rFonts w:ascii="Arial" w:hAnsi="Arial" w:cs="Arial"/>
          <w:sz w:val="20"/>
          <w:szCs w:val="16"/>
        </w:rPr>
        <w:t>10.24</w:t>
      </w:r>
      <w:r w:rsidR="00683CFF">
        <w:rPr>
          <w:rFonts w:ascii="Arial" w:hAnsi="Arial" w:cs="Arial"/>
          <w:sz w:val="20"/>
          <w:szCs w:val="16"/>
        </w:rPr>
        <w:t xml:space="preserve">, </w:t>
      </w:r>
      <w:r w:rsidR="00683CFF" w:rsidRPr="00683CFF">
        <w:rPr>
          <w:rFonts w:ascii="Arial" w:hAnsi="Arial" w:cs="Arial"/>
          <w:i/>
          <w:iCs/>
          <w:sz w:val="20"/>
          <w:szCs w:val="16"/>
        </w:rPr>
        <w:t>Xanthan</w:t>
      </w:r>
      <w:r w:rsidR="00683CFF" w:rsidRPr="00683CFF">
        <w:rPr>
          <w:rFonts w:ascii="Arial" w:hAnsi="Arial" w:cs="Arial"/>
          <w:sz w:val="20"/>
          <w:szCs w:val="16"/>
        </w:rPr>
        <w:t xml:space="preserve"> gum</w:t>
      </w:r>
      <w:r w:rsidR="00683CFF">
        <w:rPr>
          <w:rFonts w:ascii="Arial" w:hAnsi="Arial" w:cs="Arial"/>
          <w:sz w:val="20"/>
          <w:szCs w:val="16"/>
        </w:rPr>
        <w:t xml:space="preserve"> (</w:t>
      </w:r>
      <w:r w:rsidR="00BC01A5">
        <w:rPr>
          <w:rFonts w:ascii="Arial" w:hAnsi="Arial" w:cs="Arial"/>
          <w:sz w:val="20"/>
          <w:szCs w:val="16"/>
        </w:rPr>
        <w:t>10.00</w:t>
      </w:r>
      <w:r w:rsidR="00683CFF" w:rsidRPr="00C55F55">
        <w:rPr>
          <w:rFonts w:ascii="Arial" w:hAnsi="Arial" w:cs="Arial"/>
          <w:sz w:val="20"/>
          <w:szCs w:val="16"/>
        </w:rPr>
        <w:t>)</w:t>
      </w:r>
      <w:r w:rsidR="00651D03">
        <w:rPr>
          <w:rFonts w:ascii="Arial" w:hAnsi="Arial" w:cs="Arial"/>
          <w:sz w:val="20"/>
          <w:szCs w:val="16"/>
        </w:rPr>
        <w:t>,</w:t>
      </w:r>
      <w:r w:rsidR="00BC01A5">
        <w:rPr>
          <w:rFonts w:ascii="Arial" w:hAnsi="Arial" w:cs="Arial"/>
          <w:sz w:val="20"/>
          <w:szCs w:val="16"/>
        </w:rPr>
        <w:t xml:space="preserve"> </w:t>
      </w:r>
      <w:r w:rsidR="00BC01A5" w:rsidRPr="00683CFF">
        <w:rPr>
          <w:rFonts w:ascii="Arial" w:hAnsi="Arial" w:cs="Arial"/>
          <w:i/>
          <w:iCs/>
          <w:sz w:val="20"/>
          <w:szCs w:val="16"/>
        </w:rPr>
        <w:t>Tragacanth</w:t>
      </w:r>
      <w:r w:rsidR="00BC01A5">
        <w:rPr>
          <w:rFonts w:ascii="Arial" w:hAnsi="Arial" w:cs="Arial"/>
          <w:sz w:val="20"/>
          <w:szCs w:val="16"/>
        </w:rPr>
        <w:t xml:space="preserve"> gum (8.65),</w:t>
      </w:r>
      <w:r w:rsidR="00651D03">
        <w:rPr>
          <w:rFonts w:ascii="Arial" w:hAnsi="Arial" w:cs="Arial"/>
          <w:sz w:val="20"/>
          <w:szCs w:val="16"/>
        </w:rPr>
        <w:t xml:space="preserve"> similar to </w:t>
      </w:r>
      <w:r w:rsidR="00651D03" w:rsidRPr="00651D03">
        <w:rPr>
          <w:rFonts w:ascii="Arial" w:hAnsi="Arial" w:cs="Arial"/>
          <w:sz w:val="20"/>
          <w:szCs w:val="16"/>
        </w:rPr>
        <w:t>Tamarind gum</w:t>
      </w:r>
      <w:r w:rsidR="00651D03">
        <w:rPr>
          <w:rFonts w:ascii="Arial" w:hAnsi="Arial" w:cs="Arial"/>
          <w:sz w:val="20"/>
          <w:szCs w:val="16"/>
        </w:rPr>
        <w:t xml:space="preserve"> (</w:t>
      </w:r>
      <w:r w:rsidR="00BC01A5">
        <w:rPr>
          <w:rFonts w:ascii="Arial" w:hAnsi="Arial" w:cs="Arial"/>
          <w:sz w:val="20"/>
          <w:szCs w:val="16"/>
        </w:rPr>
        <w:t>2.79</w:t>
      </w:r>
      <w:r w:rsidR="00651D03">
        <w:rPr>
          <w:rFonts w:ascii="Arial" w:hAnsi="Arial" w:cs="Arial"/>
          <w:sz w:val="20"/>
          <w:szCs w:val="16"/>
        </w:rPr>
        <w:t xml:space="preserve">), </w:t>
      </w:r>
      <w:r w:rsidR="00651D03" w:rsidRPr="00651D03">
        <w:rPr>
          <w:rFonts w:ascii="Arial" w:hAnsi="Arial" w:cs="Arial"/>
          <w:sz w:val="20"/>
          <w:szCs w:val="16"/>
        </w:rPr>
        <w:t>Guar gum</w:t>
      </w:r>
      <w:r w:rsidR="00651D03">
        <w:rPr>
          <w:rFonts w:ascii="Arial" w:hAnsi="Arial" w:cs="Arial"/>
          <w:sz w:val="20"/>
          <w:szCs w:val="16"/>
        </w:rPr>
        <w:t xml:space="preserve"> (</w:t>
      </w:r>
      <w:r w:rsidR="00BC01A5">
        <w:rPr>
          <w:rFonts w:ascii="Arial" w:hAnsi="Arial" w:cs="Arial"/>
          <w:sz w:val="20"/>
          <w:szCs w:val="16"/>
        </w:rPr>
        <w:t>2.00</w:t>
      </w:r>
      <w:r w:rsidR="00651D03">
        <w:rPr>
          <w:rFonts w:ascii="Arial" w:hAnsi="Arial" w:cs="Arial"/>
          <w:sz w:val="20"/>
          <w:szCs w:val="16"/>
        </w:rPr>
        <w:t xml:space="preserve">) and </w:t>
      </w:r>
      <w:r w:rsidRPr="00C55F55">
        <w:rPr>
          <w:rFonts w:ascii="Arial" w:hAnsi="Arial" w:cs="Arial"/>
          <w:sz w:val="20"/>
          <w:szCs w:val="16"/>
        </w:rPr>
        <w:t xml:space="preserve">high </w:t>
      </w:r>
      <w:r w:rsidR="00651D03">
        <w:rPr>
          <w:rFonts w:ascii="Arial" w:hAnsi="Arial" w:cs="Arial"/>
          <w:sz w:val="20"/>
          <w:szCs w:val="16"/>
        </w:rPr>
        <w:t xml:space="preserve">compared </w:t>
      </w:r>
      <w:r w:rsidRPr="00C55F55">
        <w:rPr>
          <w:rFonts w:ascii="Arial" w:hAnsi="Arial" w:cs="Arial"/>
          <w:sz w:val="20"/>
          <w:szCs w:val="16"/>
        </w:rPr>
        <w:t>to</w:t>
      </w:r>
      <w:r w:rsidR="00651D03">
        <w:rPr>
          <w:rFonts w:ascii="Arial" w:hAnsi="Arial" w:cs="Arial"/>
          <w:sz w:val="20"/>
          <w:szCs w:val="16"/>
        </w:rPr>
        <w:t xml:space="preserve"> g</w:t>
      </w:r>
      <w:r w:rsidR="00651D03" w:rsidRPr="00651D03">
        <w:rPr>
          <w:rFonts w:ascii="Arial" w:hAnsi="Arial" w:cs="Arial"/>
          <w:sz w:val="20"/>
          <w:szCs w:val="16"/>
        </w:rPr>
        <w:t xml:space="preserve">um </w:t>
      </w:r>
      <w:r w:rsidR="00651D03" w:rsidRPr="00BC01A5">
        <w:rPr>
          <w:rFonts w:ascii="Arial" w:hAnsi="Arial" w:cs="Arial"/>
          <w:i/>
          <w:iCs/>
          <w:sz w:val="20"/>
          <w:szCs w:val="16"/>
        </w:rPr>
        <w:t>Acacia</w:t>
      </w:r>
      <w:r w:rsidR="00BC01A5">
        <w:rPr>
          <w:rFonts w:ascii="Arial" w:hAnsi="Arial" w:cs="Arial"/>
          <w:i/>
          <w:iCs/>
          <w:sz w:val="20"/>
          <w:szCs w:val="16"/>
        </w:rPr>
        <w:t xml:space="preserve"> </w:t>
      </w:r>
      <w:r w:rsidR="00BC01A5">
        <w:rPr>
          <w:rFonts w:ascii="Arial" w:hAnsi="Arial" w:cs="Arial"/>
          <w:sz w:val="20"/>
          <w:szCs w:val="16"/>
        </w:rPr>
        <w:t>(1.50)</w:t>
      </w:r>
      <w:r w:rsidR="00651D03">
        <w:rPr>
          <w:rFonts w:ascii="Arial" w:hAnsi="Arial" w:cs="Arial"/>
          <w:sz w:val="20"/>
          <w:szCs w:val="16"/>
        </w:rPr>
        <w:t xml:space="preserve">, </w:t>
      </w:r>
      <w:r w:rsidR="00651D03" w:rsidRPr="00BC01A5">
        <w:rPr>
          <w:rFonts w:ascii="Arial" w:hAnsi="Arial" w:cs="Arial"/>
          <w:i/>
          <w:iCs/>
          <w:sz w:val="20"/>
          <w:szCs w:val="16"/>
        </w:rPr>
        <w:t>Karaya</w:t>
      </w:r>
      <w:r w:rsidR="00651D03" w:rsidRPr="00651D03">
        <w:rPr>
          <w:rFonts w:ascii="Arial" w:hAnsi="Arial" w:cs="Arial"/>
          <w:sz w:val="20"/>
          <w:szCs w:val="16"/>
        </w:rPr>
        <w:t xml:space="preserve"> gum</w:t>
      </w:r>
      <w:r w:rsidR="00BC01A5">
        <w:rPr>
          <w:rFonts w:ascii="Arial" w:hAnsi="Arial" w:cs="Arial"/>
          <w:sz w:val="20"/>
          <w:szCs w:val="16"/>
        </w:rPr>
        <w:t xml:space="preserve"> (0.34) (</w:t>
      </w:r>
      <w:r w:rsidRPr="00C55F55">
        <w:rPr>
          <w:rFonts w:ascii="Arial" w:hAnsi="Arial" w:cs="Arial"/>
          <w:sz w:val="20"/>
          <w:szCs w:val="16"/>
        </w:rPr>
        <w:t>Sarkar et al.</w:t>
      </w:r>
      <w:r w:rsidR="00BC01A5">
        <w:rPr>
          <w:rFonts w:ascii="Arial" w:hAnsi="Arial" w:cs="Arial"/>
          <w:sz w:val="20"/>
          <w:szCs w:val="16"/>
        </w:rPr>
        <w:t xml:space="preserve">, </w:t>
      </w:r>
      <w:r w:rsidRPr="00C55F55">
        <w:rPr>
          <w:rFonts w:ascii="Arial" w:hAnsi="Arial" w:cs="Arial"/>
          <w:sz w:val="20"/>
          <w:szCs w:val="16"/>
        </w:rPr>
        <w:t xml:space="preserve">2018). According to </w:t>
      </w:r>
      <w:r w:rsidRPr="00C55F55">
        <w:rPr>
          <w:rFonts w:ascii="Arial" w:hAnsi="Arial" w:cs="Arial"/>
          <w:sz w:val="20"/>
          <w:szCs w:val="16"/>
        </w:rPr>
        <w:fldChar w:fldCharType="begin"/>
      </w:r>
      <w:r w:rsidR="009779D8">
        <w:rPr>
          <w:rFonts w:ascii="Arial" w:hAnsi="Arial" w:cs="Arial"/>
          <w:sz w:val="20"/>
          <w:szCs w:val="16"/>
        </w:rPr>
        <w:instrText xml:space="preserve"> ADDIN ZOTERO_ITEM CSL_CITATION {"citationID":"gSaIIMv4","properties":{"formattedCitation":"(Amid &amp; Mirhosseini, 2012a)","plainCitation":"(Amid &amp; Mirhosseini, 2012a)","noteIndex":0},"citationItems":[{"id":"wp0Dc69N/8Qjle026","uris":["http://zotero.org/users/local/2JspP3fw/items/K27KYKKE"],"itemData":{"id":"TzAxh0gL/9wiPFt6m","type":"article-journal","abstract":"Natural biopolymers from plant sources contain many impurities (e.g., fat, protein, fiber, natural pigment and endogenous enzymes), therefore, an efficient purification process is recommended to minimize these impurities and consequently improve the functional properties of the biopolymer. The main objective of the present study was to investigate the effect of different purification techniques on the yield, protein content, solubility, water- and oil-holding capacity of a heteropolysaccharide-protein biopolymer obtained from durian seed. Four different purification methods using different chemicals and solvents (i.e., A (isopropanol and ethanol), B (isopropanol and acetone), C (saturated barium hydroxide), and D (Fehling solution)] to liberate the purified biopolymer from its crude form were compared. In most cases, the purification process significantly (p &lt; 0.05) improved the physicochemical properties of heteropolysaccharide-protein biopolymer from durian fruit seed. The present work showed that the precipitation using isopropanol and acetone (Method B) resulted in the highest purification yield among all the tested purification techniques. The precipitation using saturated barium hydroxide (Method C) led to induce the highest solubility and relatively high capacity of water absorption. The current study reveals that the precipitation using Fehling solution (Method D) most efficiently eliminates the protein fraction, thus providing more pure biopolymer suitable for biological applications.","container-title":"Molecules","DOI":"10.3390/molecules170910875","ISSN":"1420-3049","issue":"9","language":"en","license":"http://creativecommons.org/licenses/by/3.0/","note":"number: 9\npublisher: Molecular Diversity Preservation International","page":"10875-10892","source":"www.mdpi.com","title":"Effect of Different Purification Techniques on the Characteristics of Heteropolysaccharide-Protein Biopolymer from Durian (Durio zibethinus) Seed","volume":"17","author":[{"family":"Amid","given":"Bahareh Tabatabaee"},{"family":"Mirhosseini","given":"Hamed"}],"issued":{"date-parts":[["2012",9]]}}}],"schema":"https://github.com/citation-style-language/schema/raw/master/csl-citation.json"} </w:instrText>
      </w:r>
      <w:r w:rsidRPr="00C55F55">
        <w:rPr>
          <w:rFonts w:ascii="Arial" w:hAnsi="Arial" w:cs="Arial"/>
          <w:sz w:val="20"/>
          <w:szCs w:val="16"/>
        </w:rPr>
        <w:fldChar w:fldCharType="separate"/>
      </w:r>
      <w:r w:rsidR="009779D8" w:rsidRPr="009779D8">
        <w:rPr>
          <w:rFonts w:ascii="Arial" w:hAnsi="Arial" w:cs="Arial"/>
          <w:sz w:val="20"/>
        </w:rPr>
        <w:t>(Amid &amp; Mirhosseini, 2012a)</w:t>
      </w:r>
      <w:r w:rsidRPr="00C55F55">
        <w:rPr>
          <w:rFonts w:ascii="Arial" w:hAnsi="Arial" w:cs="Arial"/>
          <w:sz w:val="20"/>
          <w:szCs w:val="16"/>
        </w:rPr>
        <w:fldChar w:fldCharType="end"/>
      </w:r>
      <w:r w:rsidRPr="00C55F55">
        <w:rPr>
          <w:rFonts w:ascii="Arial" w:hAnsi="Arial" w:cs="Arial"/>
          <w:sz w:val="20"/>
          <w:szCs w:val="16"/>
        </w:rPr>
        <w:t>, a uniformly fine gum structure with small pores is likely to result in a higher WHC and better water retention than a coarse structure with large pores.</w:t>
      </w:r>
      <w:r w:rsidR="00BC01A5">
        <w:rPr>
          <w:rFonts w:ascii="Arial" w:hAnsi="Arial" w:cs="Arial"/>
          <w:sz w:val="20"/>
          <w:szCs w:val="16"/>
        </w:rPr>
        <w:t xml:space="preserve"> </w:t>
      </w:r>
      <w:r w:rsidR="00BC01A5" w:rsidRPr="00BC01A5">
        <w:rPr>
          <w:rFonts w:ascii="Arial" w:hAnsi="Arial" w:cs="Arial"/>
          <w:sz w:val="20"/>
          <w:szCs w:val="16"/>
        </w:rPr>
        <w:t xml:space="preserve">Gum exudates are used in industry because of their high-water </w:t>
      </w:r>
      <w:r w:rsidR="009779D8">
        <w:rPr>
          <w:rFonts w:ascii="Arial" w:hAnsi="Arial" w:cs="Arial"/>
          <w:sz w:val="20"/>
          <w:szCs w:val="16"/>
        </w:rPr>
        <w:t>holding</w:t>
      </w:r>
      <w:r w:rsidR="00BC01A5" w:rsidRPr="00BC01A5">
        <w:rPr>
          <w:rFonts w:ascii="Arial" w:hAnsi="Arial" w:cs="Arial"/>
          <w:sz w:val="20"/>
          <w:szCs w:val="16"/>
        </w:rPr>
        <w:t xml:space="preserve"> capacity. This can be used to create gels or very viscous solutions and to improve food texture </w:t>
      </w:r>
      <w:r w:rsidR="009779D8">
        <w:rPr>
          <w:rFonts w:ascii="Arial" w:hAnsi="Arial" w:cs="Arial"/>
          <w:sz w:val="20"/>
          <w:szCs w:val="16"/>
        </w:rPr>
        <w:fldChar w:fldCharType="begin"/>
      </w:r>
      <w:r w:rsidR="009779D8">
        <w:rPr>
          <w:rFonts w:ascii="Arial" w:hAnsi="Arial" w:cs="Arial"/>
          <w:sz w:val="20"/>
          <w:szCs w:val="16"/>
        </w:rPr>
        <w:instrText xml:space="preserve"> ADDIN ZOTERO_ITEM CSL_CITATION {"citationID":"14B0VSpn","properties":{"formattedCitation":"(Amid &amp; Mirhosseini, 2012b; Chaudhari &amp; Annapure, 2021)","plainCitation":"(Amid &amp; Mirhosseini, 2012b; Chaudhari &amp; Annapure, 2021)","noteIndex":0},"citationItems":[{"id":97,"uris":["http://zotero.org/users/16649851/items/D26SHTJD"],"itemData":{"id":97,"type":"article-journal","abstract":"The aim of the present study was to investigate the effects of different purification and drying methods on the viscoelastic behaviour and rheological properties of durian seed gum. The results indicated that the purified gum A (using isopropanol and ethanol) and D (using hydrochloric acid and ethanol) showed the highest and lowest viscosity, respectively. Four drying techniques included oven drying (105°C), freeze drying, spray drying and vacuum oven drying. In the present work, all purified gums exhibited more elastic (gel-like) behaviour than the viscous (liquid-like) behaviour (G″&lt;G′). The current study revealed that all drying methods led to significantly diminish the elastic (G′) and viscous modulus (G″) of durian seed gum. The freeze-dried gum and oven-dried (105°C) gum exhibited the highest and lowest viscous modulus (G″), respectively.","container-title":"Carbohydrate Polymers","DOI":"10.1016/j.carbpol.2012.05.065","ISSN":"0144-8617","issue":"1","journalAbbreviation":"Carbohydrate Polymers","page":"452-461","source":"ScienceDirect","title":"Influence of different purification and drying methods on rheological properties and viscoelastic behaviour of durian seed gum","volume":"90","author":[{"family":"Amid","given":"Bahareh Tabatabaee"},{"family":"Mirhosseini","given":"Hamed"}],"issued":{"date-parts":[["2012",9,1]]}}},{"id":236,"uris":["http://zotero.org/users/16649851/items/VLK9XE2D"],"itemData":{"id":236,"type":"article-journal","abstract":"Limonia acidissima L., locally known as “Kavat” is the major gum yielding plant of the Indian sub-continent; however, it is not yet explored commercially. This study explained the physio-chemical and functional properties of the L. acidissima L. gum comparing with gum Acacia and their suitable application in extrusion processing. The purified gum was water-soluble and showed pseudoplastic behavior. Monosaccharide composition of Kavat gum quantified the presence of arabinose (38.81%) as major sugar. SEM and XRD confirmed both the gums' amorphous nature, while DSC and TGA analysis showed gums' good thermal stability. Gums' effect on extrusion cooking and extruded product properties was studied by evaluating water absorption index, expansion ratio, density, water solubility index, and extrudates' hardness. The remarkable properties of L. acidissima L. gum have been confirmed that the gum possesses the potentials to be used as an additive in food and other industries.","container-title":"Carbohydrate Polymer Technologies and Applications","DOI":"10.1016/j.carpta.2020.100020","ISSN":"2666-8939","journalAbbreviation":"Carbohydrate Polymer Technologies and Applications","page":"100020","source":"ScienceDirect","title":"Rheological, Physicochemical, and Spectroscopic characterizations of &lt;i&gt;Limonia acidissima&lt;/i&gt; L. gum exudate with an application in extrusion processing","volume":"2","author":[{"family":"Chaudhari","given":"B. B."},{"family":"Annapure","given":"U. S."}],"issued":{"date-parts":[["2021",12,25]]}}}],"schema":"https://github.com/citation-style-language/schema/raw/master/csl-citation.json"} </w:instrText>
      </w:r>
      <w:r w:rsidR="009779D8">
        <w:rPr>
          <w:rFonts w:ascii="Arial" w:hAnsi="Arial" w:cs="Arial"/>
          <w:sz w:val="20"/>
          <w:szCs w:val="16"/>
        </w:rPr>
        <w:fldChar w:fldCharType="separate"/>
      </w:r>
      <w:r w:rsidR="009779D8" w:rsidRPr="009779D8">
        <w:rPr>
          <w:rFonts w:ascii="Arial" w:hAnsi="Arial" w:cs="Arial"/>
          <w:sz w:val="20"/>
        </w:rPr>
        <w:t>(Amid &amp; Mirhosseini, 2012b; Chaudhari &amp; Annapure, 2021)</w:t>
      </w:r>
      <w:r w:rsidR="009779D8">
        <w:rPr>
          <w:rFonts w:ascii="Arial" w:hAnsi="Arial" w:cs="Arial"/>
          <w:sz w:val="20"/>
          <w:szCs w:val="16"/>
        </w:rPr>
        <w:fldChar w:fldCharType="end"/>
      </w:r>
      <w:r w:rsidR="00BC01A5" w:rsidRPr="00BC01A5">
        <w:rPr>
          <w:rFonts w:ascii="Arial" w:hAnsi="Arial" w:cs="Arial"/>
          <w:sz w:val="20"/>
          <w:szCs w:val="16"/>
        </w:rPr>
        <w:t xml:space="preserve">. Additionally, it is crucial to assess the WAC of gum in terms of storage circumstances </w:t>
      </w:r>
      <w:r w:rsidR="009779D8">
        <w:rPr>
          <w:rFonts w:ascii="Arial" w:hAnsi="Arial" w:cs="Arial"/>
          <w:sz w:val="20"/>
          <w:szCs w:val="16"/>
        </w:rPr>
        <w:fldChar w:fldCharType="begin"/>
      </w:r>
      <w:r w:rsidR="009779D8">
        <w:rPr>
          <w:rFonts w:ascii="Arial" w:hAnsi="Arial" w:cs="Arial"/>
          <w:sz w:val="20"/>
          <w:szCs w:val="16"/>
        </w:rPr>
        <w:instrText xml:space="preserve"> ADDIN ZOTERO_ITEM CSL_CITATION {"citationID":"EDarYgh4","properties":{"formattedCitation":"(Amid &amp; Mirhosseini, 2012b)","plainCitation":"(Amid &amp; Mirhosseini, 2012b)","noteIndex":0},"citationItems":[{"id":97,"uris":["http://zotero.org/users/16649851/items/D26SHTJD"],"itemData":{"id":97,"type":"article-journal","abstract":"The aim of the present study was to investigate the effects of different purification and drying methods on the viscoelastic behaviour and rheological properties of durian seed gum. The results indicated that the purified gum A (using isopropanol and ethanol) and D (using hydrochloric acid and ethanol) showed the highest and lowest viscosity, respectively. Four drying techniques included oven drying (105°C), freeze drying, spray drying and vacuum oven drying. In the present work, all purified gums exhibited more elastic (gel-like) behaviour than the viscous (liquid-like) behaviour (G″&lt;G′). The current study revealed that all drying methods led to significantly diminish the elastic (G′) and viscous modulus (G″) of durian seed gum. The freeze-dried gum and oven-dried (105°C) gum exhibited the highest and lowest viscous modulus (G″), respectively.","container-title":"Carbohydrate Polymers","DOI":"10.1016/j.carbpol.2012.05.065","ISSN":"0144-8617","issue":"1","journalAbbreviation":"Carbohydrate Polymers","page":"452-461","source":"ScienceDirect","title":"Influence of different purification and drying methods on rheological properties and viscoelastic behaviour of durian seed gum","volume":"90","author":[{"family":"Amid","given":"Bahareh Tabatabaee"},{"family":"Mirhosseini","given":"Hamed"}],"issued":{"date-parts":[["2012",9,1]]}}}],"schema":"https://github.com/citation-style-language/schema/raw/master/csl-citation.json"} </w:instrText>
      </w:r>
      <w:r w:rsidR="009779D8">
        <w:rPr>
          <w:rFonts w:ascii="Arial" w:hAnsi="Arial" w:cs="Arial"/>
          <w:sz w:val="20"/>
          <w:szCs w:val="16"/>
        </w:rPr>
        <w:fldChar w:fldCharType="separate"/>
      </w:r>
      <w:r w:rsidR="009779D8" w:rsidRPr="009779D8">
        <w:rPr>
          <w:rFonts w:ascii="Arial" w:hAnsi="Arial" w:cs="Arial"/>
          <w:sz w:val="20"/>
        </w:rPr>
        <w:t>(Amid &amp; Mirhosseini, 2012b)</w:t>
      </w:r>
      <w:r w:rsidR="009779D8">
        <w:rPr>
          <w:rFonts w:ascii="Arial" w:hAnsi="Arial" w:cs="Arial"/>
          <w:sz w:val="20"/>
          <w:szCs w:val="16"/>
        </w:rPr>
        <w:fldChar w:fldCharType="end"/>
      </w:r>
      <w:r w:rsidR="00BC01A5" w:rsidRPr="00BC01A5">
        <w:rPr>
          <w:rFonts w:ascii="Arial" w:hAnsi="Arial" w:cs="Arial"/>
          <w:sz w:val="20"/>
          <w:szCs w:val="16"/>
        </w:rPr>
        <w:t>.</w:t>
      </w:r>
    </w:p>
    <w:p w14:paraId="113BA9D0" w14:textId="77777777" w:rsidR="00CA54AA" w:rsidRDefault="00CA54AA" w:rsidP="00B45E51">
      <w:pPr>
        <w:pStyle w:val="Contenudetableau"/>
      </w:pPr>
      <w:r>
        <w:rPr>
          <w:noProof/>
        </w:rPr>
        <w:drawing>
          <wp:inline distT="0" distB="0" distL="0" distR="0" wp14:anchorId="10E57DD4" wp14:editId="563F7295">
            <wp:extent cx="5257800" cy="2181225"/>
            <wp:effectExtent l="0" t="0" r="0" b="0"/>
            <wp:docPr id="1246042515" name="Graphique 1">
              <a:extLst xmlns:a="http://schemas.openxmlformats.org/drawingml/2006/main">
                <a:ext uri="{FF2B5EF4-FFF2-40B4-BE49-F238E27FC236}">
                  <a16:creationId xmlns:a16="http://schemas.microsoft.com/office/drawing/2014/main" id="{7C366EB0-37F7-97CE-2CE5-C8F26A0441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656795" w14:textId="22A2F39B" w:rsidR="00275E86" w:rsidRPr="00275E86" w:rsidRDefault="00275E86" w:rsidP="00275E86">
      <w:pPr>
        <w:pStyle w:val="Revista"/>
        <w:ind w:firstLine="0"/>
        <w:jc w:val="center"/>
        <w:rPr>
          <w:rFonts w:ascii="Arial" w:hAnsi="Arial" w:cs="Arial"/>
          <w:b/>
          <w:bCs/>
          <w:sz w:val="20"/>
        </w:rPr>
      </w:pPr>
      <w:r w:rsidRPr="00275E86">
        <w:rPr>
          <w:rFonts w:ascii="Arial" w:hAnsi="Arial" w:cs="Arial"/>
          <w:b/>
          <w:bCs/>
          <w:sz w:val="20"/>
        </w:rPr>
        <w:t xml:space="preserve">Fig. </w:t>
      </w:r>
      <w:r w:rsidRPr="00275E86">
        <w:rPr>
          <w:rFonts w:ascii="Arial" w:hAnsi="Arial" w:cs="Arial"/>
          <w:b/>
          <w:bCs/>
          <w:sz w:val="20"/>
        </w:rPr>
        <w:fldChar w:fldCharType="begin"/>
      </w:r>
      <w:r w:rsidRPr="00275E86">
        <w:rPr>
          <w:rFonts w:ascii="Arial" w:hAnsi="Arial" w:cs="Arial"/>
          <w:b/>
          <w:bCs/>
          <w:sz w:val="20"/>
        </w:rPr>
        <w:instrText xml:space="preserve"> SEQ Fig. \* ARABIC </w:instrText>
      </w:r>
      <w:r w:rsidRPr="00275E86">
        <w:rPr>
          <w:rFonts w:ascii="Arial" w:hAnsi="Arial" w:cs="Arial"/>
          <w:b/>
          <w:bCs/>
          <w:sz w:val="20"/>
        </w:rPr>
        <w:fldChar w:fldCharType="separate"/>
      </w:r>
      <w:r>
        <w:rPr>
          <w:rFonts w:ascii="Arial" w:hAnsi="Arial" w:cs="Arial"/>
          <w:b/>
          <w:bCs/>
          <w:noProof/>
          <w:sz w:val="20"/>
        </w:rPr>
        <w:t>6</w:t>
      </w:r>
      <w:r w:rsidRPr="00275E86">
        <w:rPr>
          <w:rFonts w:ascii="Arial" w:hAnsi="Arial" w:cs="Arial"/>
          <w:b/>
          <w:bCs/>
          <w:sz w:val="20"/>
        </w:rPr>
        <w:fldChar w:fldCharType="end"/>
      </w:r>
      <w:r w:rsidRPr="00275E86">
        <w:rPr>
          <w:rFonts w:ascii="Arial" w:hAnsi="Arial" w:cs="Arial"/>
          <w:b/>
          <w:bCs/>
          <w:sz w:val="20"/>
        </w:rPr>
        <w:t>: Effect of purification method on gum water solubility index</w:t>
      </w:r>
    </w:p>
    <w:p w14:paraId="2F093FE8" w14:textId="58325C15" w:rsidR="00CA54AA" w:rsidRPr="00E6314E" w:rsidRDefault="00CA54AA" w:rsidP="00E6314E">
      <w:pPr>
        <w:pStyle w:val="Revista"/>
        <w:spacing w:before="240"/>
        <w:ind w:firstLine="0"/>
        <w:jc w:val="center"/>
        <w:rPr>
          <w:rFonts w:ascii="Arial" w:hAnsi="Arial" w:cs="Arial"/>
          <w:sz w:val="20"/>
        </w:rPr>
      </w:pPr>
      <w:r w:rsidRPr="00E6314E">
        <w:rPr>
          <w:rFonts w:ascii="Arial" w:hAnsi="Arial" w:cs="Arial"/>
          <w:b/>
          <w:i/>
          <w:sz w:val="20"/>
        </w:rPr>
        <w:t>E</w:t>
      </w:r>
      <w:r w:rsidRPr="00E6314E">
        <w:rPr>
          <w:rFonts w:ascii="Arial" w:hAnsi="Arial" w:cs="Arial"/>
          <w:i/>
          <w:sz w:val="20"/>
        </w:rPr>
        <w:t xml:space="preserve"> = ethanol purification;</w:t>
      </w:r>
      <w:r w:rsidRPr="00E6314E">
        <w:rPr>
          <w:rFonts w:ascii="Arial" w:hAnsi="Arial" w:cs="Arial"/>
          <w:b/>
          <w:i/>
          <w:sz w:val="20"/>
        </w:rPr>
        <w:t xml:space="preserve"> I </w:t>
      </w:r>
      <w:r w:rsidRPr="00E6314E">
        <w:rPr>
          <w:rFonts w:ascii="Arial" w:hAnsi="Arial" w:cs="Arial"/>
          <w:i/>
          <w:sz w:val="20"/>
        </w:rPr>
        <w:t>= isopropanol purification,</w:t>
      </w:r>
      <w:r w:rsidRPr="00E6314E">
        <w:rPr>
          <w:rFonts w:ascii="Arial" w:hAnsi="Arial" w:cs="Arial"/>
          <w:b/>
          <w:i/>
          <w:sz w:val="20"/>
        </w:rPr>
        <w:t xml:space="preserve"> EI</w:t>
      </w:r>
      <w:r w:rsidRPr="00E6314E">
        <w:rPr>
          <w:rFonts w:ascii="Arial" w:hAnsi="Arial" w:cs="Arial"/>
          <w:i/>
          <w:sz w:val="20"/>
        </w:rPr>
        <w:t xml:space="preserve"> = ethanol and isopropanol purification; and</w:t>
      </w:r>
      <w:r w:rsidR="00E6314E">
        <w:rPr>
          <w:rFonts w:ascii="Arial" w:hAnsi="Arial" w:cs="Arial"/>
          <w:sz w:val="20"/>
        </w:rPr>
        <w:t xml:space="preserve"> </w:t>
      </w:r>
      <w:r w:rsidRPr="00E6314E">
        <w:rPr>
          <w:rFonts w:ascii="Arial" w:hAnsi="Arial" w:cs="Arial"/>
          <w:b/>
          <w:i/>
          <w:sz w:val="20"/>
        </w:rPr>
        <w:t>Fs</w:t>
      </w:r>
      <w:r w:rsidRPr="00E6314E">
        <w:rPr>
          <w:rFonts w:ascii="Arial" w:hAnsi="Arial" w:cs="Arial"/>
          <w:i/>
          <w:sz w:val="20"/>
        </w:rPr>
        <w:t xml:space="preserve"> = Fehling's solution purification. Values are expressed as mean ± standard deviation. Mean values with different superscript letters were significantly different (p &lt; 0.05).</w:t>
      </w:r>
    </w:p>
    <w:p w14:paraId="5F1D64EA" w14:textId="2204D3BC" w:rsidR="00E6314E" w:rsidRPr="00E6314E" w:rsidRDefault="00E6314E" w:rsidP="005572BE">
      <w:pPr>
        <w:pStyle w:val="Revista"/>
        <w:spacing w:before="240"/>
        <w:ind w:firstLine="0"/>
        <w:rPr>
          <w:rFonts w:ascii="Arial" w:hAnsi="Arial" w:cs="Arial"/>
          <w:sz w:val="20"/>
        </w:rPr>
      </w:pPr>
      <w:r w:rsidRPr="00E6314E">
        <w:rPr>
          <w:rFonts w:ascii="Arial" w:hAnsi="Arial" w:cs="Arial"/>
          <w:sz w:val="20"/>
        </w:rPr>
        <w:t xml:space="preserve">The ANOVA shows that the purification method has a statistically significant effect </w:t>
      </w:r>
      <w:r w:rsidR="00BF41D5" w:rsidRPr="00BF41D5">
        <w:rPr>
          <w:rFonts w:ascii="Arial" w:hAnsi="Arial" w:cs="Arial"/>
          <w:i/>
          <w:iCs/>
          <w:sz w:val="20"/>
          <w:szCs w:val="16"/>
        </w:rPr>
        <w:t>(P = .05)</w:t>
      </w:r>
      <w:r w:rsidRPr="00E6314E">
        <w:rPr>
          <w:rFonts w:ascii="Arial" w:hAnsi="Arial" w:cs="Arial"/>
          <w:sz w:val="20"/>
        </w:rPr>
        <w:t xml:space="preserve"> on the WHC of cashew gum and ranked in the following order: sample Fs (method D) &gt; sample E (method A) &gt; sample EI (method C) &gt; sample I (method B). According to</w:t>
      </w:r>
      <w:r w:rsidRPr="00E6314E">
        <w:rPr>
          <w:rFonts w:ascii="Arial" w:hAnsi="Arial" w:cs="Arial"/>
          <w:sz w:val="20"/>
        </w:rPr>
        <w:fldChar w:fldCharType="begin"/>
      </w:r>
      <w:r w:rsidR="00D9455A">
        <w:rPr>
          <w:rFonts w:ascii="Arial" w:hAnsi="Arial" w:cs="Arial"/>
          <w:sz w:val="20"/>
        </w:rPr>
        <w:instrText xml:space="preserve"> ADDIN ZOTERO_ITEM CSL_CITATION {"citationID":"xfKAFELU","properties":{"formattedCitation":"(Singh et al., 2024)","plainCitation":"(Singh et al., 2024)","dontUpdate":true,"noteIndex":0},"citationItems":[{"id":"wp0Dc69N/8iuk5zdp","uris":["http://zotero.org/users/8588538/items/FHV6LUM2"],"itemData":{"id":1233,"type":"article-journal","container-title":"ACS Omega","DOI":"10.1021/acsomega.3c08198","ISSN":"2470-1343, 2470-1343","issue":"9","journalAbbreviation":"ACS Omega","language":"en","license":"https://creativecommons.org/licenses/by-nc-nd/4.0/","page":"9974-9990","source":"DOI.org (Crossref)","title":"Gum Ghatti: A Comprehensive Review on Production, Processing, Remarkable Properties, and Diverse Applications","title-short":"Gum Ghatti","volume":"9","author":[{"family":"Singh","given":"Ranjit"},{"family":"Priya","given":"Himani"},{"family":"Kumar","given":"Simmi Ranjan"},{"family":"Trivedi","given":"Dipika"},{"family":"Prasad","given":"Niranjan"},{"family":"Ahmad","given":"Faraz"},{"family":"Chengaiyan","given":"Jeevitha Gada"},{"family":"Haque","given":"Shafiul"},{"family":"Rana","given":"Sandeep Singh"}],"issued":{"date-parts":[["2024",3,5]]}}}],"schema":"https://github.com/citation-style-language/schema/raw/master/csl-citation.json"} </w:instrText>
      </w:r>
      <w:r w:rsidRPr="00E6314E">
        <w:rPr>
          <w:rFonts w:ascii="Arial" w:hAnsi="Arial" w:cs="Arial"/>
          <w:sz w:val="20"/>
        </w:rPr>
        <w:fldChar w:fldCharType="separate"/>
      </w:r>
      <w:r w:rsidRPr="00E6314E">
        <w:rPr>
          <w:rFonts w:ascii="Arial" w:hAnsi="Arial" w:cs="Arial"/>
          <w:sz w:val="20"/>
        </w:rPr>
        <w:t xml:space="preserve"> Singh et al. (2024)</w:t>
      </w:r>
      <w:r w:rsidRPr="00E6314E">
        <w:rPr>
          <w:rFonts w:ascii="Arial" w:hAnsi="Arial" w:cs="Arial"/>
          <w:sz w:val="20"/>
        </w:rPr>
        <w:fldChar w:fldCharType="end"/>
      </w:r>
      <w:r w:rsidRPr="00E6314E">
        <w:rPr>
          <w:rFonts w:ascii="Arial" w:hAnsi="Arial" w:cs="Arial"/>
          <w:sz w:val="20"/>
        </w:rPr>
        <w:t xml:space="preserve">, the Water Holding Capacity (WHC) of exudate gums is of great industrial importance as it determines the rate of evaporation and freezing, moisture retention and texture. The WHC determines the safe storage conditions and preparation of food and pharmaceutical products. A higher WHC value for Fs (method D) is a good option for modifying the physical properties of food as well as for </w:t>
      </w:r>
      <w:proofErr w:type="spellStart"/>
      <w:r w:rsidRPr="00E6314E">
        <w:rPr>
          <w:rFonts w:ascii="Arial" w:hAnsi="Arial" w:cs="Arial"/>
          <w:sz w:val="20"/>
        </w:rPr>
        <w:t>stabilising</w:t>
      </w:r>
      <w:proofErr w:type="spellEnd"/>
      <w:r w:rsidRPr="00E6314E">
        <w:rPr>
          <w:rFonts w:ascii="Arial" w:hAnsi="Arial" w:cs="Arial"/>
          <w:sz w:val="20"/>
        </w:rPr>
        <w:t xml:space="preserve"> emulsions </w:t>
      </w:r>
      <w:r w:rsidRPr="00E6314E">
        <w:rPr>
          <w:rFonts w:ascii="Arial" w:hAnsi="Arial" w:cs="Arial"/>
          <w:sz w:val="20"/>
        </w:rPr>
        <w:fldChar w:fldCharType="begin"/>
      </w:r>
      <w:r w:rsidR="00D9455A">
        <w:rPr>
          <w:rFonts w:ascii="Arial" w:hAnsi="Arial" w:cs="Arial"/>
          <w:sz w:val="20"/>
        </w:rPr>
        <w:instrText xml:space="preserve"> ADDIN ZOTERO_ITEM CSL_CITATION {"citationID":"3xxCh4WP","properties":{"formattedCitation":"(Al-Ali et al., 2024)","plainCitation":"(Al-Ali et al., 2024)","noteIndex":0},"citationItems":[{"id":"wp0Dc69N/Xb5hwsiz","uris":["http://zotero.org/users/8588538/items/8QYEEJZ3"],"itemData":{"id":1229,"type":"article-journal","abstract":"Bread is a staple food in many countries worldwide. The aim of this study is the presentation of a novel type of bread prepared of wheat flour and extract of chia seed gum (CSG). The CSG was included in the wheat flour mixture in a concentration from 2 to 10%. The flour mixture was characterized by its rheological properties through amylography, farinography, and extensography tests. The bread was also subjected to texture, color, and tactile analysis. The highest grades of the bread in terms of appearance, flavor, aroma, texture, and color were shown for flour mixture that contained 10% of CSG (p &lt; 0.05); namely, this wheat mixture showed an improved value of volume, specific size, external and internal characteristics of bread.","container-title":"Future Foods","DOI":"10.1016/j.fufo.2024.100471","ISSN":"2666-8335","journalAbbreviation":"Future Foods","page":"100471","source":"ScienceDirect","title":"Chemical, rheological and sensory characteristics of wheat bread enriched with chia (&lt;i&gt;Salvia hispanica&lt;/i&gt; L.) seed gum","volume":"10","author":[{"family":"Al-Ali","given":"Rawdah M."},{"family":"Al-Ibresam","given":"Orass T."},{"family":"Al-Hilifi","given":"Sawsan A."},{"family":"Trajkovska Petkoska","given":"Anka"},{"family":"Korma","given":"Sameh A."}],"issued":{"date-parts":[["2024",12,1]]}}}],"schema":"https://github.com/citation-style-language/schema/raw/master/csl-citation.json"} </w:instrText>
      </w:r>
      <w:r w:rsidRPr="00E6314E">
        <w:rPr>
          <w:rFonts w:ascii="Arial" w:hAnsi="Arial" w:cs="Arial"/>
          <w:sz w:val="20"/>
        </w:rPr>
        <w:fldChar w:fldCharType="separate"/>
      </w:r>
      <w:r w:rsidR="00D9455A" w:rsidRPr="00D9455A">
        <w:rPr>
          <w:rFonts w:ascii="Arial" w:hAnsi="Arial" w:cs="Arial"/>
          <w:sz w:val="20"/>
        </w:rPr>
        <w:t>(Al-Ali et al., 2024)</w:t>
      </w:r>
      <w:r w:rsidRPr="00E6314E">
        <w:rPr>
          <w:rFonts w:ascii="Arial" w:hAnsi="Arial" w:cs="Arial"/>
          <w:sz w:val="20"/>
        </w:rPr>
        <w:fldChar w:fldCharType="end"/>
      </w:r>
      <w:r w:rsidRPr="00E6314E">
        <w:rPr>
          <w:rFonts w:ascii="Arial" w:hAnsi="Arial" w:cs="Arial"/>
          <w:sz w:val="20"/>
        </w:rPr>
        <w:t>.</w:t>
      </w:r>
    </w:p>
    <w:p w14:paraId="5E4D068D" w14:textId="77777777" w:rsidR="008802FB" w:rsidRDefault="00E6314E" w:rsidP="008802FB">
      <w:pPr>
        <w:pStyle w:val="Revista"/>
        <w:keepNext/>
        <w:spacing w:before="240"/>
        <w:ind w:firstLine="0"/>
        <w:jc w:val="center"/>
        <w:rPr>
          <w:rFonts w:ascii="Arial" w:hAnsi="Arial" w:cs="Arial"/>
          <w:b/>
          <w:bCs/>
          <w:sz w:val="20"/>
        </w:rPr>
      </w:pPr>
      <w:r w:rsidRPr="008802FB">
        <w:rPr>
          <w:rFonts w:ascii="Arial" w:hAnsi="Arial" w:cs="Arial"/>
          <w:noProof/>
          <w:sz w:val="20"/>
        </w:rPr>
        <w:lastRenderedPageBreak/>
        <w:drawing>
          <wp:inline distT="0" distB="0" distL="0" distR="0" wp14:anchorId="2181941D" wp14:editId="7BF809D0">
            <wp:extent cx="2926715" cy="1819275"/>
            <wp:effectExtent l="0" t="0" r="0" b="0"/>
            <wp:docPr id="18522704" name="Graphique 1">
              <a:extLst xmlns:a="http://schemas.openxmlformats.org/drawingml/2006/main">
                <a:ext uri="{FF2B5EF4-FFF2-40B4-BE49-F238E27FC236}">
                  <a16:creationId xmlns:a16="http://schemas.microsoft.com/office/drawing/2014/main" id="{7C6783CC-10A8-44C1-292F-DBB3245CF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08CC9BD" w14:textId="35268E67" w:rsidR="00EE79C7" w:rsidRDefault="00B45E51" w:rsidP="00EE79C7">
      <w:pPr>
        <w:pStyle w:val="Revista"/>
        <w:keepNext/>
        <w:spacing w:before="240"/>
        <w:ind w:firstLine="0"/>
        <w:jc w:val="center"/>
        <w:rPr>
          <w:rFonts w:ascii="Arial" w:hAnsi="Arial" w:cs="Arial"/>
          <w:b/>
          <w:bCs/>
          <w:sz w:val="20"/>
        </w:rPr>
      </w:pPr>
      <w:r w:rsidRPr="00EE79C7">
        <w:rPr>
          <w:rFonts w:ascii="Arial" w:hAnsi="Arial" w:cs="Arial"/>
          <w:b/>
          <w:bCs/>
          <w:sz w:val="20"/>
        </w:rPr>
        <w:t xml:space="preserve">Fig. </w:t>
      </w:r>
      <w:r w:rsidRPr="00EE79C7">
        <w:rPr>
          <w:rFonts w:ascii="Arial" w:hAnsi="Arial" w:cs="Arial"/>
          <w:b/>
          <w:bCs/>
          <w:sz w:val="20"/>
        </w:rPr>
        <w:fldChar w:fldCharType="begin"/>
      </w:r>
      <w:r w:rsidRPr="00EE79C7">
        <w:rPr>
          <w:rFonts w:ascii="Arial" w:hAnsi="Arial" w:cs="Arial"/>
          <w:b/>
          <w:bCs/>
          <w:sz w:val="20"/>
        </w:rPr>
        <w:instrText xml:space="preserve"> SEQ Fig. \* ARABIC </w:instrText>
      </w:r>
      <w:r w:rsidRPr="00EE79C7">
        <w:rPr>
          <w:rFonts w:ascii="Arial" w:hAnsi="Arial" w:cs="Arial"/>
          <w:b/>
          <w:bCs/>
          <w:sz w:val="20"/>
        </w:rPr>
        <w:fldChar w:fldCharType="separate"/>
      </w:r>
      <w:r w:rsidRPr="00EE79C7">
        <w:rPr>
          <w:rFonts w:ascii="Arial" w:hAnsi="Arial" w:cs="Arial"/>
          <w:b/>
          <w:bCs/>
          <w:noProof/>
          <w:sz w:val="20"/>
        </w:rPr>
        <w:t>7</w:t>
      </w:r>
      <w:r w:rsidRPr="00EE79C7">
        <w:rPr>
          <w:rFonts w:ascii="Arial" w:hAnsi="Arial" w:cs="Arial"/>
          <w:b/>
          <w:bCs/>
          <w:sz w:val="20"/>
        </w:rPr>
        <w:fldChar w:fldCharType="end"/>
      </w:r>
      <w:r w:rsidRPr="00EE79C7">
        <w:rPr>
          <w:rFonts w:ascii="Arial" w:hAnsi="Arial" w:cs="Arial"/>
          <w:b/>
          <w:bCs/>
          <w:sz w:val="20"/>
        </w:rPr>
        <w:t>: Effect of purification method on gum water solubility index</w:t>
      </w:r>
    </w:p>
    <w:p w14:paraId="45AEA078" w14:textId="77777777" w:rsidR="00EE79C7" w:rsidRPr="00EE79C7" w:rsidRDefault="00EE79C7" w:rsidP="00EE79C7"/>
    <w:p w14:paraId="1A574431" w14:textId="7BA8A8CB" w:rsidR="00CA54AA" w:rsidRPr="00FC63C1" w:rsidRDefault="00E6314E" w:rsidP="00FC63C1">
      <w:pPr>
        <w:pStyle w:val="Revista"/>
        <w:ind w:firstLine="0"/>
        <w:jc w:val="center"/>
        <w:rPr>
          <w:rFonts w:ascii="Arial" w:hAnsi="Arial" w:cs="Arial"/>
          <w:b/>
          <w:i/>
          <w:sz w:val="20"/>
        </w:rPr>
      </w:pPr>
      <w:r w:rsidRPr="00E6314E">
        <w:rPr>
          <w:rFonts w:ascii="Arial" w:hAnsi="Arial" w:cs="Arial"/>
          <w:i/>
          <w:sz w:val="20"/>
        </w:rPr>
        <w:t>E = ethanol purification;</w:t>
      </w:r>
      <w:r w:rsidRPr="00E6314E">
        <w:rPr>
          <w:rFonts w:ascii="Arial" w:hAnsi="Arial" w:cs="Arial"/>
          <w:b/>
          <w:i/>
          <w:sz w:val="20"/>
        </w:rPr>
        <w:t xml:space="preserve"> </w:t>
      </w:r>
      <w:r w:rsidRPr="00E6314E">
        <w:rPr>
          <w:rFonts w:ascii="Arial" w:hAnsi="Arial" w:cs="Arial"/>
          <w:i/>
          <w:sz w:val="20"/>
        </w:rPr>
        <w:t>I = isopropanol purification,</w:t>
      </w:r>
      <w:r w:rsidRPr="00E6314E">
        <w:rPr>
          <w:rFonts w:ascii="Arial" w:hAnsi="Arial" w:cs="Arial"/>
          <w:b/>
          <w:i/>
          <w:sz w:val="20"/>
        </w:rPr>
        <w:t xml:space="preserve"> </w:t>
      </w:r>
      <w:r w:rsidRPr="00E6314E">
        <w:rPr>
          <w:rFonts w:ascii="Arial" w:hAnsi="Arial" w:cs="Arial"/>
          <w:i/>
          <w:sz w:val="20"/>
        </w:rPr>
        <w:t>EI = ethanol and isopropanol</w:t>
      </w:r>
      <w:r>
        <w:rPr>
          <w:rFonts w:ascii="Arial" w:hAnsi="Arial" w:cs="Arial"/>
          <w:i/>
          <w:sz w:val="20"/>
        </w:rPr>
        <w:t xml:space="preserve"> </w:t>
      </w:r>
      <w:r w:rsidRPr="00E6314E">
        <w:rPr>
          <w:rFonts w:ascii="Arial" w:hAnsi="Arial" w:cs="Arial"/>
          <w:i/>
          <w:sz w:val="20"/>
        </w:rPr>
        <w:t>purification; and</w:t>
      </w:r>
      <w:r>
        <w:rPr>
          <w:rFonts w:ascii="Arial" w:hAnsi="Arial" w:cs="Arial"/>
          <w:b/>
          <w:i/>
          <w:sz w:val="20"/>
        </w:rPr>
        <w:t xml:space="preserve"> </w:t>
      </w:r>
      <w:r w:rsidRPr="00E6314E">
        <w:rPr>
          <w:rFonts w:ascii="Arial" w:hAnsi="Arial" w:cs="Arial"/>
          <w:i/>
          <w:sz w:val="20"/>
        </w:rPr>
        <w:t xml:space="preserve">Fs = Fehling's solution purification. Values are expressed as mean ± standard deviation. Mean values with different superscript letters were significantly different </w:t>
      </w:r>
      <w:r w:rsidR="008802FB" w:rsidRPr="00BF41D5">
        <w:rPr>
          <w:rFonts w:ascii="Arial" w:hAnsi="Arial" w:cs="Arial"/>
          <w:i/>
          <w:iCs/>
          <w:sz w:val="20"/>
          <w:szCs w:val="16"/>
        </w:rPr>
        <w:t>(P = .05</w:t>
      </w:r>
      <w:r w:rsidR="008802FB">
        <w:rPr>
          <w:rFonts w:ascii="Arial" w:hAnsi="Arial" w:cs="Arial"/>
          <w:i/>
          <w:iCs/>
          <w:sz w:val="20"/>
          <w:szCs w:val="16"/>
        </w:rPr>
        <w:t>)</w:t>
      </w:r>
      <w:r w:rsidRPr="00E6314E">
        <w:rPr>
          <w:rFonts w:ascii="Arial" w:hAnsi="Arial" w:cs="Arial"/>
          <w:i/>
          <w:sz w:val="20"/>
        </w:rPr>
        <w:t>.</w:t>
      </w:r>
    </w:p>
    <w:p w14:paraId="37DA3C88" w14:textId="77777777" w:rsidR="00EF4194" w:rsidRPr="003E1520" w:rsidRDefault="00EF4194" w:rsidP="00EF4194">
      <w:pPr>
        <w:pStyle w:val="Revista"/>
        <w:spacing w:before="240"/>
        <w:ind w:firstLine="0"/>
        <w:rPr>
          <w:rFonts w:ascii="Arial" w:hAnsi="Arial" w:cs="Arial"/>
          <w:b/>
          <w:bCs/>
          <w:sz w:val="22"/>
          <w:szCs w:val="18"/>
        </w:rPr>
      </w:pPr>
      <w:r w:rsidRPr="003E1520">
        <w:rPr>
          <w:rFonts w:ascii="Arial" w:hAnsi="Arial" w:cs="Arial"/>
          <w:b/>
          <w:sz w:val="22"/>
          <w:szCs w:val="18"/>
        </w:rPr>
        <w:t xml:space="preserve">3.7. </w:t>
      </w:r>
      <w:r w:rsidRPr="003E1520">
        <w:rPr>
          <w:rFonts w:ascii="Arial" w:hAnsi="Arial" w:cs="Arial"/>
          <w:b/>
          <w:bCs/>
          <w:sz w:val="22"/>
          <w:szCs w:val="18"/>
        </w:rPr>
        <w:t>Oil holding capacity (OHC)</w:t>
      </w:r>
    </w:p>
    <w:p w14:paraId="0C2B3766" w14:textId="019DF046" w:rsidR="00EF4194" w:rsidRPr="00EF4194" w:rsidRDefault="00EF4194" w:rsidP="00EF4194">
      <w:pPr>
        <w:pStyle w:val="Revista"/>
        <w:spacing w:before="240"/>
        <w:ind w:firstLine="0"/>
        <w:rPr>
          <w:rFonts w:ascii="Arial" w:hAnsi="Arial" w:cs="Arial"/>
          <w:b/>
          <w:bCs/>
          <w:sz w:val="20"/>
          <w:szCs w:val="16"/>
        </w:rPr>
      </w:pPr>
      <w:r w:rsidRPr="00EF4194">
        <w:rPr>
          <w:rFonts w:ascii="Arial" w:hAnsi="Arial" w:cs="Arial"/>
          <w:sz w:val="20"/>
          <w:szCs w:val="16"/>
        </w:rPr>
        <w:t xml:space="preserve">The </w:t>
      </w:r>
      <w:r w:rsidR="003F4153">
        <w:rPr>
          <w:rFonts w:ascii="Arial" w:hAnsi="Arial" w:cs="Arial"/>
          <w:sz w:val="20"/>
          <w:szCs w:val="16"/>
        </w:rPr>
        <w:t>o</w:t>
      </w:r>
      <w:r w:rsidRPr="00EF4194">
        <w:rPr>
          <w:rFonts w:ascii="Arial" w:hAnsi="Arial" w:cs="Arial"/>
          <w:sz w:val="20"/>
          <w:szCs w:val="16"/>
        </w:rPr>
        <w:t xml:space="preserve">il </w:t>
      </w:r>
      <w:r w:rsidR="003F4153">
        <w:rPr>
          <w:rFonts w:ascii="Arial" w:hAnsi="Arial" w:cs="Arial"/>
          <w:sz w:val="20"/>
          <w:szCs w:val="16"/>
        </w:rPr>
        <w:t>h</w:t>
      </w:r>
      <w:r w:rsidRPr="00EF4194">
        <w:rPr>
          <w:rFonts w:ascii="Arial" w:hAnsi="Arial" w:cs="Arial"/>
          <w:sz w:val="20"/>
          <w:szCs w:val="16"/>
        </w:rPr>
        <w:t xml:space="preserve">olding </w:t>
      </w:r>
      <w:r w:rsidR="003F4153">
        <w:rPr>
          <w:rFonts w:ascii="Arial" w:hAnsi="Arial" w:cs="Arial"/>
          <w:sz w:val="20"/>
          <w:szCs w:val="16"/>
        </w:rPr>
        <w:t>c</w:t>
      </w:r>
      <w:r w:rsidRPr="00EF4194">
        <w:rPr>
          <w:rFonts w:ascii="Arial" w:hAnsi="Arial" w:cs="Arial"/>
          <w:sz w:val="20"/>
          <w:szCs w:val="16"/>
        </w:rPr>
        <w:t xml:space="preserve">apacity (OHC) of exudate gums refers to the amount of oil or fat absorbed per unit weight of exudate gum, and is important in improving the texture, juiciness, lubricity and fluidity of products </w:t>
      </w:r>
      <w:r w:rsidRPr="00EF4194">
        <w:rPr>
          <w:rFonts w:ascii="Arial" w:hAnsi="Arial" w:cs="Arial"/>
          <w:sz w:val="20"/>
          <w:szCs w:val="16"/>
        </w:rPr>
        <w:fldChar w:fldCharType="begin"/>
      </w:r>
      <w:r w:rsidR="00D9455A">
        <w:rPr>
          <w:rFonts w:ascii="Arial" w:hAnsi="Arial" w:cs="Arial"/>
          <w:sz w:val="20"/>
          <w:szCs w:val="16"/>
        </w:rPr>
        <w:instrText xml:space="preserve"> ADDIN ZOTERO_ITEM CSL_CITATION {"citationID":"KYldbV7M","properties":{"formattedCitation":"(Singh et al., 2024)","plainCitation":"(Singh et al., 2024)","noteIndex":0},"citationItems":[{"id":"wp0Dc69N/8iuk5zdp","uris":["http://zotero.org/users/8588538/items/FHV6LUM2"],"itemData":{"id":1233,"type":"article-journal","container-title":"ACS Omega","DOI":"10.1021/acsomega.3c08198","ISSN":"2470-1343, 2470-1343","issue":"9","journalAbbreviation":"ACS Omega","language":"en","license":"https://creativecommons.org/licenses/by-nc-nd/4.0/","page":"9974-9990","source":"DOI.org (Crossref)","title":"Gum Ghatti: A Comprehensive Review on Production, Processing, Remarkable Properties, and Diverse Applications","title-short":"Gum Ghatti","volume":"9","author":[{"family":"Singh","given":"Ranjit"},{"family":"Priya","given":"Himani"},{"family":"Kumar","given":"Simmi Ranjan"},{"family":"Trivedi","given":"Dipika"},{"family":"Prasad","given":"Niranjan"},{"family":"Ahmad","given":"Faraz"},{"family":"Chengaiyan","given":"Jeevitha Gada"},{"family":"Haque","given":"Shafiul"},{"family":"Rana","given":"Sandeep Singh"}],"issued":{"date-parts":[["2024",3,5]]}}}],"schema":"https://github.com/citation-style-language/schema/raw/master/csl-citation.json"} </w:instrText>
      </w:r>
      <w:r w:rsidRPr="00EF4194">
        <w:rPr>
          <w:rFonts w:ascii="Arial" w:hAnsi="Arial" w:cs="Arial"/>
          <w:sz w:val="20"/>
          <w:szCs w:val="16"/>
        </w:rPr>
        <w:fldChar w:fldCharType="separate"/>
      </w:r>
      <w:r w:rsidR="00D9455A" w:rsidRPr="00D9455A">
        <w:rPr>
          <w:rFonts w:ascii="Arial" w:hAnsi="Arial" w:cs="Arial"/>
          <w:sz w:val="20"/>
        </w:rPr>
        <w:t>(Singh et al., 2024)</w:t>
      </w:r>
      <w:r w:rsidRPr="00EF4194">
        <w:rPr>
          <w:rFonts w:ascii="Arial" w:hAnsi="Arial" w:cs="Arial"/>
          <w:sz w:val="20"/>
          <w:szCs w:val="16"/>
        </w:rPr>
        <w:fldChar w:fldCharType="end"/>
      </w:r>
      <w:r w:rsidRPr="00EF4194">
        <w:rPr>
          <w:rFonts w:ascii="Arial" w:hAnsi="Arial" w:cs="Arial"/>
          <w:sz w:val="20"/>
          <w:szCs w:val="16"/>
        </w:rPr>
        <w:t xml:space="preserve">. As shown in Table 3, the OHC of purified gums ranged from 0.75 to 1.02 </w:t>
      </w:r>
      <w:r w:rsidR="00466FB0" w:rsidRPr="00466FB0">
        <w:rPr>
          <w:rFonts w:ascii="Arial" w:hAnsi="Arial" w:cs="Arial"/>
          <w:sz w:val="20"/>
          <w:szCs w:val="16"/>
        </w:rPr>
        <w:t>(g of oil/g of gum)</w:t>
      </w:r>
      <w:r w:rsidRPr="00EF4194">
        <w:rPr>
          <w:rFonts w:ascii="Arial" w:hAnsi="Arial" w:cs="Arial"/>
          <w:sz w:val="20"/>
          <w:szCs w:val="16"/>
        </w:rPr>
        <w:t xml:space="preserve"> compared to crude exudate 1.15 to 1.19 </w:t>
      </w:r>
      <w:r w:rsidR="00466FB0" w:rsidRPr="00466FB0">
        <w:rPr>
          <w:rFonts w:ascii="Arial" w:hAnsi="Arial" w:cs="Arial"/>
          <w:sz w:val="20"/>
          <w:szCs w:val="16"/>
        </w:rPr>
        <w:t>(g of oil/g of gum)</w:t>
      </w:r>
      <w:r w:rsidRPr="00EF4194">
        <w:rPr>
          <w:rFonts w:ascii="Arial" w:hAnsi="Arial" w:cs="Arial"/>
          <w:sz w:val="20"/>
          <w:szCs w:val="16"/>
        </w:rPr>
        <w:t xml:space="preserve">. sample I (method B) has the highest OHC (1.02 g /g) while sample Fs (method D) has the lowest OHC (0.75 g /g) Based on the ANOVA results, purification method and oil type had significant effects </w:t>
      </w:r>
      <w:r w:rsidR="00BF41D5" w:rsidRPr="00BF41D5">
        <w:rPr>
          <w:rFonts w:ascii="Arial" w:hAnsi="Arial" w:cs="Arial"/>
          <w:i/>
          <w:iCs/>
          <w:sz w:val="20"/>
          <w:szCs w:val="16"/>
        </w:rPr>
        <w:t>(P = .05)</w:t>
      </w:r>
      <w:r w:rsidRPr="00EF4194">
        <w:rPr>
          <w:rFonts w:ascii="Arial" w:hAnsi="Arial" w:cs="Arial"/>
          <w:sz w:val="20"/>
          <w:szCs w:val="16"/>
        </w:rPr>
        <w:t xml:space="preserve"> on OHC, and whatever oil type was used, the purification method resulted in a significant reduction in OHC of purified cashew gums. The OHC values found in this study were low compared to the OHC values of various exudate gums (1</w:t>
      </w:r>
      <w:r w:rsidR="00624170">
        <w:rPr>
          <w:rFonts w:ascii="Arial" w:hAnsi="Arial" w:cs="Arial"/>
          <w:sz w:val="20"/>
          <w:szCs w:val="16"/>
        </w:rPr>
        <w:t>,</w:t>
      </w:r>
      <w:r w:rsidRPr="00EF4194">
        <w:rPr>
          <w:rFonts w:ascii="Arial" w:hAnsi="Arial" w:cs="Arial"/>
          <w:sz w:val="20"/>
          <w:szCs w:val="16"/>
        </w:rPr>
        <w:t>15 to 2</w:t>
      </w:r>
      <w:r w:rsidR="00624170">
        <w:rPr>
          <w:rFonts w:ascii="Arial" w:hAnsi="Arial" w:cs="Arial"/>
          <w:sz w:val="20"/>
          <w:szCs w:val="16"/>
        </w:rPr>
        <w:t>,</w:t>
      </w:r>
      <w:r w:rsidRPr="00EF4194">
        <w:rPr>
          <w:rFonts w:ascii="Arial" w:hAnsi="Arial" w:cs="Arial"/>
          <w:sz w:val="20"/>
          <w:szCs w:val="16"/>
        </w:rPr>
        <w:t xml:space="preserve">15 g /g) as reported by </w:t>
      </w:r>
      <w:r w:rsidRPr="00EF4194">
        <w:rPr>
          <w:rFonts w:ascii="Arial" w:hAnsi="Arial" w:cs="Arial"/>
          <w:sz w:val="20"/>
          <w:szCs w:val="16"/>
        </w:rPr>
        <w:fldChar w:fldCharType="begin"/>
      </w:r>
      <w:r w:rsidR="00D9455A">
        <w:rPr>
          <w:rFonts w:ascii="Arial" w:hAnsi="Arial" w:cs="Arial"/>
          <w:sz w:val="20"/>
          <w:szCs w:val="16"/>
        </w:rPr>
        <w:instrText xml:space="preserve"> ADDIN ZOTERO_ITEM CSL_CITATION {"citationID":"N8IqCrVE","properties":{"formattedCitation":"(Singh et al., 2024)","plainCitation":"(Singh et al., 2024)","dontUpdate":true,"noteIndex":0},"citationItems":[{"id":"wp0Dc69N/8iuk5zdp","uris":["http://zotero.org/users/8588538/items/FHV6LUM2"],"itemData":{"id":1233,"type":"article-journal","container-title":"ACS Omega","DOI":"10.1021/acsomega.3c08198","ISSN":"2470-1343, 2470-1343","issue":"9","journalAbbreviation":"ACS Omega","language":"en","license":"https://creativecommons.org/licenses/by-nc-nd/4.0/","page":"9974-9990","source":"DOI.org (Crossref)","title":"Gum Ghatti: A Comprehensive Review on Production, Processing, Remarkable Properties, and Diverse Applications","title-short":"Gum Ghatti","volume":"9","author":[{"family":"Singh","given":"Ranjit"},{"family":"Priya","given":"Himani"},{"family":"Kumar","given":"Simmi Ranjan"},{"family":"Trivedi","given":"Dipika"},{"family":"Prasad","given":"Niranjan"},{"family":"Ahmad","given":"Faraz"},{"family":"Chengaiyan","given":"Jeevitha Gada"},{"family":"Haque","given":"Shafiul"},{"family":"Rana","given":"Sandeep Singh"}],"issued":{"date-parts":[["2024",3,5]]}}}],"schema":"https://github.com/citation-style-language/schema/raw/master/csl-citation.json"} </w:instrText>
      </w:r>
      <w:r w:rsidRPr="00EF4194">
        <w:rPr>
          <w:rFonts w:ascii="Arial" w:hAnsi="Arial" w:cs="Arial"/>
          <w:sz w:val="20"/>
          <w:szCs w:val="16"/>
        </w:rPr>
        <w:fldChar w:fldCharType="separate"/>
      </w:r>
      <w:r w:rsidRPr="00EF4194">
        <w:rPr>
          <w:rFonts w:ascii="Arial" w:hAnsi="Arial" w:cs="Arial"/>
          <w:sz w:val="20"/>
          <w:szCs w:val="16"/>
        </w:rPr>
        <w:t>Singh et al. (2024)</w:t>
      </w:r>
      <w:r w:rsidRPr="00EF4194">
        <w:rPr>
          <w:rFonts w:ascii="Arial" w:hAnsi="Arial" w:cs="Arial"/>
          <w:sz w:val="20"/>
          <w:szCs w:val="16"/>
        </w:rPr>
        <w:fldChar w:fldCharType="end"/>
      </w:r>
      <w:r w:rsidRPr="00EF4194">
        <w:rPr>
          <w:rFonts w:ascii="Arial" w:hAnsi="Arial" w:cs="Arial"/>
          <w:sz w:val="20"/>
          <w:szCs w:val="16"/>
        </w:rPr>
        <w:t xml:space="preserve">. The difference in OHC in purified gums can be attributed to the presence of non-polar molecules (lipophilic in nature) in gums that are responsible for binding oil droplets </w:t>
      </w:r>
      <w:r w:rsidRPr="00EF4194">
        <w:rPr>
          <w:rFonts w:ascii="Arial" w:hAnsi="Arial" w:cs="Arial"/>
          <w:sz w:val="20"/>
          <w:szCs w:val="16"/>
        </w:rPr>
        <w:fldChar w:fldCharType="begin"/>
      </w:r>
      <w:r w:rsidR="00D9455A">
        <w:rPr>
          <w:rFonts w:ascii="Arial" w:hAnsi="Arial" w:cs="Arial"/>
          <w:sz w:val="20"/>
          <w:szCs w:val="16"/>
        </w:rPr>
        <w:instrText xml:space="preserve"> ADDIN ZOTERO_ITEM CSL_CITATION {"citationID":"GNvRe7UV","properties":{"formattedCitation":"(Safdar et al., 2023)","plainCitation":"(Safdar et al., 2023)","noteIndex":0},"citationItems":[{"id":"wp0Dc69N/XoGnR5id","uris":["http://zotero.org/users/8588538/items/D7T2DJ9V"],"itemData":{"id":1240,"type":"article-journal","abstract":"The current study evaluated the structural, physicochemical, and rheological characteristics of flaxseed gum (FSG). Two commercially recognized xanthan gum (XG) and gum Arabic (GA) were used for comparison. FSG showed different monosaccharides composition from GA and XG. The average molecular weight of FSG was observed to be lower than XG and was closer to GA. Bulk and tap density, and oil holding capacity were found significantly higher in FSG as compared to XG and GA while water holding capacity, solubility index, swelling power, and emulsion properties of FSG were closer to GA but lower than XG. Rheological data revealed that FSG exhibited lower viscosity than XG and GA. Viscoelastic properties revealed that loss modulus (G″) was higher than storage modulus (Gʹ) for FSG thus suggesting the viscous behavior. Comparatively, XG exhibited elastic properties and GA showed viscous properties at lower frequency range and elastic properties at a higher frequency. However, Gʹ and G″ modulus values of FSG were lower than XG and GA. Thermal analysis revealed that all FSG samples was thermally stable, and the degradation rate occurred at higher temperature that was closer to XG and GA.","container-title":"Journal of Food Measurement and Characterization","DOI":"10.1007/s11694-022-01750-2","ISSN":"2193-4134","issue":"3","journalAbbreviation":"Food Measure","language":"en","page":"2193-2203","source":"Springer Link","title":"Structural characterization, physicochemical and rheological characteristics of flaxseed gum in comparison with gum Arabic and xanthan gum","volume":"17","author":[{"family":"Safdar","given":"Bushra"},{"family":"Pang","given":"Zhihua"},{"family":"Liu","given":"Xinqi"},{"family":"Rashid","given":"Muhammad Tayyab"},{"family":"Jatoi","given":"Mushtaque Ahmed"}],"issued":{"date-parts":[["2023",6,1]]}}}],"schema":"https://github.com/citation-style-language/schema/raw/master/csl-citation.json"} </w:instrText>
      </w:r>
      <w:r w:rsidRPr="00EF4194">
        <w:rPr>
          <w:rFonts w:ascii="Arial" w:hAnsi="Arial" w:cs="Arial"/>
          <w:sz w:val="20"/>
          <w:szCs w:val="16"/>
        </w:rPr>
        <w:fldChar w:fldCharType="separate"/>
      </w:r>
      <w:r w:rsidR="00D9455A" w:rsidRPr="00D9455A">
        <w:rPr>
          <w:rFonts w:ascii="Arial" w:hAnsi="Arial" w:cs="Arial"/>
          <w:sz w:val="20"/>
        </w:rPr>
        <w:t>(Safdar et al., 2023)</w:t>
      </w:r>
      <w:r w:rsidRPr="00EF4194">
        <w:rPr>
          <w:rFonts w:ascii="Arial" w:hAnsi="Arial" w:cs="Arial"/>
          <w:sz w:val="20"/>
          <w:szCs w:val="16"/>
        </w:rPr>
        <w:fldChar w:fldCharType="end"/>
      </w:r>
      <w:r w:rsidRPr="00EF4194">
        <w:rPr>
          <w:rFonts w:ascii="Arial" w:hAnsi="Arial" w:cs="Arial"/>
          <w:sz w:val="20"/>
          <w:szCs w:val="16"/>
        </w:rPr>
        <w:t xml:space="preserve">. </w:t>
      </w:r>
    </w:p>
    <w:p w14:paraId="29C08395" w14:textId="77777777" w:rsidR="00CA54AA" w:rsidRDefault="00CA54AA" w:rsidP="00CA54AA">
      <w:pPr>
        <w:pStyle w:val="Body"/>
        <w:spacing w:after="0"/>
        <w:rPr>
          <w:rFonts w:ascii="Arial" w:hAnsi="Arial" w:cs="Arial"/>
        </w:rPr>
      </w:pPr>
    </w:p>
    <w:p w14:paraId="6F8C48DA" w14:textId="3A771606" w:rsidR="00EF4194" w:rsidRPr="003F4153" w:rsidRDefault="00EF4194" w:rsidP="00EF4194">
      <w:pPr>
        <w:pStyle w:val="Caption"/>
        <w:keepNext/>
        <w:jc w:val="center"/>
        <w:rPr>
          <w:rFonts w:ascii="Arial" w:hAnsi="Arial" w:cs="Arial"/>
          <w:b/>
          <w:bCs/>
          <w:i w:val="0"/>
          <w:iCs w:val="0"/>
          <w:sz w:val="20"/>
          <w:szCs w:val="20"/>
        </w:rPr>
      </w:pPr>
      <w:r w:rsidRPr="003F4153">
        <w:rPr>
          <w:rFonts w:ascii="Arial" w:hAnsi="Arial" w:cs="Arial"/>
          <w:b/>
          <w:bCs/>
          <w:i w:val="0"/>
          <w:iCs w:val="0"/>
          <w:sz w:val="20"/>
          <w:szCs w:val="20"/>
        </w:rPr>
        <w:t xml:space="preserve">Table </w:t>
      </w:r>
      <w:r w:rsidRPr="003F4153">
        <w:rPr>
          <w:rFonts w:ascii="Arial" w:hAnsi="Arial" w:cs="Arial"/>
          <w:b/>
          <w:bCs/>
          <w:i w:val="0"/>
          <w:iCs w:val="0"/>
          <w:sz w:val="20"/>
          <w:szCs w:val="20"/>
        </w:rPr>
        <w:fldChar w:fldCharType="begin"/>
      </w:r>
      <w:r w:rsidRPr="003F4153">
        <w:rPr>
          <w:rFonts w:ascii="Arial" w:hAnsi="Arial" w:cs="Arial"/>
          <w:b/>
          <w:bCs/>
          <w:i w:val="0"/>
          <w:iCs w:val="0"/>
          <w:sz w:val="20"/>
          <w:szCs w:val="20"/>
        </w:rPr>
        <w:instrText xml:space="preserve"> SEQ Table \* ARABIC </w:instrText>
      </w:r>
      <w:r w:rsidRPr="003F4153">
        <w:rPr>
          <w:rFonts w:ascii="Arial" w:hAnsi="Arial" w:cs="Arial"/>
          <w:b/>
          <w:bCs/>
          <w:i w:val="0"/>
          <w:iCs w:val="0"/>
          <w:sz w:val="20"/>
          <w:szCs w:val="20"/>
        </w:rPr>
        <w:fldChar w:fldCharType="separate"/>
      </w:r>
      <w:r w:rsidR="003F4153" w:rsidRPr="003F4153">
        <w:rPr>
          <w:rFonts w:ascii="Arial" w:hAnsi="Arial" w:cs="Arial"/>
          <w:b/>
          <w:bCs/>
          <w:i w:val="0"/>
          <w:iCs w:val="0"/>
          <w:noProof/>
          <w:sz w:val="20"/>
          <w:szCs w:val="20"/>
        </w:rPr>
        <w:t>3</w:t>
      </w:r>
      <w:r w:rsidRPr="003F4153">
        <w:rPr>
          <w:rFonts w:ascii="Arial" w:hAnsi="Arial" w:cs="Arial"/>
          <w:b/>
          <w:bCs/>
          <w:i w:val="0"/>
          <w:iCs w:val="0"/>
          <w:sz w:val="20"/>
          <w:szCs w:val="20"/>
        </w:rPr>
        <w:fldChar w:fldCharType="end"/>
      </w:r>
      <w:r w:rsidRPr="003F4153">
        <w:rPr>
          <w:rFonts w:ascii="Arial" w:hAnsi="Arial" w:cs="Arial"/>
          <w:b/>
          <w:bCs/>
          <w:i w:val="0"/>
          <w:iCs w:val="0"/>
          <w:sz w:val="20"/>
          <w:szCs w:val="20"/>
        </w:rPr>
        <w:t xml:space="preserve"> : Cashew gum </w:t>
      </w:r>
      <w:r w:rsidR="008802FB" w:rsidRPr="003F4153">
        <w:rPr>
          <w:rFonts w:ascii="Arial" w:hAnsi="Arial" w:cs="Arial"/>
          <w:b/>
          <w:bCs/>
          <w:i w:val="0"/>
          <w:iCs w:val="0"/>
          <w:sz w:val="20"/>
          <w:szCs w:val="20"/>
        </w:rPr>
        <w:t>o</w:t>
      </w:r>
      <w:r w:rsidRPr="003F4153">
        <w:rPr>
          <w:rFonts w:ascii="Arial" w:hAnsi="Arial" w:cs="Arial"/>
          <w:b/>
          <w:bCs/>
          <w:i w:val="0"/>
          <w:iCs w:val="0"/>
          <w:sz w:val="20"/>
          <w:szCs w:val="20"/>
        </w:rPr>
        <w:t xml:space="preserve">il holding capacity in </w:t>
      </w:r>
      <w:r w:rsidR="00FC63C1" w:rsidRPr="003F4153">
        <w:rPr>
          <w:rFonts w:ascii="Arial" w:hAnsi="Arial" w:cs="Arial"/>
          <w:b/>
          <w:bCs/>
          <w:i w:val="0"/>
          <w:iCs w:val="0"/>
          <w:sz w:val="20"/>
          <w:szCs w:val="20"/>
        </w:rPr>
        <w:t>different</w:t>
      </w:r>
      <w:r w:rsidRPr="003F4153">
        <w:rPr>
          <w:rFonts w:ascii="Arial" w:hAnsi="Arial" w:cs="Arial"/>
          <w:b/>
          <w:bCs/>
          <w:i w:val="0"/>
          <w:iCs w:val="0"/>
          <w:sz w:val="20"/>
          <w:szCs w:val="20"/>
        </w:rPr>
        <w:t xml:space="preserve"> oils</w:t>
      </w:r>
    </w:p>
    <w:tbl>
      <w:tblPr>
        <w:tblStyle w:val="TableGrid"/>
        <w:tblW w:w="8776" w:type="dxa"/>
        <w:tblInd w:w="25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35"/>
        <w:gridCol w:w="1418"/>
        <w:gridCol w:w="1417"/>
        <w:gridCol w:w="1384"/>
        <w:gridCol w:w="1404"/>
        <w:gridCol w:w="1418"/>
      </w:tblGrid>
      <w:tr w:rsidR="00EF4194" w:rsidRPr="00EF4194" w14:paraId="30D281AA" w14:textId="77777777" w:rsidTr="008802FB">
        <w:tc>
          <w:tcPr>
            <w:tcW w:w="1735" w:type="dxa"/>
            <w:vMerge w:val="restart"/>
            <w:vAlign w:val="center"/>
          </w:tcPr>
          <w:p w14:paraId="31D3CB82" w14:textId="11B3B713" w:rsidR="00EF4194" w:rsidRPr="00EF4194" w:rsidRDefault="00EF4194" w:rsidP="008802FB">
            <w:pPr>
              <w:pStyle w:val="Contenudetableau"/>
              <w:jc w:val="center"/>
              <w:rPr>
                <w:rFonts w:ascii="Arial" w:hAnsi="Arial" w:cs="Arial"/>
                <w:b/>
                <w:bCs/>
                <w:sz w:val="20"/>
                <w:szCs w:val="20"/>
              </w:rPr>
            </w:pPr>
            <w:r w:rsidRPr="00EF4194">
              <w:rPr>
                <w:rFonts w:ascii="Arial" w:hAnsi="Arial" w:cs="Arial"/>
                <w:b/>
                <w:bCs/>
                <w:sz w:val="20"/>
                <w:szCs w:val="20"/>
              </w:rPr>
              <w:t>Oil holding capacity</w:t>
            </w:r>
            <w:r w:rsidR="00942D3E">
              <w:rPr>
                <w:rFonts w:ascii="Arial" w:hAnsi="Arial" w:cs="Arial"/>
                <w:b/>
                <w:bCs/>
                <w:sz w:val="20"/>
                <w:szCs w:val="20"/>
              </w:rPr>
              <w:t xml:space="preserve"> </w:t>
            </w:r>
            <w:r w:rsidR="00942D3E" w:rsidRPr="00942D3E">
              <w:rPr>
                <w:rFonts w:ascii="Arial" w:hAnsi="Arial" w:cs="Arial"/>
                <w:b/>
                <w:bCs/>
                <w:sz w:val="20"/>
                <w:szCs w:val="20"/>
              </w:rPr>
              <w:t>(g /g)</w:t>
            </w:r>
          </w:p>
        </w:tc>
        <w:tc>
          <w:tcPr>
            <w:tcW w:w="7041" w:type="dxa"/>
            <w:gridSpan w:val="5"/>
            <w:tcBorders>
              <w:bottom w:val="single" w:sz="12" w:space="0" w:color="auto"/>
            </w:tcBorders>
            <w:vAlign w:val="center"/>
          </w:tcPr>
          <w:p w14:paraId="253301A3" w14:textId="77777777" w:rsidR="00EF4194" w:rsidRPr="00EF4194" w:rsidRDefault="00EF4194" w:rsidP="008802FB">
            <w:pPr>
              <w:pStyle w:val="Contenudetableau"/>
              <w:jc w:val="center"/>
              <w:rPr>
                <w:rFonts w:ascii="Arial" w:eastAsia="TimesNewRomanPSMT" w:hAnsi="Arial" w:cs="Arial"/>
                <w:b/>
                <w:bCs/>
                <w:sz w:val="20"/>
                <w:szCs w:val="20"/>
              </w:rPr>
            </w:pPr>
            <w:r w:rsidRPr="00EF4194">
              <w:rPr>
                <w:rFonts w:ascii="Arial" w:eastAsia="TimesNewRomanPSMT" w:hAnsi="Arial" w:cs="Arial"/>
                <w:b/>
                <w:bCs/>
                <w:sz w:val="20"/>
                <w:szCs w:val="20"/>
              </w:rPr>
              <w:t>Gum purification methods</w:t>
            </w:r>
          </w:p>
        </w:tc>
      </w:tr>
      <w:tr w:rsidR="008802FB" w:rsidRPr="00EF4194" w14:paraId="0BBCE8DB" w14:textId="77777777" w:rsidTr="008802FB">
        <w:trPr>
          <w:trHeight w:val="720"/>
        </w:trPr>
        <w:tc>
          <w:tcPr>
            <w:tcW w:w="1735" w:type="dxa"/>
            <w:vMerge/>
            <w:tcBorders>
              <w:bottom w:val="single" w:sz="12" w:space="0" w:color="auto"/>
            </w:tcBorders>
            <w:vAlign w:val="center"/>
          </w:tcPr>
          <w:p w14:paraId="16C51A1F" w14:textId="77777777" w:rsidR="008802FB" w:rsidRPr="00EF4194" w:rsidRDefault="008802FB" w:rsidP="008802FB">
            <w:pPr>
              <w:pStyle w:val="Contenudetableau"/>
              <w:jc w:val="center"/>
              <w:rPr>
                <w:rFonts w:ascii="Arial" w:hAnsi="Arial" w:cs="Arial"/>
                <w:b/>
                <w:bCs/>
                <w:sz w:val="20"/>
                <w:szCs w:val="20"/>
              </w:rPr>
            </w:pPr>
          </w:p>
        </w:tc>
        <w:tc>
          <w:tcPr>
            <w:tcW w:w="1418" w:type="dxa"/>
            <w:tcBorders>
              <w:top w:val="single" w:sz="12" w:space="0" w:color="auto"/>
              <w:bottom w:val="single" w:sz="12" w:space="0" w:color="auto"/>
            </w:tcBorders>
            <w:vAlign w:val="center"/>
          </w:tcPr>
          <w:p w14:paraId="2287D60E" w14:textId="5C3B779F" w:rsidR="008802FB" w:rsidRPr="00EF4194" w:rsidRDefault="008802FB" w:rsidP="008802FB">
            <w:pPr>
              <w:pStyle w:val="Contenudetableau"/>
              <w:jc w:val="center"/>
              <w:rPr>
                <w:rFonts w:ascii="Arial" w:hAnsi="Arial" w:cs="Arial"/>
                <w:b/>
                <w:bCs/>
                <w:sz w:val="20"/>
                <w:szCs w:val="20"/>
              </w:rPr>
            </w:pPr>
            <w:r w:rsidRPr="00CA54AA">
              <w:rPr>
                <w:rFonts w:ascii="Arial" w:hAnsi="Arial" w:cs="Arial"/>
                <w:b/>
                <w:sz w:val="20"/>
                <w:szCs w:val="20"/>
              </w:rPr>
              <w:t>Raw</w:t>
            </w:r>
            <w:r>
              <w:rPr>
                <w:rFonts w:ascii="Arial" w:hAnsi="Arial" w:cs="Arial"/>
                <w:b/>
                <w:sz w:val="20"/>
                <w:szCs w:val="20"/>
              </w:rPr>
              <w:t xml:space="preserve"> gum</w:t>
            </w:r>
          </w:p>
        </w:tc>
        <w:tc>
          <w:tcPr>
            <w:tcW w:w="1417" w:type="dxa"/>
            <w:tcBorders>
              <w:top w:val="single" w:sz="12" w:space="0" w:color="auto"/>
              <w:bottom w:val="single" w:sz="12" w:space="0" w:color="auto"/>
            </w:tcBorders>
            <w:vAlign w:val="center"/>
          </w:tcPr>
          <w:p w14:paraId="502B92CE" w14:textId="047684B3" w:rsidR="008802FB" w:rsidRPr="00EF4194" w:rsidRDefault="008802FB" w:rsidP="008802FB">
            <w:pPr>
              <w:pStyle w:val="Contenudetableau"/>
              <w:jc w:val="center"/>
              <w:rPr>
                <w:rFonts w:ascii="Arial" w:hAnsi="Arial" w:cs="Arial"/>
                <w:b/>
                <w:bCs/>
                <w:sz w:val="20"/>
                <w:szCs w:val="20"/>
              </w:rPr>
            </w:pPr>
            <w:r w:rsidRPr="00F464E8">
              <w:rPr>
                <w:rFonts w:ascii="Arial" w:hAnsi="Arial" w:cs="Arial"/>
                <w:b/>
                <w:bCs/>
                <w:iCs/>
                <w:sz w:val="20"/>
                <w:szCs w:val="24"/>
              </w:rPr>
              <w:t>Ethanol purification</w:t>
            </w:r>
          </w:p>
        </w:tc>
        <w:tc>
          <w:tcPr>
            <w:tcW w:w="1384" w:type="dxa"/>
            <w:tcBorders>
              <w:top w:val="single" w:sz="12" w:space="0" w:color="auto"/>
              <w:bottom w:val="single" w:sz="12" w:space="0" w:color="auto"/>
            </w:tcBorders>
            <w:vAlign w:val="center"/>
          </w:tcPr>
          <w:p w14:paraId="32ABB9C2" w14:textId="50749478" w:rsidR="008802FB" w:rsidRPr="00EF4194" w:rsidRDefault="008802FB" w:rsidP="008802FB">
            <w:pPr>
              <w:pStyle w:val="Contenudetableau"/>
              <w:jc w:val="center"/>
              <w:rPr>
                <w:rFonts w:ascii="Arial" w:hAnsi="Arial" w:cs="Arial"/>
                <w:b/>
                <w:bCs/>
                <w:sz w:val="20"/>
                <w:szCs w:val="20"/>
              </w:rPr>
            </w:pPr>
            <w:r>
              <w:rPr>
                <w:rFonts w:ascii="Arial" w:hAnsi="Arial" w:cs="Arial"/>
                <w:b/>
                <w:sz w:val="20"/>
                <w:szCs w:val="20"/>
              </w:rPr>
              <w:t>I</w:t>
            </w:r>
            <w:r w:rsidRPr="00F464E8">
              <w:rPr>
                <w:rFonts w:ascii="Arial" w:hAnsi="Arial" w:cs="Arial"/>
                <w:b/>
                <w:sz w:val="20"/>
                <w:szCs w:val="20"/>
              </w:rPr>
              <w:t>sopropanol purification</w:t>
            </w:r>
          </w:p>
        </w:tc>
        <w:tc>
          <w:tcPr>
            <w:tcW w:w="1404" w:type="dxa"/>
            <w:tcBorders>
              <w:top w:val="single" w:sz="12" w:space="0" w:color="auto"/>
              <w:bottom w:val="single" w:sz="12" w:space="0" w:color="auto"/>
            </w:tcBorders>
            <w:vAlign w:val="center"/>
          </w:tcPr>
          <w:p w14:paraId="010227EA" w14:textId="32D4BC53" w:rsidR="008802FB" w:rsidRPr="00EF4194" w:rsidRDefault="008802FB" w:rsidP="008802FB">
            <w:pPr>
              <w:pStyle w:val="Contenudetableau"/>
              <w:jc w:val="center"/>
              <w:rPr>
                <w:rFonts w:ascii="Arial" w:hAnsi="Arial" w:cs="Arial"/>
                <w:b/>
                <w:bCs/>
                <w:sz w:val="20"/>
                <w:szCs w:val="20"/>
              </w:rPr>
            </w:pPr>
            <w:r>
              <w:rPr>
                <w:rFonts w:ascii="Arial" w:hAnsi="Arial" w:cs="Arial"/>
                <w:b/>
                <w:sz w:val="20"/>
                <w:szCs w:val="20"/>
              </w:rPr>
              <w:t>E</w:t>
            </w:r>
            <w:r w:rsidRPr="00F464E8">
              <w:rPr>
                <w:rFonts w:ascii="Arial" w:hAnsi="Arial" w:cs="Arial"/>
                <w:b/>
                <w:sz w:val="20"/>
                <w:szCs w:val="20"/>
              </w:rPr>
              <w:t>thanol and isopropanol purification</w:t>
            </w:r>
          </w:p>
        </w:tc>
        <w:tc>
          <w:tcPr>
            <w:tcW w:w="1418" w:type="dxa"/>
            <w:tcBorders>
              <w:top w:val="single" w:sz="12" w:space="0" w:color="auto"/>
              <w:bottom w:val="single" w:sz="12" w:space="0" w:color="auto"/>
            </w:tcBorders>
            <w:vAlign w:val="center"/>
          </w:tcPr>
          <w:p w14:paraId="4AC1E6B7" w14:textId="6CF2A6A3" w:rsidR="008802FB" w:rsidRPr="00EF4194" w:rsidRDefault="008802FB" w:rsidP="008802FB">
            <w:pPr>
              <w:pStyle w:val="Contenudetableau"/>
              <w:jc w:val="center"/>
              <w:rPr>
                <w:rFonts w:ascii="Arial" w:hAnsi="Arial" w:cs="Arial"/>
                <w:b/>
                <w:bCs/>
                <w:sz w:val="20"/>
                <w:szCs w:val="20"/>
              </w:rPr>
            </w:pPr>
            <w:r w:rsidRPr="00F464E8">
              <w:rPr>
                <w:rFonts w:ascii="Arial" w:hAnsi="Arial" w:cs="Arial"/>
                <w:b/>
                <w:sz w:val="20"/>
                <w:szCs w:val="20"/>
              </w:rPr>
              <w:t>Fehling's solution purification</w:t>
            </w:r>
          </w:p>
        </w:tc>
      </w:tr>
      <w:tr w:rsidR="008802FB" w:rsidRPr="00EF4194" w14:paraId="0591CF35" w14:textId="77777777" w:rsidTr="008802FB">
        <w:tc>
          <w:tcPr>
            <w:tcW w:w="1735" w:type="dxa"/>
            <w:tcBorders>
              <w:top w:val="single" w:sz="12" w:space="0" w:color="auto"/>
              <w:bottom w:val="nil"/>
            </w:tcBorders>
          </w:tcPr>
          <w:p w14:paraId="693DC77D" w14:textId="3CC92BEB" w:rsidR="00EF4194" w:rsidRPr="00EF4194" w:rsidRDefault="00EF4194" w:rsidP="00640788">
            <w:pPr>
              <w:pStyle w:val="Contenudetableau"/>
              <w:rPr>
                <w:rFonts w:ascii="Arial" w:eastAsia="TimesNewRomanPSMT" w:hAnsi="Arial" w:cs="Arial"/>
                <w:b/>
                <w:bCs/>
                <w:sz w:val="20"/>
                <w:szCs w:val="20"/>
              </w:rPr>
            </w:pPr>
            <w:r w:rsidRPr="00EF4194">
              <w:rPr>
                <w:rFonts w:ascii="Arial" w:eastAsia="TimesNewRomanPSMT" w:hAnsi="Arial" w:cs="Arial"/>
                <w:b/>
                <w:bCs/>
                <w:sz w:val="20"/>
                <w:szCs w:val="20"/>
              </w:rPr>
              <w:t xml:space="preserve">Corn </w:t>
            </w:r>
          </w:p>
        </w:tc>
        <w:tc>
          <w:tcPr>
            <w:tcW w:w="1418" w:type="dxa"/>
            <w:tcBorders>
              <w:top w:val="single" w:sz="12" w:space="0" w:color="auto"/>
              <w:bottom w:val="nil"/>
            </w:tcBorders>
          </w:tcPr>
          <w:p w14:paraId="021AED84"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1.16 ± 0.02</w:t>
            </w:r>
            <w:r w:rsidRPr="00EF4194">
              <w:rPr>
                <w:rFonts w:ascii="Arial" w:eastAsia="Times New Roman" w:hAnsi="Arial" w:cs="Arial"/>
                <w:color w:val="000000"/>
                <w:sz w:val="20"/>
                <w:szCs w:val="20"/>
                <w:vertAlign w:val="superscript"/>
                <w:lang w:eastAsia="fr-FR"/>
              </w:rPr>
              <w:t>l</w:t>
            </w:r>
          </w:p>
        </w:tc>
        <w:tc>
          <w:tcPr>
            <w:tcW w:w="1417" w:type="dxa"/>
            <w:tcBorders>
              <w:top w:val="single" w:sz="12" w:space="0" w:color="auto"/>
              <w:bottom w:val="nil"/>
            </w:tcBorders>
          </w:tcPr>
          <w:p w14:paraId="5E169208"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0.84 ± 0.01</w:t>
            </w:r>
            <w:r w:rsidRPr="00EF4194">
              <w:rPr>
                <w:rFonts w:ascii="Arial" w:eastAsia="Times New Roman" w:hAnsi="Arial" w:cs="Arial"/>
                <w:color w:val="000000"/>
                <w:sz w:val="20"/>
                <w:szCs w:val="20"/>
                <w:vertAlign w:val="superscript"/>
                <w:lang w:eastAsia="fr-FR"/>
              </w:rPr>
              <w:t>e</w:t>
            </w:r>
          </w:p>
        </w:tc>
        <w:tc>
          <w:tcPr>
            <w:tcW w:w="1384" w:type="dxa"/>
            <w:tcBorders>
              <w:top w:val="single" w:sz="12" w:space="0" w:color="auto"/>
              <w:bottom w:val="nil"/>
            </w:tcBorders>
          </w:tcPr>
          <w:p w14:paraId="22ED15C7"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0.97 ± 0.01</w:t>
            </w:r>
            <w:r w:rsidRPr="00EF4194">
              <w:rPr>
                <w:rFonts w:ascii="Arial" w:eastAsia="Times New Roman" w:hAnsi="Arial" w:cs="Arial"/>
                <w:color w:val="000000"/>
                <w:sz w:val="20"/>
                <w:szCs w:val="20"/>
                <w:vertAlign w:val="superscript"/>
                <w:lang w:eastAsia="fr-FR"/>
              </w:rPr>
              <w:t>hi</w:t>
            </w:r>
          </w:p>
        </w:tc>
        <w:tc>
          <w:tcPr>
            <w:tcW w:w="1404" w:type="dxa"/>
            <w:tcBorders>
              <w:top w:val="single" w:sz="12" w:space="0" w:color="auto"/>
              <w:bottom w:val="nil"/>
            </w:tcBorders>
          </w:tcPr>
          <w:p w14:paraId="7C6927BD"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0.95 ± 0.01</w:t>
            </w:r>
            <w:r w:rsidRPr="00EF4194">
              <w:rPr>
                <w:rFonts w:ascii="Arial" w:eastAsia="Times New Roman" w:hAnsi="Arial" w:cs="Arial"/>
                <w:color w:val="000000"/>
                <w:sz w:val="20"/>
                <w:szCs w:val="20"/>
                <w:vertAlign w:val="superscript"/>
                <w:lang w:eastAsia="fr-FR"/>
              </w:rPr>
              <w:t>g</w:t>
            </w:r>
          </w:p>
        </w:tc>
        <w:tc>
          <w:tcPr>
            <w:tcW w:w="1418" w:type="dxa"/>
            <w:tcBorders>
              <w:top w:val="single" w:sz="12" w:space="0" w:color="auto"/>
              <w:bottom w:val="nil"/>
            </w:tcBorders>
          </w:tcPr>
          <w:p w14:paraId="6926838E"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0.76 ± 0.01</w:t>
            </w:r>
            <w:r w:rsidRPr="00EF4194">
              <w:rPr>
                <w:rFonts w:ascii="Arial" w:eastAsia="Times New Roman" w:hAnsi="Arial" w:cs="Arial"/>
                <w:color w:val="000000"/>
                <w:sz w:val="20"/>
                <w:szCs w:val="20"/>
                <w:vertAlign w:val="superscript"/>
                <w:lang w:eastAsia="fr-FR"/>
              </w:rPr>
              <w:t>a</w:t>
            </w:r>
          </w:p>
        </w:tc>
      </w:tr>
      <w:tr w:rsidR="008802FB" w:rsidRPr="00EF4194" w14:paraId="14EB49F9" w14:textId="77777777" w:rsidTr="008802FB">
        <w:tc>
          <w:tcPr>
            <w:tcW w:w="1735" w:type="dxa"/>
            <w:tcBorders>
              <w:top w:val="nil"/>
            </w:tcBorders>
          </w:tcPr>
          <w:p w14:paraId="45C6D7F4" w14:textId="2584164D" w:rsidR="00EF4194" w:rsidRPr="00EF4194" w:rsidRDefault="00EF4194" w:rsidP="00640788">
            <w:pPr>
              <w:pStyle w:val="Contenudetableau"/>
              <w:rPr>
                <w:rFonts w:ascii="Arial" w:eastAsia="TimesNewRomanPSMT" w:hAnsi="Arial" w:cs="Arial"/>
                <w:b/>
                <w:bCs/>
                <w:sz w:val="20"/>
                <w:szCs w:val="20"/>
              </w:rPr>
            </w:pPr>
            <w:r w:rsidRPr="00EF4194">
              <w:rPr>
                <w:rFonts w:ascii="Arial" w:eastAsia="TimesNewRomanPSMT" w:hAnsi="Arial" w:cs="Arial"/>
                <w:b/>
                <w:bCs/>
                <w:sz w:val="20"/>
                <w:szCs w:val="20"/>
              </w:rPr>
              <w:t>Sunflower</w:t>
            </w:r>
          </w:p>
        </w:tc>
        <w:tc>
          <w:tcPr>
            <w:tcW w:w="1418" w:type="dxa"/>
            <w:tcBorders>
              <w:top w:val="nil"/>
            </w:tcBorders>
          </w:tcPr>
          <w:p w14:paraId="78579237"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1.15 ± 0.03</w:t>
            </w:r>
            <w:r w:rsidRPr="00EF4194">
              <w:rPr>
                <w:rFonts w:ascii="Arial" w:eastAsia="Times New Roman" w:hAnsi="Arial" w:cs="Arial"/>
                <w:color w:val="000000"/>
                <w:sz w:val="20"/>
                <w:szCs w:val="20"/>
                <w:vertAlign w:val="superscript"/>
                <w:lang w:eastAsia="fr-FR"/>
              </w:rPr>
              <w:t>l</w:t>
            </w:r>
          </w:p>
        </w:tc>
        <w:tc>
          <w:tcPr>
            <w:tcW w:w="1417" w:type="dxa"/>
            <w:tcBorders>
              <w:top w:val="nil"/>
            </w:tcBorders>
          </w:tcPr>
          <w:p w14:paraId="52913B5F"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0.83 ± 0.01</w:t>
            </w:r>
            <w:r w:rsidRPr="00EF4194">
              <w:rPr>
                <w:rFonts w:ascii="Arial" w:eastAsia="Times New Roman" w:hAnsi="Arial" w:cs="Arial"/>
                <w:color w:val="000000"/>
                <w:sz w:val="20"/>
                <w:szCs w:val="20"/>
                <w:vertAlign w:val="superscript"/>
                <w:lang w:eastAsia="fr-FR"/>
              </w:rPr>
              <w:t>de</w:t>
            </w:r>
          </w:p>
        </w:tc>
        <w:tc>
          <w:tcPr>
            <w:tcW w:w="1384" w:type="dxa"/>
            <w:tcBorders>
              <w:top w:val="nil"/>
            </w:tcBorders>
          </w:tcPr>
          <w:p w14:paraId="289F7ADD"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0.99 ± 0.01</w:t>
            </w:r>
            <w:r w:rsidRPr="00EF4194">
              <w:rPr>
                <w:rFonts w:ascii="Arial" w:eastAsia="Times New Roman" w:hAnsi="Arial" w:cs="Arial"/>
                <w:color w:val="000000"/>
                <w:sz w:val="20"/>
                <w:szCs w:val="20"/>
                <w:vertAlign w:val="superscript"/>
                <w:lang w:eastAsia="fr-FR"/>
              </w:rPr>
              <w:t>j</w:t>
            </w:r>
          </w:p>
        </w:tc>
        <w:tc>
          <w:tcPr>
            <w:tcW w:w="1404" w:type="dxa"/>
            <w:tcBorders>
              <w:top w:val="nil"/>
            </w:tcBorders>
          </w:tcPr>
          <w:p w14:paraId="0939317A"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0.95 ± 0.01</w:t>
            </w:r>
            <w:r w:rsidRPr="00EF4194">
              <w:rPr>
                <w:rFonts w:ascii="Arial" w:eastAsia="Times New Roman" w:hAnsi="Arial" w:cs="Arial"/>
                <w:color w:val="000000"/>
                <w:sz w:val="20"/>
                <w:szCs w:val="20"/>
                <w:vertAlign w:val="superscript"/>
                <w:lang w:eastAsia="fr-FR"/>
              </w:rPr>
              <w:t>gh</w:t>
            </w:r>
          </w:p>
        </w:tc>
        <w:tc>
          <w:tcPr>
            <w:tcW w:w="1418" w:type="dxa"/>
            <w:tcBorders>
              <w:top w:val="nil"/>
            </w:tcBorders>
          </w:tcPr>
          <w:p w14:paraId="722BC9D8"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0.77 ± 0.01</w:t>
            </w:r>
            <w:r w:rsidRPr="00EF4194">
              <w:rPr>
                <w:rFonts w:ascii="Arial" w:eastAsia="Times New Roman" w:hAnsi="Arial" w:cs="Arial"/>
                <w:color w:val="000000"/>
                <w:sz w:val="20"/>
                <w:szCs w:val="20"/>
                <w:vertAlign w:val="superscript"/>
                <w:lang w:eastAsia="fr-FR"/>
              </w:rPr>
              <w:t>b</w:t>
            </w:r>
          </w:p>
        </w:tc>
      </w:tr>
      <w:tr w:rsidR="00EF4194" w:rsidRPr="00EF4194" w14:paraId="05039DC5" w14:textId="77777777" w:rsidTr="008802FB">
        <w:tc>
          <w:tcPr>
            <w:tcW w:w="1735" w:type="dxa"/>
          </w:tcPr>
          <w:p w14:paraId="21819B84" w14:textId="1673001D" w:rsidR="00EF4194" w:rsidRPr="00EF4194" w:rsidRDefault="00EF4194" w:rsidP="00640788">
            <w:pPr>
              <w:pStyle w:val="Contenudetableau"/>
              <w:rPr>
                <w:rFonts w:ascii="Arial" w:eastAsia="TimesNewRomanPSMT" w:hAnsi="Arial" w:cs="Arial"/>
                <w:b/>
                <w:bCs/>
                <w:sz w:val="20"/>
                <w:szCs w:val="20"/>
              </w:rPr>
            </w:pPr>
            <w:r w:rsidRPr="00EF4194">
              <w:rPr>
                <w:rFonts w:ascii="Arial" w:eastAsia="TimesNewRomanPSMT" w:hAnsi="Arial" w:cs="Arial"/>
                <w:b/>
                <w:bCs/>
                <w:sz w:val="20"/>
                <w:szCs w:val="20"/>
              </w:rPr>
              <w:t>Refined palm</w:t>
            </w:r>
          </w:p>
        </w:tc>
        <w:tc>
          <w:tcPr>
            <w:tcW w:w="1418" w:type="dxa"/>
          </w:tcPr>
          <w:p w14:paraId="0437EA6D"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1.19 ± 0.01</w:t>
            </w:r>
            <w:r w:rsidRPr="00EF4194">
              <w:rPr>
                <w:rFonts w:ascii="Arial" w:eastAsia="Times New Roman" w:hAnsi="Arial" w:cs="Arial"/>
                <w:color w:val="000000"/>
                <w:sz w:val="20"/>
                <w:szCs w:val="20"/>
                <w:vertAlign w:val="superscript"/>
                <w:lang w:eastAsia="fr-FR"/>
              </w:rPr>
              <w:t>m</w:t>
            </w:r>
          </w:p>
        </w:tc>
        <w:tc>
          <w:tcPr>
            <w:tcW w:w="1417" w:type="dxa"/>
          </w:tcPr>
          <w:p w14:paraId="70291868"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0.87 ± 0.01</w:t>
            </w:r>
            <w:r w:rsidRPr="00EF4194">
              <w:rPr>
                <w:rFonts w:ascii="Arial" w:eastAsia="Times New Roman" w:hAnsi="Arial" w:cs="Arial"/>
                <w:color w:val="000000"/>
                <w:sz w:val="20"/>
                <w:szCs w:val="20"/>
                <w:vertAlign w:val="superscript"/>
                <w:lang w:eastAsia="fr-FR"/>
              </w:rPr>
              <w:t>f</w:t>
            </w:r>
          </w:p>
        </w:tc>
        <w:tc>
          <w:tcPr>
            <w:tcW w:w="1384" w:type="dxa"/>
          </w:tcPr>
          <w:p w14:paraId="739A528D"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1.02 ± 0.01</w:t>
            </w:r>
            <w:r w:rsidRPr="00EF4194">
              <w:rPr>
                <w:rFonts w:ascii="Arial" w:eastAsia="Times New Roman" w:hAnsi="Arial" w:cs="Arial"/>
                <w:color w:val="000000"/>
                <w:sz w:val="20"/>
                <w:szCs w:val="20"/>
                <w:vertAlign w:val="superscript"/>
                <w:lang w:eastAsia="fr-FR"/>
              </w:rPr>
              <w:t>k</w:t>
            </w:r>
          </w:p>
        </w:tc>
        <w:tc>
          <w:tcPr>
            <w:tcW w:w="1404" w:type="dxa"/>
          </w:tcPr>
          <w:p w14:paraId="025DE655"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0.97 ± 0.01</w:t>
            </w:r>
            <w:r w:rsidRPr="00EF4194">
              <w:rPr>
                <w:rFonts w:ascii="Arial" w:eastAsia="Times New Roman" w:hAnsi="Arial" w:cs="Arial"/>
                <w:color w:val="000000"/>
                <w:sz w:val="20"/>
                <w:szCs w:val="20"/>
                <w:vertAlign w:val="superscript"/>
                <w:lang w:eastAsia="fr-FR"/>
              </w:rPr>
              <w:t>ij</w:t>
            </w:r>
          </w:p>
        </w:tc>
        <w:tc>
          <w:tcPr>
            <w:tcW w:w="1418" w:type="dxa"/>
          </w:tcPr>
          <w:p w14:paraId="675A0F23"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0.79 ± 0.01</w:t>
            </w:r>
            <w:r w:rsidRPr="00EF4194">
              <w:rPr>
                <w:rFonts w:ascii="Arial" w:eastAsia="Times New Roman" w:hAnsi="Arial" w:cs="Arial"/>
                <w:color w:val="000000"/>
                <w:sz w:val="20"/>
                <w:szCs w:val="20"/>
                <w:vertAlign w:val="superscript"/>
                <w:lang w:eastAsia="fr-FR"/>
              </w:rPr>
              <w:t>c</w:t>
            </w:r>
          </w:p>
        </w:tc>
      </w:tr>
      <w:tr w:rsidR="00EF4194" w:rsidRPr="00EF4194" w14:paraId="4401ED1A" w14:textId="77777777" w:rsidTr="008802FB">
        <w:tc>
          <w:tcPr>
            <w:tcW w:w="1735" w:type="dxa"/>
          </w:tcPr>
          <w:p w14:paraId="76C82FD5" w14:textId="7D97DDA9" w:rsidR="00EF4194" w:rsidRPr="00EF4194" w:rsidRDefault="00EF4194" w:rsidP="00640788">
            <w:pPr>
              <w:pStyle w:val="Contenudetableau"/>
              <w:rPr>
                <w:rFonts w:ascii="Arial" w:eastAsia="TimesNewRomanPSMT" w:hAnsi="Arial" w:cs="Arial"/>
                <w:b/>
                <w:bCs/>
                <w:sz w:val="20"/>
                <w:szCs w:val="20"/>
              </w:rPr>
            </w:pPr>
            <w:r w:rsidRPr="00EF4194">
              <w:rPr>
                <w:rFonts w:ascii="Arial" w:hAnsi="Arial" w:cs="Arial"/>
                <w:b/>
                <w:bCs/>
                <w:sz w:val="20"/>
                <w:szCs w:val="20"/>
              </w:rPr>
              <w:t>Olive</w:t>
            </w:r>
          </w:p>
        </w:tc>
        <w:tc>
          <w:tcPr>
            <w:tcW w:w="1418" w:type="dxa"/>
          </w:tcPr>
          <w:p w14:paraId="78DFF117"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1.15 ± 0.01</w:t>
            </w:r>
            <w:r w:rsidRPr="00EF4194">
              <w:rPr>
                <w:rFonts w:ascii="Arial" w:eastAsia="Times New Roman" w:hAnsi="Arial" w:cs="Arial"/>
                <w:color w:val="000000"/>
                <w:sz w:val="20"/>
                <w:szCs w:val="20"/>
                <w:vertAlign w:val="superscript"/>
                <w:lang w:eastAsia="fr-FR"/>
              </w:rPr>
              <w:t>l</w:t>
            </w:r>
          </w:p>
        </w:tc>
        <w:tc>
          <w:tcPr>
            <w:tcW w:w="1417" w:type="dxa"/>
          </w:tcPr>
          <w:p w14:paraId="42310328"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0.82 ± 0.01</w:t>
            </w:r>
            <w:r w:rsidRPr="00EF4194">
              <w:rPr>
                <w:rFonts w:ascii="Arial" w:eastAsia="Times New Roman" w:hAnsi="Arial" w:cs="Arial"/>
                <w:color w:val="000000"/>
                <w:sz w:val="20"/>
                <w:szCs w:val="20"/>
                <w:vertAlign w:val="superscript"/>
                <w:lang w:eastAsia="fr-FR"/>
              </w:rPr>
              <w:t>d</w:t>
            </w:r>
          </w:p>
        </w:tc>
        <w:tc>
          <w:tcPr>
            <w:tcW w:w="1384" w:type="dxa"/>
          </w:tcPr>
          <w:p w14:paraId="6D52DC7C"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0.98 ± 0.01</w:t>
            </w:r>
            <w:r w:rsidRPr="00EF4194">
              <w:rPr>
                <w:rFonts w:ascii="Arial" w:eastAsia="Times New Roman" w:hAnsi="Arial" w:cs="Arial"/>
                <w:color w:val="000000"/>
                <w:sz w:val="20"/>
                <w:szCs w:val="20"/>
                <w:vertAlign w:val="superscript"/>
                <w:lang w:eastAsia="fr-FR"/>
              </w:rPr>
              <w:t>j</w:t>
            </w:r>
          </w:p>
        </w:tc>
        <w:tc>
          <w:tcPr>
            <w:tcW w:w="1404" w:type="dxa"/>
          </w:tcPr>
          <w:p w14:paraId="1EE181C7"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0.94 ± 0.01</w:t>
            </w:r>
            <w:r w:rsidRPr="00EF4194">
              <w:rPr>
                <w:rFonts w:ascii="Arial" w:eastAsia="Times New Roman" w:hAnsi="Arial" w:cs="Arial"/>
                <w:color w:val="000000"/>
                <w:sz w:val="20"/>
                <w:szCs w:val="20"/>
                <w:vertAlign w:val="superscript"/>
                <w:lang w:eastAsia="fr-FR"/>
              </w:rPr>
              <w:t>g</w:t>
            </w:r>
          </w:p>
        </w:tc>
        <w:tc>
          <w:tcPr>
            <w:tcW w:w="1418" w:type="dxa"/>
          </w:tcPr>
          <w:p w14:paraId="4C3C652A" w14:textId="77777777" w:rsidR="00EF4194" w:rsidRPr="00EF4194" w:rsidRDefault="00EF4194" w:rsidP="00640788">
            <w:pPr>
              <w:pStyle w:val="Contenudetableau"/>
              <w:jc w:val="center"/>
              <w:rPr>
                <w:rFonts w:ascii="Arial" w:eastAsia="Times New Roman" w:hAnsi="Arial" w:cs="Arial"/>
                <w:color w:val="000000"/>
                <w:sz w:val="20"/>
                <w:szCs w:val="20"/>
                <w:lang w:val="fr-FR" w:eastAsia="fr-FR"/>
              </w:rPr>
            </w:pPr>
            <w:r w:rsidRPr="00EF4194">
              <w:rPr>
                <w:rFonts w:ascii="Arial" w:eastAsia="Times New Roman" w:hAnsi="Arial" w:cs="Arial"/>
                <w:color w:val="000000"/>
                <w:sz w:val="20"/>
                <w:szCs w:val="20"/>
                <w:lang w:eastAsia="fr-FR"/>
              </w:rPr>
              <w:t>0.75 ± 0.01</w:t>
            </w:r>
            <w:r w:rsidRPr="00EF4194">
              <w:rPr>
                <w:rFonts w:ascii="Arial" w:eastAsia="Times New Roman" w:hAnsi="Arial" w:cs="Arial"/>
                <w:color w:val="000000"/>
                <w:sz w:val="20"/>
                <w:szCs w:val="20"/>
                <w:vertAlign w:val="superscript"/>
                <w:lang w:eastAsia="fr-FR"/>
              </w:rPr>
              <w:t>a</w:t>
            </w:r>
          </w:p>
        </w:tc>
      </w:tr>
    </w:tbl>
    <w:p w14:paraId="0CEDA414" w14:textId="77777777" w:rsidR="008802FB" w:rsidRPr="00FC63C1" w:rsidRDefault="008802FB" w:rsidP="008802FB">
      <w:pPr>
        <w:pStyle w:val="Revista"/>
        <w:ind w:firstLine="0"/>
        <w:jc w:val="center"/>
        <w:rPr>
          <w:rFonts w:ascii="Arial" w:hAnsi="Arial" w:cs="Arial"/>
          <w:b/>
          <w:i/>
          <w:sz w:val="20"/>
        </w:rPr>
      </w:pPr>
      <w:r w:rsidRPr="00E6314E">
        <w:rPr>
          <w:rFonts w:ascii="Arial" w:hAnsi="Arial" w:cs="Arial"/>
          <w:i/>
          <w:sz w:val="20"/>
        </w:rPr>
        <w:t xml:space="preserve">Values are expressed as mean ± standard deviation. Mean values with different superscript letters were significantly different </w:t>
      </w:r>
      <w:r w:rsidRPr="00BF41D5">
        <w:rPr>
          <w:rFonts w:ascii="Arial" w:hAnsi="Arial" w:cs="Arial"/>
          <w:i/>
          <w:iCs/>
          <w:sz w:val="20"/>
          <w:szCs w:val="16"/>
        </w:rPr>
        <w:t>(P = .05</w:t>
      </w:r>
      <w:r>
        <w:rPr>
          <w:rFonts w:ascii="Arial" w:hAnsi="Arial" w:cs="Arial"/>
          <w:i/>
          <w:iCs/>
          <w:sz w:val="20"/>
          <w:szCs w:val="16"/>
        </w:rPr>
        <w:t>)</w:t>
      </w:r>
      <w:r w:rsidRPr="00E6314E">
        <w:rPr>
          <w:rFonts w:ascii="Arial" w:hAnsi="Arial" w:cs="Arial"/>
          <w:i/>
          <w:sz w:val="20"/>
        </w:rPr>
        <w:t>.</w:t>
      </w:r>
    </w:p>
    <w:p w14:paraId="6AEED965" w14:textId="3B7C5E59" w:rsidR="00FC63C1" w:rsidRPr="00D40585" w:rsidRDefault="00FC63C1" w:rsidP="00D40585">
      <w:pPr>
        <w:pStyle w:val="Body"/>
        <w:rPr>
          <w:rFonts w:ascii="Arial" w:hAnsi="Arial" w:cs="Arial"/>
          <w:b/>
          <w:bCs/>
          <w:sz w:val="22"/>
          <w:szCs w:val="22"/>
        </w:rPr>
      </w:pPr>
      <w:r w:rsidRPr="00D40585">
        <w:rPr>
          <w:rFonts w:ascii="Arial" w:hAnsi="Arial" w:cs="Arial"/>
          <w:b/>
          <w:bCs/>
          <w:sz w:val="22"/>
          <w:szCs w:val="22"/>
          <w:lang w:val="fr-FR"/>
        </w:rPr>
        <w:lastRenderedPageBreak/>
        <w:t xml:space="preserve">3.8. </w:t>
      </w:r>
      <w:r w:rsidR="00B95D11" w:rsidRPr="00B95D11">
        <w:rPr>
          <w:rFonts w:ascii="Arial" w:hAnsi="Arial" w:cs="Arial"/>
          <w:b/>
          <w:bCs/>
          <w:sz w:val="22"/>
          <w:szCs w:val="22"/>
          <w:lang w:val="fr-FR"/>
        </w:rPr>
        <w:t xml:space="preserve">Pearson </w:t>
      </w:r>
      <w:proofErr w:type="spellStart"/>
      <w:r w:rsidR="00B95D11" w:rsidRPr="00B95D11">
        <w:rPr>
          <w:rFonts w:ascii="Arial" w:hAnsi="Arial" w:cs="Arial"/>
          <w:b/>
          <w:bCs/>
          <w:sz w:val="22"/>
          <w:szCs w:val="22"/>
          <w:lang w:val="fr-FR"/>
        </w:rPr>
        <w:t>Correlation</w:t>
      </w:r>
      <w:proofErr w:type="spellEnd"/>
      <w:r w:rsidR="00EF4194" w:rsidRPr="00D40585">
        <w:rPr>
          <w:rFonts w:ascii="Arial" w:hAnsi="Arial" w:cs="Arial"/>
          <w:b/>
          <w:bCs/>
          <w:sz w:val="22"/>
          <w:szCs w:val="22"/>
          <w:lang w:val="fr-FR"/>
        </w:rPr>
        <w:t xml:space="preserve"> </w:t>
      </w:r>
      <w:proofErr w:type="spellStart"/>
      <w:r w:rsidR="00EF4194" w:rsidRPr="00D40585">
        <w:rPr>
          <w:rFonts w:ascii="Arial" w:hAnsi="Arial" w:cs="Arial"/>
          <w:b/>
          <w:bCs/>
          <w:sz w:val="22"/>
          <w:szCs w:val="22"/>
          <w:lang w:val="fr-FR"/>
        </w:rPr>
        <w:t>analysis</w:t>
      </w:r>
      <w:proofErr w:type="spellEnd"/>
      <w:r w:rsidR="00EF4194" w:rsidRPr="00D40585">
        <w:rPr>
          <w:rFonts w:ascii="Arial" w:hAnsi="Arial" w:cs="Arial"/>
          <w:b/>
          <w:bCs/>
          <w:sz w:val="22"/>
          <w:szCs w:val="22"/>
          <w:lang w:val="fr-FR"/>
        </w:rPr>
        <w:t xml:space="preserve"> </w:t>
      </w:r>
    </w:p>
    <w:p w14:paraId="39E0DFE3" w14:textId="7D14D478" w:rsidR="00CA54AA" w:rsidRPr="00FC63C1" w:rsidRDefault="00EF4194" w:rsidP="00FC63C1">
      <w:pPr>
        <w:pStyle w:val="Revista"/>
        <w:ind w:firstLine="0"/>
        <w:rPr>
          <w:rFonts w:ascii="Arial" w:hAnsi="Arial" w:cs="Arial"/>
          <w:b/>
          <w:bCs/>
          <w:sz w:val="20"/>
        </w:rPr>
      </w:pPr>
      <w:r w:rsidRPr="00EF4194">
        <w:rPr>
          <w:rFonts w:ascii="Arial" w:hAnsi="Arial" w:cs="Arial"/>
          <w:sz w:val="20"/>
        </w:rPr>
        <w:t>To further explore the relationship between gum purification methods, the</w:t>
      </w:r>
      <w:r w:rsidRPr="009B17A1">
        <w:rPr>
          <w:rFonts w:ascii="Arial" w:hAnsi="Arial" w:cs="Arial"/>
          <w:sz w:val="20"/>
        </w:rPr>
        <w:t xml:space="preserve"> multivariate analyses</w:t>
      </w:r>
      <w:r w:rsidRPr="009B17A1">
        <w:rPr>
          <w:rFonts w:ascii="Arial" w:hAnsi="Arial" w:cs="Arial"/>
          <w:i/>
          <w:iCs/>
          <w:sz w:val="20"/>
        </w:rPr>
        <w:t xml:space="preserve"> </w:t>
      </w:r>
      <w:r w:rsidRPr="00EF4194">
        <w:rPr>
          <w:rFonts w:ascii="Arial" w:hAnsi="Arial" w:cs="Arial"/>
          <w:sz w:val="20"/>
        </w:rPr>
        <w:t xml:space="preserve">were used to differentiate the ten varieties. The results of correlation analysis indicated the presence of correlations among different </w:t>
      </w:r>
      <w:proofErr w:type="spellStart"/>
      <w:r w:rsidRPr="00EF4194">
        <w:rPr>
          <w:rFonts w:ascii="Arial" w:hAnsi="Arial" w:cs="Arial"/>
          <w:sz w:val="20"/>
        </w:rPr>
        <w:t>fums</w:t>
      </w:r>
      <w:proofErr w:type="spellEnd"/>
      <w:r w:rsidRPr="00EF4194">
        <w:rPr>
          <w:rFonts w:ascii="Arial" w:hAnsi="Arial" w:cs="Arial"/>
          <w:sz w:val="20"/>
        </w:rPr>
        <w:t xml:space="preserve"> </w:t>
      </w:r>
      <w:r w:rsidRPr="00EF4194">
        <w:rPr>
          <w:rFonts w:ascii="Arial" w:hAnsi="Arial" w:cs="Arial"/>
          <w:color w:val="000000" w:themeColor="text1"/>
          <w:sz w:val="20"/>
        </w:rPr>
        <w:t>physicochemical, functional properties</w:t>
      </w:r>
      <w:r w:rsidRPr="009B17A1">
        <w:rPr>
          <w:rFonts w:ascii="Arial" w:hAnsi="Arial" w:cs="Arial"/>
          <w:color w:val="000000" w:themeColor="text1"/>
          <w:sz w:val="20"/>
        </w:rPr>
        <w:t xml:space="preserve"> and yield (Fig. </w:t>
      </w:r>
      <w:r w:rsidR="00D3024E" w:rsidRPr="009B17A1">
        <w:rPr>
          <w:rFonts w:ascii="Arial" w:hAnsi="Arial" w:cs="Arial"/>
          <w:color w:val="000000" w:themeColor="text1"/>
          <w:sz w:val="20"/>
        </w:rPr>
        <w:t>8</w:t>
      </w:r>
      <w:r w:rsidRPr="009B17A1">
        <w:rPr>
          <w:rFonts w:ascii="Arial" w:hAnsi="Arial" w:cs="Arial"/>
          <w:color w:val="000000" w:themeColor="text1"/>
          <w:sz w:val="20"/>
        </w:rPr>
        <w:t>). Cashew gum protein is negatively correlated with d</w:t>
      </w:r>
      <w:r w:rsidRPr="009B17A1">
        <w:rPr>
          <w:rFonts w:ascii="Arial" w:hAnsi="Arial" w:cs="Arial"/>
          <w:sz w:val="20"/>
        </w:rPr>
        <w:t>ry matter (r = -0.92), total carbohydrates (r = -1.00) and galactose (r = -0.96), whereas it is positively correlated with arabinose (r = 0.95), glucose (r = 0.92) and rhamnose (r = 0.93). This can be explained by the fact that purification reduces the proteins in the crude exudate and increases the dry matter and carbohydrate content of the dehydrated purified gum powder. There is a significant negative correlation (p ≤0.05) between the protein content and the water solubility index (r = -0.99) and the water absorption capacity (r = -0.92). Conversely, positive correlations are found between the protein content and the oil absorption capacity (r = 0.94; r = 0.95; r = 0.96), regardless of the type of oil. There was a significant negative correlation (p ≤0.05) between protein content</w:t>
      </w:r>
      <w:r w:rsidR="00FC63C1" w:rsidRPr="009B17A1">
        <w:rPr>
          <w:rFonts w:ascii="Arial" w:hAnsi="Arial" w:cs="Arial"/>
          <w:sz w:val="20"/>
        </w:rPr>
        <w:t xml:space="preserve"> and water solubility index (r = -0.99) and water absorption capacity (r = -0.92). Conversely, there was a positive correlation between protein content and oil absorption capacity (r = 0.94; r = 0.95; r = 0.96), regardless of oil type. Total carbohydrate was positively correlated with water solubility</w:t>
      </w:r>
      <w:r w:rsidR="00FC63C1" w:rsidRPr="009B17A1">
        <w:rPr>
          <w:rFonts w:ascii="Arial" w:hAnsi="Arial" w:cs="Arial"/>
          <w:sz w:val="20"/>
          <w:szCs w:val="16"/>
        </w:rPr>
        <w:t xml:space="preserve"> index at 80 °C (r = 0.99) and water absorption capacity (r = 0.92), but negatively correlated with oil absorption capacity (r = -0.94; r = -0.95; r = -0.96), regardless of oil type. These correlations help to explain that the hydrating properties of cashew gum in this study are related to the high carbohydrate composition of the gum, while a high protein content enables the high oil absorption capacity of the gum. </w:t>
      </w:r>
      <w:r w:rsidR="00FC63C1" w:rsidRPr="00FC63C1">
        <w:rPr>
          <w:rFonts w:ascii="Arial" w:hAnsi="Arial" w:cs="Arial"/>
          <w:sz w:val="20"/>
          <w:szCs w:val="16"/>
        </w:rPr>
        <w:t>These results indicate that interrelationships exist among the physicochemical and functional properties of gums according purification methods. </w:t>
      </w:r>
    </w:p>
    <w:p w14:paraId="220B3BAC" w14:textId="77777777" w:rsidR="00CA54AA" w:rsidRPr="00FC63C1" w:rsidRDefault="00CA54AA" w:rsidP="00CA54AA">
      <w:pPr>
        <w:pStyle w:val="Body"/>
        <w:spacing w:after="0"/>
        <w:rPr>
          <w:rFonts w:ascii="Arial" w:hAnsi="Arial" w:cs="Arial"/>
          <w:sz w:val="16"/>
          <w:szCs w:val="16"/>
        </w:rPr>
      </w:pPr>
    </w:p>
    <w:p w14:paraId="7EB7BE56" w14:textId="3BAAC49C" w:rsidR="00FC63C1" w:rsidRDefault="00FC63C1" w:rsidP="00FC63C1">
      <w:pPr>
        <w:pStyle w:val="Revista"/>
        <w:spacing w:before="240"/>
        <w:ind w:firstLine="0"/>
        <w:jc w:val="center"/>
        <w:rPr>
          <w:i/>
          <w:iCs/>
          <w:lang w:val="fr-FR"/>
        </w:rPr>
      </w:pPr>
      <w:r w:rsidRPr="00CE0AF5">
        <w:rPr>
          <w:noProof/>
        </w:rPr>
        <w:lastRenderedPageBreak/>
        <w:drawing>
          <wp:inline distT="0" distB="0" distL="0" distR="0" wp14:anchorId="21455E67" wp14:editId="0C6C0431">
            <wp:extent cx="5810250" cy="5253103"/>
            <wp:effectExtent l="0" t="0" r="0" b="0"/>
            <wp:docPr id="1148387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47768" name=""/>
                    <pic:cNvPicPr/>
                  </pic:nvPicPr>
                  <pic:blipFill>
                    <a:blip r:embed="rId26"/>
                    <a:stretch>
                      <a:fillRect/>
                    </a:stretch>
                  </pic:blipFill>
                  <pic:spPr>
                    <a:xfrm>
                      <a:off x="0" y="0"/>
                      <a:ext cx="5827010" cy="5268256"/>
                    </a:xfrm>
                    <a:prstGeom prst="rect">
                      <a:avLst/>
                    </a:prstGeom>
                  </pic:spPr>
                </pic:pic>
              </a:graphicData>
            </a:graphic>
          </wp:inline>
        </w:drawing>
      </w:r>
    </w:p>
    <w:p w14:paraId="31C10844" w14:textId="2AD8AF4D" w:rsidR="00D3024E" w:rsidRDefault="00D3024E" w:rsidP="00D3024E">
      <w:pPr>
        <w:pStyle w:val="Revista"/>
        <w:keepNext/>
        <w:spacing w:before="240"/>
        <w:ind w:firstLine="0"/>
        <w:jc w:val="center"/>
        <w:rPr>
          <w:rFonts w:ascii="Arial" w:hAnsi="Arial" w:cs="Arial"/>
          <w:b/>
          <w:bCs/>
          <w:sz w:val="20"/>
        </w:rPr>
      </w:pPr>
      <w:r w:rsidRPr="00275E86">
        <w:rPr>
          <w:rFonts w:ascii="Arial" w:hAnsi="Arial" w:cs="Arial"/>
          <w:b/>
          <w:bCs/>
          <w:sz w:val="20"/>
        </w:rPr>
        <w:t xml:space="preserve">Fig. </w:t>
      </w:r>
      <w:r w:rsidRPr="00275E86">
        <w:rPr>
          <w:rFonts w:ascii="Arial" w:hAnsi="Arial" w:cs="Arial"/>
          <w:b/>
          <w:bCs/>
          <w:sz w:val="20"/>
        </w:rPr>
        <w:fldChar w:fldCharType="begin"/>
      </w:r>
      <w:r w:rsidRPr="00275E86">
        <w:rPr>
          <w:rFonts w:ascii="Arial" w:hAnsi="Arial" w:cs="Arial"/>
          <w:b/>
          <w:bCs/>
          <w:sz w:val="20"/>
        </w:rPr>
        <w:instrText xml:space="preserve"> SEQ Fig. \* ARABIC </w:instrText>
      </w:r>
      <w:r w:rsidRPr="00275E86">
        <w:rPr>
          <w:rFonts w:ascii="Arial" w:hAnsi="Arial" w:cs="Arial"/>
          <w:b/>
          <w:bCs/>
          <w:sz w:val="20"/>
        </w:rPr>
        <w:fldChar w:fldCharType="separate"/>
      </w:r>
      <w:r>
        <w:rPr>
          <w:rFonts w:ascii="Arial" w:hAnsi="Arial" w:cs="Arial"/>
          <w:b/>
          <w:bCs/>
          <w:noProof/>
          <w:sz w:val="20"/>
        </w:rPr>
        <w:t>8</w:t>
      </w:r>
      <w:r w:rsidRPr="00275E86">
        <w:rPr>
          <w:rFonts w:ascii="Arial" w:hAnsi="Arial" w:cs="Arial"/>
          <w:b/>
          <w:bCs/>
          <w:sz w:val="20"/>
        </w:rPr>
        <w:fldChar w:fldCharType="end"/>
      </w:r>
      <w:r w:rsidRPr="00275E86">
        <w:rPr>
          <w:rFonts w:ascii="Arial" w:hAnsi="Arial" w:cs="Arial"/>
          <w:b/>
          <w:bCs/>
          <w:sz w:val="20"/>
        </w:rPr>
        <w:t xml:space="preserve">: </w:t>
      </w:r>
      <w:r w:rsidRPr="009B17A1">
        <w:rPr>
          <w:rFonts w:ascii="Arial" w:hAnsi="Arial" w:cs="Arial"/>
          <w:b/>
          <w:bCs/>
          <w:sz w:val="20"/>
        </w:rPr>
        <w:t xml:space="preserve">Correlogram of </w:t>
      </w:r>
      <w:r w:rsidRPr="005A5235">
        <w:rPr>
          <w:rFonts w:ascii="Arial" w:hAnsi="Arial" w:cs="Arial"/>
          <w:b/>
          <w:bCs/>
          <w:sz w:val="20"/>
        </w:rPr>
        <w:t>correlations between physicochemical and functional properties of gums</w:t>
      </w:r>
    </w:p>
    <w:p w14:paraId="15928463" w14:textId="77777777" w:rsidR="00D3024E" w:rsidRPr="008802FB" w:rsidRDefault="00D3024E" w:rsidP="00D40585">
      <w:pPr>
        <w:pStyle w:val="Body"/>
      </w:pPr>
    </w:p>
    <w:p w14:paraId="07144256" w14:textId="5F6A7FC3" w:rsidR="00FC63C1" w:rsidRPr="009B17A1" w:rsidRDefault="00FC63C1" w:rsidP="00FC63C1">
      <w:pPr>
        <w:pStyle w:val="Revista"/>
        <w:ind w:firstLine="0"/>
        <w:rPr>
          <w:rFonts w:ascii="Arial" w:hAnsi="Arial" w:cs="Arial"/>
          <w:b/>
          <w:bCs/>
          <w:sz w:val="22"/>
          <w:szCs w:val="22"/>
        </w:rPr>
      </w:pPr>
      <w:r w:rsidRPr="009B17A1">
        <w:rPr>
          <w:rFonts w:ascii="Arial" w:hAnsi="Arial" w:cs="Arial"/>
          <w:b/>
          <w:bCs/>
          <w:sz w:val="22"/>
          <w:szCs w:val="22"/>
        </w:rPr>
        <w:t xml:space="preserve">3.9. Principal Component Analysis (PCA) </w:t>
      </w:r>
    </w:p>
    <w:p w14:paraId="44A28ED6" w14:textId="77777777" w:rsidR="00FC63C1" w:rsidRPr="009B17A1" w:rsidRDefault="00FC63C1" w:rsidP="00FC63C1">
      <w:pPr>
        <w:pStyle w:val="Revista"/>
        <w:ind w:firstLine="0"/>
        <w:rPr>
          <w:rFonts w:ascii="Arial" w:hAnsi="Arial" w:cs="Arial"/>
          <w:b/>
          <w:bCs/>
          <w:sz w:val="20"/>
        </w:rPr>
      </w:pPr>
    </w:p>
    <w:p w14:paraId="17D1AC14" w14:textId="57941956" w:rsidR="00CA54AA" w:rsidRPr="009B17A1" w:rsidRDefault="00FC63C1" w:rsidP="00FC63C1">
      <w:pPr>
        <w:pStyle w:val="Revista"/>
        <w:ind w:firstLine="0"/>
        <w:rPr>
          <w:rFonts w:ascii="Arial" w:hAnsi="Arial" w:cs="Arial"/>
          <w:b/>
          <w:bCs/>
          <w:sz w:val="20"/>
        </w:rPr>
      </w:pPr>
      <w:r w:rsidRPr="009B17A1">
        <w:rPr>
          <w:rFonts w:ascii="Arial" w:hAnsi="Arial" w:cs="Arial"/>
          <w:sz w:val="20"/>
        </w:rPr>
        <w:t xml:space="preserve">The PCA biplot was used to </w:t>
      </w:r>
      <w:r w:rsidRPr="00FC63C1">
        <w:rPr>
          <w:rFonts w:ascii="Arial" w:hAnsi="Arial" w:cs="Arial"/>
          <w:sz w:val="20"/>
        </w:rPr>
        <w:t xml:space="preserve">describe the close relationship between </w:t>
      </w:r>
      <w:r w:rsidRPr="009B17A1">
        <w:rPr>
          <w:rFonts w:ascii="Arial" w:hAnsi="Arial" w:cs="Arial"/>
          <w:sz w:val="20"/>
        </w:rPr>
        <w:t xml:space="preserve">purification methods, physicochemical and functional properties of the studied gums. Two orthogonal components presented more than 1.00 eigenvalues, accounting for 95.02% of the total variance explained by PC1 and PC2 (Fig. </w:t>
      </w:r>
      <w:r w:rsidR="00D3024E" w:rsidRPr="009B17A1">
        <w:rPr>
          <w:rFonts w:ascii="Arial" w:hAnsi="Arial" w:cs="Arial"/>
          <w:sz w:val="20"/>
        </w:rPr>
        <w:t>9</w:t>
      </w:r>
      <w:r w:rsidRPr="009B17A1">
        <w:rPr>
          <w:rFonts w:ascii="Arial" w:hAnsi="Arial" w:cs="Arial"/>
          <w:sz w:val="20"/>
        </w:rPr>
        <w:t xml:space="preserve">). The contribution of PC1 was 83.45% of the total divergence of the studied population, in which the main contributing characters were solubility (80°C) (0.99), carbohydrates (0.99), galactose (0.99), protein (4.09), WHC (0.96), and dry matter (0.89), with the maximum positive contribution being to genetic divergence, whereas rhamnose (-0.98), protein (-0.97), OHC (-0.96 to -0.96), and ash (-0.89) had significant negative effects. PC2 accounted for 11.57% of the total variation. Xylose (0.74), </w:t>
      </w:r>
      <w:proofErr w:type="spellStart"/>
      <w:r w:rsidRPr="009B17A1">
        <w:rPr>
          <w:rFonts w:ascii="Arial" w:hAnsi="Arial" w:cs="Arial"/>
          <w:sz w:val="20"/>
        </w:rPr>
        <w:t>manose</w:t>
      </w:r>
      <w:proofErr w:type="spellEnd"/>
      <w:r w:rsidRPr="009B17A1">
        <w:rPr>
          <w:rFonts w:ascii="Arial" w:hAnsi="Arial" w:cs="Arial"/>
          <w:sz w:val="20"/>
        </w:rPr>
        <w:t xml:space="preserve"> (0.73) and glucuronic acid (0.581) had the maximum positive contribution to quality diversity, whereas yield (-0.45), ash </w:t>
      </w:r>
      <w:r w:rsidRPr="009B17A1">
        <w:rPr>
          <w:rFonts w:ascii="Arial" w:hAnsi="Arial" w:cs="Arial"/>
          <w:sz w:val="20"/>
        </w:rPr>
        <w:lastRenderedPageBreak/>
        <w:t xml:space="preserve">(-0.45) and zinc (-0.41) had a strong negative contribution. Three clusters appeared in the biplot. The minerals calcium, iron, potassium, zinc, magnesium, sodium, manganese, ash and yield were clustered together. While mannose-xylose, glucuronic acid, galacturonic acid, OHC, arabinose, glucose, and protein were close together. Conversely, galactose, dry matter, WHC, solubility, and carbohydrate were distant from the other quality traits and showed opposite trends (Fig. </w:t>
      </w:r>
      <w:r w:rsidR="00D3024E" w:rsidRPr="009B17A1">
        <w:rPr>
          <w:rFonts w:ascii="Arial" w:hAnsi="Arial" w:cs="Arial"/>
          <w:sz w:val="20"/>
        </w:rPr>
        <w:t>9</w:t>
      </w:r>
      <w:r w:rsidRPr="009B17A1">
        <w:rPr>
          <w:rFonts w:ascii="Arial" w:hAnsi="Arial" w:cs="Arial"/>
          <w:sz w:val="20"/>
        </w:rPr>
        <w:t>).</w:t>
      </w:r>
    </w:p>
    <w:p w14:paraId="18A2B82A" w14:textId="77777777" w:rsidR="00CA54AA" w:rsidRPr="00FC63C1" w:rsidRDefault="00CA54AA" w:rsidP="00CA54AA">
      <w:pPr>
        <w:pStyle w:val="Body"/>
        <w:spacing w:after="0"/>
        <w:rPr>
          <w:rFonts w:ascii="Arial" w:hAnsi="Arial" w:cs="Arial"/>
        </w:rPr>
      </w:pPr>
    </w:p>
    <w:p w14:paraId="00E75CB2" w14:textId="2733AEB2" w:rsidR="00CA54AA" w:rsidRDefault="00CD18F6" w:rsidP="00CD18F6">
      <w:pPr>
        <w:pStyle w:val="Body"/>
        <w:spacing w:after="0"/>
        <w:rPr>
          <w:rFonts w:ascii="Arial" w:hAnsi="Arial" w:cs="Arial"/>
        </w:rPr>
      </w:pPr>
      <w:r>
        <w:rPr>
          <w:noProof/>
        </w:rPr>
        <w:drawing>
          <wp:inline distT="0" distB="0" distL="0" distR="0" wp14:anchorId="04C1B7C9" wp14:editId="3CE688A4">
            <wp:extent cx="5574633" cy="4086225"/>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83760" cy="4092915"/>
                    </a:xfrm>
                    <a:prstGeom prst="rect">
                      <a:avLst/>
                    </a:prstGeom>
                    <a:noFill/>
                    <a:ln>
                      <a:noFill/>
                    </a:ln>
                  </pic:spPr>
                </pic:pic>
              </a:graphicData>
            </a:graphic>
          </wp:inline>
        </w:drawing>
      </w:r>
    </w:p>
    <w:p w14:paraId="136D9BA2" w14:textId="463C57B3" w:rsidR="00D3024E" w:rsidRDefault="00D3024E" w:rsidP="00B95D11">
      <w:pPr>
        <w:pStyle w:val="Caption"/>
        <w:jc w:val="center"/>
        <w:rPr>
          <w:rFonts w:ascii="Arial" w:hAnsi="Arial" w:cs="Arial"/>
          <w:b/>
          <w:bCs/>
          <w:i w:val="0"/>
          <w:iCs w:val="0"/>
          <w:sz w:val="20"/>
          <w:szCs w:val="20"/>
        </w:rPr>
      </w:pPr>
      <w:r w:rsidRPr="00275E86">
        <w:rPr>
          <w:rFonts w:ascii="Arial" w:hAnsi="Arial" w:cs="Arial"/>
          <w:b/>
          <w:bCs/>
          <w:i w:val="0"/>
          <w:iCs w:val="0"/>
          <w:sz w:val="20"/>
          <w:szCs w:val="20"/>
        </w:rPr>
        <w:t xml:space="preserve">Fig. </w:t>
      </w:r>
      <w:r w:rsidRPr="00275E86">
        <w:rPr>
          <w:rFonts w:ascii="Arial" w:hAnsi="Arial" w:cs="Arial"/>
          <w:b/>
          <w:bCs/>
          <w:i w:val="0"/>
          <w:iCs w:val="0"/>
          <w:sz w:val="20"/>
          <w:szCs w:val="20"/>
        </w:rPr>
        <w:fldChar w:fldCharType="begin"/>
      </w:r>
      <w:r w:rsidRPr="00275E86">
        <w:rPr>
          <w:rFonts w:ascii="Arial" w:hAnsi="Arial" w:cs="Arial"/>
          <w:b/>
          <w:bCs/>
          <w:i w:val="0"/>
          <w:iCs w:val="0"/>
          <w:sz w:val="20"/>
          <w:szCs w:val="20"/>
        </w:rPr>
        <w:instrText xml:space="preserve"> SEQ Fig. \* ARABIC </w:instrText>
      </w:r>
      <w:r w:rsidRPr="00275E86">
        <w:rPr>
          <w:rFonts w:ascii="Arial" w:hAnsi="Arial" w:cs="Arial"/>
          <w:b/>
          <w:bCs/>
          <w:i w:val="0"/>
          <w:iCs w:val="0"/>
          <w:sz w:val="20"/>
          <w:szCs w:val="20"/>
        </w:rPr>
        <w:fldChar w:fldCharType="separate"/>
      </w:r>
      <w:r>
        <w:rPr>
          <w:rFonts w:ascii="Arial" w:hAnsi="Arial" w:cs="Arial"/>
          <w:b/>
          <w:bCs/>
          <w:i w:val="0"/>
          <w:iCs w:val="0"/>
          <w:noProof/>
          <w:sz w:val="20"/>
          <w:szCs w:val="20"/>
        </w:rPr>
        <w:t>9</w:t>
      </w:r>
      <w:r w:rsidRPr="00275E86">
        <w:rPr>
          <w:rFonts w:ascii="Arial" w:hAnsi="Arial" w:cs="Arial"/>
          <w:b/>
          <w:bCs/>
          <w:i w:val="0"/>
          <w:iCs w:val="0"/>
          <w:sz w:val="20"/>
          <w:szCs w:val="20"/>
        </w:rPr>
        <w:fldChar w:fldCharType="end"/>
      </w:r>
      <w:r w:rsidRPr="00275E86">
        <w:rPr>
          <w:rFonts w:ascii="Arial" w:hAnsi="Arial" w:cs="Arial"/>
          <w:b/>
          <w:bCs/>
          <w:i w:val="0"/>
          <w:iCs w:val="0"/>
          <w:sz w:val="20"/>
          <w:szCs w:val="20"/>
        </w:rPr>
        <w:t xml:space="preserve">: </w:t>
      </w:r>
      <w:r w:rsidRPr="005A5235">
        <w:rPr>
          <w:rFonts w:ascii="Arial" w:hAnsi="Arial" w:cs="Arial"/>
          <w:b/>
          <w:bCs/>
          <w:i w:val="0"/>
          <w:iCs w:val="0"/>
          <w:sz w:val="20"/>
          <w:szCs w:val="20"/>
        </w:rPr>
        <w:t>Principal component analysis (PCA) illustrating the clustering of</w:t>
      </w:r>
      <w:r w:rsidR="00B95D11">
        <w:rPr>
          <w:rFonts w:ascii="Arial" w:hAnsi="Arial" w:cs="Arial"/>
          <w:b/>
          <w:bCs/>
          <w:i w:val="0"/>
          <w:iCs w:val="0"/>
          <w:sz w:val="20"/>
          <w:szCs w:val="20"/>
        </w:rPr>
        <w:t xml:space="preserve"> </w:t>
      </w:r>
      <w:r w:rsidRPr="005A5235">
        <w:rPr>
          <w:rFonts w:ascii="Arial" w:hAnsi="Arial" w:cs="Arial"/>
          <w:b/>
          <w:bCs/>
          <w:i w:val="0"/>
          <w:iCs w:val="0"/>
          <w:sz w:val="20"/>
          <w:szCs w:val="20"/>
        </w:rPr>
        <w:t>physicochemical and functional properties (blue) across the different purification methods (red).</w:t>
      </w:r>
    </w:p>
    <w:p w14:paraId="4827F255" w14:textId="77777777" w:rsidR="00321FE3" w:rsidRPr="005A5235" w:rsidRDefault="00321FE3" w:rsidP="00321FE3">
      <w:pPr>
        <w:pStyle w:val="Caption"/>
        <w:jc w:val="both"/>
        <w:rPr>
          <w:rFonts w:ascii="Arial" w:eastAsia="Arial Unicode MS" w:hAnsi="Arial" w:cs="Arial"/>
          <w:b/>
          <w:bCs/>
          <w:i w:val="0"/>
          <w:iCs w:val="0"/>
          <w:noProof/>
          <w:sz w:val="16"/>
          <w:szCs w:val="16"/>
          <w:lang w:val="ro-RO" w:eastAsia="ro-RO"/>
        </w:rPr>
      </w:pPr>
    </w:p>
    <w:p w14:paraId="692A59D5" w14:textId="77545B97" w:rsidR="003E1520" w:rsidRPr="009B17A1" w:rsidRDefault="00ED41DE" w:rsidP="00D20F3A">
      <w:pPr>
        <w:pStyle w:val="Body"/>
        <w:rPr>
          <w:rFonts w:ascii="Arial" w:hAnsi="Arial" w:cs="Arial"/>
          <w:b/>
          <w:bCs/>
          <w:sz w:val="24"/>
          <w:szCs w:val="24"/>
          <w:lang w:eastAsia="fr-FR"/>
        </w:rPr>
      </w:pPr>
      <w:r w:rsidRPr="009B17A1">
        <w:rPr>
          <w:rFonts w:ascii="Arial" w:hAnsi="Arial" w:cs="Arial"/>
          <w:b/>
          <w:bCs/>
          <w:sz w:val="24"/>
          <w:szCs w:val="24"/>
          <w:lang w:eastAsia="fr-FR"/>
        </w:rPr>
        <w:t>4</w:t>
      </w:r>
      <w:r w:rsidR="003E1520" w:rsidRPr="009B17A1">
        <w:rPr>
          <w:rFonts w:ascii="Arial" w:hAnsi="Arial" w:cs="Arial"/>
          <w:b/>
          <w:bCs/>
          <w:sz w:val="24"/>
          <w:szCs w:val="24"/>
          <w:lang w:eastAsia="fr-FR"/>
        </w:rPr>
        <w:t xml:space="preserve">. </w:t>
      </w:r>
      <w:r w:rsidR="00BF41D5" w:rsidRPr="009B17A1">
        <w:rPr>
          <w:rFonts w:ascii="Arial" w:hAnsi="Arial" w:cs="Arial"/>
          <w:b/>
          <w:bCs/>
          <w:sz w:val="24"/>
          <w:szCs w:val="24"/>
          <w:lang w:eastAsia="fr-FR"/>
        </w:rPr>
        <w:t>CONCLUSION</w:t>
      </w:r>
    </w:p>
    <w:p w14:paraId="3843194E" w14:textId="768EF161" w:rsidR="00790ADA" w:rsidRPr="009B17A1" w:rsidRDefault="00ED41DE" w:rsidP="00DB73E1">
      <w:pPr>
        <w:shd w:val="clear" w:color="auto" w:fill="FFFFFF"/>
        <w:jc w:val="both"/>
        <w:rPr>
          <w:rFonts w:ascii="Arial" w:hAnsi="Arial" w:cs="Arial"/>
          <w:lang w:eastAsia="fr-FR"/>
        </w:rPr>
      </w:pPr>
      <w:r w:rsidRPr="009B17A1">
        <w:rPr>
          <w:rFonts w:ascii="Arial" w:hAnsi="Arial" w:cs="Arial"/>
          <w:lang w:eastAsia="fr-FR"/>
        </w:rPr>
        <w:t xml:space="preserve">This study demonstrated the purification methods had a significant effect (p ≤0.05) on the yield and quality of purified cashew gum. The gums showed significant solubility and water absorption capacity. Conversely, they had low oil absorption capacity. Based on the degree of purification, method A (ethanol) and method B (isopropanol) appear to be more effective in purifying exudate from </w:t>
      </w:r>
      <w:r w:rsidRPr="009B17A1">
        <w:rPr>
          <w:rFonts w:ascii="Arial" w:hAnsi="Arial" w:cs="Arial"/>
          <w:i/>
          <w:iCs/>
          <w:lang w:eastAsia="fr-FR"/>
        </w:rPr>
        <w:t>Anacardium occidentale</w:t>
      </w:r>
      <w:r w:rsidRPr="009B17A1">
        <w:rPr>
          <w:rFonts w:ascii="Arial" w:hAnsi="Arial" w:cs="Arial"/>
          <w:lang w:eastAsia="fr-FR"/>
        </w:rPr>
        <w:t xml:space="preserve">. On the other hand, method C and method D would provide a purified cashew gum with more suitable functional properties. However, precipitation with Fehling's solution (method D), which gives a purer cashew gum with a lower protein content, could be recommended for biological applications such as the formation and </w:t>
      </w:r>
      <w:proofErr w:type="spellStart"/>
      <w:r w:rsidRPr="009B17A1">
        <w:rPr>
          <w:rFonts w:ascii="Arial" w:hAnsi="Arial" w:cs="Arial"/>
          <w:lang w:eastAsia="fr-FR"/>
        </w:rPr>
        <w:t>stabilisation</w:t>
      </w:r>
      <w:proofErr w:type="spellEnd"/>
      <w:r w:rsidRPr="009B17A1">
        <w:rPr>
          <w:rFonts w:ascii="Arial" w:hAnsi="Arial" w:cs="Arial"/>
          <w:lang w:eastAsia="fr-FR"/>
        </w:rPr>
        <w:t xml:space="preserve"> of liquid-liquid dispersions (emulsions).</w:t>
      </w:r>
    </w:p>
    <w:p w14:paraId="63E07607" w14:textId="77777777" w:rsidR="00393C59" w:rsidRPr="009B17A1" w:rsidRDefault="00393C59" w:rsidP="00DB73E1">
      <w:pPr>
        <w:shd w:val="clear" w:color="auto" w:fill="FFFFFF"/>
        <w:jc w:val="both"/>
        <w:rPr>
          <w:rFonts w:ascii="Arial" w:hAnsi="Arial" w:cs="Arial"/>
          <w:lang w:eastAsia="fr-FR"/>
        </w:rPr>
      </w:pPr>
    </w:p>
    <w:p w14:paraId="0BC1A68A" w14:textId="4E7E403F" w:rsidR="00393C59" w:rsidRPr="00393C59" w:rsidRDefault="00393C59" w:rsidP="00393C59">
      <w:pPr>
        <w:pStyle w:val="Body"/>
        <w:rPr>
          <w:rFonts w:ascii="Arial" w:hAnsi="Arial" w:cs="Arial"/>
          <w:b/>
          <w:bCs/>
          <w:shd w:val="clear" w:color="auto" w:fill="FFFFFF"/>
        </w:rPr>
      </w:pPr>
      <w:r w:rsidRPr="00393C59">
        <w:rPr>
          <w:rFonts w:ascii="Arial" w:hAnsi="Arial" w:cs="Arial"/>
          <w:b/>
          <w:bCs/>
          <w:sz w:val="24"/>
          <w:szCs w:val="24"/>
          <w:shd w:val="clear" w:color="auto" w:fill="FFFFFF"/>
        </w:rPr>
        <w:lastRenderedPageBreak/>
        <w:t>DISCLAIMER (ARTIFICIAL INTELLIGENCE)</w:t>
      </w:r>
    </w:p>
    <w:p w14:paraId="086F1E8E" w14:textId="41233D30" w:rsidR="00393C59" w:rsidRPr="009B17A1" w:rsidRDefault="00393C59" w:rsidP="00DB73E1">
      <w:pPr>
        <w:shd w:val="clear" w:color="auto" w:fill="FFFFFF"/>
        <w:jc w:val="both"/>
        <w:rPr>
          <w:rFonts w:ascii="Arial" w:hAnsi="Arial" w:cs="Arial"/>
          <w:sz w:val="14"/>
          <w:szCs w:val="14"/>
          <w:lang w:eastAsia="fr-FR"/>
        </w:rPr>
      </w:pPr>
      <w:r w:rsidRPr="00393C59">
        <w:rPr>
          <w:rFonts w:ascii="Arial" w:hAnsi="Arial" w:cs="Arial"/>
          <w:shd w:val="clear" w:color="auto" w:fill="FFFFFF"/>
        </w:rPr>
        <w:t>Author(s) hereby declares that NO generative AI technologies such as Large Language Models (ChatGPT, COPILOT, etc.) and text-to-image generators have been used during the writing or editing of this manuscript.</w:t>
      </w:r>
    </w:p>
    <w:p w14:paraId="713FE06D" w14:textId="77777777" w:rsidR="00DB73E1" w:rsidRPr="009B17A1" w:rsidRDefault="00DB73E1" w:rsidP="00DB73E1">
      <w:pPr>
        <w:shd w:val="clear" w:color="auto" w:fill="FFFFFF"/>
        <w:jc w:val="both"/>
        <w:rPr>
          <w:rFonts w:ascii="Arial" w:hAnsi="Arial" w:cs="Arial"/>
          <w:b/>
          <w:bCs/>
          <w:color w:val="000000"/>
          <w:lang w:eastAsia="fr-FR"/>
        </w:rPr>
      </w:pPr>
    </w:p>
    <w:p w14:paraId="7D7C0367" w14:textId="77777777" w:rsidR="0095168B" w:rsidRDefault="0095168B" w:rsidP="00441B6F">
      <w:pPr>
        <w:pStyle w:val="ReferHead"/>
        <w:spacing w:after="0"/>
        <w:jc w:val="both"/>
        <w:rPr>
          <w:rFonts w:ascii="Arial" w:hAnsi="Arial" w:cs="Arial"/>
        </w:rPr>
      </w:pPr>
    </w:p>
    <w:p w14:paraId="2F94F4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82DFA4" w14:textId="77777777" w:rsidR="00790ADA" w:rsidRPr="00E84C6F" w:rsidRDefault="00790ADA" w:rsidP="00E84C6F">
      <w:pPr>
        <w:pStyle w:val="ReferHead"/>
        <w:spacing w:after="0" w:line="276" w:lineRule="auto"/>
        <w:jc w:val="both"/>
        <w:rPr>
          <w:rFonts w:ascii="Arial" w:hAnsi="Arial" w:cs="Arial"/>
        </w:rPr>
      </w:pPr>
    </w:p>
    <w:p w14:paraId="0D6B37FA" w14:textId="77777777" w:rsidR="00E84C6F" w:rsidRPr="00E84C6F" w:rsidRDefault="00B95D11" w:rsidP="00E84C6F">
      <w:pPr>
        <w:pStyle w:val="Bibliography"/>
        <w:spacing w:line="276" w:lineRule="auto"/>
        <w:jc w:val="both"/>
        <w:rPr>
          <w:rFonts w:ascii="Arial" w:hAnsi="Arial" w:cs="Arial"/>
        </w:rPr>
      </w:pPr>
      <w:r w:rsidRPr="00E84C6F">
        <w:rPr>
          <w:rFonts w:ascii="Arial" w:hAnsi="Arial" w:cs="Arial"/>
        </w:rPr>
        <w:fldChar w:fldCharType="begin"/>
      </w:r>
      <w:r w:rsidRPr="00E84C6F">
        <w:rPr>
          <w:rFonts w:ascii="Arial" w:hAnsi="Arial" w:cs="Arial"/>
        </w:rPr>
        <w:instrText xml:space="preserve"> ADDIN ZOTERO_BIBL {"uncited":[],"omitted":[],"custom":[]} CSL_BIBLIOGRAPHY </w:instrText>
      </w:r>
      <w:r w:rsidRPr="00E84C6F">
        <w:rPr>
          <w:rFonts w:ascii="Arial" w:hAnsi="Arial" w:cs="Arial"/>
        </w:rPr>
        <w:fldChar w:fldCharType="separate"/>
      </w:r>
      <w:r w:rsidR="00E84C6F" w:rsidRPr="00E84C6F">
        <w:rPr>
          <w:rFonts w:ascii="Arial" w:hAnsi="Arial" w:cs="Arial"/>
        </w:rPr>
        <w:t>Al-Ali, R. M., Al-Ibresam, O. T., Al-Hilifi, S. A., Trajkovska Petkoska, A., &amp; Korma, S. A. (2024). Chemical, rheological and sensory characteristics of wheat bread enriched with chia (</w:t>
      </w:r>
      <w:r w:rsidR="00E84C6F" w:rsidRPr="00E84C6F">
        <w:rPr>
          <w:rFonts w:ascii="Arial" w:hAnsi="Arial" w:cs="Arial"/>
          <w:i/>
          <w:iCs/>
        </w:rPr>
        <w:t>Salvia hispanica</w:t>
      </w:r>
      <w:r w:rsidR="00E84C6F" w:rsidRPr="00E84C6F">
        <w:rPr>
          <w:rFonts w:ascii="Arial" w:hAnsi="Arial" w:cs="Arial"/>
        </w:rPr>
        <w:t xml:space="preserve"> L.) seed gum. </w:t>
      </w:r>
      <w:r w:rsidR="00E84C6F" w:rsidRPr="00E84C6F">
        <w:rPr>
          <w:rFonts w:ascii="Arial" w:hAnsi="Arial" w:cs="Arial"/>
          <w:i/>
          <w:iCs/>
        </w:rPr>
        <w:t>Future Foods</w:t>
      </w:r>
      <w:r w:rsidR="00E84C6F" w:rsidRPr="00E84C6F">
        <w:rPr>
          <w:rFonts w:ascii="Arial" w:hAnsi="Arial" w:cs="Arial"/>
        </w:rPr>
        <w:t xml:space="preserve">, </w:t>
      </w:r>
      <w:r w:rsidR="00E84C6F" w:rsidRPr="00E84C6F">
        <w:rPr>
          <w:rFonts w:ascii="Arial" w:hAnsi="Arial" w:cs="Arial"/>
          <w:i/>
          <w:iCs/>
        </w:rPr>
        <w:t>10</w:t>
      </w:r>
      <w:r w:rsidR="00E84C6F" w:rsidRPr="00E84C6F">
        <w:rPr>
          <w:rFonts w:ascii="Arial" w:hAnsi="Arial" w:cs="Arial"/>
        </w:rPr>
        <w:t>, 100471. https://doi.org/10.1016/j.fufo.2024.100471</w:t>
      </w:r>
    </w:p>
    <w:p w14:paraId="654F39C0"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Ali, K. S. E., &amp; Daffalla, H. M. (2018). Physicochemical and functional properties of the gum arabic from Acacia Senegal. </w:t>
      </w:r>
      <w:r w:rsidRPr="00E84C6F">
        <w:rPr>
          <w:rFonts w:ascii="Arial" w:hAnsi="Arial" w:cs="Arial"/>
          <w:i/>
          <w:iCs/>
        </w:rPr>
        <w:t>Annals. Food Science and Technology</w:t>
      </w:r>
      <w:r w:rsidRPr="00E84C6F">
        <w:rPr>
          <w:rFonts w:ascii="Arial" w:hAnsi="Arial" w:cs="Arial"/>
        </w:rPr>
        <w:t xml:space="preserve">, </w:t>
      </w:r>
      <w:r w:rsidRPr="00E84C6F">
        <w:rPr>
          <w:rFonts w:ascii="Arial" w:hAnsi="Arial" w:cs="Arial"/>
          <w:i/>
          <w:iCs/>
        </w:rPr>
        <w:t>19</w:t>
      </w:r>
      <w:r w:rsidRPr="00E84C6F">
        <w:rPr>
          <w:rFonts w:ascii="Arial" w:hAnsi="Arial" w:cs="Arial"/>
        </w:rPr>
        <w:t>(1), 27</w:t>
      </w:r>
      <w:r w:rsidRPr="00E84C6F">
        <w:rPr>
          <w:rFonts w:ascii="Cambria Math" w:hAnsi="Cambria Math" w:cs="Cambria Math"/>
        </w:rPr>
        <w:t>‑</w:t>
      </w:r>
      <w:r w:rsidRPr="00E84C6F">
        <w:rPr>
          <w:rFonts w:ascii="Arial" w:hAnsi="Arial" w:cs="Arial"/>
        </w:rPr>
        <w:t>34.</w:t>
      </w:r>
    </w:p>
    <w:p w14:paraId="2B6762FA" w14:textId="77777777" w:rsidR="00E84C6F" w:rsidRPr="009B17A1" w:rsidRDefault="00E84C6F" w:rsidP="00E84C6F">
      <w:pPr>
        <w:pStyle w:val="Bibliography"/>
        <w:spacing w:line="276" w:lineRule="auto"/>
        <w:jc w:val="both"/>
        <w:rPr>
          <w:rFonts w:ascii="Arial" w:hAnsi="Arial" w:cs="Arial"/>
          <w:lang w:val="fr-CI"/>
        </w:rPr>
      </w:pPr>
      <w:r w:rsidRPr="00E84C6F">
        <w:rPr>
          <w:rFonts w:ascii="Arial" w:hAnsi="Arial" w:cs="Arial"/>
        </w:rPr>
        <w:t xml:space="preserve">Amaral, R. G., de Andrade, L. R. M., Andrade, L. N., Loureiro, K. C., Souto, E. B., &amp; Severino, P. (2022). Cashew Gum : A Review of Brazilian Patents and Pharmaceutical Applications with a Special Focus on Nanoparticles. </w:t>
      </w:r>
      <w:r w:rsidRPr="009B17A1">
        <w:rPr>
          <w:rFonts w:ascii="Arial" w:hAnsi="Arial" w:cs="Arial"/>
          <w:i/>
          <w:iCs/>
          <w:lang w:val="fr-CI"/>
        </w:rPr>
        <w:t>Micromachines</w:t>
      </w:r>
      <w:r w:rsidRPr="009B17A1">
        <w:rPr>
          <w:rFonts w:ascii="Arial" w:hAnsi="Arial" w:cs="Arial"/>
          <w:lang w:val="fr-CI"/>
        </w:rPr>
        <w:t xml:space="preserve">, </w:t>
      </w:r>
      <w:r w:rsidRPr="009B17A1">
        <w:rPr>
          <w:rFonts w:ascii="Arial" w:hAnsi="Arial" w:cs="Arial"/>
          <w:i/>
          <w:iCs/>
          <w:lang w:val="fr-CI"/>
        </w:rPr>
        <w:t>13</w:t>
      </w:r>
      <w:r w:rsidRPr="009B17A1">
        <w:rPr>
          <w:rFonts w:ascii="Arial" w:hAnsi="Arial" w:cs="Arial"/>
          <w:lang w:val="fr-CI"/>
        </w:rPr>
        <w:t>(7), 1137. https://doi.org/10.3390/mi13071137</w:t>
      </w:r>
    </w:p>
    <w:p w14:paraId="384CDDB3" w14:textId="77777777" w:rsidR="00E84C6F" w:rsidRPr="009B17A1" w:rsidRDefault="00E84C6F" w:rsidP="00E84C6F">
      <w:pPr>
        <w:pStyle w:val="Bibliography"/>
        <w:spacing w:line="276" w:lineRule="auto"/>
        <w:jc w:val="both"/>
        <w:rPr>
          <w:rFonts w:ascii="Arial" w:hAnsi="Arial" w:cs="Arial"/>
          <w:lang w:val="fr-CI"/>
        </w:rPr>
      </w:pPr>
      <w:r w:rsidRPr="009B17A1">
        <w:rPr>
          <w:rFonts w:ascii="Arial" w:hAnsi="Arial" w:cs="Arial"/>
          <w:lang w:val="fr-CI"/>
        </w:rPr>
        <w:t xml:space="preserve">Amid, B. T., &amp; Mirhosseini, H. (2012a). </w:t>
      </w:r>
      <w:r w:rsidRPr="00E84C6F">
        <w:rPr>
          <w:rFonts w:ascii="Arial" w:hAnsi="Arial" w:cs="Arial"/>
        </w:rPr>
        <w:t>Effect of Different Purification Techniques on the Characteristics of Heteropolysaccharide-Protein Biopolymer from Durian (</w:t>
      </w:r>
      <w:r w:rsidRPr="00E84C6F">
        <w:rPr>
          <w:rFonts w:ascii="Arial" w:hAnsi="Arial" w:cs="Arial"/>
          <w:i/>
          <w:iCs/>
        </w:rPr>
        <w:t>Durio zibethinus</w:t>
      </w:r>
      <w:r w:rsidRPr="00E84C6F">
        <w:rPr>
          <w:rFonts w:ascii="Arial" w:hAnsi="Arial" w:cs="Arial"/>
        </w:rPr>
        <w:t xml:space="preserve">) Seed. </w:t>
      </w:r>
      <w:r w:rsidRPr="009B17A1">
        <w:rPr>
          <w:rFonts w:ascii="Arial" w:hAnsi="Arial" w:cs="Arial"/>
          <w:i/>
          <w:iCs/>
          <w:lang w:val="fr-CI"/>
        </w:rPr>
        <w:t>Molecules</w:t>
      </w:r>
      <w:r w:rsidRPr="009B17A1">
        <w:rPr>
          <w:rFonts w:ascii="Arial" w:hAnsi="Arial" w:cs="Arial"/>
          <w:lang w:val="fr-CI"/>
        </w:rPr>
        <w:t xml:space="preserve">, </w:t>
      </w:r>
      <w:r w:rsidRPr="009B17A1">
        <w:rPr>
          <w:rFonts w:ascii="Arial" w:hAnsi="Arial" w:cs="Arial"/>
          <w:i/>
          <w:iCs/>
          <w:lang w:val="fr-CI"/>
        </w:rPr>
        <w:t>17</w:t>
      </w:r>
      <w:r w:rsidRPr="009B17A1">
        <w:rPr>
          <w:rFonts w:ascii="Arial" w:hAnsi="Arial" w:cs="Arial"/>
          <w:lang w:val="fr-CI"/>
        </w:rPr>
        <w:t>(9), Article 9. https://doi.org/10.3390/molecules170910875</w:t>
      </w:r>
    </w:p>
    <w:p w14:paraId="77E1DD70" w14:textId="77777777" w:rsidR="00E84C6F" w:rsidRPr="00E84C6F" w:rsidRDefault="00E84C6F" w:rsidP="00E84C6F">
      <w:pPr>
        <w:pStyle w:val="Bibliography"/>
        <w:spacing w:line="276" w:lineRule="auto"/>
        <w:jc w:val="both"/>
        <w:rPr>
          <w:rFonts w:ascii="Arial" w:hAnsi="Arial" w:cs="Arial"/>
        </w:rPr>
      </w:pPr>
      <w:r w:rsidRPr="009B17A1">
        <w:rPr>
          <w:rFonts w:ascii="Arial" w:hAnsi="Arial" w:cs="Arial"/>
          <w:lang w:val="fr-CI"/>
        </w:rPr>
        <w:t xml:space="preserve">Amid, B. T., &amp; Mirhosseini, H. (2012b). </w:t>
      </w:r>
      <w:r w:rsidRPr="00E84C6F">
        <w:rPr>
          <w:rFonts w:ascii="Arial" w:hAnsi="Arial" w:cs="Arial"/>
        </w:rPr>
        <w:t xml:space="preserve">Influence of different purification and drying methods on rheological properties and viscoelastic behaviour of durian seed gum. </w:t>
      </w:r>
      <w:r w:rsidRPr="00E84C6F">
        <w:rPr>
          <w:rFonts w:ascii="Arial" w:hAnsi="Arial" w:cs="Arial"/>
          <w:i/>
          <w:iCs/>
        </w:rPr>
        <w:t>Carbohydrate Polymers</w:t>
      </w:r>
      <w:r w:rsidRPr="00E84C6F">
        <w:rPr>
          <w:rFonts w:ascii="Arial" w:hAnsi="Arial" w:cs="Arial"/>
        </w:rPr>
        <w:t xml:space="preserve">, </w:t>
      </w:r>
      <w:r w:rsidRPr="00E84C6F">
        <w:rPr>
          <w:rFonts w:ascii="Arial" w:hAnsi="Arial" w:cs="Arial"/>
          <w:i/>
          <w:iCs/>
        </w:rPr>
        <w:t>90</w:t>
      </w:r>
      <w:r w:rsidRPr="00E84C6F">
        <w:rPr>
          <w:rFonts w:ascii="Arial" w:hAnsi="Arial" w:cs="Arial"/>
        </w:rPr>
        <w:t>(1), 452</w:t>
      </w:r>
      <w:r w:rsidRPr="00E84C6F">
        <w:rPr>
          <w:rFonts w:ascii="Cambria Math" w:hAnsi="Cambria Math" w:cs="Cambria Math"/>
        </w:rPr>
        <w:t>‑</w:t>
      </w:r>
      <w:r w:rsidRPr="00E84C6F">
        <w:rPr>
          <w:rFonts w:ascii="Arial" w:hAnsi="Arial" w:cs="Arial"/>
        </w:rPr>
        <w:t>461. https://doi.org/10.1016/j.carbpol.2012.05.065</w:t>
      </w:r>
    </w:p>
    <w:p w14:paraId="2EF9017B"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AOAC. (2005). </w:t>
      </w:r>
      <w:r w:rsidRPr="00E84C6F">
        <w:rPr>
          <w:rFonts w:ascii="Arial" w:hAnsi="Arial" w:cs="Arial"/>
          <w:i/>
          <w:iCs/>
        </w:rPr>
        <w:t>Official Methods of Analysis of AOAC International</w:t>
      </w:r>
      <w:r w:rsidRPr="00E84C6F">
        <w:rPr>
          <w:rFonts w:ascii="Arial" w:hAnsi="Arial" w:cs="Arial"/>
        </w:rPr>
        <w:t xml:space="preserve"> (18th éd.).</w:t>
      </w:r>
    </w:p>
    <w:p w14:paraId="21BAA5D3"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Asamoa Mensa, K. A., Kuntworbe, N., Osei, Y. A., El Boakye-Gyasi, M., Owusu, F. W. A., Obeng, L. M., Antwi, O.-A., Adoley, W. N., &amp; Ofori-Kwakye, K. (2024). Physicochemical and Emulsifying Properties of Melia azedarach Gum. </w:t>
      </w:r>
      <w:r w:rsidRPr="00E84C6F">
        <w:rPr>
          <w:rFonts w:ascii="Arial" w:hAnsi="Arial" w:cs="Arial"/>
          <w:i/>
          <w:iCs/>
        </w:rPr>
        <w:t>Scientifica</w:t>
      </w:r>
      <w:r w:rsidRPr="00E84C6F">
        <w:rPr>
          <w:rFonts w:ascii="Arial" w:hAnsi="Arial" w:cs="Arial"/>
        </w:rPr>
        <w:t xml:space="preserve">, </w:t>
      </w:r>
      <w:r w:rsidRPr="00E84C6F">
        <w:rPr>
          <w:rFonts w:ascii="Arial" w:hAnsi="Arial" w:cs="Arial"/>
          <w:i/>
          <w:iCs/>
        </w:rPr>
        <w:t>2024</w:t>
      </w:r>
      <w:r w:rsidRPr="00E84C6F">
        <w:rPr>
          <w:rFonts w:ascii="Arial" w:hAnsi="Arial" w:cs="Arial"/>
        </w:rPr>
        <w:t>(1), 3308441. https://doi.org/10.1155/2024/3308441</w:t>
      </w:r>
    </w:p>
    <w:p w14:paraId="107856D6"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Barak, S., Mudgil, D., &amp; Taneja, S. (2020). Exudate gums : Chemistry, properties and food applications–a review. </w:t>
      </w:r>
      <w:r w:rsidRPr="00E84C6F">
        <w:rPr>
          <w:rFonts w:ascii="Arial" w:hAnsi="Arial" w:cs="Arial"/>
          <w:i/>
          <w:iCs/>
        </w:rPr>
        <w:t>Journal of the Science of Food and Agriculture</w:t>
      </w:r>
      <w:r w:rsidRPr="00E84C6F">
        <w:rPr>
          <w:rFonts w:ascii="Arial" w:hAnsi="Arial" w:cs="Arial"/>
        </w:rPr>
        <w:t xml:space="preserve">, </w:t>
      </w:r>
      <w:r w:rsidRPr="00E84C6F">
        <w:rPr>
          <w:rFonts w:ascii="Arial" w:hAnsi="Arial" w:cs="Arial"/>
          <w:i/>
          <w:iCs/>
        </w:rPr>
        <w:t>100</w:t>
      </w:r>
      <w:r w:rsidRPr="00E84C6F">
        <w:rPr>
          <w:rFonts w:ascii="Arial" w:hAnsi="Arial" w:cs="Arial"/>
        </w:rPr>
        <w:t>(7), 2828</w:t>
      </w:r>
      <w:r w:rsidRPr="00E84C6F">
        <w:rPr>
          <w:rFonts w:ascii="Cambria Math" w:hAnsi="Cambria Math" w:cs="Cambria Math"/>
        </w:rPr>
        <w:t>‑</w:t>
      </w:r>
      <w:r w:rsidRPr="00E84C6F">
        <w:rPr>
          <w:rFonts w:ascii="Arial" w:hAnsi="Arial" w:cs="Arial"/>
        </w:rPr>
        <w:t>2835.</w:t>
      </w:r>
    </w:p>
    <w:p w14:paraId="73A818A5"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Bouzouita, N., Khaldi, A., Zgoulli, S., Chebil, L., Chekki, R., Chaabouni, M. M., &amp; Thonart, P. (2007). The analysis of crude and purified locust bean gum : A comparison of samples from different carob tree populations in Tunisia. </w:t>
      </w:r>
      <w:r w:rsidRPr="00E84C6F">
        <w:rPr>
          <w:rFonts w:ascii="Arial" w:hAnsi="Arial" w:cs="Arial"/>
          <w:i/>
          <w:iCs/>
        </w:rPr>
        <w:t>Food Chemistry</w:t>
      </w:r>
      <w:r w:rsidRPr="00E84C6F">
        <w:rPr>
          <w:rFonts w:ascii="Arial" w:hAnsi="Arial" w:cs="Arial"/>
        </w:rPr>
        <w:t xml:space="preserve">, </w:t>
      </w:r>
      <w:r w:rsidRPr="00E84C6F">
        <w:rPr>
          <w:rFonts w:ascii="Arial" w:hAnsi="Arial" w:cs="Arial"/>
          <w:i/>
          <w:iCs/>
        </w:rPr>
        <w:t>101</w:t>
      </w:r>
      <w:r w:rsidRPr="00E84C6F">
        <w:rPr>
          <w:rFonts w:ascii="Arial" w:hAnsi="Arial" w:cs="Arial"/>
        </w:rPr>
        <w:t>(4), 1508</w:t>
      </w:r>
      <w:r w:rsidRPr="00E84C6F">
        <w:rPr>
          <w:rFonts w:ascii="Cambria Math" w:hAnsi="Cambria Math" w:cs="Cambria Math"/>
        </w:rPr>
        <w:t>‑</w:t>
      </w:r>
      <w:r w:rsidRPr="00E84C6F">
        <w:rPr>
          <w:rFonts w:ascii="Arial" w:hAnsi="Arial" w:cs="Arial"/>
        </w:rPr>
        <w:t>1515. https://doi.org/10.1016/j.foodchem.2006.03.056</w:t>
      </w:r>
    </w:p>
    <w:p w14:paraId="12C66808" w14:textId="77777777" w:rsidR="00E84C6F" w:rsidRPr="009B17A1" w:rsidRDefault="00E84C6F" w:rsidP="00E84C6F">
      <w:pPr>
        <w:pStyle w:val="Bibliography"/>
        <w:spacing w:line="276" w:lineRule="auto"/>
        <w:jc w:val="both"/>
        <w:rPr>
          <w:rFonts w:ascii="Arial" w:hAnsi="Arial" w:cs="Arial"/>
          <w:lang w:val="fr-CI"/>
        </w:rPr>
      </w:pPr>
      <w:r w:rsidRPr="00E84C6F">
        <w:rPr>
          <w:rFonts w:ascii="Arial" w:hAnsi="Arial" w:cs="Arial"/>
        </w:rPr>
        <w:t xml:space="preserve">Chaudhari, B. B., &amp; Annapure, U. S. (2021). Rheological, Physicochemical, and Spectroscopic characterizations of </w:t>
      </w:r>
      <w:r w:rsidRPr="00E84C6F">
        <w:rPr>
          <w:rFonts w:ascii="Arial" w:hAnsi="Arial" w:cs="Arial"/>
          <w:i/>
          <w:iCs/>
        </w:rPr>
        <w:t>Limonia acidissima</w:t>
      </w:r>
      <w:r w:rsidRPr="00E84C6F">
        <w:rPr>
          <w:rFonts w:ascii="Arial" w:hAnsi="Arial" w:cs="Arial"/>
        </w:rPr>
        <w:t xml:space="preserve"> L. gum exudate with an application in extrusion processing. </w:t>
      </w:r>
      <w:r w:rsidRPr="009B17A1">
        <w:rPr>
          <w:rFonts w:ascii="Arial" w:hAnsi="Arial" w:cs="Arial"/>
          <w:i/>
          <w:iCs/>
          <w:lang w:val="fr-CI"/>
        </w:rPr>
        <w:t>Carbohydrate Polymer Technologies and Applications</w:t>
      </w:r>
      <w:r w:rsidRPr="009B17A1">
        <w:rPr>
          <w:rFonts w:ascii="Arial" w:hAnsi="Arial" w:cs="Arial"/>
          <w:lang w:val="fr-CI"/>
        </w:rPr>
        <w:t xml:space="preserve">, </w:t>
      </w:r>
      <w:r w:rsidRPr="009B17A1">
        <w:rPr>
          <w:rFonts w:ascii="Arial" w:hAnsi="Arial" w:cs="Arial"/>
          <w:i/>
          <w:iCs/>
          <w:lang w:val="fr-CI"/>
        </w:rPr>
        <w:t>2</w:t>
      </w:r>
      <w:r w:rsidRPr="009B17A1">
        <w:rPr>
          <w:rFonts w:ascii="Arial" w:hAnsi="Arial" w:cs="Arial"/>
          <w:lang w:val="fr-CI"/>
        </w:rPr>
        <w:t>, 100020. https://doi.org/10.1016/j.carpta.2020.100020</w:t>
      </w:r>
    </w:p>
    <w:p w14:paraId="6091B892" w14:textId="77777777" w:rsidR="00E84C6F" w:rsidRPr="00E84C6F" w:rsidRDefault="00E84C6F" w:rsidP="00E84C6F">
      <w:pPr>
        <w:pStyle w:val="Bibliography"/>
        <w:spacing w:line="276" w:lineRule="auto"/>
        <w:jc w:val="both"/>
        <w:rPr>
          <w:rFonts w:ascii="Arial" w:hAnsi="Arial" w:cs="Arial"/>
        </w:rPr>
      </w:pPr>
      <w:r w:rsidRPr="009B17A1">
        <w:rPr>
          <w:rFonts w:ascii="Arial" w:hAnsi="Arial" w:cs="Arial"/>
          <w:lang w:val="fr-CI"/>
        </w:rPr>
        <w:t xml:space="preserve">Cunha, P. L. R., Paula, R. C. M. de, &amp; Feitosa, J. P. A. (2007). </w:t>
      </w:r>
      <w:r w:rsidRPr="00E84C6F">
        <w:rPr>
          <w:rFonts w:ascii="Arial" w:hAnsi="Arial" w:cs="Arial"/>
        </w:rPr>
        <w:t xml:space="preserve">Purification of guar gum for biological applications. </w:t>
      </w:r>
      <w:r w:rsidRPr="00E84C6F">
        <w:rPr>
          <w:rFonts w:ascii="Arial" w:hAnsi="Arial" w:cs="Arial"/>
          <w:i/>
          <w:iCs/>
        </w:rPr>
        <w:t>International Journal of Biological Macromolecules</w:t>
      </w:r>
      <w:r w:rsidRPr="00E84C6F">
        <w:rPr>
          <w:rFonts w:ascii="Arial" w:hAnsi="Arial" w:cs="Arial"/>
        </w:rPr>
        <w:t xml:space="preserve">, </w:t>
      </w:r>
      <w:r w:rsidRPr="00E84C6F">
        <w:rPr>
          <w:rFonts w:ascii="Arial" w:hAnsi="Arial" w:cs="Arial"/>
          <w:i/>
          <w:iCs/>
        </w:rPr>
        <w:t>41</w:t>
      </w:r>
      <w:r w:rsidRPr="00E84C6F">
        <w:rPr>
          <w:rFonts w:ascii="Arial" w:hAnsi="Arial" w:cs="Arial"/>
        </w:rPr>
        <w:t>(3), 324</w:t>
      </w:r>
      <w:r w:rsidRPr="00E84C6F">
        <w:rPr>
          <w:rFonts w:ascii="Cambria Math" w:hAnsi="Cambria Math" w:cs="Cambria Math"/>
        </w:rPr>
        <w:t>‑</w:t>
      </w:r>
      <w:r w:rsidRPr="00E84C6F">
        <w:rPr>
          <w:rFonts w:ascii="Arial" w:hAnsi="Arial" w:cs="Arial"/>
        </w:rPr>
        <w:t>331. https://doi.org/10.1016/j.ijbiomac.2007.04.003</w:t>
      </w:r>
    </w:p>
    <w:p w14:paraId="5162A5AF"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lastRenderedPageBreak/>
        <w:t xml:space="preserve">DuBois, M., Gilles, K. A., Hamilton, J. K., Rebers, P. A., &amp; Smith, F. (1956). Colorimetric Method for Determination of Sugars and Related Substances. </w:t>
      </w:r>
      <w:r w:rsidRPr="00E84C6F">
        <w:rPr>
          <w:rFonts w:ascii="Arial" w:hAnsi="Arial" w:cs="Arial"/>
          <w:i/>
          <w:iCs/>
        </w:rPr>
        <w:t>Analytical Chemistry</w:t>
      </w:r>
      <w:r w:rsidRPr="00E84C6F">
        <w:rPr>
          <w:rFonts w:ascii="Arial" w:hAnsi="Arial" w:cs="Arial"/>
        </w:rPr>
        <w:t xml:space="preserve">, </w:t>
      </w:r>
      <w:r w:rsidRPr="00E84C6F">
        <w:rPr>
          <w:rFonts w:ascii="Arial" w:hAnsi="Arial" w:cs="Arial"/>
          <w:i/>
          <w:iCs/>
        </w:rPr>
        <w:t>28</w:t>
      </w:r>
      <w:r w:rsidRPr="00E84C6F">
        <w:rPr>
          <w:rFonts w:ascii="Arial" w:hAnsi="Arial" w:cs="Arial"/>
        </w:rPr>
        <w:t>(3), 350</w:t>
      </w:r>
      <w:r w:rsidRPr="00E84C6F">
        <w:rPr>
          <w:rFonts w:ascii="Cambria Math" w:hAnsi="Cambria Math" w:cs="Cambria Math"/>
        </w:rPr>
        <w:t>‑</w:t>
      </w:r>
      <w:r w:rsidRPr="00E84C6F">
        <w:rPr>
          <w:rFonts w:ascii="Arial" w:hAnsi="Arial" w:cs="Arial"/>
        </w:rPr>
        <w:t>356. https://doi.org/10.1021/ac60111a017</w:t>
      </w:r>
    </w:p>
    <w:p w14:paraId="507B12F3"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Ebrahimi, B., Homayouni Rad, A., Ghanbarzadeh, B., Torbati, M., &amp; Falcone, P. M. (2020). The emulsifying and foaming properties of Amuniacum gum (</w:t>
      </w:r>
      <w:r w:rsidRPr="00E84C6F">
        <w:rPr>
          <w:rFonts w:ascii="Arial" w:hAnsi="Arial" w:cs="Arial"/>
          <w:i/>
          <w:iCs/>
        </w:rPr>
        <w:t>Dorema ammoniacum</w:t>
      </w:r>
      <w:r w:rsidRPr="00E84C6F">
        <w:rPr>
          <w:rFonts w:ascii="Arial" w:hAnsi="Arial" w:cs="Arial"/>
        </w:rPr>
        <w:t xml:space="preserve">) in comparison with gum Arabic. </w:t>
      </w:r>
      <w:r w:rsidRPr="00E84C6F">
        <w:rPr>
          <w:rFonts w:ascii="Arial" w:hAnsi="Arial" w:cs="Arial"/>
          <w:i/>
          <w:iCs/>
        </w:rPr>
        <w:t>Food Science &amp; Nutrition</w:t>
      </w:r>
      <w:r w:rsidRPr="00E84C6F">
        <w:rPr>
          <w:rFonts w:ascii="Arial" w:hAnsi="Arial" w:cs="Arial"/>
        </w:rPr>
        <w:t xml:space="preserve">, </w:t>
      </w:r>
      <w:r w:rsidRPr="00E84C6F">
        <w:rPr>
          <w:rFonts w:ascii="Arial" w:hAnsi="Arial" w:cs="Arial"/>
          <w:i/>
          <w:iCs/>
        </w:rPr>
        <w:t>8</w:t>
      </w:r>
      <w:r w:rsidRPr="00E84C6F">
        <w:rPr>
          <w:rFonts w:ascii="Arial" w:hAnsi="Arial" w:cs="Arial"/>
        </w:rPr>
        <w:t>(7), 3716</w:t>
      </w:r>
      <w:r w:rsidRPr="00E84C6F">
        <w:rPr>
          <w:rFonts w:ascii="Cambria Math" w:hAnsi="Cambria Math" w:cs="Cambria Math"/>
        </w:rPr>
        <w:t>‑</w:t>
      </w:r>
      <w:r w:rsidRPr="00E84C6F">
        <w:rPr>
          <w:rFonts w:ascii="Arial" w:hAnsi="Arial" w:cs="Arial"/>
        </w:rPr>
        <w:t>3730. https://doi.org/10.1002/fsn3.1658</w:t>
      </w:r>
    </w:p>
    <w:p w14:paraId="1C92CF18"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Golkar, A., Taghavi, S. M., &amp; Aghili Dehnavi, F. (2018). The emulsifying properties of Persian gum (</w:t>
      </w:r>
      <w:r w:rsidRPr="00E84C6F">
        <w:rPr>
          <w:rFonts w:ascii="Arial" w:hAnsi="Arial" w:cs="Arial"/>
          <w:i/>
          <w:iCs/>
        </w:rPr>
        <w:t>Amygdalus scoparia Spach</w:t>
      </w:r>
      <w:r w:rsidRPr="00E84C6F">
        <w:rPr>
          <w:rFonts w:ascii="Arial" w:hAnsi="Arial" w:cs="Arial"/>
        </w:rPr>
        <w:t xml:space="preserve">) as compared with gum Arabic. </w:t>
      </w:r>
      <w:r w:rsidRPr="00E84C6F">
        <w:rPr>
          <w:rFonts w:ascii="Arial" w:hAnsi="Arial" w:cs="Arial"/>
          <w:i/>
          <w:iCs/>
        </w:rPr>
        <w:t>International Journal of Food Properties</w:t>
      </w:r>
      <w:r w:rsidRPr="00E84C6F">
        <w:rPr>
          <w:rFonts w:ascii="Arial" w:hAnsi="Arial" w:cs="Arial"/>
        </w:rPr>
        <w:t xml:space="preserve">, </w:t>
      </w:r>
      <w:r w:rsidRPr="00E84C6F">
        <w:rPr>
          <w:rFonts w:ascii="Arial" w:hAnsi="Arial" w:cs="Arial"/>
          <w:i/>
          <w:iCs/>
        </w:rPr>
        <w:t>21</w:t>
      </w:r>
      <w:r w:rsidRPr="00E84C6F">
        <w:rPr>
          <w:rFonts w:ascii="Arial" w:hAnsi="Arial" w:cs="Arial"/>
        </w:rPr>
        <w:t>(1), 416</w:t>
      </w:r>
      <w:r w:rsidRPr="00E84C6F">
        <w:rPr>
          <w:rFonts w:ascii="Cambria Math" w:hAnsi="Cambria Math" w:cs="Cambria Math"/>
        </w:rPr>
        <w:t>‑</w:t>
      </w:r>
      <w:r w:rsidRPr="00E84C6F">
        <w:rPr>
          <w:rFonts w:ascii="Arial" w:hAnsi="Arial" w:cs="Arial"/>
        </w:rPr>
        <w:t>436. https://doi.org/10.1080/10942912.2018.1454464</w:t>
      </w:r>
    </w:p>
    <w:p w14:paraId="471F84E4"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Hamdani, A. M., Wani, I. A., &amp; Bhat, N. A. (2019). Sources, structure, properties and health benefits of plant gums : A review. </w:t>
      </w:r>
      <w:r w:rsidRPr="00E84C6F">
        <w:rPr>
          <w:rFonts w:ascii="Arial" w:hAnsi="Arial" w:cs="Arial"/>
          <w:i/>
          <w:iCs/>
        </w:rPr>
        <w:t>International Journal of Biological Macromolecules</w:t>
      </w:r>
      <w:r w:rsidRPr="00E84C6F">
        <w:rPr>
          <w:rFonts w:ascii="Arial" w:hAnsi="Arial" w:cs="Arial"/>
        </w:rPr>
        <w:t xml:space="preserve">, </w:t>
      </w:r>
      <w:r w:rsidRPr="00E84C6F">
        <w:rPr>
          <w:rFonts w:ascii="Arial" w:hAnsi="Arial" w:cs="Arial"/>
          <w:i/>
          <w:iCs/>
        </w:rPr>
        <w:t>135</w:t>
      </w:r>
      <w:r w:rsidRPr="00E84C6F">
        <w:rPr>
          <w:rFonts w:ascii="Arial" w:hAnsi="Arial" w:cs="Arial"/>
        </w:rPr>
        <w:t>, 46</w:t>
      </w:r>
      <w:r w:rsidRPr="00E84C6F">
        <w:rPr>
          <w:rFonts w:ascii="Cambria Math" w:hAnsi="Cambria Math" w:cs="Cambria Math"/>
        </w:rPr>
        <w:t>‑</w:t>
      </w:r>
      <w:r w:rsidRPr="00E84C6F">
        <w:rPr>
          <w:rFonts w:ascii="Arial" w:hAnsi="Arial" w:cs="Arial"/>
        </w:rPr>
        <w:t>61. https://doi.org/10.1016/j.ijbiomac.2019.05.103</w:t>
      </w:r>
    </w:p>
    <w:p w14:paraId="1F39E902"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Hay, T. O., Kontogiorgos, V., Thompson, S., Nastasi, J. R., &amp; Fitzgerald, M. (2024). A new hydrocolloid to rival gum Arabic : Characterisation of a traditional food gum from Australian </w:t>
      </w:r>
      <w:r w:rsidRPr="00E84C6F">
        <w:rPr>
          <w:rFonts w:ascii="Arial" w:hAnsi="Arial" w:cs="Arial"/>
          <w:i/>
          <w:iCs/>
        </w:rPr>
        <w:t>Acacia cambagei</w:t>
      </w:r>
      <w:r w:rsidRPr="00E84C6F">
        <w:rPr>
          <w:rFonts w:ascii="Arial" w:hAnsi="Arial" w:cs="Arial"/>
        </w:rPr>
        <w:t xml:space="preserve">. </w:t>
      </w:r>
      <w:r w:rsidRPr="00E84C6F">
        <w:rPr>
          <w:rFonts w:ascii="Arial" w:hAnsi="Arial" w:cs="Arial"/>
          <w:i/>
          <w:iCs/>
        </w:rPr>
        <w:t>Food Hydrocolloids</w:t>
      </w:r>
      <w:r w:rsidRPr="00E84C6F">
        <w:rPr>
          <w:rFonts w:ascii="Arial" w:hAnsi="Arial" w:cs="Arial"/>
        </w:rPr>
        <w:t xml:space="preserve">, </w:t>
      </w:r>
      <w:r w:rsidRPr="00E84C6F">
        <w:rPr>
          <w:rFonts w:ascii="Arial" w:hAnsi="Arial" w:cs="Arial"/>
          <w:i/>
          <w:iCs/>
        </w:rPr>
        <w:t>153</w:t>
      </w:r>
      <w:r w:rsidRPr="00E84C6F">
        <w:rPr>
          <w:rFonts w:ascii="Arial" w:hAnsi="Arial" w:cs="Arial"/>
        </w:rPr>
        <w:t>, 110003. https://doi.org/10.1016/j.foodhyd.2024.110003</w:t>
      </w:r>
    </w:p>
    <w:p w14:paraId="0BACC4D3"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Huang, X., Ai, C., Yao, H., Zhao, C., Xiang, C., Hong, T., &amp; Xiao, J. (2022). Guideline for the extraction, isolation, purification, and structural characterization of polysaccharides from natural resources. </w:t>
      </w:r>
      <w:r w:rsidRPr="00E84C6F">
        <w:rPr>
          <w:rFonts w:ascii="Arial" w:hAnsi="Arial" w:cs="Arial"/>
          <w:i/>
          <w:iCs/>
        </w:rPr>
        <w:t>eFood</w:t>
      </w:r>
      <w:r w:rsidRPr="00E84C6F">
        <w:rPr>
          <w:rFonts w:ascii="Arial" w:hAnsi="Arial" w:cs="Arial"/>
        </w:rPr>
        <w:t xml:space="preserve">, </w:t>
      </w:r>
      <w:r w:rsidRPr="00E84C6F">
        <w:rPr>
          <w:rFonts w:ascii="Arial" w:hAnsi="Arial" w:cs="Arial"/>
          <w:i/>
          <w:iCs/>
        </w:rPr>
        <w:t>3</w:t>
      </w:r>
      <w:r w:rsidRPr="00E84C6F">
        <w:rPr>
          <w:rFonts w:ascii="Arial" w:hAnsi="Arial" w:cs="Arial"/>
        </w:rPr>
        <w:t>(6), e37. https://doi.org/10.1002/efd2.37</w:t>
      </w:r>
    </w:p>
    <w:p w14:paraId="7E0796FC"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Joint FAO/WHO Expert Committee on Food Additives, Food and Agriculture Organization of the United Nations, &amp; World Health Organization (Éds.). (2014). </w:t>
      </w:r>
      <w:r w:rsidRPr="00E84C6F">
        <w:rPr>
          <w:rFonts w:ascii="Arial" w:hAnsi="Arial" w:cs="Arial"/>
          <w:i/>
          <w:iCs/>
        </w:rPr>
        <w:t>Compendium of food additive specifications : Joint FAO/WHO Expert Committee on Food Additives, 77th meeting 2013</w:t>
      </w:r>
      <w:r w:rsidRPr="00E84C6F">
        <w:rPr>
          <w:rFonts w:ascii="Arial" w:hAnsi="Arial" w:cs="Arial"/>
        </w:rPr>
        <w:t>. Food and Agriculture Organization of the United Nations.</w:t>
      </w:r>
    </w:p>
    <w:p w14:paraId="04383491"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Joint FAO/WHO Expert Consultation on Human Vitamin and Mineral Requirements (Éd.). (2004). </w:t>
      </w:r>
      <w:r w:rsidRPr="00E84C6F">
        <w:rPr>
          <w:rFonts w:ascii="Arial" w:hAnsi="Arial" w:cs="Arial"/>
          <w:i/>
          <w:iCs/>
        </w:rPr>
        <w:t>Vitamin and mineral requirements in human nutrition : Report of a joint FAO/WHO expert  consultation,</w:t>
      </w:r>
      <w:r w:rsidRPr="00E84C6F">
        <w:rPr>
          <w:rFonts w:ascii="Arial" w:hAnsi="Arial" w:cs="Arial"/>
        </w:rPr>
        <w:t xml:space="preserve"> (2. ed).</w:t>
      </w:r>
    </w:p>
    <w:p w14:paraId="7B454B41"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Kumoro, A. C., &amp; Budiyati, D. S. R. dan C. S. (2010). Extraction and Modification of Gum from Cashew Tree Exudates Using Wheat Starch and Glycerine. </w:t>
      </w:r>
      <w:r w:rsidRPr="00E84C6F">
        <w:rPr>
          <w:rFonts w:ascii="Arial" w:hAnsi="Arial" w:cs="Arial"/>
          <w:i/>
          <w:iCs/>
        </w:rPr>
        <w:t>Jurnal Rekayasa Proses</w:t>
      </w:r>
      <w:r w:rsidRPr="00E84C6F">
        <w:rPr>
          <w:rFonts w:ascii="Arial" w:hAnsi="Arial" w:cs="Arial"/>
        </w:rPr>
        <w:t xml:space="preserve">, </w:t>
      </w:r>
      <w:r w:rsidRPr="00E84C6F">
        <w:rPr>
          <w:rFonts w:ascii="Arial" w:hAnsi="Arial" w:cs="Arial"/>
          <w:i/>
          <w:iCs/>
        </w:rPr>
        <w:t>4</w:t>
      </w:r>
      <w:r w:rsidRPr="00E84C6F">
        <w:rPr>
          <w:rFonts w:ascii="Arial" w:hAnsi="Arial" w:cs="Arial"/>
        </w:rPr>
        <w:t>(2), 40</w:t>
      </w:r>
      <w:r w:rsidRPr="00E84C6F">
        <w:rPr>
          <w:rFonts w:ascii="Cambria Math" w:hAnsi="Cambria Math" w:cs="Cambria Math"/>
        </w:rPr>
        <w:t>‑</w:t>
      </w:r>
      <w:r w:rsidRPr="00E84C6F">
        <w:rPr>
          <w:rFonts w:ascii="Arial" w:hAnsi="Arial" w:cs="Arial"/>
        </w:rPr>
        <w:t>44.</w:t>
      </w:r>
    </w:p>
    <w:p w14:paraId="2C64FFBD" w14:textId="77777777" w:rsidR="00E84C6F" w:rsidRPr="009B17A1" w:rsidRDefault="00E84C6F" w:rsidP="00E84C6F">
      <w:pPr>
        <w:pStyle w:val="Bibliography"/>
        <w:spacing w:line="276" w:lineRule="auto"/>
        <w:jc w:val="both"/>
        <w:rPr>
          <w:rFonts w:ascii="Arial" w:hAnsi="Arial" w:cs="Arial"/>
          <w:lang w:val="fr-CI"/>
        </w:rPr>
      </w:pPr>
      <w:r w:rsidRPr="00E84C6F">
        <w:rPr>
          <w:rFonts w:ascii="Arial" w:hAnsi="Arial" w:cs="Arial"/>
        </w:rPr>
        <w:t>Loureiro, K. C., Jäger, A., Pavlova, E., Lima-Verde, I. B., Štěpánek, P., Sangenito, L. S., Santos, A. L. S., Chaud, M. V., Barud, H. S., Soares, M. F. L. R., Albuquerque-Júnior, R. L. C. de, Cardoso, J. C., Souto, E. B., Mendonça, M. da C., &amp; Severino, P. (2021). Cashew Gum (</w:t>
      </w:r>
      <w:r w:rsidRPr="00E84C6F">
        <w:rPr>
          <w:rFonts w:ascii="Arial" w:hAnsi="Arial" w:cs="Arial"/>
          <w:i/>
          <w:iCs/>
        </w:rPr>
        <w:t>Anacardium occidentale</w:t>
      </w:r>
      <w:r w:rsidRPr="00E84C6F">
        <w:rPr>
          <w:rFonts w:ascii="Arial" w:hAnsi="Arial" w:cs="Arial"/>
        </w:rPr>
        <w:t xml:space="preserve">) as a Potential Source for the Production of Tocopherol-Loaded Nanoparticles : Formulation, Release Profile and Cytotoxicity. </w:t>
      </w:r>
      <w:r w:rsidRPr="009B17A1">
        <w:rPr>
          <w:rFonts w:ascii="Arial" w:hAnsi="Arial" w:cs="Arial"/>
          <w:i/>
          <w:iCs/>
          <w:lang w:val="fr-CI"/>
        </w:rPr>
        <w:t>Applied Sciences</w:t>
      </w:r>
      <w:r w:rsidRPr="009B17A1">
        <w:rPr>
          <w:rFonts w:ascii="Arial" w:hAnsi="Arial" w:cs="Arial"/>
          <w:lang w:val="fr-CI"/>
        </w:rPr>
        <w:t xml:space="preserve">, </w:t>
      </w:r>
      <w:r w:rsidRPr="009B17A1">
        <w:rPr>
          <w:rFonts w:ascii="Arial" w:hAnsi="Arial" w:cs="Arial"/>
          <w:i/>
          <w:iCs/>
          <w:lang w:val="fr-CI"/>
        </w:rPr>
        <w:t>11</w:t>
      </w:r>
      <w:r w:rsidRPr="009B17A1">
        <w:rPr>
          <w:rFonts w:ascii="Arial" w:hAnsi="Arial" w:cs="Arial"/>
          <w:lang w:val="fr-CI"/>
        </w:rPr>
        <w:t>(18), Article 18. https://doi.org/10.3390/app11188467</w:t>
      </w:r>
    </w:p>
    <w:p w14:paraId="39B3CAB4" w14:textId="77777777" w:rsidR="00E84C6F" w:rsidRPr="00E84C6F" w:rsidRDefault="00E84C6F" w:rsidP="00E84C6F">
      <w:pPr>
        <w:pStyle w:val="Bibliography"/>
        <w:spacing w:line="276" w:lineRule="auto"/>
        <w:jc w:val="both"/>
        <w:rPr>
          <w:rFonts w:ascii="Arial" w:hAnsi="Arial" w:cs="Arial"/>
        </w:rPr>
      </w:pPr>
      <w:r w:rsidRPr="009B17A1">
        <w:rPr>
          <w:rFonts w:ascii="Arial" w:hAnsi="Arial" w:cs="Arial"/>
          <w:lang w:val="fr-CI"/>
        </w:rPr>
        <w:t xml:space="preserve">Lu, J. X., Tupper, C., Gutierrez, A. V., &amp; Murray, J. (2025). </w:t>
      </w:r>
      <w:r w:rsidRPr="00E84C6F">
        <w:rPr>
          <w:rFonts w:ascii="Arial" w:hAnsi="Arial" w:cs="Arial"/>
        </w:rPr>
        <w:t xml:space="preserve">Biochemistry, Dissolution and Solubility. In </w:t>
      </w:r>
      <w:r w:rsidRPr="00E84C6F">
        <w:rPr>
          <w:rFonts w:ascii="Arial" w:hAnsi="Arial" w:cs="Arial"/>
          <w:i/>
          <w:iCs/>
        </w:rPr>
        <w:t>StatPearls</w:t>
      </w:r>
      <w:r w:rsidRPr="00E84C6F">
        <w:rPr>
          <w:rFonts w:ascii="Arial" w:hAnsi="Arial" w:cs="Arial"/>
        </w:rPr>
        <w:t>. StatPearls Publishing. http://www.ncbi.nlm.nih.gov/books/NBK431100/</w:t>
      </w:r>
    </w:p>
    <w:p w14:paraId="41743B73" w14:textId="77777777" w:rsidR="00E84C6F" w:rsidRPr="00E84C6F" w:rsidRDefault="00E84C6F" w:rsidP="00E84C6F">
      <w:pPr>
        <w:pStyle w:val="Bibliography"/>
        <w:spacing w:line="276" w:lineRule="auto"/>
        <w:jc w:val="both"/>
        <w:rPr>
          <w:rFonts w:ascii="Arial" w:hAnsi="Arial" w:cs="Arial"/>
        </w:rPr>
      </w:pPr>
      <w:r w:rsidRPr="009B17A1">
        <w:rPr>
          <w:rFonts w:ascii="Arial" w:hAnsi="Arial" w:cs="Arial"/>
          <w:lang w:val="fr-CI"/>
        </w:rPr>
        <w:t xml:space="preserve">Naka, T., Martin, D. K., Soumaila, D., Simplice, G. T., Patrice, K. L., &amp; Abrogoua, N. (2016). </w:t>
      </w:r>
      <w:r w:rsidRPr="00E84C6F">
        <w:rPr>
          <w:rFonts w:ascii="Arial" w:hAnsi="Arial" w:cs="Arial"/>
        </w:rPr>
        <w:t xml:space="preserve">Some physico-chemical properties of cashew gum from cashew exudates and its use as clarifying agent of juice from cashew apple. </w:t>
      </w:r>
      <w:r w:rsidRPr="00E84C6F">
        <w:rPr>
          <w:rFonts w:ascii="Arial" w:hAnsi="Arial" w:cs="Arial"/>
          <w:i/>
          <w:iCs/>
        </w:rPr>
        <w:t>Agric. Biol. JN Am</w:t>
      </w:r>
      <w:r w:rsidRPr="00E84C6F">
        <w:rPr>
          <w:rFonts w:ascii="Arial" w:hAnsi="Arial" w:cs="Arial"/>
        </w:rPr>
        <w:t xml:space="preserve">, </w:t>
      </w:r>
      <w:r w:rsidRPr="00E84C6F">
        <w:rPr>
          <w:rFonts w:ascii="Arial" w:hAnsi="Arial" w:cs="Arial"/>
          <w:i/>
          <w:iCs/>
        </w:rPr>
        <w:t>7</w:t>
      </w:r>
      <w:r w:rsidRPr="00E84C6F">
        <w:rPr>
          <w:rFonts w:ascii="Arial" w:hAnsi="Arial" w:cs="Arial"/>
        </w:rPr>
        <w:t>, 107</w:t>
      </w:r>
      <w:r w:rsidRPr="00E84C6F">
        <w:rPr>
          <w:rFonts w:ascii="Cambria Math" w:hAnsi="Cambria Math" w:cs="Cambria Math"/>
        </w:rPr>
        <w:t>‑</w:t>
      </w:r>
      <w:r w:rsidRPr="00E84C6F">
        <w:rPr>
          <w:rFonts w:ascii="Arial" w:hAnsi="Arial" w:cs="Arial"/>
        </w:rPr>
        <w:t>115.</w:t>
      </w:r>
    </w:p>
    <w:p w14:paraId="23197F60"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Nayak, A. K., Ansari, M. T., Sami, F., Bera, H., &amp; Hasnain, M. S. (2019). Cashew gum in drug delivery applications. In </w:t>
      </w:r>
      <w:r w:rsidRPr="00E84C6F">
        <w:rPr>
          <w:rFonts w:ascii="Arial" w:hAnsi="Arial" w:cs="Arial"/>
          <w:i/>
          <w:iCs/>
        </w:rPr>
        <w:t>Natural polysaccharides in drug delivery and biomedical applications</w:t>
      </w:r>
      <w:r w:rsidRPr="00E84C6F">
        <w:rPr>
          <w:rFonts w:ascii="Arial" w:hAnsi="Arial" w:cs="Arial"/>
        </w:rPr>
        <w:t xml:space="preserve"> (p. 263</w:t>
      </w:r>
      <w:r w:rsidRPr="00E84C6F">
        <w:rPr>
          <w:rFonts w:ascii="Cambria Math" w:hAnsi="Cambria Math" w:cs="Cambria Math"/>
        </w:rPr>
        <w:t>‑</w:t>
      </w:r>
      <w:r w:rsidRPr="00E84C6F">
        <w:rPr>
          <w:rFonts w:ascii="Arial" w:hAnsi="Arial" w:cs="Arial"/>
        </w:rPr>
        <w:t>283). Elsevier.</w:t>
      </w:r>
    </w:p>
    <w:p w14:paraId="24383C20"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lastRenderedPageBreak/>
        <w:t>Nevara, G. A., Syed Muhammad, S. K., Zawawi, N., Mustapha, N. A., &amp; Karim, R. (2022). Physicochemical and functional properties of carbohydrate–protein gum extracted from kenaf (</w:t>
      </w:r>
      <w:r w:rsidRPr="00E84C6F">
        <w:rPr>
          <w:rFonts w:ascii="Arial" w:hAnsi="Arial" w:cs="Arial"/>
          <w:i/>
          <w:iCs/>
        </w:rPr>
        <w:t>Hibiscus cannabinus</w:t>
      </w:r>
      <w:r w:rsidRPr="00E84C6F">
        <w:rPr>
          <w:rFonts w:ascii="Arial" w:hAnsi="Arial" w:cs="Arial"/>
        </w:rPr>
        <w:t xml:space="preserve"> L.) seed. </w:t>
      </w:r>
      <w:r w:rsidRPr="00E84C6F">
        <w:rPr>
          <w:rFonts w:ascii="Arial" w:hAnsi="Arial" w:cs="Arial"/>
          <w:i/>
          <w:iCs/>
        </w:rPr>
        <w:t>International Journal of Food Science and Technology</w:t>
      </w:r>
      <w:r w:rsidRPr="00E84C6F">
        <w:rPr>
          <w:rFonts w:ascii="Arial" w:hAnsi="Arial" w:cs="Arial"/>
        </w:rPr>
        <w:t xml:space="preserve">, </w:t>
      </w:r>
      <w:r w:rsidRPr="00E84C6F">
        <w:rPr>
          <w:rFonts w:ascii="Arial" w:hAnsi="Arial" w:cs="Arial"/>
          <w:i/>
          <w:iCs/>
        </w:rPr>
        <w:t>57</w:t>
      </w:r>
      <w:r w:rsidRPr="00E84C6F">
        <w:rPr>
          <w:rFonts w:ascii="Arial" w:hAnsi="Arial" w:cs="Arial"/>
        </w:rPr>
        <w:t>(1), 258</w:t>
      </w:r>
      <w:r w:rsidRPr="00E84C6F">
        <w:rPr>
          <w:rFonts w:ascii="Cambria Math" w:hAnsi="Cambria Math" w:cs="Cambria Math"/>
        </w:rPr>
        <w:t>‑</w:t>
      </w:r>
      <w:r w:rsidRPr="00E84C6F">
        <w:rPr>
          <w:rFonts w:ascii="Arial" w:hAnsi="Arial" w:cs="Arial"/>
        </w:rPr>
        <w:t>267. https://doi.org/10.1111/ijfs.15421</w:t>
      </w:r>
    </w:p>
    <w:p w14:paraId="1C675E96"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Noureen, S., Noreen, S., Ghumman, S. A., Al-Hussain, S. A., Hameed, H., Anwar-Ul-Haq, M., Irfan, A., Batool, F., Hassan, M. U., Aslam, S., &amp; Zaki, M. E. A. (2023). Maximizing the extraction yield of plant gum exudate using response surface methodology and artificial neural networking and pharmacological characterization. </w:t>
      </w:r>
      <w:r w:rsidRPr="00E84C6F">
        <w:rPr>
          <w:rFonts w:ascii="Arial" w:hAnsi="Arial" w:cs="Arial"/>
          <w:i/>
          <w:iCs/>
        </w:rPr>
        <w:t>Scientific Reports</w:t>
      </w:r>
      <w:r w:rsidRPr="00E84C6F">
        <w:rPr>
          <w:rFonts w:ascii="Arial" w:hAnsi="Arial" w:cs="Arial"/>
        </w:rPr>
        <w:t xml:space="preserve">, </w:t>
      </w:r>
      <w:r w:rsidRPr="00E84C6F">
        <w:rPr>
          <w:rFonts w:ascii="Arial" w:hAnsi="Arial" w:cs="Arial"/>
          <w:i/>
          <w:iCs/>
        </w:rPr>
        <w:t>13</w:t>
      </w:r>
      <w:r w:rsidRPr="00E84C6F">
        <w:rPr>
          <w:rFonts w:ascii="Arial" w:hAnsi="Arial" w:cs="Arial"/>
        </w:rPr>
        <w:t>, 10954. https://doi.org/10.1038/s41598-023-37847-x</w:t>
      </w:r>
    </w:p>
    <w:p w14:paraId="44A4547E"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Olawale, O. O., Benjamin, E. O., Noble, K., Michael, O. A., Theophilus, J. A., Opeyemi, O. M., Asantewaa, O. Y., &amp; Derrick, A. A. (2024). Evaluating Cashew Tree Gum as A Potential Vaccine Carrier : Purification, Phytochemical Analysis and Biocompatibility Assessment. </w:t>
      </w:r>
      <w:r w:rsidRPr="00E84C6F">
        <w:rPr>
          <w:rFonts w:ascii="Arial" w:hAnsi="Arial" w:cs="Arial"/>
          <w:i/>
          <w:iCs/>
        </w:rPr>
        <w:t>Tropical Journal of Natural Product Research (TJNPR)</w:t>
      </w:r>
      <w:r w:rsidRPr="00E84C6F">
        <w:rPr>
          <w:rFonts w:ascii="Arial" w:hAnsi="Arial" w:cs="Arial"/>
        </w:rPr>
        <w:t xml:space="preserve">, </w:t>
      </w:r>
      <w:r w:rsidRPr="00E84C6F">
        <w:rPr>
          <w:rFonts w:ascii="Arial" w:hAnsi="Arial" w:cs="Arial"/>
          <w:i/>
          <w:iCs/>
        </w:rPr>
        <w:t>8</w:t>
      </w:r>
      <w:r w:rsidRPr="00E84C6F">
        <w:rPr>
          <w:rFonts w:ascii="Arial" w:hAnsi="Arial" w:cs="Arial"/>
        </w:rPr>
        <w:t>(9), Article 9. https://doi.org/10.26538/tjnpr/v8i9.29</w:t>
      </w:r>
    </w:p>
    <w:p w14:paraId="6F4A41DC"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Pirsa, S., &amp; Hafezi, K. (2023). Hydrocolloids : Structure, preparation method, and application in food industry. </w:t>
      </w:r>
      <w:r w:rsidRPr="00E84C6F">
        <w:rPr>
          <w:rFonts w:ascii="Arial" w:hAnsi="Arial" w:cs="Arial"/>
          <w:i/>
          <w:iCs/>
        </w:rPr>
        <w:t>Food Chemistry</w:t>
      </w:r>
      <w:r w:rsidRPr="00E84C6F">
        <w:rPr>
          <w:rFonts w:ascii="Arial" w:hAnsi="Arial" w:cs="Arial"/>
        </w:rPr>
        <w:t xml:space="preserve">, </w:t>
      </w:r>
      <w:r w:rsidRPr="00E84C6F">
        <w:rPr>
          <w:rFonts w:ascii="Arial" w:hAnsi="Arial" w:cs="Arial"/>
          <w:i/>
          <w:iCs/>
        </w:rPr>
        <w:t>399</w:t>
      </w:r>
      <w:r w:rsidRPr="00E84C6F">
        <w:rPr>
          <w:rFonts w:ascii="Arial" w:hAnsi="Arial" w:cs="Arial"/>
        </w:rPr>
        <w:t>, 133967. https://doi.org/10.1016/j.foodchem.2022.133967</w:t>
      </w:r>
    </w:p>
    <w:p w14:paraId="0ECD77D5"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Porto, B. C., &amp; Cristianini, M. (2014). Evaluation of cashew tree gum (</w:t>
      </w:r>
      <w:r w:rsidRPr="00E84C6F">
        <w:rPr>
          <w:rFonts w:ascii="Arial" w:hAnsi="Arial" w:cs="Arial"/>
          <w:i/>
          <w:iCs/>
        </w:rPr>
        <w:t>Anacardium occidentale</w:t>
      </w:r>
      <w:r w:rsidRPr="00E84C6F">
        <w:rPr>
          <w:rFonts w:ascii="Arial" w:hAnsi="Arial" w:cs="Arial"/>
        </w:rPr>
        <w:t xml:space="preserve"> L.) emulsifying properties. </w:t>
      </w:r>
      <w:r w:rsidRPr="00E84C6F">
        <w:rPr>
          <w:rFonts w:ascii="Arial" w:hAnsi="Arial" w:cs="Arial"/>
          <w:i/>
          <w:iCs/>
        </w:rPr>
        <w:t>LWT - Food Science and Technology</w:t>
      </w:r>
      <w:r w:rsidRPr="00E84C6F">
        <w:rPr>
          <w:rFonts w:ascii="Arial" w:hAnsi="Arial" w:cs="Arial"/>
        </w:rPr>
        <w:t xml:space="preserve">, </w:t>
      </w:r>
      <w:r w:rsidRPr="00E84C6F">
        <w:rPr>
          <w:rFonts w:ascii="Arial" w:hAnsi="Arial" w:cs="Arial"/>
          <w:i/>
          <w:iCs/>
        </w:rPr>
        <w:t>59</w:t>
      </w:r>
      <w:r w:rsidRPr="00E84C6F">
        <w:rPr>
          <w:rFonts w:ascii="Arial" w:hAnsi="Arial" w:cs="Arial"/>
        </w:rPr>
        <w:t>(2, Part 2), 1325</w:t>
      </w:r>
      <w:r w:rsidRPr="00E84C6F">
        <w:rPr>
          <w:rFonts w:ascii="Cambria Math" w:hAnsi="Cambria Math" w:cs="Cambria Math"/>
        </w:rPr>
        <w:t>‑</w:t>
      </w:r>
      <w:r w:rsidRPr="00E84C6F">
        <w:rPr>
          <w:rFonts w:ascii="Arial" w:hAnsi="Arial" w:cs="Arial"/>
        </w:rPr>
        <w:t>1331. https://doi.org/10.1016/j.lwt.2014.03.033</w:t>
      </w:r>
    </w:p>
    <w:p w14:paraId="7B7AD0DC" w14:textId="77777777" w:rsidR="00E84C6F" w:rsidRPr="00E84C6F" w:rsidRDefault="00E84C6F" w:rsidP="00E84C6F">
      <w:pPr>
        <w:pStyle w:val="Bibliography"/>
        <w:spacing w:line="276" w:lineRule="auto"/>
        <w:jc w:val="both"/>
        <w:rPr>
          <w:rFonts w:ascii="Arial" w:hAnsi="Arial" w:cs="Arial"/>
        </w:rPr>
      </w:pPr>
      <w:r w:rsidRPr="009B17A1">
        <w:rPr>
          <w:rFonts w:ascii="Arial" w:hAnsi="Arial" w:cs="Arial"/>
          <w:lang w:val="fr-CI"/>
        </w:rPr>
        <w:t xml:space="preserve">Rezaei, A., Nasirpour, A., &amp; Tavanai, H. (2016). </w:t>
      </w:r>
      <w:r w:rsidRPr="00E84C6F">
        <w:rPr>
          <w:rFonts w:ascii="Arial" w:hAnsi="Arial" w:cs="Arial"/>
        </w:rPr>
        <w:t>Fractionation and some physicochemical properties of almond gum (</w:t>
      </w:r>
      <w:r w:rsidRPr="00E84C6F">
        <w:rPr>
          <w:rFonts w:ascii="Arial" w:hAnsi="Arial" w:cs="Arial"/>
          <w:i/>
          <w:iCs/>
        </w:rPr>
        <w:t>Amygdalus communis</w:t>
      </w:r>
      <w:r w:rsidRPr="00E84C6F">
        <w:rPr>
          <w:rFonts w:ascii="Arial" w:hAnsi="Arial" w:cs="Arial"/>
        </w:rPr>
        <w:t xml:space="preserve"> L.) exudates. </w:t>
      </w:r>
      <w:r w:rsidRPr="00E84C6F">
        <w:rPr>
          <w:rFonts w:ascii="Arial" w:hAnsi="Arial" w:cs="Arial"/>
          <w:i/>
          <w:iCs/>
        </w:rPr>
        <w:t>Food Hydrocolloids</w:t>
      </w:r>
      <w:r w:rsidRPr="00E84C6F">
        <w:rPr>
          <w:rFonts w:ascii="Arial" w:hAnsi="Arial" w:cs="Arial"/>
        </w:rPr>
        <w:t xml:space="preserve">, </w:t>
      </w:r>
      <w:r w:rsidRPr="00E84C6F">
        <w:rPr>
          <w:rFonts w:ascii="Arial" w:hAnsi="Arial" w:cs="Arial"/>
          <w:i/>
          <w:iCs/>
        </w:rPr>
        <w:t>60</w:t>
      </w:r>
      <w:r w:rsidRPr="00E84C6F">
        <w:rPr>
          <w:rFonts w:ascii="Arial" w:hAnsi="Arial" w:cs="Arial"/>
        </w:rPr>
        <w:t>, 461</w:t>
      </w:r>
      <w:r w:rsidRPr="00E84C6F">
        <w:rPr>
          <w:rFonts w:ascii="Cambria Math" w:hAnsi="Cambria Math" w:cs="Cambria Math"/>
        </w:rPr>
        <w:t>‑</w:t>
      </w:r>
      <w:r w:rsidRPr="00E84C6F">
        <w:rPr>
          <w:rFonts w:ascii="Arial" w:hAnsi="Arial" w:cs="Arial"/>
        </w:rPr>
        <w:t>469. https://doi.org/10.1016/j.foodhyd.2016.04.027</w:t>
      </w:r>
    </w:p>
    <w:p w14:paraId="31AB87C0"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Safdar, B., Pang, Z., Liu, X., Rashid, M. T., &amp; Jatoi, M. A. (2023). Structural characterization, physicochemical and rheological characteristics of flaxseed gum in comparison with gum Arabic and xanthan gum. </w:t>
      </w:r>
      <w:r w:rsidRPr="00E84C6F">
        <w:rPr>
          <w:rFonts w:ascii="Arial" w:hAnsi="Arial" w:cs="Arial"/>
          <w:i/>
          <w:iCs/>
        </w:rPr>
        <w:t>Journal of Food Measurement and Characterization</w:t>
      </w:r>
      <w:r w:rsidRPr="00E84C6F">
        <w:rPr>
          <w:rFonts w:ascii="Arial" w:hAnsi="Arial" w:cs="Arial"/>
        </w:rPr>
        <w:t xml:space="preserve">, </w:t>
      </w:r>
      <w:r w:rsidRPr="00E84C6F">
        <w:rPr>
          <w:rFonts w:ascii="Arial" w:hAnsi="Arial" w:cs="Arial"/>
          <w:i/>
          <w:iCs/>
        </w:rPr>
        <w:t>17</w:t>
      </w:r>
      <w:r w:rsidRPr="00E84C6F">
        <w:rPr>
          <w:rFonts w:ascii="Arial" w:hAnsi="Arial" w:cs="Arial"/>
        </w:rPr>
        <w:t>(3), 2193</w:t>
      </w:r>
      <w:r w:rsidRPr="00E84C6F">
        <w:rPr>
          <w:rFonts w:ascii="Cambria Math" w:hAnsi="Cambria Math" w:cs="Cambria Math"/>
        </w:rPr>
        <w:t>‑</w:t>
      </w:r>
      <w:r w:rsidRPr="00E84C6F">
        <w:rPr>
          <w:rFonts w:ascii="Arial" w:hAnsi="Arial" w:cs="Arial"/>
        </w:rPr>
        <w:t>2203. https://doi.org/10.1007/s11694-022-01750-2</w:t>
      </w:r>
    </w:p>
    <w:p w14:paraId="1C83A619"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Salarbashi, D., Jahanbin, K., Tafaghodi, M., &amp; Fahmideh-Rad, E. (2021). Prunus armeniaca gum exudates : An overview on purification, structure, physicochemical properties, and applications. </w:t>
      </w:r>
      <w:r w:rsidRPr="00E84C6F">
        <w:rPr>
          <w:rFonts w:ascii="Arial" w:hAnsi="Arial" w:cs="Arial"/>
          <w:i/>
          <w:iCs/>
        </w:rPr>
        <w:t>Food Science &amp; Nutrition</w:t>
      </w:r>
      <w:r w:rsidRPr="00E84C6F">
        <w:rPr>
          <w:rFonts w:ascii="Arial" w:hAnsi="Arial" w:cs="Arial"/>
        </w:rPr>
        <w:t xml:space="preserve">, </w:t>
      </w:r>
      <w:r w:rsidRPr="00E84C6F">
        <w:rPr>
          <w:rFonts w:ascii="Arial" w:hAnsi="Arial" w:cs="Arial"/>
          <w:i/>
          <w:iCs/>
        </w:rPr>
        <w:t>9</w:t>
      </w:r>
      <w:r w:rsidRPr="00E84C6F">
        <w:rPr>
          <w:rFonts w:ascii="Arial" w:hAnsi="Arial" w:cs="Arial"/>
        </w:rPr>
        <w:t>(2), 1240</w:t>
      </w:r>
      <w:r w:rsidRPr="00E84C6F">
        <w:rPr>
          <w:rFonts w:ascii="Cambria Math" w:hAnsi="Cambria Math" w:cs="Cambria Math"/>
        </w:rPr>
        <w:t>‑</w:t>
      </w:r>
      <w:r w:rsidRPr="00E84C6F">
        <w:rPr>
          <w:rFonts w:ascii="Arial" w:hAnsi="Arial" w:cs="Arial"/>
        </w:rPr>
        <w:t>1255. https://doi.org/10.1002/fsn3.2107</w:t>
      </w:r>
    </w:p>
    <w:p w14:paraId="0187BC4A"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Sarkar, P. C., Sahu, U., Binsi, P. K., Nayak, N., Ninan, G., &amp; Ravishanker, C. N. (2018). Studies on physico-chemical and functional properties of some natural Indian gums. </w:t>
      </w:r>
      <w:r w:rsidRPr="00E84C6F">
        <w:rPr>
          <w:rFonts w:ascii="Arial" w:hAnsi="Arial" w:cs="Arial"/>
          <w:i/>
          <w:iCs/>
        </w:rPr>
        <w:t>Asian Journal of Dairy and Food Research</w:t>
      </w:r>
      <w:r w:rsidRPr="00E84C6F">
        <w:rPr>
          <w:rFonts w:ascii="Arial" w:hAnsi="Arial" w:cs="Arial"/>
        </w:rPr>
        <w:t xml:space="preserve">, </w:t>
      </w:r>
      <w:r w:rsidRPr="00E84C6F">
        <w:rPr>
          <w:rFonts w:ascii="Arial" w:hAnsi="Arial" w:cs="Arial"/>
          <w:i/>
          <w:iCs/>
        </w:rPr>
        <w:t>37</w:t>
      </w:r>
      <w:r w:rsidRPr="00E84C6F">
        <w:rPr>
          <w:rFonts w:ascii="Arial" w:hAnsi="Arial" w:cs="Arial"/>
        </w:rPr>
        <w:t>(2), 126</w:t>
      </w:r>
      <w:r w:rsidRPr="00E84C6F">
        <w:rPr>
          <w:rFonts w:ascii="Cambria Math" w:hAnsi="Cambria Math" w:cs="Cambria Math"/>
        </w:rPr>
        <w:t>‑</w:t>
      </w:r>
      <w:r w:rsidRPr="00E84C6F">
        <w:rPr>
          <w:rFonts w:ascii="Arial" w:hAnsi="Arial" w:cs="Arial"/>
        </w:rPr>
        <w:t>131.</w:t>
      </w:r>
    </w:p>
    <w:p w14:paraId="4F4F26FE"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Sharma, A., Bhushette, P. R., &amp; Annapure, U. S. (2020). Purification and physicochemical characterization of </w:t>
      </w:r>
      <w:r w:rsidRPr="00E84C6F">
        <w:rPr>
          <w:rFonts w:ascii="Arial" w:hAnsi="Arial" w:cs="Arial"/>
          <w:i/>
          <w:iCs/>
        </w:rPr>
        <w:t>Prunus domestica</w:t>
      </w:r>
      <w:r w:rsidRPr="00E84C6F">
        <w:rPr>
          <w:rFonts w:ascii="Arial" w:hAnsi="Arial" w:cs="Arial"/>
        </w:rPr>
        <w:t xml:space="preserve"> exudate gum polysaccharide. </w:t>
      </w:r>
      <w:r w:rsidRPr="00E84C6F">
        <w:rPr>
          <w:rFonts w:ascii="Arial" w:hAnsi="Arial" w:cs="Arial"/>
          <w:i/>
          <w:iCs/>
        </w:rPr>
        <w:t>Carbohydrate Polymer Technologies and Applications</w:t>
      </w:r>
      <w:r w:rsidRPr="00E84C6F">
        <w:rPr>
          <w:rFonts w:ascii="Arial" w:hAnsi="Arial" w:cs="Arial"/>
        </w:rPr>
        <w:t xml:space="preserve">, </w:t>
      </w:r>
      <w:r w:rsidRPr="00E84C6F">
        <w:rPr>
          <w:rFonts w:ascii="Arial" w:hAnsi="Arial" w:cs="Arial"/>
          <w:i/>
          <w:iCs/>
        </w:rPr>
        <w:t>1</w:t>
      </w:r>
      <w:r w:rsidRPr="00E84C6F">
        <w:rPr>
          <w:rFonts w:ascii="Arial" w:hAnsi="Arial" w:cs="Arial"/>
        </w:rPr>
        <w:t>, 100003. https://doi.org/10.1016/j.carpta.2020.100003</w:t>
      </w:r>
    </w:p>
    <w:p w14:paraId="2A97BC63" w14:textId="77777777" w:rsidR="00E84C6F" w:rsidRPr="00E84C6F" w:rsidRDefault="00E84C6F" w:rsidP="00E84C6F">
      <w:pPr>
        <w:pStyle w:val="Bibliography"/>
        <w:spacing w:line="276" w:lineRule="auto"/>
        <w:jc w:val="both"/>
        <w:rPr>
          <w:rFonts w:ascii="Arial" w:hAnsi="Arial" w:cs="Arial"/>
        </w:rPr>
      </w:pPr>
      <w:r w:rsidRPr="00E84C6F">
        <w:rPr>
          <w:rFonts w:ascii="Arial" w:hAnsi="Arial" w:cs="Arial"/>
        </w:rPr>
        <w:t xml:space="preserve">Shobana, N., Prakash, P., Samrot, A. V., Jane Cypriyana, P. J., Kajal, P., Sathiyasree, M., Saigeetha, S., Stalin Dhas, T., Alex Anand, D., Sabesan, G. S., Muthuvenkatachalam, B. S., Mohanty, B. K., &amp; Visvanathan, S. (2022). Purification and Characterization of Gum-Derived Polysaccharides of </w:t>
      </w:r>
      <w:r w:rsidRPr="00E84C6F">
        <w:rPr>
          <w:rFonts w:ascii="Arial" w:hAnsi="Arial" w:cs="Arial"/>
          <w:i/>
          <w:iCs/>
        </w:rPr>
        <w:t>Moringa oleifera</w:t>
      </w:r>
      <w:r w:rsidRPr="00E84C6F">
        <w:rPr>
          <w:rFonts w:ascii="Arial" w:hAnsi="Arial" w:cs="Arial"/>
        </w:rPr>
        <w:t xml:space="preserve"> and </w:t>
      </w:r>
      <w:r w:rsidRPr="00E84C6F">
        <w:rPr>
          <w:rFonts w:ascii="Arial" w:hAnsi="Arial" w:cs="Arial"/>
          <w:i/>
          <w:iCs/>
        </w:rPr>
        <w:t>Azadirachta indica</w:t>
      </w:r>
      <w:r w:rsidRPr="00E84C6F">
        <w:rPr>
          <w:rFonts w:ascii="Arial" w:hAnsi="Arial" w:cs="Arial"/>
        </w:rPr>
        <w:t xml:space="preserve"> and Their Applications as Plant Stimulants and Bio-Pesticidal Agents. </w:t>
      </w:r>
      <w:r w:rsidRPr="00E84C6F">
        <w:rPr>
          <w:rFonts w:ascii="Arial" w:hAnsi="Arial" w:cs="Arial"/>
          <w:i/>
          <w:iCs/>
        </w:rPr>
        <w:t>Molecules</w:t>
      </w:r>
      <w:r w:rsidRPr="00E84C6F">
        <w:rPr>
          <w:rFonts w:ascii="Arial" w:hAnsi="Arial" w:cs="Arial"/>
        </w:rPr>
        <w:t xml:space="preserve">, </w:t>
      </w:r>
      <w:r w:rsidRPr="00E84C6F">
        <w:rPr>
          <w:rFonts w:ascii="Arial" w:hAnsi="Arial" w:cs="Arial"/>
          <w:i/>
          <w:iCs/>
        </w:rPr>
        <w:t>27</w:t>
      </w:r>
      <w:r w:rsidRPr="00E84C6F">
        <w:rPr>
          <w:rFonts w:ascii="Arial" w:hAnsi="Arial" w:cs="Arial"/>
        </w:rPr>
        <w:t>(12), 3720. https://doi.org/10.3390/molecules27123720</w:t>
      </w:r>
    </w:p>
    <w:p w14:paraId="1A22E64D" w14:textId="77777777" w:rsidR="00E84C6F" w:rsidRPr="009B17A1" w:rsidRDefault="00E84C6F" w:rsidP="00E84C6F">
      <w:pPr>
        <w:pStyle w:val="Bibliography"/>
        <w:spacing w:line="276" w:lineRule="auto"/>
        <w:jc w:val="both"/>
        <w:rPr>
          <w:rFonts w:ascii="Arial" w:hAnsi="Arial" w:cs="Arial"/>
          <w:lang w:val="fr-CI"/>
        </w:rPr>
      </w:pPr>
      <w:r w:rsidRPr="00E84C6F">
        <w:rPr>
          <w:rFonts w:ascii="Arial" w:hAnsi="Arial" w:cs="Arial"/>
        </w:rPr>
        <w:t xml:space="preserve">Singh, R., Priya, H., Kumar, S. R., Trivedi, D., Prasad, N., Ahmad, F., Chengaiyan, J. G., Haque, S., &amp; Rana, S. S. (2024). Gum Ghatti : A Comprehensive Review on </w:t>
      </w:r>
      <w:r w:rsidRPr="00E84C6F">
        <w:rPr>
          <w:rFonts w:ascii="Arial" w:hAnsi="Arial" w:cs="Arial"/>
        </w:rPr>
        <w:lastRenderedPageBreak/>
        <w:t xml:space="preserve">Production, Processing, Remarkable Properties, and Diverse Applications. </w:t>
      </w:r>
      <w:r w:rsidRPr="009B17A1">
        <w:rPr>
          <w:rFonts w:ascii="Arial" w:hAnsi="Arial" w:cs="Arial"/>
          <w:i/>
          <w:iCs/>
          <w:lang w:val="fr-CI"/>
        </w:rPr>
        <w:t>ACS Omega</w:t>
      </w:r>
      <w:r w:rsidRPr="009B17A1">
        <w:rPr>
          <w:rFonts w:ascii="Arial" w:hAnsi="Arial" w:cs="Arial"/>
          <w:lang w:val="fr-CI"/>
        </w:rPr>
        <w:t xml:space="preserve">, </w:t>
      </w:r>
      <w:r w:rsidRPr="009B17A1">
        <w:rPr>
          <w:rFonts w:ascii="Arial" w:hAnsi="Arial" w:cs="Arial"/>
          <w:i/>
          <w:iCs/>
          <w:lang w:val="fr-CI"/>
        </w:rPr>
        <w:t>9</w:t>
      </w:r>
      <w:r w:rsidRPr="009B17A1">
        <w:rPr>
          <w:rFonts w:ascii="Arial" w:hAnsi="Arial" w:cs="Arial"/>
          <w:lang w:val="fr-CI"/>
        </w:rPr>
        <w:t>(9), 9974</w:t>
      </w:r>
      <w:r w:rsidRPr="009B17A1">
        <w:rPr>
          <w:rFonts w:ascii="Cambria Math" w:hAnsi="Cambria Math" w:cs="Cambria Math"/>
          <w:lang w:val="fr-CI"/>
        </w:rPr>
        <w:t>‑</w:t>
      </w:r>
      <w:r w:rsidRPr="009B17A1">
        <w:rPr>
          <w:rFonts w:ascii="Arial" w:hAnsi="Arial" w:cs="Arial"/>
          <w:lang w:val="fr-CI"/>
        </w:rPr>
        <w:t>9990. https://doi.org/10.1021/acsomega.3c08198</w:t>
      </w:r>
    </w:p>
    <w:p w14:paraId="47E9E4A0" w14:textId="157A37F5" w:rsidR="00E84C6F" w:rsidRPr="00E84C6F" w:rsidRDefault="00E84C6F" w:rsidP="00E84C6F">
      <w:pPr>
        <w:pStyle w:val="Bibliography"/>
        <w:spacing w:line="276" w:lineRule="auto"/>
        <w:jc w:val="both"/>
        <w:rPr>
          <w:rFonts w:ascii="Arial" w:hAnsi="Arial" w:cs="Arial"/>
        </w:rPr>
      </w:pPr>
      <w:r w:rsidRPr="009B17A1">
        <w:rPr>
          <w:rFonts w:ascii="Arial" w:hAnsi="Arial" w:cs="Arial"/>
          <w:lang w:val="fr-CI"/>
        </w:rPr>
        <w:t xml:space="preserve">Soro, P. L., Djè, K. M., &amp; Dabonne, S. (2017). </w:t>
      </w:r>
      <w:r w:rsidRPr="00E84C6F">
        <w:rPr>
          <w:rFonts w:ascii="Arial" w:hAnsi="Arial" w:cs="Arial"/>
        </w:rPr>
        <w:t>Application of Statistical Experiment Design for Pre-optimization of Crude Gum from Cashew Tree (</w:t>
      </w:r>
      <w:r w:rsidRPr="00221F4F">
        <w:rPr>
          <w:rFonts w:ascii="Arial" w:hAnsi="Arial" w:cs="Arial"/>
          <w:i/>
          <w:iCs/>
        </w:rPr>
        <w:t>Anacardium occidentale</w:t>
      </w:r>
      <w:r w:rsidRPr="00E84C6F">
        <w:rPr>
          <w:rFonts w:ascii="Arial" w:hAnsi="Arial" w:cs="Arial"/>
        </w:rPr>
        <w:t xml:space="preserve"> L.) Exudates by Aqueous Extraction. </w:t>
      </w:r>
      <w:r w:rsidRPr="00E84C6F">
        <w:rPr>
          <w:rFonts w:ascii="Arial" w:hAnsi="Arial" w:cs="Arial"/>
          <w:i/>
          <w:iCs/>
        </w:rPr>
        <w:t>International Journal of Agriculture Innovation and Research</w:t>
      </w:r>
      <w:r w:rsidRPr="00E84C6F">
        <w:rPr>
          <w:rFonts w:ascii="Arial" w:hAnsi="Arial" w:cs="Arial"/>
        </w:rPr>
        <w:t xml:space="preserve">, </w:t>
      </w:r>
      <w:r w:rsidRPr="00E84C6F">
        <w:rPr>
          <w:rFonts w:ascii="Arial" w:hAnsi="Arial" w:cs="Arial"/>
          <w:i/>
          <w:iCs/>
        </w:rPr>
        <w:t>5</w:t>
      </w:r>
      <w:r w:rsidRPr="00E84C6F">
        <w:rPr>
          <w:rFonts w:ascii="Arial" w:hAnsi="Arial" w:cs="Arial"/>
        </w:rPr>
        <w:t>(6), 944</w:t>
      </w:r>
      <w:r w:rsidRPr="00E84C6F">
        <w:rPr>
          <w:rFonts w:ascii="Cambria Math" w:hAnsi="Cambria Math" w:cs="Cambria Math"/>
        </w:rPr>
        <w:t>‑</w:t>
      </w:r>
      <w:r w:rsidRPr="00E84C6F">
        <w:rPr>
          <w:rFonts w:ascii="Arial" w:hAnsi="Arial" w:cs="Arial"/>
        </w:rPr>
        <w:t>949.</w:t>
      </w:r>
    </w:p>
    <w:p w14:paraId="72F4A0FE" w14:textId="3795A71F" w:rsidR="00E84C6F" w:rsidRPr="00E84C6F" w:rsidRDefault="00221F4F" w:rsidP="00E84C6F">
      <w:pPr>
        <w:pStyle w:val="Bibliography"/>
        <w:spacing w:line="276" w:lineRule="auto"/>
        <w:jc w:val="both"/>
        <w:rPr>
          <w:rFonts w:ascii="Arial" w:hAnsi="Arial" w:cs="Arial"/>
        </w:rPr>
      </w:pPr>
      <w:r w:rsidRPr="009B17A1">
        <w:rPr>
          <w:rFonts w:ascii="Arial" w:hAnsi="Arial" w:cs="Arial"/>
          <w:lang w:val="fr-CI"/>
        </w:rPr>
        <w:t>Soro, P. L., Djè, K. M., &amp; Dabonne, S.</w:t>
      </w:r>
      <w:r w:rsidR="00E84C6F" w:rsidRPr="009B17A1">
        <w:rPr>
          <w:rFonts w:ascii="Arial" w:hAnsi="Arial" w:cs="Arial"/>
          <w:lang w:val="fr-CI"/>
        </w:rPr>
        <w:t xml:space="preserve"> (2018). </w:t>
      </w:r>
      <w:r w:rsidR="00E84C6F" w:rsidRPr="00E84C6F">
        <w:rPr>
          <w:rFonts w:ascii="Arial" w:hAnsi="Arial" w:cs="Arial"/>
        </w:rPr>
        <w:t>Optimization of Crude Gum Extraction from Cashew Tree (</w:t>
      </w:r>
      <w:r w:rsidR="00E84C6F" w:rsidRPr="00221F4F">
        <w:rPr>
          <w:rFonts w:ascii="Arial" w:hAnsi="Arial" w:cs="Arial"/>
          <w:i/>
          <w:iCs/>
        </w:rPr>
        <w:t>Anacardium occidentale</w:t>
      </w:r>
      <w:r w:rsidR="00E84C6F" w:rsidRPr="00E84C6F">
        <w:rPr>
          <w:rFonts w:ascii="Arial" w:hAnsi="Arial" w:cs="Arial"/>
        </w:rPr>
        <w:t xml:space="preserve"> L.) Exudates by Response Surface Methodology Using Box-Behnken Design. </w:t>
      </w:r>
      <w:r w:rsidR="00E84C6F" w:rsidRPr="00E84C6F">
        <w:rPr>
          <w:rFonts w:ascii="Arial" w:hAnsi="Arial" w:cs="Arial"/>
          <w:i/>
          <w:iCs/>
        </w:rPr>
        <w:t>International Research Journal of Engineering and Technology</w:t>
      </w:r>
      <w:r w:rsidR="00E84C6F" w:rsidRPr="00E84C6F">
        <w:rPr>
          <w:rFonts w:ascii="Arial" w:hAnsi="Arial" w:cs="Arial"/>
        </w:rPr>
        <w:t>, 813</w:t>
      </w:r>
      <w:r w:rsidR="00E84C6F" w:rsidRPr="00E84C6F">
        <w:rPr>
          <w:rFonts w:ascii="Cambria Math" w:hAnsi="Cambria Math" w:cs="Cambria Math"/>
        </w:rPr>
        <w:t>‑</w:t>
      </w:r>
      <w:r w:rsidR="00E84C6F" w:rsidRPr="00E84C6F">
        <w:rPr>
          <w:rFonts w:ascii="Arial" w:hAnsi="Arial" w:cs="Arial"/>
        </w:rPr>
        <w:t>822.</w:t>
      </w:r>
    </w:p>
    <w:p w14:paraId="2DD12C6E" w14:textId="77777777" w:rsidR="00E84C6F" w:rsidRPr="00E84C6F" w:rsidRDefault="00E84C6F" w:rsidP="00E84C6F">
      <w:pPr>
        <w:pStyle w:val="Bibliography"/>
        <w:spacing w:line="276" w:lineRule="auto"/>
        <w:jc w:val="both"/>
        <w:rPr>
          <w:rFonts w:ascii="Arial" w:hAnsi="Arial" w:cs="Arial"/>
        </w:rPr>
      </w:pPr>
      <w:r w:rsidRPr="009B17A1">
        <w:rPr>
          <w:rFonts w:ascii="Arial" w:hAnsi="Arial" w:cs="Arial"/>
          <w:lang w:val="fr-CI"/>
        </w:rPr>
        <w:t xml:space="preserve">Torruco-Uco, J., &amp; Betancur-Ancona, D. (2007). </w:t>
      </w:r>
      <w:r w:rsidRPr="00E84C6F">
        <w:rPr>
          <w:rFonts w:ascii="Arial" w:hAnsi="Arial" w:cs="Arial"/>
        </w:rPr>
        <w:t>Physicochemical and functional properties of makal (</w:t>
      </w:r>
      <w:r w:rsidRPr="00221F4F">
        <w:rPr>
          <w:rFonts w:ascii="Arial" w:hAnsi="Arial" w:cs="Arial"/>
          <w:i/>
          <w:iCs/>
        </w:rPr>
        <w:t>Xanthosoma yucatanensis</w:t>
      </w:r>
      <w:r w:rsidRPr="00E84C6F">
        <w:rPr>
          <w:rFonts w:ascii="Arial" w:hAnsi="Arial" w:cs="Arial"/>
        </w:rPr>
        <w:t xml:space="preserve">) starch. </w:t>
      </w:r>
      <w:r w:rsidRPr="00E84C6F">
        <w:rPr>
          <w:rFonts w:ascii="Arial" w:hAnsi="Arial" w:cs="Arial"/>
          <w:i/>
          <w:iCs/>
        </w:rPr>
        <w:t>Food Chemistry</w:t>
      </w:r>
      <w:r w:rsidRPr="00E84C6F">
        <w:rPr>
          <w:rFonts w:ascii="Arial" w:hAnsi="Arial" w:cs="Arial"/>
        </w:rPr>
        <w:t xml:space="preserve">, </w:t>
      </w:r>
      <w:r w:rsidRPr="00E84C6F">
        <w:rPr>
          <w:rFonts w:ascii="Arial" w:hAnsi="Arial" w:cs="Arial"/>
          <w:i/>
          <w:iCs/>
        </w:rPr>
        <w:t>101</w:t>
      </w:r>
      <w:r w:rsidRPr="00E84C6F">
        <w:rPr>
          <w:rFonts w:ascii="Arial" w:hAnsi="Arial" w:cs="Arial"/>
        </w:rPr>
        <w:t>(4), 1319</w:t>
      </w:r>
      <w:r w:rsidRPr="00E84C6F">
        <w:rPr>
          <w:rFonts w:ascii="Cambria Math" w:hAnsi="Cambria Math" w:cs="Cambria Math"/>
        </w:rPr>
        <w:t>‑</w:t>
      </w:r>
      <w:r w:rsidRPr="00E84C6F">
        <w:rPr>
          <w:rFonts w:ascii="Arial" w:hAnsi="Arial" w:cs="Arial"/>
        </w:rPr>
        <w:t>1326. https://doi.org/10.1016/j.foodchem.2006.03.047</w:t>
      </w:r>
    </w:p>
    <w:p w14:paraId="69183DC6" w14:textId="11DDFCED" w:rsidR="00B01FCD" w:rsidRDefault="00B95D11" w:rsidP="00E84C6F">
      <w:pPr>
        <w:pStyle w:val="Body"/>
        <w:spacing w:after="0" w:line="276" w:lineRule="auto"/>
        <w:rPr>
          <w:rFonts w:ascii="Arial" w:hAnsi="Arial" w:cs="Arial"/>
        </w:rPr>
      </w:pPr>
      <w:r w:rsidRPr="00E84C6F">
        <w:rPr>
          <w:rFonts w:ascii="Arial" w:hAnsi="Arial" w:cs="Arial"/>
        </w:rPr>
        <w:fldChar w:fldCharType="end"/>
      </w:r>
    </w:p>
    <w:p w14:paraId="38DB25AA" w14:textId="7345E036" w:rsidR="004D4277" w:rsidRPr="00FB3A86" w:rsidRDefault="004D4277" w:rsidP="00441B6F">
      <w:pPr>
        <w:pStyle w:val="Appendix"/>
        <w:spacing w:after="0"/>
        <w:jc w:val="both"/>
        <w:rPr>
          <w:rFonts w:ascii="Arial" w:hAnsi="Arial" w:cs="Arial"/>
          <w:b w:val="0"/>
        </w:rPr>
        <w:sectPr w:rsidR="004D4277" w:rsidRPr="00FB3A86" w:rsidSect="00AB4E04">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4A40C918" w14:textId="77777777" w:rsidR="00B01FCD" w:rsidRPr="00FB3A86" w:rsidRDefault="00B01FCD" w:rsidP="00441B6F">
      <w:pPr>
        <w:pStyle w:val="Appendix"/>
        <w:spacing w:after="0"/>
        <w:jc w:val="both"/>
        <w:rPr>
          <w:rFonts w:ascii="Arial" w:hAnsi="Arial" w:cs="Arial"/>
          <w:b w:val="0"/>
        </w:rPr>
      </w:pPr>
    </w:p>
    <w:sectPr w:rsidR="00B01FCD" w:rsidRPr="00FB3A86" w:rsidSect="00AB4E0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C369" w14:textId="77777777" w:rsidR="00C232A0" w:rsidRDefault="00C232A0" w:rsidP="00C37E61">
      <w:r>
        <w:separator/>
      </w:r>
    </w:p>
  </w:endnote>
  <w:endnote w:type="continuationSeparator" w:id="0">
    <w:p w14:paraId="1018667D" w14:textId="77777777" w:rsidR="00C232A0" w:rsidRDefault="00C232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55BB" w14:textId="77777777" w:rsidR="00AB4E04" w:rsidRDefault="00AB4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97C8" w14:textId="77777777" w:rsidR="00AB4E04" w:rsidRDefault="00AB4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7264" w14:textId="5D6456A7" w:rsidR="00754C9A" w:rsidRPr="00AB4E04" w:rsidRDefault="00754C9A" w:rsidP="00AB4E04">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18EA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6FAFC" w14:textId="77777777" w:rsidR="00C232A0" w:rsidRDefault="00C232A0" w:rsidP="00C37E61">
      <w:r>
        <w:separator/>
      </w:r>
    </w:p>
  </w:footnote>
  <w:footnote w:type="continuationSeparator" w:id="0">
    <w:p w14:paraId="74B0A5BD" w14:textId="77777777" w:rsidR="00C232A0" w:rsidRDefault="00C232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B3D1F" w14:textId="33BE4DDB" w:rsidR="00AB4E04" w:rsidRDefault="00AB4E04">
    <w:pPr>
      <w:pStyle w:val="Header"/>
    </w:pPr>
    <w:r>
      <w:rPr>
        <w:noProof/>
      </w:rPr>
      <w:pict w14:anchorId="733E2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66F2" w14:textId="4F1FFB28" w:rsidR="00AB4E04" w:rsidRDefault="00AB4E04">
    <w:pPr>
      <w:pStyle w:val="Header"/>
    </w:pPr>
    <w:r>
      <w:rPr>
        <w:noProof/>
      </w:rPr>
      <w:pict w14:anchorId="13737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154E" w14:textId="0D1071A2" w:rsidR="00296529" w:rsidRPr="00296529" w:rsidRDefault="00AB4E04" w:rsidP="00296529">
    <w:pPr>
      <w:ind w:left="2160"/>
      <w:jc w:val="center"/>
      <w:rPr>
        <w:rFonts w:ascii="Times New Roman" w:eastAsia="Calibri" w:hAnsi="Times New Roman"/>
        <w:i/>
        <w:sz w:val="18"/>
        <w:szCs w:val="22"/>
      </w:rPr>
    </w:pPr>
    <w:r>
      <w:rPr>
        <w:noProof/>
      </w:rPr>
      <w:pict w14:anchorId="5B7AB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CA944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AD23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44FD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B9E3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4888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A9461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B3C2" w14:textId="1052FD2D" w:rsidR="00AB4E04" w:rsidRDefault="00AB4E04">
    <w:pPr>
      <w:pStyle w:val="Header"/>
    </w:pPr>
    <w:r>
      <w:rPr>
        <w:noProof/>
      </w:rPr>
      <w:pict w14:anchorId="1D318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5C6F" w14:textId="46D1D0EE" w:rsidR="00AB4E04" w:rsidRDefault="00AB4E04">
    <w:pPr>
      <w:pStyle w:val="Header"/>
    </w:pPr>
    <w:r>
      <w:rPr>
        <w:noProof/>
      </w:rPr>
      <w:pict w14:anchorId="3CC0A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1C9EC" w14:textId="1E15000E" w:rsidR="00AB4E04" w:rsidRDefault="00AB4E04">
    <w:pPr>
      <w:pStyle w:val="Header"/>
    </w:pPr>
    <w:r>
      <w:rPr>
        <w:noProof/>
      </w:rPr>
      <w:pict w14:anchorId="78F65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52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30CA"/>
    <w:rsid w:val="000A47FA"/>
    <w:rsid w:val="000A65D3"/>
    <w:rsid w:val="000B1E33"/>
    <w:rsid w:val="000D689F"/>
    <w:rsid w:val="000E7B7B"/>
    <w:rsid w:val="000E7D62"/>
    <w:rsid w:val="00103357"/>
    <w:rsid w:val="00123C9F"/>
    <w:rsid w:val="00126190"/>
    <w:rsid w:val="00130F17"/>
    <w:rsid w:val="001320BF"/>
    <w:rsid w:val="001325EA"/>
    <w:rsid w:val="00163BC4"/>
    <w:rsid w:val="00166FDC"/>
    <w:rsid w:val="00177E35"/>
    <w:rsid w:val="00191062"/>
    <w:rsid w:val="00192934"/>
    <w:rsid w:val="00192B72"/>
    <w:rsid w:val="001A29D8"/>
    <w:rsid w:val="001A5CAA"/>
    <w:rsid w:val="001B0427"/>
    <w:rsid w:val="001D3A51"/>
    <w:rsid w:val="001E10D2"/>
    <w:rsid w:val="001E25B4"/>
    <w:rsid w:val="001E44FE"/>
    <w:rsid w:val="001F320E"/>
    <w:rsid w:val="00200595"/>
    <w:rsid w:val="00204835"/>
    <w:rsid w:val="00221F4F"/>
    <w:rsid w:val="00231920"/>
    <w:rsid w:val="0023195C"/>
    <w:rsid w:val="0024282C"/>
    <w:rsid w:val="002460DC"/>
    <w:rsid w:val="00250985"/>
    <w:rsid w:val="002556F6"/>
    <w:rsid w:val="00270FAE"/>
    <w:rsid w:val="00275E86"/>
    <w:rsid w:val="00283105"/>
    <w:rsid w:val="00284C4C"/>
    <w:rsid w:val="00287E68"/>
    <w:rsid w:val="00296529"/>
    <w:rsid w:val="002B27FB"/>
    <w:rsid w:val="002B685A"/>
    <w:rsid w:val="002C0176"/>
    <w:rsid w:val="002C25B0"/>
    <w:rsid w:val="002C3AF8"/>
    <w:rsid w:val="002C57D2"/>
    <w:rsid w:val="002D2B48"/>
    <w:rsid w:val="002E0D56"/>
    <w:rsid w:val="002F7ED7"/>
    <w:rsid w:val="00315186"/>
    <w:rsid w:val="00321FE3"/>
    <w:rsid w:val="0033343E"/>
    <w:rsid w:val="003512C2"/>
    <w:rsid w:val="00367C50"/>
    <w:rsid w:val="003700C0"/>
    <w:rsid w:val="00371FB6"/>
    <w:rsid w:val="003763C1"/>
    <w:rsid w:val="00376BBE"/>
    <w:rsid w:val="0039224F"/>
    <w:rsid w:val="00393C59"/>
    <w:rsid w:val="003A43A4"/>
    <w:rsid w:val="003A7E18"/>
    <w:rsid w:val="003B0022"/>
    <w:rsid w:val="003C4C86"/>
    <w:rsid w:val="003C6258"/>
    <w:rsid w:val="003E1520"/>
    <w:rsid w:val="003E2904"/>
    <w:rsid w:val="003F4153"/>
    <w:rsid w:val="0040185E"/>
    <w:rsid w:val="00401927"/>
    <w:rsid w:val="0041027F"/>
    <w:rsid w:val="00412475"/>
    <w:rsid w:val="00417DC1"/>
    <w:rsid w:val="00423789"/>
    <w:rsid w:val="0043107C"/>
    <w:rsid w:val="00440F43"/>
    <w:rsid w:val="00441B6F"/>
    <w:rsid w:val="00445CBE"/>
    <w:rsid w:val="00446221"/>
    <w:rsid w:val="00450E62"/>
    <w:rsid w:val="004539DB"/>
    <w:rsid w:val="00466FB0"/>
    <w:rsid w:val="00467EB3"/>
    <w:rsid w:val="00471A80"/>
    <w:rsid w:val="004C2D25"/>
    <w:rsid w:val="004C5FBA"/>
    <w:rsid w:val="004D0311"/>
    <w:rsid w:val="004D305E"/>
    <w:rsid w:val="004D4277"/>
    <w:rsid w:val="004E29C8"/>
    <w:rsid w:val="004F10DA"/>
    <w:rsid w:val="00502516"/>
    <w:rsid w:val="00505F06"/>
    <w:rsid w:val="00506828"/>
    <w:rsid w:val="00521ED8"/>
    <w:rsid w:val="0053056E"/>
    <w:rsid w:val="00554FDA"/>
    <w:rsid w:val="005572BE"/>
    <w:rsid w:val="005A5235"/>
    <w:rsid w:val="005C784C"/>
    <w:rsid w:val="005D17F6"/>
    <w:rsid w:val="005E5539"/>
    <w:rsid w:val="005F2A75"/>
    <w:rsid w:val="00602BF5"/>
    <w:rsid w:val="00617FDD"/>
    <w:rsid w:val="00624170"/>
    <w:rsid w:val="00633614"/>
    <w:rsid w:val="00633F68"/>
    <w:rsid w:val="00636EB2"/>
    <w:rsid w:val="006375B8"/>
    <w:rsid w:val="006467F8"/>
    <w:rsid w:val="00651D03"/>
    <w:rsid w:val="0066510A"/>
    <w:rsid w:val="00670C9C"/>
    <w:rsid w:val="00673F9F"/>
    <w:rsid w:val="00683CFF"/>
    <w:rsid w:val="00684B62"/>
    <w:rsid w:val="00686953"/>
    <w:rsid w:val="00687DEA"/>
    <w:rsid w:val="00687E67"/>
    <w:rsid w:val="006967F7"/>
    <w:rsid w:val="006A250C"/>
    <w:rsid w:val="006B21D3"/>
    <w:rsid w:val="006B57D0"/>
    <w:rsid w:val="006D30FF"/>
    <w:rsid w:val="006D6940"/>
    <w:rsid w:val="006E5CD2"/>
    <w:rsid w:val="006F11EC"/>
    <w:rsid w:val="0070082C"/>
    <w:rsid w:val="007060B5"/>
    <w:rsid w:val="0070622E"/>
    <w:rsid w:val="007369E6"/>
    <w:rsid w:val="00746E59"/>
    <w:rsid w:val="00754C9A"/>
    <w:rsid w:val="0075599A"/>
    <w:rsid w:val="00761D52"/>
    <w:rsid w:val="0077749E"/>
    <w:rsid w:val="00790ADA"/>
    <w:rsid w:val="007A33B6"/>
    <w:rsid w:val="007C673D"/>
    <w:rsid w:val="007D2288"/>
    <w:rsid w:val="007E088F"/>
    <w:rsid w:val="007F7B32"/>
    <w:rsid w:val="00804BC2"/>
    <w:rsid w:val="0081431A"/>
    <w:rsid w:val="0083216F"/>
    <w:rsid w:val="00860000"/>
    <w:rsid w:val="00863BD3"/>
    <w:rsid w:val="008641ED"/>
    <w:rsid w:val="00866D66"/>
    <w:rsid w:val="008671C6"/>
    <w:rsid w:val="00875803"/>
    <w:rsid w:val="00875C0E"/>
    <w:rsid w:val="008802FB"/>
    <w:rsid w:val="008A5FD9"/>
    <w:rsid w:val="008B3323"/>
    <w:rsid w:val="008B459E"/>
    <w:rsid w:val="008E13AE"/>
    <w:rsid w:val="008E1506"/>
    <w:rsid w:val="008E710C"/>
    <w:rsid w:val="008F69D6"/>
    <w:rsid w:val="00902823"/>
    <w:rsid w:val="00915CA6"/>
    <w:rsid w:val="00923B97"/>
    <w:rsid w:val="009252D2"/>
    <w:rsid w:val="00927834"/>
    <w:rsid w:val="00940E90"/>
    <w:rsid w:val="00942D3E"/>
    <w:rsid w:val="009500A6"/>
    <w:rsid w:val="0095168B"/>
    <w:rsid w:val="00957C18"/>
    <w:rsid w:val="00961BF8"/>
    <w:rsid w:val="009659BA"/>
    <w:rsid w:val="009779D8"/>
    <w:rsid w:val="00983040"/>
    <w:rsid w:val="009B17A1"/>
    <w:rsid w:val="009B3FB9"/>
    <w:rsid w:val="009C2465"/>
    <w:rsid w:val="009D35A0"/>
    <w:rsid w:val="009D7EB7"/>
    <w:rsid w:val="009E048A"/>
    <w:rsid w:val="009E08E9"/>
    <w:rsid w:val="009E3DB9"/>
    <w:rsid w:val="009E6E35"/>
    <w:rsid w:val="009F0EDA"/>
    <w:rsid w:val="00A03B96"/>
    <w:rsid w:val="00A05B19"/>
    <w:rsid w:val="00A06C2F"/>
    <w:rsid w:val="00A1134E"/>
    <w:rsid w:val="00A24E7E"/>
    <w:rsid w:val="00A258C3"/>
    <w:rsid w:val="00A347C0"/>
    <w:rsid w:val="00A51431"/>
    <w:rsid w:val="00A539AD"/>
    <w:rsid w:val="00A56367"/>
    <w:rsid w:val="00A94063"/>
    <w:rsid w:val="00AA6219"/>
    <w:rsid w:val="00AA74E0"/>
    <w:rsid w:val="00AB4E04"/>
    <w:rsid w:val="00AB703F"/>
    <w:rsid w:val="00AC6BB8"/>
    <w:rsid w:val="00AE008F"/>
    <w:rsid w:val="00B01FCD"/>
    <w:rsid w:val="00B03A1F"/>
    <w:rsid w:val="00B06344"/>
    <w:rsid w:val="00B1776C"/>
    <w:rsid w:val="00B320C9"/>
    <w:rsid w:val="00B45E51"/>
    <w:rsid w:val="00B518E5"/>
    <w:rsid w:val="00B52583"/>
    <w:rsid w:val="00B52896"/>
    <w:rsid w:val="00B95236"/>
    <w:rsid w:val="00B95D11"/>
    <w:rsid w:val="00B96BD9"/>
    <w:rsid w:val="00BA1B01"/>
    <w:rsid w:val="00BA2641"/>
    <w:rsid w:val="00BA50AF"/>
    <w:rsid w:val="00BB37AA"/>
    <w:rsid w:val="00BC01A5"/>
    <w:rsid w:val="00BC53A0"/>
    <w:rsid w:val="00BE62AD"/>
    <w:rsid w:val="00BF121F"/>
    <w:rsid w:val="00BF1F80"/>
    <w:rsid w:val="00BF41D5"/>
    <w:rsid w:val="00C166EF"/>
    <w:rsid w:val="00C17EB0"/>
    <w:rsid w:val="00C232A0"/>
    <w:rsid w:val="00C27F5F"/>
    <w:rsid w:val="00C30A0F"/>
    <w:rsid w:val="00C37E61"/>
    <w:rsid w:val="00C50F86"/>
    <w:rsid w:val="00C55F55"/>
    <w:rsid w:val="00C70F1B"/>
    <w:rsid w:val="00C71A47"/>
    <w:rsid w:val="00C7464C"/>
    <w:rsid w:val="00C81E0D"/>
    <w:rsid w:val="00C85588"/>
    <w:rsid w:val="00CA54AA"/>
    <w:rsid w:val="00CD18F6"/>
    <w:rsid w:val="00CD6755"/>
    <w:rsid w:val="00CD6856"/>
    <w:rsid w:val="00CE0089"/>
    <w:rsid w:val="00CE23B7"/>
    <w:rsid w:val="00CE793C"/>
    <w:rsid w:val="00CF193C"/>
    <w:rsid w:val="00D019F4"/>
    <w:rsid w:val="00D159AD"/>
    <w:rsid w:val="00D173F1"/>
    <w:rsid w:val="00D20F3A"/>
    <w:rsid w:val="00D3024E"/>
    <w:rsid w:val="00D34243"/>
    <w:rsid w:val="00D40585"/>
    <w:rsid w:val="00D568DA"/>
    <w:rsid w:val="00D71468"/>
    <w:rsid w:val="00D74CB0"/>
    <w:rsid w:val="00D8295D"/>
    <w:rsid w:val="00D9455A"/>
    <w:rsid w:val="00DB73E1"/>
    <w:rsid w:val="00DC2A65"/>
    <w:rsid w:val="00DE15F0"/>
    <w:rsid w:val="00DE5663"/>
    <w:rsid w:val="00DE78AA"/>
    <w:rsid w:val="00DF7C9F"/>
    <w:rsid w:val="00E053D0"/>
    <w:rsid w:val="00E15994"/>
    <w:rsid w:val="00E2169E"/>
    <w:rsid w:val="00E3114E"/>
    <w:rsid w:val="00E31A70"/>
    <w:rsid w:val="00E35B02"/>
    <w:rsid w:val="00E6314E"/>
    <w:rsid w:val="00E66496"/>
    <w:rsid w:val="00E66B35"/>
    <w:rsid w:val="00E66E10"/>
    <w:rsid w:val="00E7332E"/>
    <w:rsid w:val="00E769F6"/>
    <w:rsid w:val="00E8407C"/>
    <w:rsid w:val="00E84C6F"/>
    <w:rsid w:val="00E84F3C"/>
    <w:rsid w:val="00EA012C"/>
    <w:rsid w:val="00EC6A55"/>
    <w:rsid w:val="00ED0288"/>
    <w:rsid w:val="00ED41DE"/>
    <w:rsid w:val="00ED70C8"/>
    <w:rsid w:val="00EE47B9"/>
    <w:rsid w:val="00EE52CB"/>
    <w:rsid w:val="00EE79C7"/>
    <w:rsid w:val="00EF0A03"/>
    <w:rsid w:val="00EF4194"/>
    <w:rsid w:val="00EF581D"/>
    <w:rsid w:val="00EF7FD8"/>
    <w:rsid w:val="00F06F59"/>
    <w:rsid w:val="00F17988"/>
    <w:rsid w:val="00F464E8"/>
    <w:rsid w:val="00F469F0"/>
    <w:rsid w:val="00F53273"/>
    <w:rsid w:val="00F755E4"/>
    <w:rsid w:val="00F77D02"/>
    <w:rsid w:val="00FB3A86"/>
    <w:rsid w:val="00FC63C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F1DF1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45C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qFormat/>
    <w:rsid w:val="0043107C"/>
    <w:pPr>
      <w:suppressAutoHyphens/>
      <w:spacing w:before="280" w:after="280"/>
    </w:pPr>
    <w:rPr>
      <w:rFonts w:ascii="Arial Unicode MS" w:eastAsia="Arial Unicode MS" w:hAnsi="Arial Unicode MS" w:cs="Arial Unicode MS"/>
      <w:lang w:val="ro-RO" w:eastAsia="ro-RO"/>
    </w:rPr>
  </w:style>
  <w:style w:type="character" w:customStyle="1" w:styleId="RevistaChar">
    <w:name w:val="Revista Char"/>
    <w:basedOn w:val="DefaultParagraphFont"/>
    <w:link w:val="Revista"/>
    <w:qFormat/>
    <w:rsid w:val="004F10DA"/>
    <w:rPr>
      <w:sz w:val="24"/>
    </w:rPr>
  </w:style>
  <w:style w:type="paragraph" w:customStyle="1" w:styleId="Revista">
    <w:name w:val="Revista"/>
    <w:basedOn w:val="Normal"/>
    <w:link w:val="RevistaChar"/>
    <w:qFormat/>
    <w:rsid w:val="004F10DA"/>
    <w:pPr>
      <w:suppressAutoHyphens/>
      <w:ind w:firstLine="357"/>
      <w:jc w:val="both"/>
    </w:pPr>
    <w:rPr>
      <w:rFonts w:ascii="Times New Roman" w:hAnsi="Times New Roman"/>
      <w:sz w:val="24"/>
    </w:rPr>
  </w:style>
  <w:style w:type="paragraph" w:styleId="Caption">
    <w:name w:val="caption"/>
    <w:basedOn w:val="Normal"/>
    <w:qFormat/>
    <w:rsid w:val="004F10DA"/>
    <w:pPr>
      <w:suppressLineNumbers/>
      <w:suppressAutoHyphens/>
      <w:spacing w:before="120" w:after="120" w:line="259" w:lineRule="auto"/>
    </w:pPr>
    <w:rPr>
      <w:rFonts w:ascii="Calibri" w:eastAsia="Calibri" w:hAnsi="Calibri" w:cs="Arial Unicode MS"/>
      <w:i/>
      <w:iCs/>
      <w:sz w:val="24"/>
      <w:szCs w:val="24"/>
    </w:rPr>
  </w:style>
  <w:style w:type="character" w:customStyle="1" w:styleId="FooterChar">
    <w:name w:val="Footer Char"/>
    <w:basedOn w:val="DefaultParagraphFont"/>
    <w:link w:val="Footer"/>
    <w:qFormat/>
    <w:rsid w:val="00B03A1F"/>
    <w:rPr>
      <w:rFonts w:ascii="Helvetica" w:hAnsi="Helvetica"/>
    </w:rPr>
  </w:style>
  <w:style w:type="paragraph" w:customStyle="1" w:styleId="Contenudetableau">
    <w:name w:val="Contenu de tableau"/>
    <w:basedOn w:val="Normal"/>
    <w:qFormat/>
    <w:rsid w:val="00B03A1F"/>
    <w:pPr>
      <w:widowControl w:val="0"/>
      <w:suppressLineNumbers/>
      <w:suppressAutoHyphens/>
      <w:spacing w:after="160" w:line="259" w:lineRule="auto"/>
    </w:pPr>
    <w:rPr>
      <w:rFonts w:ascii="Calibri" w:eastAsia="Calibri" w:hAnsi="Calibri" w:cs="Tahoma"/>
      <w:sz w:val="22"/>
      <w:szCs w:val="22"/>
    </w:rPr>
  </w:style>
  <w:style w:type="paragraph" w:styleId="FootnoteText">
    <w:name w:val="footnote text"/>
    <w:basedOn w:val="Normal"/>
    <w:link w:val="FootnoteTextChar"/>
    <w:semiHidden/>
    <w:unhideWhenUsed/>
    <w:rsid w:val="00D9455A"/>
  </w:style>
  <w:style w:type="character" w:customStyle="1" w:styleId="FootnoteTextChar">
    <w:name w:val="Footnote Text Char"/>
    <w:basedOn w:val="DefaultParagraphFont"/>
    <w:link w:val="FootnoteText"/>
    <w:semiHidden/>
    <w:rsid w:val="00D9455A"/>
    <w:rPr>
      <w:rFonts w:ascii="Helvetica" w:hAnsi="Helvetica"/>
    </w:rPr>
  </w:style>
  <w:style w:type="character" w:styleId="FootnoteReference">
    <w:name w:val="footnote reference"/>
    <w:basedOn w:val="DefaultParagraphFont"/>
    <w:semiHidden/>
    <w:unhideWhenUsed/>
    <w:rsid w:val="00D9455A"/>
    <w:rPr>
      <w:vertAlign w:val="superscript"/>
    </w:rPr>
  </w:style>
  <w:style w:type="character" w:customStyle="1" w:styleId="Heading3Char">
    <w:name w:val="Heading 3 Char"/>
    <w:basedOn w:val="DefaultParagraphFont"/>
    <w:link w:val="Heading3"/>
    <w:semiHidden/>
    <w:rsid w:val="00445CBE"/>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B95D11"/>
    <w:pPr>
      <w:spacing w:line="480" w:lineRule="auto"/>
      <w:ind w:left="720" w:hanging="720"/>
    </w:pPr>
  </w:style>
  <w:style w:type="character" w:styleId="Strong">
    <w:name w:val="Strong"/>
    <w:basedOn w:val="DefaultParagraphFont"/>
    <w:uiPriority w:val="22"/>
    <w:qFormat/>
    <w:rsid w:val="009B1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3793883">
      <w:bodyDiv w:val="1"/>
      <w:marLeft w:val="0"/>
      <w:marRight w:val="0"/>
      <w:marTop w:val="0"/>
      <w:marBottom w:val="0"/>
      <w:divBdr>
        <w:top w:val="none" w:sz="0" w:space="0" w:color="auto"/>
        <w:left w:val="none" w:sz="0" w:space="0" w:color="auto"/>
        <w:bottom w:val="none" w:sz="0" w:space="0" w:color="auto"/>
        <w:right w:val="none" w:sz="0" w:space="0" w:color="auto"/>
      </w:divBdr>
    </w:div>
    <w:div w:id="66533714">
      <w:bodyDiv w:val="1"/>
      <w:marLeft w:val="0"/>
      <w:marRight w:val="0"/>
      <w:marTop w:val="0"/>
      <w:marBottom w:val="0"/>
      <w:divBdr>
        <w:top w:val="none" w:sz="0" w:space="0" w:color="auto"/>
        <w:left w:val="none" w:sz="0" w:space="0" w:color="auto"/>
        <w:bottom w:val="none" w:sz="0" w:space="0" w:color="auto"/>
        <w:right w:val="none" w:sz="0" w:space="0" w:color="auto"/>
      </w:divBdr>
    </w:div>
    <w:div w:id="8434843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544223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08492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9563380">
      <w:bodyDiv w:val="1"/>
      <w:marLeft w:val="0"/>
      <w:marRight w:val="0"/>
      <w:marTop w:val="0"/>
      <w:marBottom w:val="0"/>
      <w:divBdr>
        <w:top w:val="none" w:sz="0" w:space="0" w:color="auto"/>
        <w:left w:val="none" w:sz="0" w:space="0" w:color="auto"/>
        <w:bottom w:val="none" w:sz="0" w:space="0" w:color="auto"/>
        <w:right w:val="none" w:sz="0" w:space="0" w:color="auto"/>
      </w:divBdr>
    </w:div>
    <w:div w:id="88135752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61698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1631685">
      <w:bodyDiv w:val="1"/>
      <w:marLeft w:val="0"/>
      <w:marRight w:val="0"/>
      <w:marTop w:val="0"/>
      <w:marBottom w:val="0"/>
      <w:divBdr>
        <w:top w:val="none" w:sz="0" w:space="0" w:color="auto"/>
        <w:left w:val="none" w:sz="0" w:space="0" w:color="auto"/>
        <w:bottom w:val="none" w:sz="0" w:space="0" w:color="auto"/>
        <w:right w:val="none" w:sz="0" w:space="0" w:color="auto"/>
      </w:divBdr>
    </w:div>
    <w:div w:id="14898569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1024398">
      <w:bodyDiv w:val="1"/>
      <w:marLeft w:val="0"/>
      <w:marRight w:val="0"/>
      <w:marTop w:val="0"/>
      <w:marBottom w:val="0"/>
      <w:divBdr>
        <w:top w:val="none" w:sz="0" w:space="0" w:color="auto"/>
        <w:left w:val="none" w:sz="0" w:space="0" w:color="auto"/>
        <w:bottom w:val="none" w:sz="0" w:space="0" w:color="auto"/>
        <w:right w:val="none" w:sz="0" w:space="0" w:color="auto"/>
      </w:divBdr>
    </w:div>
    <w:div w:id="1805999171">
      <w:bodyDiv w:val="1"/>
      <w:marLeft w:val="0"/>
      <w:marRight w:val="0"/>
      <w:marTop w:val="0"/>
      <w:marBottom w:val="0"/>
      <w:divBdr>
        <w:top w:val="none" w:sz="0" w:space="0" w:color="auto"/>
        <w:left w:val="none" w:sz="0" w:space="0" w:color="auto"/>
        <w:bottom w:val="none" w:sz="0" w:space="0" w:color="auto"/>
        <w:right w:val="none" w:sz="0" w:space="0" w:color="auto"/>
      </w:divBdr>
    </w:div>
    <w:div w:id="188648377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hart" Target="charts/chart3.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2.xml"/><Relationship Id="rId27" Type="http://schemas.openxmlformats.org/officeDocument/2006/relationships/image" Target="media/image6.png"/><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SORO\SORO%20(C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ORO\SORO%20(CR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SORO\SORO%20(CR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SORO\correlegram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cle%20marcellin\SORO\correlegram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100" b="1"/>
              <a:t>Yield</a:t>
            </a:r>
          </a:p>
        </c:rich>
      </c:tx>
      <c:layout>
        <c:manualLayout>
          <c:xMode val="edge"/>
          <c:yMode val="edge"/>
          <c:x val="0.46409011373578302"/>
          <c:y val="2.7777777777777776E-2"/>
        </c:manualLayout>
      </c:layout>
      <c:overlay val="0"/>
      <c:spPr>
        <a:noFill/>
        <a:ln>
          <a:noFill/>
        </a:ln>
        <a:effectLst/>
      </c:spPr>
      <c:txPr>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Rdt!$C$3</c:f>
              <c:strCache>
                <c:ptCount val="1"/>
                <c:pt idx="0">
                  <c:v>Yield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Pt>
            <c:idx val="0"/>
            <c:invertIfNegative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AEC1-4FE0-B6B5-27908A5FDC2A}"/>
              </c:ext>
            </c:extLst>
          </c:dPt>
          <c:dPt>
            <c:idx val="1"/>
            <c:invertIfNegative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AEC1-4FE0-B6B5-27908A5FDC2A}"/>
              </c:ext>
            </c:extLst>
          </c:dPt>
          <c:dPt>
            <c:idx val="2"/>
            <c:invertIfNegative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AEC1-4FE0-B6B5-27908A5FDC2A}"/>
              </c:ext>
            </c:extLst>
          </c:dPt>
          <c:dPt>
            <c:idx val="3"/>
            <c:invertIfNegative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AEC1-4FE0-B6B5-27908A5FDC2A}"/>
              </c:ext>
            </c:extLst>
          </c:dPt>
          <c:dLbls>
            <c:dLbl>
              <c:idx val="0"/>
              <c:layout>
                <c:manualLayout>
                  <c:x val="0"/>
                  <c:y val="-3.00300300300300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C1-4FE0-B6B5-27908A5FDC2A}"/>
                </c:ext>
              </c:extLst>
            </c:dLbl>
            <c:dLbl>
              <c:idx val="1"/>
              <c:layout>
                <c:manualLayout>
                  <c:x val="0"/>
                  <c:y val="-3.0030030030030058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C1-4FE0-B6B5-27908A5FDC2A}"/>
                </c:ext>
              </c:extLst>
            </c:dLbl>
            <c:dLbl>
              <c:idx val="2"/>
              <c:layout>
                <c:manualLayout>
                  <c:x val="0"/>
                  <c:y val="-2.402402402402402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C1-4FE0-B6B5-27908A5FDC2A}"/>
                </c:ext>
              </c:extLst>
            </c:dLbl>
            <c:dLbl>
              <c:idx val="3"/>
              <c:layout>
                <c:manualLayout>
                  <c:x val="0"/>
                  <c:y val="-2.402402402402402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C1-4FE0-B6B5-27908A5FDC2A}"/>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9050">
                <a:solidFill>
                  <a:schemeClr val="tx1"/>
                </a:solidFill>
              </a:ln>
              <a:effectLst/>
            </c:spPr>
          </c:errBars>
          <c:cat>
            <c:strRef>
              <c:f>Rdt!$B$4:$B$7</c:f>
              <c:strCache>
                <c:ptCount val="4"/>
                <c:pt idx="0">
                  <c:v>E</c:v>
                </c:pt>
                <c:pt idx="1">
                  <c:v>I</c:v>
                </c:pt>
                <c:pt idx="2">
                  <c:v>EI</c:v>
                </c:pt>
                <c:pt idx="3">
                  <c:v>Fs</c:v>
                </c:pt>
              </c:strCache>
            </c:strRef>
          </c:cat>
          <c:val>
            <c:numRef>
              <c:f>Rdt!$C$4:$C$7</c:f>
              <c:numCache>
                <c:formatCode>0.00</c:formatCode>
                <c:ptCount val="4"/>
                <c:pt idx="0">
                  <c:v>79.336666666666673</c:v>
                </c:pt>
                <c:pt idx="1">
                  <c:v>82.163333333333341</c:v>
                </c:pt>
                <c:pt idx="2">
                  <c:v>73.52000000000001</c:v>
                </c:pt>
                <c:pt idx="3">
                  <c:v>76.403333333333336</c:v>
                </c:pt>
              </c:numCache>
            </c:numRef>
          </c:val>
          <c:extLst>
            <c:ext xmlns:c16="http://schemas.microsoft.com/office/drawing/2014/chart" uri="{C3380CC4-5D6E-409C-BE32-E72D297353CC}">
              <c16:uniqueId val="{00000008-AEC1-4FE0-B6B5-27908A5FDC2A}"/>
            </c:ext>
          </c:extLst>
        </c:ser>
        <c:dLbls>
          <c:dLblPos val="outEnd"/>
          <c:showLegendKey val="0"/>
          <c:showVal val="1"/>
          <c:showCatName val="0"/>
          <c:showSerName val="0"/>
          <c:showPercent val="0"/>
          <c:showBubbleSize val="0"/>
        </c:dLbls>
        <c:gapWidth val="100"/>
        <c:overlap val="-24"/>
        <c:axId val="2028141247"/>
        <c:axId val="2028147071"/>
      </c:barChart>
      <c:catAx>
        <c:axId val="2028141247"/>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8147071"/>
        <c:crosses val="autoZero"/>
        <c:auto val="1"/>
        <c:lblAlgn val="ctr"/>
        <c:lblOffset val="100"/>
        <c:noMultiLvlLbl val="0"/>
      </c:catAx>
      <c:valAx>
        <c:axId val="2028147071"/>
        <c:scaling>
          <c:orientation val="minMax"/>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8141247"/>
        <c:crosses val="autoZero"/>
        <c:crossBetween val="between"/>
        <c:majorUnit val="4"/>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fr-FR" sz="1100" b="1"/>
              <a:t>Dry matter</a:t>
            </a:r>
          </a:p>
        </c:rich>
      </c:tx>
      <c:layout>
        <c:manualLayout>
          <c:xMode val="edge"/>
          <c:yMode val="edge"/>
          <c:x val="0.40820134519418527"/>
          <c:y val="0"/>
        </c:manualLayout>
      </c:layout>
      <c:overlay val="0"/>
      <c:spPr>
        <a:noFill/>
        <a:ln>
          <a:noFill/>
        </a:ln>
        <a:effectLst/>
      </c:spPr>
      <c:txPr>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5305555555555551E-2"/>
          <c:y val="0.17222258675998831"/>
          <c:w val="0.88969444444444445"/>
          <c:h val="0.70314778361038199"/>
        </c:manualLayout>
      </c:layout>
      <c:barChart>
        <c:barDir val="col"/>
        <c:grouping val="clustered"/>
        <c:varyColors val="0"/>
        <c:ser>
          <c:idx val="0"/>
          <c:order val="0"/>
          <c:tx>
            <c:strRef>
              <c:f>MS!$C$13</c:f>
              <c:strCache>
                <c:ptCount val="1"/>
                <c:pt idx="0">
                  <c:v>Dry matter</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19050"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layout>
                <c:manualLayout>
                  <c:x val="-1.988839395481535E-17"/>
                  <c:y val="-1.9230769230769173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a</a:t>
                    </a:r>
                  </a:p>
                </c:rich>
              </c:tx>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CB-4579-AF4C-E1FA0E5C0D1D}"/>
                </c:ext>
              </c:extLst>
            </c:dLbl>
            <c:dLbl>
              <c:idx val="1"/>
              <c:layout>
                <c:manualLayout>
                  <c:x val="-3.9776787909630701E-17"/>
                  <c:y val="-1.9230769230769201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d</a:t>
                    </a:r>
                  </a:p>
                </c:rich>
              </c:tx>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CB-4579-AF4C-E1FA0E5C0D1D}"/>
                </c:ext>
              </c:extLst>
            </c:dLbl>
            <c:dLbl>
              <c:idx val="2"/>
              <c:layout>
                <c:manualLayout>
                  <c:x val="0"/>
                  <c:y val="-2.5641025641025699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c</a:t>
                    </a:r>
                  </a:p>
                </c:rich>
              </c:tx>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CB-4579-AF4C-E1FA0E5C0D1D}"/>
                </c:ext>
              </c:extLst>
            </c:dLbl>
            <c:dLbl>
              <c:idx val="3"/>
              <c:layout>
                <c:manualLayout>
                  <c:x val="-4.3393360815795184E-3"/>
                  <c:y val="-2.5641025641025671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d</a:t>
                    </a:r>
                  </a:p>
                </c:rich>
              </c:tx>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CB-4579-AF4C-E1FA0E5C0D1D}"/>
                </c:ext>
              </c:extLst>
            </c:dLbl>
            <c:dLbl>
              <c:idx val="4"/>
              <c:layout>
                <c:manualLayout>
                  <c:x val="-1.591071516385228E-16"/>
                  <c:y val="-2.564102564102564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b</a:t>
                    </a:r>
                  </a:p>
                </c:rich>
              </c:tx>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CB-4579-AF4C-E1FA0E5C0D1D}"/>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9050">
                <a:solidFill>
                  <a:schemeClr val="tx1"/>
                </a:solidFill>
              </a:ln>
              <a:effectLst/>
            </c:spPr>
          </c:errBars>
          <c:cat>
            <c:strRef>
              <c:f>MS!$B$14:$B$18</c:f>
              <c:strCache>
                <c:ptCount val="5"/>
                <c:pt idx="0">
                  <c:v>Raw</c:v>
                </c:pt>
                <c:pt idx="1">
                  <c:v>E</c:v>
                </c:pt>
                <c:pt idx="2">
                  <c:v>I</c:v>
                </c:pt>
                <c:pt idx="3">
                  <c:v>EI</c:v>
                </c:pt>
                <c:pt idx="4">
                  <c:v>Fs</c:v>
                </c:pt>
              </c:strCache>
            </c:strRef>
          </c:cat>
          <c:val>
            <c:numRef>
              <c:f>MS!$C$14:$C$18</c:f>
              <c:numCache>
                <c:formatCode>0.00</c:formatCode>
                <c:ptCount val="5"/>
                <c:pt idx="0">
                  <c:v>88.66</c:v>
                </c:pt>
                <c:pt idx="1">
                  <c:v>91.48</c:v>
                </c:pt>
                <c:pt idx="2">
                  <c:v>91.18</c:v>
                </c:pt>
                <c:pt idx="3">
                  <c:v>91.5</c:v>
                </c:pt>
                <c:pt idx="4">
                  <c:v>91.039999999999992</c:v>
                </c:pt>
              </c:numCache>
            </c:numRef>
          </c:val>
          <c:extLst>
            <c:ext xmlns:c16="http://schemas.microsoft.com/office/drawing/2014/chart" uri="{C3380CC4-5D6E-409C-BE32-E72D297353CC}">
              <c16:uniqueId val="{00000005-EECB-4579-AF4C-E1FA0E5C0D1D}"/>
            </c:ext>
          </c:extLst>
        </c:ser>
        <c:dLbls>
          <c:dLblPos val="outEnd"/>
          <c:showLegendKey val="0"/>
          <c:showVal val="1"/>
          <c:showCatName val="0"/>
          <c:showSerName val="0"/>
          <c:showPercent val="0"/>
          <c:showBubbleSize val="0"/>
        </c:dLbls>
        <c:gapWidth val="100"/>
        <c:overlap val="-24"/>
        <c:axId val="1708078784"/>
        <c:axId val="1708077344"/>
      </c:barChart>
      <c:catAx>
        <c:axId val="17080787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08077344"/>
        <c:crosses val="autoZero"/>
        <c:auto val="1"/>
        <c:lblAlgn val="ctr"/>
        <c:lblOffset val="100"/>
        <c:noMultiLvlLbl val="0"/>
      </c:catAx>
      <c:valAx>
        <c:axId val="1708077344"/>
        <c:scaling>
          <c:orientation val="minMax"/>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08078784"/>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100" b="1"/>
              <a:t>Protein</a:t>
            </a:r>
          </a:p>
        </c:rich>
      </c:tx>
      <c:layout>
        <c:manualLayout>
          <c:xMode val="edge"/>
          <c:yMode val="edge"/>
          <c:x val="0.40684521724869011"/>
          <c:y val="0"/>
        </c:manualLayout>
      </c:layout>
      <c:overlay val="0"/>
      <c:spPr>
        <a:noFill/>
        <a:ln>
          <a:noFill/>
        </a:ln>
        <a:effectLst/>
      </c:spPr>
      <c:txPr>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9.8546322412670861E-2"/>
          <c:y val="0.11964331969420854"/>
          <c:w val="0.85372098068995439"/>
          <c:h val="0.68563674082224446"/>
        </c:manualLayout>
      </c:layout>
      <c:barChart>
        <c:barDir val="col"/>
        <c:grouping val="clustered"/>
        <c:varyColors val="0"/>
        <c:ser>
          <c:idx val="0"/>
          <c:order val="0"/>
          <c:tx>
            <c:strRef>
              <c:f>PT!$B$3</c:f>
              <c:strCache>
                <c:ptCount val="1"/>
                <c:pt idx="0">
                  <c:v>Proteins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19050"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4C-4433-BE75-C5614F4D897A}"/>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4C-4433-BE75-C5614F4D897A}"/>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4C-4433-BE75-C5614F4D897A}"/>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4C-4433-BE75-C5614F4D897A}"/>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4C-4433-BE75-C5614F4D897A}"/>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fixedVal"/>
            <c:noEndCap val="0"/>
            <c:val val="0.2"/>
            <c:spPr>
              <a:noFill/>
              <a:ln w="19050">
                <a:solidFill>
                  <a:schemeClr val="tx1"/>
                </a:solidFill>
              </a:ln>
              <a:effectLst/>
            </c:spPr>
          </c:errBars>
          <c:cat>
            <c:strRef>
              <c:f>PT!$A$4:$A$8</c:f>
              <c:strCache>
                <c:ptCount val="5"/>
                <c:pt idx="0">
                  <c:v>Raw</c:v>
                </c:pt>
                <c:pt idx="1">
                  <c:v>E</c:v>
                </c:pt>
                <c:pt idx="2">
                  <c:v>I</c:v>
                </c:pt>
                <c:pt idx="3">
                  <c:v>EI</c:v>
                </c:pt>
                <c:pt idx="4">
                  <c:v>Fs</c:v>
                </c:pt>
              </c:strCache>
            </c:strRef>
          </c:cat>
          <c:val>
            <c:numRef>
              <c:f>PT!$B$4:$B$8</c:f>
              <c:numCache>
                <c:formatCode>0.00</c:formatCode>
                <c:ptCount val="5"/>
                <c:pt idx="0">
                  <c:v>3.7233333333333336</c:v>
                </c:pt>
                <c:pt idx="1">
                  <c:v>0.68666666666666676</c:v>
                </c:pt>
                <c:pt idx="2">
                  <c:v>1.2533333333333334</c:v>
                </c:pt>
                <c:pt idx="3">
                  <c:v>1.1533333333333333</c:v>
                </c:pt>
                <c:pt idx="4">
                  <c:v>0.22666666666666666</c:v>
                </c:pt>
              </c:numCache>
            </c:numRef>
          </c:val>
          <c:extLst>
            <c:ext xmlns:c16="http://schemas.microsoft.com/office/drawing/2014/chart" uri="{C3380CC4-5D6E-409C-BE32-E72D297353CC}">
              <c16:uniqueId val="{00000005-494C-4433-BE75-C5614F4D897A}"/>
            </c:ext>
          </c:extLst>
        </c:ser>
        <c:dLbls>
          <c:dLblPos val="outEnd"/>
          <c:showLegendKey val="0"/>
          <c:showVal val="1"/>
          <c:showCatName val="0"/>
          <c:showSerName val="0"/>
          <c:showPercent val="0"/>
          <c:showBubbleSize val="0"/>
        </c:dLbls>
        <c:gapWidth val="100"/>
        <c:overlap val="-24"/>
        <c:axId val="1499341136"/>
        <c:axId val="1499338736"/>
      </c:barChart>
      <c:catAx>
        <c:axId val="14993411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99338736"/>
        <c:crosses val="autoZero"/>
        <c:auto val="1"/>
        <c:lblAlgn val="ctr"/>
        <c:lblOffset val="100"/>
        <c:noMultiLvlLbl val="0"/>
      </c:catAx>
      <c:valAx>
        <c:axId val="1499338736"/>
        <c:scaling>
          <c:orientation val="minMax"/>
          <c:min val="0"/>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99341136"/>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100" b="1"/>
              <a:t>Water solubility index</a:t>
            </a:r>
            <a:endParaRPr lang="fr-FR" sz="1100" b="1"/>
          </a:p>
        </c:rich>
      </c:tx>
      <c:layout>
        <c:manualLayout>
          <c:xMode val="edge"/>
          <c:yMode val="edge"/>
          <c:x val="0.40579805241736089"/>
          <c:y val="2.9135462870634621E-2"/>
        </c:manualLayout>
      </c:layout>
      <c:overlay val="0"/>
      <c:spPr>
        <a:noFill/>
        <a:ln>
          <a:noFill/>
        </a:ln>
        <a:effectLst/>
      </c:spPr>
      <c:txPr>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Feuil1!$T$12</c:f>
              <c:strCache>
                <c:ptCount val="1"/>
                <c:pt idx="0">
                  <c:v>Solubility (25°C)</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19050"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90-4FBB-8037-4D0EB82F7D78}"/>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90-4FBB-8037-4D0EB82F7D78}"/>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90-4FBB-8037-4D0EB82F7D78}"/>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90-4FBB-8037-4D0EB82F7D78}"/>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90-4FBB-8037-4D0EB82F7D78}"/>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9050">
                <a:solidFill>
                  <a:schemeClr val="tx1"/>
                </a:solidFill>
              </a:ln>
              <a:effectLst/>
            </c:spPr>
          </c:errBars>
          <c:cat>
            <c:strRef>
              <c:f>Feuil1!$S$13:$S$17</c:f>
              <c:strCache>
                <c:ptCount val="5"/>
                <c:pt idx="0">
                  <c:v>Raw</c:v>
                </c:pt>
                <c:pt idx="1">
                  <c:v>E   </c:v>
                </c:pt>
                <c:pt idx="2">
                  <c:v>I</c:v>
                </c:pt>
                <c:pt idx="3">
                  <c:v>EI</c:v>
                </c:pt>
                <c:pt idx="4">
                  <c:v>Fs</c:v>
                </c:pt>
              </c:strCache>
            </c:strRef>
          </c:cat>
          <c:val>
            <c:numRef>
              <c:f>Feuil1!$T$13:$T$17</c:f>
              <c:numCache>
                <c:formatCode>0.00000</c:formatCode>
                <c:ptCount val="5"/>
                <c:pt idx="0">
                  <c:v>69.506666666666661</c:v>
                </c:pt>
                <c:pt idx="1">
                  <c:v>82.373333333333335</c:v>
                </c:pt>
                <c:pt idx="2">
                  <c:v>73.833333333333329</c:v>
                </c:pt>
                <c:pt idx="3">
                  <c:v>77.24666666666667</c:v>
                </c:pt>
                <c:pt idx="4">
                  <c:v>86.26666666666668</c:v>
                </c:pt>
              </c:numCache>
            </c:numRef>
          </c:val>
          <c:extLst>
            <c:ext xmlns:c16="http://schemas.microsoft.com/office/drawing/2014/chart" uri="{C3380CC4-5D6E-409C-BE32-E72D297353CC}">
              <c16:uniqueId val="{00000005-8A90-4FBB-8037-4D0EB82F7D78}"/>
            </c:ext>
          </c:extLst>
        </c:ser>
        <c:ser>
          <c:idx val="1"/>
          <c:order val="1"/>
          <c:tx>
            <c:strRef>
              <c:f>Feuil1!$U$12</c:f>
              <c:strCache>
                <c:ptCount val="1"/>
                <c:pt idx="0">
                  <c:v>Solubility (80°C)</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19050"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A90-4FBB-8037-4D0EB82F7D78}"/>
                </c:ext>
              </c:extLst>
            </c:dLbl>
            <c:dLbl>
              <c:idx val="1"/>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90-4FBB-8037-4D0EB82F7D78}"/>
                </c:ext>
              </c:extLst>
            </c:dLbl>
            <c:dLbl>
              <c:idx val="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A90-4FBB-8037-4D0EB82F7D78}"/>
                </c:ext>
              </c:extLst>
            </c:dLbl>
            <c:dLbl>
              <c:idx val="3"/>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A90-4FBB-8037-4D0EB82F7D78}"/>
                </c:ext>
              </c:extLst>
            </c:dLbl>
            <c:dLbl>
              <c:idx val="4"/>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A90-4FBB-8037-4D0EB82F7D78}"/>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9050">
                <a:solidFill>
                  <a:schemeClr val="tx1"/>
                </a:solidFill>
              </a:ln>
              <a:effectLst/>
            </c:spPr>
          </c:errBars>
          <c:cat>
            <c:strRef>
              <c:f>Feuil1!$S$13:$S$17</c:f>
              <c:strCache>
                <c:ptCount val="5"/>
                <c:pt idx="0">
                  <c:v>Raw</c:v>
                </c:pt>
                <c:pt idx="1">
                  <c:v>E   </c:v>
                </c:pt>
                <c:pt idx="2">
                  <c:v>I</c:v>
                </c:pt>
                <c:pt idx="3">
                  <c:v>EI</c:v>
                </c:pt>
                <c:pt idx="4">
                  <c:v>Fs</c:v>
                </c:pt>
              </c:strCache>
            </c:strRef>
          </c:cat>
          <c:val>
            <c:numRef>
              <c:f>Feuil1!$U$13:$U$17</c:f>
              <c:numCache>
                <c:formatCode>0.00000</c:formatCode>
                <c:ptCount val="5"/>
                <c:pt idx="0">
                  <c:v>74.486666666666665</c:v>
                </c:pt>
                <c:pt idx="1">
                  <c:v>90.783333333333331</c:v>
                </c:pt>
                <c:pt idx="2">
                  <c:v>85.756666666666675</c:v>
                </c:pt>
                <c:pt idx="3">
                  <c:v>88.73</c:v>
                </c:pt>
                <c:pt idx="4">
                  <c:v>94.61</c:v>
                </c:pt>
              </c:numCache>
            </c:numRef>
          </c:val>
          <c:extLst>
            <c:ext xmlns:c16="http://schemas.microsoft.com/office/drawing/2014/chart" uri="{C3380CC4-5D6E-409C-BE32-E72D297353CC}">
              <c16:uniqueId val="{0000000B-8A90-4FBB-8037-4D0EB82F7D78}"/>
            </c:ext>
          </c:extLst>
        </c:ser>
        <c:dLbls>
          <c:dLblPos val="outEnd"/>
          <c:showLegendKey val="0"/>
          <c:showVal val="1"/>
          <c:showCatName val="0"/>
          <c:showSerName val="0"/>
          <c:showPercent val="0"/>
          <c:showBubbleSize val="0"/>
        </c:dLbls>
        <c:gapWidth val="100"/>
        <c:overlap val="-24"/>
        <c:axId val="1502739440"/>
        <c:axId val="1502736080"/>
      </c:barChart>
      <c:catAx>
        <c:axId val="1502739440"/>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02736080"/>
        <c:crosses val="autoZero"/>
        <c:auto val="1"/>
        <c:lblAlgn val="ctr"/>
        <c:lblOffset val="100"/>
        <c:noMultiLvlLbl val="0"/>
      </c:catAx>
      <c:valAx>
        <c:axId val="1502736080"/>
        <c:scaling>
          <c:orientation val="minMax"/>
        </c:scaling>
        <c:delete val="0"/>
        <c:axPos val="l"/>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02739440"/>
        <c:crosses val="autoZero"/>
        <c:crossBetween val="between"/>
        <c:majorUnit val="4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100" b="1"/>
              <a:t>Water Holding capacity</a:t>
            </a:r>
            <a:endParaRPr lang="fr-FR" sz="1100" b="1"/>
          </a:p>
        </c:rich>
      </c:tx>
      <c:layout>
        <c:manualLayout>
          <c:xMode val="edge"/>
          <c:yMode val="edge"/>
          <c:x val="0.2522671322626221"/>
          <c:y val="0"/>
        </c:manualLayout>
      </c:layout>
      <c:overlay val="0"/>
      <c:spPr>
        <a:noFill/>
        <a:ln>
          <a:noFill/>
        </a:ln>
        <a:effectLst/>
      </c:spPr>
      <c:txPr>
        <a:bodyPr rot="0" spcFirstLastPara="1" vertOverflow="ellipsis" vert="horz" wrap="square" anchor="ctr" anchorCtr="1"/>
        <a:lstStyle/>
        <a:p>
          <a:pPr>
            <a:defRPr sz="11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19050"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BE-4664-B1AE-4BA35AED36EB}"/>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BE-4664-B1AE-4BA35AED36EB}"/>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BE-4664-B1AE-4BA35AED36EB}"/>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BE-4664-B1AE-4BA35AED36EB}"/>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BE-4664-B1AE-4BA35AED36EB}"/>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9050">
                <a:solidFill>
                  <a:schemeClr val="tx1"/>
                </a:solidFill>
              </a:ln>
              <a:effectLst/>
            </c:spPr>
          </c:errBars>
          <c:cat>
            <c:strRef>
              <c:f>Feuil1!$C$12:$C$16</c:f>
              <c:strCache>
                <c:ptCount val="5"/>
                <c:pt idx="0">
                  <c:v>Raw</c:v>
                </c:pt>
                <c:pt idx="1">
                  <c:v>E   </c:v>
                </c:pt>
                <c:pt idx="2">
                  <c:v>I</c:v>
                </c:pt>
                <c:pt idx="3">
                  <c:v>EI</c:v>
                </c:pt>
                <c:pt idx="4">
                  <c:v>Fs</c:v>
                </c:pt>
              </c:strCache>
            </c:strRef>
          </c:cat>
          <c:val>
            <c:numRef>
              <c:f>Feuil1!$D$12:$D$16</c:f>
              <c:numCache>
                <c:formatCode>0.000000</c:formatCode>
                <c:ptCount val="5"/>
                <c:pt idx="0">
                  <c:v>1.35</c:v>
                </c:pt>
                <c:pt idx="1">
                  <c:v>1.9200000000000002</c:v>
                </c:pt>
                <c:pt idx="2">
                  <c:v>1.58</c:v>
                </c:pt>
                <c:pt idx="3">
                  <c:v>1.7933333333333334</c:v>
                </c:pt>
                <c:pt idx="4">
                  <c:v>2.0366666666666666</c:v>
                </c:pt>
              </c:numCache>
            </c:numRef>
          </c:val>
          <c:extLst>
            <c:ext xmlns:c16="http://schemas.microsoft.com/office/drawing/2014/chart" uri="{C3380CC4-5D6E-409C-BE32-E72D297353CC}">
              <c16:uniqueId val="{00000005-E7BE-4664-B1AE-4BA35AED36EB}"/>
            </c:ext>
          </c:extLst>
        </c:ser>
        <c:dLbls>
          <c:dLblPos val="outEnd"/>
          <c:showLegendKey val="0"/>
          <c:showVal val="1"/>
          <c:showCatName val="0"/>
          <c:showSerName val="0"/>
          <c:showPercent val="0"/>
          <c:showBubbleSize val="0"/>
        </c:dLbls>
        <c:gapWidth val="100"/>
        <c:overlap val="-24"/>
        <c:axId val="961081136"/>
        <c:axId val="961076816"/>
      </c:barChart>
      <c:catAx>
        <c:axId val="9610811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61076816"/>
        <c:crosses val="autoZero"/>
        <c:auto val="1"/>
        <c:lblAlgn val="ctr"/>
        <c:lblOffset val="100"/>
        <c:noMultiLvlLbl val="0"/>
      </c:catAx>
      <c:valAx>
        <c:axId val="961076816"/>
        <c:scaling>
          <c:orientation val="minMax"/>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61081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782C-59FC-492A-A46C-41EB8AB2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21</Pages>
  <Words>26604</Words>
  <Characters>151645</Characters>
  <Application>Microsoft Office Word</Application>
  <DocSecurity>0</DocSecurity>
  <Lines>1263</Lines>
  <Paragraphs>355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177894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2025-09-03T17:34:00Z</dcterms:created>
  <dcterms:modified xsi:type="dcterms:W3CDTF">2025-09-06T07:25:00Z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id="wp0Dc69N"/&gt;&lt;style id="http://www.zotero.org/styles/apa" locale="fr-FR" hasBibliography="1" bibliographyStyleHasBeenSet="1"/&gt;&lt;prefs&gt;&lt;pref name="fieldType" value="Field"/&gt;&lt;/prefs&gt;&lt;/data&gt;</vt:lpwstr>
  </property>
</Properties>
</file>