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F1C30" w14:textId="7E37833C" w:rsidR="00754C9A" w:rsidRPr="004B5F1D" w:rsidRDefault="004B5F1D" w:rsidP="00441B6F">
      <w:pPr>
        <w:pStyle w:val="Title"/>
        <w:spacing w:after="0"/>
        <w:jc w:val="both"/>
        <w:rPr>
          <w:rFonts w:ascii="Arial" w:hAnsi="Arial" w:cs="Arial"/>
          <w:color w:val="000000" w:themeColor="text1"/>
          <w:u w:val="single"/>
        </w:rPr>
      </w:pPr>
      <w:r w:rsidRPr="004B5F1D">
        <w:rPr>
          <w:rFonts w:ascii="Arial" w:hAnsi="Arial" w:cs="Arial"/>
          <w:color w:val="000000" w:themeColor="text1"/>
          <w:u w:val="single"/>
        </w:rPr>
        <w:t>Original Research Article</w:t>
      </w:r>
    </w:p>
    <w:p w14:paraId="1959218D" w14:textId="77777777" w:rsidR="00163BC4" w:rsidRPr="008E235D" w:rsidRDefault="00BD28C3" w:rsidP="00441B6F">
      <w:pPr>
        <w:pStyle w:val="Author"/>
        <w:spacing w:line="240" w:lineRule="auto"/>
        <w:rPr>
          <w:rFonts w:ascii="Arial" w:hAnsi="Arial" w:cs="Arial"/>
          <w:bCs/>
          <w:iCs/>
          <w:color w:val="000000" w:themeColor="text1"/>
          <w:kern w:val="28"/>
          <w:sz w:val="36"/>
        </w:rPr>
      </w:pPr>
      <w:r w:rsidRPr="008E235D">
        <w:rPr>
          <w:rFonts w:ascii="Arial" w:hAnsi="Arial" w:cs="Arial"/>
          <w:bCs/>
          <w:iCs/>
          <w:color w:val="000000" w:themeColor="text1"/>
          <w:kern w:val="28"/>
          <w:sz w:val="36"/>
        </w:rPr>
        <w:t xml:space="preserve">Exploring the role of Probiotics and Antioxidants in combination with </w:t>
      </w:r>
      <w:r w:rsidR="00B33460" w:rsidRPr="008E235D">
        <w:rPr>
          <w:rFonts w:ascii="Arial" w:hAnsi="Arial" w:cs="Arial"/>
          <w:bCs/>
          <w:iCs/>
          <w:color w:val="000000" w:themeColor="text1"/>
          <w:kern w:val="28"/>
          <w:sz w:val="36"/>
        </w:rPr>
        <w:t>Citalopram hydrobromide</w:t>
      </w:r>
      <w:r w:rsidRPr="008E235D">
        <w:rPr>
          <w:rFonts w:ascii="Arial" w:hAnsi="Arial" w:cs="Arial"/>
          <w:bCs/>
          <w:iCs/>
          <w:color w:val="000000" w:themeColor="text1"/>
          <w:kern w:val="28"/>
          <w:sz w:val="36"/>
        </w:rPr>
        <w:t xml:space="preserve"> for Depression therapy: A Preclinical study in Swiss Albino Mice model</w:t>
      </w:r>
    </w:p>
    <w:p w14:paraId="0B68D5F9" w14:textId="77777777" w:rsidR="00A258C3" w:rsidRPr="008E235D" w:rsidRDefault="00A258C3" w:rsidP="00441B6F">
      <w:pPr>
        <w:pStyle w:val="Author"/>
        <w:spacing w:line="240" w:lineRule="auto"/>
        <w:jc w:val="both"/>
        <w:rPr>
          <w:rFonts w:ascii="Arial" w:hAnsi="Arial" w:cs="Arial"/>
          <w:color w:val="000000" w:themeColor="text1"/>
          <w:sz w:val="36"/>
        </w:rPr>
      </w:pPr>
    </w:p>
    <w:p w14:paraId="5D3FFE94" w14:textId="77777777" w:rsidR="002C57D2" w:rsidRPr="008E235D" w:rsidRDefault="002C57D2" w:rsidP="00441B6F">
      <w:pPr>
        <w:pStyle w:val="Affiliation"/>
        <w:spacing w:after="0" w:line="240" w:lineRule="auto"/>
        <w:jc w:val="both"/>
        <w:rPr>
          <w:rFonts w:ascii="Arial" w:hAnsi="Arial" w:cs="Arial"/>
          <w:color w:val="000000" w:themeColor="text1"/>
        </w:rPr>
      </w:pPr>
    </w:p>
    <w:p w14:paraId="7B164DE7" w14:textId="77777777" w:rsidR="00B01FCD" w:rsidRPr="008E235D" w:rsidRDefault="00285D04" w:rsidP="00441B6F">
      <w:pPr>
        <w:pStyle w:val="Copyright"/>
        <w:spacing w:after="0" w:line="240" w:lineRule="auto"/>
        <w:jc w:val="both"/>
        <w:rPr>
          <w:rFonts w:ascii="Arial" w:hAnsi="Arial" w:cs="Arial"/>
          <w:color w:val="000000" w:themeColor="text1"/>
        </w:rPr>
        <w:sectPr w:rsidR="00B01FCD" w:rsidRPr="008E235D" w:rsidSect="00FB5E5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color w:val="000000" w:themeColor="text1"/>
        </w:rPr>
      </w:r>
      <w:r>
        <w:rPr>
          <w:rFonts w:ascii="Arial" w:hAnsi="Arial" w:cs="Arial"/>
          <w:color w:val="000000" w:themeColor="text1"/>
        </w:rPr>
        <w:pict w14:anchorId="3633037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8E235D">
        <w:rPr>
          <w:rFonts w:ascii="Arial" w:hAnsi="Arial" w:cs="Arial"/>
          <w:color w:val="000000" w:themeColor="text1"/>
        </w:rPr>
        <w:t>.</w:t>
      </w:r>
    </w:p>
    <w:p w14:paraId="21B78477" w14:textId="77777777" w:rsidR="00B01FCD" w:rsidRPr="008E235D" w:rsidRDefault="00B01FCD" w:rsidP="00441B6F">
      <w:pPr>
        <w:pStyle w:val="AbstHead"/>
        <w:spacing w:after="0"/>
        <w:jc w:val="both"/>
        <w:rPr>
          <w:rFonts w:ascii="Arial" w:hAnsi="Arial" w:cs="Arial"/>
          <w:color w:val="000000" w:themeColor="text1"/>
        </w:rPr>
      </w:pPr>
      <w:r w:rsidRPr="008E235D">
        <w:rPr>
          <w:rFonts w:ascii="Arial" w:hAnsi="Arial" w:cs="Arial"/>
          <w:color w:val="000000" w:themeColor="text1"/>
        </w:rPr>
        <w:t>ABSTRACT</w:t>
      </w:r>
    </w:p>
    <w:p w14:paraId="1861924A" w14:textId="77777777" w:rsidR="00790ADA" w:rsidRPr="008E235D"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8E235D" w14:paraId="4358C29C" w14:textId="77777777" w:rsidTr="001E44FE">
        <w:tc>
          <w:tcPr>
            <w:tcW w:w="9576" w:type="dxa"/>
            <w:shd w:val="clear" w:color="auto" w:fill="F2F2F2"/>
          </w:tcPr>
          <w:p w14:paraId="7235D82D" w14:textId="77777777" w:rsidR="00876784" w:rsidRPr="008E235D" w:rsidRDefault="00876784" w:rsidP="00441B6F">
            <w:pPr>
              <w:pStyle w:val="Body"/>
              <w:spacing w:after="0"/>
              <w:rPr>
                <w:rFonts w:ascii="Arial" w:eastAsia="Calibri" w:hAnsi="Arial" w:cs="Arial"/>
                <w:b/>
                <w:color w:val="000000" w:themeColor="text1"/>
                <w:szCs w:val="22"/>
              </w:rPr>
            </w:pPr>
            <w:r w:rsidRPr="008E235D">
              <w:rPr>
                <w:rFonts w:ascii="Arial" w:eastAsia="Calibri" w:hAnsi="Arial" w:cs="Arial"/>
                <w:b/>
                <w:color w:val="000000" w:themeColor="text1"/>
                <w:szCs w:val="22"/>
              </w:rPr>
              <w:t xml:space="preserve">Background: </w:t>
            </w:r>
            <w:r w:rsidRPr="008E235D">
              <w:rPr>
                <w:rFonts w:ascii="Arial" w:eastAsia="Calibri" w:hAnsi="Arial" w:cs="Arial"/>
                <w:color w:val="000000" w:themeColor="text1"/>
                <w:szCs w:val="22"/>
              </w:rPr>
              <w:t xml:space="preserve">Depression is a leading cause of disability worldwide, characterized by mood disturbances and neurobiological alterations. The gut–brain axis and oxidative stress have emerged as critical factors in its pathophysiology. Probiotics, through microbiome modulation, and vitamin C, via antioxidant effects, have shown potential to improve depressive symptoms. </w:t>
            </w:r>
            <w:r w:rsidR="00B33460" w:rsidRPr="008E235D">
              <w:rPr>
                <w:rFonts w:ascii="Arial" w:eastAsia="Calibri" w:hAnsi="Arial" w:cs="Arial"/>
                <w:color w:val="000000" w:themeColor="text1"/>
                <w:szCs w:val="22"/>
              </w:rPr>
              <w:t>Citalopram hydrobromide</w:t>
            </w:r>
            <w:r w:rsidRPr="008E235D">
              <w:rPr>
                <w:rFonts w:ascii="Arial" w:eastAsia="Calibri" w:hAnsi="Arial" w:cs="Arial"/>
                <w:color w:val="000000" w:themeColor="text1"/>
                <w:szCs w:val="22"/>
              </w:rPr>
              <w:t>, a selective serotonin reuptake inhibitor, is widely used but has limitations, including delayed therapeutic onset and partial remission.</w:t>
            </w:r>
          </w:p>
          <w:p w14:paraId="16B33880" w14:textId="77777777" w:rsidR="00BA1B01" w:rsidRPr="008E235D" w:rsidRDefault="00BA1B01" w:rsidP="00441B6F">
            <w:pPr>
              <w:pStyle w:val="Body"/>
              <w:spacing w:after="0"/>
              <w:rPr>
                <w:rFonts w:ascii="Arial" w:eastAsia="Calibri" w:hAnsi="Arial" w:cs="Arial"/>
                <w:color w:val="000000" w:themeColor="text1"/>
                <w:szCs w:val="22"/>
              </w:rPr>
            </w:pPr>
            <w:r w:rsidRPr="008E235D">
              <w:rPr>
                <w:rFonts w:ascii="Arial" w:eastAsia="Calibri" w:hAnsi="Arial" w:cs="Arial"/>
                <w:b/>
                <w:color w:val="000000" w:themeColor="text1"/>
                <w:szCs w:val="22"/>
              </w:rPr>
              <w:t xml:space="preserve">Aims: </w:t>
            </w:r>
            <w:r w:rsidR="00876784" w:rsidRPr="008E235D">
              <w:rPr>
                <w:rFonts w:ascii="Arial" w:eastAsia="Calibri" w:hAnsi="Arial" w:cs="Arial"/>
                <w:color w:val="000000" w:themeColor="text1"/>
                <w:szCs w:val="22"/>
              </w:rPr>
              <w:t xml:space="preserve">This study aimed to investigate whether adjunctive administration of probiotics and vitamin C could enhance the antidepressant efficacy of </w:t>
            </w:r>
            <w:r w:rsidR="00B33460" w:rsidRPr="008E235D">
              <w:rPr>
                <w:rFonts w:ascii="Arial" w:eastAsia="Calibri" w:hAnsi="Arial" w:cs="Arial"/>
                <w:color w:val="000000" w:themeColor="text1"/>
                <w:szCs w:val="22"/>
              </w:rPr>
              <w:t>citalopram hydrobromide</w:t>
            </w:r>
            <w:r w:rsidR="00876784" w:rsidRPr="008E235D">
              <w:rPr>
                <w:rFonts w:ascii="Arial" w:eastAsia="Calibri" w:hAnsi="Arial" w:cs="Arial"/>
                <w:color w:val="000000" w:themeColor="text1"/>
                <w:szCs w:val="22"/>
              </w:rPr>
              <w:t xml:space="preserve"> in a stress-induced murine model of depression.</w:t>
            </w:r>
          </w:p>
          <w:p w14:paraId="748B4D9B" w14:textId="77777777" w:rsidR="00BA1B01" w:rsidRPr="008E235D" w:rsidRDefault="00B15A02" w:rsidP="00441B6F">
            <w:pPr>
              <w:pStyle w:val="Body"/>
              <w:spacing w:after="0"/>
              <w:rPr>
                <w:rFonts w:ascii="Arial" w:eastAsia="Calibri" w:hAnsi="Arial" w:cs="Arial"/>
                <w:color w:val="000000" w:themeColor="text1"/>
                <w:szCs w:val="22"/>
              </w:rPr>
            </w:pPr>
            <w:r>
              <w:rPr>
                <w:rFonts w:ascii="Arial" w:eastAsia="Calibri" w:hAnsi="Arial" w:cs="Arial"/>
                <w:b/>
                <w:bCs/>
                <w:color w:val="000000" w:themeColor="text1"/>
                <w:szCs w:val="22"/>
              </w:rPr>
              <w:t>Materials and methods</w:t>
            </w:r>
            <w:r w:rsidR="00BA1B01" w:rsidRPr="008E235D">
              <w:rPr>
                <w:rFonts w:ascii="Arial" w:eastAsia="Calibri" w:hAnsi="Arial" w:cs="Arial"/>
                <w:b/>
                <w:bCs/>
                <w:color w:val="000000" w:themeColor="text1"/>
                <w:szCs w:val="22"/>
              </w:rPr>
              <w:t>:</w:t>
            </w:r>
            <w:r w:rsidR="00BA1B01" w:rsidRPr="008E235D">
              <w:rPr>
                <w:rFonts w:ascii="Arial" w:eastAsia="Calibri" w:hAnsi="Arial" w:cs="Arial"/>
                <w:color w:val="000000" w:themeColor="text1"/>
                <w:szCs w:val="22"/>
              </w:rPr>
              <w:t xml:space="preserve"> </w:t>
            </w:r>
            <w:r w:rsidR="00876784" w:rsidRPr="008E235D">
              <w:rPr>
                <w:rFonts w:ascii="Arial" w:eastAsia="Calibri" w:hAnsi="Arial" w:cs="Arial"/>
                <w:color w:val="000000" w:themeColor="text1"/>
                <w:szCs w:val="22"/>
              </w:rPr>
              <w:t>Adult Swiss albino mice (n=12) were randomized into four groups: vehicle control, stress control, standard (</w:t>
            </w:r>
            <w:r w:rsidR="00B33460" w:rsidRPr="008E235D">
              <w:rPr>
                <w:rFonts w:ascii="Arial" w:eastAsia="Calibri" w:hAnsi="Arial" w:cs="Arial"/>
                <w:color w:val="000000" w:themeColor="text1"/>
                <w:szCs w:val="22"/>
              </w:rPr>
              <w:t>citalopram hydrobromide</w:t>
            </w:r>
            <w:r w:rsidR="00876784" w:rsidRPr="008E235D">
              <w:rPr>
                <w:rFonts w:ascii="Arial" w:eastAsia="Calibri" w:hAnsi="Arial" w:cs="Arial"/>
                <w:color w:val="000000" w:themeColor="text1"/>
                <w:szCs w:val="22"/>
              </w:rPr>
              <w:t xml:space="preserve"> 10 mg/kg), and test (</w:t>
            </w:r>
            <w:r w:rsidR="00B33460" w:rsidRPr="008E235D">
              <w:rPr>
                <w:rFonts w:ascii="Arial" w:eastAsia="Calibri" w:hAnsi="Arial" w:cs="Arial"/>
                <w:color w:val="000000" w:themeColor="text1"/>
                <w:szCs w:val="22"/>
              </w:rPr>
              <w:t>citalopram hydrobromide</w:t>
            </w:r>
            <w:r w:rsidR="00876784" w:rsidRPr="008E235D">
              <w:rPr>
                <w:rFonts w:ascii="Arial" w:eastAsia="Calibri" w:hAnsi="Arial" w:cs="Arial"/>
                <w:color w:val="000000" w:themeColor="text1"/>
                <w:szCs w:val="22"/>
              </w:rPr>
              <w:t xml:space="preserve"> + probiotics + vitamin C). Stress was induced using deprivation and cold-water swim protocols over four weeks. Antidepressant activity was evaluated through the forced swim test, tail suspension test, and locomotor activity using an </w:t>
            </w:r>
            <w:proofErr w:type="spellStart"/>
            <w:r w:rsidR="00876784" w:rsidRPr="008E235D">
              <w:rPr>
                <w:rFonts w:ascii="Arial" w:eastAsia="Calibri" w:hAnsi="Arial" w:cs="Arial"/>
                <w:color w:val="000000" w:themeColor="text1"/>
                <w:szCs w:val="22"/>
              </w:rPr>
              <w:t>actophotometer</w:t>
            </w:r>
            <w:proofErr w:type="spellEnd"/>
            <w:r w:rsidR="00876784" w:rsidRPr="008E235D">
              <w:rPr>
                <w:rFonts w:ascii="Arial" w:eastAsia="Calibri" w:hAnsi="Arial" w:cs="Arial"/>
                <w:color w:val="000000" w:themeColor="text1"/>
                <w:szCs w:val="22"/>
              </w:rPr>
              <w:t>. Data were analyzed using analysis of variance (ANOVA) with Tukey’s post hoc test.</w:t>
            </w:r>
          </w:p>
          <w:p w14:paraId="1F2D1B9C" w14:textId="77777777" w:rsidR="00BA1B01" w:rsidRPr="008E235D" w:rsidRDefault="00BA1B01" w:rsidP="00441B6F">
            <w:pPr>
              <w:pStyle w:val="Body"/>
              <w:spacing w:after="0"/>
              <w:rPr>
                <w:rFonts w:ascii="Arial" w:eastAsia="Calibri" w:hAnsi="Arial" w:cs="Arial"/>
                <w:b/>
                <w:bCs/>
                <w:color w:val="000000" w:themeColor="text1"/>
                <w:szCs w:val="22"/>
              </w:rPr>
            </w:pPr>
            <w:r w:rsidRPr="008E235D">
              <w:rPr>
                <w:rFonts w:ascii="Arial" w:eastAsia="Calibri" w:hAnsi="Arial" w:cs="Arial"/>
                <w:b/>
                <w:bCs/>
                <w:color w:val="000000" w:themeColor="text1"/>
                <w:szCs w:val="22"/>
              </w:rPr>
              <w:t>Results:</w:t>
            </w:r>
            <w:r w:rsidRPr="008E235D">
              <w:rPr>
                <w:rFonts w:ascii="Arial" w:eastAsia="Calibri" w:hAnsi="Arial" w:cs="Arial"/>
                <w:color w:val="000000" w:themeColor="text1"/>
                <w:szCs w:val="22"/>
              </w:rPr>
              <w:t xml:space="preserve"> </w:t>
            </w:r>
            <w:r w:rsidR="00876784" w:rsidRPr="008E235D">
              <w:rPr>
                <w:rFonts w:ascii="Arial" w:eastAsia="Calibri" w:hAnsi="Arial" w:cs="Arial"/>
                <w:color w:val="000000" w:themeColor="text1"/>
                <w:szCs w:val="22"/>
              </w:rPr>
              <w:t xml:space="preserve">The stress protocol significantly increased immobility and reduced locomotor activity compared to controls (p&lt;0.0001). </w:t>
            </w:r>
            <w:r w:rsidR="00B33460" w:rsidRPr="008E235D">
              <w:rPr>
                <w:rFonts w:ascii="Arial" w:eastAsia="Calibri" w:hAnsi="Arial" w:cs="Arial"/>
                <w:color w:val="000000" w:themeColor="text1"/>
                <w:szCs w:val="22"/>
              </w:rPr>
              <w:t>Citalopram hydrobromide</w:t>
            </w:r>
            <w:r w:rsidR="00876784" w:rsidRPr="008E235D">
              <w:rPr>
                <w:rFonts w:ascii="Arial" w:eastAsia="Calibri" w:hAnsi="Arial" w:cs="Arial"/>
                <w:color w:val="000000" w:themeColor="text1"/>
                <w:szCs w:val="22"/>
              </w:rPr>
              <w:t xml:space="preserve"> reduced immobility in both forced swim test and tail suspension test, confirming antidepressant activity. The test group (</w:t>
            </w:r>
            <w:r w:rsidR="00B33460" w:rsidRPr="008E235D">
              <w:rPr>
                <w:rFonts w:ascii="Arial" w:eastAsia="Calibri" w:hAnsi="Arial" w:cs="Arial"/>
                <w:color w:val="000000" w:themeColor="text1"/>
                <w:szCs w:val="22"/>
              </w:rPr>
              <w:t>citalopram hydrobromide</w:t>
            </w:r>
            <w:r w:rsidR="00876784" w:rsidRPr="008E235D">
              <w:rPr>
                <w:rFonts w:ascii="Arial" w:eastAsia="Calibri" w:hAnsi="Arial" w:cs="Arial"/>
                <w:color w:val="000000" w:themeColor="text1"/>
                <w:szCs w:val="22"/>
              </w:rPr>
              <w:t xml:space="preserve"> + probiotics + vitamin C) showed significantly greater reductions in immobility (p&lt;0.05–0.001) and enhanced locomotor activity compared to </w:t>
            </w:r>
            <w:r w:rsidR="00B33460" w:rsidRPr="008E235D">
              <w:rPr>
                <w:rFonts w:ascii="Arial" w:eastAsia="Calibri" w:hAnsi="Arial" w:cs="Arial"/>
                <w:color w:val="000000" w:themeColor="text1"/>
                <w:szCs w:val="22"/>
              </w:rPr>
              <w:t>citalopram hydrobromide</w:t>
            </w:r>
            <w:r w:rsidR="00876784" w:rsidRPr="008E235D">
              <w:rPr>
                <w:rFonts w:ascii="Arial" w:eastAsia="Calibri" w:hAnsi="Arial" w:cs="Arial"/>
                <w:color w:val="000000" w:themeColor="text1"/>
                <w:szCs w:val="22"/>
              </w:rPr>
              <w:t xml:space="preserve"> alone. These findings suggest synergistic effects via modulation of serotonergic pathways, antioxidant mechanisms, and gut–brain interactions.</w:t>
            </w:r>
          </w:p>
          <w:p w14:paraId="20890385" w14:textId="77777777" w:rsidR="00505F06" w:rsidRPr="008E235D" w:rsidRDefault="00BA1B01" w:rsidP="00441B6F">
            <w:pPr>
              <w:pStyle w:val="Body"/>
              <w:spacing w:after="0"/>
              <w:rPr>
                <w:rFonts w:ascii="Arial" w:eastAsia="Calibri" w:hAnsi="Arial" w:cs="Arial"/>
                <w:color w:val="000000" w:themeColor="text1"/>
                <w:szCs w:val="22"/>
              </w:rPr>
            </w:pPr>
            <w:r w:rsidRPr="008E235D">
              <w:rPr>
                <w:rFonts w:ascii="Arial" w:eastAsia="Calibri" w:hAnsi="Arial" w:cs="Arial"/>
                <w:b/>
                <w:bCs/>
                <w:color w:val="000000" w:themeColor="text1"/>
                <w:szCs w:val="22"/>
              </w:rPr>
              <w:t>Conclusion:</w:t>
            </w:r>
            <w:r w:rsidRPr="008E235D">
              <w:rPr>
                <w:rFonts w:ascii="Arial" w:eastAsia="Calibri" w:hAnsi="Arial" w:cs="Arial"/>
                <w:color w:val="000000" w:themeColor="text1"/>
                <w:szCs w:val="22"/>
              </w:rPr>
              <w:t xml:space="preserve"> </w:t>
            </w:r>
            <w:r w:rsidR="00876784" w:rsidRPr="008E235D">
              <w:rPr>
                <w:rFonts w:ascii="Arial" w:eastAsia="Calibri" w:hAnsi="Arial" w:cs="Arial"/>
                <w:color w:val="000000" w:themeColor="text1"/>
                <w:szCs w:val="22"/>
              </w:rPr>
              <w:t xml:space="preserve">Adjunctive supplementation with probiotics and vitamin C potentiates the antidepressant efficacy of </w:t>
            </w:r>
            <w:r w:rsidR="00B33460" w:rsidRPr="008E235D">
              <w:rPr>
                <w:rFonts w:ascii="Arial" w:eastAsia="Calibri" w:hAnsi="Arial" w:cs="Arial"/>
                <w:color w:val="000000" w:themeColor="text1"/>
                <w:szCs w:val="22"/>
              </w:rPr>
              <w:t>citalopram hydrobromide</w:t>
            </w:r>
            <w:r w:rsidR="00876784" w:rsidRPr="008E235D">
              <w:rPr>
                <w:rFonts w:ascii="Arial" w:eastAsia="Calibri" w:hAnsi="Arial" w:cs="Arial"/>
                <w:color w:val="000000" w:themeColor="text1"/>
                <w:szCs w:val="22"/>
              </w:rPr>
              <w:t xml:space="preserve"> in a murine depression model. This multimodal strategy may represent a promising therapeutic approach for major depressive disorder, warranting further mechanistic and clinical investigation.</w:t>
            </w:r>
          </w:p>
        </w:tc>
      </w:tr>
    </w:tbl>
    <w:p w14:paraId="3F2EA47A" w14:textId="77777777" w:rsidR="00636EB2" w:rsidRPr="008E235D" w:rsidRDefault="00636EB2" w:rsidP="00441B6F">
      <w:pPr>
        <w:pStyle w:val="Body"/>
        <w:spacing w:after="0"/>
        <w:rPr>
          <w:rFonts w:ascii="Arial" w:hAnsi="Arial" w:cs="Arial"/>
          <w:i/>
          <w:color w:val="000000" w:themeColor="text1"/>
        </w:rPr>
      </w:pPr>
    </w:p>
    <w:p w14:paraId="7B68B2EF" w14:textId="77777777" w:rsidR="00A24E7E" w:rsidRDefault="00A24E7E" w:rsidP="00876784">
      <w:pPr>
        <w:jc w:val="both"/>
        <w:rPr>
          <w:rFonts w:ascii="Arial" w:hAnsi="Arial" w:cs="Arial"/>
          <w:i/>
          <w:color w:val="000000" w:themeColor="text1"/>
        </w:rPr>
      </w:pPr>
      <w:r w:rsidRPr="008E235D">
        <w:rPr>
          <w:rFonts w:ascii="Arial" w:hAnsi="Arial" w:cs="Arial"/>
          <w:i/>
          <w:color w:val="000000" w:themeColor="text1"/>
        </w:rPr>
        <w:t xml:space="preserve">Keywords: </w:t>
      </w:r>
      <w:r w:rsidR="00876784" w:rsidRPr="008E235D">
        <w:rPr>
          <w:rFonts w:ascii="Arial" w:hAnsi="Arial" w:cs="Arial"/>
          <w:i/>
          <w:color w:val="000000" w:themeColor="text1"/>
        </w:rPr>
        <w:t xml:space="preserve">Depression; </w:t>
      </w:r>
      <w:r w:rsidR="00B33460" w:rsidRPr="008E235D">
        <w:rPr>
          <w:rFonts w:ascii="Arial" w:hAnsi="Arial" w:cs="Arial"/>
          <w:i/>
          <w:color w:val="000000" w:themeColor="text1"/>
        </w:rPr>
        <w:t>Citalopram hydrobromide</w:t>
      </w:r>
      <w:r w:rsidR="00876784" w:rsidRPr="008E235D">
        <w:rPr>
          <w:rFonts w:ascii="Arial" w:hAnsi="Arial" w:cs="Arial"/>
          <w:i/>
          <w:color w:val="000000" w:themeColor="text1"/>
        </w:rPr>
        <w:t>, Probiotics, Vitamin C, Gut–brain axis, Stress-induced murine model</w:t>
      </w:r>
    </w:p>
    <w:p w14:paraId="7AA57A20" w14:textId="77777777" w:rsidR="00FE7A05" w:rsidRPr="008E235D" w:rsidRDefault="00FE7A05" w:rsidP="00876784">
      <w:pPr>
        <w:jc w:val="both"/>
        <w:rPr>
          <w:rFonts w:ascii="Arial" w:hAnsi="Arial" w:cs="Arial"/>
          <w:i/>
          <w:color w:val="000000" w:themeColor="text1"/>
        </w:rPr>
      </w:pPr>
    </w:p>
    <w:p w14:paraId="394B0ED8" w14:textId="77777777" w:rsidR="007F7B32" w:rsidRPr="008E235D" w:rsidRDefault="00902823" w:rsidP="00441B6F">
      <w:pPr>
        <w:pStyle w:val="AbstHead"/>
        <w:spacing w:after="0"/>
        <w:jc w:val="both"/>
        <w:rPr>
          <w:rFonts w:ascii="Arial" w:hAnsi="Arial" w:cs="Arial"/>
          <w:color w:val="000000" w:themeColor="text1"/>
        </w:rPr>
      </w:pPr>
      <w:r w:rsidRPr="008E235D">
        <w:rPr>
          <w:rFonts w:ascii="Arial" w:hAnsi="Arial" w:cs="Arial"/>
          <w:color w:val="000000" w:themeColor="text1"/>
        </w:rPr>
        <w:t xml:space="preserve">1. </w:t>
      </w:r>
      <w:r w:rsidR="00B01FCD" w:rsidRPr="008E235D">
        <w:rPr>
          <w:rFonts w:ascii="Arial" w:hAnsi="Arial" w:cs="Arial"/>
          <w:color w:val="000000" w:themeColor="text1"/>
        </w:rPr>
        <w:t>INTRODUCTION</w:t>
      </w:r>
    </w:p>
    <w:p w14:paraId="0F8539A1" w14:textId="77777777" w:rsidR="00790ADA" w:rsidRPr="008E235D" w:rsidRDefault="00790ADA" w:rsidP="00441B6F">
      <w:pPr>
        <w:pStyle w:val="AbstHead"/>
        <w:spacing w:after="0"/>
        <w:jc w:val="both"/>
        <w:rPr>
          <w:rFonts w:ascii="Arial" w:hAnsi="Arial" w:cs="Arial"/>
          <w:color w:val="000000" w:themeColor="text1"/>
        </w:rPr>
      </w:pPr>
    </w:p>
    <w:p w14:paraId="0500A212" w14:textId="77777777" w:rsidR="009917C6" w:rsidRPr="008E235D" w:rsidRDefault="009917C6" w:rsidP="0058772D">
      <w:pPr>
        <w:pStyle w:val="Body"/>
        <w:spacing w:after="0"/>
        <w:rPr>
          <w:rFonts w:ascii="Arial" w:hAnsi="Arial" w:cs="Arial"/>
          <w:color w:val="000000" w:themeColor="text1"/>
        </w:rPr>
      </w:pPr>
      <w:r w:rsidRPr="008E235D">
        <w:rPr>
          <w:rFonts w:ascii="Arial" w:hAnsi="Arial" w:cs="Arial"/>
          <w:color w:val="000000" w:themeColor="text1"/>
        </w:rPr>
        <w:t>Depression is a prevalent and debilitating mental disorder, representing the leading cause of disability am</w:t>
      </w:r>
      <w:r w:rsidR="001541E9" w:rsidRPr="008E235D">
        <w:rPr>
          <w:rFonts w:ascii="Arial" w:hAnsi="Arial" w:cs="Arial"/>
          <w:color w:val="000000" w:themeColor="text1"/>
        </w:rPr>
        <w:t>ong mood disorders worldwide (</w:t>
      </w:r>
      <w:r w:rsidR="001541E9" w:rsidRPr="008E235D">
        <w:rPr>
          <w:color w:val="000000" w:themeColor="text1"/>
        </w:rPr>
        <w:t>Murray, 1997)</w:t>
      </w:r>
      <w:r w:rsidRPr="008E235D">
        <w:rPr>
          <w:rFonts w:ascii="Arial" w:hAnsi="Arial" w:cs="Arial"/>
          <w:color w:val="000000" w:themeColor="text1"/>
        </w:rPr>
        <w:t>. It is often associated with a range of psychiatric complications, including sleep disturbances, anxiety, appetite dysregulation, and, in sev</w:t>
      </w:r>
      <w:r w:rsidR="0058772D" w:rsidRPr="008E235D">
        <w:rPr>
          <w:rFonts w:ascii="Arial" w:hAnsi="Arial" w:cs="Arial"/>
          <w:color w:val="000000" w:themeColor="text1"/>
        </w:rPr>
        <w:t>ere cases, suicidal behavior (</w:t>
      </w:r>
      <w:proofErr w:type="spellStart"/>
      <w:r w:rsidR="0058772D" w:rsidRPr="008E235D">
        <w:rPr>
          <w:color w:val="000000" w:themeColor="text1"/>
        </w:rPr>
        <w:t>Rajashree</w:t>
      </w:r>
      <w:proofErr w:type="spellEnd"/>
      <w:r w:rsidR="0058772D" w:rsidRPr="008E235D">
        <w:rPr>
          <w:color w:val="000000" w:themeColor="text1"/>
        </w:rPr>
        <w:t>, 2024)</w:t>
      </w:r>
      <w:r w:rsidRPr="008E235D">
        <w:rPr>
          <w:rFonts w:ascii="Arial" w:hAnsi="Arial" w:cs="Arial"/>
          <w:color w:val="000000" w:themeColor="text1"/>
        </w:rPr>
        <w:t xml:space="preserve">. Neurobiologically, depression is linked to structural and functional alterations in key brain regions such as the </w:t>
      </w:r>
      <w:r w:rsidRPr="008E235D">
        <w:rPr>
          <w:rFonts w:ascii="Arial" w:hAnsi="Arial" w:cs="Arial"/>
          <w:color w:val="000000" w:themeColor="text1"/>
        </w:rPr>
        <w:lastRenderedPageBreak/>
        <w:t>hippocampus and the dorsal raphe nuclei, the latter being critically involved in the regulation of</w:t>
      </w:r>
      <w:r w:rsidR="0058772D" w:rsidRPr="008E235D">
        <w:rPr>
          <w:rFonts w:ascii="Arial" w:hAnsi="Arial" w:cs="Arial"/>
          <w:color w:val="000000" w:themeColor="text1"/>
        </w:rPr>
        <w:t xml:space="preserve"> mood and emotional behavior (</w:t>
      </w:r>
      <w:r w:rsidR="0058772D" w:rsidRPr="008E235D">
        <w:rPr>
          <w:color w:val="000000" w:themeColor="text1"/>
        </w:rPr>
        <w:t>Abdalla, 2018)</w:t>
      </w:r>
      <w:r w:rsidRPr="008E235D">
        <w:rPr>
          <w:rFonts w:ascii="Arial" w:hAnsi="Arial" w:cs="Arial"/>
          <w:color w:val="000000" w:themeColor="text1"/>
        </w:rPr>
        <w:t>. Emerging evidence highlights the pivotal role of the gut-brain axis—a bidirectional communication network between the central nervous system and the gastrointestinal tract—in modulati</w:t>
      </w:r>
      <w:r w:rsidR="0058772D" w:rsidRPr="008E235D">
        <w:rPr>
          <w:rFonts w:ascii="Arial" w:hAnsi="Arial" w:cs="Arial"/>
          <w:color w:val="000000" w:themeColor="text1"/>
        </w:rPr>
        <w:t>ng stress responses and mood (</w:t>
      </w:r>
      <w:proofErr w:type="spellStart"/>
      <w:r w:rsidR="0058772D" w:rsidRPr="008E235D">
        <w:rPr>
          <w:color w:val="000000" w:themeColor="text1"/>
        </w:rPr>
        <w:t>Bienenstock</w:t>
      </w:r>
      <w:proofErr w:type="spellEnd"/>
      <w:r w:rsidR="0058772D" w:rsidRPr="008E235D">
        <w:rPr>
          <w:color w:val="000000" w:themeColor="text1"/>
        </w:rPr>
        <w:t>, 2016)</w:t>
      </w:r>
      <w:r w:rsidRPr="008E235D">
        <w:rPr>
          <w:rFonts w:ascii="Arial" w:hAnsi="Arial" w:cs="Arial"/>
          <w:color w:val="000000" w:themeColor="text1"/>
        </w:rPr>
        <w:t xml:space="preserve">. Through mechanisms involving the hypothalamic-pituitary-adrenal axis, the </w:t>
      </w:r>
      <w:proofErr w:type="spellStart"/>
      <w:r w:rsidRPr="008E235D">
        <w:rPr>
          <w:rFonts w:ascii="Arial" w:hAnsi="Arial" w:cs="Arial"/>
          <w:color w:val="000000" w:themeColor="text1"/>
        </w:rPr>
        <w:t>vagus</w:t>
      </w:r>
      <w:proofErr w:type="spellEnd"/>
      <w:r w:rsidRPr="008E235D">
        <w:rPr>
          <w:rFonts w:ascii="Arial" w:hAnsi="Arial" w:cs="Arial"/>
          <w:color w:val="000000" w:themeColor="text1"/>
        </w:rPr>
        <w:t xml:space="preserve"> nerve, and the endocrine system, the gut microbiota contributes significantly to the regulation of neurotransmitters, incl</w:t>
      </w:r>
      <w:r w:rsidR="0058772D" w:rsidRPr="008E235D">
        <w:rPr>
          <w:rFonts w:ascii="Arial" w:hAnsi="Arial" w:cs="Arial"/>
          <w:color w:val="000000" w:themeColor="text1"/>
        </w:rPr>
        <w:t>uding serotonin and dopamine (</w:t>
      </w:r>
      <w:r w:rsidR="0058772D" w:rsidRPr="008E235D">
        <w:rPr>
          <w:color w:val="000000" w:themeColor="text1"/>
        </w:rPr>
        <w:t>Neuman, 2015)</w:t>
      </w:r>
      <w:r w:rsidRPr="008E235D">
        <w:rPr>
          <w:rFonts w:ascii="Arial" w:hAnsi="Arial" w:cs="Arial"/>
          <w:color w:val="000000" w:themeColor="text1"/>
        </w:rPr>
        <w:t xml:space="preserve">. Animal studies have further underscored this relationship, as germ-free mice, delivered via cesarean section and raised in sterile environments, exhibit altered behaviors reminiscent of neurodevelopmental and mood disorders </w:t>
      </w:r>
      <w:r w:rsidR="0058772D" w:rsidRPr="008E235D">
        <w:rPr>
          <w:rFonts w:ascii="Arial" w:hAnsi="Arial" w:cs="Arial"/>
          <w:color w:val="000000" w:themeColor="text1"/>
        </w:rPr>
        <w:t>(</w:t>
      </w:r>
      <w:r w:rsidR="0058772D" w:rsidRPr="008E235D">
        <w:rPr>
          <w:color w:val="000000" w:themeColor="text1"/>
        </w:rPr>
        <w:t>Abdalla, 2018)</w:t>
      </w:r>
      <w:r w:rsidR="0058772D" w:rsidRPr="008E235D">
        <w:rPr>
          <w:rFonts w:ascii="Arial" w:hAnsi="Arial" w:cs="Arial"/>
          <w:color w:val="000000" w:themeColor="text1"/>
        </w:rPr>
        <w:t>.</w:t>
      </w:r>
    </w:p>
    <w:p w14:paraId="04563215" w14:textId="77777777" w:rsidR="009917C6" w:rsidRPr="008E235D" w:rsidRDefault="009917C6" w:rsidP="00441B6F">
      <w:pPr>
        <w:pStyle w:val="Body"/>
        <w:spacing w:after="0"/>
        <w:rPr>
          <w:rFonts w:ascii="Arial" w:hAnsi="Arial" w:cs="Arial"/>
          <w:color w:val="000000" w:themeColor="text1"/>
        </w:rPr>
      </w:pPr>
    </w:p>
    <w:p w14:paraId="79CC032D" w14:textId="77777777" w:rsidR="009917C6" w:rsidRPr="008E235D" w:rsidRDefault="009917C6" w:rsidP="009917C6">
      <w:pPr>
        <w:pStyle w:val="Body"/>
        <w:rPr>
          <w:rFonts w:ascii="Arial" w:hAnsi="Arial" w:cs="Arial"/>
          <w:color w:val="000000" w:themeColor="text1"/>
        </w:rPr>
      </w:pPr>
      <w:r w:rsidRPr="008E235D">
        <w:rPr>
          <w:rFonts w:ascii="Arial" w:hAnsi="Arial" w:cs="Arial"/>
          <w:color w:val="000000" w:themeColor="text1"/>
        </w:rPr>
        <w:t xml:space="preserve">Within the gut microbiota, certain bacterial genera, particularly </w:t>
      </w:r>
      <w:r w:rsidRPr="008E235D">
        <w:rPr>
          <w:rFonts w:ascii="Arial" w:hAnsi="Arial" w:cs="Arial"/>
          <w:i/>
          <w:color w:val="000000" w:themeColor="text1"/>
        </w:rPr>
        <w:t>Lactobacillus</w:t>
      </w:r>
      <w:r w:rsidRPr="008E235D">
        <w:rPr>
          <w:rFonts w:ascii="Arial" w:hAnsi="Arial" w:cs="Arial"/>
          <w:color w:val="000000" w:themeColor="text1"/>
        </w:rPr>
        <w:t xml:space="preserve">, have demonstrated promising neuroprotective and psychotropic effects. </w:t>
      </w:r>
      <w:r w:rsidRPr="008E235D">
        <w:rPr>
          <w:rFonts w:ascii="Arial" w:hAnsi="Arial" w:cs="Arial"/>
          <w:i/>
          <w:color w:val="000000" w:themeColor="text1"/>
        </w:rPr>
        <w:t>Lactobacillus</w:t>
      </w:r>
      <w:r w:rsidRPr="008E235D">
        <w:rPr>
          <w:rFonts w:ascii="Arial" w:hAnsi="Arial" w:cs="Arial"/>
          <w:color w:val="000000" w:themeColor="text1"/>
        </w:rPr>
        <w:t xml:space="preserve">, a gram-positive bacterium predominantly residing in the human gut, has been shown to modulate stress-induced behavioral deficits. For example, administration of Lactobacillus </w:t>
      </w:r>
      <w:proofErr w:type="spellStart"/>
      <w:r w:rsidRPr="008E235D">
        <w:rPr>
          <w:rFonts w:ascii="Arial" w:hAnsi="Arial" w:cs="Arial"/>
          <w:color w:val="000000" w:themeColor="text1"/>
        </w:rPr>
        <w:t>helveticus</w:t>
      </w:r>
      <w:proofErr w:type="spellEnd"/>
      <w:r w:rsidRPr="008E235D">
        <w:rPr>
          <w:rFonts w:ascii="Arial" w:hAnsi="Arial" w:cs="Arial"/>
          <w:color w:val="000000" w:themeColor="text1"/>
        </w:rPr>
        <w:t xml:space="preserve"> NS8 to Sprague-</w:t>
      </w:r>
      <w:proofErr w:type="spellStart"/>
      <w:r w:rsidRPr="008E235D">
        <w:rPr>
          <w:rFonts w:ascii="Arial" w:hAnsi="Arial" w:cs="Arial"/>
          <w:color w:val="000000" w:themeColor="text1"/>
        </w:rPr>
        <w:t>dawley</w:t>
      </w:r>
      <w:proofErr w:type="spellEnd"/>
      <w:r w:rsidRPr="008E235D">
        <w:rPr>
          <w:rFonts w:ascii="Arial" w:hAnsi="Arial" w:cs="Arial"/>
          <w:color w:val="000000" w:themeColor="text1"/>
        </w:rPr>
        <w:t xml:space="preserve"> rats ameliorated stress-induced behavioral abnormalities and reduced corticosterone levels </w:t>
      </w:r>
      <w:r w:rsidR="00FF32DC" w:rsidRPr="008E235D">
        <w:rPr>
          <w:rFonts w:ascii="Arial" w:hAnsi="Arial" w:cs="Arial"/>
          <w:color w:val="000000" w:themeColor="text1"/>
        </w:rPr>
        <w:t>(</w:t>
      </w:r>
      <w:r w:rsidR="00FF32DC" w:rsidRPr="008E235D">
        <w:rPr>
          <w:color w:val="000000" w:themeColor="text1"/>
        </w:rPr>
        <w:t>Abdalla, 2018; Foster, 2017)</w:t>
      </w:r>
      <w:r w:rsidR="00FF32DC" w:rsidRPr="008E235D">
        <w:rPr>
          <w:rFonts w:ascii="Arial" w:hAnsi="Arial" w:cs="Arial"/>
          <w:color w:val="000000" w:themeColor="text1"/>
        </w:rPr>
        <w:t xml:space="preserve">. </w:t>
      </w:r>
      <w:r w:rsidRPr="008E235D">
        <w:rPr>
          <w:rFonts w:ascii="Arial" w:hAnsi="Arial" w:cs="Arial"/>
          <w:color w:val="000000" w:themeColor="text1"/>
        </w:rPr>
        <w:t>These findings support the potential therapeutic role of probiotics in psychiatric disorders.</w:t>
      </w:r>
    </w:p>
    <w:p w14:paraId="22A2D45A" w14:textId="77777777" w:rsidR="009917C6" w:rsidRPr="008E235D" w:rsidRDefault="009917C6" w:rsidP="009917C6">
      <w:pPr>
        <w:pStyle w:val="Body"/>
        <w:rPr>
          <w:rFonts w:ascii="Arial" w:hAnsi="Arial" w:cs="Arial"/>
          <w:color w:val="000000" w:themeColor="text1"/>
        </w:rPr>
      </w:pPr>
      <w:r w:rsidRPr="008E235D">
        <w:rPr>
          <w:rFonts w:ascii="Arial" w:hAnsi="Arial" w:cs="Arial"/>
          <w:color w:val="000000" w:themeColor="text1"/>
        </w:rPr>
        <w:t xml:space="preserve">Oxidative stress has also been implicated in the pathophysiology of major depressive disorder. Clinical studies report decreased plasma ascorbic acid levels alongside elevated serum markers of oxidative stress, including superoxide dismutase and malondialdehyde, in individuals with major depressive disorder </w:t>
      </w:r>
      <w:r w:rsidR="00FF32DC" w:rsidRPr="008E235D">
        <w:rPr>
          <w:rFonts w:ascii="Arial" w:hAnsi="Arial" w:cs="Arial"/>
          <w:color w:val="000000" w:themeColor="text1"/>
        </w:rPr>
        <w:t>(</w:t>
      </w:r>
      <w:proofErr w:type="spellStart"/>
      <w:r w:rsidR="00FF32DC" w:rsidRPr="008E235D">
        <w:rPr>
          <w:color w:val="000000" w:themeColor="text1"/>
        </w:rPr>
        <w:t>Sahraian</w:t>
      </w:r>
      <w:proofErr w:type="spellEnd"/>
      <w:r w:rsidR="00FF32DC" w:rsidRPr="008E235D">
        <w:rPr>
          <w:color w:val="000000" w:themeColor="text1"/>
        </w:rPr>
        <w:t xml:space="preserve">, 2015; </w:t>
      </w:r>
      <w:proofErr w:type="spellStart"/>
      <w:r w:rsidR="00FF32DC" w:rsidRPr="008E235D">
        <w:rPr>
          <w:color w:val="000000" w:themeColor="text1"/>
        </w:rPr>
        <w:t>Khanzode</w:t>
      </w:r>
      <w:proofErr w:type="spellEnd"/>
      <w:r w:rsidR="00FF32DC" w:rsidRPr="008E235D">
        <w:rPr>
          <w:color w:val="000000" w:themeColor="text1"/>
        </w:rPr>
        <w:t>,</w:t>
      </w:r>
      <w:r w:rsidR="00FF32DC" w:rsidRPr="008E235D">
        <w:rPr>
          <w:rFonts w:ascii="Arial" w:hAnsi="Arial" w:cs="Arial"/>
          <w:color w:val="000000" w:themeColor="text1"/>
        </w:rPr>
        <w:t xml:space="preserve"> 2003)</w:t>
      </w:r>
      <w:r w:rsidRPr="008E235D">
        <w:rPr>
          <w:rFonts w:ascii="Arial" w:hAnsi="Arial" w:cs="Arial"/>
          <w:color w:val="000000" w:themeColor="text1"/>
        </w:rPr>
        <w:t>. Preclinical investigations demonstrate that vitamin C mitigates stress-induced lipid peroxidation in the cerebral cortex and hippocampus and regulates antioxidant enzymes such as glutathione reductas</w:t>
      </w:r>
      <w:r w:rsidR="00FF32DC" w:rsidRPr="008E235D">
        <w:rPr>
          <w:rFonts w:ascii="Arial" w:hAnsi="Arial" w:cs="Arial"/>
          <w:color w:val="000000" w:themeColor="text1"/>
        </w:rPr>
        <w:t>e and glutathione peroxidase (</w:t>
      </w:r>
      <w:proofErr w:type="gramStart"/>
      <w:r w:rsidR="00FF32DC" w:rsidRPr="008E235D">
        <w:rPr>
          <w:color w:val="000000" w:themeColor="text1"/>
        </w:rPr>
        <w:t>Moretti,</w:t>
      </w:r>
      <w:r w:rsidRPr="008E235D">
        <w:rPr>
          <w:rFonts w:ascii="Arial" w:hAnsi="Arial" w:cs="Arial"/>
          <w:color w:val="000000" w:themeColor="text1"/>
        </w:rPr>
        <w:t>.</w:t>
      </w:r>
      <w:proofErr w:type="gramEnd"/>
      <w:r w:rsidR="00FF32DC" w:rsidRPr="008E235D">
        <w:rPr>
          <w:rFonts w:ascii="Arial" w:hAnsi="Arial" w:cs="Arial"/>
          <w:color w:val="000000" w:themeColor="text1"/>
        </w:rPr>
        <w:t xml:space="preserve"> Et al., 2013)</w:t>
      </w:r>
      <w:r w:rsidRPr="008E235D">
        <w:rPr>
          <w:rFonts w:ascii="Arial" w:hAnsi="Arial" w:cs="Arial"/>
          <w:color w:val="000000" w:themeColor="text1"/>
        </w:rPr>
        <w:t xml:space="preserve"> Moreover, vitamin C exhibits antidepressant-like effects in animal models, potentially through modulation of the monoaminergic system and antagonism of N-m</w:t>
      </w:r>
      <w:r w:rsidR="00FF32DC" w:rsidRPr="008E235D">
        <w:rPr>
          <w:rFonts w:ascii="Arial" w:hAnsi="Arial" w:cs="Arial"/>
          <w:color w:val="000000" w:themeColor="text1"/>
        </w:rPr>
        <w:t>ethyl-D-aspartate receptors (</w:t>
      </w:r>
      <w:proofErr w:type="spellStart"/>
      <w:r w:rsidR="00FF32DC" w:rsidRPr="008E235D">
        <w:rPr>
          <w:color w:val="000000" w:themeColor="text1"/>
        </w:rPr>
        <w:t>Sahraian</w:t>
      </w:r>
      <w:proofErr w:type="spellEnd"/>
      <w:r w:rsidR="00FF32DC" w:rsidRPr="008E235D">
        <w:rPr>
          <w:color w:val="000000" w:themeColor="text1"/>
        </w:rPr>
        <w:t>, 2015).</w:t>
      </w:r>
      <w:r w:rsidRPr="008E235D">
        <w:rPr>
          <w:rFonts w:ascii="Arial" w:hAnsi="Arial" w:cs="Arial"/>
          <w:color w:val="000000" w:themeColor="text1"/>
        </w:rPr>
        <w:t xml:space="preserve"> Notably, vitamin C has been shown to enhance the efficacy of conventional antidepress</w:t>
      </w:r>
      <w:r w:rsidR="00FF32DC" w:rsidRPr="008E235D">
        <w:rPr>
          <w:rFonts w:ascii="Arial" w:hAnsi="Arial" w:cs="Arial"/>
          <w:color w:val="000000" w:themeColor="text1"/>
        </w:rPr>
        <w:t>ants in preclinical studies (</w:t>
      </w:r>
      <w:proofErr w:type="spellStart"/>
      <w:r w:rsidR="00FF32DC" w:rsidRPr="008E235D">
        <w:rPr>
          <w:color w:val="000000" w:themeColor="text1"/>
        </w:rPr>
        <w:t>Binfare</w:t>
      </w:r>
      <w:proofErr w:type="spellEnd"/>
      <w:r w:rsidR="00FF32DC" w:rsidRPr="008E235D">
        <w:rPr>
          <w:color w:val="000000" w:themeColor="text1"/>
        </w:rPr>
        <w:t>, 2009)</w:t>
      </w:r>
      <w:r w:rsidRPr="008E235D">
        <w:rPr>
          <w:rFonts w:ascii="Arial" w:hAnsi="Arial" w:cs="Arial"/>
          <w:color w:val="000000" w:themeColor="text1"/>
        </w:rPr>
        <w:t>.</w:t>
      </w:r>
    </w:p>
    <w:p w14:paraId="5BB9560A" w14:textId="77777777" w:rsidR="009917C6" w:rsidRPr="008E235D" w:rsidRDefault="009917C6" w:rsidP="009917C6">
      <w:pPr>
        <w:pStyle w:val="Body"/>
        <w:rPr>
          <w:rFonts w:ascii="Arial" w:hAnsi="Arial" w:cs="Arial"/>
          <w:color w:val="000000" w:themeColor="text1"/>
        </w:rPr>
      </w:pPr>
      <w:r w:rsidRPr="008E235D">
        <w:rPr>
          <w:rFonts w:ascii="Arial" w:hAnsi="Arial" w:cs="Arial"/>
          <w:color w:val="000000" w:themeColor="text1"/>
        </w:rPr>
        <w:t xml:space="preserve">Based on these findings, the present study aims to evaluate the combined effects of probiotics and the antioxidant vitamin C on depression-like behaviors in a preclinical model. The antidepressant selected for this study is </w:t>
      </w:r>
      <w:r w:rsidR="00B33460" w:rsidRPr="008E235D">
        <w:rPr>
          <w:rFonts w:ascii="Arial" w:hAnsi="Arial" w:cs="Arial"/>
          <w:color w:val="000000" w:themeColor="text1"/>
        </w:rPr>
        <w:t>citalopram hydrobromide</w:t>
      </w:r>
      <w:r w:rsidRPr="008E235D">
        <w:rPr>
          <w:rFonts w:ascii="Arial" w:hAnsi="Arial" w:cs="Arial"/>
          <w:color w:val="000000" w:themeColor="text1"/>
        </w:rPr>
        <w:t>, a selective serotonin reuptake inhibitor known for its high specificity toward serotonin receptors, favorable tolerability, an</w:t>
      </w:r>
      <w:r w:rsidR="0085491D" w:rsidRPr="008E235D">
        <w:rPr>
          <w:rFonts w:ascii="Arial" w:hAnsi="Arial" w:cs="Arial"/>
          <w:color w:val="000000" w:themeColor="text1"/>
        </w:rPr>
        <w:t>d minimal drug interactions (</w:t>
      </w:r>
      <w:proofErr w:type="spellStart"/>
      <w:r w:rsidR="0085491D" w:rsidRPr="008E235D">
        <w:rPr>
          <w:color w:val="000000" w:themeColor="text1"/>
        </w:rPr>
        <w:t>Bezchlibnyk</w:t>
      </w:r>
      <w:proofErr w:type="spellEnd"/>
      <w:r w:rsidR="0085491D" w:rsidRPr="008E235D">
        <w:rPr>
          <w:color w:val="000000" w:themeColor="text1"/>
        </w:rPr>
        <w:t>-Butler, 2000)</w:t>
      </w:r>
      <w:r w:rsidRPr="008E235D">
        <w:rPr>
          <w:rFonts w:ascii="Arial" w:hAnsi="Arial" w:cs="Arial"/>
          <w:color w:val="000000" w:themeColor="text1"/>
        </w:rPr>
        <w:t xml:space="preserve">. This investigation seeks to explore whether the adjunctive use of probiotics and vitamin C can potentiate the therapeutic effects of </w:t>
      </w:r>
      <w:r w:rsidR="00B33460" w:rsidRPr="008E235D">
        <w:rPr>
          <w:rFonts w:ascii="Arial" w:hAnsi="Arial" w:cs="Arial"/>
          <w:color w:val="000000" w:themeColor="text1"/>
        </w:rPr>
        <w:t>citalopram hydrobromide</w:t>
      </w:r>
      <w:r w:rsidRPr="008E235D">
        <w:rPr>
          <w:rFonts w:ascii="Arial" w:hAnsi="Arial" w:cs="Arial"/>
          <w:color w:val="000000" w:themeColor="text1"/>
        </w:rPr>
        <w:t>, providing a potential novel strategy for depression management.</w:t>
      </w:r>
    </w:p>
    <w:p w14:paraId="70269333" w14:textId="77777777" w:rsidR="00790ADA" w:rsidRPr="008E235D" w:rsidRDefault="00902823" w:rsidP="00441B6F">
      <w:pPr>
        <w:pStyle w:val="AbstHead"/>
        <w:spacing w:after="0"/>
        <w:jc w:val="both"/>
        <w:rPr>
          <w:rFonts w:ascii="Arial" w:hAnsi="Arial" w:cs="Arial"/>
          <w:color w:val="000000" w:themeColor="text1"/>
        </w:rPr>
      </w:pPr>
      <w:r w:rsidRPr="008E235D">
        <w:rPr>
          <w:rFonts w:ascii="Arial" w:hAnsi="Arial" w:cs="Arial"/>
          <w:color w:val="000000" w:themeColor="text1"/>
        </w:rPr>
        <w:t>2. material and method</w:t>
      </w:r>
      <w:r w:rsidR="00000F8F" w:rsidRPr="008E235D">
        <w:rPr>
          <w:rFonts w:ascii="Arial" w:hAnsi="Arial" w:cs="Arial"/>
          <w:color w:val="000000" w:themeColor="text1"/>
        </w:rPr>
        <w:t xml:space="preserve">s </w:t>
      </w:r>
    </w:p>
    <w:p w14:paraId="12E9F601" w14:textId="77777777" w:rsidR="00790ADA" w:rsidRPr="008E235D" w:rsidRDefault="00790ADA" w:rsidP="00441B6F">
      <w:pPr>
        <w:pStyle w:val="Body"/>
        <w:spacing w:after="0"/>
        <w:rPr>
          <w:rFonts w:ascii="Arial" w:hAnsi="Arial" w:cs="Arial"/>
          <w:color w:val="000000" w:themeColor="text1"/>
        </w:rPr>
      </w:pPr>
    </w:p>
    <w:p w14:paraId="348F3C30" w14:textId="77777777" w:rsidR="009917C6" w:rsidRPr="008E235D" w:rsidRDefault="009917C6" w:rsidP="009917C6">
      <w:pPr>
        <w:pStyle w:val="Body"/>
        <w:spacing w:after="0"/>
        <w:rPr>
          <w:rFonts w:ascii="Arial" w:hAnsi="Arial" w:cs="Arial"/>
          <w:color w:val="000000" w:themeColor="text1"/>
        </w:rPr>
      </w:pPr>
      <w:r w:rsidRPr="008E235D">
        <w:rPr>
          <w:rFonts w:ascii="Arial" w:hAnsi="Arial" w:cs="Arial"/>
          <w:b/>
          <w:caps/>
          <w:color w:val="000000" w:themeColor="text1"/>
          <w:sz w:val="22"/>
        </w:rPr>
        <w:t xml:space="preserve">2.1 </w:t>
      </w:r>
      <w:r w:rsidRPr="008E235D">
        <w:rPr>
          <w:rFonts w:ascii="Arial" w:hAnsi="Arial" w:cs="Arial"/>
          <w:b/>
          <w:color w:val="000000" w:themeColor="text1"/>
          <w:sz w:val="22"/>
        </w:rPr>
        <w:t xml:space="preserve">Materials </w:t>
      </w:r>
    </w:p>
    <w:p w14:paraId="7604BD46" w14:textId="77777777" w:rsidR="009917C6" w:rsidRPr="008E235D" w:rsidRDefault="009917C6" w:rsidP="00441B6F">
      <w:pPr>
        <w:pStyle w:val="Body"/>
        <w:spacing w:after="0"/>
        <w:rPr>
          <w:rFonts w:ascii="Arial" w:hAnsi="Arial" w:cs="Arial"/>
          <w:color w:val="000000" w:themeColor="text1"/>
        </w:rPr>
      </w:pPr>
    </w:p>
    <w:p w14:paraId="2EDE1D58" w14:textId="77777777" w:rsidR="009917C6" w:rsidRPr="008E235D" w:rsidRDefault="00B33460" w:rsidP="009917C6">
      <w:pPr>
        <w:pStyle w:val="Body"/>
        <w:rPr>
          <w:rFonts w:ascii="Arial" w:hAnsi="Arial" w:cs="Arial"/>
          <w:color w:val="000000" w:themeColor="text1"/>
        </w:rPr>
      </w:pPr>
      <w:r w:rsidRPr="008E235D">
        <w:rPr>
          <w:rFonts w:ascii="Arial" w:hAnsi="Arial" w:cs="Arial"/>
          <w:color w:val="000000" w:themeColor="text1"/>
        </w:rPr>
        <w:t>Citalopram hydrobromide</w:t>
      </w:r>
      <w:r w:rsidR="009917C6" w:rsidRPr="008E235D">
        <w:rPr>
          <w:rFonts w:ascii="Arial" w:hAnsi="Arial" w:cs="Arial"/>
          <w:color w:val="000000" w:themeColor="text1"/>
        </w:rPr>
        <w:t xml:space="preserve"> </w:t>
      </w:r>
      <w:proofErr w:type="spellStart"/>
      <w:r w:rsidR="009917C6" w:rsidRPr="008E235D">
        <w:rPr>
          <w:rFonts w:ascii="Arial" w:hAnsi="Arial" w:cs="Arial"/>
          <w:color w:val="000000" w:themeColor="text1"/>
        </w:rPr>
        <w:t>hydrobromide</w:t>
      </w:r>
      <w:proofErr w:type="spellEnd"/>
      <w:r w:rsidR="009917C6" w:rsidRPr="008E235D">
        <w:rPr>
          <w:rFonts w:ascii="Arial" w:hAnsi="Arial" w:cs="Arial"/>
          <w:color w:val="000000" w:themeColor="text1"/>
        </w:rPr>
        <w:t xml:space="preserve"> (USP grade) was procured from </w:t>
      </w:r>
      <w:proofErr w:type="spellStart"/>
      <w:r w:rsidR="009917C6" w:rsidRPr="008E235D">
        <w:rPr>
          <w:rFonts w:ascii="Arial" w:hAnsi="Arial" w:cs="Arial"/>
          <w:color w:val="000000" w:themeColor="text1"/>
        </w:rPr>
        <w:t>Swapnaroop</w:t>
      </w:r>
      <w:proofErr w:type="spellEnd"/>
      <w:r w:rsidR="009917C6" w:rsidRPr="008E235D">
        <w:rPr>
          <w:rFonts w:ascii="Arial" w:hAnsi="Arial" w:cs="Arial"/>
          <w:color w:val="000000" w:themeColor="text1"/>
        </w:rPr>
        <w:t xml:space="preserve"> Drugs and Pharmaceuticals, India. Vitamin C (ascorbic acid, IP grade) was obtained from CSPC Pharmaceuticals Co. Ltd., India. A probiotic formulation (FLORA</w:t>
      </w:r>
      <w:r w:rsidR="009917C6" w:rsidRPr="008E235D">
        <w:rPr>
          <w:rFonts w:ascii="Arial" w:hAnsi="Arial" w:cs="Arial"/>
          <w:color w:val="000000" w:themeColor="text1"/>
          <w:vertAlign w:val="superscript"/>
        </w:rPr>
        <w:t>®</w:t>
      </w:r>
      <w:r w:rsidR="009917C6" w:rsidRPr="008E235D">
        <w:rPr>
          <w:rFonts w:ascii="Arial" w:hAnsi="Arial" w:cs="Arial"/>
          <w:color w:val="000000" w:themeColor="text1"/>
        </w:rPr>
        <w:t>-Zn) was supplied by Swiss Garnier Biotech Pvt. Ltd., India. Normal saline was purchased from a local pharmacy, and purified water was prepared in-house.</w:t>
      </w:r>
    </w:p>
    <w:p w14:paraId="1A1876A3" w14:textId="77777777" w:rsidR="00502516" w:rsidRPr="008E235D" w:rsidRDefault="00B33460" w:rsidP="00B33460">
      <w:pPr>
        <w:pStyle w:val="Body"/>
        <w:spacing w:after="0"/>
        <w:rPr>
          <w:rFonts w:ascii="Arial" w:hAnsi="Arial" w:cs="Arial"/>
          <w:b/>
          <w:color w:val="000000" w:themeColor="text1"/>
          <w:sz w:val="22"/>
        </w:rPr>
      </w:pPr>
      <w:r w:rsidRPr="008E235D">
        <w:rPr>
          <w:rFonts w:ascii="Arial" w:hAnsi="Arial" w:cs="Arial"/>
          <w:b/>
          <w:caps/>
          <w:color w:val="000000" w:themeColor="text1"/>
          <w:sz w:val="22"/>
        </w:rPr>
        <w:t xml:space="preserve">2.2 </w:t>
      </w:r>
      <w:r w:rsidRPr="008E235D">
        <w:rPr>
          <w:rFonts w:ascii="Arial" w:hAnsi="Arial" w:cs="Arial"/>
          <w:b/>
          <w:color w:val="000000" w:themeColor="text1"/>
          <w:sz w:val="22"/>
        </w:rPr>
        <w:t>Methods</w:t>
      </w:r>
    </w:p>
    <w:p w14:paraId="378C1180" w14:textId="77777777" w:rsidR="00B33460" w:rsidRPr="008E235D" w:rsidRDefault="00B33460" w:rsidP="00B33460">
      <w:pPr>
        <w:pStyle w:val="Body"/>
        <w:spacing w:after="0"/>
        <w:rPr>
          <w:rFonts w:ascii="Arial" w:hAnsi="Arial" w:cs="Arial"/>
          <w:color w:val="000000" w:themeColor="text1"/>
        </w:rPr>
      </w:pPr>
    </w:p>
    <w:p w14:paraId="13881D84" w14:textId="77777777" w:rsidR="00B33460" w:rsidRPr="008E235D" w:rsidRDefault="00B33460" w:rsidP="00B33460">
      <w:pPr>
        <w:pStyle w:val="Body"/>
        <w:rPr>
          <w:rFonts w:ascii="Arial" w:hAnsi="Arial" w:cs="Arial"/>
          <w:b/>
          <w:color w:val="000000" w:themeColor="text1"/>
          <w:u w:val="single"/>
        </w:rPr>
      </w:pPr>
      <w:r w:rsidRPr="008E235D">
        <w:rPr>
          <w:rFonts w:ascii="Arial" w:hAnsi="Arial" w:cs="Arial"/>
          <w:b/>
          <w:color w:val="000000" w:themeColor="text1"/>
          <w:u w:val="single"/>
        </w:rPr>
        <w:t>2.2.1 Animal model</w:t>
      </w:r>
    </w:p>
    <w:p w14:paraId="67E10567" w14:textId="77777777" w:rsidR="00B33460" w:rsidRPr="008E235D" w:rsidRDefault="00B33460" w:rsidP="00B33460">
      <w:pPr>
        <w:pStyle w:val="Body"/>
        <w:rPr>
          <w:rFonts w:ascii="Arial" w:hAnsi="Arial" w:cs="Arial"/>
          <w:color w:val="000000" w:themeColor="text1"/>
        </w:rPr>
      </w:pPr>
      <w:r w:rsidRPr="008E235D">
        <w:rPr>
          <w:rFonts w:ascii="Arial" w:hAnsi="Arial" w:cs="Arial"/>
          <w:color w:val="000000" w:themeColor="text1"/>
        </w:rPr>
        <w:lastRenderedPageBreak/>
        <w:t xml:space="preserve">Adult swiss albino mice of either sex, weighing 25–35 g and aged approximately 6 weeks, were obtained from the animal house facility of </w:t>
      </w:r>
      <w:proofErr w:type="spellStart"/>
      <w:r w:rsidRPr="008E235D">
        <w:rPr>
          <w:rFonts w:ascii="Arial" w:hAnsi="Arial" w:cs="Arial"/>
          <w:color w:val="000000" w:themeColor="text1"/>
        </w:rPr>
        <w:t>Sudhakarrao</w:t>
      </w:r>
      <w:proofErr w:type="spellEnd"/>
      <w:r w:rsidRPr="008E235D">
        <w:rPr>
          <w:rFonts w:ascii="Arial" w:hAnsi="Arial" w:cs="Arial"/>
          <w:color w:val="000000" w:themeColor="text1"/>
        </w:rPr>
        <w:t xml:space="preserve"> Naik Institute of Pharmacy, </w:t>
      </w:r>
      <w:proofErr w:type="spellStart"/>
      <w:r w:rsidRPr="008E235D">
        <w:rPr>
          <w:rFonts w:ascii="Arial" w:hAnsi="Arial" w:cs="Arial"/>
          <w:color w:val="000000" w:themeColor="text1"/>
        </w:rPr>
        <w:t>Pusad</w:t>
      </w:r>
      <w:proofErr w:type="spellEnd"/>
      <w:r w:rsidRPr="008E235D">
        <w:rPr>
          <w:rFonts w:ascii="Arial" w:hAnsi="Arial" w:cs="Arial"/>
          <w:color w:val="000000" w:themeColor="text1"/>
        </w:rPr>
        <w:t>, Maharashtra, India. The animals were maintained in accordance with the guidelines of the Committee for the Purpose of Control and Supervision of Experiments on Animals (CPCSEA), Government of India, before and during the experimental period. They were housed in polypropylene cages under controlled environmental conditions (24 ± 2 °C, 12 hours light/dark cycle) and provided ad libitum access to a standard pellet diet and purified water. The experimental protocol was reviewed and approved by the Institutional Animal Ethics Committee (IAEC) of the institute.</w:t>
      </w:r>
    </w:p>
    <w:p w14:paraId="3E991FF4" w14:textId="77777777" w:rsidR="00B33460" w:rsidRPr="008E235D" w:rsidRDefault="00B33460" w:rsidP="00B33460">
      <w:pPr>
        <w:pStyle w:val="Body"/>
        <w:rPr>
          <w:rFonts w:ascii="Arial" w:hAnsi="Arial" w:cs="Arial"/>
          <w:b/>
          <w:color w:val="000000" w:themeColor="text1"/>
          <w:u w:val="single"/>
        </w:rPr>
      </w:pPr>
      <w:r w:rsidRPr="008E235D">
        <w:rPr>
          <w:rFonts w:ascii="Arial" w:hAnsi="Arial" w:cs="Arial"/>
          <w:b/>
          <w:color w:val="000000" w:themeColor="text1"/>
          <w:u w:val="single"/>
        </w:rPr>
        <w:t>2.2.2 Study design</w:t>
      </w:r>
    </w:p>
    <w:p w14:paraId="136B9DD3" w14:textId="77777777" w:rsidR="00B33460" w:rsidRPr="008E235D" w:rsidRDefault="00B33460" w:rsidP="00B33460">
      <w:pPr>
        <w:pStyle w:val="Body"/>
        <w:rPr>
          <w:rFonts w:ascii="Arial" w:hAnsi="Arial" w:cs="Arial"/>
          <w:color w:val="000000" w:themeColor="text1"/>
        </w:rPr>
      </w:pPr>
      <w:r w:rsidRPr="008E235D">
        <w:rPr>
          <w:rFonts w:ascii="Arial" w:hAnsi="Arial" w:cs="Arial"/>
          <w:color w:val="000000" w:themeColor="text1"/>
        </w:rPr>
        <w:t xml:space="preserve">Swiss albino mice were randomly divided into four groups, each consisting of three animals. All animals were acclimatized to the laboratory environment for 7 days prior to the start of the experiment under controlled conditions (25 ± 2 °C, 12 hours light/dark cycle) with free access to standard chow and water. To minimize stress from handling, cages were cleaned once weekly. Mice were of comparable body weight (25–35 g), and each group was assigned a specific identification code. </w:t>
      </w:r>
    </w:p>
    <w:p w14:paraId="22925463" w14:textId="77777777" w:rsidR="00B33460" w:rsidRPr="008E235D" w:rsidRDefault="00B33460" w:rsidP="001C0E94">
      <w:pPr>
        <w:pStyle w:val="Body"/>
        <w:spacing w:after="0"/>
        <w:rPr>
          <w:rFonts w:ascii="Arial" w:hAnsi="Arial" w:cs="Arial"/>
          <w:color w:val="000000" w:themeColor="text1"/>
        </w:rPr>
      </w:pPr>
      <w:r w:rsidRPr="008E235D">
        <w:rPr>
          <w:rFonts w:ascii="Arial" w:hAnsi="Arial" w:cs="Arial"/>
          <w:color w:val="000000" w:themeColor="text1"/>
        </w:rPr>
        <w:t xml:space="preserve">Group I (Vehicle control): Received saline solution along with food and water. </w:t>
      </w:r>
    </w:p>
    <w:p w14:paraId="62BC1E4C" w14:textId="77777777" w:rsidR="00B33460" w:rsidRPr="008E235D" w:rsidRDefault="00B33460" w:rsidP="001C0E94">
      <w:pPr>
        <w:pStyle w:val="Body"/>
        <w:spacing w:after="0"/>
        <w:rPr>
          <w:rFonts w:ascii="Arial" w:hAnsi="Arial" w:cs="Arial"/>
          <w:color w:val="000000" w:themeColor="text1"/>
        </w:rPr>
      </w:pPr>
      <w:r w:rsidRPr="008E235D">
        <w:rPr>
          <w:rFonts w:ascii="Arial" w:hAnsi="Arial" w:cs="Arial"/>
          <w:color w:val="000000" w:themeColor="text1"/>
        </w:rPr>
        <w:t xml:space="preserve">Group II (Stress control): Exposed to stress-inducing procedures without drug treatment. </w:t>
      </w:r>
    </w:p>
    <w:p w14:paraId="65E33C9F" w14:textId="77777777" w:rsidR="00B33460" w:rsidRPr="008E235D" w:rsidRDefault="00B33460" w:rsidP="001C0E94">
      <w:pPr>
        <w:pStyle w:val="Body"/>
        <w:spacing w:after="0"/>
        <w:rPr>
          <w:rFonts w:ascii="Arial" w:hAnsi="Arial" w:cs="Arial"/>
          <w:color w:val="000000" w:themeColor="text1"/>
        </w:rPr>
      </w:pPr>
      <w:r w:rsidRPr="008E235D">
        <w:rPr>
          <w:rFonts w:ascii="Arial" w:hAnsi="Arial" w:cs="Arial"/>
          <w:color w:val="000000" w:themeColor="text1"/>
        </w:rPr>
        <w:t xml:space="preserve">Group III (Standard): Received citalopram hydrobromide (10 mg/kg, p.o.) once daily for 4 weeks in combination with stress induction. </w:t>
      </w:r>
    </w:p>
    <w:p w14:paraId="599998FF" w14:textId="77777777" w:rsidR="00B33460" w:rsidRPr="008E235D" w:rsidRDefault="00B33460" w:rsidP="001C0E94">
      <w:pPr>
        <w:pStyle w:val="Body"/>
        <w:spacing w:after="0"/>
        <w:rPr>
          <w:rFonts w:ascii="Arial" w:hAnsi="Arial" w:cs="Arial"/>
          <w:color w:val="000000" w:themeColor="text1"/>
        </w:rPr>
      </w:pPr>
      <w:r w:rsidRPr="008E235D">
        <w:rPr>
          <w:rFonts w:ascii="Arial" w:hAnsi="Arial" w:cs="Arial"/>
          <w:color w:val="000000" w:themeColor="text1"/>
        </w:rPr>
        <w:t>Group IV (Test): Received a combination of citalopram hydrobromide (10 mg/kg, p.o.), vitamin C (1 mg/kg, p.o.), and probiotics (0.2 mL, p.o.) once daily for 4 weeks in combination with stress induction.</w:t>
      </w:r>
    </w:p>
    <w:p w14:paraId="748F446D" w14:textId="77777777" w:rsidR="00B33460" w:rsidRPr="008E235D" w:rsidRDefault="00B33460" w:rsidP="00B33460">
      <w:pPr>
        <w:pStyle w:val="Body"/>
        <w:rPr>
          <w:rFonts w:ascii="Arial" w:hAnsi="Arial" w:cs="Arial"/>
          <w:color w:val="000000" w:themeColor="text1"/>
        </w:rPr>
      </w:pPr>
      <w:r w:rsidRPr="008E235D">
        <w:rPr>
          <w:rFonts w:ascii="Arial" w:hAnsi="Arial" w:cs="Arial"/>
          <w:color w:val="000000" w:themeColor="text1"/>
        </w:rPr>
        <w:t>Stress was induced using the following procedures: (</w:t>
      </w:r>
      <w:proofErr w:type="spellStart"/>
      <w:r w:rsidRPr="008E235D">
        <w:rPr>
          <w:rFonts w:ascii="Arial" w:hAnsi="Arial" w:cs="Arial"/>
          <w:color w:val="000000" w:themeColor="text1"/>
        </w:rPr>
        <w:t>i</w:t>
      </w:r>
      <w:proofErr w:type="spellEnd"/>
      <w:r w:rsidRPr="008E235D">
        <w:rPr>
          <w:rFonts w:ascii="Arial" w:hAnsi="Arial" w:cs="Arial"/>
          <w:color w:val="000000" w:themeColor="text1"/>
        </w:rPr>
        <w:t xml:space="preserve">) empty water bottles (23 hours water deprivation followed by </w:t>
      </w:r>
      <w:proofErr w:type="gramStart"/>
      <w:r w:rsidRPr="008E235D">
        <w:rPr>
          <w:rFonts w:ascii="Arial" w:hAnsi="Arial" w:cs="Arial"/>
          <w:color w:val="000000" w:themeColor="text1"/>
        </w:rPr>
        <w:t>1 hour</w:t>
      </w:r>
      <w:proofErr w:type="gramEnd"/>
      <w:r w:rsidRPr="008E235D">
        <w:rPr>
          <w:rFonts w:ascii="Arial" w:hAnsi="Arial" w:cs="Arial"/>
          <w:color w:val="000000" w:themeColor="text1"/>
        </w:rPr>
        <w:t xml:space="preserve"> access), (ii) food or water deprivation (23 hours deprivation followed by 1 hour access), and (iii) cold water swimming at 4 °C for 5 minutes. Each stressor was applied individually on different days in a randomized manner over a </w:t>
      </w:r>
      <w:proofErr w:type="gramStart"/>
      <w:r w:rsidRPr="008E235D">
        <w:rPr>
          <w:rFonts w:ascii="Arial" w:hAnsi="Arial" w:cs="Arial"/>
          <w:color w:val="000000" w:themeColor="text1"/>
        </w:rPr>
        <w:t>4 week</w:t>
      </w:r>
      <w:proofErr w:type="gramEnd"/>
      <w:r w:rsidRPr="008E235D">
        <w:rPr>
          <w:rFonts w:ascii="Arial" w:hAnsi="Arial" w:cs="Arial"/>
          <w:color w:val="000000" w:themeColor="text1"/>
        </w:rPr>
        <w:t xml:space="preserve"> period. Behavioral assessments for antidepressant activity were conducted 1 hour after the final drug administration </w:t>
      </w:r>
      <w:r w:rsidR="0085491D" w:rsidRPr="008E235D">
        <w:rPr>
          <w:rFonts w:ascii="Arial" w:hAnsi="Arial" w:cs="Arial"/>
          <w:color w:val="000000" w:themeColor="text1"/>
        </w:rPr>
        <w:t>(</w:t>
      </w:r>
      <w:r w:rsidR="0085491D" w:rsidRPr="008E235D">
        <w:rPr>
          <w:color w:val="000000" w:themeColor="text1"/>
        </w:rPr>
        <w:t>Abdalla, 2018; Ganesh, 2016)</w:t>
      </w:r>
      <w:r w:rsidR="0085491D" w:rsidRPr="008E235D">
        <w:rPr>
          <w:rFonts w:ascii="Arial" w:hAnsi="Arial" w:cs="Arial"/>
          <w:color w:val="000000" w:themeColor="text1"/>
        </w:rPr>
        <w:t>.</w:t>
      </w:r>
    </w:p>
    <w:p w14:paraId="374108FA" w14:textId="77777777" w:rsidR="00B33460" w:rsidRPr="008E235D" w:rsidRDefault="00B33460" w:rsidP="00B33460">
      <w:pPr>
        <w:pStyle w:val="Body"/>
        <w:rPr>
          <w:rFonts w:ascii="Arial" w:hAnsi="Arial" w:cs="Arial"/>
          <w:color w:val="000000" w:themeColor="text1"/>
        </w:rPr>
      </w:pPr>
      <w:r w:rsidRPr="008E235D">
        <w:rPr>
          <w:rFonts w:ascii="Arial" w:hAnsi="Arial" w:cs="Arial"/>
          <w:color w:val="000000" w:themeColor="text1"/>
        </w:rPr>
        <w:t>To evaluate the antidepressant activity of the proposed treatment, immobility time was measured as the primary parameter. Immobility was defined as the absence of all movement except those necessary for respiration. A reduction in immobility time is indicative of antidepressant-like activity. Conversely, mobility was characterized by escape-oriented behaviors exhibited by the animals in response to the induced state of despair. The immobility time of the treatment groups was compared with that of the standard d</w:t>
      </w:r>
      <w:r w:rsidR="0085491D" w:rsidRPr="008E235D">
        <w:rPr>
          <w:rFonts w:ascii="Arial" w:hAnsi="Arial" w:cs="Arial"/>
          <w:color w:val="000000" w:themeColor="text1"/>
        </w:rPr>
        <w:t>rug, citalopram hydrobromide (</w:t>
      </w:r>
      <w:r w:rsidR="0085491D" w:rsidRPr="008E235D">
        <w:rPr>
          <w:color w:val="000000" w:themeColor="text1"/>
        </w:rPr>
        <w:t>Abdalla, 2018).</w:t>
      </w:r>
    </w:p>
    <w:p w14:paraId="55023091" w14:textId="77777777" w:rsidR="0029721D" w:rsidRPr="008E235D" w:rsidRDefault="0029721D" w:rsidP="0029721D">
      <w:pPr>
        <w:pStyle w:val="Body"/>
        <w:rPr>
          <w:rFonts w:ascii="Arial" w:hAnsi="Arial" w:cs="Arial"/>
          <w:b/>
          <w:color w:val="000000" w:themeColor="text1"/>
          <w:u w:val="single"/>
        </w:rPr>
      </w:pPr>
      <w:r w:rsidRPr="008E235D">
        <w:rPr>
          <w:rFonts w:ascii="Arial" w:hAnsi="Arial" w:cs="Arial"/>
          <w:b/>
          <w:color w:val="000000" w:themeColor="text1"/>
          <w:u w:val="single"/>
        </w:rPr>
        <w:t>2.2.3 Assessment for antidepressant activity</w:t>
      </w:r>
    </w:p>
    <w:p w14:paraId="500E0B08" w14:textId="77777777" w:rsidR="0029721D" w:rsidRPr="008E235D" w:rsidRDefault="0029721D" w:rsidP="0029721D">
      <w:pPr>
        <w:pStyle w:val="Body"/>
        <w:rPr>
          <w:rFonts w:ascii="Arial" w:hAnsi="Arial" w:cs="Arial"/>
          <w:i/>
          <w:color w:val="000000" w:themeColor="text1"/>
        </w:rPr>
      </w:pPr>
      <w:r w:rsidRPr="008E235D">
        <w:rPr>
          <w:rFonts w:ascii="Arial" w:hAnsi="Arial" w:cs="Arial"/>
          <w:i/>
          <w:color w:val="000000" w:themeColor="text1"/>
        </w:rPr>
        <w:t>2.2.3.1 Forced swimming test</w:t>
      </w:r>
    </w:p>
    <w:p w14:paraId="45CA2260" w14:textId="77777777" w:rsidR="0029721D" w:rsidRPr="008E235D" w:rsidRDefault="0029721D" w:rsidP="0029721D">
      <w:pPr>
        <w:pStyle w:val="Body"/>
        <w:rPr>
          <w:rFonts w:ascii="Arial" w:hAnsi="Arial" w:cs="Arial"/>
          <w:color w:val="000000" w:themeColor="text1"/>
        </w:rPr>
      </w:pPr>
      <w:r w:rsidRPr="008E235D">
        <w:rPr>
          <w:rFonts w:ascii="Arial" w:hAnsi="Arial" w:cs="Arial"/>
          <w:color w:val="000000" w:themeColor="text1"/>
        </w:rPr>
        <w:t xml:space="preserve">The forced swim test is a well-established behavioral paradigm in rodents that predicts the clinical efficacy of antidepressant treatments. Following the respective treatments, mice were individually placed in an open cylindrical container (10 cm in diameter, 25 cm in height) filled with water to a depth of 19 cm, maintained at 25 ± 1 °C. Each animal underwent a 6 minutes test session, during which the total duration of immobility was recorded in seconds. Immobility was defined as the time the mouse remained floating motionless in the water, making only the minimal movements required to keep its head above the surface. Behavioral observations were recorded on days 1, 15, and 21 of treatment </w:t>
      </w:r>
      <w:r w:rsidR="00025123" w:rsidRPr="008E235D">
        <w:rPr>
          <w:rFonts w:ascii="Arial" w:hAnsi="Arial" w:cs="Arial"/>
          <w:color w:val="000000" w:themeColor="text1"/>
        </w:rPr>
        <w:t>(</w:t>
      </w:r>
      <w:r w:rsidR="00025123" w:rsidRPr="008E235D">
        <w:rPr>
          <w:color w:val="000000" w:themeColor="text1"/>
        </w:rPr>
        <w:t xml:space="preserve">Abdalla, 2018; Commons, </w:t>
      </w:r>
      <w:r w:rsidR="00025123" w:rsidRPr="008E235D">
        <w:rPr>
          <w:color w:val="000000" w:themeColor="text1"/>
        </w:rPr>
        <w:lastRenderedPageBreak/>
        <w:t>2017)</w:t>
      </w:r>
      <w:r w:rsidRPr="008E235D">
        <w:rPr>
          <w:rFonts w:ascii="Arial" w:hAnsi="Arial" w:cs="Arial"/>
          <w:color w:val="000000" w:themeColor="text1"/>
        </w:rPr>
        <w:t>. Data were analyzed using one-way analysis of variance (ANOVA), followed by Tukey’s multiple comparison test. Results were expressed as mean ± standard error of the mean. Statistical significance was considered at *p&lt;0.05, **p&lt;0.01, ***p&lt;0.001.</w:t>
      </w:r>
    </w:p>
    <w:p w14:paraId="76958900" w14:textId="77777777" w:rsidR="0029721D" w:rsidRPr="008E235D" w:rsidRDefault="0029721D" w:rsidP="0029721D">
      <w:pPr>
        <w:pStyle w:val="Body"/>
        <w:rPr>
          <w:rFonts w:ascii="Arial" w:hAnsi="Arial" w:cs="Arial"/>
          <w:b/>
          <w:i/>
          <w:color w:val="000000" w:themeColor="text1"/>
        </w:rPr>
      </w:pPr>
      <w:r w:rsidRPr="008E235D">
        <w:rPr>
          <w:rFonts w:ascii="Arial" w:hAnsi="Arial" w:cs="Arial"/>
          <w:i/>
          <w:color w:val="000000" w:themeColor="text1"/>
        </w:rPr>
        <w:t>2.2.3.2 Tail suspension test</w:t>
      </w:r>
    </w:p>
    <w:p w14:paraId="61B5B3D1" w14:textId="77777777" w:rsidR="0029721D" w:rsidRPr="008E235D" w:rsidRDefault="0029721D" w:rsidP="0029721D">
      <w:pPr>
        <w:pStyle w:val="Body"/>
        <w:rPr>
          <w:rFonts w:ascii="Arial" w:hAnsi="Arial" w:cs="Arial"/>
          <w:color w:val="000000" w:themeColor="text1"/>
        </w:rPr>
      </w:pPr>
      <w:r w:rsidRPr="008E235D">
        <w:rPr>
          <w:rFonts w:ascii="Arial" w:hAnsi="Arial" w:cs="Arial"/>
          <w:color w:val="000000" w:themeColor="text1"/>
        </w:rPr>
        <w:t xml:space="preserve">The tail suspension test is a widely employed behavioral model in rodents to evaluate depression-like behavior and the potential antidepressant effects of pharmacological interventions. Following the respective treatments, mice were individually suspended by the tail using an adhesive clamp placed 10 mm from the tip of the tail. The animals were suspended inside a sound-attenuated box (250 × 250 × 300 mm), with the head positioned 50 mm above the bottom of the apparatus. The test was conducted in a dark room with minimal background noise to avoid external stressors. Each mouse was suspended for a total duration of 6 minutes, during which the time spent immobile was recorded. Immobility was defined as the absence of active movements, with the mouse hanging passively and motionless. Measurements were taken on days 1, 15, and 21 of treatment </w:t>
      </w:r>
      <w:r w:rsidR="00025123" w:rsidRPr="008E235D">
        <w:rPr>
          <w:rFonts w:ascii="Arial" w:hAnsi="Arial" w:cs="Arial"/>
          <w:color w:val="000000" w:themeColor="text1"/>
        </w:rPr>
        <w:t>(</w:t>
      </w:r>
      <w:r w:rsidR="00025123" w:rsidRPr="008E235D">
        <w:rPr>
          <w:color w:val="000000" w:themeColor="text1"/>
        </w:rPr>
        <w:t>Abdalla, 2018; Ganesh, 2016)</w:t>
      </w:r>
      <w:r w:rsidR="00025123" w:rsidRPr="008E235D">
        <w:rPr>
          <w:rFonts w:ascii="Arial" w:hAnsi="Arial" w:cs="Arial"/>
          <w:color w:val="000000" w:themeColor="text1"/>
        </w:rPr>
        <w:t xml:space="preserve">. </w:t>
      </w:r>
      <w:r w:rsidRPr="008E235D">
        <w:rPr>
          <w:rFonts w:ascii="Arial" w:hAnsi="Arial" w:cs="Arial"/>
          <w:color w:val="000000" w:themeColor="text1"/>
        </w:rPr>
        <w:t>Data were analyzed using one-way ANOVA, followed by Tukey’s multiple comparison test. Results were expressed as mean ± standard error of the mean. Statistical significance was set at *p&lt;0.05, **p&lt;0.01, ***p&lt;0.001.</w:t>
      </w:r>
    </w:p>
    <w:p w14:paraId="12C04BA5" w14:textId="77777777" w:rsidR="0029721D" w:rsidRPr="008E235D" w:rsidRDefault="0029721D" w:rsidP="0029721D">
      <w:pPr>
        <w:pStyle w:val="Body"/>
        <w:rPr>
          <w:rFonts w:ascii="Arial" w:hAnsi="Arial" w:cs="Arial"/>
          <w:b/>
          <w:color w:val="000000" w:themeColor="text1"/>
          <w:u w:val="single"/>
        </w:rPr>
      </w:pPr>
      <w:r w:rsidRPr="008E235D">
        <w:rPr>
          <w:rFonts w:ascii="Arial" w:hAnsi="Arial" w:cs="Arial"/>
          <w:b/>
          <w:color w:val="000000" w:themeColor="text1"/>
          <w:u w:val="single"/>
        </w:rPr>
        <w:t>2.2.4 Assessment of locomotor activity</w:t>
      </w:r>
    </w:p>
    <w:p w14:paraId="7622AFF0" w14:textId="77777777" w:rsidR="0029721D" w:rsidRPr="008E235D" w:rsidRDefault="0029721D" w:rsidP="0029721D">
      <w:pPr>
        <w:pStyle w:val="Body"/>
        <w:rPr>
          <w:rFonts w:ascii="Arial" w:hAnsi="Arial" w:cs="Arial"/>
          <w:color w:val="000000" w:themeColor="text1"/>
        </w:rPr>
      </w:pPr>
      <w:r w:rsidRPr="008E235D">
        <w:rPr>
          <w:rFonts w:ascii="Arial" w:hAnsi="Arial" w:cs="Arial"/>
          <w:color w:val="000000" w:themeColor="text1"/>
        </w:rPr>
        <w:t xml:space="preserve">Locomotor activity (horizontal movement) was assessed using an </w:t>
      </w:r>
      <w:proofErr w:type="spellStart"/>
      <w:r w:rsidRPr="008E235D">
        <w:rPr>
          <w:rFonts w:ascii="Arial" w:hAnsi="Arial" w:cs="Arial"/>
          <w:color w:val="000000" w:themeColor="text1"/>
        </w:rPr>
        <w:t>actophotometer</w:t>
      </w:r>
      <w:proofErr w:type="spellEnd"/>
      <w:r w:rsidRPr="008E235D">
        <w:rPr>
          <w:rFonts w:ascii="Arial" w:hAnsi="Arial" w:cs="Arial"/>
          <w:color w:val="000000" w:themeColor="text1"/>
        </w:rPr>
        <w:t xml:space="preserve">, which functions on the principle of photoelectric cells connected in circuit with a counter. When the animal interrupted the light beam, a count was automatically recorded. Following treatment, each animal was individually placed in the </w:t>
      </w:r>
      <w:proofErr w:type="spellStart"/>
      <w:r w:rsidRPr="008E235D">
        <w:rPr>
          <w:rFonts w:ascii="Arial" w:hAnsi="Arial" w:cs="Arial"/>
          <w:color w:val="000000" w:themeColor="text1"/>
        </w:rPr>
        <w:t>actophotometer</w:t>
      </w:r>
      <w:proofErr w:type="spellEnd"/>
      <w:r w:rsidRPr="008E235D">
        <w:rPr>
          <w:rFonts w:ascii="Arial" w:hAnsi="Arial" w:cs="Arial"/>
          <w:color w:val="000000" w:themeColor="text1"/>
        </w:rPr>
        <w:t xml:space="preserve"> for a 10 minutes session, and the locomotor activity score was documented. Recordings were taken on d</w:t>
      </w:r>
      <w:r w:rsidR="00BD6201" w:rsidRPr="008E235D">
        <w:rPr>
          <w:rFonts w:ascii="Arial" w:hAnsi="Arial" w:cs="Arial"/>
          <w:color w:val="000000" w:themeColor="text1"/>
        </w:rPr>
        <w:t>ays 1, 15, and 21 of treatment (</w:t>
      </w:r>
      <w:r w:rsidR="00BD6201" w:rsidRPr="008E235D">
        <w:rPr>
          <w:color w:val="000000" w:themeColor="text1"/>
        </w:rPr>
        <w:t>Bhosale, 2011</w:t>
      </w:r>
      <w:r w:rsidR="00920178" w:rsidRPr="008E235D">
        <w:rPr>
          <w:color w:val="000000" w:themeColor="text1"/>
        </w:rPr>
        <w:t>; Gupta, 2014</w:t>
      </w:r>
      <w:r w:rsidR="00BD6201" w:rsidRPr="008E235D">
        <w:rPr>
          <w:color w:val="000000" w:themeColor="text1"/>
        </w:rPr>
        <w:t>)</w:t>
      </w:r>
      <w:r w:rsidRPr="008E235D">
        <w:rPr>
          <w:rFonts w:ascii="Arial" w:hAnsi="Arial" w:cs="Arial"/>
          <w:color w:val="000000" w:themeColor="text1"/>
        </w:rPr>
        <w:t>. Data were analyzed using one-way ANOVA, followed by Tukey’s multiple comparison test. Results were expressed as mean ± standard error of the mean. Statistical significance was set at *p&lt;0.05, **p&lt;0.01, ***p&lt;0.001.</w:t>
      </w:r>
    </w:p>
    <w:p w14:paraId="2BC47077" w14:textId="77777777" w:rsidR="00902823" w:rsidRPr="008E235D" w:rsidRDefault="00000F8F" w:rsidP="00441B6F">
      <w:pPr>
        <w:pStyle w:val="Head1"/>
        <w:spacing w:after="0"/>
        <w:jc w:val="both"/>
        <w:rPr>
          <w:rFonts w:ascii="Arial" w:hAnsi="Arial" w:cs="Arial"/>
          <w:color w:val="000000" w:themeColor="text1"/>
        </w:rPr>
      </w:pPr>
      <w:r w:rsidRPr="008E235D">
        <w:rPr>
          <w:rFonts w:ascii="Arial" w:hAnsi="Arial" w:cs="Arial"/>
          <w:color w:val="000000" w:themeColor="text1"/>
        </w:rPr>
        <w:t>3</w:t>
      </w:r>
      <w:r w:rsidR="00902823" w:rsidRPr="008E235D">
        <w:rPr>
          <w:rFonts w:ascii="Arial" w:hAnsi="Arial" w:cs="Arial"/>
          <w:color w:val="000000" w:themeColor="text1"/>
        </w:rPr>
        <w:t xml:space="preserve">. </w:t>
      </w:r>
      <w:r w:rsidRPr="008E235D">
        <w:rPr>
          <w:rFonts w:ascii="Arial" w:hAnsi="Arial" w:cs="Arial"/>
          <w:color w:val="000000" w:themeColor="text1"/>
        </w:rPr>
        <w:t>results and discussion</w:t>
      </w:r>
    </w:p>
    <w:p w14:paraId="2A1B5CD3" w14:textId="77777777" w:rsidR="00790ADA" w:rsidRPr="008E235D" w:rsidRDefault="00790ADA" w:rsidP="00441B6F">
      <w:pPr>
        <w:pStyle w:val="Head1"/>
        <w:spacing w:after="0"/>
        <w:jc w:val="both"/>
        <w:rPr>
          <w:rFonts w:ascii="Arial" w:hAnsi="Arial" w:cs="Arial"/>
          <w:color w:val="000000" w:themeColor="text1"/>
        </w:rPr>
      </w:pPr>
    </w:p>
    <w:p w14:paraId="76C4CB16" w14:textId="77777777" w:rsidR="005A4319" w:rsidRPr="008E235D" w:rsidRDefault="005A4319" w:rsidP="005A4319">
      <w:pPr>
        <w:pStyle w:val="Body"/>
        <w:rPr>
          <w:rFonts w:ascii="Arial" w:hAnsi="Arial" w:cs="Arial"/>
          <w:b/>
          <w:color w:val="000000" w:themeColor="text1"/>
          <w:sz w:val="22"/>
        </w:rPr>
      </w:pPr>
      <w:r w:rsidRPr="008E235D">
        <w:rPr>
          <w:rFonts w:ascii="Arial" w:hAnsi="Arial" w:cs="Arial"/>
          <w:b/>
          <w:caps/>
          <w:color w:val="000000" w:themeColor="text1"/>
          <w:sz w:val="22"/>
        </w:rPr>
        <w:t xml:space="preserve">3.1 </w:t>
      </w:r>
      <w:r w:rsidRPr="008E235D">
        <w:rPr>
          <w:rFonts w:ascii="Arial" w:hAnsi="Arial" w:cs="Arial"/>
          <w:b/>
          <w:color w:val="000000" w:themeColor="text1"/>
          <w:sz w:val="22"/>
        </w:rPr>
        <w:t>Assessment for antidepressant activity</w:t>
      </w:r>
    </w:p>
    <w:p w14:paraId="76B01349" w14:textId="77777777" w:rsidR="005A4319" w:rsidRPr="008E235D" w:rsidRDefault="005A4319" w:rsidP="005A4319">
      <w:pPr>
        <w:pStyle w:val="Body"/>
        <w:rPr>
          <w:rFonts w:ascii="Arial" w:hAnsi="Arial" w:cs="Arial"/>
          <w:b/>
          <w:color w:val="000000" w:themeColor="text1"/>
          <w:u w:val="single"/>
        </w:rPr>
      </w:pPr>
      <w:r w:rsidRPr="008E235D">
        <w:rPr>
          <w:rFonts w:ascii="Arial" w:hAnsi="Arial" w:cs="Arial"/>
          <w:b/>
          <w:color w:val="000000" w:themeColor="text1"/>
          <w:u w:val="single"/>
        </w:rPr>
        <w:t>3.1.1 Forced swimming test</w:t>
      </w:r>
    </w:p>
    <w:p w14:paraId="5BE0C0F1" w14:textId="77777777" w:rsidR="005A4319" w:rsidRPr="008E235D" w:rsidRDefault="00A3717C" w:rsidP="005A4319">
      <w:pPr>
        <w:pStyle w:val="Body"/>
        <w:rPr>
          <w:rFonts w:ascii="Arial" w:hAnsi="Arial" w:cs="Arial"/>
          <w:color w:val="000000" w:themeColor="text1"/>
        </w:rPr>
      </w:pPr>
      <w:r>
        <w:rPr>
          <w:rFonts w:ascii="Arial" w:hAnsi="Arial" w:cs="Arial"/>
          <w:color w:val="000000" w:themeColor="text1"/>
        </w:rPr>
        <w:t>The data in table 1</w:t>
      </w:r>
      <w:r w:rsidR="005A4319" w:rsidRPr="008E235D">
        <w:rPr>
          <w:rFonts w:ascii="Arial" w:hAnsi="Arial" w:cs="Arial"/>
          <w:color w:val="000000" w:themeColor="text1"/>
        </w:rPr>
        <w:t xml:space="preserve"> represent the effects of different treatments on immobility time in a stress-induced animal model, likely assessing depressive-like behavior. Group I, the vehicle control, showed stable immobility times around 184–187 seconds across the study period, representing normal baseline behavior. In contrast, Group II, the stress control, exhibited significantly increased immobility (233–239 seconds), indicating that the stress protocol successfully induced depressive-like behavior, as evidenced by the highly significant differences compared to the vehicle control (p &lt; 0.0001). Group III, which received a standard antidepressant treatment, demonstrated a progressive reduction in immobility over time (from 172 seconds to 148 seconds), showing a highly significant improvement compared to the stress control (p &lt; 0.0001), confirming the efficacy of the standard treatment in reversing stress-induced behavioral deficits. Group IV, treated with the test compound, showed a similar trend with reduced immobility (from 153 seconds to 138 seconds), with significance both compared to the stress control (p &lt; 0.0001) and, in some instances, compared to the standard treatment (p &lt; 0.05–0.001). Notably, by Day 28, the test treatment group exhibited lower immobility than the standard treatment group, suggesting a potentially stronger or more sustained antidepressant-like effect. Overall, the </w:t>
      </w:r>
      <w:r w:rsidR="005A4319" w:rsidRPr="008E235D">
        <w:rPr>
          <w:rFonts w:ascii="Arial" w:hAnsi="Arial" w:cs="Arial"/>
          <w:color w:val="000000" w:themeColor="text1"/>
        </w:rPr>
        <w:lastRenderedPageBreak/>
        <w:t>results indicate that the stress model effectively induced depressive-like behavior, which was significantly ameliorated by both standard and test treatments, with the test treatment showing particularly promising effica</w:t>
      </w:r>
      <w:r w:rsidR="003607C5">
        <w:rPr>
          <w:rFonts w:ascii="Arial" w:hAnsi="Arial" w:cs="Arial"/>
          <w:color w:val="000000" w:themeColor="text1"/>
        </w:rPr>
        <w:t>cy over the study period (Fig.</w:t>
      </w:r>
      <w:r>
        <w:rPr>
          <w:rFonts w:ascii="Arial" w:hAnsi="Arial" w:cs="Arial"/>
          <w:color w:val="000000" w:themeColor="text1"/>
        </w:rPr>
        <w:t xml:space="preserve"> </w:t>
      </w:r>
      <w:r w:rsidR="005A4319" w:rsidRPr="008E235D">
        <w:rPr>
          <w:rFonts w:ascii="Arial" w:hAnsi="Arial" w:cs="Arial"/>
          <w:color w:val="000000" w:themeColor="text1"/>
        </w:rPr>
        <w:t>1).</w:t>
      </w:r>
    </w:p>
    <w:p w14:paraId="5856CD45" w14:textId="77777777" w:rsidR="00527699" w:rsidRPr="008E235D" w:rsidRDefault="00527699" w:rsidP="00DC398A">
      <w:pPr>
        <w:pStyle w:val="Body"/>
        <w:spacing w:after="0"/>
        <w:jc w:val="center"/>
        <w:rPr>
          <w:rFonts w:ascii="Arial" w:hAnsi="Arial" w:cs="Arial"/>
          <w:b/>
          <w:color w:val="000000" w:themeColor="text1"/>
        </w:rPr>
      </w:pPr>
      <w:r w:rsidRPr="008E235D">
        <w:rPr>
          <w:rFonts w:ascii="Arial" w:hAnsi="Arial" w:cs="Arial"/>
          <w:b/>
          <w:color w:val="000000" w:themeColor="text1"/>
        </w:rPr>
        <w:t>Table 1. Immobility time of mice in the forced swim test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
        <w:gridCol w:w="1722"/>
        <w:gridCol w:w="1858"/>
        <w:gridCol w:w="1985"/>
        <w:gridCol w:w="1938"/>
      </w:tblGrid>
      <w:tr w:rsidR="00527699" w:rsidRPr="008E235D" w14:paraId="30DEEB16" w14:textId="77777777" w:rsidTr="00DC398A">
        <w:trPr>
          <w:trHeight w:val="168"/>
          <w:jc w:val="center"/>
        </w:trPr>
        <w:tc>
          <w:tcPr>
            <w:tcW w:w="547" w:type="pct"/>
            <w:vMerge w:val="restart"/>
            <w:tcBorders>
              <w:top w:val="single" w:sz="4" w:space="0" w:color="auto"/>
            </w:tcBorders>
            <w:vAlign w:val="center"/>
          </w:tcPr>
          <w:p w14:paraId="150DA33D" w14:textId="77777777" w:rsidR="00527699" w:rsidRPr="008E235D" w:rsidRDefault="00527699" w:rsidP="00527699">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Group</w:t>
            </w:r>
          </w:p>
        </w:tc>
        <w:tc>
          <w:tcPr>
            <w:tcW w:w="1022" w:type="pct"/>
            <w:vMerge w:val="restart"/>
            <w:tcBorders>
              <w:top w:val="single" w:sz="4" w:space="0" w:color="auto"/>
            </w:tcBorders>
            <w:vAlign w:val="center"/>
          </w:tcPr>
          <w:p w14:paraId="473C2677" w14:textId="77777777" w:rsidR="00527699" w:rsidRPr="008E235D" w:rsidRDefault="00527699" w:rsidP="00527699">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Treatment</w:t>
            </w:r>
          </w:p>
        </w:tc>
        <w:tc>
          <w:tcPr>
            <w:tcW w:w="3431" w:type="pct"/>
            <w:gridSpan w:val="3"/>
            <w:tcBorders>
              <w:top w:val="single" w:sz="4" w:space="0" w:color="auto"/>
              <w:bottom w:val="single" w:sz="4" w:space="0" w:color="auto"/>
            </w:tcBorders>
            <w:vAlign w:val="center"/>
          </w:tcPr>
          <w:p w14:paraId="699C6BC2" w14:textId="77777777" w:rsidR="00527699" w:rsidRPr="008E235D" w:rsidRDefault="00527699" w:rsidP="00527699">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Mean immobility time (in seconds)</w:t>
            </w:r>
          </w:p>
        </w:tc>
      </w:tr>
      <w:tr w:rsidR="00527699" w:rsidRPr="008E235D" w14:paraId="018644DA" w14:textId="77777777" w:rsidTr="00DC398A">
        <w:trPr>
          <w:trHeight w:val="150"/>
          <w:jc w:val="center"/>
        </w:trPr>
        <w:tc>
          <w:tcPr>
            <w:tcW w:w="547" w:type="pct"/>
            <w:vMerge/>
            <w:tcBorders>
              <w:bottom w:val="single" w:sz="4" w:space="0" w:color="auto"/>
            </w:tcBorders>
            <w:vAlign w:val="center"/>
          </w:tcPr>
          <w:p w14:paraId="72ED7D43" w14:textId="77777777" w:rsidR="00527699" w:rsidRPr="008E235D" w:rsidRDefault="00527699" w:rsidP="00527699">
            <w:pPr>
              <w:pStyle w:val="Body"/>
              <w:spacing w:after="0"/>
              <w:rPr>
                <w:rFonts w:ascii="Arial" w:hAnsi="Arial" w:cs="Arial"/>
                <w:b/>
                <w:color w:val="000000" w:themeColor="text1"/>
                <w:sz w:val="20"/>
                <w:szCs w:val="20"/>
              </w:rPr>
            </w:pPr>
          </w:p>
        </w:tc>
        <w:tc>
          <w:tcPr>
            <w:tcW w:w="1022" w:type="pct"/>
            <w:vMerge/>
            <w:tcBorders>
              <w:bottom w:val="single" w:sz="4" w:space="0" w:color="auto"/>
            </w:tcBorders>
            <w:vAlign w:val="center"/>
          </w:tcPr>
          <w:p w14:paraId="1BEB5E1D" w14:textId="77777777" w:rsidR="00527699" w:rsidRPr="008E235D" w:rsidRDefault="00527699" w:rsidP="00527699">
            <w:pPr>
              <w:pStyle w:val="Body"/>
              <w:spacing w:after="0"/>
              <w:rPr>
                <w:rFonts w:ascii="Arial" w:hAnsi="Arial" w:cs="Arial"/>
                <w:b/>
                <w:color w:val="000000" w:themeColor="text1"/>
                <w:sz w:val="20"/>
                <w:szCs w:val="20"/>
              </w:rPr>
            </w:pPr>
          </w:p>
        </w:tc>
        <w:tc>
          <w:tcPr>
            <w:tcW w:w="1103" w:type="pct"/>
            <w:tcBorders>
              <w:top w:val="single" w:sz="4" w:space="0" w:color="auto"/>
              <w:bottom w:val="single" w:sz="4" w:space="0" w:color="auto"/>
            </w:tcBorders>
            <w:vAlign w:val="center"/>
          </w:tcPr>
          <w:p w14:paraId="2F86523B" w14:textId="77777777" w:rsidR="00527699" w:rsidRPr="008E235D" w:rsidRDefault="00527699" w:rsidP="00527699">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Day 1</w:t>
            </w:r>
          </w:p>
        </w:tc>
        <w:tc>
          <w:tcPr>
            <w:tcW w:w="1178" w:type="pct"/>
            <w:tcBorders>
              <w:top w:val="single" w:sz="4" w:space="0" w:color="auto"/>
              <w:bottom w:val="single" w:sz="4" w:space="0" w:color="auto"/>
            </w:tcBorders>
            <w:vAlign w:val="center"/>
          </w:tcPr>
          <w:p w14:paraId="4F0D7727" w14:textId="77777777" w:rsidR="00527699" w:rsidRPr="008E235D" w:rsidRDefault="00527699" w:rsidP="00527699">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Day 15</w:t>
            </w:r>
          </w:p>
        </w:tc>
        <w:tc>
          <w:tcPr>
            <w:tcW w:w="1150" w:type="pct"/>
            <w:tcBorders>
              <w:top w:val="single" w:sz="4" w:space="0" w:color="auto"/>
              <w:bottom w:val="single" w:sz="4" w:space="0" w:color="auto"/>
            </w:tcBorders>
            <w:vAlign w:val="center"/>
          </w:tcPr>
          <w:p w14:paraId="52A0E537" w14:textId="77777777" w:rsidR="00527699" w:rsidRPr="008E235D" w:rsidRDefault="00527699" w:rsidP="00527699">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Day 28</w:t>
            </w:r>
          </w:p>
        </w:tc>
      </w:tr>
      <w:tr w:rsidR="00527699" w:rsidRPr="008E235D" w14:paraId="10540862" w14:textId="77777777" w:rsidTr="00DC398A">
        <w:trPr>
          <w:jc w:val="center"/>
        </w:trPr>
        <w:tc>
          <w:tcPr>
            <w:tcW w:w="547" w:type="pct"/>
            <w:tcBorders>
              <w:top w:val="single" w:sz="4" w:space="0" w:color="auto"/>
            </w:tcBorders>
            <w:vAlign w:val="center"/>
          </w:tcPr>
          <w:p w14:paraId="170C18D1"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I</w:t>
            </w:r>
          </w:p>
        </w:tc>
        <w:tc>
          <w:tcPr>
            <w:tcW w:w="1022" w:type="pct"/>
            <w:tcBorders>
              <w:top w:val="single" w:sz="4" w:space="0" w:color="auto"/>
            </w:tcBorders>
            <w:vAlign w:val="center"/>
          </w:tcPr>
          <w:p w14:paraId="4620D78D"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Vehicle Control</w:t>
            </w:r>
          </w:p>
        </w:tc>
        <w:tc>
          <w:tcPr>
            <w:tcW w:w="1103" w:type="pct"/>
            <w:tcBorders>
              <w:top w:val="single" w:sz="4" w:space="0" w:color="auto"/>
            </w:tcBorders>
            <w:vAlign w:val="center"/>
          </w:tcPr>
          <w:p w14:paraId="74FA2874"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187 ± 2.64</w:t>
            </w:r>
          </w:p>
        </w:tc>
        <w:tc>
          <w:tcPr>
            <w:tcW w:w="1178" w:type="pct"/>
            <w:tcBorders>
              <w:top w:val="single" w:sz="4" w:space="0" w:color="auto"/>
            </w:tcBorders>
            <w:vAlign w:val="center"/>
          </w:tcPr>
          <w:p w14:paraId="3BEEE5C6"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181 ± 1.52</w:t>
            </w:r>
          </w:p>
        </w:tc>
        <w:tc>
          <w:tcPr>
            <w:tcW w:w="1150" w:type="pct"/>
            <w:tcBorders>
              <w:top w:val="single" w:sz="4" w:space="0" w:color="auto"/>
            </w:tcBorders>
            <w:vAlign w:val="center"/>
          </w:tcPr>
          <w:p w14:paraId="56F1ABAE"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184.0 ± 2.30</w:t>
            </w:r>
          </w:p>
        </w:tc>
      </w:tr>
      <w:tr w:rsidR="00527699" w:rsidRPr="008E235D" w14:paraId="5C0BFA61" w14:textId="77777777" w:rsidTr="00DC398A">
        <w:trPr>
          <w:jc w:val="center"/>
        </w:trPr>
        <w:tc>
          <w:tcPr>
            <w:tcW w:w="547" w:type="pct"/>
            <w:vAlign w:val="center"/>
          </w:tcPr>
          <w:p w14:paraId="02D246BC"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II</w:t>
            </w:r>
          </w:p>
        </w:tc>
        <w:tc>
          <w:tcPr>
            <w:tcW w:w="1022" w:type="pct"/>
            <w:vAlign w:val="center"/>
          </w:tcPr>
          <w:p w14:paraId="57F05770"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Stress control</w:t>
            </w:r>
          </w:p>
        </w:tc>
        <w:tc>
          <w:tcPr>
            <w:tcW w:w="1103" w:type="pct"/>
            <w:vAlign w:val="center"/>
          </w:tcPr>
          <w:p w14:paraId="3A5745EC"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 xml:space="preserve">233.3 ± 2.7 </w:t>
            </w:r>
            <w:r w:rsidRPr="008E235D">
              <w:rPr>
                <w:rFonts w:ascii="Arial" w:hAnsi="Arial" w:cs="Arial"/>
                <w:color w:val="000000" w:themeColor="text1"/>
                <w:sz w:val="20"/>
                <w:szCs w:val="20"/>
                <w:vertAlign w:val="superscript"/>
              </w:rPr>
              <w:t>***</w:t>
            </w:r>
          </w:p>
        </w:tc>
        <w:tc>
          <w:tcPr>
            <w:tcW w:w="1178" w:type="pct"/>
            <w:vAlign w:val="center"/>
          </w:tcPr>
          <w:p w14:paraId="41223E3C"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236.7 ± 3.18</w:t>
            </w:r>
            <w:r w:rsidRPr="008E235D">
              <w:rPr>
                <w:rFonts w:ascii="Arial" w:hAnsi="Arial" w:cs="Arial"/>
                <w:color w:val="000000" w:themeColor="text1"/>
                <w:sz w:val="20"/>
                <w:szCs w:val="20"/>
                <w:vertAlign w:val="superscript"/>
              </w:rPr>
              <w:t>***</w:t>
            </w:r>
          </w:p>
        </w:tc>
        <w:tc>
          <w:tcPr>
            <w:tcW w:w="1150" w:type="pct"/>
            <w:vAlign w:val="center"/>
          </w:tcPr>
          <w:p w14:paraId="59BA52EB"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239.0 ± 2.30</w:t>
            </w:r>
            <w:r w:rsidRPr="008E235D">
              <w:rPr>
                <w:rFonts w:ascii="Arial" w:hAnsi="Arial" w:cs="Arial"/>
                <w:color w:val="000000" w:themeColor="text1"/>
                <w:sz w:val="20"/>
                <w:szCs w:val="20"/>
                <w:vertAlign w:val="superscript"/>
              </w:rPr>
              <w:t>***</w:t>
            </w:r>
          </w:p>
        </w:tc>
      </w:tr>
      <w:tr w:rsidR="00527699" w:rsidRPr="008E235D" w14:paraId="37E070A5" w14:textId="77777777" w:rsidTr="00DC398A">
        <w:trPr>
          <w:jc w:val="center"/>
        </w:trPr>
        <w:tc>
          <w:tcPr>
            <w:tcW w:w="547" w:type="pct"/>
            <w:vAlign w:val="center"/>
          </w:tcPr>
          <w:p w14:paraId="5291427D"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III</w:t>
            </w:r>
          </w:p>
        </w:tc>
        <w:tc>
          <w:tcPr>
            <w:tcW w:w="1022" w:type="pct"/>
            <w:vAlign w:val="center"/>
          </w:tcPr>
          <w:p w14:paraId="29B09ACA"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Standard</w:t>
            </w:r>
          </w:p>
        </w:tc>
        <w:tc>
          <w:tcPr>
            <w:tcW w:w="1103" w:type="pct"/>
            <w:vAlign w:val="center"/>
          </w:tcPr>
          <w:p w14:paraId="772F0801"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172.3 ± 3.75</w:t>
            </w:r>
            <w:r w:rsidRPr="008E235D">
              <w:rPr>
                <w:rFonts w:ascii="Arial" w:hAnsi="Arial" w:cs="Arial"/>
                <w:color w:val="000000" w:themeColor="text1"/>
                <w:sz w:val="20"/>
                <w:szCs w:val="20"/>
                <w:vertAlign w:val="superscript"/>
              </w:rPr>
              <w:t>###</w:t>
            </w:r>
          </w:p>
        </w:tc>
        <w:tc>
          <w:tcPr>
            <w:tcW w:w="1178" w:type="pct"/>
            <w:vAlign w:val="center"/>
          </w:tcPr>
          <w:p w14:paraId="6252F949"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157.3 ± 2.72</w:t>
            </w:r>
            <w:r w:rsidRPr="008E235D">
              <w:rPr>
                <w:rFonts w:ascii="Arial" w:hAnsi="Arial" w:cs="Arial"/>
                <w:color w:val="000000" w:themeColor="text1"/>
                <w:sz w:val="20"/>
                <w:szCs w:val="20"/>
                <w:vertAlign w:val="superscript"/>
              </w:rPr>
              <w:t>###</w:t>
            </w:r>
          </w:p>
        </w:tc>
        <w:tc>
          <w:tcPr>
            <w:tcW w:w="1150" w:type="pct"/>
            <w:vAlign w:val="center"/>
          </w:tcPr>
          <w:p w14:paraId="24324727"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148.7 ± 1.85</w:t>
            </w:r>
            <w:r w:rsidRPr="008E235D">
              <w:rPr>
                <w:rFonts w:ascii="Arial" w:hAnsi="Arial" w:cs="Arial"/>
                <w:color w:val="000000" w:themeColor="text1"/>
                <w:sz w:val="20"/>
                <w:szCs w:val="20"/>
                <w:vertAlign w:val="superscript"/>
              </w:rPr>
              <w:t>###</w:t>
            </w:r>
          </w:p>
        </w:tc>
      </w:tr>
      <w:tr w:rsidR="00527699" w:rsidRPr="008E235D" w14:paraId="3BFB03F5" w14:textId="77777777" w:rsidTr="00DC398A">
        <w:trPr>
          <w:jc w:val="center"/>
        </w:trPr>
        <w:tc>
          <w:tcPr>
            <w:tcW w:w="547" w:type="pct"/>
            <w:tcBorders>
              <w:bottom w:val="single" w:sz="4" w:space="0" w:color="auto"/>
            </w:tcBorders>
            <w:vAlign w:val="center"/>
          </w:tcPr>
          <w:p w14:paraId="384E3CBD"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IV</w:t>
            </w:r>
          </w:p>
        </w:tc>
        <w:tc>
          <w:tcPr>
            <w:tcW w:w="1022" w:type="pct"/>
            <w:tcBorders>
              <w:bottom w:val="single" w:sz="4" w:space="0" w:color="auto"/>
            </w:tcBorders>
            <w:vAlign w:val="center"/>
          </w:tcPr>
          <w:p w14:paraId="2C7CED7C"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Test</w:t>
            </w:r>
          </w:p>
        </w:tc>
        <w:tc>
          <w:tcPr>
            <w:tcW w:w="1103" w:type="pct"/>
            <w:tcBorders>
              <w:bottom w:val="single" w:sz="4" w:space="0" w:color="auto"/>
            </w:tcBorders>
            <w:vAlign w:val="center"/>
          </w:tcPr>
          <w:p w14:paraId="4FAF8B2F"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153 ± 2.33</w:t>
            </w:r>
            <w:r w:rsidRPr="008E235D">
              <w:rPr>
                <w:rFonts w:ascii="Arial" w:hAnsi="Arial" w:cs="Arial"/>
                <w:color w:val="000000" w:themeColor="text1"/>
                <w:sz w:val="20"/>
                <w:szCs w:val="20"/>
                <w:vertAlign w:val="superscript"/>
              </w:rPr>
              <w:t>###@@</w:t>
            </w:r>
          </w:p>
        </w:tc>
        <w:tc>
          <w:tcPr>
            <w:tcW w:w="1178" w:type="pct"/>
            <w:tcBorders>
              <w:bottom w:val="single" w:sz="4" w:space="0" w:color="auto"/>
            </w:tcBorders>
            <w:vAlign w:val="center"/>
          </w:tcPr>
          <w:p w14:paraId="1C7B5B73"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181 ± 1.52</w:t>
            </w:r>
            <w:r w:rsidRPr="008E235D">
              <w:rPr>
                <w:rFonts w:ascii="Arial" w:hAnsi="Arial" w:cs="Arial"/>
                <w:color w:val="000000" w:themeColor="text1"/>
                <w:sz w:val="20"/>
                <w:szCs w:val="20"/>
                <w:vertAlign w:val="superscript"/>
              </w:rPr>
              <w:t>###@@</w:t>
            </w:r>
          </w:p>
        </w:tc>
        <w:tc>
          <w:tcPr>
            <w:tcW w:w="1150" w:type="pct"/>
            <w:tcBorders>
              <w:bottom w:val="single" w:sz="4" w:space="0" w:color="auto"/>
            </w:tcBorders>
            <w:vAlign w:val="center"/>
          </w:tcPr>
          <w:p w14:paraId="4370084B"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138.3 ± 1.20</w:t>
            </w:r>
            <w:r w:rsidRPr="008E235D">
              <w:rPr>
                <w:rFonts w:ascii="Arial" w:hAnsi="Arial" w:cs="Arial"/>
                <w:color w:val="000000" w:themeColor="text1"/>
                <w:sz w:val="20"/>
                <w:szCs w:val="20"/>
                <w:vertAlign w:val="superscript"/>
              </w:rPr>
              <w:t>###@</w:t>
            </w:r>
          </w:p>
        </w:tc>
      </w:tr>
    </w:tbl>
    <w:p w14:paraId="27D39842" w14:textId="77777777" w:rsidR="00527699" w:rsidRPr="008E235D" w:rsidRDefault="00527699" w:rsidP="00527699">
      <w:pPr>
        <w:pStyle w:val="Body"/>
        <w:spacing w:after="0"/>
        <w:rPr>
          <w:rFonts w:ascii="Arial" w:hAnsi="Arial" w:cs="Arial"/>
          <w:i/>
          <w:color w:val="000000" w:themeColor="text1"/>
          <w:sz w:val="18"/>
          <w:szCs w:val="18"/>
        </w:rPr>
      </w:pPr>
      <w:r w:rsidRPr="008E235D">
        <w:rPr>
          <w:rFonts w:ascii="Arial" w:hAnsi="Arial" w:cs="Arial"/>
          <w:i/>
          <w:color w:val="000000" w:themeColor="text1"/>
          <w:sz w:val="18"/>
          <w:szCs w:val="18"/>
        </w:rPr>
        <w:t>Values are mean ± standard error of the mean (n= 3 animals) Data were analyzed by one-way ANOVA followed by the Tukey test.</w:t>
      </w:r>
    </w:p>
    <w:p w14:paraId="7B84F609" w14:textId="77777777" w:rsidR="00527699" w:rsidRPr="008E235D" w:rsidRDefault="00527699" w:rsidP="00527699">
      <w:pPr>
        <w:pStyle w:val="Body"/>
        <w:spacing w:after="0"/>
        <w:rPr>
          <w:rFonts w:ascii="Arial" w:hAnsi="Arial" w:cs="Arial"/>
          <w:i/>
          <w:color w:val="000000" w:themeColor="text1"/>
          <w:sz w:val="18"/>
          <w:szCs w:val="18"/>
        </w:rPr>
      </w:pPr>
      <w:r w:rsidRPr="008E235D">
        <w:rPr>
          <w:rFonts w:ascii="Arial" w:hAnsi="Arial" w:cs="Arial"/>
          <w:i/>
          <w:color w:val="000000" w:themeColor="text1"/>
          <w:sz w:val="18"/>
          <w:szCs w:val="18"/>
        </w:rPr>
        <w:t>* Indicate control group compared with stress induced group *** p&lt;0.0001, ns- non-significant.</w:t>
      </w:r>
    </w:p>
    <w:p w14:paraId="36DFC436" w14:textId="77777777" w:rsidR="00527699" w:rsidRPr="008E235D" w:rsidRDefault="00527699" w:rsidP="00527699">
      <w:pPr>
        <w:pStyle w:val="Body"/>
        <w:spacing w:after="0"/>
        <w:rPr>
          <w:rFonts w:ascii="Arial" w:hAnsi="Arial" w:cs="Arial"/>
          <w:i/>
          <w:color w:val="000000" w:themeColor="text1"/>
          <w:sz w:val="18"/>
          <w:szCs w:val="18"/>
        </w:rPr>
      </w:pPr>
      <w:r w:rsidRPr="008E235D">
        <w:rPr>
          <w:rFonts w:ascii="Arial" w:hAnsi="Arial" w:cs="Arial"/>
          <w:i/>
          <w:color w:val="000000" w:themeColor="text1"/>
          <w:sz w:val="18"/>
          <w:szCs w:val="18"/>
        </w:rPr>
        <w:t># Indicate stress induced group compared with standard and test group ### p&lt; 0.0001.</w:t>
      </w:r>
    </w:p>
    <w:p w14:paraId="417718B8" w14:textId="77777777" w:rsidR="00527699" w:rsidRPr="008E235D" w:rsidRDefault="00527699" w:rsidP="00527699">
      <w:pPr>
        <w:pStyle w:val="Body"/>
        <w:spacing w:after="0"/>
        <w:rPr>
          <w:rFonts w:ascii="Arial" w:hAnsi="Arial" w:cs="Arial"/>
          <w:i/>
          <w:color w:val="000000" w:themeColor="text1"/>
          <w:sz w:val="18"/>
          <w:szCs w:val="18"/>
        </w:rPr>
      </w:pPr>
      <w:r w:rsidRPr="008E235D">
        <w:rPr>
          <w:rFonts w:ascii="Arial" w:hAnsi="Arial" w:cs="Arial"/>
          <w:i/>
          <w:color w:val="000000" w:themeColor="text1"/>
          <w:sz w:val="18"/>
          <w:szCs w:val="18"/>
        </w:rPr>
        <w:t>@ Indicate standard group compared with test group @p&lt; 0.05, @@p&lt; 0.001.</w:t>
      </w:r>
    </w:p>
    <w:p w14:paraId="10FC212A" w14:textId="77777777" w:rsidR="005A4319" w:rsidRPr="008E235D" w:rsidRDefault="005A4319" w:rsidP="00441B6F">
      <w:pPr>
        <w:pStyle w:val="Body"/>
        <w:spacing w:after="0"/>
        <w:rPr>
          <w:rFonts w:ascii="Arial" w:hAnsi="Arial" w:cs="Arial"/>
          <w:color w:val="000000" w:themeColor="text1"/>
        </w:rPr>
      </w:pPr>
    </w:p>
    <w:p w14:paraId="33910553" w14:textId="77777777" w:rsidR="005A4319" w:rsidRPr="008E235D" w:rsidRDefault="002D1177" w:rsidP="00441B6F">
      <w:pPr>
        <w:pStyle w:val="Body"/>
        <w:spacing w:after="0"/>
        <w:rPr>
          <w:rFonts w:ascii="Arial" w:hAnsi="Arial" w:cs="Arial"/>
          <w:color w:val="000000" w:themeColor="text1"/>
        </w:rPr>
      </w:pPr>
      <w:r w:rsidRPr="008E235D">
        <w:rPr>
          <w:rFonts w:ascii="Times New Roman" w:hAnsi="Times New Roman"/>
          <w:noProof/>
          <w:color w:val="000000" w:themeColor="text1"/>
          <w:sz w:val="24"/>
          <w:szCs w:val="24"/>
          <w:lang w:eastAsia="en-IN"/>
        </w:rPr>
        <w:drawing>
          <wp:inline distT="0" distB="0" distL="0" distR="0" wp14:anchorId="5E19DED3" wp14:editId="21862DA1">
            <wp:extent cx="5212080" cy="2523616"/>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2523616"/>
                    </a:xfrm>
                    <a:prstGeom prst="rect">
                      <a:avLst/>
                    </a:prstGeom>
                    <a:noFill/>
                  </pic:spPr>
                </pic:pic>
              </a:graphicData>
            </a:graphic>
          </wp:inline>
        </w:drawing>
      </w:r>
    </w:p>
    <w:p w14:paraId="5D861C6A" w14:textId="77777777" w:rsidR="002D1177" w:rsidRPr="008E235D" w:rsidRDefault="002D1177" w:rsidP="002D1177">
      <w:pPr>
        <w:pStyle w:val="Body"/>
        <w:rPr>
          <w:rFonts w:ascii="Arial" w:hAnsi="Arial" w:cs="Arial"/>
          <w:b/>
          <w:color w:val="000000" w:themeColor="text1"/>
        </w:rPr>
      </w:pPr>
      <w:r w:rsidRPr="008E235D">
        <w:rPr>
          <w:rFonts w:ascii="Arial" w:hAnsi="Arial" w:cs="Arial"/>
          <w:b/>
          <w:color w:val="000000" w:themeColor="text1"/>
        </w:rPr>
        <w:t>Fig. 1. Immobility time of mice in the forced swim test: A. Day 1; B. Day 15; C. Day 28; and D. Comparative</w:t>
      </w:r>
    </w:p>
    <w:p w14:paraId="7CFCF17C" w14:textId="77777777" w:rsidR="006C0CB8" w:rsidRPr="008E235D" w:rsidRDefault="006C0CB8" w:rsidP="006C0CB8">
      <w:pPr>
        <w:pStyle w:val="Body"/>
        <w:rPr>
          <w:rFonts w:ascii="Arial" w:hAnsi="Arial" w:cs="Arial"/>
          <w:b/>
          <w:color w:val="000000" w:themeColor="text1"/>
          <w:u w:val="single"/>
        </w:rPr>
      </w:pPr>
      <w:r w:rsidRPr="008E235D">
        <w:rPr>
          <w:rFonts w:ascii="Arial" w:hAnsi="Arial" w:cs="Arial"/>
          <w:b/>
          <w:color w:val="000000" w:themeColor="text1"/>
          <w:u w:val="single"/>
        </w:rPr>
        <w:t>3.1.2 Tail suspension test</w:t>
      </w:r>
    </w:p>
    <w:p w14:paraId="0EC9203B" w14:textId="77777777" w:rsidR="001333D1" w:rsidRPr="008E235D" w:rsidRDefault="00A3717C" w:rsidP="001333D1">
      <w:pPr>
        <w:pStyle w:val="Body"/>
        <w:rPr>
          <w:rFonts w:ascii="Arial" w:hAnsi="Arial" w:cs="Arial"/>
          <w:color w:val="000000" w:themeColor="text1"/>
        </w:rPr>
      </w:pPr>
      <w:r>
        <w:rPr>
          <w:rFonts w:ascii="Arial" w:hAnsi="Arial" w:cs="Arial"/>
          <w:color w:val="000000" w:themeColor="text1"/>
        </w:rPr>
        <w:t>The data in table 2</w:t>
      </w:r>
      <w:r w:rsidR="001333D1" w:rsidRPr="008E235D">
        <w:rPr>
          <w:rFonts w:ascii="Arial" w:hAnsi="Arial" w:cs="Arial"/>
          <w:color w:val="000000" w:themeColor="text1"/>
        </w:rPr>
        <w:t xml:space="preserve"> show the effects of different treatments on immobility time in a stress-induced animal model, which is commonly used to assess depressive-like behavior. The vehicle control group (Group I) displayed relatively stable immobility times around 185–188 seconds across all days, representing normal baseline behavior without stress. In contrast, the stress control group (Group II) showed a marked increase in immobility (214–226 seconds) compared to the vehicle control, with highly significant differences (p &lt; 0.0001), indicating that the stress protocol effectively induced depressive-like behavior. The standard treatment group (Group III) exhibited a substantial reduction in immobility over time (from 157 seconds to 147 seconds), demonstrating a highly significant improvement compared to the stress control (p &lt; 0.0001), confirming the efficacy of the standard antidepressant in mitigating stress-induced behavioral deficits. The test treatment group (Group IV) showed an even greater decrease in immobility (146.7 seconds to 135 seconds), which was significantly lower than both the stress control (p &lt; 0.0001) and the standard treatment (p &lt; 0.05), suggesting that the test compound may provide a stronger antidepressant-like effect than </w:t>
      </w:r>
      <w:r w:rsidR="001333D1" w:rsidRPr="008E235D">
        <w:rPr>
          <w:rFonts w:ascii="Arial" w:hAnsi="Arial" w:cs="Arial"/>
          <w:color w:val="000000" w:themeColor="text1"/>
        </w:rPr>
        <w:lastRenderedPageBreak/>
        <w:t>the standard drug. Overall, the findings indicate that the stress model successfully induced depressive-like behavior, which was effectively reversed by both standard and test treatments, with the test treatment showing particularly promising efficacy over the 2</w:t>
      </w:r>
      <w:r w:rsidR="003607C5">
        <w:rPr>
          <w:rFonts w:ascii="Arial" w:hAnsi="Arial" w:cs="Arial"/>
          <w:color w:val="000000" w:themeColor="text1"/>
        </w:rPr>
        <w:t>8-day period (Fig.</w:t>
      </w:r>
      <w:r w:rsidR="001333D1" w:rsidRPr="008E235D">
        <w:rPr>
          <w:rFonts w:ascii="Arial" w:hAnsi="Arial" w:cs="Arial"/>
          <w:color w:val="000000" w:themeColor="text1"/>
        </w:rPr>
        <w:t xml:space="preserve"> 2).</w:t>
      </w:r>
    </w:p>
    <w:p w14:paraId="54E6266A" w14:textId="77777777" w:rsidR="001333D1" w:rsidRPr="008E235D" w:rsidRDefault="001333D1" w:rsidP="001333D1">
      <w:pPr>
        <w:pStyle w:val="Body"/>
        <w:rPr>
          <w:rFonts w:ascii="Arial" w:hAnsi="Arial" w:cs="Arial"/>
          <w:b/>
          <w:color w:val="000000" w:themeColor="text1"/>
        </w:rPr>
      </w:pPr>
      <w:r w:rsidRPr="008E235D">
        <w:rPr>
          <w:rFonts w:ascii="Arial" w:hAnsi="Arial" w:cs="Arial"/>
          <w:b/>
          <w:color w:val="000000" w:themeColor="text1"/>
        </w:rPr>
        <w:t>Table 2. Immobility time of mice in the tail suspension test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
        <w:gridCol w:w="1831"/>
        <w:gridCol w:w="1964"/>
        <w:gridCol w:w="1966"/>
        <w:gridCol w:w="1764"/>
      </w:tblGrid>
      <w:tr w:rsidR="001333D1" w:rsidRPr="008E235D" w14:paraId="276E9BC8" w14:textId="77777777" w:rsidTr="001333D1">
        <w:trPr>
          <w:trHeight w:val="168"/>
        </w:trPr>
        <w:tc>
          <w:tcPr>
            <w:tcW w:w="533" w:type="pct"/>
            <w:vMerge w:val="restart"/>
            <w:tcBorders>
              <w:top w:val="single" w:sz="4" w:space="0" w:color="auto"/>
            </w:tcBorders>
            <w:vAlign w:val="center"/>
          </w:tcPr>
          <w:p w14:paraId="1C5C8614" w14:textId="77777777" w:rsidR="001333D1" w:rsidRPr="008E235D" w:rsidRDefault="001333D1" w:rsidP="001333D1">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Group</w:t>
            </w:r>
          </w:p>
        </w:tc>
        <w:tc>
          <w:tcPr>
            <w:tcW w:w="1087" w:type="pct"/>
            <w:vMerge w:val="restart"/>
            <w:tcBorders>
              <w:top w:val="single" w:sz="4" w:space="0" w:color="auto"/>
            </w:tcBorders>
            <w:vAlign w:val="center"/>
          </w:tcPr>
          <w:p w14:paraId="24907161" w14:textId="77777777" w:rsidR="001333D1" w:rsidRPr="008E235D" w:rsidRDefault="001333D1" w:rsidP="001333D1">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Treatment</w:t>
            </w:r>
          </w:p>
        </w:tc>
        <w:tc>
          <w:tcPr>
            <w:tcW w:w="3380" w:type="pct"/>
            <w:gridSpan w:val="3"/>
            <w:tcBorders>
              <w:top w:val="single" w:sz="4" w:space="0" w:color="auto"/>
              <w:bottom w:val="single" w:sz="4" w:space="0" w:color="auto"/>
            </w:tcBorders>
            <w:vAlign w:val="center"/>
          </w:tcPr>
          <w:p w14:paraId="545A4DFC" w14:textId="77777777" w:rsidR="001333D1" w:rsidRPr="008E235D" w:rsidRDefault="001333D1" w:rsidP="001333D1">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Mean immobility time (in seconds)</w:t>
            </w:r>
          </w:p>
        </w:tc>
      </w:tr>
      <w:tr w:rsidR="001333D1" w:rsidRPr="008E235D" w14:paraId="03153330" w14:textId="77777777" w:rsidTr="001333D1">
        <w:trPr>
          <w:trHeight w:val="150"/>
        </w:trPr>
        <w:tc>
          <w:tcPr>
            <w:tcW w:w="533" w:type="pct"/>
            <w:vMerge/>
            <w:tcBorders>
              <w:bottom w:val="single" w:sz="4" w:space="0" w:color="auto"/>
            </w:tcBorders>
            <w:vAlign w:val="center"/>
          </w:tcPr>
          <w:p w14:paraId="595B1C53" w14:textId="77777777" w:rsidR="001333D1" w:rsidRPr="008E235D" w:rsidRDefault="001333D1" w:rsidP="001333D1">
            <w:pPr>
              <w:pStyle w:val="Body"/>
              <w:spacing w:after="0"/>
              <w:rPr>
                <w:rFonts w:ascii="Arial" w:hAnsi="Arial" w:cs="Arial"/>
                <w:b/>
                <w:color w:val="000000" w:themeColor="text1"/>
                <w:sz w:val="20"/>
                <w:szCs w:val="20"/>
              </w:rPr>
            </w:pPr>
          </w:p>
        </w:tc>
        <w:tc>
          <w:tcPr>
            <w:tcW w:w="1087" w:type="pct"/>
            <w:vMerge/>
            <w:tcBorders>
              <w:bottom w:val="single" w:sz="4" w:space="0" w:color="auto"/>
            </w:tcBorders>
            <w:vAlign w:val="center"/>
          </w:tcPr>
          <w:p w14:paraId="175A7FBC" w14:textId="77777777" w:rsidR="001333D1" w:rsidRPr="008E235D" w:rsidRDefault="001333D1" w:rsidP="001333D1">
            <w:pPr>
              <w:pStyle w:val="Body"/>
              <w:spacing w:after="0"/>
              <w:rPr>
                <w:rFonts w:ascii="Arial" w:hAnsi="Arial" w:cs="Arial"/>
                <w:b/>
                <w:color w:val="000000" w:themeColor="text1"/>
                <w:sz w:val="20"/>
                <w:szCs w:val="20"/>
              </w:rPr>
            </w:pPr>
          </w:p>
        </w:tc>
        <w:tc>
          <w:tcPr>
            <w:tcW w:w="1166" w:type="pct"/>
            <w:tcBorders>
              <w:top w:val="single" w:sz="4" w:space="0" w:color="auto"/>
              <w:bottom w:val="single" w:sz="4" w:space="0" w:color="auto"/>
            </w:tcBorders>
            <w:vAlign w:val="center"/>
          </w:tcPr>
          <w:p w14:paraId="05E31223" w14:textId="77777777" w:rsidR="001333D1" w:rsidRPr="008E235D" w:rsidRDefault="001333D1" w:rsidP="001333D1">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Day 1</w:t>
            </w:r>
          </w:p>
        </w:tc>
        <w:tc>
          <w:tcPr>
            <w:tcW w:w="1167" w:type="pct"/>
            <w:tcBorders>
              <w:top w:val="single" w:sz="4" w:space="0" w:color="auto"/>
              <w:bottom w:val="single" w:sz="4" w:space="0" w:color="auto"/>
            </w:tcBorders>
            <w:vAlign w:val="center"/>
          </w:tcPr>
          <w:p w14:paraId="733B7D16" w14:textId="77777777" w:rsidR="001333D1" w:rsidRPr="008E235D" w:rsidRDefault="001333D1" w:rsidP="001333D1">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Day 15</w:t>
            </w:r>
          </w:p>
        </w:tc>
        <w:tc>
          <w:tcPr>
            <w:tcW w:w="1047" w:type="pct"/>
            <w:tcBorders>
              <w:top w:val="single" w:sz="4" w:space="0" w:color="auto"/>
              <w:bottom w:val="single" w:sz="4" w:space="0" w:color="auto"/>
            </w:tcBorders>
            <w:vAlign w:val="center"/>
          </w:tcPr>
          <w:p w14:paraId="4C3AB3EC" w14:textId="77777777" w:rsidR="001333D1" w:rsidRPr="008E235D" w:rsidRDefault="001333D1" w:rsidP="001333D1">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Day 28</w:t>
            </w:r>
          </w:p>
        </w:tc>
      </w:tr>
      <w:tr w:rsidR="001333D1" w:rsidRPr="008E235D" w14:paraId="424EB9C2" w14:textId="77777777" w:rsidTr="001333D1">
        <w:tc>
          <w:tcPr>
            <w:tcW w:w="533" w:type="pct"/>
            <w:tcBorders>
              <w:top w:val="single" w:sz="4" w:space="0" w:color="auto"/>
            </w:tcBorders>
            <w:vAlign w:val="center"/>
          </w:tcPr>
          <w:p w14:paraId="5F5972BB"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I</w:t>
            </w:r>
          </w:p>
        </w:tc>
        <w:tc>
          <w:tcPr>
            <w:tcW w:w="1087" w:type="pct"/>
            <w:tcBorders>
              <w:top w:val="single" w:sz="4" w:space="0" w:color="auto"/>
            </w:tcBorders>
            <w:vAlign w:val="center"/>
          </w:tcPr>
          <w:p w14:paraId="059355EB"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Vehicle Control</w:t>
            </w:r>
          </w:p>
        </w:tc>
        <w:tc>
          <w:tcPr>
            <w:tcW w:w="1166" w:type="pct"/>
            <w:tcBorders>
              <w:top w:val="single" w:sz="4" w:space="0" w:color="auto"/>
            </w:tcBorders>
            <w:vAlign w:val="center"/>
          </w:tcPr>
          <w:p w14:paraId="0053C4A8"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185.7± 2.18</w:t>
            </w:r>
          </w:p>
        </w:tc>
        <w:tc>
          <w:tcPr>
            <w:tcW w:w="1167" w:type="pct"/>
            <w:tcBorders>
              <w:top w:val="single" w:sz="4" w:space="0" w:color="auto"/>
            </w:tcBorders>
            <w:vAlign w:val="center"/>
          </w:tcPr>
          <w:p w14:paraId="28AC21EC"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184.0± 2.88</w:t>
            </w:r>
          </w:p>
        </w:tc>
        <w:tc>
          <w:tcPr>
            <w:tcW w:w="1047" w:type="pct"/>
            <w:tcBorders>
              <w:top w:val="single" w:sz="4" w:space="0" w:color="auto"/>
            </w:tcBorders>
            <w:vAlign w:val="center"/>
          </w:tcPr>
          <w:p w14:paraId="6E9E19BF"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187.7 ± 3.38</w:t>
            </w:r>
          </w:p>
        </w:tc>
      </w:tr>
      <w:tr w:rsidR="001333D1" w:rsidRPr="008E235D" w14:paraId="6B4825A6" w14:textId="77777777" w:rsidTr="001333D1">
        <w:tc>
          <w:tcPr>
            <w:tcW w:w="533" w:type="pct"/>
            <w:vAlign w:val="center"/>
          </w:tcPr>
          <w:p w14:paraId="61392D9A"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II</w:t>
            </w:r>
          </w:p>
        </w:tc>
        <w:tc>
          <w:tcPr>
            <w:tcW w:w="1087" w:type="pct"/>
            <w:vAlign w:val="center"/>
          </w:tcPr>
          <w:p w14:paraId="69975CE3"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Stress control</w:t>
            </w:r>
          </w:p>
        </w:tc>
        <w:tc>
          <w:tcPr>
            <w:tcW w:w="1166" w:type="pct"/>
            <w:vAlign w:val="center"/>
          </w:tcPr>
          <w:p w14:paraId="6ED3588A"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214± 3.21</w:t>
            </w:r>
            <w:r w:rsidRPr="008E235D">
              <w:rPr>
                <w:rFonts w:ascii="Arial" w:hAnsi="Arial" w:cs="Arial"/>
                <w:color w:val="000000" w:themeColor="text1"/>
                <w:sz w:val="20"/>
                <w:szCs w:val="20"/>
                <w:vertAlign w:val="superscript"/>
              </w:rPr>
              <w:t>***</w:t>
            </w:r>
          </w:p>
        </w:tc>
        <w:tc>
          <w:tcPr>
            <w:tcW w:w="1167" w:type="pct"/>
            <w:vAlign w:val="center"/>
          </w:tcPr>
          <w:p w14:paraId="3CF88B70"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221.0± 2.08</w:t>
            </w:r>
            <w:r w:rsidRPr="008E235D">
              <w:rPr>
                <w:rFonts w:ascii="Arial" w:hAnsi="Arial" w:cs="Arial"/>
                <w:color w:val="000000" w:themeColor="text1"/>
                <w:sz w:val="20"/>
                <w:szCs w:val="20"/>
                <w:vertAlign w:val="superscript"/>
              </w:rPr>
              <w:t>***</w:t>
            </w:r>
          </w:p>
        </w:tc>
        <w:tc>
          <w:tcPr>
            <w:tcW w:w="1047" w:type="pct"/>
            <w:vAlign w:val="center"/>
          </w:tcPr>
          <w:p w14:paraId="260A1158"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226.3± 1.45</w:t>
            </w:r>
            <w:r w:rsidRPr="008E235D">
              <w:rPr>
                <w:rFonts w:ascii="Arial" w:hAnsi="Arial" w:cs="Arial"/>
                <w:color w:val="000000" w:themeColor="text1"/>
                <w:sz w:val="20"/>
                <w:szCs w:val="20"/>
                <w:vertAlign w:val="superscript"/>
              </w:rPr>
              <w:t>***</w:t>
            </w:r>
          </w:p>
        </w:tc>
      </w:tr>
      <w:tr w:rsidR="001333D1" w:rsidRPr="008E235D" w14:paraId="2D04869C" w14:textId="77777777" w:rsidTr="001333D1">
        <w:tc>
          <w:tcPr>
            <w:tcW w:w="533" w:type="pct"/>
            <w:vAlign w:val="center"/>
          </w:tcPr>
          <w:p w14:paraId="49D9327D"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III</w:t>
            </w:r>
          </w:p>
        </w:tc>
        <w:tc>
          <w:tcPr>
            <w:tcW w:w="1087" w:type="pct"/>
            <w:vAlign w:val="center"/>
          </w:tcPr>
          <w:p w14:paraId="2C72AF84"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Standard</w:t>
            </w:r>
          </w:p>
        </w:tc>
        <w:tc>
          <w:tcPr>
            <w:tcW w:w="1166" w:type="pct"/>
            <w:vAlign w:val="center"/>
          </w:tcPr>
          <w:p w14:paraId="46C42715"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157±1.52</w:t>
            </w:r>
            <w:r w:rsidRPr="008E235D">
              <w:rPr>
                <w:rFonts w:ascii="Arial" w:hAnsi="Arial" w:cs="Arial"/>
                <w:color w:val="000000" w:themeColor="text1"/>
                <w:sz w:val="20"/>
                <w:szCs w:val="20"/>
                <w:vertAlign w:val="superscript"/>
              </w:rPr>
              <w:t>###</w:t>
            </w:r>
          </w:p>
        </w:tc>
        <w:tc>
          <w:tcPr>
            <w:tcW w:w="1167" w:type="pct"/>
            <w:vAlign w:val="center"/>
          </w:tcPr>
          <w:p w14:paraId="6E1C1915"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154.3±2.60</w:t>
            </w:r>
            <w:r w:rsidRPr="008E235D">
              <w:rPr>
                <w:rFonts w:ascii="Arial" w:hAnsi="Arial" w:cs="Arial"/>
                <w:color w:val="000000" w:themeColor="text1"/>
                <w:sz w:val="20"/>
                <w:szCs w:val="20"/>
                <w:vertAlign w:val="superscript"/>
              </w:rPr>
              <w:t>###</w:t>
            </w:r>
          </w:p>
        </w:tc>
        <w:tc>
          <w:tcPr>
            <w:tcW w:w="1047" w:type="pct"/>
            <w:vAlign w:val="center"/>
          </w:tcPr>
          <w:p w14:paraId="46FB2D45"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147.0±2.64</w:t>
            </w:r>
            <w:r w:rsidRPr="008E235D">
              <w:rPr>
                <w:rFonts w:ascii="Arial" w:hAnsi="Arial" w:cs="Arial"/>
                <w:color w:val="000000" w:themeColor="text1"/>
                <w:sz w:val="20"/>
                <w:szCs w:val="20"/>
                <w:vertAlign w:val="superscript"/>
              </w:rPr>
              <w:t>###</w:t>
            </w:r>
          </w:p>
        </w:tc>
      </w:tr>
      <w:tr w:rsidR="001333D1" w:rsidRPr="008E235D" w14:paraId="216FE048" w14:textId="77777777" w:rsidTr="001333D1">
        <w:tc>
          <w:tcPr>
            <w:tcW w:w="533" w:type="pct"/>
            <w:tcBorders>
              <w:bottom w:val="single" w:sz="4" w:space="0" w:color="auto"/>
            </w:tcBorders>
            <w:vAlign w:val="center"/>
          </w:tcPr>
          <w:p w14:paraId="21ACE0A5"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IV</w:t>
            </w:r>
          </w:p>
        </w:tc>
        <w:tc>
          <w:tcPr>
            <w:tcW w:w="1087" w:type="pct"/>
            <w:tcBorders>
              <w:bottom w:val="single" w:sz="4" w:space="0" w:color="auto"/>
            </w:tcBorders>
            <w:vAlign w:val="center"/>
          </w:tcPr>
          <w:p w14:paraId="0032E8D8"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Test</w:t>
            </w:r>
          </w:p>
        </w:tc>
        <w:tc>
          <w:tcPr>
            <w:tcW w:w="1166" w:type="pct"/>
            <w:tcBorders>
              <w:bottom w:val="single" w:sz="4" w:space="0" w:color="auto"/>
            </w:tcBorders>
            <w:vAlign w:val="center"/>
          </w:tcPr>
          <w:p w14:paraId="3C1B6436"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146.7±0.88</w:t>
            </w:r>
            <w:r w:rsidRPr="008E235D">
              <w:rPr>
                <w:rFonts w:ascii="Arial" w:hAnsi="Arial" w:cs="Arial"/>
                <w:color w:val="000000" w:themeColor="text1"/>
                <w:sz w:val="20"/>
                <w:szCs w:val="20"/>
                <w:vertAlign w:val="superscript"/>
              </w:rPr>
              <w:t>###@</w:t>
            </w:r>
          </w:p>
        </w:tc>
        <w:tc>
          <w:tcPr>
            <w:tcW w:w="1167" w:type="pct"/>
            <w:tcBorders>
              <w:bottom w:val="single" w:sz="4" w:space="0" w:color="auto"/>
            </w:tcBorders>
            <w:vAlign w:val="center"/>
          </w:tcPr>
          <w:p w14:paraId="01E038E0"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142.3±2.40</w:t>
            </w:r>
            <w:r w:rsidRPr="008E235D">
              <w:rPr>
                <w:rFonts w:ascii="Arial" w:hAnsi="Arial" w:cs="Arial"/>
                <w:color w:val="000000" w:themeColor="text1"/>
                <w:sz w:val="20"/>
                <w:szCs w:val="20"/>
                <w:vertAlign w:val="superscript"/>
              </w:rPr>
              <w:t>###@</w:t>
            </w:r>
          </w:p>
        </w:tc>
        <w:tc>
          <w:tcPr>
            <w:tcW w:w="1047" w:type="pct"/>
            <w:tcBorders>
              <w:bottom w:val="single" w:sz="4" w:space="0" w:color="auto"/>
            </w:tcBorders>
            <w:vAlign w:val="center"/>
          </w:tcPr>
          <w:p w14:paraId="11F28F4B"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135.0±2.08</w:t>
            </w:r>
            <w:r w:rsidRPr="008E235D">
              <w:rPr>
                <w:rFonts w:ascii="Arial" w:hAnsi="Arial" w:cs="Arial"/>
                <w:color w:val="000000" w:themeColor="text1"/>
                <w:sz w:val="20"/>
                <w:szCs w:val="20"/>
                <w:vertAlign w:val="superscript"/>
              </w:rPr>
              <w:t>###@</w:t>
            </w:r>
          </w:p>
        </w:tc>
      </w:tr>
    </w:tbl>
    <w:p w14:paraId="5BFBDED4" w14:textId="77777777" w:rsidR="001333D1" w:rsidRPr="008E235D" w:rsidRDefault="001333D1" w:rsidP="001333D1">
      <w:pPr>
        <w:pStyle w:val="Body"/>
        <w:spacing w:after="0"/>
        <w:rPr>
          <w:rFonts w:ascii="Arial" w:hAnsi="Arial" w:cs="Arial"/>
          <w:i/>
          <w:color w:val="000000" w:themeColor="text1"/>
          <w:sz w:val="18"/>
          <w:szCs w:val="18"/>
        </w:rPr>
      </w:pPr>
      <w:r w:rsidRPr="008E235D">
        <w:rPr>
          <w:rFonts w:ascii="Arial" w:hAnsi="Arial" w:cs="Arial"/>
          <w:i/>
          <w:color w:val="000000" w:themeColor="text1"/>
          <w:sz w:val="18"/>
          <w:szCs w:val="18"/>
        </w:rPr>
        <w:t>Values are mean ± standard error of the mean (n= 3 animals) Data were analyzed by one-way ANOVA followed by the Tukey test.</w:t>
      </w:r>
    </w:p>
    <w:p w14:paraId="68A05F74" w14:textId="77777777" w:rsidR="001333D1" w:rsidRPr="008E235D" w:rsidRDefault="001333D1" w:rsidP="001333D1">
      <w:pPr>
        <w:pStyle w:val="Body"/>
        <w:spacing w:after="0"/>
        <w:rPr>
          <w:rFonts w:ascii="Arial" w:hAnsi="Arial" w:cs="Arial"/>
          <w:i/>
          <w:color w:val="000000" w:themeColor="text1"/>
          <w:sz w:val="18"/>
          <w:szCs w:val="18"/>
        </w:rPr>
      </w:pPr>
      <w:r w:rsidRPr="008E235D">
        <w:rPr>
          <w:rFonts w:ascii="Arial" w:hAnsi="Arial" w:cs="Arial"/>
          <w:i/>
          <w:color w:val="000000" w:themeColor="text1"/>
          <w:sz w:val="18"/>
          <w:szCs w:val="18"/>
        </w:rPr>
        <w:t>* Indicate control group compared with stress induced group *** p&lt;0.0001, ns- non-significant.</w:t>
      </w:r>
    </w:p>
    <w:p w14:paraId="6B7AC951" w14:textId="77777777" w:rsidR="001333D1" w:rsidRPr="008E235D" w:rsidRDefault="001333D1" w:rsidP="001333D1">
      <w:pPr>
        <w:pStyle w:val="Body"/>
        <w:spacing w:after="0"/>
        <w:rPr>
          <w:rFonts w:ascii="Arial" w:hAnsi="Arial" w:cs="Arial"/>
          <w:i/>
          <w:color w:val="000000" w:themeColor="text1"/>
          <w:sz w:val="18"/>
          <w:szCs w:val="18"/>
        </w:rPr>
      </w:pPr>
      <w:r w:rsidRPr="008E235D">
        <w:rPr>
          <w:rFonts w:ascii="Arial" w:hAnsi="Arial" w:cs="Arial"/>
          <w:i/>
          <w:color w:val="000000" w:themeColor="text1"/>
          <w:sz w:val="18"/>
          <w:szCs w:val="18"/>
        </w:rPr>
        <w:t># Indicate stress induced group compared with standard and test group ### p&lt; 0.0001,</w:t>
      </w:r>
    </w:p>
    <w:p w14:paraId="608A2302" w14:textId="77777777" w:rsidR="001333D1" w:rsidRPr="008E235D" w:rsidRDefault="001333D1" w:rsidP="001333D1">
      <w:pPr>
        <w:pStyle w:val="Body"/>
        <w:spacing w:after="0"/>
        <w:rPr>
          <w:rFonts w:ascii="Arial" w:hAnsi="Arial" w:cs="Arial"/>
          <w:i/>
          <w:color w:val="000000" w:themeColor="text1"/>
          <w:sz w:val="18"/>
          <w:szCs w:val="18"/>
        </w:rPr>
      </w:pPr>
      <w:r w:rsidRPr="008E235D">
        <w:rPr>
          <w:rFonts w:ascii="Arial" w:hAnsi="Arial" w:cs="Arial"/>
          <w:i/>
          <w:color w:val="000000" w:themeColor="text1"/>
          <w:sz w:val="18"/>
          <w:szCs w:val="18"/>
        </w:rPr>
        <w:t>@ Indicate standard group compared with test group @ p&lt;0.05.</w:t>
      </w:r>
    </w:p>
    <w:p w14:paraId="2E6DE3DC" w14:textId="77777777" w:rsidR="00DC398A" w:rsidRPr="008E235D" w:rsidRDefault="00DC398A" w:rsidP="00441B6F">
      <w:pPr>
        <w:pStyle w:val="Body"/>
        <w:spacing w:after="0"/>
        <w:rPr>
          <w:rFonts w:ascii="Arial" w:hAnsi="Arial" w:cs="Arial"/>
          <w:color w:val="000000" w:themeColor="text1"/>
        </w:rPr>
      </w:pPr>
    </w:p>
    <w:p w14:paraId="48CB4A7C" w14:textId="77777777" w:rsidR="00DC398A" w:rsidRPr="008E235D" w:rsidRDefault="000860A3" w:rsidP="00441B6F">
      <w:pPr>
        <w:pStyle w:val="Body"/>
        <w:spacing w:after="0"/>
        <w:rPr>
          <w:rFonts w:ascii="Arial" w:hAnsi="Arial" w:cs="Arial"/>
          <w:color w:val="000000" w:themeColor="text1"/>
        </w:rPr>
      </w:pPr>
      <w:r w:rsidRPr="008E235D">
        <w:rPr>
          <w:rFonts w:ascii="Times New Roman" w:hAnsi="Times New Roman"/>
          <w:b/>
          <w:noProof/>
          <w:color w:val="000000" w:themeColor="text1"/>
          <w:sz w:val="24"/>
          <w:szCs w:val="24"/>
          <w:lang w:eastAsia="en-IN"/>
        </w:rPr>
        <w:drawing>
          <wp:inline distT="0" distB="0" distL="0" distR="0" wp14:anchorId="33913F53" wp14:editId="663711B7">
            <wp:extent cx="5212080" cy="252521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2080" cy="2525215"/>
                    </a:xfrm>
                    <a:prstGeom prst="rect">
                      <a:avLst/>
                    </a:prstGeom>
                    <a:noFill/>
                  </pic:spPr>
                </pic:pic>
              </a:graphicData>
            </a:graphic>
          </wp:inline>
        </w:drawing>
      </w:r>
    </w:p>
    <w:p w14:paraId="39F54F8A" w14:textId="77777777" w:rsidR="000860A3" w:rsidRPr="008E235D" w:rsidRDefault="000860A3" w:rsidP="000860A3">
      <w:pPr>
        <w:pStyle w:val="Body"/>
        <w:rPr>
          <w:rFonts w:ascii="Arial" w:hAnsi="Arial" w:cs="Arial"/>
          <w:b/>
          <w:color w:val="000000" w:themeColor="text1"/>
        </w:rPr>
      </w:pPr>
      <w:r w:rsidRPr="008E235D">
        <w:rPr>
          <w:rFonts w:ascii="Arial" w:hAnsi="Arial" w:cs="Arial"/>
          <w:b/>
          <w:color w:val="000000" w:themeColor="text1"/>
        </w:rPr>
        <w:t>Fig. 2. Immobility time of mice in the tail suspension test: A. Day 1; B. Day 15; C. Day 28; and D. Comparative</w:t>
      </w:r>
    </w:p>
    <w:p w14:paraId="12F92878" w14:textId="77777777" w:rsidR="000860A3" w:rsidRPr="008E235D" w:rsidRDefault="000860A3" w:rsidP="000860A3">
      <w:pPr>
        <w:pStyle w:val="Body"/>
        <w:rPr>
          <w:rFonts w:ascii="Arial" w:hAnsi="Arial" w:cs="Arial"/>
          <w:b/>
          <w:color w:val="000000" w:themeColor="text1"/>
          <w:sz w:val="22"/>
        </w:rPr>
      </w:pPr>
      <w:r w:rsidRPr="008E235D">
        <w:rPr>
          <w:rFonts w:ascii="Arial" w:hAnsi="Arial" w:cs="Arial"/>
          <w:b/>
          <w:caps/>
          <w:color w:val="000000" w:themeColor="text1"/>
          <w:sz w:val="22"/>
        </w:rPr>
        <w:t xml:space="preserve">3.2 </w:t>
      </w:r>
      <w:r w:rsidRPr="008E235D">
        <w:rPr>
          <w:rFonts w:ascii="Arial" w:hAnsi="Arial" w:cs="Arial"/>
          <w:b/>
          <w:color w:val="000000" w:themeColor="text1"/>
          <w:sz w:val="22"/>
        </w:rPr>
        <w:t>Assessment of locomotor activity</w:t>
      </w:r>
    </w:p>
    <w:p w14:paraId="7B923412" w14:textId="77777777" w:rsidR="00BA3F9B" w:rsidRPr="008E235D" w:rsidRDefault="00A3717C" w:rsidP="00BA3F9B">
      <w:pPr>
        <w:pStyle w:val="Body"/>
        <w:rPr>
          <w:rFonts w:ascii="Arial" w:hAnsi="Arial" w:cs="Arial"/>
          <w:color w:val="000000" w:themeColor="text1"/>
        </w:rPr>
      </w:pPr>
      <w:r>
        <w:rPr>
          <w:rFonts w:ascii="Arial" w:hAnsi="Arial" w:cs="Arial"/>
          <w:color w:val="000000" w:themeColor="text1"/>
        </w:rPr>
        <w:t>The data in table 3</w:t>
      </w:r>
      <w:r w:rsidR="00BA3F9B" w:rsidRPr="008E235D">
        <w:rPr>
          <w:rFonts w:ascii="Arial" w:hAnsi="Arial" w:cs="Arial"/>
          <w:color w:val="000000" w:themeColor="text1"/>
        </w:rPr>
        <w:t xml:space="preserve"> represent the assessment of locomotor activity in animals over a 28-day period, measured as mean counts in 10 minutes. In the vehicle control group (Group I), locomotor activity remained relatively stable across the study period, with counts ranging from 179 to 225, representing normal baseline activity. The stress control group (Group II) showed a significant reduction in locomotor activity compared to the vehicle control, particularly on Day 15 and Day 28, indicating that stress negatively affected normal activity levels (**p &lt; 0.01 to ***p &lt; 0.001). In contrast, the standard treatment group (Group III) demonstrated a progressive increase in locomotor activity over time (counts from 252.7 to 280.7 counts), with highly significant improvement compared to the stress control (### p &lt; 0.0001), reflecting the efficacy of the standard treatment in restoring normal activity. The test treatment group (Group IV) exhibited an even greater enhancement in locomotor counts (counts from 275 to 304 counts), which was significantly higher than both the stress control </w:t>
      </w:r>
      <w:r w:rsidR="00BA3F9B" w:rsidRPr="008E235D">
        <w:rPr>
          <w:rFonts w:ascii="Arial" w:hAnsi="Arial" w:cs="Arial"/>
          <w:color w:val="000000" w:themeColor="text1"/>
        </w:rPr>
        <w:lastRenderedPageBreak/>
        <w:t xml:space="preserve">(### p &lt; 0.0001) and the standard treatment group (@ p &lt; 0.05 to @@ p &lt; 0.001). These results suggest that while stress impairs locomotor activity, both standard and test treatments effectively restore it, with the test treatment showing superior efficacy in enhancing activity </w:t>
      </w:r>
      <w:r w:rsidR="003607C5">
        <w:rPr>
          <w:rFonts w:ascii="Arial" w:hAnsi="Arial" w:cs="Arial"/>
          <w:color w:val="000000" w:themeColor="text1"/>
        </w:rPr>
        <w:t>levels over the 28-day period (Fig.</w:t>
      </w:r>
      <w:r w:rsidR="00BA3F9B" w:rsidRPr="008E235D">
        <w:rPr>
          <w:rFonts w:ascii="Arial" w:hAnsi="Arial" w:cs="Arial"/>
          <w:color w:val="000000" w:themeColor="text1"/>
        </w:rPr>
        <w:t xml:space="preserve"> 3).</w:t>
      </w:r>
    </w:p>
    <w:p w14:paraId="32E48463" w14:textId="77777777" w:rsidR="00BA3F9B" w:rsidRPr="008E235D" w:rsidRDefault="00BA3F9B" w:rsidP="00BA3F9B">
      <w:pPr>
        <w:pStyle w:val="Body"/>
        <w:rPr>
          <w:rFonts w:ascii="Arial" w:hAnsi="Arial" w:cs="Arial"/>
          <w:b/>
          <w:color w:val="000000" w:themeColor="text1"/>
        </w:rPr>
      </w:pPr>
      <w:r w:rsidRPr="008E235D">
        <w:rPr>
          <w:rFonts w:ascii="Arial" w:hAnsi="Arial" w:cs="Arial"/>
          <w:b/>
          <w:color w:val="000000" w:themeColor="text1"/>
        </w:rPr>
        <w:t xml:space="preserve">Table 03. </w:t>
      </w:r>
      <w:proofErr w:type="spellStart"/>
      <w:r w:rsidRPr="008E235D">
        <w:rPr>
          <w:rFonts w:ascii="Arial" w:hAnsi="Arial" w:cs="Arial"/>
          <w:b/>
          <w:color w:val="000000" w:themeColor="text1"/>
        </w:rPr>
        <w:t>Actophotometer</w:t>
      </w:r>
      <w:proofErr w:type="spellEnd"/>
      <w:r w:rsidRPr="008E235D">
        <w:rPr>
          <w:rFonts w:ascii="Arial" w:hAnsi="Arial" w:cs="Arial"/>
          <w:b/>
          <w:color w:val="000000" w:themeColor="text1"/>
        </w:rPr>
        <w:t xml:space="preserve"> counts of mice in the locomotor activity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
        <w:gridCol w:w="1750"/>
        <w:gridCol w:w="1894"/>
        <w:gridCol w:w="1971"/>
        <w:gridCol w:w="1971"/>
      </w:tblGrid>
      <w:tr w:rsidR="00BA3F9B" w:rsidRPr="008E235D" w14:paraId="5B0454D1" w14:textId="77777777" w:rsidTr="003A579D">
        <w:trPr>
          <w:trHeight w:val="168"/>
        </w:trPr>
        <w:tc>
          <w:tcPr>
            <w:tcW w:w="497" w:type="pct"/>
            <w:vMerge w:val="restart"/>
            <w:tcBorders>
              <w:top w:val="single" w:sz="4" w:space="0" w:color="auto"/>
            </w:tcBorders>
            <w:vAlign w:val="center"/>
          </w:tcPr>
          <w:p w14:paraId="03B78889" w14:textId="77777777" w:rsidR="00BA3F9B" w:rsidRPr="008E235D" w:rsidRDefault="00BA3F9B" w:rsidP="00BA3F9B">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Group</w:t>
            </w:r>
          </w:p>
        </w:tc>
        <w:tc>
          <w:tcPr>
            <w:tcW w:w="1038" w:type="pct"/>
            <w:vMerge w:val="restart"/>
            <w:tcBorders>
              <w:top w:val="single" w:sz="4" w:space="0" w:color="auto"/>
            </w:tcBorders>
            <w:vAlign w:val="center"/>
          </w:tcPr>
          <w:p w14:paraId="32FD9695" w14:textId="77777777" w:rsidR="00BA3F9B" w:rsidRPr="008E235D" w:rsidRDefault="00BA3F9B" w:rsidP="00BA3F9B">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Treatment</w:t>
            </w:r>
          </w:p>
        </w:tc>
        <w:tc>
          <w:tcPr>
            <w:tcW w:w="3464" w:type="pct"/>
            <w:gridSpan w:val="3"/>
            <w:tcBorders>
              <w:top w:val="single" w:sz="4" w:space="0" w:color="auto"/>
              <w:bottom w:val="single" w:sz="4" w:space="0" w:color="auto"/>
            </w:tcBorders>
            <w:vAlign w:val="center"/>
          </w:tcPr>
          <w:p w14:paraId="4586AF6A" w14:textId="77777777" w:rsidR="00BA3F9B" w:rsidRPr="008E235D" w:rsidRDefault="00BA3F9B" w:rsidP="00BA3F9B">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 xml:space="preserve">Mean counts in 10 minutes </w:t>
            </w:r>
          </w:p>
        </w:tc>
      </w:tr>
      <w:tr w:rsidR="00BA3F9B" w:rsidRPr="008E235D" w14:paraId="4DDEE349" w14:textId="77777777" w:rsidTr="003A579D">
        <w:trPr>
          <w:trHeight w:val="150"/>
        </w:trPr>
        <w:tc>
          <w:tcPr>
            <w:tcW w:w="497" w:type="pct"/>
            <w:vMerge/>
            <w:tcBorders>
              <w:bottom w:val="single" w:sz="4" w:space="0" w:color="auto"/>
            </w:tcBorders>
            <w:vAlign w:val="center"/>
          </w:tcPr>
          <w:p w14:paraId="5036B190" w14:textId="77777777" w:rsidR="00BA3F9B" w:rsidRPr="008E235D" w:rsidRDefault="00BA3F9B" w:rsidP="00BA3F9B">
            <w:pPr>
              <w:pStyle w:val="Body"/>
              <w:spacing w:after="0"/>
              <w:rPr>
                <w:rFonts w:ascii="Arial" w:hAnsi="Arial" w:cs="Arial"/>
                <w:b/>
                <w:color w:val="000000" w:themeColor="text1"/>
                <w:sz w:val="20"/>
                <w:szCs w:val="20"/>
              </w:rPr>
            </w:pPr>
          </w:p>
        </w:tc>
        <w:tc>
          <w:tcPr>
            <w:tcW w:w="1038" w:type="pct"/>
            <w:vMerge/>
            <w:tcBorders>
              <w:bottom w:val="single" w:sz="4" w:space="0" w:color="auto"/>
            </w:tcBorders>
            <w:vAlign w:val="center"/>
          </w:tcPr>
          <w:p w14:paraId="5D46C0C5" w14:textId="77777777" w:rsidR="00BA3F9B" w:rsidRPr="008E235D" w:rsidRDefault="00BA3F9B" w:rsidP="00BA3F9B">
            <w:pPr>
              <w:pStyle w:val="Body"/>
              <w:spacing w:after="0"/>
              <w:rPr>
                <w:rFonts w:ascii="Arial" w:hAnsi="Arial" w:cs="Arial"/>
                <w:b/>
                <w:color w:val="000000" w:themeColor="text1"/>
                <w:sz w:val="20"/>
                <w:szCs w:val="20"/>
              </w:rPr>
            </w:pPr>
          </w:p>
        </w:tc>
        <w:tc>
          <w:tcPr>
            <w:tcW w:w="1124" w:type="pct"/>
            <w:tcBorders>
              <w:top w:val="single" w:sz="4" w:space="0" w:color="auto"/>
              <w:bottom w:val="single" w:sz="4" w:space="0" w:color="auto"/>
            </w:tcBorders>
            <w:vAlign w:val="center"/>
          </w:tcPr>
          <w:p w14:paraId="7E5E2F23" w14:textId="77777777" w:rsidR="00BA3F9B" w:rsidRPr="008E235D" w:rsidRDefault="00BA3F9B" w:rsidP="00BA3F9B">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Day 1</w:t>
            </w:r>
          </w:p>
        </w:tc>
        <w:tc>
          <w:tcPr>
            <w:tcW w:w="1170" w:type="pct"/>
            <w:tcBorders>
              <w:top w:val="single" w:sz="4" w:space="0" w:color="auto"/>
              <w:bottom w:val="single" w:sz="4" w:space="0" w:color="auto"/>
            </w:tcBorders>
            <w:vAlign w:val="center"/>
          </w:tcPr>
          <w:p w14:paraId="7E434F4B" w14:textId="77777777" w:rsidR="00BA3F9B" w:rsidRPr="008E235D" w:rsidRDefault="00BA3F9B" w:rsidP="00BA3F9B">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Day 15</w:t>
            </w:r>
          </w:p>
        </w:tc>
        <w:tc>
          <w:tcPr>
            <w:tcW w:w="1170" w:type="pct"/>
            <w:tcBorders>
              <w:top w:val="single" w:sz="4" w:space="0" w:color="auto"/>
              <w:bottom w:val="single" w:sz="4" w:space="0" w:color="auto"/>
            </w:tcBorders>
            <w:vAlign w:val="center"/>
          </w:tcPr>
          <w:p w14:paraId="7745DA91" w14:textId="77777777" w:rsidR="00BA3F9B" w:rsidRPr="008E235D" w:rsidRDefault="00BA3F9B" w:rsidP="00BA3F9B">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Day 28</w:t>
            </w:r>
          </w:p>
        </w:tc>
      </w:tr>
      <w:tr w:rsidR="00BA3F9B" w:rsidRPr="008E235D" w14:paraId="0892C9C3" w14:textId="77777777" w:rsidTr="003A579D">
        <w:tc>
          <w:tcPr>
            <w:tcW w:w="497" w:type="pct"/>
            <w:tcBorders>
              <w:top w:val="single" w:sz="4" w:space="0" w:color="auto"/>
            </w:tcBorders>
            <w:vAlign w:val="center"/>
          </w:tcPr>
          <w:p w14:paraId="7AC25609"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I</w:t>
            </w:r>
          </w:p>
        </w:tc>
        <w:tc>
          <w:tcPr>
            <w:tcW w:w="1038" w:type="pct"/>
            <w:tcBorders>
              <w:top w:val="single" w:sz="4" w:space="0" w:color="auto"/>
            </w:tcBorders>
            <w:vAlign w:val="center"/>
          </w:tcPr>
          <w:p w14:paraId="0C6B9467"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Vehicle Control</w:t>
            </w:r>
          </w:p>
        </w:tc>
        <w:tc>
          <w:tcPr>
            <w:tcW w:w="1124" w:type="pct"/>
            <w:tcBorders>
              <w:top w:val="single" w:sz="4" w:space="0" w:color="auto"/>
            </w:tcBorders>
            <w:vAlign w:val="center"/>
          </w:tcPr>
          <w:p w14:paraId="1628F415"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223.7± 6.64</w:t>
            </w:r>
          </w:p>
        </w:tc>
        <w:tc>
          <w:tcPr>
            <w:tcW w:w="1170" w:type="pct"/>
            <w:tcBorders>
              <w:top w:val="single" w:sz="4" w:space="0" w:color="auto"/>
            </w:tcBorders>
            <w:vAlign w:val="center"/>
          </w:tcPr>
          <w:p w14:paraId="3C289A1A"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179.0± 2.30</w:t>
            </w:r>
          </w:p>
        </w:tc>
        <w:tc>
          <w:tcPr>
            <w:tcW w:w="1170" w:type="pct"/>
            <w:tcBorders>
              <w:top w:val="single" w:sz="4" w:space="0" w:color="auto"/>
            </w:tcBorders>
            <w:vAlign w:val="center"/>
          </w:tcPr>
          <w:p w14:paraId="7CACB46E"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224.7± 4.05</w:t>
            </w:r>
          </w:p>
        </w:tc>
      </w:tr>
      <w:tr w:rsidR="00BA3F9B" w:rsidRPr="008E235D" w14:paraId="43539A99" w14:textId="77777777" w:rsidTr="003A579D">
        <w:tc>
          <w:tcPr>
            <w:tcW w:w="497" w:type="pct"/>
            <w:vAlign w:val="center"/>
          </w:tcPr>
          <w:p w14:paraId="0253039A"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II</w:t>
            </w:r>
          </w:p>
        </w:tc>
        <w:tc>
          <w:tcPr>
            <w:tcW w:w="1038" w:type="pct"/>
            <w:vAlign w:val="center"/>
          </w:tcPr>
          <w:p w14:paraId="45BDE28B"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Stress control</w:t>
            </w:r>
          </w:p>
        </w:tc>
        <w:tc>
          <w:tcPr>
            <w:tcW w:w="1124" w:type="pct"/>
            <w:vAlign w:val="center"/>
          </w:tcPr>
          <w:p w14:paraId="20A8BFCC"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186.7± 3.75</w:t>
            </w:r>
            <w:r w:rsidRPr="008E235D">
              <w:rPr>
                <w:rFonts w:ascii="Arial" w:hAnsi="Arial" w:cs="Arial"/>
                <w:color w:val="000000" w:themeColor="text1"/>
                <w:sz w:val="20"/>
                <w:szCs w:val="20"/>
                <w:vertAlign w:val="superscript"/>
              </w:rPr>
              <w:t>**</w:t>
            </w:r>
          </w:p>
        </w:tc>
        <w:tc>
          <w:tcPr>
            <w:tcW w:w="1170" w:type="pct"/>
            <w:vAlign w:val="center"/>
          </w:tcPr>
          <w:p w14:paraId="04D2C2AA"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186.7± 1.73</w:t>
            </w:r>
            <w:r w:rsidRPr="008E235D">
              <w:rPr>
                <w:rFonts w:ascii="Arial" w:hAnsi="Arial" w:cs="Arial"/>
                <w:color w:val="000000" w:themeColor="text1"/>
                <w:sz w:val="20"/>
                <w:szCs w:val="20"/>
                <w:vertAlign w:val="superscript"/>
              </w:rPr>
              <w:t>***</w:t>
            </w:r>
          </w:p>
        </w:tc>
        <w:tc>
          <w:tcPr>
            <w:tcW w:w="1170" w:type="pct"/>
            <w:vAlign w:val="center"/>
          </w:tcPr>
          <w:p w14:paraId="2482A729"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169.7± 1.45</w:t>
            </w:r>
            <w:r w:rsidRPr="008E235D">
              <w:rPr>
                <w:rFonts w:ascii="Arial" w:hAnsi="Arial" w:cs="Arial"/>
                <w:color w:val="000000" w:themeColor="text1"/>
                <w:sz w:val="20"/>
                <w:szCs w:val="20"/>
                <w:vertAlign w:val="superscript"/>
              </w:rPr>
              <w:t>***</w:t>
            </w:r>
          </w:p>
        </w:tc>
      </w:tr>
      <w:tr w:rsidR="00BA3F9B" w:rsidRPr="008E235D" w14:paraId="1C800C9C" w14:textId="77777777" w:rsidTr="003A579D">
        <w:tc>
          <w:tcPr>
            <w:tcW w:w="497" w:type="pct"/>
            <w:vAlign w:val="center"/>
          </w:tcPr>
          <w:p w14:paraId="795EBD17"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III</w:t>
            </w:r>
          </w:p>
        </w:tc>
        <w:tc>
          <w:tcPr>
            <w:tcW w:w="1038" w:type="pct"/>
            <w:vAlign w:val="center"/>
          </w:tcPr>
          <w:p w14:paraId="42890F92"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Standard</w:t>
            </w:r>
          </w:p>
        </w:tc>
        <w:tc>
          <w:tcPr>
            <w:tcW w:w="1124" w:type="pct"/>
            <w:vAlign w:val="center"/>
          </w:tcPr>
          <w:p w14:paraId="1F272364"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252.7±3.75</w:t>
            </w:r>
            <w:r w:rsidRPr="008E235D">
              <w:rPr>
                <w:rFonts w:ascii="Arial" w:hAnsi="Arial" w:cs="Arial"/>
                <w:color w:val="000000" w:themeColor="text1"/>
                <w:sz w:val="20"/>
                <w:szCs w:val="20"/>
                <w:vertAlign w:val="superscript"/>
              </w:rPr>
              <w:t>###</w:t>
            </w:r>
          </w:p>
        </w:tc>
        <w:tc>
          <w:tcPr>
            <w:tcW w:w="1170" w:type="pct"/>
            <w:vAlign w:val="center"/>
          </w:tcPr>
          <w:p w14:paraId="3B857484"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267.3±3.18</w:t>
            </w:r>
            <w:r w:rsidRPr="008E235D">
              <w:rPr>
                <w:rFonts w:ascii="Arial" w:hAnsi="Arial" w:cs="Arial"/>
                <w:color w:val="000000" w:themeColor="text1"/>
                <w:sz w:val="20"/>
                <w:szCs w:val="20"/>
                <w:vertAlign w:val="superscript"/>
              </w:rPr>
              <w:t>###</w:t>
            </w:r>
          </w:p>
        </w:tc>
        <w:tc>
          <w:tcPr>
            <w:tcW w:w="1170" w:type="pct"/>
            <w:vAlign w:val="center"/>
          </w:tcPr>
          <w:p w14:paraId="09D3C6D8"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280.7±3.18</w:t>
            </w:r>
            <w:r w:rsidRPr="008E235D">
              <w:rPr>
                <w:rFonts w:ascii="Arial" w:hAnsi="Arial" w:cs="Arial"/>
                <w:color w:val="000000" w:themeColor="text1"/>
                <w:sz w:val="20"/>
                <w:szCs w:val="20"/>
                <w:vertAlign w:val="superscript"/>
              </w:rPr>
              <w:t>###</w:t>
            </w:r>
          </w:p>
        </w:tc>
      </w:tr>
      <w:tr w:rsidR="00BA3F9B" w:rsidRPr="008E235D" w14:paraId="0C4D2177" w14:textId="77777777" w:rsidTr="003A579D">
        <w:tc>
          <w:tcPr>
            <w:tcW w:w="497" w:type="pct"/>
            <w:tcBorders>
              <w:bottom w:val="single" w:sz="4" w:space="0" w:color="auto"/>
            </w:tcBorders>
            <w:vAlign w:val="center"/>
          </w:tcPr>
          <w:p w14:paraId="777082BA"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IV</w:t>
            </w:r>
          </w:p>
        </w:tc>
        <w:tc>
          <w:tcPr>
            <w:tcW w:w="1038" w:type="pct"/>
            <w:tcBorders>
              <w:bottom w:val="single" w:sz="4" w:space="0" w:color="auto"/>
            </w:tcBorders>
            <w:vAlign w:val="center"/>
          </w:tcPr>
          <w:p w14:paraId="32541368"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Test</w:t>
            </w:r>
          </w:p>
        </w:tc>
        <w:tc>
          <w:tcPr>
            <w:tcW w:w="1124" w:type="pct"/>
            <w:tcBorders>
              <w:bottom w:val="single" w:sz="4" w:space="0" w:color="auto"/>
            </w:tcBorders>
            <w:vAlign w:val="center"/>
          </w:tcPr>
          <w:p w14:paraId="5E793DBE"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275.0±2.88</w:t>
            </w:r>
            <w:r w:rsidRPr="008E235D">
              <w:rPr>
                <w:rFonts w:ascii="Arial" w:hAnsi="Arial" w:cs="Arial"/>
                <w:color w:val="000000" w:themeColor="text1"/>
                <w:sz w:val="20"/>
                <w:szCs w:val="20"/>
                <w:vertAlign w:val="superscript"/>
              </w:rPr>
              <w:t>###@</w:t>
            </w:r>
          </w:p>
        </w:tc>
        <w:tc>
          <w:tcPr>
            <w:tcW w:w="1170" w:type="pct"/>
            <w:tcBorders>
              <w:bottom w:val="single" w:sz="4" w:space="0" w:color="auto"/>
            </w:tcBorders>
            <w:vAlign w:val="center"/>
          </w:tcPr>
          <w:p w14:paraId="6C428E5E"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285.7±2.96</w:t>
            </w:r>
            <w:r w:rsidRPr="008E235D">
              <w:rPr>
                <w:rFonts w:ascii="Arial" w:hAnsi="Arial" w:cs="Arial"/>
                <w:color w:val="000000" w:themeColor="text1"/>
                <w:sz w:val="20"/>
                <w:szCs w:val="20"/>
                <w:vertAlign w:val="superscript"/>
              </w:rPr>
              <w:t>###@@</w:t>
            </w:r>
          </w:p>
        </w:tc>
        <w:tc>
          <w:tcPr>
            <w:tcW w:w="1170" w:type="pct"/>
            <w:tcBorders>
              <w:bottom w:val="single" w:sz="4" w:space="0" w:color="auto"/>
            </w:tcBorders>
            <w:vAlign w:val="center"/>
          </w:tcPr>
          <w:p w14:paraId="505C9F03"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304.0±4.16</w:t>
            </w:r>
            <w:r w:rsidRPr="008E235D">
              <w:rPr>
                <w:rFonts w:ascii="Arial" w:hAnsi="Arial" w:cs="Arial"/>
                <w:color w:val="000000" w:themeColor="text1"/>
                <w:sz w:val="20"/>
                <w:szCs w:val="20"/>
                <w:vertAlign w:val="superscript"/>
              </w:rPr>
              <w:t>###@@</w:t>
            </w:r>
          </w:p>
        </w:tc>
      </w:tr>
    </w:tbl>
    <w:p w14:paraId="060990E0" w14:textId="77777777" w:rsidR="00BA3F9B" w:rsidRPr="008E235D" w:rsidRDefault="00BA3F9B" w:rsidP="00BA3F9B">
      <w:pPr>
        <w:pStyle w:val="Body"/>
        <w:spacing w:after="0"/>
        <w:rPr>
          <w:rFonts w:ascii="Arial" w:hAnsi="Arial" w:cs="Arial"/>
          <w:i/>
          <w:color w:val="000000" w:themeColor="text1"/>
          <w:sz w:val="18"/>
          <w:szCs w:val="18"/>
        </w:rPr>
      </w:pPr>
      <w:r w:rsidRPr="008E235D">
        <w:rPr>
          <w:rFonts w:ascii="Arial" w:hAnsi="Arial" w:cs="Arial"/>
          <w:i/>
          <w:color w:val="000000" w:themeColor="text1"/>
          <w:sz w:val="18"/>
          <w:szCs w:val="18"/>
        </w:rPr>
        <w:t>Values are mean ± standard error of the mean (n= 3 animals) Data were analyzed by one-way ANOVA followed by the Tukey test.</w:t>
      </w:r>
    </w:p>
    <w:p w14:paraId="38078F28" w14:textId="77777777" w:rsidR="00BA3F9B" w:rsidRPr="008E235D" w:rsidRDefault="00BA3F9B" w:rsidP="00BA3F9B">
      <w:pPr>
        <w:pStyle w:val="Body"/>
        <w:spacing w:after="0"/>
        <w:rPr>
          <w:rFonts w:ascii="Arial" w:hAnsi="Arial" w:cs="Arial"/>
          <w:i/>
          <w:color w:val="000000" w:themeColor="text1"/>
          <w:sz w:val="18"/>
          <w:szCs w:val="18"/>
        </w:rPr>
      </w:pPr>
      <w:r w:rsidRPr="008E235D">
        <w:rPr>
          <w:rFonts w:ascii="Arial" w:hAnsi="Arial" w:cs="Arial"/>
          <w:i/>
          <w:color w:val="000000" w:themeColor="text1"/>
          <w:sz w:val="18"/>
          <w:szCs w:val="18"/>
        </w:rPr>
        <w:t># Indicate stress induced group compared with standard and test group ### p&lt; 0.0001,</w:t>
      </w:r>
    </w:p>
    <w:p w14:paraId="150BCAB3" w14:textId="77777777" w:rsidR="00BA3F9B" w:rsidRPr="008E235D" w:rsidRDefault="00BA3F9B" w:rsidP="00BA3F9B">
      <w:pPr>
        <w:pStyle w:val="Body"/>
        <w:spacing w:after="0"/>
        <w:rPr>
          <w:rFonts w:ascii="Arial" w:hAnsi="Arial" w:cs="Arial"/>
          <w:i/>
          <w:color w:val="000000" w:themeColor="text1"/>
          <w:sz w:val="18"/>
          <w:szCs w:val="18"/>
        </w:rPr>
      </w:pPr>
      <w:r w:rsidRPr="008E235D">
        <w:rPr>
          <w:rFonts w:ascii="Arial" w:hAnsi="Arial" w:cs="Arial"/>
          <w:i/>
          <w:color w:val="000000" w:themeColor="text1"/>
          <w:sz w:val="18"/>
          <w:szCs w:val="18"/>
        </w:rPr>
        <w:t>@ Indicate standard group compared with test group @ P&lt;0.05.</w:t>
      </w:r>
    </w:p>
    <w:p w14:paraId="006BEE5A" w14:textId="77777777" w:rsidR="00BA3F9B" w:rsidRPr="008E235D" w:rsidRDefault="00BA3F9B" w:rsidP="00BA3F9B">
      <w:pPr>
        <w:pStyle w:val="Body"/>
        <w:spacing w:after="0"/>
        <w:rPr>
          <w:rFonts w:ascii="Arial" w:hAnsi="Arial" w:cs="Arial"/>
          <w:i/>
          <w:color w:val="000000" w:themeColor="text1"/>
          <w:sz w:val="18"/>
          <w:szCs w:val="18"/>
        </w:rPr>
      </w:pPr>
      <w:r w:rsidRPr="008E235D">
        <w:rPr>
          <w:rFonts w:ascii="Arial" w:hAnsi="Arial" w:cs="Arial"/>
          <w:i/>
          <w:color w:val="000000" w:themeColor="text1"/>
          <w:sz w:val="18"/>
          <w:szCs w:val="18"/>
        </w:rPr>
        <w:t>@ Indicate standard group compared with test group @@ p&lt; 0.001.</w:t>
      </w:r>
    </w:p>
    <w:p w14:paraId="47A3A473" w14:textId="77777777" w:rsidR="00DC398A" w:rsidRPr="008E235D" w:rsidRDefault="00DC398A" w:rsidP="00441B6F">
      <w:pPr>
        <w:pStyle w:val="Body"/>
        <w:spacing w:after="0"/>
        <w:rPr>
          <w:rFonts w:ascii="Arial" w:hAnsi="Arial" w:cs="Arial"/>
          <w:color w:val="000000" w:themeColor="text1"/>
        </w:rPr>
      </w:pPr>
    </w:p>
    <w:p w14:paraId="6BE89AA1" w14:textId="77777777" w:rsidR="00DC398A" w:rsidRPr="008E235D" w:rsidRDefault="00BA3F9B" w:rsidP="00441B6F">
      <w:pPr>
        <w:pStyle w:val="Body"/>
        <w:spacing w:after="0"/>
        <w:rPr>
          <w:rFonts w:ascii="Arial" w:hAnsi="Arial" w:cs="Arial"/>
          <w:color w:val="000000" w:themeColor="text1"/>
        </w:rPr>
      </w:pPr>
      <w:r w:rsidRPr="008E235D">
        <w:rPr>
          <w:rFonts w:ascii="Times New Roman" w:hAnsi="Times New Roman"/>
          <w:noProof/>
          <w:color w:val="000000" w:themeColor="text1"/>
          <w:sz w:val="24"/>
          <w:szCs w:val="24"/>
          <w:lang w:eastAsia="en-IN"/>
        </w:rPr>
        <w:drawing>
          <wp:inline distT="0" distB="0" distL="0" distR="0" wp14:anchorId="69AF8D05" wp14:editId="0EC1D61B">
            <wp:extent cx="5212080" cy="2520691"/>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12080" cy="2520691"/>
                    </a:xfrm>
                    <a:prstGeom prst="rect">
                      <a:avLst/>
                    </a:prstGeom>
                    <a:noFill/>
                  </pic:spPr>
                </pic:pic>
              </a:graphicData>
            </a:graphic>
          </wp:inline>
        </w:drawing>
      </w:r>
    </w:p>
    <w:p w14:paraId="55810966" w14:textId="77777777" w:rsidR="00BA3F9B" w:rsidRPr="008E235D" w:rsidRDefault="00BA3F9B" w:rsidP="00BA3F9B">
      <w:pPr>
        <w:pStyle w:val="Body"/>
        <w:rPr>
          <w:rFonts w:ascii="Arial" w:hAnsi="Arial" w:cs="Arial"/>
          <w:b/>
          <w:color w:val="000000" w:themeColor="text1"/>
        </w:rPr>
      </w:pPr>
      <w:r w:rsidRPr="008E235D">
        <w:rPr>
          <w:rFonts w:ascii="Arial" w:hAnsi="Arial" w:cs="Arial"/>
          <w:b/>
          <w:color w:val="000000" w:themeColor="text1"/>
        </w:rPr>
        <w:t xml:space="preserve">Fig. 3. </w:t>
      </w:r>
      <w:proofErr w:type="spellStart"/>
      <w:r w:rsidRPr="008E235D">
        <w:rPr>
          <w:rFonts w:ascii="Arial" w:hAnsi="Arial" w:cs="Arial"/>
          <w:b/>
          <w:color w:val="000000" w:themeColor="text1"/>
        </w:rPr>
        <w:t>Actophotometer</w:t>
      </w:r>
      <w:proofErr w:type="spellEnd"/>
      <w:r w:rsidRPr="008E235D">
        <w:rPr>
          <w:rFonts w:ascii="Arial" w:hAnsi="Arial" w:cs="Arial"/>
          <w:b/>
          <w:color w:val="000000" w:themeColor="text1"/>
        </w:rPr>
        <w:t xml:space="preserve"> counts of mice in the locomotor activity: A. Day 1; B. Day 15; C. Day 28; and D. Comparative</w:t>
      </w:r>
    </w:p>
    <w:p w14:paraId="52527215" w14:textId="77777777" w:rsidR="00882619" w:rsidRPr="008E235D" w:rsidRDefault="00882619" w:rsidP="00882619">
      <w:pPr>
        <w:pStyle w:val="Body"/>
        <w:rPr>
          <w:rFonts w:ascii="Arial" w:hAnsi="Arial" w:cs="Arial"/>
          <w:color w:val="000000" w:themeColor="text1"/>
        </w:rPr>
      </w:pPr>
      <w:r w:rsidRPr="008E235D">
        <w:rPr>
          <w:rFonts w:ascii="Arial" w:hAnsi="Arial" w:cs="Arial"/>
          <w:color w:val="000000" w:themeColor="text1"/>
        </w:rPr>
        <w:t>The present study evaluated the antidepressant-like effects of combining probiotics and vitamin C with citalopram hydrobromide in a stress-induced murine model of depression. Our findings consistently showed that the adjunctive regimen significantly reduced immobility times in the forced swim test and tail suspension test, while simultaneously enhancing locomotor activity compared to citalopram hydrobromide alone. These results provide preclinical support for a multi-targeted therapeutic approach in depression management.</w:t>
      </w:r>
    </w:p>
    <w:p w14:paraId="3FEF7C46" w14:textId="77777777" w:rsidR="00882619" w:rsidRPr="008E235D" w:rsidRDefault="00882619" w:rsidP="00882619">
      <w:pPr>
        <w:pStyle w:val="Body"/>
        <w:rPr>
          <w:rFonts w:ascii="Arial" w:hAnsi="Arial" w:cs="Arial"/>
          <w:color w:val="000000" w:themeColor="text1"/>
        </w:rPr>
      </w:pPr>
      <w:r w:rsidRPr="008E235D">
        <w:rPr>
          <w:rFonts w:ascii="Arial" w:hAnsi="Arial" w:cs="Arial"/>
          <w:color w:val="000000" w:themeColor="text1"/>
        </w:rPr>
        <w:t xml:space="preserve">Probiotics and Modulation of the Gut–Brain Axis: The results from Groups III and IV highlight the contribution of gut microbiota modulation in antidepressant efficacy. Probiotics, particularly Lactobacillus species, are known to influence neurotransmitter pathways, regulate hypothalamic–pituitary–adrenal axis hyperactivity, and attenuate stress-induced behavioral deficits. In our study, the probiotic-containing regimen (Group IV) produced superior reductions in immobility times compared to citalopram hydrobromide alone, suggesting that microbiome modulation may enhance serotonergic signaling and </w:t>
      </w:r>
      <w:r w:rsidRPr="008E235D">
        <w:rPr>
          <w:rFonts w:ascii="Arial" w:hAnsi="Arial" w:cs="Arial"/>
          <w:color w:val="000000" w:themeColor="text1"/>
        </w:rPr>
        <w:lastRenderedPageBreak/>
        <w:t>neuroplasticity. This aligns with previous reports where probiotic supplementation reduced corticosterone levels and improved depressive-like behaviors in rodent models</w:t>
      </w:r>
      <w:r w:rsidR="00BD6201" w:rsidRPr="008E235D">
        <w:rPr>
          <w:rFonts w:ascii="Arial" w:hAnsi="Arial" w:cs="Arial"/>
          <w:color w:val="000000" w:themeColor="text1"/>
        </w:rPr>
        <w:t xml:space="preserve"> (</w:t>
      </w:r>
      <w:r w:rsidR="00BD6201" w:rsidRPr="008E235D">
        <w:rPr>
          <w:color w:val="000000" w:themeColor="text1"/>
        </w:rPr>
        <w:t>Abdalla, 2018; Gao, et al., 2023)</w:t>
      </w:r>
      <w:r w:rsidRPr="008E235D">
        <w:rPr>
          <w:rFonts w:ascii="Arial" w:hAnsi="Arial" w:cs="Arial"/>
          <w:color w:val="000000" w:themeColor="text1"/>
        </w:rPr>
        <w:t>.</w:t>
      </w:r>
    </w:p>
    <w:p w14:paraId="617F71CE" w14:textId="77777777" w:rsidR="00882619" w:rsidRPr="008E235D" w:rsidRDefault="00882619" w:rsidP="00882619">
      <w:pPr>
        <w:pStyle w:val="Body"/>
        <w:rPr>
          <w:rFonts w:ascii="Arial" w:hAnsi="Arial" w:cs="Arial"/>
          <w:color w:val="000000" w:themeColor="text1"/>
        </w:rPr>
      </w:pPr>
      <w:r w:rsidRPr="008E235D">
        <w:rPr>
          <w:rFonts w:ascii="Arial" w:hAnsi="Arial" w:cs="Arial"/>
          <w:color w:val="000000" w:themeColor="text1"/>
        </w:rPr>
        <w:t xml:space="preserve">Vitamin C and Antioxidant Support: Oxidative stress has been strongly implicated in the pathophysiology of depression. Clinical studies consistently report low plasma vitamin C levels in patients with major depressive disorder, alongside elevated oxidative biomarkers. In this study, adjunctive vitamin C likely contributed to improved behavioral outcomes by counteracting lipid peroxidation and supporting antioxidant enzyme activity. Additionally, vitamin C may enhance monoaminergic neurotransmission and act synergistically with SSRIs, thereby accelerating therapeutic effects </w:t>
      </w:r>
      <w:r w:rsidR="00BD6201" w:rsidRPr="008E235D">
        <w:rPr>
          <w:rFonts w:ascii="Arial" w:hAnsi="Arial" w:cs="Arial"/>
          <w:color w:val="000000" w:themeColor="text1"/>
        </w:rPr>
        <w:t>(</w:t>
      </w:r>
      <w:proofErr w:type="spellStart"/>
      <w:r w:rsidR="00BD6201" w:rsidRPr="008E235D">
        <w:rPr>
          <w:color w:val="000000" w:themeColor="text1"/>
        </w:rPr>
        <w:t>Bidaki</w:t>
      </w:r>
      <w:proofErr w:type="spellEnd"/>
      <w:r w:rsidR="00BD6201" w:rsidRPr="008E235D">
        <w:rPr>
          <w:rFonts w:ascii="Arial" w:hAnsi="Arial" w:cs="Arial"/>
          <w:color w:val="000000" w:themeColor="text1"/>
        </w:rPr>
        <w:t xml:space="preserve">, 2023; </w:t>
      </w:r>
      <w:r w:rsidR="00BD6201" w:rsidRPr="008E235D">
        <w:rPr>
          <w:color w:val="000000" w:themeColor="text1"/>
        </w:rPr>
        <w:t>Kohima</w:t>
      </w:r>
      <w:r w:rsidR="00BD6201" w:rsidRPr="008E235D">
        <w:rPr>
          <w:rFonts w:ascii="Arial" w:hAnsi="Arial" w:cs="Arial"/>
          <w:color w:val="000000" w:themeColor="text1"/>
        </w:rPr>
        <w:t>, 2021)</w:t>
      </w:r>
      <w:r w:rsidRPr="008E235D">
        <w:rPr>
          <w:rFonts w:ascii="Arial" w:hAnsi="Arial" w:cs="Arial"/>
          <w:color w:val="000000" w:themeColor="text1"/>
        </w:rPr>
        <w:t>. The observed improvement in locomotor activity in Group IV further supports its role in restoring physiological homeostasis beyond mood-related behaviors</w:t>
      </w:r>
      <w:r w:rsidR="00BD6201" w:rsidRPr="008E235D">
        <w:rPr>
          <w:rFonts w:ascii="Arial" w:hAnsi="Arial" w:cs="Arial"/>
          <w:color w:val="000000" w:themeColor="text1"/>
        </w:rPr>
        <w:t xml:space="preserve"> (</w:t>
      </w:r>
      <w:proofErr w:type="spellStart"/>
      <w:r w:rsidR="00BD6201" w:rsidRPr="008E235D">
        <w:rPr>
          <w:color w:val="000000" w:themeColor="text1"/>
        </w:rPr>
        <w:t>Sahraian</w:t>
      </w:r>
      <w:proofErr w:type="spellEnd"/>
      <w:r w:rsidR="00BD6201" w:rsidRPr="008E235D">
        <w:rPr>
          <w:color w:val="000000" w:themeColor="text1"/>
        </w:rPr>
        <w:t>, 2015)</w:t>
      </w:r>
      <w:r w:rsidRPr="008E235D">
        <w:rPr>
          <w:rFonts w:ascii="Arial" w:hAnsi="Arial" w:cs="Arial"/>
          <w:color w:val="000000" w:themeColor="text1"/>
        </w:rPr>
        <w:t>.</w:t>
      </w:r>
    </w:p>
    <w:p w14:paraId="713DC6A5" w14:textId="77777777" w:rsidR="00882619" w:rsidRPr="008E235D" w:rsidRDefault="00882619" w:rsidP="00882619">
      <w:pPr>
        <w:pStyle w:val="Body"/>
        <w:rPr>
          <w:rFonts w:ascii="Arial" w:hAnsi="Arial" w:cs="Arial"/>
          <w:color w:val="000000" w:themeColor="text1"/>
        </w:rPr>
      </w:pPr>
      <w:r w:rsidRPr="008E235D">
        <w:rPr>
          <w:rFonts w:ascii="Arial" w:hAnsi="Arial" w:cs="Arial"/>
          <w:color w:val="000000" w:themeColor="text1"/>
        </w:rPr>
        <w:t>Synergistic Interaction with Citalopram hydrobromide: Citalopram hydrobromide, as a selective serotonin reuptake inhibitor, is effective but often associated with delayed onset and incomplete remission. The combination of probiotics and vitamin C potentiated its antidepressant-like activity, as evidenced by significantly greater reductions in immobility in both forced swim test and tail suspension test compared to standard treatment. By simultaneously targeting serotonergic signaling, oxidative stress, and gut–brain interactions, this multimodal strategy may offer broader efficacy than monotherapy</w:t>
      </w:r>
      <w:r w:rsidR="00BD6201" w:rsidRPr="008E235D">
        <w:rPr>
          <w:rFonts w:ascii="Arial" w:hAnsi="Arial" w:cs="Arial"/>
          <w:color w:val="000000" w:themeColor="text1"/>
        </w:rPr>
        <w:t xml:space="preserve"> (Bettina, 2020)</w:t>
      </w:r>
      <w:r w:rsidRPr="008E235D">
        <w:rPr>
          <w:rFonts w:ascii="Arial" w:hAnsi="Arial" w:cs="Arial"/>
          <w:color w:val="000000" w:themeColor="text1"/>
        </w:rPr>
        <w:t>.</w:t>
      </w:r>
    </w:p>
    <w:p w14:paraId="69FAADD6" w14:textId="77777777" w:rsidR="00882619" w:rsidRPr="008E235D" w:rsidRDefault="00882619" w:rsidP="00882619">
      <w:pPr>
        <w:pStyle w:val="Body"/>
        <w:rPr>
          <w:rFonts w:ascii="Arial" w:hAnsi="Arial" w:cs="Arial"/>
          <w:color w:val="000000" w:themeColor="text1"/>
        </w:rPr>
      </w:pPr>
      <w:r w:rsidRPr="008E235D">
        <w:rPr>
          <w:rFonts w:ascii="Arial" w:hAnsi="Arial" w:cs="Arial"/>
          <w:color w:val="000000" w:themeColor="text1"/>
        </w:rPr>
        <w:t>Behavioral Correlates: The validity of these findings is strengthened by the consistent outcomes across independent behavioral paradigms. In both forced swim test and tail suspension test, Group IV displayed significantly shorter immobility times than the stress control and citalopram hydrobromide-only groups. Importantly, the increase in locomotor activity observed in the test group suggests that the reduced immobility was not due to sedation or nonspecific motor impairment, but rather reflects genuine antidepressant-like effects.</w:t>
      </w:r>
    </w:p>
    <w:p w14:paraId="50EBDB5C" w14:textId="77777777" w:rsidR="00882619" w:rsidRPr="008E235D" w:rsidRDefault="00882619" w:rsidP="00882619">
      <w:pPr>
        <w:pStyle w:val="Body"/>
        <w:rPr>
          <w:rFonts w:ascii="Arial" w:hAnsi="Arial" w:cs="Arial"/>
          <w:color w:val="000000" w:themeColor="text1"/>
        </w:rPr>
      </w:pPr>
      <w:r w:rsidRPr="008E235D">
        <w:rPr>
          <w:rFonts w:ascii="Arial" w:hAnsi="Arial" w:cs="Arial"/>
          <w:color w:val="000000" w:themeColor="text1"/>
        </w:rPr>
        <w:t>Several limitations should be acknowledged. The small sample size (n = 3 per group) reduces statistical power and necessitates caution in interpretation. Moreover, the study relied solely on behavioral endpoints; biochemical analyses of oxidative stress markers, serotonergic activity, or gut microbiota composition were not performed. Incorporating such mechanistic assessments in future studies will clarify the pathways through which probiotics and vitamin C exert their effects. Finally, while the stress-induced murine model provides valuable insights, clinical trials in humans are essential to validate translational potential.</w:t>
      </w:r>
    </w:p>
    <w:p w14:paraId="034B327D" w14:textId="77777777" w:rsidR="00B01FCD" w:rsidRPr="008E235D" w:rsidRDefault="00000F8F" w:rsidP="00441B6F">
      <w:pPr>
        <w:pStyle w:val="ConcHead"/>
        <w:spacing w:after="0"/>
        <w:jc w:val="both"/>
        <w:rPr>
          <w:rFonts w:ascii="Arial" w:hAnsi="Arial" w:cs="Arial"/>
          <w:color w:val="000000" w:themeColor="text1"/>
        </w:rPr>
      </w:pPr>
      <w:r w:rsidRPr="008E235D">
        <w:rPr>
          <w:rFonts w:ascii="Arial" w:hAnsi="Arial" w:cs="Arial"/>
          <w:color w:val="000000" w:themeColor="text1"/>
        </w:rPr>
        <w:t xml:space="preserve">4. </w:t>
      </w:r>
      <w:r w:rsidR="00B01FCD" w:rsidRPr="008E235D">
        <w:rPr>
          <w:rFonts w:ascii="Arial" w:hAnsi="Arial" w:cs="Arial"/>
          <w:color w:val="000000" w:themeColor="text1"/>
        </w:rPr>
        <w:t>Conclusion</w:t>
      </w:r>
    </w:p>
    <w:p w14:paraId="76DCA59F" w14:textId="77777777" w:rsidR="00790ADA" w:rsidRPr="008E235D" w:rsidRDefault="00790ADA" w:rsidP="00441B6F">
      <w:pPr>
        <w:pStyle w:val="ConcHead"/>
        <w:spacing w:after="0"/>
        <w:jc w:val="both"/>
        <w:rPr>
          <w:rFonts w:ascii="Arial" w:hAnsi="Arial" w:cs="Arial"/>
          <w:color w:val="000000" w:themeColor="text1"/>
        </w:rPr>
      </w:pPr>
    </w:p>
    <w:p w14:paraId="09CAB828" w14:textId="77777777" w:rsidR="00882619" w:rsidRPr="008E235D" w:rsidRDefault="00882619" w:rsidP="00882619">
      <w:pPr>
        <w:pStyle w:val="Body"/>
        <w:rPr>
          <w:rFonts w:ascii="Arial" w:hAnsi="Arial" w:cs="Arial"/>
          <w:color w:val="000000" w:themeColor="text1"/>
        </w:rPr>
      </w:pPr>
      <w:r w:rsidRPr="008E235D">
        <w:rPr>
          <w:rFonts w:ascii="Arial" w:hAnsi="Arial" w:cs="Arial"/>
          <w:color w:val="000000" w:themeColor="text1"/>
        </w:rPr>
        <w:t>In conclusion, this study demonstrates that probiotics and vitamin C significantly enhance the antidepressant efficacy of citalopram hydrobromide in a murine stress model of depression. These findings highlight the therapeutic promise of combining dietary interventions with pharmacological agents to target multiple biological pathways in depression. Future research integrating molecular biomarkers and clinical evaluations is warranted to establish this adjunctive strategy as a viable option for improving outcomes in major depressive disorder.</w:t>
      </w:r>
    </w:p>
    <w:p w14:paraId="41079698" w14:textId="77777777" w:rsidR="00790ADA" w:rsidRPr="008E235D" w:rsidRDefault="00790ADA" w:rsidP="00441B6F">
      <w:pPr>
        <w:pStyle w:val="Body"/>
        <w:spacing w:after="0"/>
        <w:rPr>
          <w:rFonts w:ascii="Arial" w:hAnsi="Arial" w:cs="Arial"/>
          <w:color w:val="000000" w:themeColor="text1"/>
        </w:rPr>
      </w:pPr>
    </w:p>
    <w:p w14:paraId="2DE915C4" w14:textId="77777777" w:rsidR="002B685A" w:rsidRPr="008E235D" w:rsidRDefault="002B685A" w:rsidP="00441B6F">
      <w:pPr>
        <w:pStyle w:val="ReferHead"/>
        <w:spacing w:after="0"/>
        <w:jc w:val="both"/>
        <w:rPr>
          <w:rFonts w:ascii="Arial" w:hAnsi="Arial" w:cs="Arial"/>
          <w:b w:val="0"/>
          <w:caps w:val="0"/>
          <w:color w:val="000000" w:themeColor="text1"/>
          <w:sz w:val="20"/>
        </w:rPr>
      </w:pPr>
    </w:p>
    <w:p w14:paraId="61F4CAC1" w14:textId="77777777" w:rsidR="005C784C" w:rsidRPr="008E235D" w:rsidRDefault="00F554FD" w:rsidP="00441B6F">
      <w:pPr>
        <w:pStyle w:val="ReferHead"/>
        <w:spacing w:after="0"/>
        <w:jc w:val="both"/>
        <w:rPr>
          <w:rFonts w:ascii="Arial" w:hAnsi="Arial" w:cs="Arial"/>
          <w:bCs/>
          <w:color w:val="000000" w:themeColor="text1"/>
        </w:rPr>
      </w:pPr>
      <w:r w:rsidRPr="008E235D">
        <w:rPr>
          <w:rFonts w:ascii="Arial" w:hAnsi="Arial" w:cs="Arial"/>
          <w:bCs/>
          <w:color w:val="000000" w:themeColor="text1"/>
        </w:rPr>
        <w:t>Ethical approval</w:t>
      </w:r>
    </w:p>
    <w:p w14:paraId="0713440E" w14:textId="77777777" w:rsidR="005C784C" w:rsidRPr="008E235D" w:rsidRDefault="005C784C" w:rsidP="00441B6F">
      <w:pPr>
        <w:pStyle w:val="ReferHead"/>
        <w:spacing w:after="0"/>
        <w:jc w:val="both"/>
        <w:rPr>
          <w:rFonts w:ascii="Arial" w:hAnsi="Arial" w:cs="Arial"/>
          <w:bCs/>
          <w:color w:val="000000" w:themeColor="text1"/>
        </w:rPr>
      </w:pPr>
    </w:p>
    <w:p w14:paraId="09267CD2" w14:textId="77777777" w:rsidR="0041027F" w:rsidRPr="008E235D" w:rsidRDefault="008671C6" w:rsidP="002660A2">
      <w:pPr>
        <w:pStyle w:val="ReferHead"/>
        <w:spacing w:after="0"/>
        <w:jc w:val="both"/>
        <w:rPr>
          <w:rFonts w:ascii="Arial" w:hAnsi="Arial" w:cs="Arial"/>
          <w:b w:val="0"/>
          <w:caps w:val="0"/>
          <w:color w:val="000000" w:themeColor="text1"/>
          <w:sz w:val="20"/>
        </w:rPr>
      </w:pPr>
      <w:r w:rsidRPr="008E235D">
        <w:rPr>
          <w:rFonts w:ascii="Arial" w:hAnsi="Arial" w:cs="Arial"/>
          <w:b w:val="0"/>
          <w:caps w:val="0"/>
          <w:color w:val="000000" w:themeColor="text1"/>
          <w:sz w:val="20"/>
        </w:rPr>
        <w:t xml:space="preserve">All authors hereby declare that experiments have been examined and approved by </w:t>
      </w:r>
      <w:r w:rsidR="002660A2" w:rsidRPr="008E235D">
        <w:rPr>
          <w:rFonts w:ascii="Arial" w:hAnsi="Arial" w:cs="Arial"/>
          <w:b w:val="0"/>
          <w:caps w:val="0"/>
          <w:color w:val="000000" w:themeColor="text1"/>
          <w:sz w:val="20"/>
        </w:rPr>
        <w:t>the Institutional Animal Ethical Committee</w:t>
      </w:r>
      <w:r w:rsidR="0093671B" w:rsidRPr="008E235D">
        <w:rPr>
          <w:rFonts w:ascii="Arial" w:hAnsi="Arial" w:cs="Arial"/>
          <w:b w:val="0"/>
          <w:caps w:val="0"/>
          <w:color w:val="000000" w:themeColor="text1"/>
          <w:sz w:val="20"/>
        </w:rPr>
        <w:t xml:space="preserve"> (IAEC)</w:t>
      </w:r>
      <w:r w:rsidR="002660A2" w:rsidRPr="008E235D">
        <w:rPr>
          <w:rFonts w:ascii="Arial" w:hAnsi="Arial" w:cs="Arial"/>
          <w:b w:val="0"/>
          <w:caps w:val="0"/>
          <w:color w:val="000000" w:themeColor="text1"/>
          <w:sz w:val="20"/>
        </w:rPr>
        <w:t xml:space="preserve"> of </w:t>
      </w:r>
      <w:proofErr w:type="spellStart"/>
      <w:r w:rsidR="002660A2" w:rsidRPr="008E235D">
        <w:rPr>
          <w:rFonts w:ascii="Arial" w:hAnsi="Arial" w:cs="Arial"/>
          <w:b w:val="0"/>
          <w:caps w:val="0"/>
          <w:color w:val="000000" w:themeColor="text1"/>
          <w:sz w:val="20"/>
        </w:rPr>
        <w:t>Sudhakarrao</w:t>
      </w:r>
      <w:proofErr w:type="spellEnd"/>
      <w:r w:rsidR="002660A2" w:rsidRPr="008E235D">
        <w:rPr>
          <w:rFonts w:ascii="Arial" w:hAnsi="Arial" w:cs="Arial"/>
          <w:b w:val="0"/>
          <w:caps w:val="0"/>
          <w:color w:val="000000" w:themeColor="text1"/>
          <w:sz w:val="20"/>
        </w:rPr>
        <w:t xml:space="preserve"> Naik Institute of Pharmacy, </w:t>
      </w:r>
      <w:proofErr w:type="spellStart"/>
      <w:r w:rsidR="002660A2" w:rsidRPr="008E235D">
        <w:rPr>
          <w:rFonts w:ascii="Arial" w:hAnsi="Arial" w:cs="Arial"/>
          <w:b w:val="0"/>
          <w:caps w:val="0"/>
          <w:color w:val="000000" w:themeColor="text1"/>
          <w:sz w:val="20"/>
        </w:rPr>
        <w:t>Pusad</w:t>
      </w:r>
      <w:proofErr w:type="spellEnd"/>
      <w:r w:rsidR="002660A2" w:rsidRPr="008E235D">
        <w:rPr>
          <w:rFonts w:ascii="Arial" w:hAnsi="Arial" w:cs="Arial"/>
          <w:b w:val="0"/>
          <w:caps w:val="0"/>
          <w:color w:val="000000" w:themeColor="text1"/>
          <w:sz w:val="20"/>
        </w:rPr>
        <w:t>, Maharashtra, India. (Proposal number: CPCSEA/IAEC/CP-PL/09/2023)</w:t>
      </w:r>
    </w:p>
    <w:p w14:paraId="248F2C74" w14:textId="77777777" w:rsidR="00CD6856" w:rsidRPr="008E235D" w:rsidRDefault="00CD6856" w:rsidP="00441B6F">
      <w:pPr>
        <w:pStyle w:val="ReferHead"/>
        <w:spacing w:after="0"/>
        <w:jc w:val="both"/>
        <w:rPr>
          <w:rFonts w:ascii="Arial" w:hAnsi="Arial" w:cs="Arial"/>
          <w:b w:val="0"/>
          <w:caps w:val="0"/>
          <w:color w:val="000000" w:themeColor="text1"/>
          <w:sz w:val="20"/>
        </w:rPr>
      </w:pPr>
    </w:p>
    <w:p w14:paraId="23A91F68" w14:textId="77777777" w:rsidR="00B01FCD" w:rsidRPr="008E235D" w:rsidRDefault="00B01FCD" w:rsidP="00441B6F">
      <w:pPr>
        <w:pStyle w:val="ReferHead"/>
        <w:spacing w:after="0"/>
        <w:jc w:val="both"/>
        <w:rPr>
          <w:rFonts w:ascii="Arial" w:hAnsi="Arial" w:cs="Arial"/>
          <w:color w:val="000000" w:themeColor="text1"/>
        </w:rPr>
      </w:pPr>
      <w:r w:rsidRPr="008E235D">
        <w:rPr>
          <w:rFonts w:ascii="Arial" w:hAnsi="Arial" w:cs="Arial"/>
          <w:color w:val="000000" w:themeColor="text1"/>
        </w:rPr>
        <w:t>References</w:t>
      </w:r>
    </w:p>
    <w:p w14:paraId="2A269447" w14:textId="77777777" w:rsidR="00790ADA" w:rsidRPr="008E235D" w:rsidRDefault="00790ADA" w:rsidP="00441B6F">
      <w:pPr>
        <w:pStyle w:val="ReferHead"/>
        <w:spacing w:after="0"/>
        <w:jc w:val="both"/>
        <w:rPr>
          <w:rFonts w:ascii="Arial" w:hAnsi="Arial" w:cs="Arial"/>
          <w:color w:val="000000" w:themeColor="text1"/>
        </w:rPr>
      </w:pPr>
    </w:p>
    <w:p w14:paraId="251323D0" w14:textId="77777777" w:rsidR="006B3DFC" w:rsidRPr="008E235D" w:rsidRDefault="006B3DFC" w:rsidP="006B3DFC">
      <w:pPr>
        <w:pStyle w:val="Body"/>
        <w:spacing w:after="0"/>
        <w:rPr>
          <w:color w:val="000000" w:themeColor="text1"/>
        </w:rPr>
      </w:pPr>
      <w:r w:rsidRPr="008E235D">
        <w:rPr>
          <w:color w:val="000000" w:themeColor="text1"/>
        </w:rPr>
        <w:t xml:space="preserve">Abdalla, M.A., </w:t>
      </w:r>
      <w:proofErr w:type="spellStart"/>
      <w:r w:rsidRPr="008E235D">
        <w:rPr>
          <w:color w:val="000000" w:themeColor="text1"/>
        </w:rPr>
        <w:t>Enass</w:t>
      </w:r>
      <w:proofErr w:type="spellEnd"/>
      <w:r w:rsidRPr="008E235D">
        <w:rPr>
          <w:color w:val="000000" w:themeColor="text1"/>
        </w:rPr>
        <w:t>, Y.O., &amp; Osama, A.A. (2018). Comparative therapeutic efficacy study of Lactobacilli probiotics and citalopram hydrobromide in treatment of acute stress-induced depression in lab murine Models. Human Microbiome Journal, 10, 33-36. https://doi.org/10.1016/j.humic.2018.08.001.</w:t>
      </w:r>
    </w:p>
    <w:p w14:paraId="6A51A8FE" w14:textId="77777777" w:rsidR="006B3DFC" w:rsidRPr="008E235D" w:rsidRDefault="006B3DFC" w:rsidP="006B3DFC">
      <w:pPr>
        <w:pStyle w:val="Body"/>
        <w:spacing w:after="0"/>
        <w:rPr>
          <w:color w:val="000000" w:themeColor="text1"/>
        </w:rPr>
      </w:pPr>
    </w:p>
    <w:p w14:paraId="59CD0E95" w14:textId="77777777" w:rsidR="006B3DFC" w:rsidRPr="008E235D" w:rsidRDefault="006B3DFC" w:rsidP="006B3DFC">
      <w:pPr>
        <w:pStyle w:val="Body"/>
        <w:spacing w:after="0"/>
        <w:rPr>
          <w:color w:val="000000" w:themeColor="text1"/>
        </w:rPr>
      </w:pPr>
      <w:r w:rsidRPr="008E235D">
        <w:rPr>
          <w:color w:val="000000" w:themeColor="text1"/>
        </w:rPr>
        <w:t xml:space="preserve">Bettina, M., Ariana, E.S., Ana </w:t>
      </w:r>
      <w:proofErr w:type="spellStart"/>
      <w:r w:rsidRPr="008E235D">
        <w:rPr>
          <w:color w:val="000000" w:themeColor="text1"/>
        </w:rPr>
        <w:t>Lúcia</w:t>
      </w:r>
      <w:proofErr w:type="spellEnd"/>
      <w:r w:rsidRPr="008E235D">
        <w:rPr>
          <w:color w:val="000000" w:themeColor="text1"/>
        </w:rPr>
        <w:t xml:space="preserve">, S.R., </w:t>
      </w:r>
      <w:proofErr w:type="spellStart"/>
      <w:r w:rsidRPr="008E235D">
        <w:rPr>
          <w:color w:val="000000" w:themeColor="text1"/>
        </w:rPr>
        <w:t>Alcir</w:t>
      </w:r>
      <w:proofErr w:type="spellEnd"/>
      <w:r w:rsidRPr="008E235D">
        <w:rPr>
          <w:color w:val="000000" w:themeColor="text1"/>
        </w:rPr>
        <w:t>, L.D., &amp; Mauricio, P.C. (2020). The role of vitamin C in stress-related disorders. The Journal of Nutritional Biochemistry, 85, 108459. https://doi.org/10.1016/j.jnutbio.2020.108459.</w:t>
      </w:r>
    </w:p>
    <w:p w14:paraId="2AB56311" w14:textId="77777777" w:rsidR="006B3DFC" w:rsidRPr="008E235D" w:rsidRDefault="006B3DFC" w:rsidP="006B3DFC">
      <w:pPr>
        <w:pStyle w:val="Body"/>
        <w:spacing w:after="0"/>
        <w:rPr>
          <w:color w:val="000000" w:themeColor="text1"/>
        </w:rPr>
      </w:pPr>
    </w:p>
    <w:p w14:paraId="0BA63D19" w14:textId="77777777" w:rsidR="006B3DFC" w:rsidRPr="008E235D" w:rsidRDefault="006B3DFC" w:rsidP="006B3DFC">
      <w:pPr>
        <w:pStyle w:val="Body"/>
        <w:spacing w:after="0"/>
        <w:rPr>
          <w:color w:val="000000" w:themeColor="text1"/>
        </w:rPr>
      </w:pPr>
      <w:proofErr w:type="spellStart"/>
      <w:r w:rsidRPr="008E235D">
        <w:rPr>
          <w:color w:val="000000" w:themeColor="text1"/>
        </w:rPr>
        <w:t>Bidaki</w:t>
      </w:r>
      <w:proofErr w:type="spellEnd"/>
      <w:r w:rsidRPr="008E235D">
        <w:rPr>
          <w:color w:val="000000" w:themeColor="text1"/>
        </w:rPr>
        <w:t xml:space="preserve">, R., Mahdavi, F.M., </w:t>
      </w:r>
      <w:proofErr w:type="spellStart"/>
      <w:r w:rsidRPr="008E235D">
        <w:rPr>
          <w:color w:val="000000" w:themeColor="text1"/>
        </w:rPr>
        <w:t>Motamed</w:t>
      </w:r>
      <w:proofErr w:type="spellEnd"/>
      <w:r w:rsidRPr="008E235D">
        <w:rPr>
          <w:color w:val="000000" w:themeColor="text1"/>
        </w:rPr>
        <w:t xml:space="preserve">, M., </w:t>
      </w:r>
      <w:proofErr w:type="spellStart"/>
      <w:r w:rsidRPr="008E235D">
        <w:rPr>
          <w:color w:val="000000" w:themeColor="text1"/>
        </w:rPr>
        <w:t>Taherzadeh</w:t>
      </w:r>
      <w:proofErr w:type="spellEnd"/>
      <w:r w:rsidRPr="008E235D">
        <w:rPr>
          <w:color w:val="000000" w:themeColor="text1"/>
        </w:rPr>
        <w:t xml:space="preserve">, B.S., &amp; </w:t>
      </w:r>
      <w:proofErr w:type="spellStart"/>
      <w:r w:rsidRPr="008E235D">
        <w:rPr>
          <w:color w:val="000000" w:themeColor="text1"/>
        </w:rPr>
        <w:t>Nadjarzadeh</w:t>
      </w:r>
      <w:proofErr w:type="spellEnd"/>
      <w:r w:rsidRPr="008E235D">
        <w:rPr>
          <w:color w:val="000000" w:themeColor="text1"/>
        </w:rPr>
        <w:t>, A. (2023). The Role of Vitamin C in the Treatment of Depression. Journal of Nutrition and Food Security, 8(2), 152-154.</w:t>
      </w:r>
    </w:p>
    <w:p w14:paraId="0382AB39" w14:textId="77777777" w:rsidR="006B3DFC" w:rsidRPr="008E235D" w:rsidRDefault="006B3DFC" w:rsidP="006B3DFC">
      <w:pPr>
        <w:pStyle w:val="Body"/>
        <w:spacing w:after="0"/>
        <w:rPr>
          <w:color w:val="000000" w:themeColor="text1"/>
        </w:rPr>
      </w:pPr>
    </w:p>
    <w:p w14:paraId="46EF5398" w14:textId="77777777" w:rsidR="006B3DFC" w:rsidRPr="008E235D" w:rsidRDefault="006B3DFC" w:rsidP="006B3DFC">
      <w:pPr>
        <w:pStyle w:val="Body"/>
        <w:spacing w:after="0"/>
        <w:rPr>
          <w:color w:val="000000" w:themeColor="text1"/>
        </w:rPr>
      </w:pPr>
      <w:proofErr w:type="spellStart"/>
      <w:r w:rsidRPr="008E235D">
        <w:rPr>
          <w:color w:val="000000" w:themeColor="text1"/>
        </w:rPr>
        <w:t>Bienenstock</w:t>
      </w:r>
      <w:proofErr w:type="spellEnd"/>
      <w:r w:rsidRPr="008E235D">
        <w:rPr>
          <w:color w:val="000000" w:themeColor="text1"/>
        </w:rPr>
        <w:t>, J., Kunze, W., &amp; Forsythe, P. (2016). The microbiome–gut–brain axis and the con sequences of infection and dysbiosis. American Journal of Gastroenterology, 3, 33-38.</w:t>
      </w:r>
    </w:p>
    <w:p w14:paraId="6666B64C" w14:textId="77777777" w:rsidR="006B3DFC" w:rsidRPr="008E235D" w:rsidRDefault="006B3DFC" w:rsidP="006B3DFC">
      <w:pPr>
        <w:pStyle w:val="Body"/>
        <w:spacing w:after="0"/>
        <w:rPr>
          <w:color w:val="000000" w:themeColor="text1"/>
        </w:rPr>
      </w:pPr>
    </w:p>
    <w:p w14:paraId="0D6C77C6" w14:textId="77777777" w:rsidR="006B3DFC" w:rsidRPr="008E235D" w:rsidRDefault="006B3DFC" w:rsidP="006B3DFC">
      <w:pPr>
        <w:pStyle w:val="Body"/>
        <w:spacing w:after="0"/>
        <w:rPr>
          <w:color w:val="000000" w:themeColor="text1"/>
        </w:rPr>
      </w:pPr>
      <w:proofErr w:type="spellStart"/>
      <w:r w:rsidRPr="008E235D">
        <w:rPr>
          <w:color w:val="000000" w:themeColor="text1"/>
        </w:rPr>
        <w:t>Bezchlibnyk</w:t>
      </w:r>
      <w:proofErr w:type="spellEnd"/>
      <w:r w:rsidRPr="008E235D">
        <w:rPr>
          <w:color w:val="000000" w:themeColor="text1"/>
        </w:rPr>
        <w:t xml:space="preserve">-Butler, K., </w:t>
      </w:r>
      <w:proofErr w:type="spellStart"/>
      <w:r w:rsidRPr="008E235D">
        <w:rPr>
          <w:color w:val="000000" w:themeColor="text1"/>
        </w:rPr>
        <w:t>Aleksic</w:t>
      </w:r>
      <w:proofErr w:type="spellEnd"/>
      <w:r w:rsidRPr="008E235D">
        <w:rPr>
          <w:color w:val="000000" w:themeColor="text1"/>
        </w:rPr>
        <w:t>, I., &amp; Kennedy, S.H. (2000). Citalopram hydrobromide–a review of pharmacological and clinical effects. Journal of Psychiatry &amp; Neuroscience, 25(3), 241-254.</w:t>
      </w:r>
    </w:p>
    <w:p w14:paraId="153BAB91" w14:textId="77777777" w:rsidR="006B3DFC" w:rsidRPr="008E235D" w:rsidRDefault="006B3DFC" w:rsidP="006B3DFC">
      <w:pPr>
        <w:pStyle w:val="Body"/>
        <w:spacing w:after="0"/>
        <w:rPr>
          <w:color w:val="000000" w:themeColor="text1"/>
        </w:rPr>
      </w:pPr>
    </w:p>
    <w:p w14:paraId="2D319BD7" w14:textId="77777777" w:rsidR="006B3DFC" w:rsidRPr="008E235D" w:rsidRDefault="006B3DFC" w:rsidP="006B3DFC">
      <w:pPr>
        <w:pStyle w:val="Body"/>
        <w:spacing w:after="0"/>
        <w:rPr>
          <w:color w:val="000000" w:themeColor="text1"/>
        </w:rPr>
      </w:pPr>
      <w:r w:rsidRPr="008E235D">
        <w:rPr>
          <w:color w:val="000000" w:themeColor="text1"/>
        </w:rPr>
        <w:t xml:space="preserve">Bhosale, U., </w:t>
      </w:r>
      <w:proofErr w:type="spellStart"/>
      <w:r w:rsidRPr="008E235D">
        <w:rPr>
          <w:color w:val="000000" w:themeColor="text1"/>
        </w:rPr>
        <w:t>Yegnanarayan</w:t>
      </w:r>
      <w:proofErr w:type="spellEnd"/>
      <w:r w:rsidRPr="008E235D">
        <w:rPr>
          <w:color w:val="000000" w:themeColor="text1"/>
        </w:rPr>
        <w:t xml:space="preserve">, R., Prachi, P., </w:t>
      </w:r>
      <w:proofErr w:type="spellStart"/>
      <w:r w:rsidRPr="008E235D">
        <w:rPr>
          <w:color w:val="000000" w:themeColor="text1"/>
        </w:rPr>
        <w:t>Zambare</w:t>
      </w:r>
      <w:proofErr w:type="spellEnd"/>
      <w:r w:rsidRPr="008E235D">
        <w:rPr>
          <w:color w:val="000000" w:themeColor="text1"/>
        </w:rPr>
        <w:t xml:space="preserve">, M., &amp; </w:t>
      </w:r>
      <w:proofErr w:type="spellStart"/>
      <w:r w:rsidRPr="008E235D">
        <w:rPr>
          <w:color w:val="000000" w:themeColor="text1"/>
        </w:rPr>
        <w:t>Somani</w:t>
      </w:r>
      <w:proofErr w:type="spellEnd"/>
      <w:r w:rsidRPr="008E235D">
        <w:rPr>
          <w:color w:val="000000" w:themeColor="text1"/>
        </w:rPr>
        <w:t xml:space="preserve">, R.S. (2011). Study of CNS depressant and behavioral activity of an ethanol extract of </w:t>
      </w:r>
      <w:proofErr w:type="spellStart"/>
      <w:r w:rsidRPr="008E235D">
        <w:rPr>
          <w:color w:val="000000" w:themeColor="text1"/>
        </w:rPr>
        <w:t>Achyranthes</w:t>
      </w:r>
      <w:proofErr w:type="spellEnd"/>
      <w:r w:rsidRPr="008E235D">
        <w:rPr>
          <w:color w:val="000000" w:themeColor="text1"/>
        </w:rPr>
        <w:t xml:space="preserve"> Aspera (</w:t>
      </w:r>
      <w:proofErr w:type="spellStart"/>
      <w:r w:rsidRPr="008E235D">
        <w:rPr>
          <w:color w:val="000000" w:themeColor="text1"/>
        </w:rPr>
        <w:t>Chirchita</w:t>
      </w:r>
      <w:proofErr w:type="spellEnd"/>
      <w:r w:rsidRPr="008E235D">
        <w:rPr>
          <w:color w:val="000000" w:themeColor="text1"/>
        </w:rPr>
        <w:t>) in mouse model. Annals of Neurosciences, 18(2), 44-47. https://doi.org/10.5214/ans.0972.7531.1118204.</w:t>
      </w:r>
    </w:p>
    <w:p w14:paraId="6334497D" w14:textId="77777777" w:rsidR="006B3DFC" w:rsidRPr="008E235D" w:rsidRDefault="006B3DFC" w:rsidP="006B3DFC">
      <w:pPr>
        <w:pStyle w:val="Body"/>
        <w:spacing w:after="0"/>
        <w:rPr>
          <w:color w:val="000000" w:themeColor="text1"/>
        </w:rPr>
      </w:pPr>
    </w:p>
    <w:p w14:paraId="67F43E10" w14:textId="77777777" w:rsidR="006B3DFC" w:rsidRPr="008E235D" w:rsidRDefault="006B3DFC" w:rsidP="006B3DFC">
      <w:pPr>
        <w:pStyle w:val="Body"/>
        <w:spacing w:after="0"/>
        <w:rPr>
          <w:color w:val="000000" w:themeColor="text1"/>
        </w:rPr>
      </w:pPr>
      <w:proofErr w:type="spellStart"/>
      <w:r w:rsidRPr="008E235D">
        <w:rPr>
          <w:color w:val="000000" w:themeColor="text1"/>
        </w:rPr>
        <w:t>Binfare</w:t>
      </w:r>
      <w:proofErr w:type="spellEnd"/>
      <w:r w:rsidRPr="008E235D">
        <w:rPr>
          <w:color w:val="000000" w:themeColor="text1"/>
        </w:rPr>
        <w:t>, R.W., Rosa, A.O., Lobato, K.R., Santos, A.R., &amp; Rodrigues, A.L. (2009). Ascorbic acid administration produces an antidepressant-like effect: evidence for the involvement of monoaminergic neurotransmission. Progress in Neuro-Psychopharmacology &amp; Biological Psychiatry, 33(3), 530-540. https://doi.org/10.1016/j.pnpbp.2009.02.003.</w:t>
      </w:r>
    </w:p>
    <w:p w14:paraId="1FFDDD1B" w14:textId="77777777" w:rsidR="008E235D" w:rsidRPr="008E235D" w:rsidRDefault="008E235D" w:rsidP="006B3DFC">
      <w:pPr>
        <w:pStyle w:val="Body"/>
        <w:spacing w:after="0"/>
        <w:rPr>
          <w:color w:val="000000" w:themeColor="text1"/>
        </w:rPr>
      </w:pPr>
    </w:p>
    <w:p w14:paraId="691820DC" w14:textId="77777777" w:rsidR="008E235D" w:rsidRPr="003A579D" w:rsidRDefault="008E235D" w:rsidP="008E235D">
      <w:pPr>
        <w:pStyle w:val="Body"/>
        <w:spacing w:after="0"/>
        <w:rPr>
          <w:color w:val="000000" w:themeColor="text1"/>
          <w:lang w:val="fr-FR"/>
        </w:rPr>
      </w:pPr>
      <w:r w:rsidRPr="008E235D">
        <w:rPr>
          <w:color w:val="000000" w:themeColor="text1"/>
        </w:rPr>
        <w:t xml:space="preserve">Commons, K.G., </w:t>
      </w:r>
      <w:proofErr w:type="spellStart"/>
      <w:r w:rsidRPr="008E235D">
        <w:rPr>
          <w:color w:val="000000" w:themeColor="text1"/>
        </w:rPr>
        <w:t>Cholanians</w:t>
      </w:r>
      <w:proofErr w:type="spellEnd"/>
      <w:r w:rsidRPr="008E235D">
        <w:rPr>
          <w:color w:val="000000" w:themeColor="text1"/>
        </w:rPr>
        <w:t xml:space="preserve">, A.B., Babb, J.A., &amp; </w:t>
      </w:r>
      <w:proofErr w:type="spellStart"/>
      <w:r w:rsidRPr="008E235D">
        <w:rPr>
          <w:color w:val="000000" w:themeColor="text1"/>
        </w:rPr>
        <w:t>Ehlinger</w:t>
      </w:r>
      <w:proofErr w:type="spellEnd"/>
      <w:r w:rsidRPr="008E235D">
        <w:rPr>
          <w:color w:val="000000" w:themeColor="text1"/>
        </w:rPr>
        <w:t xml:space="preserve">, D.G. (2017). The Rodent Forced Swim Test Measures Stress-Coping Strategy, Not Depression-like Behavior. </w:t>
      </w:r>
      <w:r w:rsidRPr="003A579D">
        <w:rPr>
          <w:color w:val="000000" w:themeColor="text1"/>
          <w:lang w:val="fr-FR"/>
        </w:rPr>
        <w:t>ACS Chemical Neuroscience Journal, 8(5), 955-960. https://doi.org/10.1021/acschemneuro.7b00042.</w:t>
      </w:r>
    </w:p>
    <w:p w14:paraId="5DB17FC5" w14:textId="77777777" w:rsidR="008E235D" w:rsidRPr="003A579D" w:rsidRDefault="008E235D" w:rsidP="006B3DFC">
      <w:pPr>
        <w:pStyle w:val="Body"/>
        <w:spacing w:after="0"/>
        <w:rPr>
          <w:color w:val="000000" w:themeColor="text1"/>
          <w:lang w:val="fr-FR"/>
        </w:rPr>
      </w:pPr>
    </w:p>
    <w:p w14:paraId="7D7F9F53" w14:textId="77777777" w:rsidR="008E235D" w:rsidRPr="008E235D" w:rsidRDefault="008E235D" w:rsidP="008E235D">
      <w:pPr>
        <w:pStyle w:val="Body"/>
        <w:spacing w:after="0"/>
        <w:rPr>
          <w:color w:val="000000" w:themeColor="text1"/>
        </w:rPr>
      </w:pPr>
      <w:r w:rsidRPr="003A579D">
        <w:rPr>
          <w:color w:val="000000" w:themeColor="text1"/>
          <w:lang w:val="fr-FR"/>
        </w:rPr>
        <w:t xml:space="preserve">Foster, J.A., </w:t>
      </w:r>
      <w:proofErr w:type="spellStart"/>
      <w:r w:rsidRPr="003A579D">
        <w:rPr>
          <w:color w:val="000000" w:themeColor="text1"/>
          <w:lang w:val="fr-FR"/>
        </w:rPr>
        <w:t>Rinaman</w:t>
      </w:r>
      <w:proofErr w:type="spellEnd"/>
      <w:r w:rsidRPr="003A579D">
        <w:rPr>
          <w:color w:val="000000" w:themeColor="text1"/>
          <w:lang w:val="fr-FR"/>
        </w:rPr>
        <w:t xml:space="preserve">, L., &amp; </w:t>
      </w:r>
      <w:proofErr w:type="spellStart"/>
      <w:r w:rsidRPr="003A579D">
        <w:rPr>
          <w:color w:val="000000" w:themeColor="text1"/>
          <w:lang w:val="fr-FR"/>
        </w:rPr>
        <w:t>Cryan</w:t>
      </w:r>
      <w:proofErr w:type="spellEnd"/>
      <w:r w:rsidRPr="003A579D">
        <w:rPr>
          <w:color w:val="000000" w:themeColor="text1"/>
          <w:lang w:val="fr-FR"/>
        </w:rPr>
        <w:t xml:space="preserve">, J.F. (2017). </w:t>
      </w:r>
      <w:r w:rsidRPr="008E235D">
        <w:rPr>
          <w:color w:val="000000" w:themeColor="text1"/>
        </w:rPr>
        <w:t>Stress &amp; the gut-brain axis: Regulation by the microbiome. Neurobiology of Stress, 19(7), 124-136. https://doi.org/10.1016/j.ynstr.2017.03.001.</w:t>
      </w:r>
    </w:p>
    <w:p w14:paraId="24102F89" w14:textId="77777777" w:rsidR="006B3DFC" w:rsidRPr="008E235D" w:rsidRDefault="006B3DFC" w:rsidP="006B3DFC">
      <w:pPr>
        <w:pStyle w:val="Body"/>
        <w:spacing w:after="0"/>
        <w:rPr>
          <w:color w:val="000000" w:themeColor="text1"/>
        </w:rPr>
      </w:pPr>
    </w:p>
    <w:p w14:paraId="1BFC6254" w14:textId="77777777" w:rsidR="008E235D" w:rsidRPr="008E235D" w:rsidRDefault="008E235D" w:rsidP="008E235D">
      <w:pPr>
        <w:pStyle w:val="Body"/>
        <w:spacing w:after="0"/>
        <w:rPr>
          <w:color w:val="000000" w:themeColor="text1"/>
        </w:rPr>
      </w:pPr>
      <w:r w:rsidRPr="008E235D">
        <w:rPr>
          <w:color w:val="000000" w:themeColor="text1"/>
        </w:rPr>
        <w:t xml:space="preserve">Ganesh, P., </w:t>
      </w:r>
      <w:proofErr w:type="spellStart"/>
      <w:r w:rsidRPr="008E235D">
        <w:rPr>
          <w:color w:val="000000" w:themeColor="text1"/>
        </w:rPr>
        <w:t>Subrat</w:t>
      </w:r>
      <w:proofErr w:type="spellEnd"/>
      <w:r w:rsidRPr="008E235D">
        <w:rPr>
          <w:color w:val="000000" w:themeColor="text1"/>
        </w:rPr>
        <w:t xml:space="preserve"> </w:t>
      </w:r>
      <w:proofErr w:type="spellStart"/>
      <w:r w:rsidRPr="008E235D">
        <w:rPr>
          <w:color w:val="000000" w:themeColor="text1"/>
        </w:rPr>
        <w:t>kumar</w:t>
      </w:r>
      <w:proofErr w:type="spellEnd"/>
      <w:r w:rsidRPr="008E235D">
        <w:rPr>
          <w:color w:val="000000" w:themeColor="text1"/>
        </w:rPr>
        <w:t xml:space="preserve">, B., &amp; </w:t>
      </w:r>
      <w:proofErr w:type="spellStart"/>
      <w:r w:rsidRPr="008E235D">
        <w:rPr>
          <w:color w:val="000000" w:themeColor="text1"/>
        </w:rPr>
        <w:t>Bijay</w:t>
      </w:r>
      <w:proofErr w:type="spellEnd"/>
      <w:r w:rsidRPr="008E235D">
        <w:rPr>
          <w:color w:val="000000" w:themeColor="text1"/>
        </w:rPr>
        <w:t xml:space="preserve"> </w:t>
      </w:r>
      <w:proofErr w:type="spellStart"/>
      <w:r w:rsidRPr="008E235D">
        <w:rPr>
          <w:color w:val="000000" w:themeColor="text1"/>
        </w:rPr>
        <w:t>kumar</w:t>
      </w:r>
      <w:proofErr w:type="spellEnd"/>
      <w:r w:rsidRPr="008E235D">
        <w:rPr>
          <w:color w:val="000000" w:themeColor="text1"/>
        </w:rPr>
        <w:t xml:space="preserve">, M. (2016). Effects of Mimosa </w:t>
      </w:r>
      <w:proofErr w:type="spellStart"/>
      <w:r w:rsidRPr="008E235D">
        <w:rPr>
          <w:color w:val="000000" w:themeColor="text1"/>
        </w:rPr>
        <w:t>Pudica</w:t>
      </w:r>
      <w:proofErr w:type="spellEnd"/>
      <w:r w:rsidRPr="008E235D">
        <w:rPr>
          <w:color w:val="000000" w:themeColor="text1"/>
        </w:rPr>
        <w:t xml:space="preserve"> </w:t>
      </w:r>
      <w:proofErr w:type="spellStart"/>
      <w:proofErr w:type="gramStart"/>
      <w:r w:rsidRPr="008E235D">
        <w:rPr>
          <w:color w:val="000000" w:themeColor="text1"/>
        </w:rPr>
        <w:t>L.leaves</w:t>
      </w:r>
      <w:proofErr w:type="spellEnd"/>
      <w:proofErr w:type="gramEnd"/>
      <w:r w:rsidRPr="008E235D">
        <w:rPr>
          <w:color w:val="000000" w:themeColor="text1"/>
        </w:rPr>
        <w:t xml:space="preserve"> extract on anxiety, depression and memory. </w:t>
      </w:r>
      <w:proofErr w:type="spellStart"/>
      <w:r w:rsidRPr="008E235D">
        <w:rPr>
          <w:color w:val="000000" w:themeColor="text1"/>
        </w:rPr>
        <w:t>Avicena</w:t>
      </w:r>
      <w:proofErr w:type="spellEnd"/>
      <w:r w:rsidRPr="008E235D">
        <w:rPr>
          <w:color w:val="000000" w:themeColor="text1"/>
        </w:rPr>
        <w:t xml:space="preserve"> Journal of Phytomedicine, 6(6), 696-710. </w:t>
      </w:r>
    </w:p>
    <w:p w14:paraId="3C54F5E6" w14:textId="77777777" w:rsidR="006B3DFC" w:rsidRPr="008E235D" w:rsidRDefault="006B3DFC" w:rsidP="006B3DFC">
      <w:pPr>
        <w:pStyle w:val="Body"/>
        <w:spacing w:after="0"/>
        <w:rPr>
          <w:color w:val="000000" w:themeColor="text1"/>
        </w:rPr>
      </w:pPr>
    </w:p>
    <w:p w14:paraId="226A5A0A" w14:textId="77777777" w:rsidR="008E235D" w:rsidRPr="008E235D" w:rsidRDefault="008E235D" w:rsidP="008E235D">
      <w:pPr>
        <w:pStyle w:val="Body"/>
        <w:spacing w:after="0"/>
        <w:rPr>
          <w:color w:val="000000" w:themeColor="text1"/>
        </w:rPr>
      </w:pPr>
      <w:r w:rsidRPr="008E235D">
        <w:rPr>
          <w:color w:val="000000" w:themeColor="text1"/>
        </w:rPr>
        <w:lastRenderedPageBreak/>
        <w:t>Gao, J., Zhao, L., Cheng, Y., Lei, W., Wang, Y., Liu, X., et al. (2023). Probiotics for the treatment of depression and its comorbidities: A systemic review. Frontiers in Cellular and Infection Microbiology, 13:1167116. https://doi.org/10.3389/fcimb.2023.1167116.</w:t>
      </w:r>
    </w:p>
    <w:p w14:paraId="650CF12C" w14:textId="77777777" w:rsidR="008E235D" w:rsidRPr="008E235D" w:rsidRDefault="008E235D" w:rsidP="006B3DFC">
      <w:pPr>
        <w:pStyle w:val="Body"/>
        <w:spacing w:after="0"/>
        <w:rPr>
          <w:color w:val="000000" w:themeColor="text1"/>
        </w:rPr>
      </w:pPr>
    </w:p>
    <w:p w14:paraId="3C8D0006" w14:textId="77777777" w:rsidR="008E235D" w:rsidRPr="008E235D" w:rsidRDefault="008E235D" w:rsidP="008E235D">
      <w:pPr>
        <w:pStyle w:val="Body"/>
        <w:spacing w:after="0"/>
        <w:rPr>
          <w:color w:val="000000" w:themeColor="text1"/>
        </w:rPr>
      </w:pPr>
      <w:r w:rsidRPr="008E235D">
        <w:rPr>
          <w:color w:val="000000" w:themeColor="text1"/>
        </w:rPr>
        <w:t xml:space="preserve">Gupta, S., </w:t>
      </w:r>
      <w:proofErr w:type="spellStart"/>
      <w:r w:rsidRPr="008E235D">
        <w:rPr>
          <w:color w:val="000000" w:themeColor="text1"/>
        </w:rPr>
        <w:t>Kharjul</w:t>
      </w:r>
      <w:proofErr w:type="spellEnd"/>
      <w:r w:rsidRPr="008E235D">
        <w:rPr>
          <w:color w:val="000000" w:themeColor="text1"/>
        </w:rPr>
        <w:t xml:space="preserve">, M., </w:t>
      </w:r>
      <w:proofErr w:type="spellStart"/>
      <w:r w:rsidRPr="008E235D">
        <w:rPr>
          <w:color w:val="000000" w:themeColor="text1"/>
        </w:rPr>
        <w:t>Bhairy</w:t>
      </w:r>
      <w:proofErr w:type="spellEnd"/>
      <w:r w:rsidRPr="008E235D">
        <w:rPr>
          <w:color w:val="000000" w:themeColor="text1"/>
        </w:rPr>
        <w:t>, S., Maurya, S., &amp; Upadhyay, A. (2014). Some Evaluated Potential Therapeutic Agents in Herbalism and their Proposed Dosage Forms. International Journal of Innovative Pharmaceutical Sciences and Research, 2(7), 1533-1554.</w:t>
      </w:r>
    </w:p>
    <w:p w14:paraId="0846B442" w14:textId="77777777" w:rsidR="008E235D" w:rsidRPr="008E235D" w:rsidRDefault="008E235D" w:rsidP="006B3DFC">
      <w:pPr>
        <w:pStyle w:val="Body"/>
        <w:spacing w:after="0"/>
        <w:rPr>
          <w:color w:val="000000" w:themeColor="text1"/>
        </w:rPr>
      </w:pPr>
    </w:p>
    <w:p w14:paraId="1B7E05CC" w14:textId="77777777" w:rsidR="008E235D" w:rsidRPr="008E235D" w:rsidRDefault="008E235D" w:rsidP="008E235D">
      <w:pPr>
        <w:pStyle w:val="Body"/>
        <w:spacing w:after="0"/>
        <w:rPr>
          <w:color w:val="000000" w:themeColor="text1"/>
        </w:rPr>
      </w:pPr>
      <w:proofErr w:type="spellStart"/>
      <w:r w:rsidRPr="008E235D">
        <w:rPr>
          <w:color w:val="000000" w:themeColor="text1"/>
        </w:rPr>
        <w:t>Khanzode</w:t>
      </w:r>
      <w:proofErr w:type="spellEnd"/>
      <w:r w:rsidRPr="008E235D">
        <w:rPr>
          <w:color w:val="000000" w:themeColor="text1"/>
        </w:rPr>
        <w:t xml:space="preserve">, S.D., </w:t>
      </w:r>
      <w:proofErr w:type="spellStart"/>
      <w:r w:rsidRPr="008E235D">
        <w:rPr>
          <w:color w:val="000000" w:themeColor="text1"/>
        </w:rPr>
        <w:t>Dakhale</w:t>
      </w:r>
      <w:proofErr w:type="spellEnd"/>
      <w:r w:rsidRPr="008E235D">
        <w:rPr>
          <w:color w:val="000000" w:themeColor="text1"/>
        </w:rPr>
        <w:t xml:space="preserve">, G.N., </w:t>
      </w:r>
      <w:proofErr w:type="spellStart"/>
      <w:r w:rsidRPr="008E235D">
        <w:rPr>
          <w:color w:val="000000" w:themeColor="text1"/>
        </w:rPr>
        <w:t>Khanzode</w:t>
      </w:r>
      <w:proofErr w:type="spellEnd"/>
      <w:r w:rsidRPr="008E235D">
        <w:rPr>
          <w:color w:val="000000" w:themeColor="text1"/>
        </w:rPr>
        <w:t xml:space="preserve">, S.S., </w:t>
      </w:r>
      <w:proofErr w:type="spellStart"/>
      <w:r w:rsidRPr="008E235D">
        <w:rPr>
          <w:color w:val="000000" w:themeColor="text1"/>
        </w:rPr>
        <w:t>Saoji</w:t>
      </w:r>
      <w:proofErr w:type="spellEnd"/>
      <w:r w:rsidRPr="008E235D">
        <w:rPr>
          <w:color w:val="000000" w:themeColor="text1"/>
        </w:rPr>
        <w:t xml:space="preserve">, A., &amp; </w:t>
      </w:r>
      <w:proofErr w:type="spellStart"/>
      <w:r w:rsidRPr="008E235D">
        <w:rPr>
          <w:color w:val="000000" w:themeColor="text1"/>
        </w:rPr>
        <w:t>Palasodkar</w:t>
      </w:r>
      <w:proofErr w:type="spellEnd"/>
      <w:r w:rsidRPr="008E235D">
        <w:rPr>
          <w:color w:val="000000" w:themeColor="text1"/>
        </w:rPr>
        <w:t xml:space="preserve">, R. (2003). Oxidative damage and major depression: the potential antioxidant action of selective </w:t>
      </w:r>
      <w:proofErr w:type="spellStart"/>
      <w:r w:rsidRPr="008E235D">
        <w:rPr>
          <w:color w:val="000000" w:themeColor="text1"/>
        </w:rPr>
        <w:t>serotoninre</w:t>
      </w:r>
      <w:proofErr w:type="spellEnd"/>
      <w:r w:rsidRPr="008E235D">
        <w:rPr>
          <w:color w:val="000000" w:themeColor="text1"/>
        </w:rPr>
        <w:t>-uptake inhibitors. Redox Report, 8(6), 365-370. https://doi.org/10.1179/135100003225003393.</w:t>
      </w:r>
    </w:p>
    <w:p w14:paraId="4CB110F7" w14:textId="77777777" w:rsidR="008E235D" w:rsidRPr="008E235D" w:rsidRDefault="008E235D" w:rsidP="006B3DFC">
      <w:pPr>
        <w:pStyle w:val="Body"/>
        <w:spacing w:after="0"/>
        <w:rPr>
          <w:color w:val="000000" w:themeColor="text1"/>
        </w:rPr>
      </w:pPr>
    </w:p>
    <w:p w14:paraId="3FE4B3DD" w14:textId="77777777" w:rsidR="008E235D" w:rsidRPr="008E235D" w:rsidRDefault="008E235D" w:rsidP="008E235D">
      <w:pPr>
        <w:pStyle w:val="Body"/>
        <w:spacing w:after="0"/>
        <w:rPr>
          <w:color w:val="000000" w:themeColor="text1"/>
        </w:rPr>
      </w:pPr>
      <w:r w:rsidRPr="008E235D">
        <w:rPr>
          <w:color w:val="000000" w:themeColor="text1"/>
        </w:rPr>
        <w:t xml:space="preserve">Kohima, A., </w:t>
      </w:r>
      <w:proofErr w:type="spellStart"/>
      <w:r w:rsidRPr="008E235D">
        <w:rPr>
          <w:color w:val="000000" w:themeColor="text1"/>
        </w:rPr>
        <w:t>Navyug</w:t>
      </w:r>
      <w:proofErr w:type="spellEnd"/>
      <w:r w:rsidRPr="008E235D">
        <w:rPr>
          <w:color w:val="000000" w:themeColor="text1"/>
        </w:rPr>
        <w:t xml:space="preserve">, R.S., </w:t>
      </w:r>
      <w:proofErr w:type="spellStart"/>
      <w:r w:rsidRPr="008E235D">
        <w:rPr>
          <w:color w:val="000000" w:themeColor="text1"/>
        </w:rPr>
        <w:t>Neeru</w:t>
      </w:r>
      <w:proofErr w:type="spellEnd"/>
      <w:r w:rsidRPr="008E235D">
        <w:rPr>
          <w:color w:val="000000" w:themeColor="text1"/>
        </w:rPr>
        <w:t>, B., &amp; Manjit, S. (2021).  Major depressive disorder: association with vitamin C levels and role of vitamin C supplementation in pharmacotherapy. International Journal of Basic &amp; Clinical Pharmacology, 10(4), 403-408. https://doi.org/10.18203/2319-2003.ijbcp20211023.</w:t>
      </w:r>
    </w:p>
    <w:p w14:paraId="43D500D9" w14:textId="77777777" w:rsidR="006B3DFC" w:rsidRPr="008E235D" w:rsidRDefault="006B3DFC" w:rsidP="006B3DFC">
      <w:pPr>
        <w:pStyle w:val="Body"/>
        <w:spacing w:after="0"/>
        <w:rPr>
          <w:color w:val="000000" w:themeColor="text1"/>
        </w:rPr>
      </w:pPr>
    </w:p>
    <w:p w14:paraId="5D8E5D52" w14:textId="77777777" w:rsidR="008E235D" w:rsidRPr="008E235D" w:rsidRDefault="008E235D" w:rsidP="008E235D">
      <w:pPr>
        <w:pStyle w:val="Body"/>
        <w:spacing w:after="0"/>
        <w:rPr>
          <w:color w:val="000000" w:themeColor="text1"/>
        </w:rPr>
      </w:pPr>
      <w:r w:rsidRPr="008E235D">
        <w:rPr>
          <w:color w:val="000000" w:themeColor="text1"/>
        </w:rPr>
        <w:t xml:space="preserve">Moretti, M., </w:t>
      </w:r>
      <w:proofErr w:type="spellStart"/>
      <w:r w:rsidRPr="008E235D">
        <w:rPr>
          <w:color w:val="000000" w:themeColor="text1"/>
        </w:rPr>
        <w:t>Budni</w:t>
      </w:r>
      <w:proofErr w:type="spellEnd"/>
      <w:r w:rsidRPr="008E235D">
        <w:rPr>
          <w:color w:val="000000" w:themeColor="text1"/>
        </w:rPr>
        <w:t xml:space="preserve">, J., Santos, D.B., Antunes, A., </w:t>
      </w:r>
      <w:proofErr w:type="spellStart"/>
      <w:r w:rsidRPr="008E235D">
        <w:rPr>
          <w:color w:val="000000" w:themeColor="text1"/>
        </w:rPr>
        <w:t>Daufenbach</w:t>
      </w:r>
      <w:proofErr w:type="spellEnd"/>
      <w:r w:rsidRPr="008E235D">
        <w:rPr>
          <w:color w:val="000000" w:themeColor="text1"/>
        </w:rPr>
        <w:t xml:space="preserve">, J.F., </w:t>
      </w:r>
      <w:proofErr w:type="spellStart"/>
      <w:r w:rsidRPr="008E235D">
        <w:rPr>
          <w:color w:val="000000" w:themeColor="text1"/>
        </w:rPr>
        <w:t>Manosso</w:t>
      </w:r>
      <w:proofErr w:type="spellEnd"/>
      <w:r w:rsidRPr="008E235D">
        <w:rPr>
          <w:color w:val="000000" w:themeColor="text1"/>
        </w:rPr>
        <w:t>, L.M., et al. (2013). Protective effects of ascorbic acid on behavior and oxidative status of restraint-stressed mice. Journal of Molecular Neuroscience, 49(1), 68-79. https://doi.org/10.1007/s12031-012-9892-4.</w:t>
      </w:r>
    </w:p>
    <w:p w14:paraId="399F007C" w14:textId="77777777" w:rsidR="006B3DFC" w:rsidRPr="008E235D" w:rsidRDefault="006B3DFC" w:rsidP="006B3DFC">
      <w:pPr>
        <w:pStyle w:val="Body"/>
        <w:spacing w:after="0"/>
        <w:rPr>
          <w:color w:val="000000" w:themeColor="text1"/>
        </w:rPr>
      </w:pPr>
    </w:p>
    <w:p w14:paraId="23E26BE4" w14:textId="77777777" w:rsidR="00D67BD0" w:rsidRPr="008E235D" w:rsidRDefault="00D67BD0" w:rsidP="00DA40C3">
      <w:pPr>
        <w:pStyle w:val="Body"/>
        <w:spacing w:after="0"/>
        <w:rPr>
          <w:color w:val="000000" w:themeColor="text1"/>
          <w:u w:val="single"/>
        </w:rPr>
      </w:pPr>
      <w:r w:rsidRPr="008E235D">
        <w:rPr>
          <w:color w:val="000000" w:themeColor="text1"/>
        </w:rPr>
        <w:t xml:space="preserve">Murray, C.J., </w:t>
      </w:r>
      <w:r w:rsidR="00DC5CC4" w:rsidRPr="008E235D">
        <w:rPr>
          <w:color w:val="000000" w:themeColor="text1"/>
        </w:rPr>
        <w:t xml:space="preserve">&amp; </w:t>
      </w:r>
      <w:r w:rsidRPr="008E235D">
        <w:rPr>
          <w:color w:val="000000" w:themeColor="text1"/>
        </w:rPr>
        <w:t>Lopez, A.D. (1997)</w:t>
      </w:r>
      <w:r w:rsidR="0056221E" w:rsidRPr="008E235D">
        <w:rPr>
          <w:color w:val="000000" w:themeColor="text1"/>
        </w:rPr>
        <w:t>.</w:t>
      </w:r>
      <w:r w:rsidRPr="008E235D">
        <w:rPr>
          <w:color w:val="000000" w:themeColor="text1"/>
        </w:rPr>
        <w:t xml:space="preserve"> Global mortality, disability, and the contribution of risk factors: Global </w:t>
      </w:r>
      <w:r w:rsidR="0056221E" w:rsidRPr="008E235D">
        <w:rPr>
          <w:color w:val="000000" w:themeColor="text1"/>
        </w:rPr>
        <w:t>Burden of Disease Study. Lancet,</w:t>
      </w:r>
      <w:r w:rsidRPr="008E235D">
        <w:rPr>
          <w:color w:val="000000" w:themeColor="text1"/>
        </w:rPr>
        <w:t xml:space="preserve"> </w:t>
      </w:r>
      <w:r w:rsidR="0056221E" w:rsidRPr="008E235D">
        <w:rPr>
          <w:color w:val="000000" w:themeColor="text1"/>
        </w:rPr>
        <w:t>349(9063),</w:t>
      </w:r>
      <w:r w:rsidRPr="008E235D">
        <w:rPr>
          <w:color w:val="000000" w:themeColor="text1"/>
        </w:rPr>
        <w:t>1436-4</w:t>
      </w:r>
      <w:r w:rsidR="0056221E" w:rsidRPr="008E235D">
        <w:rPr>
          <w:color w:val="000000" w:themeColor="text1"/>
        </w:rPr>
        <w:t xml:space="preserve">142. </w:t>
      </w:r>
      <w:hyperlink r:id="rId17" w:history="1">
        <w:r w:rsidR="0056221E" w:rsidRPr="008E235D">
          <w:rPr>
            <w:rStyle w:val="Hyperlink"/>
            <w:color w:val="000000" w:themeColor="text1"/>
            <w:u w:val="none"/>
          </w:rPr>
          <w:t>https://doi.org/</w:t>
        </w:r>
      </w:hyperlink>
      <w:r w:rsidRPr="008E235D">
        <w:rPr>
          <w:color w:val="000000" w:themeColor="text1"/>
        </w:rPr>
        <w:t>10.1016/S0140-6736(96)07495-8.</w:t>
      </w:r>
    </w:p>
    <w:p w14:paraId="4051D14F" w14:textId="77777777" w:rsidR="00DA40C3" w:rsidRPr="008E235D" w:rsidRDefault="00DA40C3" w:rsidP="00DA40C3">
      <w:pPr>
        <w:pStyle w:val="Body"/>
        <w:spacing w:after="0"/>
        <w:rPr>
          <w:color w:val="000000" w:themeColor="text1"/>
        </w:rPr>
      </w:pPr>
    </w:p>
    <w:p w14:paraId="1DD7A87B" w14:textId="77777777" w:rsidR="008E235D" w:rsidRPr="008E235D" w:rsidRDefault="008E235D" w:rsidP="008E235D">
      <w:pPr>
        <w:pStyle w:val="Body"/>
        <w:spacing w:after="0"/>
        <w:rPr>
          <w:color w:val="000000" w:themeColor="text1"/>
        </w:rPr>
      </w:pPr>
      <w:r w:rsidRPr="008E235D">
        <w:rPr>
          <w:color w:val="000000" w:themeColor="text1"/>
        </w:rPr>
        <w:t xml:space="preserve">Neuman, H., </w:t>
      </w:r>
      <w:proofErr w:type="spellStart"/>
      <w:r w:rsidRPr="008E235D">
        <w:rPr>
          <w:color w:val="000000" w:themeColor="text1"/>
        </w:rPr>
        <w:t>Debelius</w:t>
      </w:r>
      <w:proofErr w:type="spellEnd"/>
      <w:r w:rsidRPr="008E235D">
        <w:rPr>
          <w:color w:val="000000" w:themeColor="text1"/>
        </w:rPr>
        <w:t xml:space="preserve">, J.W., Knight, R., &amp; </w:t>
      </w:r>
      <w:proofErr w:type="spellStart"/>
      <w:r w:rsidRPr="008E235D">
        <w:rPr>
          <w:color w:val="000000" w:themeColor="text1"/>
        </w:rPr>
        <w:t>Koren</w:t>
      </w:r>
      <w:proofErr w:type="spellEnd"/>
      <w:r w:rsidRPr="008E235D">
        <w:rPr>
          <w:color w:val="000000" w:themeColor="text1"/>
        </w:rPr>
        <w:t>, O. (2015). Microbial endocrinology: the interplay between the microbiota and the endocrine system. FEMS Microbiology Reviews, 39(4), 509-521. https://doi.org/10.1093/femsre/fuu010. </w:t>
      </w:r>
    </w:p>
    <w:p w14:paraId="756735EC" w14:textId="77777777" w:rsidR="008E235D" w:rsidRPr="008E235D" w:rsidRDefault="008E235D" w:rsidP="00DA40C3">
      <w:pPr>
        <w:pStyle w:val="Body"/>
        <w:spacing w:after="0"/>
        <w:rPr>
          <w:color w:val="000000" w:themeColor="text1"/>
        </w:rPr>
      </w:pPr>
    </w:p>
    <w:p w14:paraId="138C8444" w14:textId="77777777" w:rsidR="0056221E" w:rsidRPr="008E235D" w:rsidRDefault="00DC5CC4" w:rsidP="00DA40C3">
      <w:pPr>
        <w:pStyle w:val="Body"/>
        <w:spacing w:after="0"/>
        <w:rPr>
          <w:color w:val="000000" w:themeColor="text1"/>
        </w:rPr>
      </w:pPr>
      <w:proofErr w:type="spellStart"/>
      <w:r w:rsidRPr="008E235D">
        <w:rPr>
          <w:color w:val="000000" w:themeColor="text1"/>
        </w:rPr>
        <w:t>Rajashree</w:t>
      </w:r>
      <w:proofErr w:type="spellEnd"/>
      <w:r w:rsidRPr="008E235D">
        <w:rPr>
          <w:color w:val="000000" w:themeColor="text1"/>
        </w:rPr>
        <w:t xml:space="preserve">, H., </w:t>
      </w:r>
      <w:proofErr w:type="spellStart"/>
      <w:r w:rsidRPr="008E235D">
        <w:rPr>
          <w:color w:val="000000" w:themeColor="text1"/>
        </w:rPr>
        <w:t>Alfiha</w:t>
      </w:r>
      <w:proofErr w:type="spellEnd"/>
      <w:r w:rsidRPr="008E235D">
        <w:rPr>
          <w:color w:val="000000" w:themeColor="text1"/>
        </w:rPr>
        <w:t>, Momin., &amp; Srinivas, B. (2024). Formulation development, in-vitro and ex-vivo evaluation of dry adsorbed solid lipid nanoparticles: an approach of overcoming olanzapine drawbacks. European Pharmaceutical Journal, 71(1), 1-15. https://doi.org/10.2478/afpuc-2024-0004.</w:t>
      </w:r>
    </w:p>
    <w:p w14:paraId="10BADCFA" w14:textId="77777777" w:rsidR="00DA40C3" w:rsidRPr="008E235D" w:rsidRDefault="00DA40C3" w:rsidP="00441B6F">
      <w:pPr>
        <w:pStyle w:val="Body"/>
        <w:spacing w:after="0"/>
        <w:rPr>
          <w:color w:val="000000" w:themeColor="text1"/>
        </w:rPr>
      </w:pPr>
    </w:p>
    <w:p w14:paraId="6BBC261B" w14:textId="77777777" w:rsidR="00A85D6A" w:rsidRPr="008E235D" w:rsidRDefault="00A85D6A" w:rsidP="00441B6F">
      <w:pPr>
        <w:pStyle w:val="Body"/>
        <w:spacing w:after="0"/>
        <w:rPr>
          <w:color w:val="000000" w:themeColor="text1"/>
        </w:rPr>
      </w:pPr>
      <w:proofErr w:type="spellStart"/>
      <w:r w:rsidRPr="008E235D">
        <w:rPr>
          <w:color w:val="000000" w:themeColor="text1"/>
        </w:rPr>
        <w:t>Sahraian</w:t>
      </w:r>
      <w:proofErr w:type="spellEnd"/>
      <w:r w:rsidRPr="008E235D">
        <w:rPr>
          <w:color w:val="000000" w:themeColor="text1"/>
        </w:rPr>
        <w:t xml:space="preserve">, A., </w:t>
      </w:r>
      <w:proofErr w:type="spellStart"/>
      <w:r w:rsidRPr="008E235D">
        <w:rPr>
          <w:color w:val="000000" w:themeColor="text1"/>
        </w:rPr>
        <w:t>Ghanizadeh</w:t>
      </w:r>
      <w:proofErr w:type="spellEnd"/>
      <w:r w:rsidRPr="008E235D">
        <w:rPr>
          <w:color w:val="000000" w:themeColor="text1"/>
        </w:rPr>
        <w:t xml:space="preserve">, A., &amp; </w:t>
      </w:r>
      <w:proofErr w:type="spellStart"/>
      <w:r w:rsidRPr="008E235D">
        <w:rPr>
          <w:color w:val="000000" w:themeColor="text1"/>
        </w:rPr>
        <w:t>Kazemeini</w:t>
      </w:r>
      <w:proofErr w:type="spellEnd"/>
      <w:r w:rsidRPr="008E235D">
        <w:rPr>
          <w:color w:val="000000" w:themeColor="text1"/>
        </w:rPr>
        <w:t>, F. (2015). Vitamin C as an adjuvant for treating major depressive disorder and suicidal behavior, a randomized placebo-controlled clinical trial. Trials, 16, 94-101. https://doi.org/10.1186/s13063-015-0609-1.</w:t>
      </w:r>
    </w:p>
    <w:p w14:paraId="2C0EB7FF" w14:textId="77777777" w:rsidR="004D4277" w:rsidRPr="008E235D" w:rsidRDefault="004D4277" w:rsidP="00441B6F">
      <w:pPr>
        <w:pStyle w:val="Appendix"/>
        <w:spacing w:after="0"/>
        <w:jc w:val="both"/>
        <w:rPr>
          <w:rFonts w:ascii="Arial" w:hAnsi="Arial" w:cs="Arial"/>
          <w:b w:val="0"/>
          <w:color w:val="000000" w:themeColor="text1"/>
        </w:rPr>
        <w:sectPr w:rsidR="004D4277" w:rsidRPr="008E235D" w:rsidSect="00FB5E57">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4BB5718D" w14:textId="77777777" w:rsidR="00B01FCD" w:rsidRPr="008E235D" w:rsidRDefault="00B01FCD" w:rsidP="00441B6F">
      <w:pPr>
        <w:pStyle w:val="Appendix"/>
        <w:spacing w:after="0"/>
        <w:jc w:val="both"/>
        <w:rPr>
          <w:rFonts w:ascii="Arial" w:hAnsi="Arial" w:cs="Arial"/>
          <w:b w:val="0"/>
          <w:color w:val="000000" w:themeColor="text1"/>
        </w:rPr>
      </w:pPr>
    </w:p>
    <w:sectPr w:rsidR="00B01FCD" w:rsidRPr="008E235D" w:rsidSect="00FB5E5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7828E" w14:textId="77777777" w:rsidR="00285D04" w:rsidRDefault="00285D04" w:rsidP="00C37E61">
      <w:r>
        <w:separator/>
      </w:r>
    </w:p>
  </w:endnote>
  <w:endnote w:type="continuationSeparator" w:id="0">
    <w:p w14:paraId="747A8321" w14:textId="77777777" w:rsidR="00285D04" w:rsidRDefault="00285D0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003A0" w14:textId="77777777" w:rsidR="00FB5E57" w:rsidRDefault="00FB5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B4427" w14:textId="77777777" w:rsidR="00FB5E57" w:rsidRDefault="00FB5E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098FD" w14:textId="62178C39" w:rsidR="00376833" w:rsidRPr="00FB5E57" w:rsidRDefault="00376833" w:rsidP="00FB5E57">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2E057" w14:textId="77777777" w:rsidR="00376833" w:rsidRPr="00C37E61" w:rsidRDefault="0037683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C7B8E" w14:textId="77777777" w:rsidR="00285D04" w:rsidRDefault="00285D04" w:rsidP="00C37E61">
      <w:r>
        <w:separator/>
      </w:r>
    </w:p>
  </w:footnote>
  <w:footnote w:type="continuationSeparator" w:id="0">
    <w:p w14:paraId="0E4400BB" w14:textId="77777777" w:rsidR="00285D04" w:rsidRDefault="00285D0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21355" w14:textId="07C1FAD3" w:rsidR="00FB5E57" w:rsidRDefault="00FB5E57">
    <w:pPr>
      <w:pStyle w:val="Header"/>
    </w:pPr>
    <w:r>
      <w:rPr>
        <w:noProof/>
      </w:rPr>
      <w:pict w14:anchorId="58211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1903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D9589" w14:textId="00D41D72" w:rsidR="00FB5E57" w:rsidRDefault="00FB5E57">
    <w:pPr>
      <w:pStyle w:val="Header"/>
    </w:pPr>
    <w:r>
      <w:rPr>
        <w:noProof/>
      </w:rPr>
      <w:pict w14:anchorId="291E0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1903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04D4D" w14:textId="51DD1207" w:rsidR="00376833" w:rsidRPr="00296529" w:rsidRDefault="00FB5E57" w:rsidP="00296529">
    <w:pPr>
      <w:ind w:left="2160"/>
      <w:jc w:val="center"/>
      <w:rPr>
        <w:rFonts w:ascii="Times New Roman" w:eastAsia="Calibri" w:hAnsi="Times New Roman"/>
        <w:i/>
        <w:sz w:val="18"/>
        <w:szCs w:val="22"/>
      </w:rPr>
    </w:pPr>
    <w:r>
      <w:rPr>
        <w:noProof/>
      </w:rPr>
      <w:pict w14:anchorId="6C92A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1903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5F28CD6" w14:textId="77777777" w:rsidR="00376833" w:rsidRPr="00296529" w:rsidRDefault="0037683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511F655" w14:textId="77777777" w:rsidR="00376833" w:rsidRPr="00296529" w:rsidRDefault="0037683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24202D" w14:textId="77777777" w:rsidR="00376833" w:rsidRPr="00296529" w:rsidRDefault="0037683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DF33D94" w14:textId="77777777" w:rsidR="00376833" w:rsidRDefault="0037683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8E51CB" w14:textId="77777777" w:rsidR="00376833" w:rsidRDefault="0037683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9E4E2D7" w14:textId="77777777" w:rsidR="00376833" w:rsidRDefault="0037683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06DB1" w14:textId="0AA84134" w:rsidR="00FB5E57" w:rsidRDefault="00FB5E57">
    <w:pPr>
      <w:pStyle w:val="Header"/>
    </w:pPr>
    <w:r>
      <w:rPr>
        <w:noProof/>
      </w:rPr>
      <w:pict w14:anchorId="2102F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19033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FC658" w14:textId="287F025F" w:rsidR="00FB5E57" w:rsidRDefault="00FB5E57">
    <w:pPr>
      <w:pStyle w:val="Header"/>
    </w:pPr>
    <w:r>
      <w:rPr>
        <w:noProof/>
      </w:rPr>
      <w:pict w14:anchorId="419913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19033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FA285" w14:textId="02714833" w:rsidR="00FB5E57" w:rsidRDefault="00FB5E57">
    <w:pPr>
      <w:pStyle w:val="Header"/>
    </w:pPr>
    <w:r>
      <w:rPr>
        <w:noProof/>
      </w:rPr>
      <w:pict w14:anchorId="1B540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19033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5123"/>
    <w:rsid w:val="00030174"/>
    <w:rsid w:val="0004281A"/>
    <w:rsid w:val="0004579C"/>
    <w:rsid w:val="000860A3"/>
    <w:rsid w:val="000A47FA"/>
    <w:rsid w:val="000A65D3"/>
    <w:rsid w:val="000B1E33"/>
    <w:rsid w:val="000D689F"/>
    <w:rsid w:val="000E5D19"/>
    <w:rsid w:val="000E7B7B"/>
    <w:rsid w:val="000E7D62"/>
    <w:rsid w:val="00103357"/>
    <w:rsid w:val="00123C9F"/>
    <w:rsid w:val="00126190"/>
    <w:rsid w:val="00130F17"/>
    <w:rsid w:val="001320BF"/>
    <w:rsid w:val="001333D1"/>
    <w:rsid w:val="001541E9"/>
    <w:rsid w:val="00163BC4"/>
    <w:rsid w:val="001754B1"/>
    <w:rsid w:val="00191062"/>
    <w:rsid w:val="00192B72"/>
    <w:rsid w:val="001A29D8"/>
    <w:rsid w:val="001A5CAA"/>
    <w:rsid w:val="001B0427"/>
    <w:rsid w:val="001C0E94"/>
    <w:rsid w:val="001D3A51"/>
    <w:rsid w:val="001E10D2"/>
    <w:rsid w:val="001E25B4"/>
    <w:rsid w:val="001E44FE"/>
    <w:rsid w:val="00200595"/>
    <w:rsid w:val="00204835"/>
    <w:rsid w:val="00210FF9"/>
    <w:rsid w:val="00231920"/>
    <w:rsid w:val="0023195C"/>
    <w:rsid w:val="0023329E"/>
    <w:rsid w:val="0024282C"/>
    <w:rsid w:val="002460DC"/>
    <w:rsid w:val="00250985"/>
    <w:rsid w:val="002556F6"/>
    <w:rsid w:val="002660A2"/>
    <w:rsid w:val="00276B0F"/>
    <w:rsid w:val="00283105"/>
    <w:rsid w:val="00284C4C"/>
    <w:rsid w:val="00285D04"/>
    <w:rsid w:val="00287E68"/>
    <w:rsid w:val="00296529"/>
    <w:rsid w:val="0029721D"/>
    <w:rsid w:val="002A77EE"/>
    <w:rsid w:val="002B27FB"/>
    <w:rsid w:val="002B685A"/>
    <w:rsid w:val="002C57D2"/>
    <w:rsid w:val="002D1177"/>
    <w:rsid w:val="002E0D56"/>
    <w:rsid w:val="00315186"/>
    <w:rsid w:val="00317165"/>
    <w:rsid w:val="0033343E"/>
    <w:rsid w:val="003512C2"/>
    <w:rsid w:val="003607C5"/>
    <w:rsid w:val="00371FB6"/>
    <w:rsid w:val="003763C1"/>
    <w:rsid w:val="00376833"/>
    <w:rsid w:val="00376BBE"/>
    <w:rsid w:val="0039224F"/>
    <w:rsid w:val="003A43A4"/>
    <w:rsid w:val="003A579D"/>
    <w:rsid w:val="003A7E18"/>
    <w:rsid w:val="003C4C86"/>
    <w:rsid w:val="003C6258"/>
    <w:rsid w:val="003E1798"/>
    <w:rsid w:val="003E2904"/>
    <w:rsid w:val="003F7045"/>
    <w:rsid w:val="00401927"/>
    <w:rsid w:val="0041027F"/>
    <w:rsid w:val="00412475"/>
    <w:rsid w:val="00423789"/>
    <w:rsid w:val="00427A5C"/>
    <w:rsid w:val="00440F43"/>
    <w:rsid w:val="00441B6F"/>
    <w:rsid w:val="00446221"/>
    <w:rsid w:val="00450E62"/>
    <w:rsid w:val="004539DB"/>
    <w:rsid w:val="00471A80"/>
    <w:rsid w:val="004B5F1D"/>
    <w:rsid w:val="004D305E"/>
    <w:rsid w:val="004D4277"/>
    <w:rsid w:val="004D5591"/>
    <w:rsid w:val="004E6E1E"/>
    <w:rsid w:val="004E717E"/>
    <w:rsid w:val="00502516"/>
    <w:rsid w:val="00505F06"/>
    <w:rsid w:val="00506828"/>
    <w:rsid w:val="005245D5"/>
    <w:rsid w:val="00527699"/>
    <w:rsid w:val="0053056E"/>
    <w:rsid w:val="00546B27"/>
    <w:rsid w:val="00554FDA"/>
    <w:rsid w:val="0055614C"/>
    <w:rsid w:val="0056221E"/>
    <w:rsid w:val="00567C5F"/>
    <w:rsid w:val="00585969"/>
    <w:rsid w:val="0058772D"/>
    <w:rsid w:val="005A4319"/>
    <w:rsid w:val="005C784C"/>
    <w:rsid w:val="005D17F6"/>
    <w:rsid w:val="005E5539"/>
    <w:rsid w:val="00602BF5"/>
    <w:rsid w:val="00617FDD"/>
    <w:rsid w:val="00633614"/>
    <w:rsid w:val="00633F68"/>
    <w:rsid w:val="00636EB2"/>
    <w:rsid w:val="006375B8"/>
    <w:rsid w:val="00651EA9"/>
    <w:rsid w:val="0066510A"/>
    <w:rsid w:val="00673F9F"/>
    <w:rsid w:val="00686953"/>
    <w:rsid w:val="00687DEA"/>
    <w:rsid w:val="00687E67"/>
    <w:rsid w:val="006967F7"/>
    <w:rsid w:val="006967FE"/>
    <w:rsid w:val="006A250C"/>
    <w:rsid w:val="006B21D3"/>
    <w:rsid w:val="006B3DFC"/>
    <w:rsid w:val="006B57D0"/>
    <w:rsid w:val="006C0CB8"/>
    <w:rsid w:val="006D30FF"/>
    <w:rsid w:val="006D6940"/>
    <w:rsid w:val="006F11EC"/>
    <w:rsid w:val="0070082C"/>
    <w:rsid w:val="00722810"/>
    <w:rsid w:val="007369E6"/>
    <w:rsid w:val="00746E59"/>
    <w:rsid w:val="00754C9A"/>
    <w:rsid w:val="0075599A"/>
    <w:rsid w:val="00761D52"/>
    <w:rsid w:val="00764564"/>
    <w:rsid w:val="0077749E"/>
    <w:rsid w:val="00790ADA"/>
    <w:rsid w:val="007D2288"/>
    <w:rsid w:val="007E088F"/>
    <w:rsid w:val="007F7B32"/>
    <w:rsid w:val="00804BC2"/>
    <w:rsid w:val="0081431A"/>
    <w:rsid w:val="008222B2"/>
    <w:rsid w:val="0083216F"/>
    <w:rsid w:val="0085491D"/>
    <w:rsid w:val="00860000"/>
    <w:rsid w:val="00863BD3"/>
    <w:rsid w:val="008641ED"/>
    <w:rsid w:val="00866D66"/>
    <w:rsid w:val="008671C6"/>
    <w:rsid w:val="00875803"/>
    <w:rsid w:val="00876784"/>
    <w:rsid w:val="00882619"/>
    <w:rsid w:val="008B459E"/>
    <w:rsid w:val="008E13AE"/>
    <w:rsid w:val="008E1506"/>
    <w:rsid w:val="008E235D"/>
    <w:rsid w:val="008E710C"/>
    <w:rsid w:val="008F69D6"/>
    <w:rsid w:val="00902823"/>
    <w:rsid w:val="00903836"/>
    <w:rsid w:val="00912B8C"/>
    <w:rsid w:val="00915CA6"/>
    <w:rsid w:val="00920178"/>
    <w:rsid w:val="00927834"/>
    <w:rsid w:val="0093671B"/>
    <w:rsid w:val="009500A6"/>
    <w:rsid w:val="00957C18"/>
    <w:rsid w:val="00963F7C"/>
    <w:rsid w:val="009659BA"/>
    <w:rsid w:val="00966867"/>
    <w:rsid w:val="00983040"/>
    <w:rsid w:val="009917C6"/>
    <w:rsid w:val="009A47C2"/>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717C"/>
    <w:rsid w:val="00A51431"/>
    <w:rsid w:val="00A539AD"/>
    <w:rsid w:val="00A823C4"/>
    <w:rsid w:val="00A85D6A"/>
    <w:rsid w:val="00A94063"/>
    <w:rsid w:val="00A96ACA"/>
    <w:rsid w:val="00AA6219"/>
    <w:rsid w:val="00AA74E0"/>
    <w:rsid w:val="00AB1B44"/>
    <w:rsid w:val="00AB703F"/>
    <w:rsid w:val="00AC6BB8"/>
    <w:rsid w:val="00AD2787"/>
    <w:rsid w:val="00AE008F"/>
    <w:rsid w:val="00B01FCD"/>
    <w:rsid w:val="00B15A02"/>
    <w:rsid w:val="00B1776C"/>
    <w:rsid w:val="00B33460"/>
    <w:rsid w:val="00B52583"/>
    <w:rsid w:val="00B52896"/>
    <w:rsid w:val="00B92E20"/>
    <w:rsid w:val="00B950E7"/>
    <w:rsid w:val="00B95236"/>
    <w:rsid w:val="00B96BD9"/>
    <w:rsid w:val="00BA1B01"/>
    <w:rsid w:val="00BA2641"/>
    <w:rsid w:val="00BA3F9B"/>
    <w:rsid w:val="00BB37AA"/>
    <w:rsid w:val="00BC53A0"/>
    <w:rsid w:val="00BD28C3"/>
    <w:rsid w:val="00BD6201"/>
    <w:rsid w:val="00BE27D5"/>
    <w:rsid w:val="00BE62AD"/>
    <w:rsid w:val="00BF121F"/>
    <w:rsid w:val="00BF1F80"/>
    <w:rsid w:val="00C023B5"/>
    <w:rsid w:val="00C166EF"/>
    <w:rsid w:val="00C17EB0"/>
    <w:rsid w:val="00C275BA"/>
    <w:rsid w:val="00C27F5F"/>
    <w:rsid w:val="00C30A0F"/>
    <w:rsid w:val="00C37E61"/>
    <w:rsid w:val="00C570EA"/>
    <w:rsid w:val="00C70F1B"/>
    <w:rsid w:val="00C71A47"/>
    <w:rsid w:val="00C7464C"/>
    <w:rsid w:val="00C81B60"/>
    <w:rsid w:val="00C85588"/>
    <w:rsid w:val="00CA164B"/>
    <w:rsid w:val="00CD6755"/>
    <w:rsid w:val="00CD6856"/>
    <w:rsid w:val="00CE0089"/>
    <w:rsid w:val="00CE793C"/>
    <w:rsid w:val="00CF193C"/>
    <w:rsid w:val="00D173F1"/>
    <w:rsid w:val="00D67BD0"/>
    <w:rsid w:val="00D74CB0"/>
    <w:rsid w:val="00D8295D"/>
    <w:rsid w:val="00DA40C3"/>
    <w:rsid w:val="00DC2A65"/>
    <w:rsid w:val="00DC398A"/>
    <w:rsid w:val="00DC5CC4"/>
    <w:rsid w:val="00DE15F0"/>
    <w:rsid w:val="00DE487A"/>
    <w:rsid w:val="00DE5663"/>
    <w:rsid w:val="00DE78AA"/>
    <w:rsid w:val="00E053D0"/>
    <w:rsid w:val="00E15994"/>
    <w:rsid w:val="00E21273"/>
    <w:rsid w:val="00E3114E"/>
    <w:rsid w:val="00E31A70"/>
    <w:rsid w:val="00E35B02"/>
    <w:rsid w:val="00E45D04"/>
    <w:rsid w:val="00E66496"/>
    <w:rsid w:val="00E66B35"/>
    <w:rsid w:val="00E66E10"/>
    <w:rsid w:val="00E769F6"/>
    <w:rsid w:val="00E8407C"/>
    <w:rsid w:val="00E84F3C"/>
    <w:rsid w:val="00EA012C"/>
    <w:rsid w:val="00EC2413"/>
    <w:rsid w:val="00EC6A55"/>
    <w:rsid w:val="00ED0288"/>
    <w:rsid w:val="00EE52CB"/>
    <w:rsid w:val="00EF581D"/>
    <w:rsid w:val="00EF7FD8"/>
    <w:rsid w:val="00F06F59"/>
    <w:rsid w:val="00F17988"/>
    <w:rsid w:val="00F2695A"/>
    <w:rsid w:val="00F469F0"/>
    <w:rsid w:val="00F53273"/>
    <w:rsid w:val="00F554FD"/>
    <w:rsid w:val="00F755E4"/>
    <w:rsid w:val="00F77D02"/>
    <w:rsid w:val="00FB3A86"/>
    <w:rsid w:val="00FB5E57"/>
    <w:rsid w:val="00FD36C8"/>
    <w:rsid w:val="00FE7A05"/>
    <w:rsid w:val="00FF3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0814E5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67C5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567C5F"/>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585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77058360">
      <w:bodyDiv w:val="1"/>
      <w:marLeft w:val="0"/>
      <w:marRight w:val="0"/>
      <w:marTop w:val="0"/>
      <w:marBottom w:val="0"/>
      <w:divBdr>
        <w:top w:val="none" w:sz="0" w:space="0" w:color="auto"/>
        <w:left w:val="none" w:sz="0" w:space="0" w:color="auto"/>
        <w:bottom w:val="none" w:sz="0" w:space="0" w:color="auto"/>
        <w:right w:val="none" w:sz="0" w:space="0" w:color="auto"/>
      </w:divBdr>
    </w:div>
    <w:div w:id="1354961753">
      <w:bodyDiv w:val="1"/>
      <w:marLeft w:val="0"/>
      <w:marRight w:val="0"/>
      <w:marTop w:val="0"/>
      <w:marBottom w:val="0"/>
      <w:divBdr>
        <w:top w:val="none" w:sz="0" w:space="0" w:color="auto"/>
        <w:left w:val="none" w:sz="0" w:space="0" w:color="auto"/>
        <w:bottom w:val="none" w:sz="0" w:space="0" w:color="auto"/>
        <w:right w:val="none" w:sz="0" w:space="0" w:color="auto"/>
      </w:divBdr>
    </w:div>
    <w:div w:id="136001267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617469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89/fpsyg.2016.01875"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0BD16-D6A8-4C26-B8F3-02085A751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10</Pages>
  <Words>4345</Words>
  <Characters>24769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29056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82</cp:revision>
  <cp:lastPrinted>1999-07-06T11:00:00Z</cp:lastPrinted>
  <dcterms:created xsi:type="dcterms:W3CDTF">2014-10-25T14:34:00Z</dcterms:created>
  <dcterms:modified xsi:type="dcterms:W3CDTF">2025-09-03T12:33:00Z</dcterms:modified>
</cp:coreProperties>
</file>