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D4E42" w14:textId="77777777" w:rsidR="00DB799C" w:rsidRDefault="00DB799C" w:rsidP="004934D6">
      <w:pPr>
        <w:jc w:val="center"/>
        <w:rPr>
          <w:rFonts w:ascii="Times New Roman" w:hAnsi="Times New Roman" w:cs="Times New Roman"/>
          <w:b/>
          <w:bCs/>
          <w:sz w:val="28"/>
          <w:szCs w:val="28"/>
        </w:rPr>
      </w:pPr>
      <w:r w:rsidRPr="00DB799C">
        <w:rPr>
          <w:rFonts w:ascii="Times New Roman" w:hAnsi="Times New Roman" w:cs="Times New Roman"/>
          <w:b/>
          <w:bCs/>
          <w:sz w:val="28"/>
          <w:szCs w:val="28"/>
        </w:rPr>
        <w:t xml:space="preserve">Case report </w:t>
      </w:r>
    </w:p>
    <w:p w14:paraId="3C9B12A4" w14:textId="10849CBA" w:rsidR="002255C9" w:rsidRDefault="002255C9" w:rsidP="004934D6">
      <w:pPr>
        <w:jc w:val="center"/>
        <w:rPr>
          <w:rFonts w:ascii="Times New Roman" w:hAnsi="Times New Roman" w:cs="Times New Roman"/>
          <w:b/>
          <w:bCs/>
          <w:sz w:val="28"/>
          <w:szCs w:val="28"/>
        </w:rPr>
      </w:pPr>
      <w:r w:rsidRPr="002255C9">
        <w:rPr>
          <w:rFonts w:ascii="Times New Roman" w:hAnsi="Times New Roman" w:cs="Times New Roman"/>
          <w:b/>
          <w:bCs/>
          <w:sz w:val="28"/>
          <w:szCs w:val="28"/>
        </w:rPr>
        <w:t xml:space="preserve">Viral Vesicles of the Palate: A Case of </w:t>
      </w:r>
      <w:r w:rsidR="004934D6" w:rsidRPr="002255C9">
        <w:rPr>
          <w:rFonts w:ascii="Times New Roman" w:hAnsi="Times New Roman" w:cs="Times New Roman"/>
          <w:b/>
          <w:bCs/>
          <w:sz w:val="28"/>
          <w:szCs w:val="28"/>
        </w:rPr>
        <w:t>Paediatric</w:t>
      </w:r>
      <w:r w:rsidRPr="002255C9">
        <w:rPr>
          <w:rFonts w:ascii="Times New Roman" w:hAnsi="Times New Roman" w:cs="Times New Roman"/>
          <w:b/>
          <w:bCs/>
          <w:sz w:val="28"/>
          <w:szCs w:val="28"/>
        </w:rPr>
        <w:t xml:space="preserve"> Herpangina</w:t>
      </w:r>
      <w:r w:rsidR="004934D6">
        <w:rPr>
          <w:rFonts w:ascii="Times New Roman" w:hAnsi="Times New Roman" w:cs="Times New Roman"/>
          <w:b/>
          <w:bCs/>
          <w:sz w:val="28"/>
          <w:szCs w:val="28"/>
        </w:rPr>
        <w:t xml:space="preserve"> with literature review</w:t>
      </w:r>
    </w:p>
    <w:p w14:paraId="50498D1C" w14:textId="77777777" w:rsidR="0068321E" w:rsidRDefault="0068321E" w:rsidP="00837564">
      <w:pPr>
        <w:jc w:val="both"/>
        <w:rPr>
          <w:vertAlign w:val="superscript"/>
          <w:lang w:val="en-US"/>
        </w:rPr>
      </w:pPr>
      <w:bookmarkStart w:id="0" w:name="_GoBack"/>
      <w:bookmarkEnd w:id="0"/>
    </w:p>
    <w:p w14:paraId="00DCA168" w14:textId="6FFC7E41" w:rsidR="0068321E" w:rsidRPr="0068321E" w:rsidRDefault="0068321E" w:rsidP="00837564">
      <w:pPr>
        <w:jc w:val="both"/>
        <w:rPr>
          <w:rFonts w:ascii="Times New Roman" w:hAnsi="Times New Roman" w:cs="Times New Roman"/>
          <w:b/>
          <w:bCs/>
          <w:sz w:val="24"/>
          <w:szCs w:val="24"/>
          <w:lang w:val="en-US"/>
        </w:rPr>
      </w:pPr>
      <w:r w:rsidRPr="0068321E">
        <w:rPr>
          <w:rFonts w:ascii="Times New Roman" w:hAnsi="Times New Roman" w:cs="Times New Roman"/>
          <w:b/>
          <w:bCs/>
          <w:sz w:val="24"/>
          <w:szCs w:val="24"/>
          <w:lang w:val="en-US"/>
        </w:rPr>
        <w:t xml:space="preserve">Abstract </w:t>
      </w:r>
    </w:p>
    <w:p w14:paraId="191AEB50" w14:textId="42A00505" w:rsidR="0068321E" w:rsidRPr="0068321E" w:rsidRDefault="0068321E" w:rsidP="00837564">
      <w:pPr>
        <w:jc w:val="both"/>
        <w:rPr>
          <w:rFonts w:ascii="Times New Roman" w:hAnsi="Times New Roman" w:cs="Times New Roman"/>
          <w:sz w:val="24"/>
          <w:szCs w:val="24"/>
        </w:rPr>
      </w:pPr>
      <w:r w:rsidRPr="0068321E">
        <w:rPr>
          <w:rFonts w:ascii="Times New Roman" w:hAnsi="Times New Roman" w:cs="Times New Roman"/>
          <w:sz w:val="24"/>
          <w:szCs w:val="24"/>
        </w:rPr>
        <w:t>Herpangina is a common viral illness in children, most often caused by Coxsackievirus and other enteroviruses, and is characterized by fever and vesicular or ulcerative lesions in the posterior oral cavity. We report a case of herpangina in a 6-year-old boy who presented with acute onset of fever, sore throat, and painful oral ulcers on the soft palate and tonsillar pillars. The diagnosis was made clinically, and supportive management with antipyretics, hydration, and dietary modification led to full recovery within a week. This case highlights the importance of clinical recognition and symptomatic care in preventing complications.</w:t>
      </w:r>
    </w:p>
    <w:p w14:paraId="7960F65C" w14:textId="77777777" w:rsidR="0068321E" w:rsidRDefault="0068321E" w:rsidP="00837564">
      <w:pPr>
        <w:jc w:val="both"/>
        <w:rPr>
          <w:rFonts w:ascii="Times New Roman" w:hAnsi="Times New Roman" w:cs="Times New Roman"/>
          <w:b/>
          <w:bCs/>
          <w:sz w:val="24"/>
          <w:szCs w:val="24"/>
        </w:rPr>
      </w:pPr>
    </w:p>
    <w:p w14:paraId="5C12E43F" w14:textId="5E55D454" w:rsidR="0068321E" w:rsidRDefault="0068321E" w:rsidP="00837564">
      <w:pPr>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p>
    <w:p w14:paraId="02C6A951" w14:textId="17D8326B"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Introduction</w:t>
      </w:r>
    </w:p>
    <w:p w14:paraId="37D54363" w14:textId="1EC9E859" w:rsidR="00837564" w:rsidRPr="004934D6"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Herpangina is a common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viral infection caused by enteroviruses, predominantly affecting children under six years of age [1]. It presents as an acute, self-limiting illness characterized by high fever, malaise, and the appearance of small vesicular or ulcerative lesions on the soft palate, uvula, tonsillar pillars, and posterior pharyngeal wall [2]. Among the causative agents, </w:t>
      </w:r>
      <w:r w:rsidRPr="00837564">
        <w:rPr>
          <w:rFonts w:ascii="Times New Roman" w:hAnsi="Times New Roman" w:cs="Times New Roman"/>
          <w:i/>
          <w:iCs/>
          <w:sz w:val="24"/>
          <w:szCs w:val="24"/>
        </w:rPr>
        <w:t>Coxsackievirus</w:t>
      </w:r>
      <w:r w:rsidRPr="00837564">
        <w:rPr>
          <w:rFonts w:ascii="Times New Roman" w:hAnsi="Times New Roman" w:cs="Times New Roman"/>
          <w:sz w:val="24"/>
          <w:szCs w:val="24"/>
        </w:rPr>
        <w:t xml:space="preserve"> A subtypes (CV-A2, CV-A4, CV-A6, CV-A10) are most frequently implicated, along with </w:t>
      </w:r>
      <w:r w:rsidRPr="00837564">
        <w:rPr>
          <w:rFonts w:ascii="Times New Roman" w:hAnsi="Times New Roman" w:cs="Times New Roman"/>
          <w:i/>
          <w:iCs/>
          <w:sz w:val="24"/>
          <w:szCs w:val="24"/>
        </w:rPr>
        <w:t>Enterovirus A71</w:t>
      </w:r>
      <w:r w:rsidRPr="00837564">
        <w:rPr>
          <w:rFonts w:ascii="Times New Roman" w:hAnsi="Times New Roman" w:cs="Times New Roman"/>
          <w:sz w:val="24"/>
          <w:szCs w:val="24"/>
        </w:rPr>
        <w:t xml:space="preserve">, </w:t>
      </w:r>
      <w:r w:rsidRPr="00837564">
        <w:rPr>
          <w:rFonts w:ascii="Times New Roman" w:hAnsi="Times New Roman" w:cs="Times New Roman"/>
          <w:i/>
          <w:iCs/>
          <w:sz w:val="24"/>
          <w:szCs w:val="24"/>
        </w:rPr>
        <w:t>Echoviruses</w:t>
      </w:r>
      <w:r w:rsidRPr="00837564">
        <w:rPr>
          <w:rFonts w:ascii="Times New Roman" w:hAnsi="Times New Roman" w:cs="Times New Roman"/>
          <w:sz w:val="24"/>
          <w:szCs w:val="24"/>
        </w:rPr>
        <w:t xml:space="preserve">, and </w:t>
      </w:r>
      <w:r w:rsidRPr="00837564">
        <w:rPr>
          <w:rFonts w:ascii="Times New Roman" w:hAnsi="Times New Roman" w:cs="Times New Roman"/>
          <w:i/>
          <w:iCs/>
          <w:sz w:val="24"/>
          <w:szCs w:val="24"/>
        </w:rPr>
        <w:t>Coxsackievirus B</w:t>
      </w:r>
      <w:r w:rsidRPr="00837564">
        <w:rPr>
          <w:rFonts w:ascii="Times New Roman" w:hAnsi="Times New Roman" w:cs="Times New Roman"/>
          <w:sz w:val="24"/>
          <w:szCs w:val="24"/>
        </w:rPr>
        <w:t xml:space="preserve"> variants [3,4]. The infection demonstrates seasonal variation, with peak incidence during summer and early autumn [5], and is most commonly observed in children aged one to five years [6]. Transmission occurs primarily via the </w:t>
      </w:r>
      <w:proofErr w:type="spellStart"/>
      <w:r w:rsidRPr="00837564">
        <w:rPr>
          <w:rFonts w:ascii="Times New Roman" w:hAnsi="Times New Roman" w:cs="Times New Roman"/>
          <w:sz w:val="24"/>
          <w:szCs w:val="24"/>
        </w:rPr>
        <w:t>fecal</w:t>
      </w:r>
      <w:proofErr w:type="spellEnd"/>
      <w:r w:rsidRPr="00837564">
        <w:rPr>
          <w:rFonts w:ascii="Times New Roman" w:hAnsi="Times New Roman" w:cs="Times New Roman"/>
          <w:sz w:val="24"/>
          <w:szCs w:val="24"/>
        </w:rPr>
        <w:t>–oral route, but respiratory droplets and contact with contaminated surfaces also play a significant role [7]. Family clustering is frequent, and a slight male predominance has been reported, with an approximate male-to-female ratio of 1.5:1 [8].</w:t>
      </w:r>
      <w:r w:rsidRPr="004934D6">
        <w:rPr>
          <w:rFonts w:ascii="Times New Roman" w:hAnsi="Times New Roman" w:cs="Times New Roman"/>
          <w:sz w:val="24"/>
          <w:szCs w:val="24"/>
        </w:rPr>
        <w:t xml:space="preserve"> </w:t>
      </w:r>
      <w:r w:rsidRPr="00837564">
        <w:rPr>
          <w:rFonts w:ascii="Times New Roman" w:hAnsi="Times New Roman" w:cs="Times New Roman"/>
          <w:sz w:val="24"/>
          <w:szCs w:val="24"/>
        </w:rPr>
        <w:t>Herpangina typically begins with a sudden onset of high-grade fever, often reaching up to 40°C, followed by sore throat, oral discomfort, excessive salivation, and refusal to eat [1,9]. On examination, multiple small vesicular or ulcerative lesions, usually 1–5 mm in size, are observed on the posterior oral cavity, including the soft palate, uvula, and tonsillar pillars, occasionally extending to the buccal mucosa [10]. Despite its acute presentation, the illness is usually self-limiting, with symptoms resolving within 4–6 days and lesions healing without scarring within a week [11].</w:t>
      </w:r>
      <w:r w:rsidR="004934D6" w:rsidRPr="004934D6">
        <w:rPr>
          <w:sz w:val="24"/>
          <w:szCs w:val="24"/>
        </w:rPr>
        <w:t xml:space="preserve"> </w:t>
      </w:r>
      <w:r w:rsidR="004934D6" w:rsidRPr="004934D6">
        <w:rPr>
          <w:rFonts w:ascii="Times New Roman" w:hAnsi="Times New Roman" w:cs="Times New Roman"/>
          <w:sz w:val="24"/>
          <w:szCs w:val="24"/>
        </w:rPr>
        <w:t>In this report, we present the case of a 7-year-old male diagnosed with herpangina, managed conservatively with topical and supportive medications, resulting in complete healing of the lesions within two weeks.</w:t>
      </w:r>
    </w:p>
    <w:p w14:paraId="7B857FC1" w14:textId="77777777" w:rsidR="00837564" w:rsidRPr="004934D6" w:rsidRDefault="00837564" w:rsidP="00837564">
      <w:pPr>
        <w:jc w:val="both"/>
        <w:rPr>
          <w:rFonts w:ascii="Times New Roman" w:hAnsi="Times New Roman" w:cs="Times New Roman"/>
          <w:sz w:val="24"/>
          <w:szCs w:val="24"/>
        </w:rPr>
      </w:pPr>
    </w:p>
    <w:p w14:paraId="7A7CEFCC" w14:textId="4CA182AA" w:rsidR="00837564" w:rsidRPr="00837564" w:rsidRDefault="00837564"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 xml:space="preserve">Case report </w:t>
      </w:r>
    </w:p>
    <w:p w14:paraId="31E4559F" w14:textId="1D61FC6F"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A 7-year-old male patient, reported to the Department of Oral Medicine and Radiology with a chief complaint of pain and burning sensation in the upper jaw region for the past four days. The pain was continuous in nature and aggravated on intake of hot and spicy foods. The patient </w:t>
      </w:r>
      <w:r w:rsidRPr="00837564">
        <w:rPr>
          <w:rFonts w:ascii="Times New Roman" w:hAnsi="Times New Roman" w:cs="Times New Roman"/>
          <w:sz w:val="24"/>
          <w:szCs w:val="24"/>
        </w:rPr>
        <w:lastRenderedPageBreak/>
        <w:t>had a history of fever and throat pain one week prior, for which he consulted a general physician and was prescribed paracetamol. The fever subsided, but throat discomfort persisted. The child’s past medical history was non-contributory. His past dental history revealed pulpectomy with stainless steel crown placement one month earlier and an extraction one year ago.</w:t>
      </w:r>
    </w:p>
    <w:p w14:paraId="1FB57FFE" w14:textId="1A4998E2" w:rsid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On general examination, the patient was conscious, alert, and well oriented with no extraoral abnormalities. Intraoral examination revealed multiple coalescing ulcerations covered with pseudomembranous slough in the left palatal region, measuring approximately 3 × 2 cm, along with a single ulcer measuring 0.5 × 0.5 cm in the left buccal mucosa. </w:t>
      </w:r>
      <w:r w:rsidR="004934D6" w:rsidRPr="004934D6">
        <w:rPr>
          <w:rFonts w:ascii="Times New Roman" w:hAnsi="Times New Roman" w:cs="Times New Roman"/>
          <w:sz w:val="24"/>
          <w:szCs w:val="24"/>
        </w:rPr>
        <w:t xml:space="preserve">[ Figure 1] </w:t>
      </w:r>
      <w:r w:rsidRPr="00837564">
        <w:rPr>
          <w:rFonts w:ascii="Times New Roman" w:hAnsi="Times New Roman" w:cs="Times New Roman"/>
          <w:sz w:val="24"/>
          <w:szCs w:val="24"/>
        </w:rPr>
        <w:t>The lesions were tender on palpation. Hard tissue examination showed dental caries in relation to 54, 55, 51, 61, and 83; stainless steel crowns on 65 and 74; and missing teeth 64 and 75. Based on the clinical features, a provisional diagnosis of herpangina was made, with differentials including herpes simplex infection and lichenoid reaction.</w:t>
      </w:r>
    </w:p>
    <w:p w14:paraId="40E76A90" w14:textId="77777777" w:rsidR="005B7E4B" w:rsidRDefault="005B7E4B" w:rsidP="005B7E4B">
      <w:pPr>
        <w:keepNext/>
        <w:jc w:val="center"/>
      </w:pPr>
      <w:r>
        <w:rPr>
          <w:noProof/>
          <w:lang w:val="en-US"/>
        </w:rPr>
        <w:drawing>
          <wp:inline distT="0" distB="0" distL="0" distR="0" wp14:anchorId="05127025" wp14:editId="4D5D5698">
            <wp:extent cx="4745444" cy="1955800"/>
            <wp:effectExtent l="0" t="0" r="0" b="6350"/>
            <wp:docPr id="40007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74231" name=""/>
                    <pic:cNvPicPr/>
                  </pic:nvPicPr>
                  <pic:blipFill>
                    <a:blip r:embed="rId8"/>
                    <a:stretch>
                      <a:fillRect/>
                    </a:stretch>
                  </pic:blipFill>
                  <pic:spPr>
                    <a:xfrm>
                      <a:off x="0" y="0"/>
                      <a:ext cx="4766221" cy="1964363"/>
                    </a:xfrm>
                    <a:prstGeom prst="rect">
                      <a:avLst/>
                    </a:prstGeom>
                  </pic:spPr>
                </pic:pic>
              </a:graphicData>
            </a:graphic>
          </wp:inline>
        </w:drawing>
      </w:r>
    </w:p>
    <w:p w14:paraId="227B1AAD" w14:textId="6313789F" w:rsidR="005B7E4B" w:rsidRPr="00837564"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1</w:t>
        </w:r>
      </w:fldSimple>
      <w:r>
        <w:t xml:space="preserve"> A:  Multiple coalescing ulcerations in the left palate region</w:t>
      </w:r>
      <w:r>
        <w:rPr>
          <w:noProof/>
        </w:rPr>
        <w:t xml:space="preserve"> B: Ulcer in the left buccal mucosa</w:t>
      </w:r>
    </w:p>
    <w:p w14:paraId="4E2F5559" w14:textId="77777777" w:rsidR="005B7E4B"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The patient was prescribed chlorhexidine 0.12% mouthwash twice daily, </w:t>
      </w:r>
      <w:proofErr w:type="spellStart"/>
      <w:r w:rsidRPr="00837564">
        <w:rPr>
          <w:rFonts w:ascii="Times New Roman" w:hAnsi="Times New Roman" w:cs="Times New Roman"/>
          <w:sz w:val="24"/>
          <w:szCs w:val="24"/>
        </w:rPr>
        <w:t>mucopain</w:t>
      </w:r>
      <w:proofErr w:type="spellEnd"/>
      <w:r w:rsidRPr="00837564">
        <w:rPr>
          <w:rFonts w:ascii="Times New Roman" w:hAnsi="Times New Roman" w:cs="Times New Roman"/>
          <w:sz w:val="24"/>
          <w:szCs w:val="24"/>
        </w:rPr>
        <w:t xml:space="preserve"> gel prior to meals, topical acyclovir ointment once daily at night, and paracetamol syrup (</w:t>
      </w:r>
      <w:proofErr w:type="spellStart"/>
      <w:r w:rsidRPr="00837564">
        <w:rPr>
          <w:rFonts w:ascii="Times New Roman" w:hAnsi="Times New Roman" w:cs="Times New Roman"/>
          <w:sz w:val="24"/>
          <w:szCs w:val="24"/>
        </w:rPr>
        <w:t>Paracip</w:t>
      </w:r>
      <w:proofErr w:type="spellEnd"/>
      <w:r w:rsidRPr="00837564">
        <w:rPr>
          <w:rFonts w:ascii="Times New Roman" w:hAnsi="Times New Roman" w:cs="Times New Roman"/>
          <w:sz w:val="24"/>
          <w:szCs w:val="24"/>
        </w:rPr>
        <w:t xml:space="preserve"> 125) to be taken only if fever recurred. On review after three days, there was a mild reduction in symptoms with persistence of erythema in the palate. The </w:t>
      </w:r>
      <w:r w:rsidR="004934D6" w:rsidRPr="004934D6">
        <w:rPr>
          <w:rFonts w:ascii="Times New Roman" w:hAnsi="Times New Roman" w:cs="Times New Roman"/>
          <w:sz w:val="24"/>
          <w:szCs w:val="24"/>
        </w:rPr>
        <w:t>stainless-steel</w:t>
      </w:r>
      <w:r w:rsidRPr="00837564">
        <w:rPr>
          <w:rFonts w:ascii="Times New Roman" w:hAnsi="Times New Roman" w:cs="Times New Roman"/>
          <w:sz w:val="24"/>
          <w:szCs w:val="24"/>
        </w:rPr>
        <w:t xml:space="preserve"> crown on 65 was removed, and syrup erythromycin was added for three days.</w:t>
      </w:r>
      <w:r w:rsidR="004934D6" w:rsidRPr="004934D6">
        <w:rPr>
          <w:rFonts w:ascii="Times New Roman" w:hAnsi="Times New Roman" w:cs="Times New Roman"/>
          <w:sz w:val="24"/>
          <w:szCs w:val="24"/>
        </w:rPr>
        <w:t xml:space="preserve"> [figure 2]</w:t>
      </w:r>
    </w:p>
    <w:p w14:paraId="6EC65E58" w14:textId="77777777" w:rsidR="005B7E4B" w:rsidRDefault="005B7E4B" w:rsidP="005B7E4B">
      <w:pPr>
        <w:keepNext/>
        <w:jc w:val="center"/>
      </w:pPr>
      <w:r>
        <w:rPr>
          <w:noProof/>
          <w:lang w:val="en-US"/>
        </w:rPr>
        <w:drawing>
          <wp:inline distT="0" distB="0" distL="0" distR="0" wp14:anchorId="3A76CDC8" wp14:editId="13E38ED4">
            <wp:extent cx="2082800" cy="1966008"/>
            <wp:effectExtent l="0" t="0" r="0" b="0"/>
            <wp:docPr id="1151777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15" t="16352" r="14147" b="20116"/>
                    <a:stretch>
                      <a:fillRect/>
                    </a:stretch>
                  </pic:blipFill>
                  <pic:spPr bwMode="auto">
                    <a:xfrm>
                      <a:off x="0" y="0"/>
                      <a:ext cx="2093589" cy="1976192"/>
                    </a:xfrm>
                    <a:prstGeom prst="rect">
                      <a:avLst/>
                    </a:prstGeom>
                    <a:noFill/>
                    <a:ln>
                      <a:noFill/>
                    </a:ln>
                    <a:extLst>
                      <a:ext uri="{53640926-AAD7-44D8-BBD7-CCE9431645EC}">
                        <a14:shadowObscured xmlns:a14="http://schemas.microsoft.com/office/drawing/2010/main"/>
                      </a:ext>
                    </a:extLst>
                  </pic:spPr>
                </pic:pic>
              </a:graphicData>
            </a:graphic>
          </wp:inline>
        </w:drawing>
      </w:r>
    </w:p>
    <w:p w14:paraId="6B3F4BF0" w14:textId="61ACB355" w:rsidR="005B7E4B"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2</w:t>
        </w:r>
      </w:fldSimple>
      <w:r>
        <w:t xml:space="preserve"> Healing of ulcers in the left palate region</w:t>
      </w:r>
    </w:p>
    <w:p w14:paraId="165B6963" w14:textId="4B7E7A86" w:rsidR="004934D6"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At the subsequent follow-up </w:t>
      </w:r>
      <w:r w:rsidR="004934D6" w:rsidRPr="004934D6">
        <w:rPr>
          <w:rFonts w:ascii="Times New Roman" w:hAnsi="Times New Roman" w:cs="Times New Roman"/>
          <w:sz w:val="24"/>
          <w:szCs w:val="24"/>
        </w:rPr>
        <w:t>after 1 week</w:t>
      </w:r>
      <w:r w:rsidRPr="00837564">
        <w:rPr>
          <w:rFonts w:ascii="Times New Roman" w:hAnsi="Times New Roman" w:cs="Times New Roman"/>
          <w:sz w:val="24"/>
          <w:szCs w:val="24"/>
        </w:rPr>
        <w:t xml:space="preserve">, the patient reported symptomatic relief with reduction of palatal and buccal mucosal lesions, and continuation of the previous regimen was advised. </w:t>
      </w:r>
      <w:r w:rsidR="004934D6" w:rsidRPr="004934D6">
        <w:rPr>
          <w:rFonts w:ascii="Times New Roman" w:hAnsi="Times New Roman" w:cs="Times New Roman"/>
          <w:sz w:val="24"/>
          <w:szCs w:val="24"/>
        </w:rPr>
        <w:t>After 4 weeks</w:t>
      </w:r>
      <w:r w:rsidRPr="00837564">
        <w:rPr>
          <w:rFonts w:ascii="Times New Roman" w:hAnsi="Times New Roman" w:cs="Times New Roman"/>
          <w:sz w:val="24"/>
          <w:szCs w:val="24"/>
        </w:rPr>
        <w:t>, the patient was asymptomatic with satisfactory healing</w:t>
      </w:r>
      <w:r w:rsidR="004934D6" w:rsidRPr="004934D6">
        <w:rPr>
          <w:rFonts w:ascii="Times New Roman" w:hAnsi="Times New Roman" w:cs="Times New Roman"/>
          <w:sz w:val="24"/>
          <w:szCs w:val="24"/>
        </w:rPr>
        <w:t xml:space="preserve"> [figure 3]</w:t>
      </w:r>
    </w:p>
    <w:p w14:paraId="03B26E24" w14:textId="77777777" w:rsidR="005B7E4B" w:rsidRDefault="005B7E4B" w:rsidP="00837564">
      <w:pPr>
        <w:jc w:val="both"/>
        <w:rPr>
          <w:rFonts w:ascii="Times New Roman" w:hAnsi="Times New Roman" w:cs="Times New Roman"/>
          <w:sz w:val="24"/>
          <w:szCs w:val="24"/>
        </w:rPr>
      </w:pPr>
    </w:p>
    <w:p w14:paraId="03A04468" w14:textId="77777777" w:rsidR="005B7E4B" w:rsidRDefault="005B7E4B" w:rsidP="005B7E4B">
      <w:pPr>
        <w:keepNext/>
        <w:jc w:val="center"/>
      </w:pPr>
      <w:r w:rsidRPr="005B7E4B">
        <w:rPr>
          <w:noProof/>
          <w:lang w:val="en-US"/>
        </w:rPr>
        <w:drawing>
          <wp:inline distT="0" distB="0" distL="0" distR="0" wp14:anchorId="72C47BC5" wp14:editId="3981DBAF">
            <wp:extent cx="4867983" cy="1993900"/>
            <wp:effectExtent l="0" t="0" r="8890" b="6350"/>
            <wp:docPr id="125837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2635" name=""/>
                    <pic:cNvPicPr/>
                  </pic:nvPicPr>
                  <pic:blipFill>
                    <a:blip r:embed="rId10"/>
                    <a:stretch>
                      <a:fillRect/>
                    </a:stretch>
                  </pic:blipFill>
                  <pic:spPr>
                    <a:xfrm>
                      <a:off x="0" y="0"/>
                      <a:ext cx="4877966" cy="1997989"/>
                    </a:xfrm>
                    <a:prstGeom prst="rect">
                      <a:avLst/>
                    </a:prstGeom>
                  </pic:spPr>
                </pic:pic>
              </a:graphicData>
            </a:graphic>
          </wp:inline>
        </w:drawing>
      </w:r>
    </w:p>
    <w:p w14:paraId="107F99C0" w14:textId="72BF4A97" w:rsidR="005B7E4B" w:rsidRPr="004934D6" w:rsidRDefault="005B7E4B" w:rsidP="005B7E4B">
      <w:pPr>
        <w:pStyle w:val="Caption"/>
        <w:jc w:val="center"/>
        <w:rPr>
          <w:rFonts w:ascii="Times New Roman" w:hAnsi="Times New Roman" w:cs="Times New Roman"/>
          <w:sz w:val="24"/>
          <w:szCs w:val="24"/>
        </w:rPr>
      </w:pPr>
      <w:r>
        <w:t xml:space="preserve">Figure </w:t>
      </w:r>
      <w:fldSimple w:instr=" SEQ Figure \* ARABIC ">
        <w:r>
          <w:rPr>
            <w:noProof/>
          </w:rPr>
          <w:t>3</w:t>
        </w:r>
      </w:fldSimple>
      <w:r>
        <w:t xml:space="preserve"> Completely healed site in the left palate and left buccal mucosa region</w:t>
      </w:r>
    </w:p>
    <w:p w14:paraId="3F4CC410" w14:textId="259FAAC7" w:rsidR="004934D6" w:rsidRPr="004934D6" w:rsidRDefault="004934D6"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Discussion</w:t>
      </w:r>
    </w:p>
    <w:p w14:paraId="0B870B3A" w14:textId="4BE6A9A5"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Diagnostic Approaches</w:t>
      </w:r>
    </w:p>
    <w:p w14:paraId="56C676E0"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Clinical Diagnosis</w:t>
      </w:r>
    </w:p>
    <w:p w14:paraId="16CB622B" w14:textId="77777777"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Diagnosis is primarily clinical, based on the characteristic triad of fever, sore throat, and posterior oropharyngeal vesicles, along with knowledge of seasonal outbreaks [1,12].</w:t>
      </w:r>
    </w:p>
    <w:p w14:paraId="1381C997"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Laboratory Diagnosis</w:t>
      </w:r>
    </w:p>
    <w:p w14:paraId="751F61A5" w14:textId="77777777"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Although rarely required, laboratory confirmation is useful in atypical or outbreak scenarios. Real-time RT-PCR remains the gold standard for detecting enteroviral RNA due to its high sensitivity and specificity [13]. Virus isolation through cell culture and VP1 gene sequencing may aid in viral subtyping and epidemiological studies, though these are less commonly performed [14]. Throat or nasopharyngeal swabs collected within five days of symptom onset improve detection rates significantly [13].</w:t>
      </w:r>
    </w:p>
    <w:p w14:paraId="4FF1F532"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Differential Diagnosis</w:t>
      </w:r>
    </w:p>
    <w:p w14:paraId="1DD91118" w14:textId="79674AB0" w:rsidR="00837564" w:rsidRPr="004934D6"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 xml:space="preserve">Herpangina must be differentiated from other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oral lesions. Primary herpetic gingivostomatitis presents with anterior oral lesions caused by herpes simplex virus [15]. Hand, Foot, and Mouth Disease (HFMD) shares similar oral findings but includes vesicular lesions on the hands and feet [16]. Aphthous stomatitis presents with recurrent ulcers unrelated to fever, while bacterial pharyngitis requires throat culture or rapid antigen testing for confirmation [17,18].</w:t>
      </w:r>
    </w:p>
    <w:p w14:paraId="273A6160"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Treatment and Management</w:t>
      </w:r>
    </w:p>
    <w:p w14:paraId="05B6706D" w14:textId="3B8A8B52"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There is currently no specific antiviral therapy for herpangina, and treatment remains primarily supportive, focusing on symptom relief and prevention of complications [1,</w:t>
      </w:r>
      <w:r w:rsidRPr="004934D6">
        <w:rPr>
          <w:rFonts w:ascii="Times New Roman" w:hAnsi="Times New Roman" w:cs="Times New Roman"/>
          <w:sz w:val="24"/>
          <w:szCs w:val="24"/>
        </w:rPr>
        <w:t>19</w:t>
      </w:r>
      <w:r w:rsidRPr="00837564">
        <w:rPr>
          <w:rFonts w:ascii="Times New Roman" w:hAnsi="Times New Roman" w:cs="Times New Roman"/>
          <w:sz w:val="24"/>
          <w:szCs w:val="24"/>
        </w:rPr>
        <w:t xml:space="preserve">]. Antipyretics such as paracetamol are commonly used to control fever and discomfort, while topical oral </w:t>
      </w:r>
      <w:proofErr w:type="spellStart"/>
      <w:r w:rsidRPr="00837564">
        <w:rPr>
          <w:rFonts w:ascii="Times New Roman" w:hAnsi="Times New Roman" w:cs="Times New Roman"/>
          <w:sz w:val="24"/>
          <w:szCs w:val="24"/>
        </w:rPr>
        <w:t>anesthetics</w:t>
      </w:r>
      <w:proofErr w:type="spellEnd"/>
      <w:r w:rsidRPr="00837564">
        <w:rPr>
          <w:rFonts w:ascii="Times New Roman" w:hAnsi="Times New Roman" w:cs="Times New Roman"/>
          <w:sz w:val="24"/>
          <w:szCs w:val="24"/>
        </w:rPr>
        <w:t xml:space="preserve"> may be applied before meals to reduce pain and improve feeding. Adequate hydration and a soft diet are essential to prevent dehydration and minimize oral trauma. Recent studies have evaluated adjunctive interventions, including </w:t>
      </w:r>
      <w:r w:rsidRPr="00837564">
        <w:rPr>
          <w:rFonts w:ascii="Times New Roman" w:hAnsi="Times New Roman" w:cs="Times New Roman"/>
          <w:b/>
          <w:bCs/>
          <w:sz w:val="24"/>
          <w:szCs w:val="24"/>
        </w:rPr>
        <w:t>hyaluronic acid sprays</w:t>
      </w:r>
      <w:r w:rsidRPr="00837564">
        <w:rPr>
          <w:rFonts w:ascii="Times New Roman" w:hAnsi="Times New Roman" w:cs="Times New Roman"/>
          <w:sz w:val="24"/>
          <w:szCs w:val="24"/>
        </w:rPr>
        <w:t>, which promote mucosal healing [2</w:t>
      </w:r>
      <w:r w:rsidRPr="004934D6">
        <w:rPr>
          <w:rFonts w:ascii="Times New Roman" w:hAnsi="Times New Roman" w:cs="Times New Roman"/>
          <w:sz w:val="24"/>
          <w:szCs w:val="24"/>
        </w:rPr>
        <w:t>0</w:t>
      </w:r>
      <w:r w:rsidRPr="00837564">
        <w:rPr>
          <w:rFonts w:ascii="Times New Roman" w:hAnsi="Times New Roman" w:cs="Times New Roman"/>
          <w:sz w:val="24"/>
          <w:szCs w:val="24"/>
        </w:rPr>
        <w:t xml:space="preserve">], </w:t>
      </w:r>
      <w:r w:rsidRPr="00837564">
        <w:rPr>
          <w:rFonts w:ascii="Times New Roman" w:hAnsi="Times New Roman" w:cs="Times New Roman"/>
          <w:b/>
          <w:bCs/>
          <w:sz w:val="24"/>
          <w:szCs w:val="24"/>
        </w:rPr>
        <w:t>interferon α-2b oral sprays</w:t>
      </w:r>
      <w:r w:rsidRPr="00837564">
        <w:rPr>
          <w:rFonts w:ascii="Times New Roman" w:hAnsi="Times New Roman" w:cs="Times New Roman"/>
          <w:sz w:val="24"/>
          <w:szCs w:val="24"/>
        </w:rPr>
        <w:t xml:space="preserve">, shown to shorten symptom </w:t>
      </w:r>
      <w:r w:rsidRPr="00837564">
        <w:rPr>
          <w:rFonts w:ascii="Times New Roman" w:hAnsi="Times New Roman" w:cs="Times New Roman"/>
          <w:sz w:val="24"/>
          <w:szCs w:val="24"/>
        </w:rPr>
        <w:lastRenderedPageBreak/>
        <w:t>duration [2</w:t>
      </w:r>
      <w:r w:rsidRPr="004934D6">
        <w:rPr>
          <w:rFonts w:ascii="Times New Roman" w:hAnsi="Times New Roman" w:cs="Times New Roman"/>
          <w:sz w:val="24"/>
          <w:szCs w:val="24"/>
        </w:rPr>
        <w:t>1</w:t>
      </w:r>
      <w:r w:rsidRPr="00837564">
        <w:rPr>
          <w:rFonts w:ascii="Times New Roman" w:hAnsi="Times New Roman" w:cs="Times New Roman"/>
          <w:sz w:val="24"/>
          <w:szCs w:val="24"/>
        </w:rPr>
        <w:t xml:space="preserve">], and </w:t>
      </w:r>
      <w:r w:rsidRPr="00837564">
        <w:rPr>
          <w:rFonts w:ascii="Times New Roman" w:hAnsi="Times New Roman" w:cs="Times New Roman"/>
          <w:b/>
          <w:bCs/>
          <w:sz w:val="24"/>
          <w:szCs w:val="24"/>
        </w:rPr>
        <w:t>vitamin C supplementation</w:t>
      </w:r>
      <w:r w:rsidRPr="00837564">
        <w:rPr>
          <w:rFonts w:ascii="Times New Roman" w:hAnsi="Times New Roman" w:cs="Times New Roman"/>
          <w:sz w:val="24"/>
          <w:szCs w:val="24"/>
        </w:rPr>
        <w:t xml:space="preserve"> to enhance immune recovery [2</w:t>
      </w:r>
      <w:r w:rsidRPr="004934D6">
        <w:rPr>
          <w:rFonts w:ascii="Times New Roman" w:hAnsi="Times New Roman" w:cs="Times New Roman"/>
          <w:sz w:val="24"/>
          <w:szCs w:val="24"/>
        </w:rPr>
        <w:t>2</w:t>
      </w:r>
      <w:r w:rsidRPr="00837564">
        <w:rPr>
          <w:rFonts w:ascii="Times New Roman" w:hAnsi="Times New Roman" w:cs="Times New Roman"/>
          <w:sz w:val="24"/>
          <w:szCs w:val="24"/>
        </w:rPr>
        <w:t xml:space="preserve">]. Family </w:t>
      </w:r>
      <w:proofErr w:type="spellStart"/>
      <w:r w:rsidRPr="00837564">
        <w:rPr>
          <w:rFonts w:ascii="Times New Roman" w:hAnsi="Times New Roman" w:cs="Times New Roman"/>
          <w:sz w:val="24"/>
          <w:szCs w:val="24"/>
        </w:rPr>
        <w:t>counseling</w:t>
      </w:r>
      <w:proofErr w:type="spellEnd"/>
      <w:r w:rsidRPr="00837564">
        <w:rPr>
          <w:rFonts w:ascii="Times New Roman" w:hAnsi="Times New Roman" w:cs="Times New Roman"/>
          <w:sz w:val="24"/>
          <w:szCs w:val="24"/>
        </w:rPr>
        <w:t xml:space="preserve"> is an integral component, emphasizing proper hygiene, avoidance of contact with infected individuals, and close monitoring for complications.</w:t>
      </w:r>
    </w:p>
    <w:p w14:paraId="4303C330" w14:textId="30D18B72" w:rsidR="00837564" w:rsidRPr="00837564" w:rsidRDefault="00837564" w:rsidP="00837564">
      <w:pPr>
        <w:jc w:val="both"/>
        <w:rPr>
          <w:rFonts w:ascii="Times New Roman" w:hAnsi="Times New Roman" w:cs="Times New Roman"/>
          <w:sz w:val="24"/>
          <w:szCs w:val="24"/>
        </w:rPr>
      </w:pPr>
    </w:p>
    <w:p w14:paraId="0263EE1F"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Complications and Prognosis</w:t>
      </w:r>
    </w:p>
    <w:p w14:paraId="4EB2BB08" w14:textId="438F0BA7"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Herpangina generally follows a benign and self-limiting course, with spontaneous resolution within 4–6 days and complete recovery within a week [1]. However, in rare cases, serious complications may arise. High fevers can lead to febrile seizures in susceptible children [2</w:t>
      </w:r>
      <w:r w:rsidRPr="004934D6">
        <w:rPr>
          <w:rFonts w:ascii="Times New Roman" w:hAnsi="Times New Roman" w:cs="Times New Roman"/>
          <w:sz w:val="24"/>
          <w:szCs w:val="24"/>
        </w:rPr>
        <w:t>3</w:t>
      </w:r>
      <w:r w:rsidRPr="00837564">
        <w:rPr>
          <w:rFonts w:ascii="Times New Roman" w:hAnsi="Times New Roman" w:cs="Times New Roman"/>
          <w:sz w:val="24"/>
          <w:szCs w:val="24"/>
        </w:rPr>
        <w:t>], and refusal of oral intake may result in dehydration [2</w:t>
      </w:r>
      <w:r w:rsidRPr="004934D6">
        <w:rPr>
          <w:rFonts w:ascii="Times New Roman" w:hAnsi="Times New Roman" w:cs="Times New Roman"/>
          <w:sz w:val="24"/>
          <w:szCs w:val="24"/>
        </w:rPr>
        <w:t>4</w:t>
      </w:r>
      <w:r w:rsidRPr="00837564">
        <w:rPr>
          <w:rFonts w:ascii="Times New Roman" w:hAnsi="Times New Roman" w:cs="Times New Roman"/>
          <w:sz w:val="24"/>
          <w:szCs w:val="24"/>
        </w:rPr>
        <w:t>]. Prolonged illness can predispose to secondary bacterial infections [2</w:t>
      </w:r>
      <w:r w:rsidRPr="004934D6">
        <w:rPr>
          <w:rFonts w:ascii="Times New Roman" w:hAnsi="Times New Roman" w:cs="Times New Roman"/>
          <w:sz w:val="24"/>
          <w:szCs w:val="24"/>
        </w:rPr>
        <w:t>5</w:t>
      </w:r>
      <w:r w:rsidRPr="00837564">
        <w:rPr>
          <w:rFonts w:ascii="Times New Roman" w:hAnsi="Times New Roman" w:cs="Times New Roman"/>
          <w:sz w:val="24"/>
          <w:szCs w:val="24"/>
        </w:rPr>
        <w:t>]. More severe outcomes are typically associated with Enterovirus A71 infections, which have been linked to encephalitis, myocarditis, and multi-organ failure [2</w:t>
      </w:r>
      <w:r w:rsidRPr="004934D6">
        <w:rPr>
          <w:rFonts w:ascii="Times New Roman" w:hAnsi="Times New Roman" w:cs="Times New Roman"/>
          <w:sz w:val="24"/>
          <w:szCs w:val="24"/>
        </w:rPr>
        <w:t>6</w:t>
      </w:r>
      <w:r w:rsidRPr="00837564">
        <w:rPr>
          <w:rFonts w:ascii="Times New Roman" w:hAnsi="Times New Roman" w:cs="Times New Roman"/>
          <w:sz w:val="24"/>
          <w:szCs w:val="24"/>
        </w:rPr>
        <w:t>]. Although mortality is extremely rare, cases related to EV-A71 have been reported [2</w:t>
      </w:r>
      <w:r w:rsidRPr="004934D6">
        <w:rPr>
          <w:rFonts w:ascii="Times New Roman" w:hAnsi="Times New Roman" w:cs="Times New Roman"/>
          <w:sz w:val="24"/>
          <w:szCs w:val="24"/>
        </w:rPr>
        <w:t>6</w:t>
      </w:r>
      <w:r w:rsidRPr="00837564">
        <w:rPr>
          <w:rFonts w:ascii="Times New Roman" w:hAnsi="Times New Roman" w:cs="Times New Roman"/>
          <w:sz w:val="24"/>
          <w:szCs w:val="24"/>
        </w:rPr>
        <w:t>].</w:t>
      </w:r>
    </w:p>
    <w:p w14:paraId="39BDFC59" w14:textId="7CFA7E70" w:rsidR="00837564" w:rsidRPr="00837564" w:rsidRDefault="00837564" w:rsidP="00837564">
      <w:pPr>
        <w:jc w:val="both"/>
        <w:rPr>
          <w:rFonts w:ascii="Times New Roman" w:hAnsi="Times New Roman" w:cs="Times New Roman"/>
          <w:sz w:val="24"/>
          <w:szCs w:val="24"/>
        </w:rPr>
      </w:pPr>
    </w:p>
    <w:p w14:paraId="4886B607"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Prevention Strategies</w:t>
      </w:r>
    </w:p>
    <w:p w14:paraId="73020042" w14:textId="4CC7640F" w:rsidR="00837564" w:rsidRPr="00837564"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Preventive measures primarily focus on interrupting transmission and maintaining hygiene. Frequent handwashing with soap and water, covering the mouth and nose when coughing or sneezing, and disinfecting frequently touched objects are strongly recommended [2</w:t>
      </w:r>
      <w:r w:rsidRPr="004934D6">
        <w:rPr>
          <w:rFonts w:ascii="Times New Roman" w:hAnsi="Times New Roman" w:cs="Times New Roman"/>
          <w:sz w:val="24"/>
          <w:szCs w:val="24"/>
        </w:rPr>
        <w:t>7</w:t>
      </w:r>
      <w:r w:rsidRPr="00837564">
        <w:rPr>
          <w:rFonts w:ascii="Times New Roman" w:hAnsi="Times New Roman" w:cs="Times New Roman"/>
          <w:sz w:val="24"/>
          <w:szCs w:val="24"/>
        </w:rPr>
        <w:t xml:space="preserve">]. Caregivers should ensure proper food handling, utensil hygiene, and limit close contact with infected individuals. In community and institutional settings, such as schools and </w:t>
      </w:r>
      <w:proofErr w:type="spellStart"/>
      <w:r w:rsidRPr="00837564">
        <w:rPr>
          <w:rFonts w:ascii="Times New Roman" w:hAnsi="Times New Roman" w:cs="Times New Roman"/>
          <w:sz w:val="24"/>
          <w:szCs w:val="24"/>
        </w:rPr>
        <w:t>daycare</w:t>
      </w:r>
      <w:proofErr w:type="spellEnd"/>
      <w:r w:rsidRPr="00837564">
        <w:rPr>
          <w:rFonts w:ascii="Times New Roman" w:hAnsi="Times New Roman" w:cs="Times New Roman"/>
          <w:sz w:val="24"/>
          <w:szCs w:val="24"/>
        </w:rPr>
        <w:t xml:space="preserve"> </w:t>
      </w:r>
      <w:proofErr w:type="spellStart"/>
      <w:r w:rsidRPr="00837564">
        <w:rPr>
          <w:rFonts w:ascii="Times New Roman" w:hAnsi="Times New Roman" w:cs="Times New Roman"/>
          <w:sz w:val="24"/>
          <w:szCs w:val="24"/>
        </w:rPr>
        <w:t>centers</w:t>
      </w:r>
      <w:proofErr w:type="spellEnd"/>
      <w:r w:rsidRPr="00837564">
        <w:rPr>
          <w:rFonts w:ascii="Times New Roman" w:hAnsi="Times New Roman" w:cs="Times New Roman"/>
          <w:sz w:val="24"/>
          <w:szCs w:val="24"/>
        </w:rPr>
        <w:t>, outbreak control involves isolating affected children, strengthening surveillance, and enhancing environmental disinfection [</w:t>
      </w:r>
      <w:r w:rsidRPr="004934D6">
        <w:rPr>
          <w:rFonts w:ascii="Times New Roman" w:hAnsi="Times New Roman" w:cs="Times New Roman"/>
          <w:sz w:val="24"/>
          <w:szCs w:val="24"/>
        </w:rPr>
        <w:t>28</w:t>
      </w:r>
      <w:r w:rsidRPr="00837564">
        <w:rPr>
          <w:rFonts w:ascii="Times New Roman" w:hAnsi="Times New Roman" w:cs="Times New Roman"/>
          <w:sz w:val="24"/>
          <w:szCs w:val="24"/>
        </w:rPr>
        <w:t>]. Currently, there is no specific vaccine for herpangina; however, vaccines targeting Enterovirus A71 are available in some regions to prevent severe complications, and development of multivalent vaccines against other Coxsackievirus strains is ongoing [</w:t>
      </w:r>
      <w:r w:rsidRPr="004934D6">
        <w:rPr>
          <w:rFonts w:ascii="Times New Roman" w:hAnsi="Times New Roman" w:cs="Times New Roman"/>
          <w:sz w:val="24"/>
          <w:szCs w:val="24"/>
        </w:rPr>
        <w:t>29</w:t>
      </w:r>
      <w:r w:rsidRPr="00837564">
        <w:rPr>
          <w:rFonts w:ascii="Times New Roman" w:hAnsi="Times New Roman" w:cs="Times New Roman"/>
          <w:sz w:val="24"/>
          <w:szCs w:val="24"/>
        </w:rPr>
        <w:t>].</w:t>
      </w:r>
    </w:p>
    <w:p w14:paraId="2ED0DC63" w14:textId="0AA93D33" w:rsidR="00837564" w:rsidRPr="00837564" w:rsidRDefault="00837564" w:rsidP="00837564">
      <w:pPr>
        <w:jc w:val="both"/>
        <w:rPr>
          <w:rFonts w:ascii="Times New Roman" w:hAnsi="Times New Roman" w:cs="Times New Roman"/>
          <w:sz w:val="24"/>
          <w:szCs w:val="24"/>
        </w:rPr>
      </w:pPr>
    </w:p>
    <w:p w14:paraId="1DA397E9"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Recent Research and Developments</w:t>
      </w:r>
    </w:p>
    <w:p w14:paraId="7F78CD75" w14:textId="54F8F3B3" w:rsidR="00837564" w:rsidRPr="004934D6" w:rsidRDefault="00837564" w:rsidP="00837564">
      <w:pPr>
        <w:jc w:val="both"/>
        <w:rPr>
          <w:rFonts w:ascii="Times New Roman" w:hAnsi="Times New Roman" w:cs="Times New Roman"/>
          <w:sz w:val="24"/>
          <w:szCs w:val="24"/>
        </w:rPr>
      </w:pPr>
      <w:r w:rsidRPr="00837564">
        <w:rPr>
          <w:rFonts w:ascii="Times New Roman" w:hAnsi="Times New Roman" w:cs="Times New Roman"/>
          <w:sz w:val="24"/>
          <w:szCs w:val="24"/>
        </w:rPr>
        <w:t>Recent studies reveal significant epidemiological shifts, with non-EV-A71 enteroviruses, particularly CV-A2, CV-A4, CV-A6, and CV-A10, now accounting for more than 75% of cases in many regions [3</w:t>
      </w:r>
      <w:r w:rsidRPr="004934D6">
        <w:rPr>
          <w:rFonts w:ascii="Times New Roman" w:hAnsi="Times New Roman" w:cs="Times New Roman"/>
          <w:sz w:val="24"/>
          <w:szCs w:val="24"/>
        </w:rPr>
        <w:t>0</w:t>
      </w:r>
      <w:r w:rsidRPr="00837564">
        <w:rPr>
          <w:rFonts w:ascii="Times New Roman" w:hAnsi="Times New Roman" w:cs="Times New Roman"/>
          <w:sz w:val="24"/>
          <w:szCs w:val="24"/>
        </w:rPr>
        <w:t>]. Advancements in diagnostic technologies, such as multiplex RT-PCR and point-of-care rapid diagnostic assays, have improved early detection and outbreak monitoring [3</w:t>
      </w:r>
      <w:r w:rsidRPr="004934D6">
        <w:rPr>
          <w:rFonts w:ascii="Times New Roman" w:hAnsi="Times New Roman" w:cs="Times New Roman"/>
          <w:sz w:val="24"/>
          <w:szCs w:val="24"/>
        </w:rPr>
        <w:t>1</w:t>
      </w:r>
      <w:r w:rsidRPr="00837564">
        <w:rPr>
          <w:rFonts w:ascii="Times New Roman" w:hAnsi="Times New Roman" w:cs="Times New Roman"/>
          <w:sz w:val="24"/>
          <w:szCs w:val="24"/>
        </w:rPr>
        <w:t>]. Additionally, promising therapeutic research is underway, investigating novel antiviral compounds, immunomodulatory agents, and the development of broad-spectrum multivalent vaccines targeting multiple enterovirus strains, aiming to reduce disease burden and prevent severe outcomes [3</w:t>
      </w:r>
      <w:r w:rsidRPr="004934D6">
        <w:rPr>
          <w:rFonts w:ascii="Times New Roman" w:hAnsi="Times New Roman" w:cs="Times New Roman"/>
          <w:sz w:val="24"/>
          <w:szCs w:val="24"/>
        </w:rPr>
        <w:t>2</w:t>
      </w:r>
      <w:r w:rsidRPr="00837564">
        <w:rPr>
          <w:rFonts w:ascii="Times New Roman" w:hAnsi="Times New Roman" w:cs="Times New Roman"/>
          <w:sz w:val="24"/>
          <w:szCs w:val="24"/>
        </w:rPr>
        <w:t>].</w:t>
      </w:r>
    </w:p>
    <w:p w14:paraId="5ABB4809" w14:textId="77777777" w:rsidR="004934D6" w:rsidRPr="004934D6" w:rsidRDefault="004934D6" w:rsidP="00837564">
      <w:pPr>
        <w:jc w:val="both"/>
        <w:rPr>
          <w:rFonts w:ascii="Times New Roman" w:hAnsi="Times New Roman" w:cs="Times New Roman"/>
          <w:sz w:val="24"/>
          <w:szCs w:val="24"/>
        </w:rPr>
      </w:pPr>
    </w:p>
    <w:p w14:paraId="47D6269D" w14:textId="2A303D48" w:rsidR="004934D6" w:rsidRPr="004934D6" w:rsidRDefault="004934D6" w:rsidP="00837564">
      <w:pPr>
        <w:jc w:val="both"/>
        <w:rPr>
          <w:rFonts w:ascii="Times New Roman" w:hAnsi="Times New Roman" w:cs="Times New Roman"/>
          <w:b/>
          <w:bCs/>
          <w:sz w:val="24"/>
          <w:szCs w:val="24"/>
        </w:rPr>
      </w:pPr>
      <w:r w:rsidRPr="004934D6">
        <w:rPr>
          <w:rFonts w:ascii="Times New Roman" w:hAnsi="Times New Roman" w:cs="Times New Roman"/>
          <w:b/>
          <w:bCs/>
          <w:sz w:val="24"/>
          <w:szCs w:val="24"/>
        </w:rPr>
        <w:t>Conclusion</w:t>
      </w:r>
    </w:p>
    <w:p w14:paraId="294158BF" w14:textId="77777777" w:rsidR="004934D6" w:rsidRPr="004934D6" w:rsidRDefault="004934D6" w:rsidP="004934D6">
      <w:pPr>
        <w:jc w:val="both"/>
        <w:rPr>
          <w:rFonts w:ascii="Times New Roman" w:hAnsi="Times New Roman" w:cs="Times New Roman"/>
          <w:sz w:val="24"/>
          <w:szCs w:val="24"/>
        </w:rPr>
      </w:pPr>
      <w:r w:rsidRPr="004934D6">
        <w:rPr>
          <w:rFonts w:ascii="Times New Roman" w:hAnsi="Times New Roman" w:cs="Times New Roman"/>
          <w:sz w:val="24"/>
          <w:szCs w:val="24"/>
        </w:rPr>
        <w:t xml:space="preserve">Herpangina is a self-limiting viral infection commonly seen in children and often presents with painful ulcerations that can mimic other oral ulcerative conditions, making accurate diagnosis crucial. In this case, a 7-year-old male presented with painful palatal and buccal ulcerations </w:t>
      </w:r>
      <w:r w:rsidRPr="004934D6">
        <w:rPr>
          <w:rFonts w:ascii="Times New Roman" w:hAnsi="Times New Roman" w:cs="Times New Roman"/>
          <w:sz w:val="24"/>
          <w:szCs w:val="24"/>
        </w:rPr>
        <w:lastRenderedPageBreak/>
        <w:t xml:space="preserve">along with a recent history of fever. A clinical diagnosis of herpangina was made, and the patient was managed conservatively with topical medications, analgesics, and proper oral hygiene instructions. Regular follow-up visits showed progressive healing, and the lesions resolved completely within two weeks without any complications. This case highlights the importance of early recognition, appropriate differential diagnosis, and timely supportive management to ensure </w:t>
      </w:r>
      <w:proofErr w:type="spellStart"/>
      <w:r w:rsidRPr="004934D6">
        <w:rPr>
          <w:rFonts w:ascii="Times New Roman" w:hAnsi="Times New Roman" w:cs="Times New Roman"/>
          <w:sz w:val="24"/>
          <w:szCs w:val="24"/>
        </w:rPr>
        <w:t>favorable</w:t>
      </w:r>
      <w:proofErr w:type="spellEnd"/>
      <w:r w:rsidRPr="004934D6">
        <w:rPr>
          <w:rFonts w:ascii="Times New Roman" w:hAnsi="Times New Roman" w:cs="Times New Roman"/>
          <w:sz w:val="24"/>
          <w:szCs w:val="24"/>
        </w:rPr>
        <w:t xml:space="preserve"> outcomes in </w:t>
      </w:r>
      <w:proofErr w:type="spellStart"/>
      <w:r w:rsidRPr="004934D6">
        <w:rPr>
          <w:rFonts w:ascii="Times New Roman" w:hAnsi="Times New Roman" w:cs="Times New Roman"/>
          <w:sz w:val="24"/>
          <w:szCs w:val="24"/>
        </w:rPr>
        <w:t>pediatric</w:t>
      </w:r>
      <w:proofErr w:type="spellEnd"/>
      <w:r w:rsidRPr="004934D6">
        <w:rPr>
          <w:rFonts w:ascii="Times New Roman" w:hAnsi="Times New Roman" w:cs="Times New Roman"/>
          <w:sz w:val="24"/>
          <w:szCs w:val="24"/>
        </w:rPr>
        <w:t xml:space="preserve"> patients presenting with multiple oral ulcerations.</w:t>
      </w:r>
    </w:p>
    <w:p w14:paraId="268D39A7" w14:textId="77777777" w:rsidR="004934D6" w:rsidRPr="00837564" w:rsidRDefault="004934D6" w:rsidP="00837564">
      <w:pPr>
        <w:jc w:val="both"/>
        <w:rPr>
          <w:rFonts w:ascii="Times New Roman" w:hAnsi="Times New Roman" w:cs="Times New Roman"/>
          <w:sz w:val="24"/>
          <w:szCs w:val="24"/>
        </w:rPr>
      </w:pPr>
    </w:p>
    <w:p w14:paraId="586F036E" w14:textId="77777777" w:rsidR="00837564" w:rsidRPr="00837564" w:rsidRDefault="00837564" w:rsidP="00837564">
      <w:pPr>
        <w:jc w:val="both"/>
        <w:rPr>
          <w:rFonts w:ascii="Times New Roman" w:hAnsi="Times New Roman" w:cs="Times New Roman"/>
          <w:b/>
          <w:bCs/>
          <w:sz w:val="24"/>
          <w:szCs w:val="24"/>
        </w:rPr>
      </w:pPr>
      <w:r w:rsidRPr="00837564">
        <w:rPr>
          <w:rFonts w:ascii="Times New Roman" w:hAnsi="Times New Roman" w:cs="Times New Roman"/>
          <w:b/>
          <w:bCs/>
          <w:sz w:val="24"/>
          <w:szCs w:val="24"/>
        </w:rPr>
        <w:t>References</w:t>
      </w:r>
    </w:p>
    <w:p w14:paraId="70A3C836"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Yu H, Li X, Liu Q, et al. Diagnosis and treatment of herpangina: Chinese expert consensus. </w:t>
      </w:r>
      <w:r w:rsidRPr="00837564">
        <w:rPr>
          <w:rFonts w:ascii="Times New Roman" w:hAnsi="Times New Roman" w:cs="Times New Roman"/>
          <w:i/>
          <w:iCs/>
          <w:sz w:val="24"/>
          <w:szCs w:val="24"/>
        </w:rPr>
        <w:t xml:space="preserve">World J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sz w:val="24"/>
          <w:szCs w:val="24"/>
        </w:rPr>
        <w:t>. 2020;16(2):129–134.</w:t>
      </w:r>
    </w:p>
    <w:p w14:paraId="5644B49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Prathiwi</w:t>
      </w:r>
      <w:proofErr w:type="spellEnd"/>
      <w:r w:rsidRPr="00837564">
        <w:rPr>
          <w:rFonts w:ascii="Times New Roman" w:hAnsi="Times New Roman" w:cs="Times New Roman"/>
          <w:sz w:val="24"/>
          <w:szCs w:val="24"/>
        </w:rPr>
        <w:t xml:space="preserve"> CDR, </w:t>
      </w:r>
      <w:proofErr w:type="spellStart"/>
      <w:r w:rsidRPr="00837564">
        <w:rPr>
          <w:rFonts w:ascii="Times New Roman" w:hAnsi="Times New Roman" w:cs="Times New Roman"/>
          <w:sz w:val="24"/>
          <w:szCs w:val="24"/>
        </w:rPr>
        <w:t>Bramanti</w:t>
      </w:r>
      <w:proofErr w:type="spellEnd"/>
      <w:r w:rsidRPr="00837564">
        <w:rPr>
          <w:rFonts w:ascii="Times New Roman" w:hAnsi="Times New Roman" w:cs="Times New Roman"/>
          <w:sz w:val="24"/>
          <w:szCs w:val="24"/>
        </w:rPr>
        <w:t xml:space="preserve"> I. Management of herpangina: a viral infection in infants. </w:t>
      </w:r>
      <w:proofErr w:type="spellStart"/>
      <w:r w:rsidRPr="00837564">
        <w:rPr>
          <w:rFonts w:ascii="Times New Roman" w:hAnsi="Times New Roman" w:cs="Times New Roman"/>
          <w:i/>
          <w:iCs/>
          <w:sz w:val="24"/>
          <w:szCs w:val="24"/>
        </w:rPr>
        <w:t>Majalah</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Kedokteran</w:t>
      </w:r>
      <w:proofErr w:type="spellEnd"/>
      <w:r w:rsidRPr="00837564">
        <w:rPr>
          <w:rFonts w:ascii="Times New Roman" w:hAnsi="Times New Roman" w:cs="Times New Roman"/>
          <w:i/>
          <w:iCs/>
          <w:sz w:val="24"/>
          <w:szCs w:val="24"/>
        </w:rPr>
        <w:t xml:space="preserve"> Gigi Indonesia</w:t>
      </w:r>
      <w:r w:rsidRPr="00837564">
        <w:rPr>
          <w:rFonts w:ascii="Times New Roman" w:hAnsi="Times New Roman" w:cs="Times New Roman"/>
          <w:sz w:val="24"/>
          <w:szCs w:val="24"/>
        </w:rPr>
        <w:t>. 2023;9(2):87-91.</w:t>
      </w:r>
    </w:p>
    <w:p w14:paraId="24D0807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Lee MH, Huang LM, Wong WW, et al. Molecular diagnosis and clinical presentations of enteroviral infections in Taipei during the 2008 epidemic. </w:t>
      </w:r>
      <w:r w:rsidRPr="00837564">
        <w:rPr>
          <w:rFonts w:ascii="Times New Roman" w:hAnsi="Times New Roman" w:cs="Times New Roman"/>
          <w:i/>
          <w:iCs/>
          <w:sz w:val="24"/>
          <w:szCs w:val="24"/>
        </w:rPr>
        <w:t xml:space="preserve">J </w:t>
      </w:r>
      <w:proofErr w:type="spellStart"/>
      <w:r w:rsidRPr="00837564">
        <w:rPr>
          <w:rFonts w:ascii="Times New Roman" w:hAnsi="Times New Roman" w:cs="Times New Roman"/>
          <w:i/>
          <w:iCs/>
          <w:sz w:val="24"/>
          <w:szCs w:val="24"/>
        </w:rPr>
        <w:t>Microbiol</w:t>
      </w:r>
      <w:proofErr w:type="spellEnd"/>
      <w:r w:rsidRPr="00837564">
        <w:rPr>
          <w:rFonts w:ascii="Times New Roman" w:hAnsi="Times New Roman" w:cs="Times New Roman"/>
          <w:i/>
          <w:iCs/>
          <w:sz w:val="24"/>
          <w:szCs w:val="24"/>
        </w:rPr>
        <w:t xml:space="preserve"> Immunol Infect</w:t>
      </w:r>
      <w:r w:rsidRPr="00837564">
        <w:rPr>
          <w:rFonts w:ascii="Times New Roman" w:hAnsi="Times New Roman" w:cs="Times New Roman"/>
          <w:sz w:val="24"/>
          <w:szCs w:val="24"/>
        </w:rPr>
        <w:t>. 2011;44(3):178-183.</w:t>
      </w:r>
    </w:p>
    <w:p w14:paraId="6DDC0706"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 W, Gao H, Zhang Q, et al. Large outbreak of herpangina in children caused by enterovirus in Hangzhou, China. </w:t>
      </w:r>
      <w:r w:rsidRPr="00837564">
        <w:rPr>
          <w:rFonts w:ascii="Times New Roman" w:hAnsi="Times New Roman" w:cs="Times New Roman"/>
          <w:i/>
          <w:iCs/>
          <w:sz w:val="24"/>
          <w:szCs w:val="24"/>
        </w:rPr>
        <w:t>Sci Rep</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2016;6:35388</w:t>
      </w:r>
      <w:proofErr w:type="gramEnd"/>
      <w:r w:rsidRPr="00837564">
        <w:rPr>
          <w:rFonts w:ascii="Times New Roman" w:hAnsi="Times New Roman" w:cs="Times New Roman"/>
          <w:sz w:val="24"/>
          <w:szCs w:val="24"/>
        </w:rPr>
        <w:t>.</w:t>
      </w:r>
    </w:p>
    <w:p w14:paraId="2D06762E"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Hosoya</w:t>
      </w:r>
      <w:proofErr w:type="spellEnd"/>
      <w:r w:rsidRPr="00837564">
        <w:rPr>
          <w:rFonts w:ascii="Times New Roman" w:hAnsi="Times New Roman" w:cs="Times New Roman"/>
          <w:sz w:val="24"/>
          <w:szCs w:val="24"/>
        </w:rPr>
        <w:t xml:space="preserve"> M. Enterovirus infection in children. </w:t>
      </w:r>
      <w:proofErr w:type="spellStart"/>
      <w:r w:rsidRPr="00837564">
        <w:rPr>
          <w:rFonts w:ascii="Times New Roman" w:hAnsi="Times New Roman" w:cs="Times New Roman"/>
          <w:i/>
          <w:iCs/>
          <w:sz w:val="24"/>
          <w:szCs w:val="24"/>
        </w:rPr>
        <w:t>Jpn</w:t>
      </w:r>
      <w:proofErr w:type="spellEnd"/>
      <w:r w:rsidRPr="00837564">
        <w:rPr>
          <w:rFonts w:ascii="Times New Roman" w:hAnsi="Times New Roman" w:cs="Times New Roman"/>
          <w:i/>
          <w:iCs/>
          <w:sz w:val="24"/>
          <w:szCs w:val="24"/>
        </w:rPr>
        <w:t xml:space="preserve"> J Infect </w:t>
      </w:r>
      <w:proofErr w:type="spellStart"/>
      <w:r w:rsidRPr="00837564">
        <w:rPr>
          <w:rFonts w:ascii="Times New Roman" w:hAnsi="Times New Roman" w:cs="Times New Roman"/>
          <w:i/>
          <w:iCs/>
          <w:sz w:val="24"/>
          <w:szCs w:val="24"/>
        </w:rPr>
        <w:t>Prev</w:t>
      </w:r>
      <w:proofErr w:type="spellEnd"/>
      <w:r w:rsidRPr="00837564">
        <w:rPr>
          <w:rFonts w:ascii="Times New Roman" w:hAnsi="Times New Roman" w:cs="Times New Roman"/>
          <w:i/>
          <w:iCs/>
          <w:sz w:val="24"/>
          <w:szCs w:val="24"/>
        </w:rPr>
        <w:t xml:space="preserve"> Control</w:t>
      </w:r>
      <w:r w:rsidRPr="00837564">
        <w:rPr>
          <w:rFonts w:ascii="Times New Roman" w:hAnsi="Times New Roman" w:cs="Times New Roman"/>
          <w:sz w:val="24"/>
          <w:szCs w:val="24"/>
        </w:rPr>
        <w:t>. 2017;32(6):344–350.</w:t>
      </w:r>
    </w:p>
    <w:p w14:paraId="6BF08612"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Chansaenroj</w:t>
      </w:r>
      <w:proofErr w:type="spellEnd"/>
      <w:r w:rsidRPr="00837564">
        <w:rPr>
          <w:rFonts w:ascii="Times New Roman" w:hAnsi="Times New Roman" w:cs="Times New Roman"/>
          <w:sz w:val="24"/>
          <w:szCs w:val="24"/>
        </w:rPr>
        <w:t xml:space="preserve"> J, </w:t>
      </w:r>
      <w:proofErr w:type="spellStart"/>
      <w:r w:rsidRPr="00837564">
        <w:rPr>
          <w:rFonts w:ascii="Times New Roman" w:hAnsi="Times New Roman" w:cs="Times New Roman"/>
          <w:sz w:val="24"/>
          <w:szCs w:val="24"/>
        </w:rPr>
        <w:t>Auphimai</w:t>
      </w:r>
      <w:proofErr w:type="spellEnd"/>
      <w:r w:rsidRPr="00837564">
        <w:rPr>
          <w:rFonts w:ascii="Times New Roman" w:hAnsi="Times New Roman" w:cs="Times New Roman"/>
          <w:sz w:val="24"/>
          <w:szCs w:val="24"/>
        </w:rPr>
        <w:t xml:space="preserve"> C, </w:t>
      </w:r>
      <w:proofErr w:type="spellStart"/>
      <w:r w:rsidRPr="00837564">
        <w:rPr>
          <w:rFonts w:ascii="Times New Roman" w:hAnsi="Times New Roman" w:cs="Times New Roman"/>
          <w:sz w:val="24"/>
          <w:szCs w:val="24"/>
        </w:rPr>
        <w:t>Puenpa</w:t>
      </w:r>
      <w:proofErr w:type="spellEnd"/>
      <w:r w:rsidRPr="00837564">
        <w:rPr>
          <w:rFonts w:ascii="Times New Roman" w:hAnsi="Times New Roman" w:cs="Times New Roman"/>
          <w:sz w:val="24"/>
          <w:szCs w:val="24"/>
        </w:rPr>
        <w:t xml:space="preserve"> J, et al. High prevalence of Coxsackievirus A2 in children with herpangina. </w:t>
      </w:r>
      <w:proofErr w:type="spellStart"/>
      <w:r w:rsidRPr="00837564">
        <w:rPr>
          <w:rFonts w:ascii="Times New Roman" w:hAnsi="Times New Roman" w:cs="Times New Roman"/>
          <w:i/>
          <w:iCs/>
          <w:sz w:val="24"/>
          <w:szCs w:val="24"/>
        </w:rPr>
        <w:t>Virusdisease</w:t>
      </w:r>
      <w:proofErr w:type="spellEnd"/>
      <w:r w:rsidRPr="00837564">
        <w:rPr>
          <w:rFonts w:ascii="Times New Roman" w:hAnsi="Times New Roman" w:cs="Times New Roman"/>
          <w:sz w:val="24"/>
          <w:szCs w:val="24"/>
        </w:rPr>
        <w:t>. 2017;28(1):111-114.</w:t>
      </w:r>
    </w:p>
    <w:p w14:paraId="055445B2"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Chen C. Clinical and epidemiological features of herpangina. </w:t>
      </w:r>
      <w:r w:rsidRPr="00837564">
        <w:rPr>
          <w:rFonts w:ascii="Times New Roman" w:hAnsi="Times New Roman" w:cs="Times New Roman"/>
          <w:i/>
          <w:iCs/>
          <w:sz w:val="24"/>
          <w:szCs w:val="24"/>
        </w:rPr>
        <w:t xml:space="preserve">Chin J </w:t>
      </w:r>
      <w:proofErr w:type="spellStart"/>
      <w:r w:rsidRPr="00837564">
        <w:rPr>
          <w:rFonts w:ascii="Times New Roman" w:hAnsi="Times New Roman" w:cs="Times New Roman"/>
          <w:i/>
          <w:iCs/>
          <w:sz w:val="24"/>
          <w:szCs w:val="24"/>
        </w:rPr>
        <w:t>Epidemiol</w:t>
      </w:r>
      <w:proofErr w:type="spellEnd"/>
      <w:r w:rsidRPr="00837564">
        <w:rPr>
          <w:rFonts w:ascii="Times New Roman" w:hAnsi="Times New Roman" w:cs="Times New Roman"/>
          <w:sz w:val="24"/>
          <w:szCs w:val="24"/>
        </w:rPr>
        <w:t>. 2016;37(4):515-518.</w:t>
      </w:r>
    </w:p>
    <w:p w14:paraId="0D027989"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 W, Li C, Liu L, et al. Molecular epidemiology of enterovirus from children with herpangina. </w:t>
      </w:r>
      <w:r w:rsidRPr="00837564">
        <w:rPr>
          <w:rFonts w:ascii="Times New Roman" w:hAnsi="Times New Roman" w:cs="Times New Roman"/>
          <w:i/>
          <w:iCs/>
          <w:sz w:val="24"/>
          <w:szCs w:val="24"/>
        </w:rPr>
        <w:t xml:space="preserve">Arch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2019;164(10):2565-2571.</w:t>
      </w:r>
    </w:p>
    <w:p w14:paraId="32FD354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Sun Y, Zhou J, </w:t>
      </w:r>
      <w:proofErr w:type="spellStart"/>
      <w:r w:rsidRPr="00837564">
        <w:rPr>
          <w:rFonts w:ascii="Times New Roman" w:hAnsi="Times New Roman" w:cs="Times New Roman"/>
          <w:sz w:val="24"/>
          <w:szCs w:val="24"/>
        </w:rPr>
        <w:t>Nie</w:t>
      </w:r>
      <w:proofErr w:type="spellEnd"/>
      <w:r w:rsidRPr="00837564">
        <w:rPr>
          <w:rFonts w:ascii="Times New Roman" w:hAnsi="Times New Roman" w:cs="Times New Roman"/>
          <w:sz w:val="24"/>
          <w:szCs w:val="24"/>
        </w:rPr>
        <w:t xml:space="preserve"> W, et al. Epidemiological characteristics of enterovirus among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patients. </w:t>
      </w:r>
      <w:r w:rsidRPr="00837564">
        <w:rPr>
          <w:rFonts w:ascii="Times New Roman" w:hAnsi="Times New Roman" w:cs="Times New Roman"/>
          <w:i/>
          <w:iCs/>
          <w:sz w:val="24"/>
          <w:szCs w:val="24"/>
        </w:rPr>
        <w:t xml:space="preserve">J Med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2024;96(2</w:t>
      </w:r>
      <w:proofErr w:type="gramStart"/>
      <w:r w:rsidRPr="00837564">
        <w:rPr>
          <w:rFonts w:ascii="Times New Roman" w:hAnsi="Times New Roman" w:cs="Times New Roman"/>
          <w:sz w:val="24"/>
          <w:szCs w:val="24"/>
        </w:rPr>
        <w:t>):e</w:t>
      </w:r>
      <w:proofErr w:type="gramEnd"/>
      <w:r w:rsidRPr="00837564">
        <w:rPr>
          <w:rFonts w:ascii="Times New Roman" w:hAnsi="Times New Roman" w:cs="Times New Roman"/>
          <w:sz w:val="24"/>
          <w:szCs w:val="24"/>
        </w:rPr>
        <w:t>29412.</w:t>
      </w:r>
    </w:p>
    <w:p w14:paraId="36F149E5"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Liu J, Chen Y, Hu P, et al. Caregivers as potential infection sources in herpangina outbreaks. </w:t>
      </w:r>
      <w:r w:rsidRPr="00837564">
        <w:rPr>
          <w:rFonts w:ascii="Times New Roman" w:hAnsi="Times New Roman" w:cs="Times New Roman"/>
          <w:i/>
          <w:iCs/>
          <w:sz w:val="24"/>
          <w:szCs w:val="24"/>
        </w:rPr>
        <w:t>Arch Public Health</w:t>
      </w:r>
      <w:r w:rsidRPr="00837564">
        <w:rPr>
          <w:rFonts w:ascii="Times New Roman" w:hAnsi="Times New Roman" w:cs="Times New Roman"/>
          <w:sz w:val="24"/>
          <w:szCs w:val="24"/>
        </w:rPr>
        <w:t>. 2021;79(1):1-8.</w:t>
      </w:r>
    </w:p>
    <w:p w14:paraId="61ACA803"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Kang H, Yoon J, Lee J, et al. Co-circulation of enterovirus A and B in Korea, 2012-2019. </w:t>
      </w:r>
      <w:r w:rsidRPr="00837564">
        <w:rPr>
          <w:rFonts w:ascii="Times New Roman" w:hAnsi="Times New Roman" w:cs="Times New Roman"/>
          <w:i/>
          <w:iCs/>
          <w:sz w:val="24"/>
          <w:szCs w:val="24"/>
        </w:rPr>
        <w:t xml:space="preserve">J </w:t>
      </w:r>
      <w:proofErr w:type="spellStart"/>
      <w:r w:rsidRPr="00837564">
        <w:rPr>
          <w:rFonts w:ascii="Times New Roman" w:hAnsi="Times New Roman" w:cs="Times New Roman"/>
          <w:i/>
          <w:iCs/>
          <w:sz w:val="24"/>
          <w:szCs w:val="24"/>
        </w:rPr>
        <w:t>Pediatric</w:t>
      </w:r>
      <w:proofErr w:type="spellEnd"/>
      <w:r w:rsidRPr="00837564">
        <w:rPr>
          <w:rFonts w:ascii="Times New Roman" w:hAnsi="Times New Roman" w:cs="Times New Roman"/>
          <w:i/>
          <w:iCs/>
          <w:sz w:val="24"/>
          <w:szCs w:val="24"/>
        </w:rPr>
        <w:t xml:space="preserve"> Infect Dis Soc</w:t>
      </w:r>
      <w:r w:rsidRPr="00837564">
        <w:rPr>
          <w:rFonts w:ascii="Times New Roman" w:hAnsi="Times New Roman" w:cs="Times New Roman"/>
          <w:sz w:val="24"/>
          <w:szCs w:val="24"/>
        </w:rPr>
        <w:t>. 2021;10(4):398-406.</w:t>
      </w:r>
    </w:p>
    <w:p w14:paraId="37B6626B"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Vallet</w:t>
      </w:r>
      <w:proofErr w:type="spellEnd"/>
      <w:r w:rsidRPr="00837564">
        <w:rPr>
          <w:rFonts w:ascii="Times New Roman" w:hAnsi="Times New Roman" w:cs="Times New Roman"/>
          <w:sz w:val="24"/>
          <w:szCs w:val="24"/>
        </w:rPr>
        <w:t xml:space="preserve"> S, </w:t>
      </w:r>
      <w:proofErr w:type="spellStart"/>
      <w:r w:rsidRPr="00837564">
        <w:rPr>
          <w:rFonts w:ascii="Times New Roman" w:hAnsi="Times New Roman" w:cs="Times New Roman"/>
          <w:sz w:val="24"/>
          <w:szCs w:val="24"/>
        </w:rPr>
        <w:t>Gagneur</w:t>
      </w:r>
      <w:proofErr w:type="spellEnd"/>
      <w:r w:rsidRPr="00837564">
        <w:rPr>
          <w:rFonts w:ascii="Times New Roman" w:hAnsi="Times New Roman" w:cs="Times New Roman"/>
          <w:sz w:val="24"/>
          <w:szCs w:val="24"/>
        </w:rPr>
        <w:t xml:space="preserve"> A, Legrand MC, et al. Enteroviral infection mimicking primary herpetic stomatitis. </w:t>
      </w:r>
      <w:r w:rsidRPr="00837564">
        <w:rPr>
          <w:rFonts w:ascii="Times New Roman" w:hAnsi="Times New Roman" w:cs="Times New Roman"/>
          <w:i/>
          <w:iCs/>
          <w:sz w:val="24"/>
          <w:szCs w:val="24"/>
        </w:rPr>
        <w:t xml:space="preserve">Eur J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sz w:val="24"/>
          <w:szCs w:val="24"/>
        </w:rPr>
        <w:t>. 2005;164(5):289-291.</w:t>
      </w:r>
    </w:p>
    <w:p w14:paraId="6AEA68DA"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Hong C.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oral medicine. In: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Dentistry. Wiley; 2023.</w:t>
      </w:r>
    </w:p>
    <w:p w14:paraId="3DC5661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Brzeziński</w:t>
      </w:r>
      <w:proofErr w:type="spellEnd"/>
      <w:r w:rsidRPr="00837564">
        <w:rPr>
          <w:rFonts w:ascii="Times New Roman" w:hAnsi="Times New Roman" w:cs="Times New Roman"/>
          <w:sz w:val="24"/>
          <w:szCs w:val="24"/>
        </w:rPr>
        <w:t xml:space="preserve"> P. Herpangina and erythema multiforme in a three-year-old boy. </w:t>
      </w:r>
      <w:proofErr w:type="spellStart"/>
      <w:r w:rsidRPr="00837564">
        <w:rPr>
          <w:rFonts w:ascii="Times New Roman" w:hAnsi="Times New Roman" w:cs="Times New Roman"/>
          <w:i/>
          <w:iCs/>
          <w:sz w:val="24"/>
          <w:szCs w:val="24"/>
        </w:rPr>
        <w:t>Przegl</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Lek</w:t>
      </w:r>
      <w:proofErr w:type="spellEnd"/>
      <w:r w:rsidRPr="00837564">
        <w:rPr>
          <w:rFonts w:ascii="Times New Roman" w:hAnsi="Times New Roman" w:cs="Times New Roman"/>
          <w:sz w:val="24"/>
          <w:szCs w:val="24"/>
        </w:rPr>
        <w:t>. 2013;70(11):953-954.</w:t>
      </w:r>
    </w:p>
    <w:p w14:paraId="58E938D2"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lastRenderedPageBreak/>
        <w:t xml:space="preserve">Zhang M, Zou Y, Cui Y, et al. Molecular epidemiology of herpangina. </w:t>
      </w:r>
      <w:r w:rsidRPr="00837564">
        <w:rPr>
          <w:rFonts w:ascii="Times New Roman" w:hAnsi="Times New Roman" w:cs="Times New Roman"/>
          <w:i/>
          <w:iCs/>
          <w:sz w:val="24"/>
          <w:szCs w:val="24"/>
        </w:rPr>
        <w:t xml:space="preserve">Arch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2024;169(12):1-10.</w:t>
      </w:r>
    </w:p>
    <w:p w14:paraId="0635B54C"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Yarush</w:t>
      </w:r>
      <w:proofErr w:type="spellEnd"/>
      <w:r w:rsidRPr="00837564">
        <w:rPr>
          <w:rFonts w:ascii="Times New Roman" w:hAnsi="Times New Roman" w:cs="Times New Roman"/>
          <w:sz w:val="24"/>
          <w:szCs w:val="24"/>
        </w:rPr>
        <w:t xml:space="preserve"> LI, Steele RW. Diagnosis and prospective treatment of enteroviral infections. </w:t>
      </w:r>
      <w:r w:rsidRPr="00837564">
        <w:rPr>
          <w:rFonts w:ascii="Times New Roman" w:hAnsi="Times New Roman" w:cs="Times New Roman"/>
          <w:i/>
          <w:iCs/>
          <w:sz w:val="24"/>
          <w:szCs w:val="24"/>
        </w:rPr>
        <w:t xml:space="preserve">Clin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sz w:val="24"/>
          <w:szCs w:val="24"/>
        </w:rPr>
        <w:t>. 2000;39(4):201-211.</w:t>
      </w:r>
    </w:p>
    <w:p w14:paraId="5578D264"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Clinical features of gingivostomatitis due to primary herpes simplex virus infection in children. </w:t>
      </w:r>
      <w:r w:rsidRPr="00837564">
        <w:rPr>
          <w:rFonts w:ascii="Times New Roman" w:hAnsi="Times New Roman" w:cs="Times New Roman"/>
          <w:i/>
          <w:iCs/>
          <w:sz w:val="24"/>
          <w:szCs w:val="24"/>
        </w:rPr>
        <w:t>BMC Infect Dis</w:t>
      </w:r>
      <w:r w:rsidRPr="00837564">
        <w:rPr>
          <w:rFonts w:ascii="Times New Roman" w:hAnsi="Times New Roman" w:cs="Times New Roman"/>
          <w:sz w:val="24"/>
          <w:szCs w:val="24"/>
        </w:rPr>
        <w:t>. 2020;20(1):1-9.</w:t>
      </w:r>
    </w:p>
    <w:p w14:paraId="172C1F7F"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Barankin</w:t>
      </w:r>
      <w:proofErr w:type="spellEnd"/>
      <w:r w:rsidRPr="00837564">
        <w:rPr>
          <w:rFonts w:ascii="Times New Roman" w:hAnsi="Times New Roman" w:cs="Times New Roman"/>
          <w:sz w:val="24"/>
          <w:szCs w:val="24"/>
        </w:rPr>
        <w:t xml:space="preserve"> B. Hand, foot, and mouth disease: a narrative review. </w:t>
      </w:r>
      <w:r w:rsidRPr="00837564">
        <w:rPr>
          <w:rFonts w:ascii="Times New Roman" w:hAnsi="Times New Roman" w:cs="Times New Roman"/>
          <w:i/>
          <w:iCs/>
          <w:sz w:val="24"/>
          <w:szCs w:val="24"/>
        </w:rPr>
        <w:t xml:space="preserve">Recent Adv </w:t>
      </w:r>
      <w:proofErr w:type="spellStart"/>
      <w:r w:rsidRPr="00837564">
        <w:rPr>
          <w:rFonts w:ascii="Times New Roman" w:hAnsi="Times New Roman" w:cs="Times New Roman"/>
          <w:i/>
          <w:iCs/>
          <w:sz w:val="24"/>
          <w:szCs w:val="24"/>
        </w:rPr>
        <w:t>Inflamm</w:t>
      </w:r>
      <w:proofErr w:type="spellEnd"/>
      <w:r w:rsidRPr="00837564">
        <w:rPr>
          <w:rFonts w:ascii="Times New Roman" w:hAnsi="Times New Roman" w:cs="Times New Roman"/>
          <w:i/>
          <w:iCs/>
          <w:sz w:val="24"/>
          <w:szCs w:val="24"/>
        </w:rPr>
        <w:t xml:space="preserve"> Allergy Drug </w:t>
      </w:r>
      <w:proofErr w:type="spellStart"/>
      <w:r w:rsidRPr="00837564">
        <w:rPr>
          <w:rFonts w:ascii="Times New Roman" w:hAnsi="Times New Roman" w:cs="Times New Roman"/>
          <w:i/>
          <w:iCs/>
          <w:sz w:val="24"/>
          <w:szCs w:val="24"/>
        </w:rPr>
        <w:t>Discov</w:t>
      </w:r>
      <w:proofErr w:type="spellEnd"/>
      <w:r w:rsidRPr="00837564">
        <w:rPr>
          <w:rFonts w:ascii="Times New Roman" w:hAnsi="Times New Roman" w:cs="Times New Roman"/>
          <w:sz w:val="24"/>
          <w:szCs w:val="24"/>
        </w:rPr>
        <w:t>. 2022;16(2):77-95.</w:t>
      </w:r>
    </w:p>
    <w:p w14:paraId="2CEDA29E"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Standard treatment guidelines for herpangina. </w:t>
      </w:r>
      <w:r w:rsidRPr="00837564">
        <w:rPr>
          <w:rFonts w:ascii="Times New Roman" w:hAnsi="Times New Roman" w:cs="Times New Roman"/>
          <w:i/>
          <w:iCs/>
          <w:sz w:val="24"/>
          <w:szCs w:val="24"/>
        </w:rPr>
        <w:t>Medical Guidelines</w:t>
      </w:r>
      <w:r w:rsidRPr="00837564">
        <w:rPr>
          <w:rFonts w:ascii="Times New Roman" w:hAnsi="Times New Roman" w:cs="Times New Roman"/>
          <w:sz w:val="24"/>
          <w:szCs w:val="24"/>
        </w:rPr>
        <w:t>. 2023;15(3):45-52.</w:t>
      </w:r>
    </w:p>
    <w:p w14:paraId="33844C7C"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Femilian</w:t>
      </w:r>
      <w:proofErr w:type="spellEnd"/>
      <w:r w:rsidRPr="00837564">
        <w:rPr>
          <w:rFonts w:ascii="Times New Roman" w:hAnsi="Times New Roman" w:cs="Times New Roman"/>
          <w:sz w:val="24"/>
          <w:szCs w:val="24"/>
        </w:rPr>
        <w:t xml:space="preserve"> A, </w:t>
      </w:r>
      <w:proofErr w:type="spellStart"/>
      <w:r w:rsidRPr="00837564">
        <w:rPr>
          <w:rFonts w:ascii="Times New Roman" w:hAnsi="Times New Roman" w:cs="Times New Roman"/>
          <w:sz w:val="24"/>
          <w:szCs w:val="24"/>
        </w:rPr>
        <w:t>Pramono</w:t>
      </w:r>
      <w:proofErr w:type="spellEnd"/>
      <w:r w:rsidRPr="00837564">
        <w:rPr>
          <w:rFonts w:ascii="Times New Roman" w:hAnsi="Times New Roman" w:cs="Times New Roman"/>
          <w:sz w:val="24"/>
          <w:szCs w:val="24"/>
        </w:rPr>
        <w:t xml:space="preserve"> AA. Hyaluronic acid spray in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oral lesions. </w:t>
      </w:r>
      <w:proofErr w:type="spellStart"/>
      <w:r w:rsidRPr="00837564">
        <w:rPr>
          <w:rFonts w:ascii="Times New Roman" w:hAnsi="Times New Roman" w:cs="Times New Roman"/>
          <w:i/>
          <w:iCs/>
          <w:sz w:val="24"/>
          <w:szCs w:val="24"/>
        </w:rPr>
        <w:t>Imunity</w:t>
      </w:r>
      <w:proofErr w:type="spellEnd"/>
      <w:r w:rsidRPr="00837564">
        <w:rPr>
          <w:rFonts w:ascii="Times New Roman" w:hAnsi="Times New Roman" w:cs="Times New Roman"/>
          <w:sz w:val="24"/>
          <w:szCs w:val="24"/>
        </w:rPr>
        <w:t>. 2024;1(1):31-36.</w:t>
      </w:r>
    </w:p>
    <w:p w14:paraId="7576F6A7"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Ye YZ, Dou YL, Hao JH, et al. Efficacy and safety of interferon α-2b spray for herpangina in children. </w:t>
      </w:r>
      <w:r w:rsidRPr="00837564">
        <w:rPr>
          <w:rFonts w:ascii="Times New Roman" w:hAnsi="Times New Roman" w:cs="Times New Roman"/>
          <w:i/>
          <w:iCs/>
          <w:sz w:val="24"/>
          <w:szCs w:val="24"/>
        </w:rPr>
        <w:t>Int J Infect Dis</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2021;107:62</w:t>
      </w:r>
      <w:proofErr w:type="gramEnd"/>
      <w:r w:rsidRPr="00837564">
        <w:rPr>
          <w:rFonts w:ascii="Times New Roman" w:hAnsi="Times New Roman" w:cs="Times New Roman"/>
          <w:sz w:val="24"/>
          <w:szCs w:val="24"/>
        </w:rPr>
        <w:t>-68.</w:t>
      </w:r>
    </w:p>
    <w:p w14:paraId="6FE15B0D"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Liu J, Hu P, Chen X, et al. Nutritional support and vitamin supplementation in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viral infections. </w:t>
      </w:r>
      <w:r w:rsidRPr="00837564">
        <w:rPr>
          <w:rFonts w:ascii="Times New Roman" w:hAnsi="Times New Roman" w:cs="Times New Roman"/>
          <w:i/>
          <w:iCs/>
          <w:sz w:val="24"/>
          <w:szCs w:val="24"/>
        </w:rPr>
        <w:t>Arch Public Health</w:t>
      </w:r>
      <w:r w:rsidRPr="00837564">
        <w:rPr>
          <w:rFonts w:ascii="Times New Roman" w:hAnsi="Times New Roman" w:cs="Times New Roman"/>
          <w:sz w:val="24"/>
          <w:szCs w:val="24"/>
        </w:rPr>
        <w:t>. 2022;80(1):1-6.</w:t>
      </w:r>
    </w:p>
    <w:p w14:paraId="336F01A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Wu Y. Pathogens and clinical analysis of herpangina during outbreaks. </w:t>
      </w:r>
      <w:r w:rsidRPr="00837564">
        <w:rPr>
          <w:rFonts w:ascii="Times New Roman" w:hAnsi="Times New Roman" w:cs="Times New Roman"/>
          <w:i/>
          <w:iCs/>
          <w:sz w:val="24"/>
          <w:szCs w:val="24"/>
        </w:rPr>
        <w:t xml:space="preserve">Chin J </w:t>
      </w:r>
      <w:proofErr w:type="spellStart"/>
      <w:r w:rsidRPr="00837564">
        <w:rPr>
          <w:rFonts w:ascii="Times New Roman" w:hAnsi="Times New Roman" w:cs="Times New Roman"/>
          <w:i/>
          <w:iCs/>
          <w:sz w:val="24"/>
          <w:szCs w:val="24"/>
        </w:rPr>
        <w:t>Contemp</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sz w:val="24"/>
          <w:szCs w:val="24"/>
        </w:rPr>
        <w:t>. 2013;15(5):361-364.</w:t>
      </w:r>
    </w:p>
    <w:p w14:paraId="449E335D"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Onofrei</w:t>
      </w:r>
      <w:proofErr w:type="spellEnd"/>
      <w:r w:rsidRPr="00837564">
        <w:rPr>
          <w:rFonts w:ascii="Times New Roman" w:hAnsi="Times New Roman" w:cs="Times New Roman"/>
          <w:sz w:val="24"/>
          <w:szCs w:val="24"/>
        </w:rPr>
        <w:t xml:space="preserve"> BA, </w:t>
      </w:r>
      <w:proofErr w:type="spellStart"/>
      <w:r w:rsidRPr="00837564">
        <w:rPr>
          <w:rFonts w:ascii="Times New Roman" w:hAnsi="Times New Roman" w:cs="Times New Roman"/>
          <w:sz w:val="24"/>
          <w:szCs w:val="24"/>
        </w:rPr>
        <w:t>Concita</w:t>
      </w:r>
      <w:proofErr w:type="spellEnd"/>
      <w:r w:rsidRPr="00837564">
        <w:rPr>
          <w:rFonts w:ascii="Times New Roman" w:hAnsi="Times New Roman" w:cs="Times New Roman"/>
          <w:sz w:val="24"/>
          <w:szCs w:val="24"/>
        </w:rPr>
        <w:t xml:space="preserve"> CA, </w:t>
      </w:r>
      <w:proofErr w:type="spellStart"/>
      <w:r w:rsidRPr="00837564">
        <w:rPr>
          <w:rFonts w:ascii="Times New Roman" w:hAnsi="Times New Roman" w:cs="Times New Roman"/>
          <w:sz w:val="24"/>
          <w:szCs w:val="24"/>
        </w:rPr>
        <w:t>Toader</w:t>
      </w:r>
      <w:proofErr w:type="spellEnd"/>
      <w:r w:rsidRPr="00837564">
        <w:rPr>
          <w:rFonts w:ascii="Times New Roman" w:hAnsi="Times New Roman" w:cs="Times New Roman"/>
          <w:sz w:val="24"/>
          <w:szCs w:val="24"/>
        </w:rPr>
        <w:t xml:space="preserve"> MP. Oral manifestations in common </w:t>
      </w:r>
      <w:proofErr w:type="spellStart"/>
      <w:r w:rsidRPr="00837564">
        <w:rPr>
          <w:rFonts w:ascii="Times New Roman" w:hAnsi="Times New Roman" w:cs="Times New Roman"/>
          <w:sz w:val="24"/>
          <w:szCs w:val="24"/>
        </w:rPr>
        <w:t>pediatric</w:t>
      </w:r>
      <w:proofErr w:type="spellEnd"/>
      <w:r w:rsidRPr="00837564">
        <w:rPr>
          <w:rFonts w:ascii="Times New Roman" w:hAnsi="Times New Roman" w:cs="Times New Roman"/>
          <w:sz w:val="24"/>
          <w:szCs w:val="24"/>
        </w:rPr>
        <w:t xml:space="preserve"> infections. </w:t>
      </w:r>
      <w:r w:rsidRPr="00837564">
        <w:rPr>
          <w:rFonts w:ascii="Times New Roman" w:hAnsi="Times New Roman" w:cs="Times New Roman"/>
          <w:i/>
          <w:iCs/>
          <w:sz w:val="24"/>
          <w:szCs w:val="24"/>
        </w:rPr>
        <w:t xml:space="preserve">Rom J Oral </w:t>
      </w:r>
      <w:proofErr w:type="spellStart"/>
      <w:r w:rsidRPr="00837564">
        <w:rPr>
          <w:rFonts w:ascii="Times New Roman" w:hAnsi="Times New Roman" w:cs="Times New Roman"/>
          <w:i/>
          <w:iCs/>
          <w:sz w:val="24"/>
          <w:szCs w:val="24"/>
        </w:rPr>
        <w:t>Rehabil</w:t>
      </w:r>
      <w:proofErr w:type="spellEnd"/>
      <w:r w:rsidRPr="00837564">
        <w:rPr>
          <w:rFonts w:ascii="Times New Roman" w:hAnsi="Times New Roman" w:cs="Times New Roman"/>
          <w:sz w:val="24"/>
          <w:szCs w:val="24"/>
        </w:rPr>
        <w:t>. 2023;15(2):45-52.</w:t>
      </w:r>
    </w:p>
    <w:p w14:paraId="04254145"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Botvineva</w:t>
      </w:r>
      <w:proofErr w:type="spellEnd"/>
      <w:r w:rsidRPr="00837564">
        <w:rPr>
          <w:rFonts w:ascii="Times New Roman" w:hAnsi="Times New Roman" w:cs="Times New Roman"/>
          <w:sz w:val="24"/>
          <w:szCs w:val="24"/>
        </w:rPr>
        <w:t xml:space="preserve"> VV, </w:t>
      </w:r>
      <w:proofErr w:type="spellStart"/>
      <w:r w:rsidRPr="00837564">
        <w:rPr>
          <w:rFonts w:ascii="Times New Roman" w:hAnsi="Times New Roman" w:cs="Times New Roman"/>
          <w:sz w:val="24"/>
          <w:szCs w:val="24"/>
        </w:rPr>
        <w:t>Namazova</w:t>
      </w:r>
      <w:proofErr w:type="spellEnd"/>
      <w:r w:rsidRPr="00837564">
        <w:rPr>
          <w:rFonts w:ascii="Times New Roman" w:hAnsi="Times New Roman" w:cs="Times New Roman"/>
          <w:sz w:val="24"/>
          <w:szCs w:val="24"/>
        </w:rPr>
        <w:t xml:space="preserve">-Baranova LS, et al. Diagnosis and management of enteroviral infections in children. </w:t>
      </w:r>
      <w:proofErr w:type="spellStart"/>
      <w:r w:rsidRPr="00837564">
        <w:rPr>
          <w:rFonts w:ascii="Times New Roman" w:hAnsi="Times New Roman" w:cs="Times New Roman"/>
          <w:i/>
          <w:iCs/>
          <w:sz w:val="24"/>
          <w:szCs w:val="24"/>
        </w:rPr>
        <w:t>Pediatr</w:t>
      </w:r>
      <w:proofErr w:type="spellEnd"/>
      <w:r w:rsidRPr="00837564">
        <w:rPr>
          <w:rFonts w:ascii="Times New Roman" w:hAnsi="Times New Roman" w:cs="Times New Roman"/>
          <w:i/>
          <w:iCs/>
          <w:sz w:val="24"/>
          <w:szCs w:val="24"/>
        </w:rPr>
        <w:t xml:space="preserve"> </w:t>
      </w:r>
      <w:proofErr w:type="spellStart"/>
      <w:r w:rsidRPr="00837564">
        <w:rPr>
          <w:rFonts w:ascii="Times New Roman" w:hAnsi="Times New Roman" w:cs="Times New Roman"/>
          <w:i/>
          <w:iCs/>
          <w:sz w:val="24"/>
          <w:szCs w:val="24"/>
        </w:rPr>
        <w:t>Pharmacol</w:t>
      </w:r>
      <w:proofErr w:type="spellEnd"/>
      <w:r w:rsidRPr="00837564">
        <w:rPr>
          <w:rFonts w:ascii="Times New Roman" w:hAnsi="Times New Roman" w:cs="Times New Roman"/>
          <w:sz w:val="24"/>
          <w:szCs w:val="24"/>
        </w:rPr>
        <w:t>. 2012;9(3):69-74.</w:t>
      </w:r>
    </w:p>
    <w:p w14:paraId="2445965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Hsiao KN, Wang YF, Lin CW, et al. Severe EV-A71 pathogenesis in human </w:t>
      </w:r>
      <w:proofErr w:type="spellStart"/>
      <w:r w:rsidRPr="00837564">
        <w:rPr>
          <w:rFonts w:ascii="Times New Roman" w:hAnsi="Times New Roman" w:cs="Times New Roman"/>
          <w:sz w:val="24"/>
          <w:szCs w:val="24"/>
        </w:rPr>
        <w:t>nucleolin</w:t>
      </w:r>
      <w:proofErr w:type="spellEnd"/>
      <w:r w:rsidRPr="00837564">
        <w:rPr>
          <w:rFonts w:ascii="Times New Roman" w:hAnsi="Times New Roman" w:cs="Times New Roman"/>
          <w:sz w:val="24"/>
          <w:szCs w:val="24"/>
        </w:rPr>
        <w:t xml:space="preserve"> transgenic mice. </w:t>
      </w:r>
      <w:r w:rsidRPr="00837564">
        <w:rPr>
          <w:rFonts w:ascii="Times New Roman" w:hAnsi="Times New Roman" w:cs="Times New Roman"/>
          <w:i/>
          <w:iCs/>
          <w:sz w:val="24"/>
          <w:szCs w:val="24"/>
        </w:rPr>
        <w:t xml:space="preserve">Med </w:t>
      </w:r>
      <w:proofErr w:type="spellStart"/>
      <w:r w:rsidRPr="00837564">
        <w:rPr>
          <w:rFonts w:ascii="Times New Roman" w:hAnsi="Times New Roman" w:cs="Times New Roman"/>
          <w:i/>
          <w:iCs/>
          <w:sz w:val="24"/>
          <w:szCs w:val="24"/>
        </w:rPr>
        <w:t>Microbiol</w:t>
      </w:r>
      <w:proofErr w:type="spellEnd"/>
      <w:r w:rsidRPr="00837564">
        <w:rPr>
          <w:rFonts w:ascii="Times New Roman" w:hAnsi="Times New Roman" w:cs="Times New Roman"/>
          <w:i/>
          <w:iCs/>
          <w:sz w:val="24"/>
          <w:szCs w:val="24"/>
        </w:rPr>
        <w:t xml:space="preserve"> Immunol</w:t>
      </w:r>
      <w:r w:rsidRPr="00837564">
        <w:rPr>
          <w:rFonts w:ascii="Times New Roman" w:hAnsi="Times New Roman" w:cs="Times New Roman"/>
          <w:sz w:val="24"/>
          <w:szCs w:val="24"/>
        </w:rPr>
        <w:t>. 2025;214(1):1-15.</w:t>
      </w:r>
    </w:p>
    <w:p w14:paraId="1CA42EEA"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proofErr w:type="spellStart"/>
      <w:r w:rsidRPr="00837564">
        <w:rPr>
          <w:rFonts w:ascii="Times New Roman" w:hAnsi="Times New Roman" w:cs="Times New Roman"/>
          <w:sz w:val="24"/>
          <w:szCs w:val="24"/>
        </w:rPr>
        <w:t>Wanlapakorn</w:t>
      </w:r>
      <w:proofErr w:type="spellEnd"/>
      <w:r w:rsidRPr="00837564">
        <w:rPr>
          <w:rFonts w:ascii="Times New Roman" w:hAnsi="Times New Roman" w:cs="Times New Roman"/>
          <w:sz w:val="24"/>
          <w:szCs w:val="24"/>
        </w:rPr>
        <w:t xml:space="preserve"> N. Coxsackievirus A6 infection and prevention strategies. </w:t>
      </w:r>
      <w:r w:rsidRPr="00837564">
        <w:rPr>
          <w:rFonts w:ascii="Times New Roman" w:hAnsi="Times New Roman" w:cs="Times New Roman"/>
          <w:i/>
          <w:iCs/>
          <w:sz w:val="24"/>
          <w:szCs w:val="24"/>
        </w:rPr>
        <w:t>Pathogens</w:t>
      </w:r>
      <w:r w:rsidRPr="00837564">
        <w:rPr>
          <w:rFonts w:ascii="Times New Roman" w:hAnsi="Times New Roman" w:cs="Times New Roman"/>
          <w:sz w:val="24"/>
          <w:szCs w:val="24"/>
        </w:rPr>
        <w:t>. 2024;13(4):98.</w:t>
      </w:r>
    </w:p>
    <w:p w14:paraId="61A89528"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Chen Y, Sun W, Gu L, et al. Intervention strategies during enterovirus outbreaks. </w:t>
      </w:r>
      <w:r w:rsidRPr="00837564">
        <w:rPr>
          <w:rFonts w:ascii="Times New Roman" w:hAnsi="Times New Roman" w:cs="Times New Roman"/>
          <w:i/>
          <w:iCs/>
          <w:sz w:val="24"/>
          <w:szCs w:val="24"/>
        </w:rPr>
        <w:t>Front Public Health</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2025;13:1559637</w:t>
      </w:r>
      <w:proofErr w:type="gramEnd"/>
      <w:r w:rsidRPr="00837564">
        <w:rPr>
          <w:rFonts w:ascii="Times New Roman" w:hAnsi="Times New Roman" w:cs="Times New Roman"/>
          <w:sz w:val="24"/>
          <w:szCs w:val="24"/>
        </w:rPr>
        <w:t>.</w:t>
      </w:r>
    </w:p>
    <w:p w14:paraId="1B6F0AAE"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Jiang M, Zhang R, Rao L, et al. Epidemiological characteristics of enterovirus infection before and after EV-A71 vaccine introduction. </w:t>
      </w:r>
      <w:proofErr w:type="spellStart"/>
      <w:r w:rsidRPr="00837564">
        <w:rPr>
          <w:rFonts w:ascii="Times New Roman" w:hAnsi="Times New Roman" w:cs="Times New Roman"/>
          <w:i/>
          <w:iCs/>
          <w:sz w:val="24"/>
          <w:szCs w:val="24"/>
        </w:rPr>
        <w:t>Emerg</w:t>
      </w:r>
      <w:proofErr w:type="spellEnd"/>
      <w:r w:rsidRPr="00837564">
        <w:rPr>
          <w:rFonts w:ascii="Times New Roman" w:hAnsi="Times New Roman" w:cs="Times New Roman"/>
          <w:i/>
          <w:iCs/>
          <w:sz w:val="24"/>
          <w:szCs w:val="24"/>
        </w:rPr>
        <w:t xml:space="preserve"> Microbes Infect</w:t>
      </w:r>
      <w:r w:rsidRPr="00837564">
        <w:rPr>
          <w:rFonts w:ascii="Times New Roman" w:hAnsi="Times New Roman" w:cs="Times New Roman"/>
          <w:sz w:val="24"/>
          <w:szCs w:val="24"/>
        </w:rPr>
        <w:t>. 2021;10(1):619-628.</w:t>
      </w:r>
    </w:p>
    <w:p w14:paraId="0DF98550"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Zhang H, Cheng J, Li Y, et al. Enterovirus genotype distribution. </w:t>
      </w:r>
      <w:r w:rsidRPr="00837564">
        <w:rPr>
          <w:rFonts w:ascii="Times New Roman" w:hAnsi="Times New Roman" w:cs="Times New Roman"/>
          <w:i/>
          <w:iCs/>
          <w:sz w:val="24"/>
          <w:szCs w:val="24"/>
        </w:rPr>
        <w:t xml:space="preserve">J Clin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2020;131:104582</w:t>
      </w:r>
      <w:proofErr w:type="gramEnd"/>
      <w:r w:rsidRPr="00837564">
        <w:rPr>
          <w:rFonts w:ascii="Times New Roman" w:hAnsi="Times New Roman" w:cs="Times New Roman"/>
          <w:sz w:val="24"/>
          <w:szCs w:val="24"/>
        </w:rPr>
        <w:t>.</w:t>
      </w:r>
    </w:p>
    <w:p w14:paraId="387C0835"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Jia X, Yin L, Cheng Y, et al. Multiplex one-step RT-PCR diagnostics. </w:t>
      </w:r>
      <w:r w:rsidRPr="00837564">
        <w:rPr>
          <w:rFonts w:ascii="Times New Roman" w:hAnsi="Times New Roman" w:cs="Times New Roman"/>
          <w:i/>
          <w:iCs/>
          <w:sz w:val="24"/>
          <w:szCs w:val="24"/>
        </w:rPr>
        <w:t xml:space="preserve">J </w:t>
      </w:r>
      <w:proofErr w:type="spellStart"/>
      <w:r w:rsidRPr="00837564">
        <w:rPr>
          <w:rFonts w:ascii="Times New Roman" w:hAnsi="Times New Roman" w:cs="Times New Roman"/>
          <w:i/>
          <w:iCs/>
          <w:sz w:val="24"/>
          <w:szCs w:val="24"/>
        </w:rPr>
        <w:t>Virol</w:t>
      </w:r>
      <w:proofErr w:type="spellEnd"/>
      <w:r w:rsidRPr="00837564">
        <w:rPr>
          <w:rFonts w:ascii="Times New Roman" w:hAnsi="Times New Roman" w:cs="Times New Roman"/>
          <w:i/>
          <w:iCs/>
          <w:sz w:val="24"/>
          <w:szCs w:val="24"/>
        </w:rPr>
        <w:t xml:space="preserve"> Methods</w:t>
      </w:r>
      <w:r w:rsidRPr="00837564">
        <w:rPr>
          <w:rFonts w:ascii="Times New Roman" w:hAnsi="Times New Roman" w:cs="Times New Roman"/>
          <w:sz w:val="24"/>
          <w:szCs w:val="24"/>
        </w:rPr>
        <w:t xml:space="preserve">. </w:t>
      </w:r>
      <w:proofErr w:type="gramStart"/>
      <w:r w:rsidRPr="00837564">
        <w:rPr>
          <w:rFonts w:ascii="Times New Roman" w:hAnsi="Times New Roman" w:cs="Times New Roman"/>
          <w:sz w:val="24"/>
          <w:szCs w:val="24"/>
        </w:rPr>
        <w:t>2024;329:114983</w:t>
      </w:r>
      <w:proofErr w:type="gramEnd"/>
      <w:r w:rsidRPr="00837564">
        <w:rPr>
          <w:rFonts w:ascii="Times New Roman" w:hAnsi="Times New Roman" w:cs="Times New Roman"/>
          <w:sz w:val="24"/>
          <w:szCs w:val="24"/>
        </w:rPr>
        <w:t>.</w:t>
      </w:r>
    </w:p>
    <w:p w14:paraId="0953B14C" w14:textId="77777777" w:rsidR="00837564" w:rsidRPr="00837564" w:rsidRDefault="00837564" w:rsidP="00837564">
      <w:pPr>
        <w:numPr>
          <w:ilvl w:val="0"/>
          <w:numId w:val="11"/>
        </w:numPr>
        <w:tabs>
          <w:tab w:val="clear" w:pos="360"/>
          <w:tab w:val="num" w:pos="720"/>
        </w:tabs>
        <w:jc w:val="both"/>
        <w:rPr>
          <w:rFonts w:ascii="Times New Roman" w:hAnsi="Times New Roman" w:cs="Times New Roman"/>
          <w:sz w:val="24"/>
          <w:szCs w:val="24"/>
        </w:rPr>
      </w:pPr>
      <w:r w:rsidRPr="00837564">
        <w:rPr>
          <w:rFonts w:ascii="Times New Roman" w:hAnsi="Times New Roman" w:cs="Times New Roman"/>
          <w:sz w:val="24"/>
          <w:szCs w:val="24"/>
        </w:rPr>
        <w:t xml:space="preserve">Lin YW, Kung YA, Shih SR. Antivirals and vaccines for Enterovirus A71. </w:t>
      </w:r>
      <w:r w:rsidRPr="00837564">
        <w:rPr>
          <w:rFonts w:ascii="Times New Roman" w:hAnsi="Times New Roman" w:cs="Times New Roman"/>
          <w:i/>
          <w:iCs/>
          <w:sz w:val="24"/>
          <w:szCs w:val="24"/>
        </w:rPr>
        <w:t>J Biomed Sci</w:t>
      </w:r>
      <w:r w:rsidRPr="00837564">
        <w:rPr>
          <w:rFonts w:ascii="Times New Roman" w:hAnsi="Times New Roman" w:cs="Times New Roman"/>
          <w:sz w:val="24"/>
          <w:szCs w:val="24"/>
        </w:rPr>
        <w:t>. 2019;26(1):1-15.</w:t>
      </w:r>
    </w:p>
    <w:p w14:paraId="256F79D5" w14:textId="2F817FA3" w:rsidR="00BC47F8" w:rsidRDefault="00BC47F8" w:rsidP="00BC47F8">
      <w:pPr>
        <w:jc w:val="both"/>
        <w:rPr>
          <w:rFonts w:ascii="Times New Roman" w:hAnsi="Times New Roman" w:cs="Times New Roman"/>
          <w:b/>
          <w:bCs/>
          <w:sz w:val="24"/>
          <w:szCs w:val="24"/>
        </w:rPr>
      </w:pPr>
    </w:p>
    <w:p w14:paraId="4022F9C0" w14:textId="77777777" w:rsidR="005B7E4B" w:rsidRDefault="005B7E4B" w:rsidP="00BC47F8">
      <w:pPr>
        <w:jc w:val="both"/>
        <w:rPr>
          <w:rFonts w:ascii="Times New Roman" w:hAnsi="Times New Roman" w:cs="Times New Roman"/>
          <w:b/>
          <w:bCs/>
          <w:sz w:val="24"/>
          <w:szCs w:val="24"/>
        </w:rPr>
      </w:pPr>
    </w:p>
    <w:p w14:paraId="1AEA593F" w14:textId="77777777" w:rsidR="005B7E4B" w:rsidRDefault="005B7E4B" w:rsidP="00BC47F8">
      <w:pPr>
        <w:jc w:val="both"/>
        <w:rPr>
          <w:rFonts w:ascii="Times New Roman" w:hAnsi="Times New Roman" w:cs="Times New Roman"/>
          <w:b/>
          <w:bCs/>
          <w:sz w:val="24"/>
          <w:szCs w:val="24"/>
        </w:rPr>
      </w:pPr>
    </w:p>
    <w:p w14:paraId="499A064A" w14:textId="77777777" w:rsidR="005B7E4B" w:rsidRDefault="005B7E4B" w:rsidP="00BC47F8">
      <w:pPr>
        <w:jc w:val="both"/>
        <w:rPr>
          <w:rFonts w:ascii="Times New Roman" w:hAnsi="Times New Roman" w:cs="Times New Roman"/>
          <w:b/>
          <w:bCs/>
          <w:sz w:val="24"/>
          <w:szCs w:val="24"/>
        </w:rPr>
      </w:pPr>
    </w:p>
    <w:p w14:paraId="7E106BC2" w14:textId="77777777" w:rsidR="005B7E4B" w:rsidRDefault="005B7E4B" w:rsidP="00BC47F8">
      <w:pPr>
        <w:jc w:val="both"/>
        <w:rPr>
          <w:rFonts w:ascii="Times New Roman" w:hAnsi="Times New Roman" w:cs="Times New Roman"/>
          <w:b/>
          <w:bCs/>
          <w:sz w:val="24"/>
          <w:szCs w:val="24"/>
        </w:rPr>
      </w:pPr>
    </w:p>
    <w:p w14:paraId="27E74769" w14:textId="77777777" w:rsidR="005B7E4B" w:rsidRDefault="005B7E4B" w:rsidP="00BC47F8">
      <w:pPr>
        <w:jc w:val="both"/>
        <w:rPr>
          <w:rFonts w:ascii="Times New Roman" w:hAnsi="Times New Roman" w:cs="Times New Roman"/>
          <w:b/>
          <w:bCs/>
          <w:sz w:val="24"/>
          <w:szCs w:val="24"/>
        </w:rPr>
      </w:pPr>
    </w:p>
    <w:p w14:paraId="3B9B446C" w14:textId="77777777" w:rsidR="005B7E4B" w:rsidRDefault="005B7E4B" w:rsidP="00BC47F8">
      <w:pPr>
        <w:jc w:val="both"/>
        <w:rPr>
          <w:rFonts w:ascii="Times New Roman" w:hAnsi="Times New Roman" w:cs="Times New Roman"/>
          <w:b/>
          <w:bCs/>
          <w:sz w:val="24"/>
          <w:szCs w:val="24"/>
        </w:rPr>
      </w:pPr>
    </w:p>
    <w:p w14:paraId="6F338661" w14:textId="77777777" w:rsidR="005B7E4B" w:rsidRDefault="005B7E4B" w:rsidP="00BC47F8">
      <w:pPr>
        <w:jc w:val="both"/>
        <w:rPr>
          <w:rFonts w:ascii="Times New Roman" w:hAnsi="Times New Roman" w:cs="Times New Roman"/>
          <w:b/>
          <w:bCs/>
          <w:sz w:val="24"/>
          <w:szCs w:val="24"/>
        </w:rPr>
      </w:pPr>
    </w:p>
    <w:p w14:paraId="5E04B9BA" w14:textId="77777777" w:rsidR="005B7E4B" w:rsidRDefault="005B7E4B" w:rsidP="00BC47F8">
      <w:pPr>
        <w:jc w:val="both"/>
        <w:rPr>
          <w:rFonts w:ascii="Times New Roman" w:hAnsi="Times New Roman" w:cs="Times New Roman"/>
          <w:b/>
          <w:bCs/>
          <w:sz w:val="24"/>
          <w:szCs w:val="24"/>
        </w:rPr>
      </w:pPr>
    </w:p>
    <w:p w14:paraId="5C4005F1" w14:textId="77777777" w:rsidR="005B7E4B" w:rsidRDefault="005B7E4B" w:rsidP="00BC47F8">
      <w:pPr>
        <w:jc w:val="both"/>
        <w:rPr>
          <w:rFonts w:ascii="Times New Roman" w:hAnsi="Times New Roman" w:cs="Times New Roman"/>
          <w:b/>
          <w:bCs/>
          <w:sz w:val="24"/>
          <w:szCs w:val="24"/>
        </w:rPr>
      </w:pPr>
    </w:p>
    <w:p w14:paraId="2E872A5D" w14:textId="77777777" w:rsidR="005B7E4B" w:rsidRDefault="005B7E4B" w:rsidP="00BC47F8">
      <w:pPr>
        <w:jc w:val="both"/>
        <w:rPr>
          <w:rFonts w:ascii="Times New Roman" w:hAnsi="Times New Roman" w:cs="Times New Roman"/>
          <w:b/>
          <w:bCs/>
          <w:sz w:val="24"/>
          <w:szCs w:val="24"/>
        </w:rPr>
      </w:pPr>
    </w:p>
    <w:p w14:paraId="11EF77CE" w14:textId="77777777" w:rsidR="005B7E4B" w:rsidRDefault="005B7E4B" w:rsidP="00BC47F8">
      <w:pPr>
        <w:jc w:val="both"/>
        <w:rPr>
          <w:rFonts w:ascii="Times New Roman" w:hAnsi="Times New Roman" w:cs="Times New Roman"/>
          <w:b/>
          <w:bCs/>
          <w:sz w:val="24"/>
          <w:szCs w:val="24"/>
        </w:rPr>
      </w:pPr>
    </w:p>
    <w:p w14:paraId="1C9A6F2A" w14:textId="77777777" w:rsidR="005B7E4B" w:rsidRDefault="005B7E4B" w:rsidP="00BC47F8">
      <w:pPr>
        <w:jc w:val="both"/>
        <w:rPr>
          <w:rFonts w:ascii="Times New Roman" w:hAnsi="Times New Roman" w:cs="Times New Roman"/>
          <w:b/>
          <w:bCs/>
          <w:sz w:val="24"/>
          <w:szCs w:val="24"/>
        </w:rPr>
      </w:pPr>
    </w:p>
    <w:p w14:paraId="104A44B1" w14:textId="77777777" w:rsidR="005B7E4B" w:rsidRDefault="005B7E4B" w:rsidP="00BC47F8">
      <w:pPr>
        <w:jc w:val="both"/>
        <w:rPr>
          <w:rFonts w:ascii="Times New Roman" w:hAnsi="Times New Roman" w:cs="Times New Roman"/>
          <w:b/>
          <w:bCs/>
          <w:sz w:val="24"/>
          <w:szCs w:val="24"/>
        </w:rPr>
      </w:pPr>
    </w:p>
    <w:p w14:paraId="26833009" w14:textId="77777777" w:rsidR="005B7E4B" w:rsidRDefault="005B7E4B" w:rsidP="00BC47F8">
      <w:pPr>
        <w:jc w:val="both"/>
        <w:rPr>
          <w:rFonts w:ascii="Times New Roman" w:hAnsi="Times New Roman" w:cs="Times New Roman"/>
          <w:b/>
          <w:bCs/>
          <w:sz w:val="24"/>
          <w:szCs w:val="24"/>
        </w:rPr>
      </w:pPr>
    </w:p>
    <w:p w14:paraId="6DE6ACC3" w14:textId="77777777" w:rsidR="005B7E4B" w:rsidRDefault="005B7E4B" w:rsidP="00BC47F8">
      <w:pPr>
        <w:jc w:val="both"/>
        <w:rPr>
          <w:rFonts w:ascii="Times New Roman" w:hAnsi="Times New Roman" w:cs="Times New Roman"/>
          <w:b/>
          <w:bCs/>
          <w:sz w:val="24"/>
          <w:szCs w:val="24"/>
        </w:rPr>
      </w:pPr>
    </w:p>
    <w:p w14:paraId="25CF5CF5" w14:textId="77777777" w:rsidR="005B7E4B" w:rsidRDefault="005B7E4B" w:rsidP="00BC47F8">
      <w:pPr>
        <w:jc w:val="both"/>
        <w:rPr>
          <w:rFonts w:ascii="Times New Roman" w:hAnsi="Times New Roman" w:cs="Times New Roman"/>
          <w:b/>
          <w:bCs/>
          <w:sz w:val="24"/>
          <w:szCs w:val="24"/>
        </w:rPr>
      </w:pPr>
    </w:p>
    <w:p w14:paraId="3DF70DEE" w14:textId="77777777" w:rsidR="005B7E4B" w:rsidRDefault="005B7E4B" w:rsidP="00BC47F8">
      <w:pPr>
        <w:jc w:val="both"/>
        <w:rPr>
          <w:rFonts w:ascii="Times New Roman" w:hAnsi="Times New Roman" w:cs="Times New Roman"/>
          <w:b/>
          <w:bCs/>
          <w:sz w:val="24"/>
          <w:szCs w:val="24"/>
        </w:rPr>
      </w:pPr>
    </w:p>
    <w:p w14:paraId="6FDF4DC0" w14:textId="77777777" w:rsidR="005B7E4B" w:rsidRDefault="005B7E4B" w:rsidP="00BC47F8">
      <w:pPr>
        <w:jc w:val="both"/>
        <w:rPr>
          <w:rFonts w:ascii="Times New Roman" w:hAnsi="Times New Roman" w:cs="Times New Roman"/>
          <w:b/>
          <w:bCs/>
          <w:sz w:val="24"/>
          <w:szCs w:val="24"/>
        </w:rPr>
      </w:pPr>
    </w:p>
    <w:p w14:paraId="56D6105F" w14:textId="30EF0420" w:rsidR="005B7E4B" w:rsidRDefault="005B7E4B" w:rsidP="005B7E4B">
      <w:pPr>
        <w:jc w:val="center"/>
        <w:rPr>
          <w:noProof/>
        </w:rPr>
      </w:pPr>
    </w:p>
    <w:p w14:paraId="5F65076B" w14:textId="130F4D9B" w:rsidR="005B7E4B" w:rsidRDefault="005B7E4B" w:rsidP="00BC47F8">
      <w:pPr>
        <w:jc w:val="both"/>
        <w:rPr>
          <w:noProof/>
        </w:rPr>
      </w:pPr>
    </w:p>
    <w:p w14:paraId="7D85547B" w14:textId="48369280" w:rsidR="005B7E4B" w:rsidRDefault="005B7E4B" w:rsidP="00BC47F8">
      <w:pPr>
        <w:jc w:val="both"/>
        <w:rPr>
          <w:noProof/>
        </w:rPr>
      </w:pPr>
    </w:p>
    <w:p w14:paraId="6CB115B8" w14:textId="38741657" w:rsidR="005B7E4B" w:rsidRPr="004934D6" w:rsidRDefault="005B7E4B" w:rsidP="00BC47F8">
      <w:pPr>
        <w:jc w:val="both"/>
        <w:rPr>
          <w:rFonts w:ascii="Times New Roman" w:hAnsi="Times New Roman" w:cs="Times New Roman"/>
          <w:b/>
          <w:bCs/>
          <w:sz w:val="24"/>
          <w:szCs w:val="24"/>
        </w:rPr>
      </w:pPr>
    </w:p>
    <w:sectPr w:rsidR="005B7E4B" w:rsidRPr="004934D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8E26F" w14:textId="77777777" w:rsidR="006654EF" w:rsidRDefault="006654EF" w:rsidP="00E80E1D">
      <w:pPr>
        <w:spacing w:after="0" w:line="240" w:lineRule="auto"/>
      </w:pPr>
      <w:r>
        <w:separator/>
      </w:r>
    </w:p>
  </w:endnote>
  <w:endnote w:type="continuationSeparator" w:id="0">
    <w:p w14:paraId="37AC7372" w14:textId="77777777" w:rsidR="006654EF" w:rsidRDefault="006654EF" w:rsidP="00E8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D8679" w14:textId="77777777" w:rsidR="00E80E1D" w:rsidRDefault="00E80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17D08" w14:textId="77777777" w:rsidR="00E80E1D" w:rsidRDefault="00E80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80CBF" w14:textId="77777777" w:rsidR="00E80E1D" w:rsidRDefault="00E80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32106" w14:textId="77777777" w:rsidR="006654EF" w:rsidRDefault="006654EF" w:rsidP="00E80E1D">
      <w:pPr>
        <w:spacing w:after="0" w:line="240" w:lineRule="auto"/>
      </w:pPr>
      <w:r>
        <w:separator/>
      </w:r>
    </w:p>
  </w:footnote>
  <w:footnote w:type="continuationSeparator" w:id="0">
    <w:p w14:paraId="1C087059" w14:textId="77777777" w:rsidR="006654EF" w:rsidRDefault="006654EF" w:rsidP="00E80E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67AC" w14:textId="0BD8A4DE" w:rsidR="00E80E1D" w:rsidRDefault="00E80E1D">
    <w:pPr>
      <w:pStyle w:val="Header"/>
    </w:pPr>
    <w:r>
      <w:rPr>
        <w:noProof/>
      </w:rPr>
      <w:pict w14:anchorId="2B418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6D51" w14:textId="79538243" w:rsidR="00E80E1D" w:rsidRDefault="00E80E1D">
    <w:pPr>
      <w:pStyle w:val="Header"/>
    </w:pPr>
    <w:r>
      <w:rPr>
        <w:noProof/>
      </w:rPr>
      <w:pict w14:anchorId="32657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95AAB" w14:textId="30644270" w:rsidR="00E80E1D" w:rsidRDefault="00E80E1D">
    <w:pPr>
      <w:pStyle w:val="Header"/>
    </w:pPr>
    <w:r>
      <w:rPr>
        <w:noProof/>
      </w:rPr>
      <w:pict w14:anchorId="6CAFD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86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46C5"/>
    <w:multiLevelType w:val="multilevel"/>
    <w:tmpl w:val="508A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F466B"/>
    <w:multiLevelType w:val="multilevel"/>
    <w:tmpl w:val="8EF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E7DD8"/>
    <w:multiLevelType w:val="multilevel"/>
    <w:tmpl w:val="1C681B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CC12CA"/>
    <w:multiLevelType w:val="hybridMultilevel"/>
    <w:tmpl w:val="7A64CC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57559E"/>
    <w:multiLevelType w:val="multilevel"/>
    <w:tmpl w:val="CD36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520F14"/>
    <w:multiLevelType w:val="multilevel"/>
    <w:tmpl w:val="6D00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240E2"/>
    <w:multiLevelType w:val="hybridMultilevel"/>
    <w:tmpl w:val="50D467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22C4732"/>
    <w:multiLevelType w:val="hybridMultilevel"/>
    <w:tmpl w:val="05AACBD0"/>
    <w:lvl w:ilvl="0" w:tplc="223E0F52">
      <w:start w:val="1"/>
      <w:numFmt w:val="decimal"/>
      <w:lvlText w:val="%1."/>
      <w:lvlJc w:val="left"/>
      <w:pPr>
        <w:ind w:left="432" w:hanging="360"/>
      </w:pPr>
      <w:rPr>
        <w:rFonts w:hint="default"/>
      </w:rPr>
    </w:lvl>
    <w:lvl w:ilvl="1" w:tplc="40090019" w:tentative="1">
      <w:start w:val="1"/>
      <w:numFmt w:val="lowerLetter"/>
      <w:lvlText w:val="%2."/>
      <w:lvlJc w:val="left"/>
      <w:pPr>
        <w:ind w:left="1152" w:hanging="360"/>
      </w:pPr>
    </w:lvl>
    <w:lvl w:ilvl="2" w:tplc="4009001B" w:tentative="1">
      <w:start w:val="1"/>
      <w:numFmt w:val="lowerRoman"/>
      <w:lvlText w:val="%3."/>
      <w:lvlJc w:val="right"/>
      <w:pPr>
        <w:ind w:left="1872" w:hanging="180"/>
      </w:pPr>
    </w:lvl>
    <w:lvl w:ilvl="3" w:tplc="4009000F" w:tentative="1">
      <w:start w:val="1"/>
      <w:numFmt w:val="decimal"/>
      <w:lvlText w:val="%4."/>
      <w:lvlJc w:val="left"/>
      <w:pPr>
        <w:ind w:left="2592" w:hanging="360"/>
      </w:pPr>
    </w:lvl>
    <w:lvl w:ilvl="4" w:tplc="40090019" w:tentative="1">
      <w:start w:val="1"/>
      <w:numFmt w:val="lowerLetter"/>
      <w:lvlText w:val="%5."/>
      <w:lvlJc w:val="left"/>
      <w:pPr>
        <w:ind w:left="3312" w:hanging="360"/>
      </w:pPr>
    </w:lvl>
    <w:lvl w:ilvl="5" w:tplc="4009001B" w:tentative="1">
      <w:start w:val="1"/>
      <w:numFmt w:val="lowerRoman"/>
      <w:lvlText w:val="%6."/>
      <w:lvlJc w:val="right"/>
      <w:pPr>
        <w:ind w:left="4032" w:hanging="180"/>
      </w:pPr>
    </w:lvl>
    <w:lvl w:ilvl="6" w:tplc="4009000F" w:tentative="1">
      <w:start w:val="1"/>
      <w:numFmt w:val="decimal"/>
      <w:lvlText w:val="%7."/>
      <w:lvlJc w:val="left"/>
      <w:pPr>
        <w:ind w:left="4752" w:hanging="360"/>
      </w:pPr>
    </w:lvl>
    <w:lvl w:ilvl="7" w:tplc="40090019" w:tentative="1">
      <w:start w:val="1"/>
      <w:numFmt w:val="lowerLetter"/>
      <w:lvlText w:val="%8."/>
      <w:lvlJc w:val="left"/>
      <w:pPr>
        <w:ind w:left="5472" w:hanging="360"/>
      </w:pPr>
    </w:lvl>
    <w:lvl w:ilvl="8" w:tplc="4009001B" w:tentative="1">
      <w:start w:val="1"/>
      <w:numFmt w:val="lowerRoman"/>
      <w:lvlText w:val="%9."/>
      <w:lvlJc w:val="right"/>
      <w:pPr>
        <w:ind w:left="6192" w:hanging="180"/>
      </w:pPr>
    </w:lvl>
  </w:abstractNum>
  <w:abstractNum w:abstractNumId="8" w15:restartNumberingAfterBreak="0">
    <w:nsid w:val="49532C5B"/>
    <w:multiLevelType w:val="multilevel"/>
    <w:tmpl w:val="9C9C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C27289"/>
    <w:multiLevelType w:val="multilevel"/>
    <w:tmpl w:val="77F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56A2E"/>
    <w:multiLevelType w:val="multilevel"/>
    <w:tmpl w:val="620A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3"/>
  </w:num>
  <w:num w:numId="4">
    <w:abstractNumId w:val="10"/>
  </w:num>
  <w:num w:numId="5">
    <w:abstractNumId w:val="1"/>
  </w:num>
  <w:num w:numId="6">
    <w:abstractNumId w:val="0"/>
  </w:num>
  <w:num w:numId="7">
    <w:abstractNumId w:val="9"/>
  </w:num>
  <w:num w:numId="8">
    <w:abstractNumId w:val="4"/>
  </w:num>
  <w:num w:numId="9">
    <w:abstractNumId w:val="5"/>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426"/>
    <w:rsid w:val="000A61D3"/>
    <w:rsid w:val="000B4B49"/>
    <w:rsid w:val="000E1794"/>
    <w:rsid w:val="002255C9"/>
    <w:rsid w:val="00287B41"/>
    <w:rsid w:val="00336099"/>
    <w:rsid w:val="00340EA5"/>
    <w:rsid w:val="00471DFD"/>
    <w:rsid w:val="004834FA"/>
    <w:rsid w:val="004934D6"/>
    <w:rsid w:val="004A423F"/>
    <w:rsid w:val="004C3738"/>
    <w:rsid w:val="004E172C"/>
    <w:rsid w:val="005A2D90"/>
    <w:rsid w:val="005B7E4B"/>
    <w:rsid w:val="0062138A"/>
    <w:rsid w:val="006654EF"/>
    <w:rsid w:val="0068321E"/>
    <w:rsid w:val="00691376"/>
    <w:rsid w:val="006C242E"/>
    <w:rsid w:val="00744C78"/>
    <w:rsid w:val="00835650"/>
    <w:rsid w:val="00835C3A"/>
    <w:rsid w:val="00836A66"/>
    <w:rsid w:val="00837564"/>
    <w:rsid w:val="008918D4"/>
    <w:rsid w:val="00972F34"/>
    <w:rsid w:val="00A04333"/>
    <w:rsid w:val="00A12FDD"/>
    <w:rsid w:val="00A24BC0"/>
    <w:rsid w:val="00A440BB"/>
    <w:rsid w:val="00A72107"/>
    <w:rsid w:val="00AB2D1C"/>
    <w:rsid w:val="00AC48B4"/>
    <w:rsid w:val="00AC5C16"/>
    <w:rsid w:val="00B15B4D"/>
    <w:rsid w:val="00BC47F8"/>
    <w:rsid w:val="00BD5B52"/>
    <w:rsid w:val="00C267D6"/>
    <w:rsid w:val="00C66045"/>
    <w:rsid w:val="00CA2DF7"/>
    <w:rsid w:val="00CB62E0"/>
    <w:rsid w:val="00D11C93"/>
    <w:rsid w:val="00D57426"/>
    <w:rsid w:val="00DB799C"/>
    <w:rsid w:val="00DE6E06"/>
    <w:rsid w:val="00E80E1D"/>
    <w:rsid w:val="00E823FE"/>
    <w:rsid w:val="00EC7363"/>
    <w:rsid w:val="00F11DC6"/>
    <w:rsid w:val="00F876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7EC808"/>
  <w15:chartTrackingRefBased/>
  <w15:docId w15:val="{ACE9E212-81BA-4DD5-B24D-C2D8DBF3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74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74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74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74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74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74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74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74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74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4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74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74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74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74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74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74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74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7426"/>
    <w:rPr>
      <w:rFonts w:eastAsiaTheme="majorEastAsia" w:cstheme="majorBidi"/>
      <w:color w:val="272727" w:themeColor="text1" w:themeTint="D8"/>
    </w:rPr>
  </w:style>
  <w:style w:type="paragraph" w:styleId="Title">
    <w:name w:val="Title"/>
    <w:basedOn w:val="Normal"/>
    <w:next w:val="Normal"/>
    <w:link w:val="TitleChar"/>
    <w:uiPriority w:val="10"/>
    <w:qFormat/>
    <w:rsid w:val="00D574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74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74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74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7426"/>
    <w:pPr>
      <w:spacing w:before="160"/>
      <w:jc w:val="center"/>
    </w:pPr>
    <w:rPr>
      <w:i/>
      <w:iCs/>
      <w:color w:val="404040" w:themeColor="text1" w:themeTint="BF"/>
    </w:rPr>
  </w:style>
  <w:style w:type="character" w:customStyle="1" w:styleId="QuoteChar">
    <w:name w:val="Quote Char"/>
    <w:basedOn w:val="DefaultParagraphFont"/>
    <w:link w:val="Quote"/>
    <w:uiPriority w:val="29"/>
    <w:rsid w:val="00D57426"/>
    <w:rPr>
      <w:i/>
      <w:iCs/>
      <w:color w:val="404040" w:themeColor="text1" w:themeTint="BF"/>
    </w:rPr>
  </w:style>
  <w:style w:type="paragraph" w:styleId="ListParagraph">
    <w:name w:val="List Paragraph"/>
    <w:basedOn w:val="Normal"/>
    <w:uiPriority w:val="34"/>
    <w:qFormat/>
    <w:rsid w:val="00D57426"/>
    <w:pPr>
      <w:ind w:left="720"/>
      <w:contextualSpacing/>
    </w:pPr>
  </w:style>
  <w:style w:type="character" w:styleId="IntenseEmphasis">
    <w:name w:val="Intense Emphasis"/>
    <w:basedOn w:val="DefaultParagraphFont"/>
    <w:uiPriority w:val="21"/>
    <w:qFormat/>
    <w:rsid w:val="00D57426"/>
    <w:rPr>
      <w:i/>
      <w:iCs/>
      <w:color w:val="2F5496" w:themeColor="accent1" w:themeShade="BF"/>
    </w:rPr>
  </w:style>
  <w:style w:type="paragraph" w:styleId="IntenseQuote">
    <w:name w:val="Intense Quote"/>
    <w:basedOn w:val="Normal"/>
    <w:next w:val="Normal"/>
    <w:link w:val="IntenseQuoteChar"/>
    <w:uiPriority w:val="30"/>
    <w:qFormat/>
    <w:rsid w:val="00D574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7426"/>
    <w:rPr>
      <w:i/>
      <w:iCs/>
      <w:color w:val="2F5496" w:themeColor="accent1" w:themeShade="BF"/>
    </w:rPr>
  </w:style>
  <w:style w:type="character" w:styleId="IntenseReference">
    <w:name w:val="Intense Reference"/>
    <w:basedOn w:val="DefaultParagraphFont"/>
    <w:uiPriority w:val="32"/>
    <w:qFormat/>
    <w:rsid w:val="00D57426"/>
    <w:rPr>
      <w:b/>
      <w:bCs/>
      <w:smallCaps/>
      <w:color w:val="2F5496" w:themeColor="accent1" w:themeShade="BF"/>
      <w:spacing w:val="5"/>
    </w:rPr>
  </w:style>
  <w:style w:type="paragraph" w:styleId="NormalWeb">
    <w:name w:val="Normal (Web)"/>
    <w:basedOn w:val="Normal"/>
    <w:uiPriority w:val="99"/>
    <w:semiHidden/>
    <w:unhideWhenUsed/>
    <w:rsid w:val="00691376"/>
    <w:rPr>
      <w:rFonts w:ascii="Times New Roman" w:hAnsi="Times New Roman" w:cs="Times New Roman"/>
      <w:sz w:val="24"/>
      <w:szCs w:val="24"/>
    </w:rPr>
  </w:style>
  <w:style w:type="paragraph" w:styleId="Caption">
    <w:name w:val="caption"/>
    <w:basedOn w:val="Normal"/>
    <w:next w:val="Normal"/>
    <w:uiPriority w:val="35"/>
    <w:unhideWhenUsed/>
    <w:qFormat/>
    <w:rsid w:val="005B7E4B"/>
    <w:pPr>
      <w:spacing w:after="200" w:line="240" w:lineRule="auto"/>
    </w:pPr>
    <w:rPr>
      <w:i/>
      <w:iCs/>
      <w:color w:val="44546A" w:themeColor="text2"/>
      <w:sz w:val="18"/>
      <w:szCs w:val="18"/>
    </w:rPr>
  </w:style>
  <w:style w:type="character" w:styleId="Hyperlink">
    <w:name w:val="Hyperlink"/>
    <w:basedOn w:val="DefaultParagraphFont"/>
    <w:uiPriority w:val="99"/>
    <w:unhideWhenUsed/>
    <w:rsid w:val="00A24BC0"/>
    <w:rPr>
      <w:color w:val="0563C1" w:themeColor="hyperlink"/>
      <w:u w:val="single"/>
    </w:rPr>
  </w:style>
  <w:style w:type="paragraph" w:styleId="Header">
    <w:name w:val="header"/>
    <w:basedOn w:val="Normal"/>
    <w:link w:val="HeaderChar"/>
    <w:uiPriority w:val="99"/>
    <w:unhideWhenUsed/>
    <w:rsid w:val="00E80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0E1D"/>
  </w:style>
  <w:style w:type="paragraph" w:styleId="Footer">
    <w:name w:val="footer"/>
    <w:basedOn w:val="Normal"/>
    <w:link w:val="FooterChar"/>
    <w:uiPriority w:val="99"/>
    <w:unhideWhenUsed/>
    <w:rsid w:val="00E80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0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2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8DCAD-9E41-4F91-9274-949F0F815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2117</Words>
  <Characters>12073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Sundaresan V</dc:creator>
  <cp:keywords/>
  <dc:description/>
  <cp:lastModifiedBy>SDI 1084</cp:lastModifiedBy>
  <cp:revision>14</cp:revision>
  <dcterms:created xsi:type="dcterms:W3CDTF">2025-07-27T00:56:00Z</dcterms:created>
  <dcterms:modified xsi:type="dcterms:W3CDTF">2025-08-25T10:30:00Z</dcterms:modified>
</cp:coreProperties>
</file>