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E186E" w14:textId="77777777" w:rsidR="00163BC4" w:rsidRPr="00E82EE4" w:rsidRDefault="009212F9" w:rsidP="00441B6F">
      <w:pPr>
        <w:pStyle w:val="Author"/>
        <w:spacing w:line="240" w:lineRule="auto"/>
        <w:rPr>
          <w:rFonts w:ascii="Arial" w:hAnsi="Arial" w:cs="Arial"/>
          <w:bCs/>
          <w:iCs/>
          <w:color w:val="000000" w:themeColor="text1"/>
          <w:kern w:val="28"/>
          <w:sz w:val="36"/>
        </w:rPr>
      </w:pPr>
      <w:r w:rsidRPr="00E82EE4">
        <w:rPr>
          <w:bCs/>
          <w:color w:val="000000" w:themeColor="text1"/>
          <w:sz w:val="32"/>
          <w:szCs w:val="32"/>
        </w:rPr>
        <w:t>Role of Menstrual Cycles in the Development of Anaemia and Its Potential Reversibility in Allied Healthcare Students of Tripura</w:t>
      </w:r>
      <w:r w:rsidR="00231920" w:rsidRPr="00E82EE4">
        <w:rPr>
          <w:rFonts w:ascii="Arial" w:hAnsi="Arial" w:cs="Arial"/>
          <w:bCs/>
          <w:iCs/>
          <w:color w:val="000000" w:themeColor="text1"/>
          <w:kern w:val="28"/>
          <w:sz w:val="36"/>
        </w:rPr>
        <w:t xml:space="preserve"> </w:t>
      </w:r>
    </w:p>
    <w:p w14:paraId="2DBBDD9F" w14:textId="77777777" w:rsidR="00A258C3" w:rsidRPr="00E82EE4" w:rsidRDefault="00A258C3" w:rsidP="00441B6F">
      <w:pPr>
        <w:pStyle w:val="Author"/>
        <w:spacing w:line="240" w:lineRule="auto"/>
        <w:jc w:val="both"/>
        <w:rPr>
          <w:rFonts w:ascii="Arial" w:hAnsi="Arial" w:cs="Arial"/>
          <w:color w:val="000000" w:themeColor="text1"/>
          <w:sz w:val="36"/>
        </w:rPr>
      </w:pPr>
    </w:p>
    <w:p w14:paraId="309F3416" w14:textId="77777777" w:rsidR="00790ADA" w:rsidRPr="00E82EE4" w:rsidRDefault="00790ADA" w:rsidP="00441B6F">
      <w:pPr>
        <w:pStyle w:val="Affiliation"/>
        <w:spacing w:after="0" w:line="240" w:lineRule="auto"/>
        <w:jc w:val="both"/>
        <w:rPr>
          <w:rFonts w:ascii="Arial" w:hAnsi="Arial" w:cs="Arial"/>
          <w:color w:val="000000" w:themeColor="text1"/>
        </w:rPr>
      </w:pPr>
    </w:p>
    <w:p w14:paraId="669DFBF8" w14:textId="77777777" w:rsidR="002C57D2" w:rsidRPr="00E82EE4" w:rsidRDefault="002C57D2" w:rsidP="00441B6F">
      <w:pPr>
        <w:pStyle w:val="Affiliation"/>
        <w:spacing w:after="0" w:line="240" w:lineRule="auto"/>
        <w:jc w:val="both"/>
        <w:rPr>
          <w:rFonts w:ascii="Arial" w:hAnsi="Arial" w:cs="Arial"/>
          <w:color w:val="000000" w:themeColor="text1"/>
        </w:rPr>
      </w:pPr>
    </w:p>
    <w:p w14:paraId="55D839FA" w14:textId="77777777" w:rsidR="00B01FCD" w:rsidRPr="00E82EE4" w:rsidRDefault="00B06B0B" w:rsidP="00441B6F">
      <w:pPr>
        <w:pStyle w:val="Copyright"/>
        <w:spacing w:after="0" w:line="240" w:lineRule="auto"/>
        <w:jc w:val="both"/>
        <w:rPr>
          <w:rFonts w:ascii="Arial" w:hAnsi="Arial" w:cs="Arial"/>
          <w:color w:val="000000" w:themeColor="text1"/>
        </w:rPr>
        <w:sectPr w:rsidR="00B01FCD" w:rsidRPr="00E82EE4" w:rsidSect="003215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27FE21C">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E82EE4">
        <w:rPr>
          <w:rFonts w:ascii="Arial" w:hAnsi="Arial" w:cs="Arial"/>
          <w:color w:val="000000" w:themeColor="text1"/>
        </w:rPr>
        <w:t>.</w:t>
      </w:r>
    </w:p>
    <w:p w14:paraId="63350056" w14:textId="77777777" w:rsidR="00B01FCD" w:rsidRPr="00E82EE4" w:rsidRDefault="00B01FCD" w:rsidP="00441B6F">
      <w:pPr>
        <w:pStyle w:val="AbstHead"/>
        <w:spacing w:after="0"/>
        <w:jc w:val="both"/>
        <w:rPr>
          <w:rFonts w:ascii="Arial" w:hAnsi="Arial" w:cs="Arial"/>
          <w:color w:val="000000" w:themeColor="text1"/>
        </w:rPr>
      </w:pPr>
      <w:r w:rsidRPr="00E82EE4">
        <w:rPr>
          <w:rFonts w:ascii="Arial" w:hAnsi="Arial" w:cs="Arial"/>
          <w:color w:val="000000" w:themeColor="text1"/>
        </w:rPr>
        <w:t>ABSTRACT</w:t>
      </w:r>
    </w:p>
    <w:p w14:paraId="035ADF41" w14:textId="77777777" w:rsidR="00790ADA" w:rsidRPr="00E82EE4"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82EE4" w14:paraId="49B80AB8" w14:textId="77777777" w:rsidTr="001E44FE">
        <w:tc>
          <w:tcPr>
            <w:tcW w:w="9576" w:type="dxa"/>
            <w:shd w:val="clear" w:color="auto" w:fill="F2F2F2"/>
          </w:tcPr>
          <w:p w14:paraId="50336554" w14:textId="77777777" w:rsidR="009212F9" w:rsidRPr="00E82EE4" w:rsidRDefault="009212F9" w:rsidP="009212F9">
            <w:pPr>
              <w:snapToGrid w:val="0"/>
              <w:jc w:val="both"/>
              <w:rPr>
                <w:rFonts w:ascii="Arial" w:hAnsi="Arial" w:cs="Arial"/>
                <w:color w:val="000000" w:themeColor="text1"/>
                <w:lang w:eastAsia="en-GB"/>
              </w:rPr>
            </w:pPr>
            <w:r w:rsidRPr="00E82EE4">
              <w:rPr>
                <w:rFonts w:ascii="Arial" w:hAnsi="Arial" w:cs="Arial"/>
                <w:b/>
                <w:bCs/>
                <w:color w:val="000000" w:themeColor="text1"/>
                <w:lang w:eastAsia="en-GB"/>
              </w:rPr>
              <w:t>Background:</w:t>
            </w:r>
            <w:r w:rsidRPr="00E82EE4">
              <w:rPr>
                <w:rFonts w:ascii="Arial" w:hAnsi="Arial" w:cs="Arial"/>
                <w:color w:val="000000" w:themeColor="text1"/>
                <w:lang w:eastAsia="en-GB"/>
              </w:rPr>
              <w:t xml:space="preserve"> Anaemia is a prevalent health concern among women of reproductive age, often exacerbated by menstrual blood loss. The menstrual cycle may influence haemoglobin levels, contributing to the development of anaemia, while timely intervention may prevent its progression. This study aimed to assess the role of menstrual cycles in the development of anaemia and its potential reversibility among allied healthcare students in Tripura, India.</w:t>
            </w:r>
          </w:p>
          <w:p w14:paraId="5EC32181" w14:textId="77777777" w:rsidR="009212F9" w:rsidRPr="00E82EE4" w:rsidRDefault="009212F9" w:rsidP="009212F9">
            <w:pPr>
              <w:snapToGrid w:val="0"/>
              <w:jc w:val="both"/>
              <w:rPr>
                <w:rFonts w:ascii="Arial" w:hAnsi="Arial" w:cs="Arial"/>
                <w:color w:val="000000" w:themeColor="text1"/>
                <w:lang w:eastAsia="en-GB"/>
              </w:rPr>
            </w:pPr>
          </w:p>
          <w:p w14:paraId="7EE93178" w14:textId="77777777" w:rsidR="009212F9" w:rsidRPr="00E82EE4" w:rsidRDefault="009212F9" w:rsidP="009212F9">
            <w:pPr>
              <w:snapToGrid w:val="0"/>
              <w:jc w:val="both"/>
              <w:rPr>
                <w:rFonts w:ascii="Arial" w:hAnsi="Arial" w:cs="Arial"/>
                <w:color w:val="000000" w:themeColor="text1"/>
                <w:lang w:eastAsia="en-GB"/>
              </w:rPr>
            </w:pPr>
            <w:r w:rsidRPr="00E82EE4">
              <w:rPr>
                <w:rFonts w:ascii="Arial" w:hAnsi="Arial" w:cs="Arial"/>
                <w:b/>
                <w:bCs/>
                <w:color w:val="000000" w:themeColor="text1"/>
                <w:lang w:eastAsia="en-GB"/>
              </w:rPr>
              <w:t>Methods:</w:t>
            </w:r>
            <w:r w:rsidRPr="00E82EE4">
              <w:rPr>
                <w:rFonts w:ascii="Arial" w:hAnsi="Arial" w:cs="Arial"/>
                <w:color w:val="000000" w:themeColor="text1"/>
                <w:lang w:eastAsia="en-GB"/>
              </w:rPr>
              <w:t xml:space="preserve"> A cross-sectional study was conducted from </w:t>
            </w:r>
            <w:r w:rsidR="002B2047" w:rsidRPr="00E82EE4">
              <w:rPr>
                <w:rFonts w:ascii="Arial" w:hAnsi="Arial" w:cs="Arial"/>
                <w:color w:val="000000" w:themeColor="text1"/>
                <w:lang w:eastAsia="en-GB"/>
              </w:rPr>
              <w:t>January</w:t>
            </w:r>
            <w:r w:rsidRPr="00E82EE4">
              <w:rPr>
                <w:rFonts w:ascii="Arial" w:hAnsi="Arial" w:cs="Arial"/>
                <w:color w:val="000000" w:themeColor="text1"/>
                <w:lang w:eastAsia="en-GB"/>
              </w:rPr>
              <w:t xml:space="preserve"> to </w:t>
            </w:r>
            <w:r w:rsidR="002B2047" w:rsidRPr="00E82EE4">
              <w:rPr>
                <w:rFonts w:ascii="Arial" w:hAnsi="Arial" w:cs="Arial"/>
                <w:color w:val="000000" w:themeColor="text1"/>
                <w:lang w:eastAsia="en-GB"/>
              </w:rPr>
              <w:t>May</w:t>
            </w:r>
            <w:r w:rsidRPr="00E82EE4">
              <w:rPr>
                <w:rFonts w:ascii="Arial" w:hAnsi="Arial" w:cs="Arial"/>
                <w:color w:val="000000" w:themeColor="text1"/>
                <w:lang w:eastAsia="en-GB"/>
              </w:rPr>
              <w:t xml:space="preserve"> 2025 among 128 female students aged 18–25 years at a paramedical college in Tripura. </w:t>
            </w:r>
            <w:proofErr w:type="spellStart"/>
            <w:r w:rsidRPr="00E82EE4">
              <w:rPr>
                <w:rFonts w:ascii="Arial" w:hAnsi="Arial" w:cs="Arial"/>
                <w:color w:val="000000" w:themeColor="text1"/>
                <w:lang w:eastAsia="en-GB"/>
              </w:rPr>
              <w:t>Haematological</w:t>
            </w:r>
            <w:proofErr w:type="spellEnd"/>
            <w:r w:rsidRPr="00E82EE4">
              <w:rPr>
                <w:rFonts w:ascii="Arial" w:hAnsi="Arial" w:cs="Arial"/>
                <w:color w:val="000000" w:themeColor="text1"/>
                <w:lang w:eastAsia="en-GB"/>
              </w:rPr>
              <w:t xml:space="preserve"> parameters, including </w:t>
            </w:r>
            <w:proofErr w:type="spellStart"/>
            <w:r w:rsidRPr="00E82EE4">
              <w:rPr>
                <w:rFonts w:ascii="Arial" w:hAnsi="Arial" w:cs="Arial"/>
                <w:color w:val="000000" w:themeColor="text1"/>
                <w:lang w:eastAsia="en-GB"/>
              </w:rPr>
              <w:t>haemoglobin</w:t>
            </w:r>
            <w:proofErr w:type="spellEnd"/>
            <w:r w:rsidRPr="00E82EE4">
              <w:rPr>
                <w:rFonts w:ascii="Arial" w:hAnsi="Arial" w:cs="Arial"/>
                <w:color w:val="000000" w:themeColor="text1"/>
                <w:lang w:eastAsia="en-GB"/>
              </w:rPr>
              <w:t xml:space="preserve"> concentration and red cell indices, were measured in both the luteal and follicular phases of the menstrual cycle. Students were classified based on the presence and severity of anaemia. Menstrual patterns and associated </w:t>
            </w:r>
            <w:proofErr w:type="spellStart"/>
            <w:r w:rsidRPr="00E82EE4">
              <w:rPr>
                <w:rFonts w:ascii="Arial" w:hAnsi="Arial" w:cs="Arial"/>
                <w:color w:val="000000" w:themeColor="text1"/>
                <w:lang w:eastAsia="en-GB"/>
              </w:rPr>
              <w:t>haematological</w:t>
            </w:r>
            <w:proofErr w:type="spellEnd"/>
            <w:r w:rsidRPr="00E82EE4">
              <w:rPr>
                <w:rFonts w:ascii="Arial" w:hAnsi="Arial" w:cs="Arial"/>
                <w:color w:val="000000" w:themeColor="text1"/>
                <w:lang w:eastAsia="en-GB"/>
              </w:rPr>
              <w:t xml:space="preserve"> changes were </w:t>
            </w:r>
            <w:proofErr w:type="spellStart"/>
            <w:r w:rsidRPr="00E82EE4">
              <w:rPr>
                <w:rFonts w:ascii="Arial" w:hAnsi="Arial" w:cs="Arial"/>
                <w:color w:val="000000" w:themeColor="text1"/>
                <w:lang w:eastAsia="en-GB"/>
              </w:rPr>
              <w:t>analysed</w:t>
            </w:r>
            <w:proofErr w:type="spellEnd"/>
            <w:r w:rsidRPr="00E82EE4">
              <w:rPr>
                <w:rFonts w:ascii="Arial" w:hAnsi="Arial" w:cs="Arial"/>
                <w:color w:val="000000" w:themeColor="text1"/>
                <w:lang w:eastAsia="en-GB"/>
              </w:rPr>
              <w:t xml:space="preserve"> using descriptive statistics and Chi-square tests, with a significance threshold of p &lt; 0.05.</w:t>
            </w:r>
          </w:p>
          <w:p w14:paraId="531BC01B" w14:textId="77777777" w:rsidR="009212F9" w:rsidRPr="00E82EE4" w:rsidRDefault="009212F9" w:rsidP="009212F9">
            <w:pPr>
              <w:snapToGrid w:val="0"/>
              <w:jc w:val="both"/>
              <w:rPr>
                <w:rFonts w:ascii="Arial" w:hAnsi="Arial" w:cs="Arial"/>
                <w:color w:val="000000" w:themeColor="text1"/>
                <w:lang w:eastAsia="en-GB"/>
              </w:rPr>
            </w:pPr>
          </w:p>
          <w:p w14:paraId="6AA59ADB" w14:textId="77777777" w:rsidR="009212F9" w:rsidRPr="00E82EE4" w:rsidRDefault="009212F9" w:rsidP="009212F9">
            <w:pPr>
              <w:snapToGrid w:val="0"/>
              <w:jc w:val="both"/>
              <w:rPr>
                <w:rFonts w:ascii="Arial" w:hAnsi="Arial" w:cs="Arial"/>
                <w:color w:val="000000" w:themeColor="text1"/>
                <w:lang w:eastAsia="en-GB"/>
              </w:rPr>
            </w:pPr>
            <w:r w:rsidRPr="00E82EE4">
              <w:rPr>
                <w:rFonts w:ascii="Arial" w:hAnsi="Arial" w:cs="Arial"/>
                <w:b/>
                <w:bCs/>
                <w:color w:val="000000" w:themeColor="text1"/>
                <w:lang w:eastAsia="en-GB"/>
              </w:rPr>
              <w:t>Results:</w:t>
            </w:r>
            <w:r w:rsidRPr="00E82EE4">
              <w:rPr>
                <w:rFonts w:ascii="Arial" w:hAnsi="Arial" w:cs="Arial"/>
                <w:color w:val="000000" w:themeColor="text1"/>
                <w:lang w:eastAsia="en-GB"/>
              </w:rPr>
              <w:t xml:space="preserve"> The overall prevalence of anaemia was </w:t>
            </w:r>
            <w:r w:rsidR="00E82EE4">
              <w:rPr>
                <w:rFonts w:ascii="Arial" w:hAnsi="Arial" w:cs="Arial"/>
                <w:color w:val="000000" w:themeColor="text1"/>
                <w:lang w:eastAsia="en-GB"/>
              </w:rPr>
              <w:t>43.75</w:t>
            </w:r>
            <w:r w:rsidRPr="00E82EE4">
              <w:rPr>
                <w:rFonts w:ascii="Arial" w:hAnsi="Arial" w:cs="Arial"/>
                <w:color w:val="000000" w:themeColor="text1"/>
                <w:lang w:eastAsia="en-GB"/>
              </w:rPr>
              <w:t xml:space="preserve">%, with mild anaemia being the most common form. A considerable proportion of students showed abnormal red cell indices, including low PCV, MCV, and MCH. Menstrual irregularities such as menorrhagia were more frequent in </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subjects. Haemoglobin levels significantly declined during the follicular phase (11.</w:t>
            </w:r>
            <w:r w:rsidR="00E82EE4">
              <w:rPr>
                <w:rFonts w:ascii="Arial" w:hAnsi="Arial" w:cs="Arial"/>
                <w:color w:val="000000" w:themeColor="text1"/>
                <w:lang w:eastAsia="en-GB"/>
              </w:rPr>
              <w:t>42</w:t>
            </w:r>
            <w:r w:rsidRPr="00E82EE4">
              <w:rPr>
                <w:rFonts w:ascii="Arial" w:hAnsi="Arial" w:cs="Arial"/>
                <w:color w:val="000000" w:themeColor="text1"/>
                <w:lang w:eastAsia="en-GB"/>
              </w:rPr>
              <w:t xml:space="preserve"> ± 1.</w:t>
            </w:r>
            <w:r w:rsidR="00E82EE4">
              <w:rPr>
                <w:rFonts w:ascii="Arial" w:hAnsi="Arial" w:cs="Arial"/>
                <w:color w:val="000000" w:themeColor="text1"/>
                <w:lang w:eastAsia="en-GB"/>
              </w:rPr>
              <w:t>10</w:t>
            </w:r>
            <w:r w:rsidRPr="00E82EE4">
              <w:rPr>
                <w:rFonts w:ascii="Arial" w:hAnsi="Arial" w:cs="Arial"/>
                <w:color w:val="000000" w:themeColor="text1"/>
                <w:lang w:eastAsia="en-GB"/>
              </w:rPr>
              <w:t xml:space="preserve"> g/dl) compared to the luteal phase (11.</w:t>
            </w:r>
            <w:r w:rsidR="00E82EE4">
              <w:rPr>
                <w:rFonts w:ascii="Arial" w:hAnsi="Arial" w:cs="Arial"/>
                <w:color w:val="000000" w:themeColor="text1"/>
                <w:lang w:eastAsia="en-GB"/>
              </w:rPr>
              <w:t>86</w:t>
            </w:r>
            <w:r w:rsidRPr="00E82EE4">
              <w:rPr>
                <w:rFonts w:ascii="Arial" w:hAnsi="Arial" w:cs="Arial"/>
                <w:color w:val="000000" w:themeColor="text1"/>
                <w:lang w:eastAsia="en-GB"/>
              </w:rPr>
              <w:t xml:space="preserve"> ± 1.</w:t>
            </w:r>
            <w:r w:rsidR="00E82EE4">
              <w:rPr>
                <w:rFonts w:ascii="Arial" w:hAnsi="Arial" w:cs="Arial"/>
                <w:color w:val="000000" w:themeColor="text1"/>
                <w:lang w:eastAsia="en-GB"/>
              </w:rPr>
              <w:t>28</w:t>
            </w:r>
            <w:r w:rsidRPr="00E82EE4">
              <w:rPr>
                <w:rFonts w:ascii="Arial" w:hAnsi="Arial" w:cs="Arial"/>
                <w:color w:val="000000" w:themeColor="text1"/>
                <w:lang w:eastAsia="en-GB"/>
              </w:rPr>
              <w:t xml:space="preserve"> g/dl, p &lt; 0.05). More than half of the participants (5</w:t>
            </w:r>
            <w:r w:rsidR="00E82EE4">
              <w:rPr>
                <w:rFonts w:ascii="Arial" w:hAnsi="Arial" w:cs="Arial"/>
                <w:color w:val="000000" w:themeColor="text1"/>
                <w:lang w:eastAsia="en-GB"/>
              </w:rPr>
              <w:t>3.12</w:t>
            </w:r>
            <w:r w:rsidRPr="00E82EE4">
              <w:rPr>
                <w:rFonts w:ascii="Arial" w:hAnsi="Arial" w:cs="Arial"/>
                <w:color w:val="000000" w:themeColor="text1"/>
                <w:lang w:eastAsia="en-GB"/>
              </w:rPr>
              <w:t>%) exhibited haemoglobin changes greater than 1.0 g/dl between phases. Anaemia was present in 42% of students during the luteal phase but increased to 95</w:t>
            </w:r>
            <w:r w:rsidR="00B177DC">
              <w:rPr>
                <w:rFonts w:ascii="Arial" w:hAnsi="Arial" w:cs="Arial"/>
                <w:color w:val="000000" w:themeColor="text1"/>
                <w:lang w:eastAsia="en-GB"/>
              </w:rPr>
              <w:t>.3</w:t>
            </w:r>
            <w:r w:rsidRPr="00E82EE4">
              <w:rPr>
                <w:rFonts w:ascii="Arial" w:hAnsi="Arial" w:cs="Arial"/>
                <w:color w:val="000000" w:themeColor="text1"/>
                <w:lang w:eastAsia="en-GB"/>
              </w:rPr>
              <w:t>% in the follicular phase, indicating a reversible pattern of anaemia associated with menstrual blood loss.</w:t>
            </w:r>
          </w:p>
          <w:p w14:paraId="6E32B599" w14:textId="77777777" w:rsidR="009212F9" w:rsidRPr="00E82EE4" w:rsidRDefault="009212F9" w:rsidP="009212F9">
            <w:pPr>
              <w:snapToGrid w:val="0"/>
              <w:jc w:val="both"/>
              <w:rPr>
                <w:rFonts w:ascii="Arial" w:hAnsi="Arial" w:cs="Arial"/>
                <w:color w:val="000000" w:themeColor="text1"/>
                <w:lang w:eastAsia="en-GB"/>
              </w:rPr>
            </w:pPr>
          </w:p>
          <w:p w14:paraId="2A6D99F5" w14:textId="77777777" w:rsidR="00505F06" w:rsidRPr="00E82EE4" w:rsidRDefault="009212F9" w:rsidP="009212F9">
            <w:pPr>
              <w:snapToGrid w:val="0"/>
              <w:jc w:val="both"/>
              <w:rPr>
                <w:rFonts w:ascii="Arial" w:eastAsia="Calibri" w:hAnsi="Arial" w:cs="Arial"/>
                <w:color w:val="000000" w:themeColor="text1"/>
                <w:szCs w:val="22"/>
              </w:rPr>
            </w:pPr>
            <w:r w:rsidRPr="00E82EE4">
              <w:rPr>
                <w:rFonts w:ascii="Arial" w:hAnsi="Arial" w:cs="Arial"/>
                <w:b/>
                <w:bCs/>
                <w:color w:val="000000" w:themeColor="text1"/>
                <w:lang w:eastAsia="en-GB"/>
              </w:rPr>
              <w:t>Conclusion:</w:t>
            </w:r>
            <w:r w:rsidRPr="00E82EE4">
              <w:rPr>
                <w:rFonts w:ascii="Arial" w:hAnsi="Arial" w:cs="Arial"/>
                <w:color w:val="000000" w:themeColor="text1"/>
                <w:lang w:eastAsia="en-GB"/>
              </w:rPr>
              <w:t xml:space="preserve"> The study highlights the significant influence of menstrual cycles on the development and reversibility of anaemia among allied healthcare students. Regular monitoring of haemoglobin levels and timely interventions, such as nutritional counselling and iron supplementation, could mitigate the risk of anaemia progression. These findings call for increased awareness and preventive strategies targeting menstrual health in vulnerable populations.</w:t>
            </w:r>
          </w:p>
        </w:tc>
      </w:tr>
    </w:tbl>
    <w:p w14:paraId="34800FF5" w14:textId="77777777" w:rsidR="00636EB2" w:rsidRPr="00E82EE4" w:rsidRDefault="00636EB2" w:rsidP="00441B6F">
      <w:pPr>
        <w:pStyle w:val="Body"/>
        <w:spacing w:after="0"/>
        <w:rPr>
          <w:rFonts w:ascii="Arial" w:hAnsi="Arial" w:cs="Arial"/>
          <w:i/>
          <w:color w:val="000000" w:themeColor="text1"/>
        </w:rPr>
      </w:pPr>
    </w:p>
    <w:p w14:paraId="2FF0FF0C" w14:textId="77777777" w:rsidR="0024282C" w:rsidRPr="00E82EE4" w:rsidRDefault="00A24E7E" w:rsidP="002B2047">
      <w:pPr>
        <w:snapToGrid w:val="0"/>
        <w:jc w:val="both"/>
        <w:rPr>
          <w:rFonts w:ascii="Times New Roman" w:hAnsi="Times New Roman"/>
          <w:color w:val="000000" w:themeColor="text1"/>
          <w:lang w:eastAsia="en-GB"/>
        </w:rPr>
      </w:pPr>
      <w:r w:rsidRPr="00E82EE4">
        <w:rPr>
          <w:rFonts w:ascii="Arial" w:hAnsi="Arial" w:cs="Arial"/>
          <w:i/>
          <w:color w:val="000000" w:themeColor="text1"/>
        </w:rPr>
        <w:t xml:space="preserve">Keywords: </w:t>
      </w:r>
      <w:r w:rsidR="009212F9" w:rsidRPr="00E82EE4">
        <w:rPr>
          <w:rFonts w:ascii="Arial" w:hAnsi="Arial" w:cs="Arial"/>
          <w:i/>
          <w:iCs/>
          <w:color w:val="000000" w:themeColor="text1"/>
          <w:lang w:eastAsia="en-GB"/>
        </w:rPr>
        <w:t>Anaemia, Menstrual Cycle, Haemoglobin, Red Cell Indices, Allied Healthcare Students, Tripura</w:t>
      </w:r>
    </w:p>
    <w:p w14:paraId="4B754F6B" w14:textId="77777777" w:rsidR="007F7B32" w:rsidRPr="00E82EE4" w:rsidRDefault="00902823" w:rsidP="00441B6F">
      <w:pPr>
        <w:pStyle w:val="AbstHead"/>
        <w:spacing w:after="0"/>
        <w:jc w:val="both"/>
        <w:rPr>
          <w:rFonts w:ascii="Arial" w:hAnsi="Arial" w:cs="Arial"/>
          <w:color w:val="000000" w:themeColor="text1"/>
        </w:rPr>
      </w:pPr>
      <w:r w:rsidRPr="00E82EE4">
        <w:rPr>
          <w:rFonts w:ascii="Arial" w:hAnsi="Arial" w:cs="Arial"/>
          <w:color w:val="000000" w:themeColor="text1"/>
        </w:rPr>
        <w:t xml:space="preserve">1. </w:t>
      </w:r>
      <w:r w:rsidR="00B01FCD" w:rsidRPr="00E82EE4">
        <w:rPr>
          <w:rFonts w:ascii="Arial" w:hAnsi="Arial" w:cs="Arial"/>
          <w:color w:val="000000" w:themeColor="text1"/>
        </w:rPr>
        <w:t>INTRODUCTION</w:t>
      </w:r>
    </w:p>
    <w:p w14:paraId="6E749076" w14:textId="77777777" w:rsidR="00790ADA" w:rsidRPr="00E82EE4" w:rsidRDefault="00790ADA" w:rsidP="00441B6F">
      <w:pPr>
        <w:pStyle w:val="AbstHead"/>
        <w:spacing w:after="0"/>
        <w:jc w:val="both"/>
        <w:rPr>
          <w:rFonts w:ascii="Arial" w:hAnsi="Arial" w:cs="Arial"/>
          <w:color w:val="000000" w:themeColor="text1"/>
        </w:rPr>
      </w:pPr>
    </w:p>
    <w:p w14:paraId="08D701D8" w14:textId="77777777" w:rsidR="002B2047" w:rsidRPr="00E82EE4" w:rsidRDefault="002B2047" w:rsidP="002B2047">
      <w:pPr>
        <w:snapToGrid w:val="0"/>
        <w:jc w:val="both"/>
        <w:rPr>
          <w:rFonts w:ascii="Arial" w:hAnsi="Arial" w:cs="Arial"/>
          <w:color w:val="000000" w:themeColor="text1"/>
          <w:lang w:eastAsia="en-GB"/>
        </w:rPr>
      </w:pPr>
      <w:r w:rsidRPr="00E82EE4">
        <w:rPr>
          <w:rFonts w:ascii="Arial" w:hAnsi="Arial" w:cs="Arial"/>
          <w:color w:val="000000" w:themeColor="text1"/>
          <w:lang w:eastAsia="en-GB"/>
        </w:rPr>
        <w:t>Anaemia is a significant public health concern, particularly among young women of reproductive age</w:t>
      </w:r>
      <w:r w:rsidR="00E82EE4">
        <w:rPr>
          <w:rFonts w:ascii="Arial" w:hAnsi="Arial" w:cs="Arial"/>
          <w:color w:val="000000" w:themeColor="text1"/>
          <w:lang w:eastAsia="en-GB"/>
        </w:rPr>
        <w:t xml:space="preserve"> (Nath et al., 2018)</w:t>
      </w:r>
      <w:r w:rsidRPr="00E82EE4">
        <w:rPr>
          <w:rFonts w:ascii="Arial" w:hAnsi="Arial" w:cs="Arial"/>
          <w:color w:val="000000" w:themeColor="text1"/>
          <w:lang w:eastAsia="en-GB"/>
        </w:rPr>
        <w:t xml:space="preserve">. It is characterized by a decreased concentration of hemoglobin in the blood, impairing oxygen transport and leading to fatigue, weakness, and diminished cognitive function (World Health Organization [WHO], 2021). Among the various causes of anaemia, menstrual blood loss has been identified as a major contributor, especially in adolescent and young adult females who experience cyclical bleeding (Kaur &amp; </w:t>
      </w:r>
      <w:r w:rsidRPr="00E82EE4">
        <w:rPr>
          <w:rFonts w:ascii="Arial" w:hAnsi="Arial" w:cs="Arial"/>
          <w:color w:val="000000" w:themeColor="text1"/>
          <w:lang w:eastAsia="en-GB"/>
        </w:rPr>
        <w:lastRenderedPageBreak/>
        <w:t>Deshmukh, 2020). Menstrual disorders, irregular cycles, and heavy bleeding may further exacerbate iron deficiency, thereby increasing the risk of anaemia (Mehta et al., 2020).</w:t>
      </w:r>
    </w:p>
    <w:p w14:paraId="3B6E826D" w14:textId="77777777" w:rsidR="002B2047" w:rsidRPr="00E82EE4" w:rsidRDefault="002B2047" w:rsidP="002B2047">
      <w:pPr>
        <w:snapToGrid w:val="0"/>
        <w:jc w:val="both"/>
        <w:rPr>
          <w:rFonts w:ascii="Arial" w:hAnsi="Arial" w:cs="Arial"/>
          <w:color w:val="000000" w:themeColor="text1"/>
          <w:lang w:eastAsia="en-GB"/>
        </w:rPr>
      </w:pPr>
    </w:p>
    <w:p w14:paraId="198E69F7" w14:textId="77777777" w:rsidR="002B2047" w:rsidRPr="00E82EE4" w:rsidRDefault="002B2047" w:rsidP="002B2047">
      <w:pPr>
        <w:snapToGrid w:val="0"/>
        <w:jc w:val="both"/>
        <w:rPr>
          <w:rFonts w:ascii="Arial" w:hAnsi="Arial" w:cs="Arial"/>
          <w:color w:val="000000" w:themeColor="text1"/>
          <w:lang w:eastAsia="en-GB"/>
        </w:rPr>
      </w:pPr>
      <w:r w:rsidRPr="00E82EE4">
        <w:rPr>
          <w:rFonts w:ascii="Arial" w:hAnsi="Arial" w:cs="Arial"/>
          <w:color w:val="000000" w:themeColor="text1"/>
          <w:lang w:eastAsia="en-GB"/>
        </w:rPr>
        <w:t>In educational settings, particularly among allied healthcare students, the consequences of anaemia extend beyond physical discomfort. Anaemia has been associated with impaired concentration, reduced academic performance, and decreased participation in extracurricular activities (Patil et al., 2019). Given that this group represents future healthcare providers, maintaining optimal health is imperative not only for their personal well-being but also for their professional competency. Despite the known association between menstruation and iron deficiency, limited studies have investigated the extent to which menstrual cycles contribute to anaemia in this population and whether the condition is reversible through nutritional interventions and lifestyle modifications.</w:t>
      </w:r>
    </w:p>
    <w:p w14:paraId="0783DE75" w14:textId="77777777" w:rsidR="002B2047" w:rsidRPr="00E82EE4" w:rsidRDefault="002B2047" w:rsidP="002B2047">
      <w:pPr>
        <w:snapToGrid w:val="0"/>
        <w:jc w:val="both"/>
        <w:rPr>
          <w:rFonts w:ascii="Arial" w:hAnsi="Arial" w:cs="Arial"/>
          <w:color w:val="000000" w:themeColor="text1"/>
          <w:lang w:eastAsia="en-GB"/>
        </w:rPr>
      </w:pPr>
    </w:p>
    <w:p w14:paraId="68F9EB0B" w14:textId="77777777" w:rsidR="002B2047" w:rsidRPr="00E82EE4" w:rsidRDefault="002B2047" w:rsidP="002B2047">
      <w:pPr>
        <w:snapToGrid w:val="0"/>
        <w:jc w:val="both"/>
        <w:rPr>
          <w:rFonts w:ascii="Arial" w:hAnsi="Arial" w:cs="Arial"/>
          <w:color w:val="000000" w:themeColor="text1"/>
          <w:lang w:eastAsia="en-GB"/>
        </w:rPr>
      </w:pPr>
      <w:r w:rsidRPr="00E82EE4">
        <w:rPr>
          <w:rFonts w:ascii="Arial" w:hAnsi="Arial" w:cs="Arial"/>
          <w:color w:val="000000" w:themeColor="text1"/>
          <w:lang w:eastAsia="en-GB"/>
        </w:rPr>
        <w:t>The potential reversibility of anaemia is of particular importance in the context of student health programs. Early detection and management through dietary counseling, supplementation, and awareness can prevent long-term complications and improve overall academic and physical performance (Hurrell &amp; Egli, 2010). However, there is a lack of region-specific data from Tripura, where socio-economic factors, dietary habits, and access to healthcare may influence the prevalence and management of anaemia.</w:t>
      </w:r>
    </w:p>
    <w:p w14:paraId="56BAFC35" w14:textId="77777777" w:rsidR="002B2047" w:rsidRPr="00E82EE4" w:rsidRDefault="002B2047" w:rsidP="002B2047">
      <w:pPr>
        <w:snapToGrid w:val="0"/>
        <w:jc w:val="both"/>
        <w:rPr>
          <w:rFonts w:ascii="Arial" w:hAnsi="Arial" w:cs="Arial"/>
          <w:color w:val="000000" w:themeColor="text1"/>
          <w:lang w:eastAsia="en-GB"/>
        </w:rPr>
      </w:pPr>
    </w:p>
    <w:p w14:paraId="5E6A56B7" w14:textId="77777777" w:rsidR="002B2047" w:rsidRPr="00E82EE4" w:rsidRDefault="002B2047" w:rsidP="002B2047">
      <w:pPr>
        <w:snapToGrid w:val="0"/>
        <w:jc w:val="both"/>
        <w:rPr>
          <w:rFonts w:ascii="Arial" w:hAnsi="Arial" w:cs="Arial"/>
          <w:color w:val="000000" w:themeColor="text1"/>
          <w:lang w:eastAsia="en-GB"/>
        </w:rPr>
      </w:pPr>
      <w:r w:rsidRPr="00E82EE4">
        <w:rPr>
          <w:rFonts w:ascii="Arial" w:hAnsi="Arial" w:cs="Arial"/>
          <w:color w:val="000000" w:themeColor="text1"/>
          <w:lang w:eastAsia="en-GB"/>
        </w:rPr>
        <w:t>Therefore, this study aims to explore the role of menstrual cycles in the development of anaemia and assess its potential reversibility among allied healthcare students in Tripura. By identifying patterns and contributing factors, the research intends to provide actionable recommendations for health interventions and policies tailored to the needs of this vulnerable population.</w:t>
      </w:r>
    </w:p>
    <w:p w14:paraId="308DA60A" w14:textId="77777777" w:rsidR="00B01FCD" w:rsidRPr="00E82EE4" w:rsidRDefault="00B01FCD" w:rsidP="00441B6F">
      <w:pPr>
        <w:pStyle w:val="Body"/>
        <w:spacing w:after="0"/>
        <w:rPr>
          <w:rFonts w:ascii="Arial" w:hAnsi="Arial" w:cs="Arial"/>
          <w:color w:val="000000" w:themeColor="text1"/>
        </w:rPr>
      </w:pPr>
    </w:p>
    <w:p w14:paraId="45279544" w14:textId="77777777" w:rsidR="00790ADA" w:rsidRPr="00E82EE4" w:rsidRDefault="00790ADA" w:rsidP="00441B6F">
      <w:pPr>
        <w:pStyle w:val="Body"/>
        <w:spacing w:after="0"/>
        <w:rPr>
          <w:rFonts w:ascii="Arial" w:hAnsi="Arial" w:cs="Arial"/>
          <w:color w:val="000000" w:themeColor="text1"/>
        </w:rPr>
      </w:pPr>
    </w:p>
    <w:p w14:paraId="1A961E0F" w14:textId="11477463" w:rsidR="007F7B32" w:rsidRPr="00E82EE4" w:rsidRDefault="00902823" w:rsidP="00441B6F">
      <w:pPr>
        <w:pStyle w:val="AbstHead"/>
        <w:spacing w:after="0"/>
        <w:jc w:val="both"/>
        <w:rPr>
          <w:rFonts w:ascii="Arial" w:hAnsi="Arial" w:cs="Arial"/>
          <w:color w:val="000000" w:themeColor="text1"/>
        </w:rPr>
      </w:pPr>
      <w:r w:rsidRPr="00E82EE4">
        <w:rPr>
          <w:rFonts w:ascii="Arial" w:hAnsi="Arial" w:cs="Arial"/>
          <w:color w:val="000000" w:themeColor="text1"/>
        </w:rPr>
        <w:t>2. material and method</w:t>
      </w:r>
      <w:r w:rsidR="00000F8F" w:rsidRPr="00E82EE4">
        <w:rPr>
          <w:rFonts w:ascii="Arial" w:hAnsi="Arial" w:cs="Arial"/>
          <w:color w:val="000000" w:themeColor="text1"/>
        </w:rPr>
        <w:t xml:space="preserve">s </w:t>
      </w:r>
    </w:p>
    <w:p w14:paraId="0C0BDC73" w14:textId="77777777" w:rsidR="00790ADA" w:rsidRPr="00E82EE4" w:rsidRDefault="00790ADA" w:rsidP="00441B6F">
      <w:pPr>
        <w:pStyle w:val="AbstHead"/>
        <w:spacing w:after="0"/>
        <w:jc w:val="both"/>
        <w:rPr>
          <w:rFonts w:ascii="Arial" w:hAnsi="Arial" w:cs="Arial"/>
          <w:color w:val="000000" w:themeColor="text1"/>
        </w:rPr>
      </w:pPr>
    </w:p>
    <w:p w14:paraId="3E14E7B1" w14:textId="77777777" w:rsidR="002B2047" w:rsidRPr="00E82EE4" w:rsidRDefault="002B2047" w:rsidP="002B2047">
      <w:pPr>
        <w:snapToGrid w:val="0"/>
        <w:jc w:val="both"/>
        <w:outlineLvl w:val="2"/>
        <w:rPr>
          <w:rFonts w:ascii="Arial" w:hAnsi="Arial" w:cs="Arial"/>
          <w:color w:val="000000" w:themeColor="text1"/>
          <w:lang w:eastAsia="en-GB"/>
        </w:rPr>
      </w:pPr>
      <w:r w:rsidRPr="00E82EE4">
        <w:rPr>
          <w:rFonts w:ascii="Arial" w:hAnsi="Arial" w:cs="Arial"/>
          <w:b/>
          <w:bCs/>
          <w:color w:val="000000" w:themeColor="text1"/>
          <w:lang w:eastAsia="en-GB"/>
        </w:rPr>
        <w:t>2.1 Study Design and Setting:</w:t>
      </w:r>
      <w:r w:rsidRPr="00E82EE4">
        <w:rPr>
          <w:rFonts w:ascii="Arial" w:hAnsi="Arial" w:cs="Arial"/>
          <w:color w:val="000000" w:themeColor="text1"/>
          <w:lang w:eastAsia="en-GB"/>
        </w:rPr>
        <w:t xml:space="preserve"> This observational cross-sectional study was conducted from January 2025 to May 2025 among allied healthcare students in West Tripura, India. The primary objective of this study was to investigate the role of menstrual cycles in the development of anaemia and its potential reversibility among female students. The purpose, procedures, and expectations were explained to all participants through a structured proforma. Written informed consent was obtained prior to any anthropometric measurements or blood sample collection.</w:t>
      </w:r>
    </w:p>
    <w:p w14:paraId="430948D1" w14:textId="77777777" w:rsidR="002B2047" w:rsidRPr="00E82EE4" w:rsidRDefault="002B2047" w:rsidP="002B2047">
      <w:pPr>
        <w:snapToGrid w:val="0"/>
        <w:jc w:val="both"/>
        <w:outlineLvl w:val="2"/>
        <w:rPr>
          <w:rFonts w:ascii="Arial" w:hAnsi="Arial" w:cs="Arial"/>
          <w:color w:val="000000" w:themeColor="text1"/>
          <w:lang w:eastAsia="en-GB"/>
        </w:rPr>
      </w:pPr>
    </w:p>
    <w:p w14:paraId="563B59C2" w14:textId="77777777" w:rsidR="002B2047" w:rsidRPr="00E82EE4" w:rsidRDefault="002B2047" w:rsidP="002B2047">
      <w:pPr>
        <w:snapToGrid w:val="0"/>
        <w:jc w:val="both"/>
        <w:outlineLvl w:val="2"/>
        <w:rPr>
          <w:rFonts w:ascii="Arial" w:hAnsi="Arial" w:cs="Arial"/>
          <w:color w:val="000000" w:themeColor="text1"/>
          <w:lang w:eastAsia="en-GB"/>
        </w:rPr>
      </w:pPr>
      <w:r w:rsidRPr="00E82EE4">
        <w:rPr>
          <w:rFonts w:ascii="Arial" w:hAnsi="Arial" w:cs="Arial"/>
          <w:b/>
          <w:bCs/>
          <w:color w:val="000000" w:themeColor="text1"/>
          <w:lang w:eastAsia="en-GB"/>
        </w:rPr>
        <w:t>2.2 Sample Selection and Ethical Considerations:</w:t>
      </w:r>
      <w:r w:rsidRPr="00E82EE4">
        <w:rPr>
          <w:rFonts w:ascii="Arial" w:hAnsi="Arial" w:cs="Arial"/>
          <w:color w:val="000000" w:themeColor="text1"/>
          <w:lang w:eastAsia="en-GB"/>
        </w:rPr>
        <w:t xml:space="preserve"> A total of 140 female students aged between 18 and 21 years were initially screened, out of which 128 students were selected for final analysis after applying inclusion and exclusion criteria. Ethical permission was taken from the respective authority before conducting the study.</w:t>
      </w:r>
    </w:p>
    <w:p w14:paraId="3DEF4D88" w14:textId="77777777" w:rsidR="002B2047" w:rsidRPr="00E82EE4" w:rsidRDefault="002B2047" w:rsidP="002B2047">
      <w:pPr>
        <w:snapToGrid w:val="0"/>
        <w:jc w:val="both"/>
        <w:outlineLvl w:val="2"/>
        <w:rPr>
          <w:rFonts w:ascii="Arial" w:hAnsi="Arial" w:cs="Arial"/>
          <w:color w:val="000000" w:themeColor="text1"/>
          <w:lang w:eastAsia="en-GB"/>
        </w:rPr>
      </w:pPr>
    </w:p>
    <w:p w14:paraId="207E1D05" w14:textId="77777777" w:rsidR="002B2047" w:rsidRPr="00E82EE4" w:rsidRDefault="00FC5684" w:rsidP="002B2047">
      <w:pPr>
        <w:snapToGrid w:val="0"/>
        <w:jc w:val="both"/>
        <w:outlineLvl w:val="2"/>
        <w:rPr>
          <w:rFonts w:ascii="Arial" w:hAnsi="Arial" w:cs="Arial"/>
          <w:color w:val="000000" w:themeColor="text1"/>
          <w:lang w:eastAsia="en-GB"/>
        </w:rPr>
      </w:pPr>
      <w:r w:rsidRPr="00E82EE4">
        <w:rPr>
          <w:rFonts w:ascii="Arial" w:hAnsi="Arial" w:cs="Arial"/>
          <w:b/>
          <w:bCs/>
          <w:color w:val="000000" w:themeColor="text1"/>
          <w:lang w:eastAsia="en-GB"/>
        </w:rPr>
        <w:t xml:space="preserve">2.3 </w:t>
      </w:r>
      <w:r w:rsidR="002B2047" w:rsidRPr="00E82EE4">
        <w:rPr>
          <w:rFonts w:ascii="Arial" w:hAnsi="Arial" w:cs="Arial"/>
          <w:b/>
          <w:bCs/>
          <w:color w:val="000000" w:themeColor="text1"/>
          <w:lang w:eastAsia="en-GB"/>
        </w:rPr>
        <w:t>Inclusion and Exclusion Criteria:</w:t>
      </w:r>
      <w:r w:rsidR="002B2047" w:rsidRPr="00E82EE4">
        <w:rPr>
          <w:rFonts w:ascii="Arial" w:hAnsi="Arial" w:cs="Arial"/>
          <w:color w:val="000000" w:themeColor="text1"/>
          <w:lang w:eastAsia="en-GB"/>
        </w:rPr>
        <w:t xml:space="preserve"> Participants were eligible if they were female undergraduate students aged 18–21 years with a regular menstrual cycle (21–35 days) for at least the previous six months, free from known chronic illnesses or severe diseases, and had not consumed iron supplements in the last three months. Students with a history of Polycystic Ovary Syndrome (PCOS), hormonal medication use, pregnancy, lactation, recent infections, surgeries, or blood donation within the last three months were excluded from the study.</w:t>
      </w:r>
    </w:p>
    <w:p w14:paraId="212C0EA7" w14:textId="77777777" w:rsidR="002B2047" w:rsidRPr="00E82EE4" w:rsidRDefault="00FC5684" w:rsidP="002B2047">
      <w:pPr>
        <w:pStyle w:val="p1"/>
        <w:jc w:val="both"/>
        <w:rPr>
          <w:rFonts w:ascii="Arial" w:hAnsi="Arial" w:cs="Arial"/>
          <w:color w:val="000000" w:themeColor="text1"/>
          <w:sz w:val="20"/>
          <w:szCs w:val="20"/>
        </w:rPr>
      </w:pPr>
      <w:r w:rsidRPr="00E82EE4">
        <w:rPr>
          <w:rFonts w:ascii="Arial" w:hAnsi="Arial" w:cs="Arial"/>
          <w:b/>
          <w:bCs/>
          <w:color w:val="000000" w:themeColor="text1"/>
          <w:sz w:val="20"/>
          <w:szCs w:val="20"/>
        </w:rPr>
        <w:t xml:space="preserve">2.4 </w:t>
      </w:r>
      <w:r w:rsidR="002B2047" w:rsidRPr="00E82EE4">
        <w:rPr>
          <w:rFonts w:ascii="Arial" w:hAnsi="Arial" w:cs="Arial"/>
          <w:b/>
          <w:bCs/>
          <w:color w:val="000000" w:themeColor="text1"/>
          <w:sz w:val="20"/>
          <w:szCs w:val="20"/>
        </w:rPr>
        <w:t>Anthropometric Measurements:</w:t>
      </w:r>
      <w:r w:rsidR="002B2047" w:rsidRPr="00E82EE4">
        <w:rPr>
          <w:rFonts w:ascii="Arial" w:hAnsi="Arial" w:cs="Arial"/>
          <w:color w:val="000000" w:themeColor="text1"/>
          <w:sz w:val="20"/>
          <w:szCs w:val="20"/>
        </w:rPr>
        <w:t xml:space="preserve"> Anthropometric measurements were recorded for each participant. Height was measured to the nearest 0.1 cm using a stadiometer while the subject stood erect with arms by her sides. Weight was measured to the nearest 0.1 kg </w:t>
      </w:r>
      <w:r w:rsidR="002B2047" w:rsidRPr="00E82EE4">
        <w:rPr>
          <w:rFonts w:ascii="Arial" w:hAnsi="Arial" w:cs="Arial"/>
          <w:color w:val="000000" w:themeColor="text1"/>
          <w:sz w:val="20"/>
          <w:szCs w:val="20"/>
        </w:rPr>
        <w:lastRenderedPageBreak/>
        <w:t>using a calibrated digital scale with minimal clothing, and two readings were taken and averaged. Body mass index (BMI) was calculated using the formula BMI = Weight (kg) / Height (m)², and the classification of BMI followed the World Health Organization (WHO, 1995) guidelines.</w:t>
      </w:r>
    </w:p>
    <w:p w14:paraId="323ADB3C" w14:textId="77777777" w:rsidR="002B2047" w:rsidRPr="00E82EE4" w:rsidRDefault="00FC5684" w:rsidP="005B1BDE">
      <w:pPr>
        <w:snapToGrid w:val="0"/>
        <w:jc w:val="both"/>
        <w:outlineLvl w:val="3"/>
        <w:rPr>
          <w:rFonts w:ascii="Arial" w:hAnsi="Arial" w:cs="Arial"/>
          <w:color w:val="000000" w:themeColor="text1"/>
          <w:lang w:eastAsia="en-GB"/>
        </w:rPr>
      </w:pPr>
      <w:r w:rsidRPr="00E82EE4">
        <w:rPr>
          <w:rFonts w:ascii="Arial" w:hAnsi="Arial" w:cs="Arial"/>
          <w:b/>
          <w:bCs/>
          <w:color w:val="000000" w:themeColor="text1"/>
          <w:lang w:eastAsia="en-GB"/>
        </w:rPr>
        <w:t xml:space="preserve">2.5 </w:t>
      </w:r>
      <w:r w:rsidR="002B2047" w:rsidRPr="00E82EE4">
        <w:rPr>
          <w:rFonts w:ascii="Arial" w:hAnsi="Arial" w:cs="Arial"/>
          <w:b/>
          <w:bCs/>
          <w:color w:val="000000" w:themeColor="text1"/>
          <w:lang w:eastAsia="en-GB"/>
        </w:rPr>
        <w:t>Vital Signs:</w:t>
      </w:r>
      <w:r w:rsidR="002B2047" w:rsidRPr="00E82EE4">
        <w:rPr>
          <w:rFonts w:ascii="Arial" w:hAnsi="Arial" w:cs="Arial"/>
          <w:color w:val="000000" w:themeColor="text1"/>
          <w:lang w:eastAsia="en-GB"/>
        </w:rPr>
        <w:t xml:space="preserve"> Body temperature, pulse rate, and respiration rate were recorded to assess the general health status of the participants, in line with standard clinical practices (Sapra, 2022).</w:t>
      </w:r>
    </w:p>
    <w:p w14:paraId="16F959FA" w14:textId="77777777" w:rsidR="002B2047" w:rsidRPr="00E82EE4" w:rsidRDefault="00FC5684" w:rsidP="00FD79C8">
      <w:pPr>
        <w:pStyle w:val="p1"/>
        <w:jc w:val="both"/>
        <w:rPr>
          <w:rFonts w:ascii="Arial" w:hAnsi="Arial" w:cs="Arial"/>
          <w:color w:val="000000" w:themeColor="text1"/>
        </w:rPr>
      </w:pPr>
      <w:r w:rsidRPr="00E82EE4">
        <w:rPr>
          <w:rFonts w:ascii="Arial" w:hAnsi="Arial" w:cs="Arial"/>
          <w:b/>
          <w:bCs/>
          <w:color w:val="000000" w:themeColor="text1"/>
          <w:sz w:val="20"/>
          <w:szCs w:val="20"/>
        </w:rPr>
        <w:t xml:space="preserve">2.6 </w:t>
      </w:r>
      <w:r w:rsidR="002B2047" w:rsidRPr="00E82EE4">
        <w:rPr>
          <w:rFonts w:ascii="Arial" w:hAnsi="Arial" w:cs="Arial"/>
          <w:b/>
          <w:bCs/>
          <w:color w:val="000000" w:themeColor="text1"/>
          <w:sz w:val="20"/>
          <w:szCs w:val="20"/>
        </w:rPr>
        <w:t>Blood Sample Collection:</w:t>
      </w:r>
      <w:r w:rsidR="002B2047" w:rsidRPr="00E82EE4">
        <w:rPr>
          <w:rFonts w:ascii="Arial" w:hAnsi="Arial" w:cs="Arial"/>
          <w:color w:val="000000" w:themeColor="text1"/>
          <w:sz w:val="20"/>
          <w:szCs w:val="20"/>
        </w:rPr>
        <w:t xml:space="preserve"> </w:t>
      </w:r>
      <w:r w:rsidR="00057512" w:rsidRPr="00E82EE4">
        <w:rPr>
          <w:rFonts w:ascii="Arial" w:hAnsi="Arial" w:cs="Arial"/>
          <w:color w:val="000000" w:themeColor="text1"/>
          <w:sz w:val="20"/>
          <w:szCs w:val="20"/>
        </w:rPr>
        <w:t>Venous blood samples (2 ml) were collected three times between 9:00 and 10:00 AM under aseptic conditions. The first sample was collected on a random day of the month</w:t>
      </w:r>
      <w:r w:rsidR="00E82EE4" w:rsidRPr="00E82EE4">
        <w:rPr>
          <w:rFonts w:ascii="Arial" w:hAnsi="Arial" w:cs="Arial"/>
          <w:color w:val="000000" w:themeColor="text1"/>
          <w:sz w:val="20"/>
          <w:szCs w:val="20"/>
        </w:rPr>
        <w:t>, February 2025</w:t>
      </w:r>
      <w:r w:rsidR="00057512" w:rsidRPr="00E82EE4">
        <w:rPr>
          <w:rFonts w:ascii="Arial" w:hAnsi="Arial" w:cs="Arial"/>
          <w:color w:val="000000" w:themeColor="text1"/>
          <w:sz w:val="20"/>
          <w:szCs w:val="20"/>
        </w:rPr>
        <w:t>, the second during the follicular phase, and the third during the luteal phase of the menstrual cycle, and all samples were transferred into EDTA-coated vacutainer vials.”</w:t>
      </w:r>
    </w:p>
    <w:p w14:paraId="76FD82BD" w14:textId="77777777" w:rsidR="002B2047" w:rsidRPr="00E82EE4" w:rsidRDefault="00FC5684" w:rsidP="002B2047">
      <w:pPr>
        <w:snapToGrid w:val="0"/>
        <w:jc w:val="both"/>
        <w:outlineLvl w:val="3"/>
        <w:rPr>
          <w:rFonts w:ascii="Arial" w:hAnsi="Arial" w:cs="Arial"/>
          <w:color w:val="000000" w:themeColor="text1"/>
          <w:lang w:eastAsia="en-GB"/>
        </w:rPr>
      </w:pPr>
      <w:r w:rsidRPr="00E82EE4">
        <w:rPr>
          <w:rFonts w:ascii="Arial" w:hAnsi="Arial" w:cs="Arial"/>
          <w:b/>
          <w:bCs/>
          <w:color w:val="000000" w:themeColor="text1"/>
          <w:lang w:eastAsia="en-GB"/>
        </w:rPr>
        <w:t xml:space="preserve">2.7 </w:t>
      </w:r>
      <w:r w:rsidR="002B2047" w:rsidRPr="00E82EE4">
        <w:rPr>
          <w:rFonts w:ascii="Arial" w:hAnsi="Arial" w:cs="Arial"/>
          <w:b/>
          <w:bCs/>
          <w:color w:val="000000" w:themeColor="text1"/>
          <w:lang w:eastAsia="en-GB"/>
        </w:rPr>
        <w:t>Haemoglobin (Hb):</w:t>
      </w:r>
      <w:r w:rsidR="002B2047" w:rsidRPr="00E82EE4">
        <w:rPr>
          <w:rFonts w:ascii="Arial" w:hAnsi="Arial" w:cs="Arial"/>
          <w:color w:val="000000" w:themeColor="text1"/>
          <w:lang w:eastAsia="en-GB"/>
        </w:rPr>
        <w:t xml:space="preserve"> Measured using the </w:t>
      </w:r>
      <w:proofErr w:type="spellStart"/>
      <w:r w:rsidR="002B2047" w:rsidRPr="00E82EE4">
        <w:rPr>
          <w:rFonts w:ascii="Arial" w:hAnsi="Arial" w:cs="Arial"/>
          <w:color w:val="000000" w:themeColor="text1"/>
          <w:lang w:eastAsia="en-GB"/>
        </w:rPr>
        <w:t>cyanmethaemoglobin</w:t>
      </w:r>
      <w:proofErr w:type="spellEnd"/>
      <w:r w:rsidR="002B2047" w:rsidRPr="00E82EE4">
        <w:rPr>
          <w:rFonts w:ascii="Arial" w:hAnsi="Arial" w:cs="Arial"/>
          <w:color w:val="000000" w:themeColor="text1"/>
          <w:lang w:eastAsia="en-GB"/>
        </w:rPr>
        <w:t xml:space="preserve"> method, where </w:t>
      </w:r>
      <w:proofErr w:type="spellStart"/>
      <w:r w:rsidR="002B2047" w:rsidRPr="00E82EE4">
        <w:rPr>
          <w:rFonts w:ascii="Arial" w:hAnsi="Arial" w:cs="Arial"/>
          <w:color w:val="000000" w:themeColor="text1"/>
          <w:lang w:eastAsia="en-GB"/>
        </w:rPr>
        <w:t>Drabkin’s</w:t>
      </w:r>
      <w:proofErr w:type="spellEnd"/>
      <w:r w:rsidR="002B2047" w:rsidRPr="00E82EE4">
        <w:rPr>
          <w:rFonts w:ascii="Arial" w:hAnsi="Arial" w:cs="Arial"/>
          <w:color w:val="000000" w:themeColor="text1"/>
          <w:lang w:eastAsia="en-GB"/>
        </w:rPr>
        <w:t xml:space="preserve"> solution containing potassium ferricyanide and potassium cyanide reacts with haemoglobin to form a stable </w:t>
      </w:r>
      <w:proofErr w:type="spellStart"/>
      <w:r w:rsidR="002B2047" w:rsidRPr="00E82EE4">
        <w:rPr>
          <w:rFonts w:ascii="Arial" w:hAnsi="Arial" w:cs="Arial"/>
          <w:color w:val="000000" w:themeColor="text1"/>
          <w:lang w:eastAsia="en-GB"/>
        </w:rPr>
        <w:t>colo</w:t>
      </w:r>
      <w:r w:rsidR="007A453E" w:rsidRPr="00E82EE4">
        <w:rPr>
          <w:rFonts w:ascii="Arial" w:hAnsi="Arial" w:cs="Arial"/>
          <w:color w:val="000000" w:themeColor="text1"/>
          <w:lang w:eastAsia="en-GB"/>
        </w:rPr>
        <w:t>u</w:t>
      </w:r>
      <w:r w:rsidR="002B2047" w:rsidRPr="00E82EE4">
        <w:rPr>
          <w:rFonts w:ascii="Arial" w:hAnsi="Arial" w:cs="Arial"/>
          <w:color w:val="000000" w:themeColor="text1"/>
          <w:lang w:eastAsia="en-GB"/>
        </w:rPr>
        <w:t>red</w:t>
      </w:r>
      <w:proofErr w:type="spellEnd"/>
      <w:r w:rsidR="002B2047" w:rsidRPr="00E82EE4">
        <w:rPr>
          <w:rFonts w:ascii="Arial" w:hAnsi="Arial" w:cs="Arial"/>
          <w:color w:val="000000" w:themeColor="text1"/>
          <w:lang w:eastAsia="en-GB"/>
        </w:rPr>
        <w:t xml:space="preserve"> complex. Absorbance was measured at 540 nm using a colorimeter, and haemoglobin concentration was calculated against a standard reference solution (</w:t>
      </w:r>
      <w:proofErr w:type="spellStart"/>
      <w:r w:rsidR="002B2047" w:rsidRPr="00E82EE4">
        <w:rPr>
          <w:rFonts w:ascii="Arial" w:hAnsi="Arial" w:cs="Arial"/>
          <w:color w:val="000000" w:themeColor="text1"/>
          <w:lang w:eastAsia="en-GB"/>
        </w:rPr>
        <w:t>Godkar</w:t>
      </w:r>
      <w:proofErr w:type="spellEnd"/>
      <w:r w:rsidR="002B2047" w:rsidRPr="00E82EE4">
        <w:rPr>
          <w:rFonts w:ascii="Arial" w:hAnsi="Arial" w:cs="Arial"/>
          <w:color w:val="000000" w:themeColor="text1"/>
          <w:lang w:eastAsia="en-GB"/>
        </w:rPr>
        <w:t xml:space="preserve"> &amp; </w:t>
      </w:r>
      <w:proofErr w:type="spellStart"/>
      <w:r w:rsidR="002B2047" w:rsidRPr="00E82EE4">
        <w:rPr>
          <w:rFonts w:ascii="Arial" w:hAnsi="Arial" w:cs="Arial"/>
          <w:color w:val="000000" w:themeColor="text1"/>
          <w:lang w:eastAsia="en-GB"/>
        </w:rPr>
        <w:t>Godkar</w:t>
      </w:r>
      <w:proofErr w:type="spellEnd"/>
      <w:r w:rsidR="002B2047" w:rsidRPr="00E82EE4">
        <w:rPr>
          <w:rFonts w:ascii="Arial" w:hAnsi="Arial" w:cs="Arial"/>
          <w:color w:val="000000" w:themeColor="text1"/>
          <w:lang w:eastAsia="en-GB"/>
        </w:rPr>
        <w:t>, 2016).</w:t>
      </w:r>
    </w:p>
    <w:p w14:paraId="768D9254" w14:textId="77777777" w:rsidR="002B2047" w:rsidRPr="00E82EE4" w:rsidRDefault="002B2047" w:rsidP="002B2047">
      <w:pPr>
        <w:snapToGrid w:val="0"/>
        <w:jc w:val="both"/>
        <w:outlineLvl w:val="3"/>
        <w:rPr>
          <w:rFonts w:ascii="Arial" w:hAnsi="Arial" w:cs="Arial"/>
          <w:color w:val="000000" w:themeColor="text1"/>
          <w:lang w:eastAsia="en-GB"/>
        </w:rPr>
      </w:pPr>
    </w:p>
    <w:p w14:paraId="3033A284" w14:textId="77777777" w:rsidR="002B2047" w:rsidRPr="00E82EE4" w:rsidRDefault="00FC5684" w:rsidP="002B2047">
      <w:pPr>
        <w:snapToGrid w:val="0"/>
        <w:jc w:val="both"/>
        <w:outlineLvl w:val="3"/>
        <w:rPr>
          <w:rFonts w:ascii="Arial" w:hAnsi="Arial" w:cs="Arial"/>
          <w:color w:val="000000" w:themeColor="text1"/>
          <w:lang w:eastAsia="en-GB"/>
        </w:rPr>
      </w:pPr>
      <w:r w:rsidRPr="00E82EE4">
        <w:rPr>
          <w:rFonts w:ascii="Arial" w:hAnsi="Arial" w:cs="Arial"/>
          <w:b/>
          <w:bCs/>
          <w:color w:val="000000" w:themeColor="text1"/>
          <w:lang w:eastAsia="en-GB"/>
        </w:rPr>
        <w:t xml:space="preserve">2.8 </w:t>
      </w:r>
      <w:r w:rsidR="002B2047" w:rsidRPr="00E82EE4">
        <w:rPr>
          <w:rFonts w:ascii="Arial" w:hAnsi="Arial" w:cs="Arial"/>
          <w:b/>
          <w:bCs/>
          <w:color w:val="000000" w:themeColor="text1"/>
          <w:lang w:eastAsia="en-GB"/>
        </w:rPr>
        <w:t>Haematocrit (HCT):</w:t>
      </w:r>
      <w:r w:rsidR="002B2047" w:rsidRPr="00E82EE4">
        <w:rPr>
          <w:rFonts w:ascii="Arial" w:hAnsi="Arial" w:cs="Arial"/>
          <w:color w:val="000000" w:themeColor="text1"/>
          <w:lang w:eastAsia="en-GB"/>
        </w:rPr>
        <w:t xml:space="preserve"> Packed cell volume (PCV) was determined using the microhematocrit method. Anticoagulated blood was filled into Wintrobe tubes and centrifuged at 3000 RPM for 30 minutes. The percentage of packed red cells was recorded from the tube’s calibrated markings (</w:t>
      </w:r>
      <w:proofErr w:type="spellStart"/>
      <w:r w:rsidR="002B2047" w:rsidRPr="00E82EE4">
        <w:rPr>
          <w:rFonts w:ascii="Arial" w:hAnsi="Arial" w:cs="Arial"/>
          <w:color w:val="000000" w:themeColor="text1"/>
          <w:lang w:eastAsia="en-GB"/>
        </w:rPr>
        <w:t>Godkar</w:t>
      </w:r>
      <w:proofErr w:type="spellEnd"/>
      <w:r w:rsidR="002B2047" w:rsidRPr="00E82EE4">
        <w:rPr>
          <w:rFonts w:ascii="Arial" w:hAnsi="Arial" w:cs="Arial"/>
          <w:color w:val="000000" w:themeColor="text1"/>
          <w:lang w:eastAsia="en-GB"/>
        </w:rPr>
        <w:t xml:space="preserve"> &amp; </w:t>
      </w:r>
      <w:proofErr w:type="spellStart"/>
      <w:r w:rsidR="002B2047" w:rsidRPr="00E82EE4">
        <w:rPr>
          <w:rFonts w:ascii="Arial" w:hAnsi="Arial" w:cs="Arial"/>
          <w:color w:val="000000" w:themeColor="text1"/>
          <w:lang w:eastAsia="en-GB"/>
        </w:rPr>
        <w:t>Godkar</w:t>
      </w:r>
      <w:proofErr w:type="spellEnd"/>
      <w:r w:rsidR="002B2047" w:rsidRPr="00E82EE4">
        <w:rPr>
          <w:rFonts w:ascii="Arial" w:hAnsi="Arial" w:cs="Arial"/>
          <w:color w:val="000000" w:themeColor="text1"/>
          <w:lang w:eastAsia="en-GB"/>
        </w:rPr>
        <w:t>, 2016).</w:t>
      </w:r>
    </w:p>
    <w:p w14:paraId="47EE817D" w14:textId="77777777" w:rsidR="002B2047" w:rsidRPr="00E82EE4" w:rsidRDefault="002B2047" w:rsidP="002B2047">
      <w:pPr>
        <w:snapToGrid w:val="0"/>
        <w:jc w:val="both"/>
        <w:outlineLvl w:val="3"/>
        <w:rPr>
          <w:rFonts w:ascii="Arial" w:hAnsi="Arial" w:cs="Arial"/>
          <w:color w:val="000000" w:themeColor="text1"/>
          <w:lang w:eastAsia="en-GB"/>
        </w:rPr>
      </w:pPr>
    </w:p>
    <w:p w14:paraId="23EA6297" w14:textId="77777777" w:rsidR="002B2047" w:rsidRPr="00E82EE4" w:rsidRDefault="00FC5684" w:rsidP="002B2047">
      <w:pPr>
        <w:snapToGrid w:val="0"/>
        <w:jc w:val="both"/>
        <w:outlineLvl w:val="3"/>
        <w:rPr>
          <w:rFonts w:ascii="Arial" w:hAnsi="Arial" w:cs="Arial"/>
          <w:color w:val="000000" w:themeColor="text1"/>
          <w:lang w:eastAsia="en-GB"/>
        </w:rPr>
      </w:pPr>
      <w:r w:rsidRPr="00E82EE4">
        <w:rPr>
          <w:rFonts w:ascii="Arial" w:hAnsi="Arial" w:cs="Arial"/>
          <w:b/>
          <w:bCs/>
          <w:color w:val="000000" w:themeColor="text1"/>
          <w:lang w:eastAsia="en-GB"/>
        </w:rPr>
        <w:t xml:space="preserve">2.9 </w:t>
      </w:r>
      <w:r w:rsidR="002B2047" w:rsidRPr="00E82EE4">
        <w:rPr>
          <w:rFonts w:ascii="Arial" w:hAnsi="Arial" w:cs="Arial"/>
          <w:b/>
          <w:bCs/>
          <w:color w:val="000000" w:themeColor="text1"/>
          <w:lang w:eastAsia="en-GB"/>
        </w:rPr>
        <w:t>Total Red Blood Cell Count (TRBC):</w:t>
      </w:r>
      <w:r w:rsidR="002B2047" w:rsidRPr="00E82EE4">
        <w:rPr>
          <w:rFonts w:ascii="Arial" w:hAnsi="Arial" w:cs="Arial"/>
          <w:color w:val="000000" w:themeColor="text1"/>
          <w:lang w:eastAsia="en-GB"/>
        </w:rPr>
        <w:t xml:space="preserve"> Using a </w:t>
      </w:r>
      <w:proofErr w:type="spellStart"/>
      <w:r w:rsidR="002B2047" w:rsidRPr="00E82EE4">
        <w:rPr>
          <w:rFonts w:ascii="Arial" w:hAnsi="Arial" w:cs="Arial"/>
          <w:color w:val="000000" w:themeColor="text1"/>
          <w:lang w:eastAsia="en-GB"/>
        </w:rPr>
        <w:t>haemocytometer</w:t>
      </w:r>
      <w:proofErr w:type="spellEnd"/>
      <w:r w:rsidR="002B2047" w:rsidRPr="00E82EE4">
        <w:rPr>
          <w:rFonts w:ascii="Arial" w:hAnsi="Arial" w:cs="Arial"/>
          <w:color w:val="000000" w:themeColor="text1"/>
          <w:lang w:eastAsia="en-GB"/>
        </w:rPr>
        <w:t>, blood diluted with Hayem’s fluid was analyzed under high magnification. The cell count was calculated based on known dilution and chamber volume (</w:t>
      </w:r>
      <w:proofErr w:type="spellStart"/>
      <w:r w:rsidR="002B2047" w:rsidRPr="00E82EE4">
        <w:rPr>
          <w:rFonts w:ascii="Arial" w:hAnsi="Arial" w:cs="Arial"/>
          <w:color w:val="000000" w:themeColor="text1"/>
          <w:lang w:eastAsia="en-GB"/>
        </w:rPr>
        <w:t>Godkar</w:t>
      </w:r>
      <w:proofErr w:type="spellEnd"/>
      <w:r w:rsidR="002B2047" w:rsidRPr="00E82EE4">
        <w:rPr>
          <w:rFonts w:ascii="Arial" w:hAnsi="Arial" w:cs="Arial"/>
          <w:color w:val="000000" w:themeColor="text1"/>
          <w:lang w:eastAsia="en-GB"/>
        </w:rPr>
        <w:t xml:space="preserve"> &amp; </w:t>
      </w:r>
      <w:proofErr w:type="spellStart"/>
      <w:r w:rsidR="002B2047" w:rsidRPr="00E82EE4">
        <w:rPr>
          <w:rFonts w:ascii="Arial" w:hAnsi="Arial" w:cs="Arial"/>
          <w:color w:val="000000" w:themeColor="text1"/>
          <w:lang w:eastAsia="en-GB"/>
        </w:rPr>
        <w:t>Godkar</w:t>
      </w:r>
      <w:proofErr w:type="spellEnd"/>
      <w:r w:rsidR="002B2047" w:rsidRPr="00E82EE4">
        <w:rPr>
          <w:rFonts w:ascii="Arial" w:hAnsi="Arial" w:cs="Arial"/>
          <w:color w:val="000000" w:themeColor="text1"/>
          <w:lang w:eastAsia="en-GB"/>
        </w:rPr>
        <w:t>, 2016).</w:t>
      </w:r>
    </w:p>
    <w:p w14:paraId="71D50DF3" w14:textId="77777777" w:rsidR="002B2047" w:rsidRPr="00E82EE4" w:rsidRDefault="002B2047" w:rsidP="002B2047">
      <w:pPr>
        <w:snapToGrid w:val="0"/>
        <w:jc w:val="both"/>
        <w:outlineLvl w:val="3"/>
        <w:rPr>
          <w:rFonts w:ascii="Arial" w:hAnsi="Arial" w:cs="Arial"/>
          <w:color w:val="000000" w:themeColor="text1"/>
          <w:lang w:eastAsia="en-GB"/>
        </w:rPr>
      </w:pPr>
    </w:p>
    <w:p w14:paraId="15850DFA" w14:textId="77777777" w:rsidR="002B2047" w:rsidRPr="00E82EE4" w:rsidRDefault="00FC5684" w:rsidP="002B2047">
      <w:pPr>
        <w:snapToGrid w:val="0"/>
        <w:jc w:val="both"/>
        <w:outlineLvl w:val="3"/>
        <w:rPr>
          <w:rFonts w:ascii="Arial" w:hAnsi="Arial" w:cs="Arial"/>
          <w:color w:val="000000" w:themeColor="text1"/>
          <w:lang w:eastAsia="en-GB"/>
        </w:rPr>
      </w:pPr>
      <w:r w:rsidRPr="00E82EE4">
        <w:rPr>
          <w:rFonts w:ascii="Arial" w:hAnsi="Arial" w:cs="Arial"/>
          <w:b/>
          <w:bCs/>
          <w:color w:val="000000" w:themeColor="text1"/>
          <w:lang w:eastAsia="en-GB"/>
        </w:rPr>
        <w:t xml:space="preserve">2.10 </w:t>
      </w:r>
      <w:r w:rsidR="002B2047" w:rsidRPr="00E82EE4">
        <w:rPr>
          <w:rFonts w:ascii="Arial" w:hAnsi="Arial" w:cs="Arial"/>
          <w:b/>
          <w:bCs/>
          <w:color w:val="000000" w:themeColor="text1"/>
          <w:lang w:eastAsia="en-GB"/>
        </w:rPr>
        <w:t>Red Cell Indices (MCV, MCH, MCHC):</w:t>
      </w:r>
      <w:r w:rsidR="002B2047" w:rsidRPr="00E82EE4">
        <w:rPr>
          <w:rFonts w:ascii="Arial" w:hAnsi="Arial" w:cs="Arial"/>
          <w:color w:val="000000" w:themeColor="text1"/>
          <w:lang w:eastAsia="en-GB"/>
        </w:rPr>
        <w:t xml:space="preserve"> These indices were derived from the measurements of haemoglobin, haematocrit, and RBC count, representing cell size and </w:t>
      </w:r>
      <w:proofErr w:type="spellStart"/>
      <w:r w:rsidR="002B2047" w:rsidRPr="00E82EE4">
        <w:rPr>
          <w:rFonts w:ascii="Arial" w:hAnsi="Arial" w:cs="Arial"/>
          <w:color w:val="000000" w:themeColor="text1"/>
          <w:lang w:eastAsia="en-GB"/>
        </w:rPr>
        <w:t>haemoglobin</w:t>
      </w:r>
      <w:proofErr w:type="spellEnd"/>
      <w:r w:rsidR="002B2047" w:rsidRPr="00E82EE4">
        <w:rPr>
          <w:rFonts w:ascii="Arial" w:hAnsi="Arial" w:cs="Arial"/>
          <w:color w:val="000000" w:themeColor="text1"/>
          <w:lang w:eastAsia="en-GB"/>
        </w:rPr>
        <w:t xml:space="preserve"> concentration (</w:t>
      </w:r>
      <w:proofErr w:type="spellStart"/>
      <w:r w:rsidR="002B2047" w:rsidRPr="00E82EE4">
        <w:rPr>
          <w:rFonts w:ascii="Arial" w:hAnsi="Arial" w:cs="Arial"/>
          <w:color w:val="000000" w:themeColor="text1"/>
          <w:lang w:eastAsia="en-GB"/>
        </w:rPr>
        <w:t>Wintrobe</w:t>
      </w:r>
      <w:proofErr w:type="spellEnd"/>
      <w:r w:rsidR="002B2047" w:rsidRPr="00E82EE4">
        <w:rPr>
          <w:rFonts w:ascii="Arial" w:hAnsi="Arial" w:cs="Arial"/>
          <w:color w:val="000000" w:themeColor="text1"/>
          <w:lang w:eastAsia="en-GB"/>
        </w:rPr>
        <w:t xml:space="preserve">, 1929; </w:t>
      </w:r>
      <w:proofErr w:type="spellStart"/>
      <w:r w:rsidR="002B2047" w:rsidRPr="00E82EE4">
        <w:rPr>
          <w:rFonts w:ascii="Arial" w:hAnsi="Arial" w:cs="Arial"/>
          <w:color w:val="000000" w:themeColor="text1"/>
          <w:lang w:eastAsia="en-GB"/>
        </w:rPr>
        <w:t>Godkar</w:t>
      </w:r>
      <w:proofErr w:type="spellEnd"/>
      <w:r w:rsidR="002B2047" w:rsidRPr="00E82EE4">
        <w:rPr>
          <w:rFonts w:ascii="Arial" w:hAnsi="Arial" w:cs="Arial"/>
          <w:color w:val="000000" w:themeColor="text1"/>
          <w:lang w:eastAsia="en-GB"/>
        </w:rPr>
        <w:t xml:space="preserve"> &amp; </w:t>
      </w:r>
      <w:proofErr w:type="spellStart"/>
      <w:r w:rsidR="002B2047" w:rsidRPr="00E82EE4">
        <w:rPr>
          <w:rFonts w:ascii="Arial" w:hAnsi="Arial" w:cs="Arial"/>
          <w:color w:val="000000" w:themeColor="text1"/>
          <w:lang w:eastAsia="en-GB"/>
        </w:rPr>
        <w:t>Godkar</w:t>
      </w:r>
      <w:proofErr w:type="spellEnd"/>
      <w:r w:rsidR="002B2047" w:rsidRPr="00E82EE4">
        <w:rPr>
          <w:rFonts w:ascii="Arial" w:hAnsi="Arial" w:cs="Arial"/>
          <w:color w:val="000000" w:themeColor="text1"/>
          <w:lang w:eastAsia="en-GB"/>
        </w:rPr>
        <w:t>, 2016).</w:t>
      </w:r>
    </w:p>
    <w:p w14:paraId="2C75FC79" w14:textId="77777777" w:rsidR="002B2047" w:rsidRPr="00E82EE4" w:rsidRDefault="002B2047" w:rsidP="002B2047">
      <w:pPr>
        <w:snapToGrid w:val="0"/>
        <w:jc w:val="both"/>
        <w:outlineLvl w:val="2"/>
        <w:rPr>
          <w:rFonts w:ascii="Arial" w:hAnsi="Arial" w:cs="Arial"/>
          <w:color w:val="000000" w:themeColor="text1"/>
          <w:lang w:eastAsia="en-GB"/>
        </w:rPr>
      </w:pPr>
    </w:p>
    <w:p w14:paraId="456380D4" w14:textId="77777777" w:rsidR="002B2047" w:rsidRPr="00E82EE4" w:rsidRDefault="00FC5684" w:rsidP="002B2047">
      <w:pPr>
        <w:snapToGrid w:val="0"/>
        <w:jc w:val="both"/>
        <w:outlineLvl w:val="2"/>
        <w:rPr>
          <w:rFonts w:ascii="Arial" w:hAnsi="Arial" w:cs="Arial"/>
          <w:color w:val="000000" w:themeColor="text1"/>
        </w:rPr>
      </w:pPr>
      <w:r w:rsidRPr="00E82EE4">
        <w:rPr>
          <w:rFonts w:ascii="Arial" w:hAnsi="Arial" w:cs="Arial"/>
          <w:b/>
          <w:bCs/>
          <w:color w:val="000000" w:themeColor="text1"/>
          <w:lang w:eastAsia="en-GB"/>
        </w:rPr>
        <w:t xml:space="preserve">2.11 </w:t>
      </w:r>
      <w:r w:rsidR="002B2047" w:rsidRPr="00E82EE4">
        <w:rPr>
          <w:rFonts w:ascii="Arial" w:hAnsi="Arial" w:cs="Arial"/>
          <w:b/>
          <w:bCs/>
          <w:color w:val="000000" w:themeColor="text1"/>
          <w:lang w:eastAsia="en-GB"/>
        </w:rPr>
        <w:t xml:space="preserve">Statistical Analysis: </w:t>
      </w:r>
      <w:r w:rsidR="002B2047" w:rsidRPr="00E82EE4">
        <w:rPr>
          <w:rFonts w:ascii="Arial" w:hAnsi="Arial" w:cs="Arial"/>
          <w:color w:val="000000" w:themeColor="text1"/>
        </w:rPr>
        <w:t xml:space="preserve">Data analysis was performed using </w:t>
      </w:r>
      <w:r w:rsidR="002B2047" w:rsidRPr="00E82EE4">
        <w:rPr>
          <w:rStyle w:val="s1"/>
          <w:rFonts w:ascii="Arial" w:hAnsi="Arial" w:cs="Arial"/>
          <w:color w:val="000000" w:themeColor="text1"/>
        </w:rPr>
        <w:t>SPSS version 22.0</w:t>
      </w:r>
      <w:r w:rsidR="002B2047" w:rsidRPr="00E82EE4">
        <w:rPr>
          <w:rFonts w:ascii="Arial" w:hAnsi="Arial" w:cs="Arial"/>
          <w:color w:val="000000" w:themeColor="text1"/>
        </w:rPr>
        <w:t xml:space="preserve"> (SPSS Inc., Chicago, IL) and Microsoft Excel. </w:t>
      </w:r>
      <w:r w:rsidR="002B2047" w:rsidRPr="00E82EE4">
        <w:rPr>
          <w:rFonts w:ascii="Arial" w:hAnsi="Arial" w:cs="Arial"/>
          <w:color w:val="000000" w:themeColor="text1"/>
          <w:lang w:eastAsia="en-GB"/>
        </w:rPr>
        <w:t>Frequencies, percentages, and Chi-square tests were computed to assess statistical significance. A p-value &lt;0.05 was considered statistically significant.</w:t>
      </w:r>
      <w:r w:rsidR="002B2047" w:rsidRPr="00E82EE4">
        <w:rPr>
          <w:rFonts w:ascii="Arial" w:hAnsi="Arial" w:cs="Arial"/>
          <w:color w:val="000000" w:themeColor="text1"/>
        </w:rPr>
        <w:t xml:space="preserve"> </w:t>
      </w:r>
    </w:p>
    <w:p w14:paraId="15521AD0" w14:textId="77777777" w:rsidR="00790ADA" w:rsidRPr="00E82EE4" w:rsidRDefault="00790ADA" w:rsidP="00441B6F">
      <w:pPr>
        <w:pStyle w:val="Body"/>
        <w:spacing w:after="0"/>
        <w:rPr>
          <w:rFonts w:ascii="Arial" w:hAnsi="Arial" w:cs="Arial"/>
          <w:color w:val="000000" w:themeColor="text1"/>
        </w:rPr>
      </w:pPr>
    </w:p>
    <w:p w14:paraId="09DB5038" w14:textId="77777777" w:rsidR="00FC5684" w:rsidRPr="00E82EE4" w:rsidRDefault="00FC5684" w:rsidP="00441B6F">
      <w:pPr>
        <w:pStyle w:val="Body"/>
        <w:spacing w:after="0"/>
        <w:rPr>
          <w:rFonts w:ascii="Arial" w:hAnsi="Arial" w:cs="Arial"/>
          <w:color w:val="000000" w:themeColor="text1"/>
        </w:rPr>
      </w:pPr>
    </w:p>
    <w:p w14:paraId="3DA11FBA" w14:textId="77777777" w:rsidR="00902823" w:rsidRPr="00E82EE4" w:rsidRDefault="00000F8F" w:rsidP="00441B6F">
      <w:pPr>
        <w:pStyle w:val="Head1"/>
        <w:spacing w:after="0"/>
        <w:jc w:val="both"/>
        <w:rPr>
          <w:rFonts w:ascii="Arial" w:hAnsi="Arial" w:cs="Arial"/>
          <w:color w:val="000000" w:themeColor="text1"/>
        </w:rPr>
      </w:pPr>
      <w:r w:rsidRPr="00E82EE4">
        <w:rPr>
          <w:rFonts w:ascii="Arial" w:hAnsi="Arial" w:cs="Arial"/>
          <w:color w:val="000000" w:themeColor="text1"/>
        </w:rPr>
        <w:t>3</w:t>
      </w:r>
      <w:r w:rsidR="00902823" w:rsidRPr="00E82EE4">
        <w:rPr>
          <w:rFonts w:ascii="Arial" w:hAnsi="Arial" w:cs="Arial"/>
          <w:color w:val="000000" w:themeColor="text1"/>
        </w:rPr>
        <w:t xml:space="preserve">. </w:t>
      </w:r>
      <w:r w:rsidRPr="00E82EE4">
        <w:rPr>
          <w:rFonts w:ascii="Arial" w:hAnsi="Arial" w:cs="Arial"/>
          <w:color w:val="000000" w:themeColor="text1"/>
        </w:rPr>
        <w:t>results</w:t>
      </w:r>
    </w:p>
    <w:p w14:paraId="694B02ED" w14:textId="77777777" w:rsidR="00790ADA" w:rsidRPr="00E82EE4" w:rsidRDefault="00790ADA" w:rsidP="00441B6F">
      <w:pPr>
        <w:pStyle w:val="Head1"/>
        <w:spacing w:after="0"/>
        <w:jc w:val="both"/>
        <w:rPr>
          <w:rFonts w:ascii="Arial" w:hAnsi="Arial" w:cs="Arial"/>
          <w:color w:val="000000" w:themeColor="text1"/>
        </w:rPr>
      </w:pPr>
    </w:p>
    <w:p w14:paraId="7DBC2E90" w14:textId="77777777" w:rsidR="0040085E" w:rsidRPr="00E82EE4" w:rsidRDefault="0040085E" w:rsidP="0040085E">
      <w:pPr>
        <w:snapToGrid w:val="0"/>
        <w:jc w:val="both"/>
        <w:rPr>
          <w:rFonts w:ascii="Arial" w:hAnsi="Arial" w:cs="Arial"/>
          <w:color w:val="000000" w:themeColor="text1"/>
          <w:lang w:eastAsia="en-GB"/>
        </w:rPr>
      </w:pPr>
      <w:r w:rsidRPr="00E82EE4">
        <w:rPr>
          <w:rFonts w:ascii="Arial" w:hAnsi="Arial" w:cs="Arial"/>
          <w:color w:val="000000" w:themeColor="text1"/>
          <w:lang w:eastAsia="en-GB"/>
        </w:rPr>
        <w:t>Table 1 presents the combined data on the prevalence of anaemia and abnormal red cell indices among 128 allied healthcare students included in the study. Based on haemoglobin levels, 34.38% of the participants were classified as having mild anaemia, 6.25% had moderate anaemia, and 3.13% were suffering from severe anaemia. The remaining 56.25% of students had normal haemoglobin levels and were considered non-</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w:t>
      </w:r>
    </w:p>
    <w:p w14:paraId="37533CCE" w14:textId="77777777" w:rsidR="00FC5684" w:rsidRPr="00E82EE4" w:rsidRDefault="00FC5684" w:rsidP="00441B6F">
      <w:pPr>
        <w:pStyle w:val="Body"/>
        <w:spacing w:after="0"/>
        <w:rPr>
          <w:rFonts w:ascii="Arial" w:eastAsia="Calibri" w:hAnsi="Arial" w:cs="Arial"/>
          <w:color w:val="000000" w:themeColor="text1"/>
          <w:szCs w:val="22"/>
        </w:rPr>
      </w:pPr>
    </w:p>
    <w:p w14:paraId="0F50734B" w14:textId="77777777" w:rsidR="00FC5684" w:rsidRPr="00E82EE4" w:rsidRDefault="00FC5684" w:rsidP="00FC5684">
      <w:pPr>
        <w:pStyle w:val="p1"/>
        <w:snapToGrid w:val="0"/>
        <w:spacing w:before="0" w:beforeAutospacing="0" w:after="0" w:afterAutospacing="0"/>
        <w:jc w:val="both"/>
        <w:rPr>
          <w:rFonts w:ascii="Arial" w:hAnsi="Arial" w:cs="Arial"/>
          <w:b/>
          <w:bCs/>
          <w:color w:val="000000" w:themeColor="text1"/>
          <w:sz w:val="20"/>
          <w:szCs w:val="20"/>
        </w:rPr>
      </w:pPr>
      <w:r w:rsidRPr="00E82EE4">
        <w:rPr>
          <w:rFonts w:ascii="Arial" w:hAnsi="Arial" w:cs="Arial"/>
          <w:b/>
          <w:bCs/>
          <w:color w:val="000000" w:themeColor="text1"/>
          <w:sz w:val="20"/>
          <w:szCs w:val="20"/>
        </w:rPr>
        <w:t>Table 1: Distribution of Anaemia and Altered Red Blood Cell Indices Among Allied Healthcare Students (n = 128)</w:t>
      </w:r>
    </w:p>
    <w:p w14:paraId="1C63D087"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267" w:type="dxa"/>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440"/>
        <w:gridCol w:w="2268"/>
        <w:gridCol w:w="1559"/>
      </w:tblGrid>
      <w:tr w:rsidR="00E82EE4" w:rsidRPr="00E82EE4" w14:paraId="2A3F32DF" w14:textId="77777777" w:rsidTr="00FC5684">
        <w:trPr>
          <w:trHeight w:val="273"/>
          <w:tblHeader/>
          <w:tblCellSpacing w:w="15" w:type="dxa"/>
          <w:jc w:val="center"/>
        </w:trPr>
        <w:tc>
          <w:tcPr>
            <w:tcW w:w="4395" w:type="dxa"/>
            <w:tcBorders>
              <w:top w:val="single" w:sz="4" w:space="0" w:color="auto"/>
              <w:bottom w:val="single" w:sz="4" w:space="0" w:color="auto"/>
            </w:tcBorders>
            <w:vAlign w:val="center"/>
            <w:hideMark/>
          </w:tcPr>
          <w:p w14:paraId="3C437B13"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Parameter</w:t>
            </w:r>
          </w:p>
        </w:tc>
        <w:tc>
          <w:tcPr>
            <w:tcW w:w="2238" w:type="dxa"/>
            <w:tcBorders>
              <w:top w:val="single" w:sz="4" w:space="0" w:color="auto"/>
              <w:bottom w:val="single" w:sz="4" w:space="0" w:color="auto"/>
            </w:tcBorders>
            <w:vAlign w:val="center"/>
            <w:hideMark/>
          </w:tcPr>
          <w:p w14:paraId="03D54BF1"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Number of Subjects</w:t>
            </w:r>
          </w:p>
        </w:tc>
        <w:tc>
          <w:tcPr>
            <w:tcW w:w="1514" w:type="dxa"/>
            <w:tcBorders>
              <w:top w:val="single" w:sz="4" w:space="0" w:color="auto"/>
              <w:bottom w:val="single" w:sz="4" w:space="0" w:color="auto"/>
            </w:tcBorders>
            <w:vAlign w:val="center"/>
            <w:hideMark/>
          </w:tcPr>
          <w:p w14:paraId="28CF0D55"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Percentage (%)</w:t>
            </w:r>
          </w:p>
        </w:tc>
      </w:tr>
      <w:tr w:rsidR="00E82EE4" w:rsidRPr="00E82EE4" w14:paraId="323386EE" w14:textId="77777777" w:rsidTr="00FC5684">
        <w:trPr>
          <w:trHeight w:val="273"/>
          <w:tblCellSpacing w:w="15" w:type="dxa"/>
          <w:jc w:val="center"/>
        </w:trPr>
        <w:tc>
          <w:tcPr>
            <w:tcW w:w="4395" w:type="dxa"/>
            <w:vAlign w:val="center"/>
            <w:hideMark/>
          </w:tcPr>
          <w:p w14:paraId="558F694E"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lastRenderedPageBreak/>
              <w:t>Severity of Anaemia based on Haemoglobin</w:t>
            </w:r>
          </w:p>
        </w:tc>
        <w:tc>
          <w:tcPr>
            <w:tcW w:w="2238" w:type="dxa"/>
            <w:vAlign w:val="center"/>
            <w:hideMark/>
          </w:tcPr>
          <w:p w14:paraId="79C7BC6F" w14:textId="77777777" w:rsidR="00FC5684" w:rsidRPr="00E82EE4" w:rsidRDefault="00FC5684" w:rsidP="00BA3BA3">
            <w:pPr>
              <w:snapToGrid w:val="0"/>
              <w:jc w:val="both"/>
              <w:rPr>
                <w:rFonts w:ascii="Arial" w:hAnsi="Arial" w:cs="Arial"/>
                <w:color w:val="000000" w:themeColor="text1"/>
                <w:lang w:eastAsia="en-GB"/>
              </w:rPr>
            </w:pPr>
          </w:p>
        </w:tc>
        <w:tc>
          <w:tcPr>
            <w:tcW w:w="1514" w:type="dxa"/>
            <w:vAlign w:val="center"/>
            <w:hideMark/>
          </w:tcPr>
          <w:p w14:paraId="7E94EC20" w14:textId="77777777" w:rsidR="00FC5684" w:rsidRPr="00E82EE4" w:rsidRDefault="00FC5684" w:rsidP="00BA3BA3">
            <w:pPr>
              <w:snapToGrid w:val="0"/>
              <w:jc w:val="both"/>
              <w:rPr>
                <w:rFonts w:ascii="Arial" w:hAnsi="Arial" w:cs="Arial"/>
                <w:color w:val="000000" w:themeColor="text1"/>
                <w:lang w:eastAsia="en-GB"/>
              </w:rPr>
            </w:pPr>
          </w:p>
        </w:tc>
      </w:tr>
      <w:tr w:rsidR="00E82EE4" w:rsidRPr="00E82EE4" w14:paraId="5054764B" w14:textId="77777777" w:rsidTr="00FC5684">
        <w:trPr>
          <w:trHeight w:val="273"/>
          <w:tblCellSpacing w:w="15" w:type="dxa"/>
          <w:jc w:val="center"/>
        </w:trPr>
        <w:tc>
          <w:tcPr>
            <w:tcW w:w="4395" w:type="dxa"/>
            <w:vAlign w:val="center"/>
            <w:hideMark/>
          </w:tcPr>
          <w:p w14:paraId="7DCC2350"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Mild (11–11.9 g/dL)</w:t>
            </w:r>
          </w:p>
        </w:tc>
        <w:tc>
          <w:tcPr>
            <w:tcW w:w="2238" w:type="dxa"/>
            <w:vAlign w:val="center"/>
            <w:hideMark/>
          </w:tcPr>
          <w:p w14:paraId="1B739F83"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44</w:t>
            </w:r>
          </w:p>
        </w:tc>
        <w:tc>
          <w:tcPr>
            <w:tcW w:w="1514" w:type="dxa"/>
            <w:vAlign w:val="center"/>
            <w:hideMark/>
          </w:tcPr>
          <w:p w14:paraId="3DBB2A59"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34.38</w:t>
            </w:r>
          </w:p>
        </w:tc>
      </w:tr>
      <w:tr w:rsidR="00E82EE4" w:rsidRPr="00E82EE4" w14:paraId="17437DFE" w14:textId="77777777" w:rsidTr="00FC5684">
        <w:trPr>
          <w:trHeight w:val="262"/>
          <w:tblCellSpacing w:w="15" w:type="dxa"/>
          <w:jc w:val="center"/>
        </w:trPr>
        <w:tc>
          <w:tcPr>
            <w:tcW w:w="4395" w:type="dxa"/>
            <w:vAlign w:val="center"/>
            <w:hideMark/>
          </w:tcPr>
          <w:p w14:paraId="534AEC8B"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Moderate (8–10.9 g/dL)</w:t>
            </w:r>
          </w:p>
        </w:tc>
        <w:tc>
          <w:tcPr>
            <w:tcW w:w="2238" w:type="dxa"/>
            <w:vAlign w:val="center"/>
            <w:hideMark/>
          </w:tcPr>
          <w:p w14:paraId="7C616D67"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8</w:t>
            </w:r>
          </w:p>
        </w:tc>
        <w:tc>
          <w:tcPr>
            <w:tcW w:w="1514" w:type="dxa"/>
            <w:vAlign w:val="center"/>
            <w:hideMark/>
          </w:tcPr>
          <w:p w14:paraId="40AF119D"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6.25</w:t>
            </w:r>
          </w:p>
        </w:tc>
      </w:tr>
      <w:tr w:rsidR="00E82EE4" w:rsidRPr="00E82EE4" w14:paraId="7B5DE858" w14:textId="77777777" w:rsidTr="00FC5684">
        <w:trPr>
          <w:trHeight w:val="273"/>
          <w:tblCellSpacing w:w="15" w:type="dxa"/>
          <w:jc w:val="center"/>
        </w:trPr>
        <w:tc>
          <w:tcPr>
            <w:tcW w:w="4395" w:type="dxa"/>
            <w:vAlign w:val="center"/>
            <w:hideMark/>
          </w:tcPr>
          <w:p w14:paraId="1345377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Severe (&lt;8 g/dL)</w:t>
            </w:r>
          </w:p>
        </w:tc>
        <w:tc>
          <w:tcPr>
            <w:tcW w:w="2238" w:type="dxa"/>
            <w:vAlign w:val="center"/>
            <w:hideMark/>
          </w:tcPr>
          <w:p w14:paraId="616DA0ED"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w:t>
            </w:r>
          </w:p>
        </w:tc>
        <w:tc>
          <w:tcPr>
            <w:tcW w:w="1514" w:type="dxa"/>
            <w:vAlign w:val="center"/>
            <w:hideMark/>
          </w:tcPr>
          <w:p w14:paraId="45C395FD"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3.13</w:t>
            </w:r>
          </w:p>
        </w:tc>
      </w:tr>
      <w:tr w:rsidR="00E82EE4" w:rsidRPr="00E82EE4" w14:paraId="31BA84F1" w14:textId="77777777" w:rsidTr="00FC5684">
        <w:trPr>
          <w:trHeight w:val="273"/>
          <w:tblCellSpacing w:w="15" w:type="dxa"/>
          <w:jc w:val="center"/>
        </w:trPr>
        <w:tc>
          <w:tcPr>
            <w:tcW w:w="4395" w:type="dxa"/>
            <w:vAlign w:val="center"/>
            <w:hideMark/>
          </w:tcPr>
          <w:p w14:paraId="5CA76536"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Non-</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(&gt;12 g/dL)</w:t>
            </w:r>
          </w:p>
        </w:tc>
        <w:tc>
          <w:tcPr>
            <w:tcW w:w="2238" w:type="dxa"/>
            <w:vAlign w:val="center"/>
            <w:hideMark/>
          </w:tcPr>
          <w:p w14:paraId="1CE2C287"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72</w:t>
            </w:r>
          </w:p>
        </w:tc>
        <w:tc>
          <w:tcPr>
            <w:tcW w:w="1514" w:type="dxa"/>
            <w:vAlign w:val="center"/>
            <w:hideMark/>
          </w:tcPr>
          <w:p w14:paraId="424D7CD3"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56.25</w:t>
            </w:r>
          </w:p>
        </w:tc>
      </w:tr>
      <w:tr w:rsidR="00E82EE4" w:rsidRPr="00E82EE4" w14:paraId="1E6476D6" w14:textId="77777777" w:rsidTr="00FC5684">
        <w:trPr>
          <w:trHeight w:val="273"/>
          <w:tblCellSpacing w:w="15" w:type="dxa"/>
          <w:jc w:val="center"/>
        </w:trPr>
        <w:tc>
          <w:tcPr>
            <w:tcW w:w="4395" w:type="dxa"/>
            <w:vAlign w:val="center"/>
            <w:hideMark/>
          </w:tcPr>
          <w:p w14:paraId="5B8AE6AB" w14:textId="77777777" w:rsidR="00FC5684" w:rsidRPr="00E82EE4" w:rsidRDefault="00FC5684" w:rsidP="00BA3BA3">
            <w:pPr>
              <w:snapToGrid w:val="0"/>
              <w:jc w:val="both"/>
              <w:rPr>
                <w:rFonts w:ascii="Arial" w:hAnsi="Arial" w:cs="Arial"/>
                <w:color w:val="000000" w:themeColor="text1"/>
                <w:lang w:eastAsia="en-GB"/>
              </w:rPr>
            </w:pPr>
          </w:p>
          <w:p w14:paraId="7AC01525"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Al</w:t>
            </w:r>
            <w:r w:rsidR="00512295" w:rsidRPr="00E82EE4">
              <w:rPr>
                <w:rFonts w:ascii="Arial" w:hAnsi="Arial" w:cs="Arial"/>
                <w:color w:val="000000" w:themeColor="text1"/>
                <w:lang w:eastAsia="en-GB"/>
              </w:rPr>
              <w:t>tered</w:t>
            </w:r>
            <w:r w:rsidRPr="00E82EE4">
              <w:rPr>
                <w:rFonts w:ascii="Arial" w:hAnsi="Arial" w:cs="Arial"/>
                <w:color w:val="000000" w:themeColor="text1"/>
                <w:lang w:eastAsia="en-GB"/>
              </w:rPr>
              <w:t xml:space="preserve"> Red Cell Indices</w:t>
            </w:r>
          </w:p>
        </w:tc>
        <w:tc>
          <w:tcPr>
            <w:tcW w:w="2238" w:type="dxa"/>
            <w:vAlign w:val="center"/>
            <w:hideMark/>
          </w:tcPr>
          <w:p w14:paraId="35F82347" w14:textId="77777777" w:rsidR="00FC5684" w:rsidRPr="00E82EE4" w:rsidRDefault="00FC5684" w:rsidP="00BA3BA3">
            <w:pPr>
              <w:snapToGrid w:val="0"/>
              <w:jc w:val="center"/>
              <w:rPr>
                <w:rFonts w:ascii="Arial" w:hAnsi="Arial" w:cs="Arial"/>
                <w:color w:val="000000" w:themeColor="text1"/>
                <w:lang w:eastAsia="en-GB"/>
              </w:rPr>
            </w:pPr>
          </w:p>
        </w:tc>
        <w:tc>
          <w:tcPr>
            <w:tcW w:w="1514" w:type="dxa"/>
            <w:vAlign w:val="center"/>
            <w:hideMark/>
          </w:tcPr>
          <w:p w14:paraId="0B6E37EF" w14:textId="77777777" w:rsidR="00FC5684" w:rsidRPr="00E82EE4" w:rsidRDefault="00FC5684" w:rsidP="00BA3BA3">
            <w:pPr>
              <w:snapToGrid w:val="0"/>
              <w:jc w:val="center"/>
              <w:rPr>
                <w:rFonts w:ascii="Arial" w:hAnsi="Arial" w:cs="Arial"/>
                <w:color w:val="000000" w:themeColor="text1"/>
                <w:lang w:eastAsia="en-GB"/>
              </w:rPr>
            </w:pPr>
          </w:p>
        </w:tc>
      </w:tr>
      <w:tr w:rsidR="00E82EE4" w:rsidRPr="00E82EE4" w14:paraId="3AB926DE" w14:textId="77777777" w:rsidTr="00FC5684">
        <w:trPr>
          <w:trHeight w:val="273"/>
          <w:tblCellSpacing w:w="15" w:type="dxa"/>
          <w:jc w:val="center"/>
        </w:trPr>
        <w:tc>
          <w:tcPr>
            <w:tcW w:w="4395" w:type="dxa"/>
            <w:vAlign w:val="center"/>
            <w:hideMark/>
          </w:tcPr>
          <w:p w14:paraId="0F2FAD43"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PCV &lt;38%</w:t>
            </w:r>
          </w:p>
        </w:tc>
        <w:tc>
          <w:tcPr>
            <w:tcW w:w="2238" w:type="dxa"/>
            <w:vAlign w:val="center"/>
            <w:hideMark/>
          </w:tcPr>
          <w:p w14:paraId="33169BB0"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41</w:t>
            </w:r>
          </w:p>
        </w:tc>
        <w:tc>
          <w:tcPr>
            <w:tcW w:w="1514" w:type="dxa"/>
            <w:vAlign w:val="center"/>
            <w:hideMark/>
          </w:tcPr>
          <w:p w14:paraId="055F7932"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32.03</w:t>
            </w:r>
          </w:p>
        </w:tc>
      </w:tr>
      <w:tr w:rsidR="00E82EE4" w:rsidRPr="00E82EE4" w14:paraId="2A6B5CC6" w14:textId="77777777" w:rsidTr="00FC5684">
        <w:trPr>
          <w:trHeight w:val="262"/>
          <w:tblCellSpacing w:w="15" w:type="dxa"/>
          <w:jc w:val="center"/>
        </w:trPr>
        <w:tc>
          <w:tcPr>
            <w:tcW w:w="4395" w:type="dxa"/>
            <w:vAlign w:val="center"/>
            <w:hideMark/>
          </w:tcPr>
          <w:p w14:paraId="6C14D2DC"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MCV &lt;80 </w:t>
            </w:r>
            <w:proofErr w:type="spellStart"/>
            <w:r w:rsidRPr="00E82EE4">
              <w:rPr>
                <w:rFonts w:ascii="Arial" w:hAnsi="Arial" w:cs="Arial"/>
                <w:color w:val="000000" w:themeColor="text1"/>
                <w:lang w:eastAsia="en-GB"/>
              </w:rPr>
              <w:t>fl</w:t>
            </w:r>
            <w:proofErr w:type="spellEnd"/>
          </w:p>
        </w:tc>
        <w:tc>
          <w:tcPr>
            <w:tcW w:w="2238" w:type="dxa"/>
            <w:vAlign w:val="center"/>
            <w:hideMark/>
          </w:tcPr>
          <w:p w14:paraId="75EA354F"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26</w:t>
            </w:r>
          </w:p>
        </w:tc>
        <w:tc>
          <w:tcPr>
            <w:tcW w:w="1514" w:type="dxa"/>
            <w:vAlign w:val="center"/>
            <w:hideMark/>
          </w:tcPr>
          <w:p w14:paraId="350C0D6A"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20.31</w:t>
            </w:r>
          </w:p>
        </w:tc>
      </w:tr>
      <w:tr w:rsidR="00E82EE4" w:rsidRPr="00E82EE4" w14:paraId="2FD4DA46" w14:textId="77777777" w:rsidTr="00FC5684">
        <w:trPr>
          <w:trHeight w:val="273"/>
          <w:tblCellSpacing w:w="15" w:type="dxa"/>
          <w:jc w:val="center"/>
        </w:trPr>
        <w:tc>
          <w:tcPr>
            <w:tcW w:w="4395" w:type="dxa"/>
            <w:vAlign w:val="center"/>
            <w:hideMark/>
          </w:tcPr>
          <w:p w14:paraId="73D2D36B"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MCH &lt;27 </w:t>
            </w:r>
            <w:proofErr w:type="spellStart"/>
            <w:r w:rsidRPr="00E82EE4">
              <w:rPr>
                <w:rFonts w:ascii="Arial" w:hAnsi="Arial" w:cs="Arial"/>
                <w:color w:val="000000" w:themeColor="text1"/>
                <w:lang w:eastAsia="en-GB"/>
              </w:rPr>
              <w:t>pg</w:t>
            </w:r>
            <w:proofErr w:type="spellEnd"/>
          </w:p>
        </w:tc>
        <w:tc>
          <w:tcPr>
            <w:tcW w:w="2238" w:type="dxa"/>
            <w:vAlign w:val="center"/>
            <w:hideMark/>
          </w:tcPr>
          <w:p w14:paraId="7A05B89D"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36</w:t>
            </w:r>
          </w:p>
        </w:tc>
        <w:tc>
          <w:tcPr>
            <w:tcW w:w="1514" w:type="dxa"/>
            <w:vAlign w:val="center"/>
            <w:hideMark/>
          </w:tcPr>
          <w:p w14:paraId="48884BE8"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28.13</w:t>
            </w:r>
          </w:p>
        </w:tc>
      </w:tr>
      <w:tr w:rsidR="00E82EE4" w:rsidRPr="00E82EE4" w14:paraId="719455FB" w14:textId="77777777" w:rsidTr="00FC5684">
        <w:trPr>
          <w:trHeight w:val="273"/>
          <w:tblCellSpacing w:w="15" w:type="dxa"/>
          <w:jc w:val="center"/>
        </w:trPr>
        <w:tc>
          <w:tcPr>
            <w:tcW w:w="4395" w:type="dxa"/>
            <w:vAlign w:val="center"/>
            <w:hideMark/>
          </w:tcPr>
          <w:p w14:paraId="13C684DA"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MCHC &lt;32%</w:t>
            </w:r>
          </w:p>
        </w:tc>
        <w:tc>
          <w:tcPr>
            <w:tcW w:w="2238" w:type="dxa"/>
            <w:vAlign w:val="center"/>
            <w:hideMark/>
          </w:tcPr>
          <w:p w14:paraId="41E3555E"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20</w:t>
            </w:r>
          </w:p>
        </w:tc>
        <w:tc>
          <w:tcPr>
            <w:tcW w:w="1514" w:type="dxa"/>
            <w:vAlign w:val="center"/>
            <w:hideMark/>
          </w:tcPr>
          <w:p w14:paraId="494EDD80"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15.63</w:t>
            </w:r>
          </w:p>
        </w:tc>
      </w:tr>
    </w:tbl>
    <w:p w14:paraId="62B38042" w14:textId="77777777" w:rsidR="00FC5684" w:rsidRPr="00E82EE4" w:rsidRDefault="00FC5684" w:rsidP="00FC5684">
      <w:pPr>
        <w:snapToGrid w:val="0"/>
        <w:jc w:val="both"/>
        <w:rPr>
          <w:rFonts w:ascii="Arial" w:hAnsi="Arial" w:cs="Arial"/>
          <w:color w:val="000000" w:themeColor="text1"/>
          <w:lang w:eastAsia="en-GB"/>
        </w:rPr>
      </w:pPr>
    </w:p>
    <w:p w14:paraId="1B4C4A68" w14:textId="77777777" w:rsidR="00FC5684" w:rsidRPr="00E82EE4" w:rsidRDefault="00FC5684" w:rsidP="00FC5684">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In addition to haemoglobin assessment, red cell indices were evaluated to further understand underlying </w:t>
      </w:r>
      <w:proofErr w:type="spellStart"/>
      <w:r w:rsidRPr="00E82EE4">
        <w:rPr>
          <w:rFonts w:ascii="Arial" w:hAnsi="Arial" w:cs="Arial"/>
          <w:color w:val="000000" w:themeColor="text1"/>
          <w:lang w:eastAsia="en-GB"/>
        </w:rPr>
        <w:t>haematological</w:t>
      </w:r>
      <w:proofErr w:type="spellEnd"/>
      <w:r w:rsidRPr="00E82EE4">
        <w:rPr>
          <w:rFonts w:ascii="Arial" w:hAnsi="Arial" w:cs="Arial"/>
          <w:color w:val="000000" w:themeColor="text1"/>
          <w:lang w:eastAsia="en-GB"/>
        </w:rPr>
        <w:t xml:space="preserve"> abnormalities. A total of 32.03% of students had packed cell volume (PCV) values below 38%, indicating reduced red cell volume. Low mean corpuscular volume (MCV) below 80 </w:t>
      </w:r>
      <w:proofErr w:type="spellStart"/>
      <w:r w:rsidRPr="00E82EE4">
        <w:rPr>
          <w:rFonts w:ascii="Arial" w:hAnsi="Arial" w:cs="Arial"/>
          <w:color w:val="000000" w:themeColor="text1"/>
          <w:lang w:eastAsia="en-GB"/>
        </w:rPr>
        <w:t>fl</w:t>
      </w:r>
      <w:proofErr w:type="spellEnd"/>
      <w:r w:rsidRPr="00E82EE4">
        <w:rPr>
          <w:rFonts w:ascii="Arial" w:hAnsi="Arial" w:cs="Arial"/>
          <w:color w:val="000000" w:themeColor="text1"/>
          <w:lang w:eastAsia="en-GB"/>
        </w:rPr>
        <w:t xml:space="preserve"> was observed in 20.31% of the participants, suggesting microcytic changes. Similarly, 28.13% of students had low mean corpuscular haemoglobin (MCH) values under 27 </w:t>
      </w:r>
      <w:proofErr w:type="spellStart"/>
      <w:r w:rsidRPr="00E82EE4">
        <w:rPr>
          <w:rFonts w:ascii="Arial" w:hAnsi="Arial" w:cs="Arial"/>
          <w:color w:val="000000" w:themeColor="text1"/>
          <w:lang w:eastAsia="en-GB"/>
        </w:rPr>
        <w:t>pg</w:t>
      </w:r>
      <w:proofErr w:type="spellEnd"/>
      <w:r w:rsidRPr="00E82EE4">
        <w:rPr>
          <w:rFonts w:ascii="Arial" w:hAnsi="Arial" w:cs="Arial"/>
          <w:color w:val="000000" w:themeColor="text1"/>
          <w:lang w:eastAsia="en-GB"/>
        </w:rPr>
        <w:t>, pointing toward diminished haemoglobin content per cell. Lastly, 15.63% of students showed reduced mean corpuscular haemoglobin concentration (MCHC) below 32%, indicative of hypochromia.</w:t>
      </w:r>
    </w:p>
    <w:p w14:paraId="58CF36DF" w14:textId="77777777" w:rsidR="00FC5684" w:rsidRPr="00E82EE4" w:rsidRDefault="00FC5684" w:rsidP="00FC5684">
      <w:pPr>
        <w:snapToGrid w:val="0"/>
        <w:jc w:val="both"/>
        <w:rPr>
          <w:rFonts w:ascii="Arial" w:hAnsi="Arial" w:cs="Arial"/>
          <w:color w:val="000000" w:themeColor="text1"/>
          <w:lang w:eastAsia="en-GB"/>
        </w:rPr>
      </w:pPr>
    </w:p>
    <w:p w14:paraId="2078E09B" w14:textId="77777777" w:rsidR="00FC5684" w:rsidRPr="00E82EE4" w:rsidRDefault="00FC5684" w:rsidP="00FC5684">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The combined findings from anaemia severity and red cell indices reveal a significant proportion of students with compromised </w:t>
      </w:r>
      <w:proofErr w:type="spellStart"/>
      <w:r w:rsidRPr="00E82EE4">
        <w:rPr>
          <w:rFonts w:ascii="Arial" w:hAnsi="Arial" w:cs="Arial"/>
          <w:color w:val="000000" w:themeColor="text1"/>
          <w:lang w:eastAsia="en-GB"/>
        </w:rPr>
        <w:t>haematological</w:t>
      </w:r>
      <w:proofErr w:type="spellEnd"/>
      <w:r w:rsidRPr="00E82EE4">
        <w:rPr>
          <w:rFonts w:ascii="Arial" w:hAnsi="Arial" w:cs="Arial"/>
          <w:color w:val="000000" w:themeColor="text1"/>
          <w:lang w:eastAsia="en-GB"/>
        </w:rPr>
        <w:t xml:space="preserve"> health, emphasizing the need for targeted nutritional and clinical interventions to prevent and manage anaemia in this population.</w:t>
      </w:r>
    </w:p>
    <w:p w14:paraId="584D5ABF" w14:textId="77777777" w:rsidR="00FC5684" w:rsidRPr="00E82EE4" w:rsidRDefault="00FC5684" w:rsidP="00FC5684">
      <w:pPr>
        <w:snapToGrid w:val="0"/>
        <w:jc w:val="both"/>
        <w:rPr>
          <w:rFonts w:ascii="Arial" w:hAnsi="Arial" w:cs="Arial"/>
          <w:color w:val="000000" w:themeColor="text1"/>
          <w:lang w:eastAsia="en-GB"/>
        </w:rPr>
      </w:pPr>
    </w:p>
    <w:p w14:paraId="2A9F3352" w14:textId="77777777" w:rsidR="00E82EE4" w:rsidRPr="00E82EE4" w:rsidRDefault="00E82EE4" w:rsidP="00E82EE4">
      <w:pPr>
        <w:snapToGrid w:val="0"/>
        <w:jc w:val="both"/>
        <w:rPr>
          <w:rFonts w:ascii="Arial" w:hAnsi="Arial" w:cs="Arial"/>
          <w:color w:val="000000" w:themeColor="text1"/>
          <w:lang w:eastAsia="en-GB"/>
        </w:rPr>
      </w:pPr>
    </w:p>
    <w:p w14:paraId="388093C7" w14:textId="77777777" w:rsidR="00E82EE4" w:rsidRPr="00E82EE4" w:rsidRDefault="00E82EE4" w:rsidP="00E82EE4">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Table 2 presents the distribution of menstrual cycle patterns among </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(n = 56) and non-</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(n = 72) subjects in the study population of 128 allied healthcare students. The results indicate that the majority of both </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(66.07%) and non-</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(66.67%) participants reported having a normal menstrual cycle. However, menstrual irregularities were more common among </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subjects.</w:t>
      </w:r>
    </w:p>
    <w:p w14:paraId="37B1FB9B" w14:textId="77777777" w:rsidR="00E82EE4" w:rsidRPr="00E82EE4" w:rsidRDefault="00E82EE4" w:rsidP="00FC5684">
      <w:pPr>
        <w:snapToGrid w:val="0"/>
        <w:jc w:val="both"/>
        <w:rPr>
          <w:rFonts w:ascii="Arial" w:hAnsi="Arial" w:cs="Arial"/>
          <w:color w:val="000000" w:themeColor="text1"/>
          <w:lang w:eastAsia="en-GB"/>
        </w:rPr>
      </w:pPr>
    </w:p>
    <w:p w14:paraId="420E39A2" w14:textId="77777777" w:rsidR="00E82EE4" w:rsidRPr="00E82EE4" w:rsidRDefault="00E82EE4" w:rsidP="00E82EE4">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Specifically, menorrhagia (heavy menstrual bleeding) was observed in 11 </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participants (19.64%) compared to 5 non-</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participants (6.94%), with this difference being statistically significant (p = 0.045), suggesting a possible association between excessive menstrual blood loss and the development of anaemia. Oligomenorrhoea was slightly more prevalent in the non-</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group (13.89%) compared to the </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group (8.93%). Other menstrual irregularities such as </w:t>
      </w:r>
      <w:proofErr w:type="spellStart"/>
      <w:r w:rsidRPr="00E82EE4">
        <w:rPr>
          <w:rFonts w:ascii="Arial" w:hAnsi="Arial" w:cs="Arial"/>
          <w:color w:val="000000" w:themeColor="text1"/>
          <w:lang w:eastAsia="en-GB"/>
        </w:rPr>
        <w:t>polymenorrhoea</w:t>
      </w:r>
      <w:proofErr w:type="spellEnd"/>
      <w:r w:rsidRPr="00E82EE4">
        <w:rPr>
          <w:rFonts w:ascii="Arial" w:hAnsi="Arial" w:cs="Arial"/>
          <w:color w:val="000000" w:themeColor="text1"/>
          <w:lang w:eastAsia="en-GB"/>
        </w:rPr>
        <w:t xml:space="preserve"> and metrorrhagia were relatively uncommon in both groups, with only a few cases reported.</w:t>
      </w:r>
    </w:p>
    <w:p w14:paraId="36C5CAE7" w14:textId="77777777" w:rsidR="00E82EE4" w:rsidRPr="00E82EE4" w:rsidRDefault="00E82EE4" w:rsidP="00FC5684">
      <w:pPr>
        <w:snapToGrid w:val="0"/>
        <w:jc w:val="both"/>
        <w:rPr>
          <w:rFonts w:ascii="Arial" w:hAnsi="Arial" w:cs="Arial"/>
          <w:color w:val="000000" w:themeColor="text1"/>
          <w:lang w:eastAsia="en-GB"/>
        </w:rPr>
      </w:pPr>
    </w:p>
    <w:p w14:paraId="5D05CB98" w14:textId="77777777" w:rsidR="00FC5684" w:rsidRPr="00E82EE4" w:rsidRDefault="00FC5684" w:rsidP="00FC5684">
      <w:pPr>
        <w:pStyle w:val="p1"/>
        <w:snapToGrid w:val="0"/>
        <w:spacing w:before="0" w:beforeAutospacing="0" w:after="0" w:afterAutospacing="0"/>
        <w:jc w:val="both"/>
        <w:rPr>
          <w:rFonts w:ascii="Arial" w:hAnsi="Arial" w:cs="Arial"/>
          <w:b/>
          <w:bCs/>
          <w:color w:val="000000" w:themeColor="text1"/>
          <w:sz w:val="20"/>
          <w:szCs w:val="20"/>
        </w:rPr>
      </w:pPr>
      <w:r w:rsidRPr="00E82EE4">
        <w:rPr>
          <w:rFonts w:ascii="Arial" w:hAnsi="Arial" w:cs="Arial"/>
          <w:b/>
          <w:bCs/>
          <w:color w:val="000000" w:themeColor="text1"/>
          <w:sz w:val="20"/>
          <w:szCs w:val="20"/>
        </w:rPr>
        <w:t>Table 2:  Menstrual Cycle Patterns Among Study Participants (n = 128)</w:t>
      </w:r>
    </w:p>
    <w:p w14:paraId="42607197"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267" w:type="dxa"/>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905"/>
        <w:gridCol w:w="2535"/>
        <w:gridCol w:w="2976"/>
        <w:gridCol w:w="851"/>
      </w:tblGrid>
      <w:tr w:rsidR="00E82EE4" w:rsidRPr="00E82EE4" w14:paraId="5DCB0EFF" w14:textId="77777777" w:rsidTr="00FC5684">
        <w:trPr>
          <w:trHeight w:val="273"/>
          <w:tblHeader/>
          <w:tblCellSpacing w:w="15" w:type="dxa"/>
          <w:jc w:val="center"/>
        </w:trPr>
        <w:tc>
          <w:tcPr>
            <w:tcW w:w="0" w:type="auto"/>
            <w:tcBorders>
              <w:top w:val="single" w:sz="4" w:space="0" w:color="auto"/>
              <w:bottom w:val="single" w:sz="4" w:space="0" w:color="auto"/>
            </w:tcBorders>
            <w:vAlign w:val="center"/>
            <w:hideMark/>
          </w:tcPr>
          <w:p w14:paraId="08F292DD"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Menstrual Pattern</w:t>
            </w:r>
          </w:p>
        </w:tc>
        <w:tc>
          <w:tcPr>
            <w:tcW w:w="2505" w:type="dxa"/>
            <w:tcBorders>
              <w:top w:val="single" w:sz="4" w:space="0" w:color="auto"/>
              <w:bottom w:val="single" w:sz="4" w:space="0" w:color="auto"/>
            </w:tcBorders>
            <w:vAlign w:val="center"/>
            <w:hideMark/>
          </w:tcPr>
          <w:p w14:paraId="5CF8D611" w14:textId="77777777" w:rsidR="00FC5684" w:rsidRPr="00E82EE4" w:rsidRDefault="00FC5684" w:rsidP="00BA3BA3">
            <w:pPr>
              <w:snapToGrid w:val="0"/>
              <w:jc w:val="both"/>
              <w:rPr>
                <w:rFonts w:ascii="Arial" w:hAnsi="Arial" w:cs="Arial"/>
                <w:b/>
                <w:bCs/>
                <w:color w:val="000000" w:themeColor="text1"/>
                <w:lang w:eastAsia="en-GB"/>
              </w:rPr>
            </w:pPr>
            <w:proofErr w:type="spellStart"/>
            <w:r w:rsidRPr="00E82EE4">
              <w:rPr>
                <w:rFonts w:ascii="Arial" w:hAnsi="Arial" w:cs="Arial"/>
                <w:b/>
                <w:bCs/>
                <w:color w:val="000000" w:themeColor="text1"/>
                <w:lang w:eastAsia="en-GB"/>
              </w:rPr>
              <w:t>Anaemic</w:t>
            </w:r>
            <w:proofErr w:type="spellEnd"/>
            <w:r w:rsidRPr="00E82EE4">
              <w:rPr>
                <w:rFonts w:ascii="Arial" w:hAnsi="Arial" w:cs="Arial"/>
                <w:b/>
                <w:bCs/>
                <w:color w:val="000000" w:themeColor="text1"/>
                <w:lang w:eastAsia="en-GB"/>
              </w:rPr>
              <w:t xml:space="preserve"> Subjects (n=</w:t>
            </w:r>
            <w:r w:rsidR="00512295" w:rsidRPr="00E82EE4">
              <w:rPr>
                <w:rFonts w:ascii="Arial" w:hAnsi="Arial" w:cs="Arial"/>
                <w:b/>
                <w:bCs/>
                <w:color w:val="000000" w:themeColor="text1"/>
                <w:lang w:eastAsia="en-GB"/>
              </w:rPr>
              <w:t>56</w:t>
            </w:r>
            <w:r w:rsidRPr="00E82EE4">
              <w:rPr>
                <w:rFonts w:ascii="Arial" w:hAnsi="Arial" w:cs="Arial"/>
                <w:b/>
                <w:bCs/>
                <w:color w:val="000000" w:themeColor="text1"/>
                <w:lang w:eastAsia="en-GB"/>
              </w:rPr>
              <w:t>)</w:t>
            </w:r>
          </w:p>
        </w:tc>
        <w:tc>
          <w:tcPr>
            <w:tcW w:w="2946" w:type="dxa"/>
            <w:tcBorders>
              <w:top w:val="single" w:sz="4" w:space="0" w:color="auto"/>
              <w:bottom w:val="single" w:sz="4" w:space="0" w:color="auto"/>
            </w:tcBorders>
            <w:vAlign w:val="center"/>
            <w:hideMark/>
          </w:tcPr>
          <w:p w14:paraId="51392357"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Non-</w:t>
            </w:r>
            <w:proofErr w:type="spellStart"/>
            <w:r w:rsidRPr="00E82EE4">
              <w:rPr>
                <w:rFonts w:ascii="Arial" w:hAnsi="Arial" w:cs="Arial"/>
                <w:b/>
                <w:bCs/>
                <w:color w:val="000000" w:themeColor="text1"/>
                <w:lang w:eastAsia="en-GB"/>
              </w:rPr>
              <w:t>anaemic</w:t>
            </w:r>
            <w:proofErr w:type="spellEnd"/>
            <w:r w:rsidRPr="00E82EE4">
              <w:rPr>
                <w:rFonts w:ascii="Arial" w:hAnsi="Arial" w:cs="Arial"/>
                <w:b/>
                <w:bCs/>
                <w:color w:val="000000" w:themeColor="text1"/>
                <w:lang w:eastAsia="en-GB"/>
              </w:rPr>
              <w:t xml:space="preserve"> Subjects (n=7</w:t>
            </w:r>
            <w:r w:rsidR="009D0641" w:rsidRPr="00E82EE4">
              <w:rPr>
                <w:rFonts w:ascii="Arial" w:hAnsi="Arial" w:cs="Arial"/>
                <w:b/>
                <w:bCs/>
                <w:color w:val="000000" w:themeColor="text1"/>
                <w:lang w:eastAsia="en-GB"/>
              </w:rPr>
              <w:t>2</w:t>
            </w:r>
            <w:r w:rsidRPr="00E82EE4">
              <w:rPr>
                <w:rFonts w:ascii="Arial" w:hAnsi="Arial" w:cs="Arial"/>
                <w:b/>
                <w:bCs/>
                <w:color w:val="000000" w:themeColor="text1"/>
                <w:lang w:eastAsia="en-GB"/>
              </w:rPr>
              <w:t>)</w:t>
            </w:r>
          </w:p>
        </w:tc>
        <w:tc>
          <w:tcPr>
            <w:tcW w:w="806" w:type="dxa"/>
            <w:tcBorders>
              <w:top w:val="single" w:sz="4" w:space="0" w:color="auto"/>
              <w:bottom w:val="single" w:sz="4" w:space="0" w:color="auto"/>
            </w:tcBorders>
            <w:vAlign w:val="center"/>
            <w:hideMark/>
          </w:tcPr>
          <w:p w14:paraId="180DA04B"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p-value</w:t>
            </w:r>
          </w:p>
        </w:tc>
      </w:tr>
      <w:tr w:rsidR="00E82EE4" w:rsidRPr="00E82EE4" w14:paraId="2830496E" w14:textId="77777777" w:rsidTr="00FC5684">
        <w:trPr>
          <w:trHeight w:val="273"/>
          <w:tblCellSpacing w:w="15" w:type="dxa"/>
          <w:jc w:val="center"/>
        </w:trPr>
        <w:tc>
          <w:tcPr>
            <w:tcW w:w="0" w:type="auto"/>
            <w:vAlign w:val="center"/>
            <w:hideMark/>
          </w:tcPr>
          <w:p w14:paraId="520B3DDA"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Menorrhagia</w:t>
            </w:r>
          </w:p>
        </w:tc>
        <w:tc>
          <w:tcPr>
            <w:tcW w:w="2505" w:type="dxa"/>
            <w:vAlign w:val="center"/>
            <w:hideMark/>
          </w:tcPr>
          <w:p w14:paraId="1450BFA5"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w:t>
            </w:r>
            <w:r w:rsidR="00512295" w:rsidRPr="00E82EE4">
              <w:rPr>
                <w:rFonts w:ascii="Arial" w:hAnsi="Arial" w:cs="Arial"/>
                <w:color w:val="000000" w:themeColor="text1"/>
                <w:lang w:eastAsia="en-GB"/>
              </w:rPr>
              <w:t>1</w:t>
            </w:r>
            <w:r w:rsidRPr="00E82EE4">
              <w:rPr>
                <w:rFonts w:ascii="Arial" w:hAnsi="Arial" w:cs="Arial"/>
                <w:color w:val="000000" w:themeColor="text1"/>
                <w:lang w:eastAsia="en-GB"/>
              </w:rPr>
              <w:t xml:space="preserve"> (</w:t>
            </w:r>
            <w:r w:rsidR="00512295" w:rsidRPr="00E82EE4">
              <w:rPr>
                <w:rFonts w:ascii="Arial" w:hAnsi="Arial" w:cs="Arial"/>
                <w:color w:val="000000" w:themeColor="text1"/>
                <w:lang w:eastAsia="en-GB"/>
              </w:rPr>
              <w:t>19.64</w:t>
            </w:r>
            <w:r w:rsidRPr="00E82EE4">
              <w:rPr>
                <w:rFonts w:ascii="Arial" w:hAnsi="Arial" w:cs="Arial"/>
                <w:color w:val="000000" w:themeColor="text1"/>
                <w:lang w:eastAsia="en-GB"/>
              </w:rPr>
              <w:t>%)</w:t>
            </w:r>
          </w:p>
        </w:tc>
        <w:tc>
          <w:tcPr>
            <w:tcW w:w="2946" w:type="dxa"/>
            <w:vAlign w:val="center"/>
            <w:hideMark/>
          </w:tcPr>
          <w:p w14:paraId="78D4E28C" w14:textId="77777777" w:rsidR="00FC5684" w:rsidRPr="00E82EE4" w:rsidRDefault="00512295"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5</w:t>
            </w:r>
            <w:r w:rsidR="00FC5684" w:rsidRPr="00E82EE4">
              <w:rPr>
                <w:rFonts w:ascii="Arial" w:hAnsi="Arial" w:cs="Arial"/>
                <w:color w:val="000000" w:themeColor="text1"/>
                <w:lang w:eastAsia="en-GB"/>
              </w:rPr>
              <w:t xml:space="preserve"> (</w:t>
            </w:r>
            <w:r w:rsidRPr="00E82EE4">
              <w:rPr>
                <w:rFonts w:ascii="Arial" w:hAnsi="Arial" w:cs="Arial"/>
                <w:color w:val="000000" w:themeColor="text1"/>
                <w:lang w:eastAsia="en-GB"/>
              </w:rPr>
              <w:t>6.94</w:t>
            </w:r>
            <w:r w:rsidR="00FC5684" w:rsidRPr="00E82EE4">
              <w:rPr>
                <w:rFonts w:ascii="Arial" w:hAnsi="Arial" w:cs="Arial"/>
                <w:color w:val="000000" w:themeColor="text1"/>
                <w:lang w:eastAsia="en-GB"/>
              </w:rPr>
              <w:t>%)</w:t>
            </w:r>
          </w:p>
        </w:tc>
        <w:tc>
          <w:tcPr>
            <w:tcW w:w="806" w:type="dxa"/>
            <w:vMerge w:val="restart"/>
            <w:vAlign w:val="center"/>
            <w:hideMark/>
          </w:tcPr>
          <w:p w14:paraId="1A040B40"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0.045</w:t>
            </w:r>
          </w:p>
        </w:tc>
      </w:tr>
      <w:tr w:rsidR="00E82EE4" w:rsidRPr="00E82EE4" w14:paraId="3D07C293" w14:textId="77777777" w:rsidTr="00FC5684">
        <w:trPr>
          <w:trHeight w:val="273"/>
          <w:tblCellSpacing w:w="15" w:type="dxa"/>
          <w:jc w:val="center"/>
        </w:trPr>
        <w:tc>
          <w:tcPr>
            <w:tcW w:w="0" w:type="auto"/>
            <w:vAlign w:val="center"/>
            <w:hideMark/>
          </w:tcPr>
          <w:p w14:paraId="5F7DB6C2"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Oligomenorrhoea</w:t>
            </w:r>
          </w:p>
        </w:tc>
        <w:tc>
          <w:tcPr>
            <w:tcW w:w="2505" w:type="dxa"/>
            <w:vAlign w:val="center"/>
            <w:hideMark/>
          </w:tcPr>
          <w:p w14:paraId="74D91A59" w14:textId="77777777" w:rsidR="00FC5684" w:rsidRPr="00E82EE4" w:rsidRDefault="00512295"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5</w:t>
            </w:r>
            <w:r w:rsidR="00FC5684" w:rsidRPr="00E82EE4">
              <w:rPr>
                <w:rFonts w:ascii="Arial" w:hAnsi="Arial" w:cs="Arial"/>
                <w:color w:val="000000" w:themeColor="text1"/>
                <w:lang w:eastAsia="en-GB"/>
              </w:rPr>
              <w:t xml:space="preserve"> (8.</w:t>
            </w:r>
            <w:r w:rsidRPr="00E82EE4">
              <w:rPr>
                <w:rFonts w:ascii="Arial" w:hAnsi="Arial" w:cs="Arial"/>
                <w:color w:val="000000" w:themeColor="text1"/>
                <w:lang w:eastAsia="en-GB"/>
              </w:rPr>
              <w:t>93</w:t>
            </w:r>
            <w:r w:rsidR="00FC5684" w:rsidRPr="00E82EE4">
              <w:rPr>
                <w:rFonts w:ascii="Arial" w:hAnsi="Arial" w:cs="Arial"/>
                <w:color w:val="000000" w:themeColor="text1"/>
                <w:lang w:eastAsia="en-GB"/>
              </w:rPr>
              <w:t>%)</w:t>
            </w:r>
          </w:p>
        </w:tc>
        <w:tc>
          <w:tcPr>
            <w:tcW w:w="2946" w:type="dxa"/>
            <w:vAlign w:val="center"/>
            <w:hideMark/>
          </w:tcPr>
          <w:p w14:paraId="47D4BB6C"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w:t>
            </w:r>
            <w:r w:rsidR="00512295" w:rsidRPr="00E82EE4">
              <w:rPr>
                <w:rFonts w:ascii="Arial" w:hAnsi="Arial" w:cs="Arial"/>
                <w:color w:val="000000" w:themeColor="text1"/>
                <w:lang w:eastAsia="en-GB"/>
              </w:rPr>
              <w:t>0</w:t>
            </w:r>
            <w:r w:rsidRPr="00E82EE4">
              <w:rPr>
                <w:rFonts w:ascii="Arial" w:hAnsi="Arial" w:cs="Arial"/>
                <w:color w:val="000000" w:themeColor="text1"/>
                <w:lang w:eastAsia="en-GB"/>
              </w:rPr>
              <w:t xml:space="preserve"> (13.</w:t>
            </w:r>
            <w:r w:rsidR="00512295" w:rsidRPr="00E82EE4">
              <w:rPr>
                <w:rFonts w:ascii="Arial" w:hAnsi="Arial" w:cs="Arial"/>
                <w:color w:val="000000" w:themeColor="text1"/>
                <w:lang w:eastAsia="en-GB"/>
              </w:rPr>
              <w:t>89</w:t>
            </w:r>
            <w:r w:rsidRPr="00E82EE4">
              <w:rPr>
                <w:rFonts w:ascii="Arial" w:hAnsi="Arial" w:cs="Arial"/>
                <w:color w:val="000000" w:themeColor="text1"/>
                <w:lang w:eastAsia="en-GB"/>
              </w:rPr>
              <w:t>%)</w:t>
            </w:r>
          </w:p>
        </w:tc>
        <w:tc>
          <w:tcPr>
            <w:tcW w:w="806" w:type="dxa"/>
            <w:vMerge/>
            <w:vAlign w:val="center"/>
            <w:hideMark/>
          </w:tcPr>
          <w:p w14:paraId="4726F813" w14:textId="77777777" w:rsidR="00FC5684" w:rsidRPr="00E82EE4" w:rsidRDefault="00FC5684" w:rsidP="00BA3BA3">
            <w:pPr>
              <w:snapToGrid w:val="0"/>
              <w:jc w:val="both"/>
              <w:rPr>
                <w:rFonts w:ascii="Arial" w:hAnsi="Arial" w:cs="Arial"/>
                <w:color w:val="000000" w:themeColor="text1"/>
                <w:lang w:eastAsia="en-GB"/>
              </w:rPr>
            </w:pPr>
          </w:p>
        </w:tc>
      </w:tr>
      <w:tr w:rsidR="00E82EE4" w:rsidRPr="00E82EE4" w14:paraId="4E0FB21A" w14:textId="77777777" w:rsidTr="00FC5684">
        <w:trPr>
          <w:trHeight w:val="262"/>
          <w:tblCellSpacing w:w="15" w:type="dxa"/>
          <w:jc w:val="center"/>
        </w:trPr>
        <w:tc>
          <w:tcPr>
            <w:tcW w:w="0" w:type="auto"/>
            <w:vAlign w:val="center"/>
            <w:hideMark/>
          </w:tcPr>
          <w:p w14:paraId="6DC05ACA" w14:textId="77777777" w:rsidR="00FC5684" w:rsidRPr="00E82EE4" w:rsidRDefault="00FC5684" w:rsidP="00BA3BA3">
            <w:pPr>
              <w:snapToGrid w:val="0"/>
              <w:jc w:val="both"/>
              <w:rPr>
                <w:rFonts w:ascii="Arial" w:hAnsi="Arial" w:cs="Arial"/>
                <w:color w:val="000000" w:themeColor="text1"/>
                <w:lang w:eastAsia="en-GB"/>
              </w:rPr>
            </w:pPr>
            <w:proofErr w:type="spellStart"/>
            <w:r w:rsidRPr="00E82EE4">
              <w:rPr>
                <w:rFonts w:ascii="Arial" w:hAnsi="Arial" w:cs="Arial"/>
                <w:color w:val="000000" w:themeColor="text1"/>
                <w:lang w:eastAsia="en-GB"/>
              </w:rPr>
              <w:lastRenderedPageBreak/>
              <w:t>Polymenorrhoea</w:t>
            </w:r>
            <w:proofErr w:type="spellEnd"/>
          </w:p>
        </w:tc>
        <w:tc>
          <w:tcPr>
            <w:tcW w:w="2505" w:type="dxa"/>
            <w:vAlign w:val="center"/>
            <w:hideMark/>
          </w:tcPr>
          <w:p w14:paraId="0767EBFA"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 (</w:t>
            </w:r>
            <w:r w:rsidR="00512295" w:rsidRPr="00E82EE4">
              <w:rPr>
                <w:rFonts w:ascii="Arial" w:hAnsi="Arial" w:cs="Arial"/>
                <w:color w:val="000000" w:themeColor="text1"/>
                <w:lang w:eastAsia="en-GB"/>
              </w:rPr>
              <w:t>1.79</w:t>
            </w:r>
            <w:r w:rsidRPr="00E82EE4">
              <w:rPr>
                <w:rFonts w:ascii="Arial" w:hAnsi="Arial" w:cs="Arial"/>
                <w:color w:val="000000" w:themeColor="text1"/>
                <w:lang w:eastAsia="en-GB"/>
              </w:rPr>
              <w:t>%)</w:t>
            </w:r>
          </w:p>
        </w:tc>
        <w:tc>
          <w:tcPr>
            <w:tcW w:w="2946" w:type="dxa"/>
            <w:vAlign w:val="center"/>
            <w:hideMark/>
          </w:tcPr>
          <w:p w14:paraId="38D47B36"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 (</w:t>
            </w:r>
            <w:r w:rsidR="00512295" w:rsidRPr="00E82EE4">
              <w:rPr>
                <w:rFonts w:ascii="Arial" w:hAnsi="Arial" w:cs="Arial"/>
                <w:color w:val="000000" w:themeColor="text1"/>
                <w:lang w:eastAsia="en-GB"/>
              </w:rPr>
              <w:t>4.17</w:t>
            </w:r>
            <w:r w:rsidRPr="00E82EE4">
              <w:rPr>
                <w:rFonts w:ascii="Arial" w:hAnsi="Arial" w:cs="Arial"/>
                <w:color w:val="000000" w:themeColor="text1"/>
                <w:lang w:eastAsia="en-GB"/>
              </w:rPr>
              <w:t>%)</w:t>
            </w:r>
          </w:p>
        </w:tc>
        <w:tc>
          <w:tcPr>
            <w:tcW w:w="806" w:type="dxa"/>
            <w:vMerge/>
            <w:vAlign w:val="center"/>
            <w:hideMark/>
          </w:tcPr>
          <w:p w14:paraId="4A879298" w14:textId="77777777" w:rsidR="00FC5684" w:rsidRPr="00E82EE4" w:rsidRDefault="00FC5684" w:rsidP="00BA3BA3">
            <w:pPr>
              <w:snapToGrid w:val="0"/>
              <w:jc w:val="both"/>
              <w:rPr>
                <w:rFonts w:ascii="Arial" w:hAnsi="Arial" w:cs="Arial"/>
                <w:color w:val="000000" w:themeColor="text1"/>
                <w:lang w:eastAsia="en-GB"/>
              </w:rPr>
            </w:pPr>
          </w:p>
        </w:tc>
      </w:tr>
      <w:tr w:rsidR="00E82EE4" w:rsidRPr="00E82EE4" w14:paraId="4C3AE719" w14:textId="77777777" w:rsidTr="00FC5684">
        <w:trPr>
          <w:trHeight w:val="273"/>
          <w:tblCellSpacing w:w="15" w:type="dxa"/>
          <w:jc w:val="center"/>
        </w:trPr>
        <w:tc>
          <w:tcPr>
            <w:tcW w:w="0" w:type="auto"/>
            <w:vAlign w:val="center"/>
            <w:hideMark/>
          </w:tcPr>
          <w:p w14:paraId="4B3063F7"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Metrorrhagia</w:t>
            </w:r>
          </w:p>
        </w:tc>
        <w:tc>
          <w:tcPr>
            <w:tcW w:w="2505" w:type="dxa"/>
            <w:vAlign w:val="center"/>
            <w:hideMark/>
          </w:tcPr>
          <w:p w14:paraId="1A77D060" w14:textId="77777777" w:rsidR="00FC5684" w:rsidRPr="00E82EE4" w:rsidRDefault="00512295"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2</w:t>
            </w:r>
            <w:r w:rsidR="00FC5684" w:rsidRPr="00E82EE4">
              <w:rPr>
                <w:rFonts w:ascii="Arial" w:hAnsi="Arial" w:cs="Arial"/>
                <w:color w:val="000000" w:themeColor="text1"/>
                <w:lang w:eastAsia="en-GB"/>
              </w:rPr>
              <w:t xml:space="preserve"> (</w:t>
            </w:r>
            <w:r w:rsidRPr="00E82EE4">
              <w:rPr>
                <w:rFonts w:ascii="Arial" w:hAnsi="Arial" w:cs="Arial"/>
                <w:color w:val="000000" w:themeColor="text1"/>
                <w:lang w:eastAsia="en-GB"/>
              </w:rPr>
              <w:t>3</w:t>
            </w:r>
            <w:r w:rsidR="00FC5684" w:rsidRPr="00E82EE4">
              <w:rPr>
                <w:rFonts w:ascii="Arial" w:hAnsi="Arial" w:cs="Arial"/>
                <w:color w:val="000000" w:themeColor="text1"/>
                <w:lang w:eastAsia="en-GB"/>
              </w:rPr>
              <w:t>.</w:t>
            </w:r>
            <w:r w:rsidRPr="00E82EE4">
              <w:rPr>
                <w:rFonts w:ascii="Arial" w:hAnsi="Arial" w:cs="Arial"/>
                <w:color w:val="000000" w:themeColor="text1"/>
                <w:lang w:eastAsia="en-GB"/>
              </w:rPr>
              <w:t>57</w:t>
            </w:r>
            <w:r w:rsidR="00FC5684" w:rsidRPr="00E82EE4">
              <w:rPr>
                <w:rFonts w:ascii="Arial" w:hAnsi="Arial" w:cs="Arial"/>
                <w:color w:val="000000" w:themeColor="text1"/>
                <w:lang w:eastAsia="en-GB"/>
              </w:rPr>
              <w:t>%)</w:t>
            </w:r>
          </w:p>
        </w:tc>
        <w:tc>
          <w:tcPr>
            <w:tcW w:w="2946" w:type="dxa"/>
            <w:vAlign w:val="center"/>
            <w:hideMark/>
          </w:tcPr>
          <w:p w14:paraId="0181BDF5"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 (5.</w:t>
            </w:r>
            <w:r w:rsidR="00512295" w:rsidRPr="00E82EE4">
              <w:rPr>
                <w:rFonts w:ascii="Arial" w:hAnsi="Arial" w:cs="Arial"/>
                <w:color w:val="000000" w:themeColor="text1"/>
                <w:lang w:eastAsia="en-GB"/>
              </w:rPr>
              <w:t>5</w:t>
            </w:r>
            <w:r w:rsidRPr="00E82EE4">
              <w:rPr>
                <w:rFonts w:ascii="Arial" w:hAnsi="Arial" w:cs="Arial"/>
                <w:color w:val="000000" w:themeColor="text1"/>
                <w:lang w:eastAsia="en-GB"/>
              </w:rPr>
              <w:t>6%)</w:t>
            </w:r>
          </w:p>
        </w:tc>
        <w:tc>
          <w:tcPr>
            <w:tcW w:w="806" w:type="dxa"/>
            <w:vMerge/>
            <w:vAlign w:val="center"/>
            <w:hideMark/>
          </w:tcPr>
          <w:p w14:paraId="696113A1" w14:textId="77777777" w:rsidR="00FC5684" w:rsidRPr="00E82EE4" w:rsidRDefault="00FC5684" w:rsidP="00BA3BA3">
            <w:pPr>
              <w:snapToGrid w:val="0"/>
              <w:jc w:val="both"/>
              <w:rPr>
                <w:rFonts w:ascii="Arial" w:hAnsi="Arial" w:cs="Arial"/>
                <w:color w:val="000000" w:themeColor="text1"/>
                <w:lang w:eastAsia="en-GB"/>
              </w:rPr>
            </w:pPr>
          </w:p>
        </w:tc>
      </w:tr>
      <w:tr w:rsidR="00E82EE4" w:rsidRPr="00E82EE4" w14:paraId="65531705" w14:textId="77777777" w:rsidTr="00FC5684">
        <w:trPr>
          <w:trHeight w:val="273"/>
          <w:tblCellSpacing w:w="15" w:type="dxa"/>
          <w:jc w:val="center"/>
        </w:trPr>
        <w:tc>
          <w:tcPr>
            <w:tcW w:w="0" w:type="auto"/>
            <w:vAlign w:val="center"/>
            <w:hideMark/>
          </w:tcPr>
          <w:p w14:paraId="0AC086B2" w14:textId="77777777" w:rsidR="00FC5684" w:rsidRPr="00E82EE4" w:rsidRDefault="00FC5684" w:rsidP="00BA3BA3">
            <w:pPr>
              <w:snapToGrid w:val="0"/>
              <w:jc w:val="both"/>
              <w:rPr>
                <w:rFonts w:ascii="Arial" w:hAnsi="Arial" w:cs="Arial"/>
                <w:color w:val="000000" w:themeColor="text1"/>
                <w:lang w:eastAsia="en-GB"/>
              </w:rPr>
            </w:pPr>
            <w:proofErr w:type="spellStart"/>
            <w:r w:rsidRPr="00E82EE4">
              <w:rPr>
                <w:rFonts w:ascii="Arial" w:hAnsi="Arial" w:cs="Arial"/>
                <w:color w:val="000000" w:themeColor="text1"/>
                <w:lang w:eastAsia="en-GB"/>
              </w:rPr>
              <w:t>Hypomenorrhoea</w:t>
            </w:r>
            <w:proofErr w:type="spellEnd"/>
          </w:p>
        </w:tc>
        <w:tc>
          <w:tcPr>
            <w:tcW w:w="2505" w:type="dxa"/>
            <w:vAlign w:val="center"/>
            <w:hideMark/>
          </w:tcPr>
          <w:p w14:paraId="16FC21A0"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c>
          <w:tcPr>
            <w:tcW w:w="2946" w:type="dxa"/>
            <w:vAlign w:val="center"/>
            <w:hideMark/>
          </w:tcPr>
          <w:p w14:paraId="61A2AB20"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2 (2.</w:t>
            </w:r>
            <w:r w:rsidR="00512295" w:rsidRPr="00E82EE4">
              <w:rPr>
                <w:rFonts w:ascii="Arial" w:hAnsi="Arial" w:cs="Arial"/>
                <w:color w:val="000000" w:themeColor="text1"/>
                <w:lang w:eastAsia="en-GB"/>
              </w:rPr>
              <w:t>78</w:t>
            </w:r>
            <w:r w:rsidRPr="00E82EE4">
              <w:rPr>
                <w:rFonts w:ascii="Arial" w:hAnsi="Arial" w:cs="Arial"/>
                <w:color w:val="000000" w:themeColor="text1"/>
                <w:lang w:eastAsia="en-GB"/>
              </w:rPr>
              <w:t>%)</w:t>
            </w:r>
          </w:p>
        </w:tc>
        <w:tc>
          <w:tcPr>
            <w:tcW w:w="806" w:type="dxa"/>
            <w:vMerge/>
            <w:vAlign w:val="center"/>
            <w:hideMark/>
          </w:tcPr>
          <w:p w14:paraId="388BC6B6" w14:textId="77777777" w:rsidR="00FC5684" w:rsidRPr="00E82EE4" w:rsidRDefault="00FC5684" w:rsidP="00BA3BA3">
            <w:pPr>
              <w:snapToGrid w:val="0"/>
              <w:jc w:val="both"/>
              <w:rPr>
                <w:rFonts w:ascii="Arial" w:hAnsi="Arial" w:cs="Arial"/>
                <w:color w:val="000000" w:themeColor="text1"/>
                <w:lang w:eastAsia="en-GB"/>
              </w:rPr>
            </w:pPr>
          </w:p>
        </w:tc>
      </w:tr>
      <w:tr w:rsidR="00E82EE4" w:rsidRPr="00E82EE4" w14:paraId="135B6C81" w14:textId="77777777" w:rsidTr="00FC5684">
        <w:trPr>
          <w:trHeight w:val="273"/>
          <w:tblCellSpacing w:w="15" w:type="dxa"/>
          <w:jc w:val="center"/>
        </w:trPr>
        <w:tc>
          <w:tcPr>
            <w:tcW w:w="0" w:type="auto"/>
            <w:vAlign w:val="center"/>
            <w:hideMark/>
          </w:tcPr>
          <w:p w14:paraId="3FA71207"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Normal Cycle</w:t>
            </w:r>
          </w:p>
        </w:tc>
        <w:tc>
          <w:tcPr>
            <w:tcW w:w="2505" w:type="dxa"/>
            <w:vAlign w:val="center"/>
            <w:hideMark/>
          </w:tcPr>
          <w:p w14:paraId="076B7003"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w:t>
            </w:r>
            <w:r w:rsidR="00512295" w:rsidRPr="00E82EE4">
              <w:rPr>
                <w:rFonts w:ascii="Arial" w:hAnsi="Arial" w:cs="Arial"/>
                <w:color w:val="000000" w:themeColor="text1"/>
                <w:lang w:eastAsia="en-GB"/>
              </w:rPr>
              <w:t>7</w:t>
            </w:r>
            <w:r w:rsidRPr="00E82EE4">
              <w:rPr>
                <w:rFonts w:ascii="Arial" w:hAnsi="Arial" w:cs="Arial"/>
                <w:color w:val="000000" w:themeColor="text1"/>
                <w:lang w:eastAsia="en-GB"/>
              </w:rPr>
              <w:t xml:space="preserve"> (6</w:t>
            </w:r>
            <w:r w:rsidR="00512295" w:rsidRPr="00E82EE4">
              <w:rPr>
                <w:rFonts w:ascii="Arial" w:hAnsi="Arial" w:cs="Arial"/>
                <w:color w:val="000000" w:themeColor="text1"/>
                <w:lang w:eastAsia="en-GB"/>
              </w:rPr>
              <w:t>6</w:t>
            </w:r>
            <w:r w:rsidRPr="00E82EE4">
              <w:rPr>
                <w:rFonts w:ascii="Arial" w:hAnsi="Arial" w:cs="Arial"/>
                <w:color w:val="000000" w:themeColor="text1"/>
                <w:lang w:eastAsia="en-GB"/>
              </w:rPr>
              <w:t>.</w:t>
            </w:r>
            <w:r w:rsidR="00512295" w:rsidRPr="00E82EE4">
              <w:rPr>
                <w:rFonts w:ascii="Arial" w:hAnsi="Arial" w:cs="Arial"/>
                <w:color w:val="000000" w:themeColor="text1"/>
                <w:lang w:eastAsia="en-GB"/>
              </w:rPr>
              <w:t>07</w:t>
            </w:r>
            <w:r w:rsidRPr="00E82EE4">
              <w:rPr>
                <w:rFonts w:ascii="Arial" w:hAnsi="Arial" w:cs="Arial"/>
                <w:color w:val="000000" w:themeColor="text1"/>
                <w:lang w:eastAsia="en-GB"/>
              </w:rPr>
              <w:t>%)</w:t>
            </w:r>
          </w:p>
        </w:tc>
        <w:tc>
          <w:tcPr>
            <w:tcW w:w="2946" w:type="dxa"/>
            <w:vAlign w:val="center"/>
            <w:hideMark/>
          </w:tcPr>
          <w:p w14:paraId="3FB4D1EC" w14:textId="77777777" w:rsidR="00FC5684" w:rsidRPr="00E82EE4" w:rsidRDefault="00512295"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48</w:t>
            </w:r>
            <w:r w:rsidR="00FC5684" w:rsidRPr="00E82EE4">
              <w:rPr>
                <w:rFonts w:ascii="Arial" w:hAnsi="Arial" w:cs="Arial"/>
                <w:color w:val="000000" w:themeColor="text1"/>
                <w:lang w:eastAsia="en-GB"/>
              </w:rPr>
              <w:t xml:space="preserve"> (6</w:t>
            </w:r>
            <w:r w:rsidRPr="00E82EE4">
              <w:rPr>
                <w:rFonts w:ascii="Arial" w:hAnsi="Arial" w:cs="Arial"/>
                <w:color w:val="000000" w:themeColor="text1"/>
                <w:lang w:eastAsia="en-GB"/>
              </w:rPr>
              <w:t>6</w:t>
            </w:r>
            <w:r w:rsidR="00FC5684" w:rsidRPr="00E82EE4">
              <w:rPr>
                <w:rFonts w:ascii="Arial" w:hAnsi="Arial" w:cs="Arial"/>
                <w:color w:val="000000" w:themeColor="text1"/>
                <w:lang w:eastAsia="en-GB"/>
              </w:rPr>
              <w:t>.</w:t>
            </w:r>
            <w:r w:rsidRPr="00E82EE4">
              <w:rPr>
                <w:rFonts w:ascii="Arial" w:hAnsi="Arial" w:cs="Arial"/>
                <w:color w:val="000000" w:themeColor="text1"/>
                <w:lang w:eastAsia="en-GB"/>
              </w:rPr>
              <w:t>67</w:t>
            </w:r>
            <w:r w:rsidR="00FC5684" w:rsidRPr="00E82EE4">
              <w:rPr>
                <w:rFonts w:ascii="Arial" w:hAnsi="Arial" w:cs="Arial"/>
                <w:color w:val="000000" w:themeColor="text1"/>
                <w:lang w:eastAsia="en-GB"/>
              </w:rPr>
              <w:t>%)</w:t>
            </w:r>
          </w:p>
        </w:tc>
        <w:tc>
          <w:tcPr>
            <w:tcW w:w="806" w:type="dxa"/>
            <w:vMerge/>
            <w:vAlign w:val="center"/>
            <w:hideMark/>
          </w:tcPr>
          <w:p w14:paraId="16E6125E" w14:textId="77777777" w:rsidR="00FC5684" w:rsidRPr="00E82EE4" w:rsidRDefault="00FC5684" w:rsidP="00BA3BA3">
            <w:pPr>
              <w:snapToGrid w:val="0"/>
              <w:jc w:val="both"/>
              <w:rPr>
                <w:rFonts w:ascii="Arial" w:hAnsi="Arial" w:cs="Arial"/>
                <w:color w:val="000000" w:themeColor="text1"/>
                <w:lang w:eastAsia="en-GB"/>
              </w:rPr>
            </w:pPr>
          </w:p>
        </w:tc>
      </w:tr>
    </w:tbl>
    <w:p w14:paraId="355E47DD" w14:textId="77777777" w:rsidR="00FC5684" w:rsidRPr="00E82EE4" w:rsidRDefault="00FC5684" w:rsidP="00E82EE4">
      <w:pPr>
        <w:snapToGrid w:val="0"/>
        <w:jc w:val="both"/>
        <w:outlineLvl w:val="2"/>
        <w:rPr>
          <w:rFonts w:ascii="Arial" w:hAnsi="Arial" w:cs="Arial"/>
          <w:i/>
          <w:iCs/>
          <w:color w:val="000000" w:themeColor="text1"/>
          <w:lang w:eastAsia="en-GB"/>
        </w:rPr>
      </w:pPr>
      <w:r w:rsidRPr="00E82EE4">
        <w:rPr>
          <w:rFonts w:ascii="Arial" w:hAnsi="Arial" w:cs="Arial"/>
          <w:i/>
          <w:iCs/>
          <w:color w:val="000000" w:themeColor="text1"/>
          <w:lang w:eastAsia="en-GB"/>
        </w:rPr>
        <w:t>The p-value (0.045) corresponds to the statistical significance across the menstrual patterns using the chi-square test.</w:t>
      </w:r>
    </w:p>
    <w:p w14:paraId="7CF7A932" w14:textId="77777777" w:rsidR="00FC5684" w:rsidRPr="00E82EE4" w:rsidRDefault="00FC5684" w:rsidP="00FC5684">
      <w:pPr>
        <w:snapToGrid w:val="0"/>
        <w:jc w:val="both"/>
        <w:rPr>
          <w:rFonts w:ascii="Arial" w:hAnsi="Arial" w:cs="Arial"/>
          <w:color w:val="000000" w:themeColor="text1"/>
          <w:lang w:eastAsia="en-GB"/>
        </w:rPr>
      </w:pPr>
    </w:p>
    <w:p w14:paraId="4422E10B" w14:textId="77777777" w:rsidR="00FC5684" w:rsidRPr="00E82EE4" w:rsidRDefault="00FC5684" w:rsidP="00FC5684">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The findings highlight that while most participants maintain a regular menstrual cycle, abnormal patterns—particularly menorrhagia—are significantly associated with anaemia. These results reinforce the need for targeted health interventions and screening among students experiencing heavy menstrual bleeding, as it may contribute to compromised </w:t>
      </w:r>
      <w:proofErr w:type="spellStart"/>
      <w:r w:rsidRPr="00E82EE4">
        <w:rPr>
          <w:rFonts w:ascii="Arial" w:hAnsi="Arial" w:cs="Arial"/>
          <w:color w:val="000000" w:themeColor="text1"/>
          <w:lang w:eastAsia="en-GB"/>
        </w:rPr>
        <w:t>haematological</w:t>
      </w:r>
      <w:proofErr w:type="spellEnd"/>
      <w:r w:rsidRPr="00E82EE4">
        <w:rPr>
          <w:rFonts w:ascii="Arial" w:hAnsi="Arial" w:cs="Arial"/>
          <w:color w:val="000000" w:themeColor="text1"/>
          <w:lang w:eastAsia="en-GB"/>
        </w:rPr>
        <w:t xml:space="preserve"> health.</w:t>
      </w:r>
    </w:p>
    <w:p w14:paraId="092042D5" w14:textId="77777777" w:rsidR="00FC5684" w:rsidRPr="00E82EE4" w:rsidRDefault="00FC5684" w:rsidP="00FC5684">
      <w:pPr>
        <w:snapToGrid w:val="0"/>
        <w:jc w:val="both"/>
        <w:rPr>
          <w:rFonts w:ascii="Arial" w:hAnsi="Arial" w:cs="Arial"/>
          <w:color w:val="000000" w:themeColor="text1"/>
          <w:lang w:eastAsia="en-GB"/>
        </w:rPr>
      </w:pPr>
    </w:p>
    <w:p w14:paraId="35B0A512" w14:textId="77777777" w:rsidR="00E82EE4" w:rsidRPr="00E82EE4" w:rsidRDefault="00E82EE4" w:rsidP="00FC5684">
      <w:pPr>
        <w:snapToGrid w:val="0"/>
        <w:jc w:val="both"/>
        <w:rPr>
          <w:rFonts w:ascii="Arial" w:hAnsi="Arial" w:cs="Arial"/>
          <w:color w:val="000000" w:themeColor="text1"/>
          <w:lang w:eastAsia="en-GB"/>
        </w:rPr>
      </w:pPr>
    </w:p>
    <w:p w14:paraId="54B96626" w14:textId="77777777" w:rsidR="00E82EE4" w:rsidRPr="00E82EE4" w:rsidRDefault="00E82EE4" w:rsidP="00E82EE4">
      <w:pPr>
        <w:pStyle w:val="p2"/>
        <w:snapToGrid w:val="0"/>
        <w:spacing w:before="0" w:beforeAutospacing="0" w:after="0" w:afterAutospacing="0"/>
        <w:jc w:val="both"/>
        <w:rPr>
          <w:rFonts w:ascii="Arial" w:hAnsi="Arial" w:cs="Arial"/>
          <w:color w:val="000000" w:themeColor="text1"/>
          <w:sz w:val="20"/>
          <w:szCs w:val="20"/>
        </w:rPr>
      </w:pPr>
      <w:r w:rsidRPr="00E82EE4">
        <w:rPr>
          <w:rFonts w:ascii="Arial" w:hAnsi="Arial" w:cs="Arial"/>
          <w:color w:val="000000" w:themeColor="text1"/>
          <w:sz w:val="20"/>
          <w:szCs w:val="20"/>
        </w:rPr>
        <w:t>Table 3 presents the mean haemoglobin concentration measured during both the follicular and luteal phases of the menstrual cycle among the 128 study participants. The results indicate that the mean haemoglobin level was significantly higher in the luteal phase (11.86 ± 1.28 gm/dl) compared to the follicular phase (11.42 ± 1.10 gm/dl). The p-value of &lt;0.05 suggests a statistically significant difference, confirming that the menstrual cycle phase influences haemoglobin levels in these students.</w:t>
      </w:r>
    </w:p>
    <w:p w14:paraId="6790AC00" w14:textId="77777777" w:rsidR="00E82EE4" w:rsidRPr="00E82EE4" w:rsidRDefault="00E82EE4" w:rsidP="00FC5684">
      <w:pPr>
        <w:snapToGrid w:val="0"/>
        <w:jc w:val="both"/>
        <w:rPr>
          <w:rFonts w:ascii="Arial" w:hAnsi="Arial" w:cs="Arial"/>
          <w:color w:val="000000" w:themeColor="text1"/>
          <w:lang w:eastAsia="en-GB"/>
        </w:rPr>
      </w:pPr>
    </w:p>
    <w:p w14:paraId="342360EE" w14:textId="77777777" w:rsidR="00FC5684" w:rsidRPr="00E82EE4" w:rsidRDefault="00FC5684" w:rsidP="000A5161">
      <w:pPr>
        <w:pStyle w:val="p1"/>
        <w:snapToGrid w:val="0"/>
        <w:spacing w:before="0" w:beforeAutospacing="0" w:after="0" w:afterAutospacing="0"/>
        <w:jc w:val="both"/>
        <w:rPr>
          <w:rFonts w:ascii="Arial" w:hAnsi="Arial" w:cs="Arial"/>
          <w:b/>
          <w:bCs/>
          <w:color w:val="000000" w:themeColor="text1"/>
          <w:sz w:val="20"/>
          <w:szCs w:val="20"/>
        </w:rPr>
      </w:pPr>
      <w:r w:rsidRPr="00E82EE4">
        <w:rPr>
          <w:rFonts w:ascii="Arial" w:hAnsi="Arial" w:cs="Arial"/>
          <w:b/>
          <w:bCs/>
          <w:color w:val="000000" w:themeColor="text1"/>
          <w:sz w:val="20"/>
          <w:szCs w:val="20"/>
        </w:rPr>
        <w:t>Table 3. Haemoglobin Levels During Luteal and Follicular Phases of the Menstrual Cycle</w:t>
      </w:r>
    </w:p>
    <w:p w14:paraId="4C4A57A3"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243"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774"/>
        <w:gridCol w:w="3363"/>
        <w:gridCol w:w="2106"/>
      </w:tblGrid>
      <w:tr w:rsidR="00E82EE4" w:rsidRPr="00E82EE4" w14:paraId="5F5CFF33" w14:textId="77777777" w:rsidTr="000A5161">
        <w:trPr>
          <w:trHeight w:val="282"/>
          <w:tblHeader/>
          <w:tblCellSpacing w:w="15" w:type="dxa"/>
        </w:trPr>
        <w:tc>
          <w:tcPr>
            <w:tcW w:w="0" w:type="auto"/>
            <w:tcBorders>
              <w:top w:val="single" w:sz="4" w:space="0" w:color="auto"/>
              <w:bottom w:val="single" w:sz="4" w:space="0" w:color="auto"/>
            </w:tcBorders>
            <w:vAlign w:val="center"/>
            <w:hideMark/>
          </w:tcPr>
          <w:p w14:paraId="5B10E580"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Phase of Menstrual Cycle</w:t>
            </w:r>
          </w:p>
        </w:tc>
        <w:tc>
          <w:tcPr>
            <w:tcW w:w="0" w:type="auto"/>
            <w:tcBorders>
              <w:top w:val="single" w:sz="4" w:space="0" w:color="auto"/>
              <w:bottom w:val="single" w:sz="4" w:space="0" w:color="auto"/>
            </w:tcBorders>
            <w:vAlign w:val="center"/>
            <w:hideMark/>
          </w:tcPr>
          <w:p w14:paraId="32413ECF"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Mean Hb Concentration (gm/dl)</w:t>
            </w:r>
          </w:p>
        </w:tc>
        <w:tc>
          <w:tcPr>
            <w:tcW w:w="0" w:type="auto"/>
            <w:tcBorders>
              <w:top w:val="single" w:sz="4" w:space="0" w:color="auto"/>
              <w:bottom w:val="single" w:sz="4" w:space="0" w:color="auto"/>
            </w:tcBorders>
            <w:vAlign w:val="center"/>
            <w:hideMark/>
          </w:tcPr>
          <w:p w14:paraId="0C1366D7"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Standard Deviation</w:t>
            </w:r>
          </w:p>
        </w:tc>
      </w:tr>
      <w:tr w:rsidR="00E82EE4" w:rsidRPr="00E82EE4" w14:paraId="49E61D04" w14:textId="77777777" w:rsidTr="000A5161">
        <w:trPr>
          <w:trHeight w:val="282"/>
          <w:tblCellSpacing w:w="15" w:type="dxa"/>
        </w:trPr>
        <w:tc>
          <w:tcPr>
            <w:tcW w:w="0" w:type="auto"/>
            <w:vAlign w:val="center"/>
            <w:hideMark/>
          </w:tcPr>
          <w:p w14:paraId="0DB7311B" w14:textId="77777777" w:rsidR="00FC5684" w:rsidRPr="00E82EE4" w:rsidRDefault="00FC5684" w:rsidP="00BA3BA3">
            <w:pPr>
              <w:snapToGrid w:val="0"/>
              <w:rPr>
                <w:rFonts w:ascii="Arial" w:hAnsi="Arial" w:cs="Arial"/>
                <w:color w:val="000000" w:themeColor="text1"/>
                <w:lang w:eastAsia="en-GB"/>
              </w:rPr>
            </w:pPr>
            <w:r w:rsidRPr="00E82EE4">
              <w:rPr>
                <w:rFonts w:ascii="Arial" w:hAnsi="Arial" w:cs="Arial"/>
                <w:color w:val="000000" w:themeColor="text1"/>
                <w:lang w:eastAsia="en-GB"/>
              </w:rPr>
              <w:t>Follicular Phase</w:t>
            </w:r>
          </w:p>
        </w:tc>
        <w:tc>
          <w:tcPr>
            <w:tcW w:w="0" w:type="auto"/>
            <w:vAlign w:val="center"/>
            <w:hideMark/>
          </w:tcPr>
          <w:p w14:paraId="47E389A9"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11.42</w:t>
            </w:r>
          </w:p>
        </w:tc>
        <w:tc>
          <w:tcPr>
            <w:tcW w:w="0" w:type="auto"/>
            <w:vAlign w:val="center"/>
            <w:hideMark/>
          </w:tcPr>
          <w:p w14:paraId="7F2502B7"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±1.10</w:t>
            </w:r>
          </w:p>
        </w:tc>
      </w:tr>
      <w:tr w:rsidR="00E82EE4" w:rsidRPr="00E82EE4" w14:paraId="53B66673" w14:textId="77777777" w:rsidTr="000A5161">
        <w:trPr>
          <w:trHeight w:val="282"/>
          <w:tblCellSpacing w:w="15" w:type="dxa"/>
        </w:trPr>
        <w:tc>
          <w:tcPr>
            <w:tcW w:w="0" w:type="auto"/>
            <w:vAlign w:val="center"/>
            <w:hideMark/>
          </w:tcPr>
          <w:p w14:paraId="1BF40A15" w14:textId="77777777" w:rsidR="00FC5684" w:rsidRPr="00E82EE4" w:rsidRDefault="00FC5684" w:rsidP="00BA3BA3">
            <w:pPr>
              <w:snapToGrid w:val="0"/>
              <w:rPr>
                <w:rFonts w:ascii="Arial" w:hAnsi="Arial" w:cs="Arial"/>
                <w:color w:val="000000" w:themeColor="text1"/>
                <w:lang w:eastAsia="en-GB"/>
              </w:rPr>
            </w:pPr>
            <w:r w:rsidRPr="00E82EE4">
              <w:rPr>
                <w:rFonts w:ascii="Arial" w:hAnsi="Arial" w:cs="Arial"/>
                <w:color w:val="000000" w:themeColor="text1"/>
                <w:lang w:eastAsia="en-GB"/>
              </w:rPr>
              <w:t>Luteal Phase</w:t>
            </w:r>
          </w:p>
        </w:tc>
        <w:tc>
          <w:tcPr>
            <w:tcW w:w="0" w:type="auto"/>
            <w:vAlign w:val="center"/>
            <w:hideMark/>
          </w:tcPr>
          <w:p w14:paraId="7C33831E"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11.86</w:t>
            </w:r>
          </w:p>
        </w:tc>
        <w:tc>
          <w:tcPr>
            <w:tcW w:w="0" w:type="auto"/>
            <w:vAlign w:val="center"/>
            <w:hideMark/>
          </w:tcPr>
          <w:p w14:paraId="5F3A1EA4"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±1.28</w:t>
            </w:r>
          </w:p>
        </w:tc>
      </w:tr>
      <w:tr w:rsidR="00E82EE4" w:rsidRPr="00E82EE4" w14:paraId="123425C8" w14:textId="77777777" w:rsidTr="000A5161">
        <w:trPr>
          <w:trHeight w:val="282"/>
          <w:tblCellSpacing w:w="15" w:type="dxa"/>
        </w:trPr>
        <w:tc>
          <w:tcPr>
            <w:tcW w:w="0" w:type="auto"/>
            <w:vAlign w:val="center"/>
            <w:hideMark/>
          </w:tcPr>
          <w:p w14:paraId="178520B2" w14:textId="77777777" w:rsidR="00FC5684" w:rsidRPr="00E82EE4" w:rsidRDefault="00FC5684" w:rsidP="00BA3BA3">
            <w:pPr>
              <w:snapToGrid w:val="0"/>
              <w:rPr>
                <w:rFonts w:ascii="Arial" w:hAnsi="Arial" w:cs="Arial"/>
                <w:color w:val="000000" w:themeColor="text1"/>
                <w:lang w:eastAsia="en-GB"/>
              </w:rPr>
            </w:pPr>
            <w:r w:rsidRPr="00E82EE4">
              <w:rPr>
                <w:rFonts w:ascii="Arial" w:hAnsi="Arial" w:cs="Arial"/>
                <w:color w:val="000000" w:themeColor="text1"/>
                <w:lang w:eastAsia="en-GB"/>
              </w:rPr>
              <w:t>p-value</w:t>
            </w:r>
          </w:p>
        </w:tc>
        <w:tc>
          <w:tcPr>
            <w:tcW w:w="0" w:type="auto"/>
            <w:vAlign w:val="center"/>
            <w:hideMark/>
          </w:tcPr>
          <w:p w14:paraId="69441B1D" w14:textId="77777777" w:rsidR="00FC5684" w:rsidRPr="00E82EE4" w:rsidRDefault="00FC5684" w:rsidP="00BA3BA3">
            <w:pPr>
              <w:snapToGrid w:val="0"/>
              <w:jc w:val="center"/>
              <w:rPr>
                <w:rFonts w:ascii="Arial" w:hAnsi="Arial" w:cs="Arial"/>
                <w:color w:val="000000" w:themeColor="text1"/>
                <w:lang w:eastAsia="en-GB"/>
              </w:rPr>
            </w:pPr>
          </w:p>
        </w:tc>
        <w:tc>
          <w:tcPr>
            <w:tcW w:w="0" w:type="auto"/>
            <w:vAlign w:val="center"/>
            <w:hideMark/>
          </w:tcPr>
          <w:p w14:paraId="74D10831"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&lt;0.05*</w:t>
            </w:r>
          </w:p>
        </w:tc>
      </w:tr>
    </w:tbl>
    <w:p w14:paraId="759A255F" w14:textId="77777777" w:rsidR="00FC5684" w:rsidRPr="00E82EE4" w:rsidRDefault="00FC5684" w:rsidP="00FC5684">
      <w:pPr>
        <w:snapToGrid w:val="0"/>
        <w:jc w:val="both"/>
        <w:rPr>
          <w:rFonts w:ascii="Arial" w:hAnsi="Arial" w:cs="Arial"/>
          <w:i/>
          <w:iCs/>
          <w:color w:val="000000" w:themeColor="text1"/>
          <w:lang w:eastAsia="en-GB"/>
        </w:rPr>
      </w:pPr>
      <w:r w:rsidRPr="00E82EE4">
        <w:rPr>
          <w:rFonts w:ascii="Arial" w:hAnsi="Arial" w:cs="Arial"/>
          <w:i/>
          <w:iCs/>
          <w:color w:val="000000" w:themeColor="text1"/>
          <w:lang w:eastAsia="en-GB"/>
        </w:rPr>
        <w:t>*Statistically significant difference between the phases, indicating modulation of haemoglobin concentration with menstrual cycle phase.</w:t>
      </w:r>
    </w:p>
    <w:p w14:paraId="3598A4CC" w14:textId="77777777" w:rsidR="00FC5684" w:rsidRPr="00E82EE4" w:rsidRDefault="00FC5684" w:rsidP="00FC5684">
      <w:pPr>
        <w:pStyle w:val="p1"/>
        <w:snapToGrid w:val="0"/>
        <w:spacing w:before="0" w:beforeAutospacing="0" w:after="0" w:afterAutospacing="0"/>
        <w:jc w:val="both"/>
        <w:rPr>
          <w:rFonts w:ascii="Arial" w:hAnsi="Arial" w:cs="Arial"/>
          <w:color w:val="000000" w:themeColor="text1"/>
          <w:sz w:val="20"/>
          <w:szCs w:val="20"/>
        </w:rPr>
      </w:pPr>
    </w:p>
    <w:p w14:paraId="3BF7068B" w14:textId="77777777" w:rsidR="00E82EE4" w:rsidRPr="00E82EE4" w:rsidRDefault="00E82EE4" w:rsidP="00E82EE4">
      <w:pPr>
        <w:pStyle w:val="p1"/>
        <w:snapToGrid w:val="0"/>
        <w:spacing w:before="0" w:beforeAutospacing="0" w:after="0" w:afterAutospacing="0"/>
        <w:jc w:val="both"/>
        <w:rPr>
          <w:rFonts w:ascii="Arial" w:hAnsi="Arial" w:cs="Arial"/>
          <w:color w:val="000000" w:themeColor="text1"/>
          <w:sz w:val="20"/>
          <w:szCs w:val="20"/>
        </w:rPr>
      </w:pPr>
      <w:r w:rsidRPr="00E82EE4">
        <w:rPr>
          <w:rFonts w:ascii="Arial" w:hAnsi="Arial" w:cs="Arial"/>
          <w:color w:val="000000" w:themeColor="text1"/>
          <w:sz w:val="20"/>
          <w:szCs w:val="20"/>
        </w:rPr>
        <w:t>Table 4 illustrates the extent of haemoglobin variation between the luteal and follicular phases. More than half of the participants (53.12%) showed a change greater than 1.0 gm/dl, while 32.81% had changes less than 1.0 gm/dl. Notably, 14.06% of students experienced a change exceeding 2.0 gm/dl. The significant p-value (&lt;0.05) indicates that the observed changes are unlikely due to chance and reflect physiological modulation of haemoglobin levels across the menstrual cycle.</w:t>
      </w:r>
    </w:p>
    <w:p w14:paraId="0EC2D392" w14:textId="77777777" w:rsidR="00FC5684" w:rsidRPr="00E82EE4" w:rsidRDefault="00FC5684" w:rsidP="00FC5684">
      <w:pPr>
        <w:snapToGrid w:val="0"/>
        <w:jc w:val="both"/>
        <w:rPr>
          <w:rFonts w:ascii="Arial" w:hAnsi="Arial" w:cs="Arial"/>
          <w:color w:val="000000" w:themeColor="text1"/>
          <w:lang w:eastAsia="en-GB"/>
        </w:rPr>
      </w:pPr>
    </w:p>
    <w:p w14:paraId="633B500B" w14:textId="77777777" w:rsidR="00FC5684" w:rsidRPr="00E82EE4" w:rsidRDefault="00FC5684" w:rsidP="00FC5684">
      <w:pPr>
        <w:pStyle w:val="p1"/>
        <w:snapToGrid w:val="0"/>
        <w:spacing w:before="0" w:beforeAutospacing="0" w:after="0" w:afterAutospacing="0"/>
        <w:rPr>
          <w:rFonts w:ascii="Arial" w:hAnsi="Arial" w:cs="Arial"/>
          <w:b/>
          <w:bCs/>
          <w:color w:val="000000" w:themeColor="text1"/>
          <w:sz w:val="20"/>
          <w:szCs w:val="20"/>
        </w:rPr>
      </w:pPr>
      <w:r w:rsidRPr="00E82EE4">
        <w:rPr>
          <w:rFonts w:ascii="Arial" w:hAnsi="Arial" w:cs="Arial"/>
          <w:b/>
          <w:bCs/>
          <w:color w:val="000000" w:themeColor="text1"/>
          <w:sz w:val="20"/>
          <w:szCs w:val="20"/>
        </w:rPr>
        <w:t>Table 4. Extent of Haemoglobin Variation Between Luteal and Follicular Phases</w:t>
      </w:r>
    </w:p>
    <w:p w14:paraId="757AA530"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267" w:type="dxa"/>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020"/>
        <w:gridCol w:w="1979"/>
        <w:gridCol w:w="2268"/>
      </w:tblGrid>
      <w:tr w:rsidR="00E82EE4" w:rsidRPr="00E82EE4" w14:paraId="1E5BE456" w14:textId="77777777" w:rsidTr="000A5161">
        <w:trPr>
          <w:trHeight w:val="271"/>
          <w:tblHeader/>
          <w:tblCellSpacing w:w="15" w:type="dxa"/>
          <w:jc w:val="center"/>
        </w:trPr>
        <w:tc>
          <w:tcPr>
            <w:tcW w:w="0" w:type="auto"/>
            <w:tcBorders>
              <w:top w:val="single" w:sz="4" w:space="0" w:color="auto"/>
              <w:bottom w:val="single" w:sz="4" w:space="0" w:color="auto"/>
            </w:tcBorders>
            <w:vAlign w:val="center"/>
            <w:hideMark/>
          </w:tcPr>
          <w:p w14:paraId="7D20118E"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Hb Change Category (gm/dl)</w:t>
            </w:r>
          </w:p>
        </w:tc>
        <w:tc>
          <w:tcPr>
            <w:tcW w:w="1949" w:type="dxa"/>
            <w:tcBorders>
              <w:top w:val="single" w:sz="4" w:space="0" w:color="auto"/>
              <w:bottom w:val="single" w:sz="4" w:space="0" w:color="auto"/>
            </w:tcBorders>
            <w:vAlign w:val="center"/>
            <w:hideMark/>
          </w:tcPr>
          <w:p w14:paraId="524E5CCF"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Number of Students</w:t>
            </w:r>
          </w:p>
        </w:tc>
        <w:tc>
          <w:tcPr>
            <w:tcW w:w="2223" w:type="dxa"/>
            <w:tcBorders>
              <w:top w:val="single" w:sz="4" w:space="0" w:color="auto"/>
              <w:bottom w:val="single" w:sz="4" w:space="0" w:color="auto"/>
            </w:tcBorders>
            <w:vAlign w:val="center"/>
            <w:hideMark/>
          </w:tcPr>
          <w:p w14:paraId="234B6484"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Percentage (%)</w:t>
            </w:r>
          </w:p>
        </w:tc>
      </w:tr>
      <w:tr w:rsidR="00E82EE4" w:rsidRPr="00E82EE4" w14:paraId="07C8A175" w14:textId="77777777" w:rsidTr="000A5161">
        <w:trPr>
          <w:trHeight w:val="271"/>
          <w:tblCellSpacing w:w="15" w:type="dxa"/>
          <w:jc w:val="center"/>
        </w:trPr>
        <w:tc>
          <w:tcPr>
            <w:tcW w:w="0" w:type="auto"/>
            <w:vAlign w:val="center"/>
            <w:hideMark/>
          </w:tcPr>
          <w:p w14:paraId="46537C8D"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&gt;1.0 gm/dl</w:t>
            </w:r>
          </w:p>
        </w:tc>
        <w:tc>
          <w:tcPr>
            <w:tcW w:w="1949" w:type="dxa"/>
            <w:vAlign w:val="center"/>
            <w:hideMark/>
          </w:tcPr>
          <w:p w14:paraId="0BDE07BD"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68</w:t>
            </w:r>
          </w:p>
        </w:tc>
        <w:tc>
          <w:tcPr>
            <w:tcW w:w="2223" w:type="dxa"/>
            <w:vAlign w:val="center"/>
            <w:hideMark/>
          </w:tcPr>
          <w:p w14:paraId="5FDBA152"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53.12</w:t>
            </w:r>
          </w:p>
        </w:tc>
      </w:tr>
      <w:tr w:rsidR="00E82EE4" w:rsidRPr="00E82EE4" w14:paraId="79497A32" w14:textId="77777777" w:rsidTr="000A5161">
        <w:trPr>
          <w:trHeight w:val="271"/>
          <w:tblCellSpacing w:w="15" w:type="dxa"/>
          <w:jc w:val="center"/>
        </w:trPr>
        <w:tc>
          <w:tcPr>
            <w:tcW w:w="0" w:type="auto"/>
            <w:vAlign w:val="center"/>
            <w:hideMark/>
          </w:tcPr>
          <w:p w14:paraId="36E6B0BD"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&lt;1.0 gm/dl</w:t>
            </w:r>
          </w:p>
        </w:tc>
        <w:tc>
          <w:tcPr>
            <w:tcW w:w="1949" w:type="dxa"/>
            <w:vAlign w:val="center"/>
            <w:hideMark/>
          </w:tcPr>
          <w:p w14:paraId="4B171515"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42</w:t>
            </w:r>
          </w:p>
        </w:tc>
        <w:tc>
          <w:tcPr>
            <w:tcW w:w="2223" w:type="dxa"/>
            <w:vAlign w:val="center"/>
            <w:hideMark/>
          </w:tcPr>
          <w:p w14:paraId="4F9098F9"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32.81</w:t>
            </w:r>
          </w:p>
        </w:tc>
      </w:tr>
      <w:tr w:rsidR="00E82EE4" w:rsidRPr="00E82EE4" w14:paraId="6BFCEB58" w14:textId="77777777" w:rsidTr="000A5161">
        <w:trPr>
          <w:trHeight w:val="260"/>
          <w:tblCellSpacing w:w="15" w:type="dxa"/>
          <w:jc w:val="center"/>
        </w:trPr>
        <w:tc>
          <w:tcPr>
            <w:tcW w:w="0" w:type="auto"/>
            <w:vAlign w:val="center"/>
            <w:hideMark/>
          </w:tcPr>
          <w:p w14:paraId="12E1C60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&gt;2.0 gm/dl</w:t>
            </w:r>
          </w:p>
        </w:tc>
        <w:tc>
          <w:tcPr>
            <w:tcW w:w="1949" w:type="dxa"/>
            <w:vAlign w:val="center"/>
            <w:hideMark/>
          </w:tcPr>
          <w:p w14:paraId="7A76C9BD"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18</w:t>
            </w:r>
          </w:p>
        </w:tc>
        <w:tc>
          <w:tcPr>
            <w:tcW w:w="2223" w:type="dxa"/>
            <w:vAlign w:val="center"/>
            <w:hideMark/>
          </w:tcPr>
          <w:p w14:paraId="3A2657A3"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14.06</w:t>
            </w:r>
          </w:p>
        </w:tc>
      </w:tr>
      <w:tr w:rsidR="00E82EE4" w:rsidRPr="00E82EE4" w14:paraId="33F1A3AA" w14:textId="77777777" w:rsidTr="000A5161">
        <w:trPr>
          <w:trHeight w:val="271"/>
          <w:tblCellSpacing w:w="15" w:type="dxa"/>
          <w:jc w:val="center"/>
        </w:trPr>
        <w:tc>
          <w:tcPr>
            <w:tcW w:w="0" w:type="auto"/>
            <w:vAlign w:val="center"/>
            <w:hideMark/>
          </w:tcPr>
          <w:p w14:paraId="60DD74B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p-value</w:t>
            </w:r>
          </w:p>
        </w:tc>
        <w:tc>
          <w:tcPr>
            <w:tcW w:w="1949" w:type="dxa"/>
            <w:vAlign w:val="center"/>
            <w:hideMark/>
          </w:tcPr>
          <w:p w14:paraId="2AD3AA76" w14:textId="77777777" w:rsidR="00FC5684" w:rsidRPr="00E82EE4" w:rsidRDefault="00FC5684" w:rsidP="00BA3BA3">
            <w:pPr>
              <w:snapToGrid w:val="0"/>
              <w:jc w:val="center"/>
              <w:rPr>
                <w:rFonts w:ascii="Arial" w:hAnsi="Arial" w:cs="Arial"/>
                <w:color w:val="000000" w:themeColor="text1"/>
                <w:lang w:eastAsia="en-GB"/>
              </w:rPr>
            </w:pPr>
          </w:p>
        </w:tc>
        <w:tc>
          <w:tcPr>
            <w:tcW w:w="2223" w:type="dxa"/>
            <w:vAlign w:val="center"/>
            <w:hideMark/>
          </w:tcPr>
          <w:p w14:paraId="153F2EC3"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&lt;0.05*</w:t>
            </w:r>
          </w:p>
        </w:tc>
      </w:tr>
    </w:tbl>
    <w:p w14:paraId="58208CC5" w14:textId="77777777" w:rsidR="00FC5684" w:rsidRPr="00E82EE4" w:rsidRDefault="00FC5684" w:rsidP="00FC5684">
      <w:pPr>
        <w:snapToGrid w:val="0"/>
        <w:jc w:val="both"/>
        <w:rPr>
          <w:rFonts w:ascii="Arial" w:hAnsi="Arial" w:cs="Arial"/>
          <w:i/>
          <w:iCs/>
          <w:color w:val="000000" w:themeColor="text1"/>
          <w:lang w:eastAsia="en-GB"/>
        </w:rPr>
      </w:pPr>
      <w:r w:rsidRPr="00E82EE4">
        <w:rPr>
          <w:rFonts w:ascii="Arial" w:hAnsi="Arial" w:cs="Arial"/>
          <w:i/>
          <w:iCs/>
          <w:color w:val="000000" w:themeColor="text1"/>
          <w:lang w:eastAsia="en-GB"/>
        </w:rPr>
        <w:lastRenderedPageBreak/>
        <w:t>*Indicates statistically significant difference between luteal and follicular phase haemoglobin levels.</w:t>
      </w:r>
    </w:p>
    <w:p w14:paraId="73C53D80" w14:textId="77777777" w:rsidR="00E82EE4" w:rsidRPr="00E82EE4" w:rsidRDefault="00E82EE4" w:rsidP="00E82EE4">
      <w:pPr>
        <w:pStyle w:val="p1"/>
        <w:snapToGrid w:val="0"/>
        <w:spacing w:before="0" w:beforeAutospacing="0" w:after="0" w:afterAutospacing="0"/>
        <w:jc w:val="both"/>
        <w:rPr>
          <w:rFonts w:ascii="Arial" w:hAnsi="Arial" w:cs="Arial"/>
          <w:color w:val="000000" w:themeColor="text1"/>
          <w:sz w:val="20"/>
          <w:szCs w:val="20"/>
        </w:rPr>
      </w:pPr>
    </w:p>
    <w:p w14:paraId="70D552D4" w14:textId="77777777" w:rsidR="00E82EE4" w:rsidRPr="00E82EE4" w:rsidRDefault="00E82EE4" w:rsidP="00E82EE4">
      <w:pPr>
        <w:pStyle w:val="p1"/>
        <w:snapToGrid w:val="0"/>
        <w:spacing w:before="0" w:beforeAutospacing="0" w:after="0" w:afterAutospacing="0"/>
        <w:jc w:val="both"/>
        <w:rPr>
          <w:rFonts w:ascii="Arial" w:hAnsi="Arial" w:cs="Arial"/>
          <w:color w:val="000000" w:themeColor="text1"/>
          <w:sz w:val="20"/>
          <w:szCs w:val="20"/>
        </w:rPr>
      </w:pPr>
    </w:p>
    <w:p w14:paraId="42D78E9E" w14:textId="77777777" w:rsidR="00E82EE4" w:rsidRPr="00E82EE4" w:rsidRDefault="00E82EE4" w:rsidP="00E82EE4">
      <w:pPr>
        <w:pStyle w:val="p1"/>
        <w:snapToGrid w:val="0"/>
        <w:spacing w:before="0" w:beforeAutospacing="0" w:after="0" w:afterAutospacing="0"/>
        <w:jc w:val="both"/>
        <w:rPr>
          <w:rFonts w:ascii="Arial" w:hAnsi="Arial" w:cs="Arial"/>
          <w:color w:val="000000" w:themeColor="text1"/>
          <w:sz w:val="20"/>
          <w:szCs w:val="20"/>
        </w:rPr>
      </w:pPr>
      <w:r w:rsidRPr="00E82EE4">
        <w:rPr>
          <w:rFonts w:ascii="Arial" w:hAnsi="Arial" w:cs="Arial"/>
          <w:color w:val="000000" w:themeColor="text1"/>
          <w:sz w:val="20"/>
          <w:szCs w:val="20"/>
        </w:rPr>
        <w:t>Table 5 categorizes haemoglobin levels observed during the luteal phase. The majority of participants (58.0%) had normal haemoglobin levels (&gt;12 gm/dl), whereas 42.0% showed mild anaemia (10–11.9 gm/dl). No participants exhibited moderate or severe anaemia during this phase. The results, with a p-value of &lt;0.05, highlight that while some degree of anaemia exists, most students maintained adequate haemoglobin levels in the luteal phase.</w:t>
      </w:r>
    </w:p>
    <w:p w14:paraId="62872A20" w14:textId="77777777" w:rsidR="00FC5684" w:rsidRPr="00E82EE4" w:rsidRDefault="00FC5684" w:rsidP="00FC5684">
      <w:pPr>
        <w:snapToGrid w:val="0"/>
        <w:jc w:val="both"/>
        <w:rPr>
          <w:rFonts w:ascii="Arial" w:hAnsi="Arial" w:cs="Arial"/>
          <w:color w:val="000000" w:themeColor="text1"/>
          <w:lang w:eastAsia="en-GB"/>
        </w:rPr>
      </w:pPr>
    </w:p>
    <w:p w14:paraId="7667E896" w14:textId="77777777" w:rsidR="00FC5684" w:rsidRPr="00E82EE4" w:rsidRDefault="00FC5684" w:rsidP="00FC5684">
      <w:pPr>
        <w:pStyle w:val="p1"/>
        <w:snapToGrid w:val="0"/>
        <w:spacing w:before="0" w:beforeAutospacing="0" w:after="0" w:afterAutospacing="0"/>
        <w:rPr>
          <w:rFonts w:ascii="Arial" w:hAnsi="Arial" w:cs="Arial"/>
          <w:b/>
          <w:bCs/>
          <w:color w:val="000000" w:themeColor="text1"/>
          <w:sz w:val="20"/>
          <w:szCs w:val="20"/>
        </w:rPr>
      </w:pPr>
      <w:r w:rsidRPr="00E82EE4">
        <w:rPr>
          <w:rFonts w:ascii="Arial" w:hAnsi="Arial" w:cs="Arial"/>
          <w:b/>
          <w:bCs/>
          <w:color w:val="000000" w:themeColor="text1"/>
          <w:sz w:val="20"/>
          <w:szCs w:val="20"/>
        </w:rPr>
        <w:t>Table 5. Anaemia Status Based on Haemoglobin Concentration in the Luteal Phase</w:t>
      </w:r>
    </w:p>
    <w:p w14:paraId="0B52AFF7"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267"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096"/>
        <w:gridCol w:w="2328"/>
        <w:gridCol w:w="1843"/>
      </w:tblGrid>
      <w:tr w:rsidR="00E82EE4" w:rsidRPr="00E82EE4" w14:paraId="14B4DDFA" w14:textId="77777777" w:rsidTr="000A5161">
        <w:trPr>
          <w:trHeight w:val="271"/>
          <w:tblHeader/>
          <w:tblCellSpacing w:w="15" w:type="dxa"/>
        </w:trPr>
        <w:tc>
          <w:tcPr>
            <w:tcW w:w="0" w:type="auto"/>
            <w:tcBorders>
              <w:top w:val="single" w:sz="4" w:space="0" w:color="auto"/>
              <w:bottom w:val="single" w:sz="4" w:space="0" w:color="auto"/>
            </w:tcBorders>
            <w:vAlign w:val="center"/>
            <w:hideMark/>
          </w:tcPr>
          <w:p w14:paraId="7E3558BD"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Haemoglobin Status</w:t>
            </w:r>
          </w:p>
        </w:tc>
        <w:tc>
          <w:tcPr>
            <w:tcW w:w="2298" w:type="dxa"/>
            <w:tcBorders>
              <w:top w:val="single" w:sz="4" w:space="0" w:color="auto"/>
              <w:bottom w:val="single" w:sz="4" w:space="0" w:color="auto"/>
            </w:tcBorders>
            <w:vAlign w:val="center"/>
            <w:hideMark/>
          </w:tcPr>
          <w:p w14:paraId="5F9A4BD6"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Number of Students</w:t>
            </w:r>
          </w:p>
        </w:tc>
        <w:tc>
          <w:tcPr>
            <w:tcW w:w="1798" w:type="dxa"/>
            <w:tcBorders>
              <w:top w:val="single" w:sz="4" w:space="0" w:color="auto"/>
              <w:bottom w:val="single" w:sz="4" w:space="0" w:color="auto"/>
            </w:tcBorders>
            <w:vAlign w:val="center"/>
            <w:hideMark/>
          </w:tcPr>
          <w:p w14:paraId="3D5C3047"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Percentage (%)</w:t>
            </w:r>
          </w:p>
        </w:tc>
      </w:tr>
      <w:tr w:rsidR="00E82EE4" w:rsidRPr="00E82EE4" w14:paraId="1F96A9D6" w14:textId="77777777" w:rsidTr="000A5161">
        <w:trPr>
          <w:trHeight w:val="271"/>
          <w:tblCellSpacing w:w="15" w:type="dxa"/>
        </w:trPr>
        <w:tc>
          <w:tcPr>
            <w:tcW w:w="0" w:type="auto"/>
            <w:vAlign w:val="center"/>
            <w:hideMark/>
          </w:tcPr>
          <w:p w14:paraId="79B46C8D"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Normal (&gt;12 gm/dl)</w:t>
            </w:r>
          </w:p>
        </w:tc>
        <w:tc>
          <w:tcPr>
            <w:tcW w:w="2298" w:type="dxa"/>
            <w:vAlign w:val="center"/>
            <w:hideMark/>
          </w:tcPr>
          <w:p w14:paraId="19B547EC"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74</w:t>
            </w:r>
          </w:p>
        </w:tc>
        <w:tc>
          <w:tcPr>
            <w:tcW w:w="1798" w:type="dxa"/>
            <w:vAlign w:val="center"/>
            <w:hideMark/>
          </w:tcPr>
          <w:p w14:paraId="5A94F562"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58.0</w:t>
            </w:r>
          </w:p>
        </w:tc>
      </w:tr>
      <w:tr w:rsidR="00E82EE4" w:rsidRPr="00E82EE4" w14:paraId="73CF4B8F" w14:textId="77777777" w:rsidTr="000A5161">
        <w:trPr>
          <w:trHeight w:val="271"/>
          <w:tblCellSpacing w:w="15" w:type="dxa"/>
        </w:trPr>
        <w:tc>
          <w:tcPr>
            <w:tcW w:w="0" w:type="auto"/>
            <w:vAlign w:val="center"/>
            <w:hideMark/>
          </w:tcPr>
          <w:p w14:paraId="71FE4C8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Mild Anaemia (10–11.9 gm/dl)</w:t>
            </w:r>
          </w:p>
        </w:tc>
        <w:tc>
          <w:tcPr>
            <w:tcW w:w="2298" w:type="dxa"/>
            <w:vAlign w:val="center"/>
            <w:hideMark/>
          </w:tcPr>
          <w:p w14:paraId="43CAFCC9"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54</w:t>
            </w:r>
          </w:p>
        </w:tc>
        <w:tc>
          <w:tcPr>
            <w:tcW w:w="1798" w:type="dxa"/>
            <w:vAlign w:val="center"/>
            <w:hideMark/>
          </w:tcPr>
          <w:p w14:paraId="5D507CC4"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42.0</w:t>
            </w:r>
          </w:p>
        </w:tc>
      </w:tr>
      <w:tr w:rsidR="00E82EE4" w:rsidRPr="00E82EE4" w14:paraId="6F25949D" w14:textId="77777777" w:rsidTr="000A5161">
        <w:trPr>
          <w:trHeight w:val="260"/>
          <w:tblCellSpacing w:w="15" w:type="dxa"/>
        </w:trPr>
        <w:tc>
          <w:tcPr>
            <w:tcW w:w="0" w:type="auto"/>
            <w:vAlign w:val="center"/>
            <w:hideMark/>
          </w:tcPr>
          <w:p w14:paraId="72929D6A"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Moderate Anaemia (&lt;10 gm/dl)</w:t>
            </w:r>
          </w:p>
        </w:tc>
        <w:tc>
          <w:tcPr>
            <w:tcW w:w="2298" w:type="dxa"/>
            <w:vAlign w:val="center"/>
            <w:hideMark/>
          </w:tcPr>
          <w:p w14:paraId="7DADDE12"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c>
          <w:tcPr>
            <w:tcW w:w="1798" w:type="dxa"/>
            <w:vAlign w:val="center"/>
            <w:hideMark/>
          </w:tcPr>
          <w:p w14:paraId="122D4E68"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r>
      <w:tr w:rsidR="00E82EE4" w:rsidRPr="00E82EE4" w14:paraId="0D276B30" w14:textId="77777777" w:rsidTr="000A5161">
        <w:trPr>
          <w:trHeight w:val="271"/>
          <w:tblCellSpacing w:w="15" w:type="dxa"/>
        </w:trPr>
        <w:tc>
          <w:tcPr>
            <w:tcW w:w="0" w:type="auto"/>
            <w:vAlign w:val="center"/>
            <w:hideMark/>
          </w:tcPr>
          <w:p w14:paraId="0FC34B04"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Severe Anaemia (&lt;8 gm/dl)</w:t>
            </w:r>
          </w:p>
        </w:tc>
        <w:tc>
          <w:tcPr>
            <w:tcW w:w="2298" w:type="dxa"/>
            <w:vAlign w:val="center"/>
            <w:hideMark/>
          </w:tcPr>
          <w:p w14:paraId="52219538"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c>
          <w:tcPr>
            <w:tcW w:w="1798" w:type="dxa"/>
            <w:vAlign w:val="center"/>
            <w:hideMark/>
          </w:tcPr>
          <w:p w14:paraId="6D666B18"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r>
      <w:tr w:rsidR="00E82EE4" w:rsidRPr="00E82EE4" w14:paraId="6ECA75D7" w14:textId="77777777" w:rsidTr="000A5161">
        <w:trPr>
          <w:trHeight w:val="271"/>
          <w:tblCellSpacing w:w="15" w:type="dxa"/>
        </w:trPr>
        <w:tc>
          <w:tcPr>
            <w:tcW w:w="0" w:type="auto"/>
            <w:vAlign w:val="center"/>
            <w:hideMark/>
          </w:tcPr>
          <w:p w14:paraId="3C47C07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p-value</w:t>
            </w:r>
          </w:p>
        </w:tc>
        <w:tc>
          <w:tcPr>
            <w:tcW w:w="2298" w:type="dxa"/>
            <w:vAlign w:val="center"/>
            <w:hideMark/>
          </w:tcPr>
          <w:p w14:paraId="27AF7FA1" w14:textId="77777777" w:rsidR="00FC5684" w:rsidRPr="00E82EE4" w:rsidRDefault="00FC5684" w:rsidP="00BA3BA3">
            <w:pPr>
              <w:snapToGrid w:val="0"/>
              <w:jc w:val="center"/>
              <w:rPr>
                <w:rFonts w:ascii="Arial" w:hAnsi="Arial" w:cs="Arial"/>
                <w:color w:val="000000" w:themeColor="text1"/>
                <w:lang w:eastAsia="en-GB"/>
              </w:rPr>
            </w:pPr>
          </w:p>
        </w:tc>
        <w:tc>
          <w:tcPr>
            <w:tcW w:w="1798" w:type="dxa"/>
            <w:vAlign w:val="center"/>
            <w:hideMark/>
          </w:tcPr>
          <w:p w14:paraId="12C01AA2"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&lt;0.05*</w:t>
            </w:r>
          </w:p>
        </w:tc>
      </w:tr>
    </w:tbl>
    <w:p w14:paraId="6817B3C3" w14:textId="77777777" w:rsidR="00FC5684" w:rsidRPr="00E82EE4" w:rsidRDefault="00FC5684" w:rsidP="00FC5684">
      <w:pPr>
        <w:snapToGrid w:val="0"/>
        <w:jc w:val="both"/>
        <w:rPr>
          <w:rFonts w:ascii="Arial" w:hAnsi="Arial" w:cs="Arial"/>
          <w:i/>
          <w:iCs/>
          <w:color w:val="000000" w:themeColor="text1"/>
          <w:lang w:eastAsia="en-GB"/>
        </w:rPr>
      </w:pPr>
      <w:r w:rsidRPr="00E82EE4">
        <w:rPr>
          <w:rFonts w:ascii="Arial" w:hAnsi="Arial" w:cs="Arial"/>
          <w:i/>
          <w:iCs/>
          <w:color w:val="000000" w:themeColor="text1"/>
          <w:lang w:eastAsia="en-GB"/>
        </w:rPr>
        <w:t>*Significant association between phase and haemoglobin level.</w:t>
      </w:r>
    </w:p>
    <w:p w14:paraId="70582703" w14:textId="77777777" w:rsidR="00FC5684" w:rsidRPr="00E82EE4" w:rsidRDefault="00FC5684" w:rsidP="00FC5684">
      <w:pPr>
        <w:pStyle w:val="p1"/>
        <w:snapToGrid w:val="0"/>
        <w:spacing w:before="0" w:beforeAutospacing="0" w:after="0" w:afterAutospacing="0"/>
        <w:jc w:val="both"/>
        <w:rPr>
          <w:rFonts w:ascii="Arial" w:hAnsi="Arial" w:cs="Arial"/>
          <w:color w:val="000000" w:themeColor="text1"/>
          <w:sz w:val="20"/>
          <w:szCs w:val="20"/>
        </w:rPr>
      </w:pPr>
    </w:p>
    <w:p w14:paraId="00DDA2DE" w14:textId="77777777" w:rsidR="00E82EE4" w:rsidRPr="00E82EE4" w:rsidRDefault="00E82EE4" w:rsidP="00E82EE4">
      <w:pPr>
        <w:pStyle w:val="p1"/>
        <w:snapToGrid w:val="0"/>
        <w:spacing w:before="0" w:beforeAutospacing="0" w:after="0" w:afterAutospacing="0"/>
        <w:jc w:val="both"/>
        <w:rPr>
          <w:rFonts w:ascii="Arial" w:hAnsi="Arial" w:cs="Arial"/>
          <w:color w:val="000000" w:themeColor="text1"/>
          <w:sz w:val="20"/>
          <w:szCs w:val="20"/>
        </w:rPr>
      </w:pPr>
    </w:p>
    <w:p w14:paraId="51BDCD07" w14:textId="77777777" w:rsidR="00E82EE4" w:rsidRPr="00E82EE4" w:rsidRDefault="00E82EE4" w:rsidP="00E82EE4">
      <w:pPr>
        <w:pStyle w:val="p1"/>
        <w:snapToGrid w:val="0"/>
        <w:spacing w:before="0" w:beforeAutospacing="0" w:after="0" w:afterAutospacing="0"/>
        <w:jc w:val="both"/>
        <w:rPr>
          <w:rFonts w:ascii="Arial" w:hAnsi="Arial" w:cs="Arial"/>
          <w:color w:val="000000" w:themeColor="text1"/>
          <w:sz w:val="20"/>
          <w:szCs w:val="20"/>
        </w:rPr>
      </w:pPr>
      <w:r w:rsidRPr="00E82EE4">
        <w:rPr>
          <w:rFonts w:ascii="Arial" w:hAnsi="Arial" w:cs="Arial"/>
          <w:color w:val="000000" w:themeColor="text1"/>
          <w:sz w:val="20"/>
          <w:szCs w:val="20"/>
        </w:rPr>
        <w:t>Table 6 demonstrates a considerable decline in haemoglobin levels during the follicular phase. Only 4.7% of participants had normal haemoglobin, whereas 31.3% had mild anaemia and a significant 64.1% suffered from moderate anaemia. No severe anaemia cases were recorded. The p-value (&lt;0.05) confirms that the haemoglobin drop during the follicular phase is statistically significant and warrants attention.</w:t>
      </w:r>
    </w:p>
    <w:p w14:paraId="796F7017" w14:textId="77777777" w:rsidR="00E82EE4" w:rsidRPr="00E82EE4" w:rsidRDefault="00E82EE4" w:rsidP="00FC5684">
      <w:pPr>
        <w:snapToGrid w:val="0"/>
        <w:jc w:val="both"/>
        <w:rPr>
          <w:rFonts w:ascii="Arial" w:hAnsi="Arial" w:cs="Arial"/>
          <w:color w:val="000000" w:themeColor="text1"/>
          <w:lang w:eastAsia="en-GB"/>
        </w:rPr>
      </w:pPr>
    </w:p>
    <w:p w14:paraId="432C12E6" w14:textId="77777777" w:rsidR="00FC5684" w:rsidRPr="00E82EE4" w:rsidRDefault="00FC5684" w:rsidP="00FC5684">
      <w:pPr>
        <w:pStyle w:val="p1"/>
        <w:snapToGrid w:val="0"/>
        <w:spacing w:before="0" w:beforeAutospacing="0" w:after="0" w:afterAutospacing="0"/>
        <w:rPr>
          <w:rFonts w:ascii="Arial" w:hAnsi="Arial" w:cs="Arial"/>
          <w:b/>
          <w:bCs/>
          <w:color w:val="000000" w:themeColor="text1"/>
          <w:sz w:val="20"/>
          <w:szCs w:val="20"/>
        </w:rPr>
      </w:pPr>
      <w:r w:rsidRPr="00E82EE4">
        <w:rPr>
          <w:rFonts w:ascii="Arial" w:hAnsi="Arial" w:cs="Arial"/>
          <w:b/>
          <w:bCs/>
          <w:color w:val="000000" w:themeColor="text1"/>
          <w:sz w:val="20"/>
          <w:szCs w:val="20"/>
        </w:rPr>
        <w:t>Table 6. Anaemia Status Based on Haemoglobin Concentration in the Follicular Phase</w:t>
      </w:r>
    </w:p>
    <w:p w14:paraId="0CDDD4CE"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125"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047"/>
        <w:gridCol w:w="2377"/>
        <w:gridCol w:w="1701"/>
      </w:tblGrid>
      <w:tr w:rsidR="00E82EE4" w:rsidRPr="00E82EE4" w14:paraId="349006AF" w14:textId="77777777" w:rsidTr="000A5161">
        <w:trPr>
          <w:trHeight w:val="271"/>
          <w:tblHeader/>
          <w:tblCellSpacing w:w="15" w:type="dxa"/>
        </w:trPr>
        <w:tc>
          <w:tcPr>
            <w:tcW w:w="0" w:type="auto"/>
            <w:tcBorders>
              <w:top w:val="single" w:sz="4" w:space="0" w:color="auto"/>
              <w:bottom w:val="single" w:sz="4" w:space="0" w:color="auto"/>
            </w:tcBorders>
            <w:vAlign w:val="center"/>
            <w:hideMark/>
          </w:tcPr>
          <w:p w14:paraId="35398EBF"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Haemoglobin Status</w:t>
            </w:r>
          </w:p>
        </w:tc>
        <w:tc>
          <w:tcPr>
            <w:tcW w:w="2347" w:type="dxa"/>
            <w:tcBorders>
              <w:top w:val="single" w:sz="4" w:space="0" w:color="auto"/>
              <w:bottom w:val="single" w:sz="4" w:space="0" w:color="auto"/>
            </w:tcBorders>
            <w:vAlign w:val="center"/>
            <w:hideMark/>
          </w:tcPr>
          <w:p w14:paraId="7C25F9CB"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Number of Students</w:t>
            </w:r>
          </w:p>
        </w:tc>
        <w:tc>
          <w:tcPr>
            <w:tcW w:w="1656" w:type="dxa"/>
            <w:tcBorders>
              <w:top w:val="single" w:sz="4" w:space="0" w:color="auto"/>
              <w:bottom w:val="single" w:sz="4" w:space="0" w:color="auto"/>
            </w:tcBorders>
            <w:vAlign w:val="center"/>
            <w:hideMark/>
          </w:tcPr>
          <w:p w14:paraId="57ECDABA"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Percentage (%)</w:t>
            </w:r>
          </w:p>
        </w:tc>
      </w:tr>
      <w:tr w:rsidR="00E82EE4" w:rsidRPr="00E82EE4" w14:paraId="57DCF8BC" w14:textId="77777777" w:rsidTr="000A5161">
        <w:trPr>
          <w:trHeight w:val="271"/>
          <w:tblCellSpacing w:w="15" w:type="dxa"/>
        </w:trPr>
        <w:tc>
          <w:tcPr>
            <w:tcW w:w="0" w:type="auto"/>
            <w:vAlign w:val="center"/>
            <w:hideMark/>
          </w:tcPr>
          <w:p w14:paraId="145D3DBF"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Normal (&gt;12 gm/dl)</w:t>
            </w:r>
          </w:p>
        </w:tc>
        <w:tc>
          <w:tcPr>
            <w:tcW w:w="2347" w:type="dxa"/>
            <w:vAlign w:val="center"/>
            <w:hideMark/>
          </w:tcPr>
          <w:p w14:paraId="58167784"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6</w:t>
            </w:r>
          </w:p>
        </w:tc>
        <w:tc>
          <w:tcPr>
            <w:tcW w:w="1656" w:type="dxa"/>
            <w:vAlign w:val="center"/>
            <w:hideMark/>
          </w:tcPr>
          <w:p w14:paraId="70F3E675"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4.7</w:t>
            </w:r>
          </w:p>
        </w:tc>
      </w:tr>
      <w:tr w:rsidR="00E82EE4" w:rsidRPr="00E82EE4" w14:paraId="21127813" w14:textId="77777777" w:rsidTr="000A5161">
        <w:trPr>
          <w:trHeight w:val="271"/>
          <w:tblCellSpacing w:w="15" w:type="dxa"/>
        </w:trPr>
        <w:tc>
          <w:tcPr>
            <w:tcW w:w="0" w:type="auto"/>
            <w:vAlign w:val="center"/>
            <w:hideMark/>
          </w:tcPr>
          <w:p w14:paraId="533F233B"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Mild Anaemia (10–11.9 gm/dl)</w:t>
            </w:r>
          </w:p>
        </w:tc>
        <w:tc>
          <w:tcPr>
            <w:tcW w:w="2347" w:type="dxa"/>
            <w:vAlign w:val="center"/>
            <w:hideMark/>
          </w:tcPr>
          <w:p w14:paraId="38376D98"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40</w:t>
            </w:r>
          </w:p>
        </w:tc>
        <w:tc>
          <w:tcPr>
            <w:tcW w:w="1656" w:type="dxa"/>
            <w:vAlign w:val="center"/>
            <w:hideMark/>
          </w:tcPr>
          <w:p w14:paraId="41742DEB"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31.3</w:t>
            </w:r>
          </w:p>
        </w:tc>
      </w:tr>
      <w:tr w:rsidR="00E82EE4" w:rsidRPr="00E82EE4" w14:paraId="4514620C" w14:textId="77777777" w:rsidTr="000A5161">
        <w:trPr>
          <w:trHeight w:val="260"/>
          <w:tblCellSpacing w:w="15" w:type="dxa"/>
        </w:trPr>
        <w:tc>
          <w:tcPr>
            <w:tcW w:w="0" w:type="auto"/>
            <w:vAlign w:val="center"/>
            <w:hideMark/>
          </w:tcPr>
          <w:p w14:paraId="5C95335D"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Moderate Anaemia (&lt;10 gm/dl)</w:t>
            </w:r>
          </w:p>
        </w:tc>
        <w:tc>
          <w:tcPr>
            <w:tcW w:w="2347" w:type="dxa"/>
            <w:vAlign w:val="center"/>
            <w:hideMark/>
          </w:tcPr>
          <w:p w14:paraId="62E0550B"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82</w:t>
            </w:r>
          </w:p>
        </w:tc>
        <w:tc>
          <w:tcPr>
            <w:tcW w:w="1656" w:type="dxa"/>
            <w:vAlign w:val="center"/>
            <w:hideMark/>
          </w:tcPr>
          <w:p w14:paraId="532B742A"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64.1</w:t>
            </w:r>
          </w:p>
        </w:tc>
      </w:tr>
      <w:tr w:rsidR="00E82EE4" w:rsidRPr="00E82EE4" w14:paraId="562530FC" w14:textId="77777777" w:rsidTr="000A5161">
        <w:trPr>
          <w:trHeight w:val="271"/>
          <w:tblCellSpacing w:w="15" w:type="dxa"/>
        </w:trPr>
        <w:tc>
          <w:tcPr>
            <w:tcW w:w="0" w:type="auto"/>
            <w:vAlign w:val="center"/>
            <w:hideMark/>
          </w:tcPr>
          <w:p w14:paraId="3A024AB0"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Severe Anaemia (&lt;8 gm/dl)</w:t>
            </w:r>
          </w:p>
        </w:tc>
        <w:tc>
          <w:tcPr>
            <w:tcW w:w="2347" w:type="dxa"/>
            <w:vAlign w:val="center"/>
            <w:hideMark/>
          </w:tcPr>
          <w:p w14:paraId="04F82419"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c>
          <w:tcPr>
            <w:tcW w:w="1656" w:type="dxa"/>
            <w:vAlign w:val="center"/>
            <w:hideMark/>
          </w:tcPr>
          <w:p w14:paraId="3E8D849C"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r>
      <w:tr w:rsidR="00E82EE4" w:rsidRPr="00E82EE4" w14:paraId="1F077F91" w14:textId="77777777" w:rsidTr="000A5161">
        <w:trPr>
          <w:trHeight w:val="271"/>
          <w:tblCellSpacing w:w="15" w:type="dxa"/>
        </w:trPr>
        <w:tc>
          <w:tcPr>
            <w:tcW w:w="0" w:type="auto"/>
            <w:vAlign w:val="center"/>
            <w:hideMark/>
          </w:tcPr>
          <w:p w14:paraId="6BD504FE"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p-value</w:t>
            </w:r>
          </w:p>
        </w:tc>
        <w:tc>
          <w:tcPr>
            <w:tcW w:w="2347" w:type="dxa"/>
            <w:vAlign w:val="center"/>
            <w:hideMark/>
          </w:tcPr>
          <w:p w14:paraId="662D6F1F" w14:textId="77777777" w:rsidR="00FC5684" w:rsidRPr="00E82EE4" w:rsidRDefault="00FC5684" w:rsidP="00BA3BA3">
            <w:pPr>
              <w:snapToGrid w:val="0"/>
              <w:jc w:val="center"/>
              <w:rPr>
                <w:rFonts w:ascii="Arial" w:hAnsi="Arial" w:cs="Arial"/>
                <w:color w:val="000000" w:themeColor="text1"/>
                <w:lang w:eastAsia="en-GB"/>
              </w:rPr>
            </w:pPr>
          </w:p>
        </w:tc>
        <w:tc>
          <w:tcPr>
            <w:tcW w:w="1656" w:type="dxa"/>
            <w:vAlign w:val="center"/>
            <w:hideMark/>
          </w:tcPr>
          <w:p w14:paraId="780CD2FF"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&lt;0.05*</w:t>
            </w:r>
          </w:p>
        </w:tc>
      </w:tr>
    </w:tbl>
    <w:p w14:paraId="7DB5AC1F" w14:textId="77777777" w:rsidR="00FC5684" w:rsidRPr="00E82EE4" w:rsidRDefault="00FC5684" w:rsidP="00FC5684">
      <w:pPr>
        <w:snapToGrid w:val="0"/>
        <w:jc w:val="both"/>
        <w:rPr>
          <w:rFonts w:ascii="Arial" w:hAnsi="Arial" w:cs="Arial"/>
          <w:i/>
          <w:iCs/>
          <w:color w:val="000000" w:themeColor="text1"/>
          <w:lang w:eastAsia="en-GB"/>
        </w:rPr>
      </w:pPr>
      <w:r w:rsidRPr="00E82EE4">
        <w:rPr>
          <w:rFonts w:ascii="Arial" w:hAnsi="Arial" w:cs="Arial"/>
          <w:i/>
          <w:iCs/>
          <w:color w:val="000000" w:themeColor="text1"/>
          <w:lang w:eastAsia="en-GB"/>
        </w:rPr>
        <w:t>*Shows a significant drop in haemoglobin concentration during the follicular phase.</w:t>
      </w:r>
    </w:p>
    <w:p w14:paraId="3D992848" w14:textId="77777777" w:rsidR="00FC5684" w:rsidRPr="00E82EE4" w:rsidRDefault="00FC5684" w:rsidP="00FC5684">
      <w:pPr>
        <w:pStyle w:val="p1"/>
        <w:snapToGrid w:val="0"/>
        <w:spacing w:before="0" w:beforeAutospacing="0" w:after="0" w:afterAutospacing="0"/>
        <w:jc w:val="both"/>
        <w:rPr>
          <w:rFonts w:ascii="Arial" w:hAnsi="Arial" w:cs="Arial"/>
          <w:color w:val="000000" w:themeColor="text1"/>
          <w:sz w:val="20"/>
          <w:szCs w:val="20"/>
        </w:rPr>
      </w:pPr>
    </w:p>
    <w:p w14:paraId="37AB3849" w14:textId="77777777" w:rsidR="00E82EE4" w:rsidRPr="00E82EE4" w:rsidRDefault="00E82EE4" w:rsidP="00E82EE4">
      <w:pPr>
        <w:pStyle w:val="Body"/>
        <w:spacing w:after="0"/>
        <w:rPr>
          <w:rFonts w:ascii="Arial" w:hAnsi="Arial" w:cs="Arial"/>
          <w:color w:val="000000" w:themeColor="text1"/>
        </w:rPr>
      </w:pPr>
      <w:r w:rsidRPr="00E82EE4">
        <w:rPr>
          <w:rFonts w:ascii="Arial" w:hAnsi="Arial" w:cs="Arial"/>
          <w:color w:val="000000" w:themeColor="text1"/>
        </w:rPr>
        <w:t>Table 7 compares the prevalence of anaemia in the luteal and follicular phases. Anaemia affected 42.2% of students during the luteal phase, while a striking 95.3% experienced anaemia during the follicular phase. The p-value of &lt;0.05 indicates that this difference is highly significant, emphasizing that students are far more susceptible to anaemia during the follicular phase, underlining the importance of timely intervention and monitoring.</w:t>
      </w:r>
    </w:p>
    <w:p w14:paraId="3E9B1219" w14:textId="77777777" w:rsidR="00FC5684" w:rsidRPr="00E82EE4" w:rsidRDefault="00FC5684" w:rsidP="00FC5684">
      <w:pPr>
        <w:snapToGrid w:val="0"/>
        <w:jc w:val="both"/>
        <w:rPr>
          <w:rFonts w:ascii="Arial" w:hAnsi="Arial" w:cs="Arial"/>
          <w:color w:val="000000" w:themeColor="text1"/>
          <w:lang w:eastAsia="en-GB"/>
        </w:rPr>
      </w:pPr>
    </w:p>
    <w:p w14:paraId="5E123128" w14:textId="77777777" w:rsidR="00FC5684" w:rsidRPr="00E82EE4" w:rsidRDefault="00FC5684" w:rsidP="00FC5684">
      <w:pPr>
        <w:pStyle w:val="p1"/>
        <w:snapToGrid w:val="0"/>
        <w:spacing w:before="0" w:beforeAutospacing="0" w:after="0" w:afterAutospacing="0"/>
        <w:rPr>
          <w:rFonts w:ascii="Arial" w:hAnsi="Arial" w:cs="Arial"/>
          <w:b/>
          <w:bCs/>
          <w:color w:val="000000" w:themeColor="text1"/>
          <w:sz w:val="20"/>
          <w:szCs w:val="20"/>
        </w:rPr>
      </w:pPr>
      <w:r w:rsidRPr="00E82EE4">
        <w:rPr>
          <w:rFonts w:ascii="Arial" w:hAnsi="Arial" w:cs="Arial"/>
          <w:b/>
          <w:bCs/>
          <w:color w:val="000000" w:themeColor="text1"/>
          <w:sz w:val="20"/>
          <w:szCs w:val="20"/>
        </w:rPr>
        <w:t>Table 7. Comparative Analysis of Anaemia Between Luteal and Follicular Phases</w:t>
      </w:r>
    </w:p>
    <w:p w14:paraId="7AF4B0D5"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267"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795"/>
        <w:gridCol w:w="3390"/>
        <w:gridCol w:w="2082"/>
      </w:tblGrid>
      <w:tr w:rsidR="00E82EE4" w:rsidRPr="00E82EE4" w14:paraId="185FAB9B" w14:textId="77777777" w:rsidTr="000A5161">
        <w:trPr>
          <w:trHeight w:val="275"/>
          <w:tblHeader/>
          <w:tblCellSpacing w:w="15" w:type="dxa"/>
        </w:trPr>
        <w:tc>
          <w:tcPr>
            <w:tcW w:w="0" w:type="auto"/>
            <w:tcBorders>
              <w:top w:val="single" w:sz="4" w:space="0" w:color="auto"/>
              <w:bottom w:val="single" w:sz="4" w:space="0" w:color="auto"/>
            </w:tcBorders>
            <w:vAlign w:val="center"/>
            <w:hideMark/>
          </w:tcPr>
          <w:p w14:paraId="1830CB66"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Phase</w:t>
            </w:r>
          </w:p>
        </w:tc>
        <w:tc>
          <w:tcPr>
            <w:tcW w:w="0" w:type="auto"/>
            <w:tcBorders>
              <w:top w:val="single" w:sz="4" w:space="0" w:color="auto"/>
              <w:bottom w:val="single" w:sz="4" w:space="0" w:color="auto"/>
            </w:tcBorders>
            <w:vAlign w:val="center"/>
            <w:hideMark/>
          </w:tcPr>
          <w:p w14:paraId="22F7D0D0" w14:textId="77777777" w:rsidR="00FC5684" w:rsidRPr="00E82EE4" w:rsidRDefault="00FC5684" w:rsidP="00BA3BA3">
            <w:pPr>
              <w:snapToGrid w:val="0"/>
              <w:jc w:val="both"/>
              <w:rPr>
                <w:rFonts w:ascii="Arial" w:hAnsi="Arial" w:cs="Arial"/>
                <w:b/>
                <w:bCs/>
                <w:color w:val="000000" w:themeColor="text1"/>
                <w:lang w:eastAsia="en-GB"/>
              </w:rPr>
            </w:pPr>
            <w:proofErr w:type="spellStart"/>
            <w:r w:rsidRPr="00E82EE4">
              <w:rPr>
                <w:rFonts w:ascii="Arial" w:hAnsi="Arial" w:cs="Arial"/>
                <w:b/>
                <w:bCs/>
                <w:color w:val="000000" w:themeColor="text1"/>
                <w:lang w:eastAsia="en-GB"/>
              </w:rPr>
              <w:t>Anaemic</w:t>
            </w:r>
            <w:proofErr w:type="spellEnd"/>
            <w:r w:rsidRPr="00E82EE4">
              <w:rPr>
                <w:rFonts w:ascii="Arial" w:hAnsi="Arial" w:cs="Arial"/>
                <w:b/>
                <w:bCs/>
                <w:color w:val="000000" w:themeColor="text1"/>
                <w:lang w:eastAsia="en-GB"/>
              </w:rPr>
              <w:t xml:space="preserve"> Students</w:t>
            </w:r>
          </w:p>
        </w:tc>
        <w:tc>
          <w:tcPr>
            <w:tcW w:w="2037" w:type="dxa"/>
            <w:tcBorders>
              <w:top w:val="single" w:sz="4" w:space="0" w:color="auto"/>
              <w:bottom w:val="single" w:sz="4" w:space="0" w:color="auto"/>
            </w:tcBorders>
            <w:vAlign w:val="center"/>
            <w:hideMark/>
          </w:tcPr>
          <w:p w14:paraId="18127D5A"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Percentage (%)</w:t>
            </w:r>
          </w:p>
        </w:tc>
      </w:tr>
      <w:tr w:rsidR="00E82EE4" w:rsidRPr="00E82EE4" w14:paraId="37100465" w14:textId="77777777" w:rsidTr="000A5161">
        <w:trPr>
          <w:trHeight w:val="275"/>
          <w:tblCellSpacing w:w="15" w:type="dxa"/>
        </w:trPr>
        <w:tc>
          <w:tcPr>
            <w:tcW w:w="0" w:type="auto"/>
            <w:vAlign w:val="center"/>
            <w:hideMark/>
          </w:tcPr>
          <w:p w14:paraId="29471ED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lastRenderedPageBreak/>
              <w:t>Luteal Phase</w:t>
            </w:r>
          </w:p>
        </w:tc>
        <w:tc>
          <w:tcPr>
            <w:tcW w:w="0" w:type="auto"/>
            <w:vAlign w:val="center"/>
            <w:hideMark/>
          </w:tcPr>
          <w:p w14:paraId="28770D87"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54</w:t>
            </w:r>
          </w:p>
        </w:tc>
        <w:tc>
          <w:tcPr>
            <w:tcW w:w="2037" w:type="dxa"/>
            <w:vAlign w:val="center"/>
            <w:hideMark/>
          </w:tcPr>
          <w:p w14:paraId="7A4EAB56"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42.2</w:t>
            </w:r>
          </w:p>
        </w:tc>
      </w:tr>
      <w:tr w:rsidR="00E82EE4" w:rsidRPr="00E82EE4" w14:paraId="6C445B90" w14:textId="77777777" w:rsidTr="000A5161">
        <w:trPr>
          <w:trHeight w:val="275"/>
          <w:tblCellSpacing w:w="15" w:type="dxa"/>
        </w:trPr>
        <w:tc>
          <w:tcPr>
            <w:tcW w:w="0" w:type="auto"/>
            <w:vAlign w:val="center"/>
            <w:hideMark/>
          </w:tcPr>
          <w:p w14:paraId="7C855DCC"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Follicular Phase</w:t>
            </w:r>
          </w:p>
        </w:tc>
        <w:tc>
          <w:tcPr>
            <w:tcW w:w="0" w:type="auto"/>
            <w:vAlign w:val="center"/>
            <w:hideMark/>
          </w:tcPr>
          <w:p w14:paraId="236C4369"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122</w:t>
            </w:r>
          </w:p>
        </w:tc>
        <w:tc>
          <w:tcPr>
            <w:tcW w:w="2037" w:type="dxa"/>
            <w:vAlign w:val="center"/>
            <w:hideMark/>
          </w:tcPr>
          <w:p w14:paraId="0B62E6FE"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95.3</w:t>
            </w:r>
          </w:p>
        </w:tc>
      </w:tr>
      <w:tr w:rsidR="00E82EE4" w:rsidRPr="00E82EE4" w14:paraId="6B93EBAD" w14:textId="77777777" w:rsidTr="000A5161">
        <w:trPr>
          <w:trHeight w:val="275"/>
          <w:tblCellSpacing w:w="15" w:type="dxa"/>
        </w:trPr>
        <w:tc>
          <w:tcPr>
            <w:tcW w:w="0" w:type="auto"/>
            <w:vAlign w:val="center"/>
            <w:hideMark/>
          </w:tcPr>
          <w:p w14:paraId="1579937C"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p-value</w:t>
            </w:r>
          </w:p>
        </w:tc>
        <w:tc>
          <w:tcPr>
            <w:tcW w:w="0" w:type="auto"/>
            <w:vAlign w:val="center"/>
            <w:hideMark/>
          </w:tcPr>
          <w:p w14:paraId="741BAC5F" w14:textId="77777777" w:rsidR="00FC5684" w:rsidRPr="00E82EE4" w:rsidRDefault="00FC5684" w:rsidP="00BA3BA3">
            <w:pPr>
              <w:snapToGrid w:val="0"/>
              <w:jc w:val="both"/>
              <w:rPr>
                <w:rFonts w:ascii="Arial" w:hAnsi="Arial" w:cs="Arial"/>
                <w:color w:val="000000" w:themeColor="text1"/>
                <w:lang w:eastAsia="en-GB"/>
              </w:rPr>
            </w:pPr>
          </w:p>
        </w:tc>
        <w:tc>
          <w:tcPr>
            <w:tcW w:w="2037" w:type="dxa"/>
            <w:vAlign w:val="center"/>
            <w:hideMark/>
          </w:tcPr>
          <w:p w14:paraId="64B0BEC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&lt;0.05*</w:t>
            </w:r>
          </w:p>
        </w:tc>
      </w:tr>
    </w:tbl>
    <w:p w14:paraId="24C530B4" w14:textId="77777777" w:rsidR="00FC5684" w:rsidRPr="00E82EE4" w:rsidRDefault="00FC5684" w:rsidP="0040085E">
      <w:pPr>
        <w:snapToGrid w:val="0"/>
        <w:jc w:val="both"/>
        <w:rPr>
          <w:rFonts w:ascii="Arial" w:hAnsi="Arial" w:cs="Arial"/>
          <w:i/>
          <w:iCs/>
          <w:color w:val="000000" w:themeColor="text1"/>
          <w:lang w:eastAsia="en-GB"/>
        </w:rPr>
      </w:pPr>
      <w:r w:rsidRPr="00E82EE4">
        <w:rPr>
          <w:rFonts w:ascii="Arial" w:hAnsi="Arial" w:cs="Arial"/>
          <w:i/>
          <w:iCs/>
          <w:color w:val="000000" w:themeColor="text1"/>
          <w:lang w:eastAsia="en-GB"/>
        </w:rPr>
        <w:t>*Indicates a significant increase in anaemia during the follicular phase compared to the luteal phase.</w:t>
      </w:r>
    </w:p>
    <w:p w14:paraId="3BEA2FC0" w14:textId="77777777" w:rsidR="00FD79C8" w:rsidRPr="00E82EE4" w:rsidRDefault="00FD79C8" w:rsidP="00FC5684">
      <w:pPr>
        <w:pStyle w:val="Body"/>
        <w:spacing w:after="0"/>
        <w:rPr>
          <w:rFonts w:ascii="Arial" w:hAnsi="Arial" w:cs="Arial"/>
          <w:color w:val="000000" w:themeColor="text1"/>
        </w:rPr>
      </w:pPr>
    </w:p>
    <w:p w14:paraId="2236A1BB" w14:textId="77777777" w:rsidR="007A453E" w:rsidRPr="00E82EE4" w:rsidRDefault="007A453E" w:rsidP="00441B6F">
      <w:pPr>
        <w:pStyle w:val="Body"/>
        <w:spacing w:after="0"/>
        <w:rPr>
          <w:rFonts w:ascii="Arial" w:hAnsi="Arial" w:cs="Arial"/>
          <w:color w:val="000000" w:themeColor="text1"/>
        </w:rPr>
      </w:pPr>
    </w:p>
    <w:p w14:paraId="24E759A1" w14:textId="77777777" w:rsidR="000A5161" w:rsidRPr="00E82EE4" w:rsidRDefault="007A453E" w:rsidP="000A5161">
      <w:pPr>
        <w:rPr>
          <w:rFonts w:ascii="Arial" w:hAnsi="Arial" w:cs="Arial"/>
          <w:b/>
          <w:bCs/>
          <w:color w:val="000000" w:themeColor="text1"/>
          <w:sz w:val="22"/>
          <w:szCs w:val="22"/>
        </w:rPr>
      </w:pPr>
      <w:r w:rsidRPr="00E82EE4">
        <w:rPr>
          <w:rFonts w:ascii="Arial" w:hAnsi="Arial" w:cs="Arial"/>
          <w:b/>
          <w:bCs/>
          <w:color w:val="000000" w:themeColor="text1"/>
          <w:sz w:val="22"/>
          <w:szCs w:val="22"/>
        </w:rPr>
        <w:t xml:space="preserve">4. </w:t>
      </w:r>
      <w:r w:rsidR="000A5161" w:rsidRPr="00E82EE4">
        <w:rPr>
          <w:rFonts w:ascii="Arial" w:hAnsi="Arial" w:cs="Arial"/>
          <w:b/>
          <w:bCs/>
          <w:color w:val="000000" w:themeColor="text1"/>
          <w:sz w:val="22"/>
          <w:szCs w:val="22"/>
        </w:rPr>
        <w:t>Discussion</w:t>
      </w:r>
    </w:p>
    <w:p w14:paraId="5A662F08" w14:textId="77777777" w:rsidR="00E82EE4" w:rsidRPr="00E82EE4" w:rsidRDefault="00E82EE4" w:rsidP="000A5161">
      <w:pPr>
        <w:rPr>
          <w:rFonts w:ascii="Arial" w:hAnsi="Arial" w:cs="Arial"/>
          <w:b/>
          <w:bCs/>
          <w:color w:val="000000" w:themeColor="text1"/>
          <w:sz w:val="22"/>
          <w:szCs w:val="22"/>
        </w:rPr>
      </w:pPr>
    </w:p>
    <w:p w14:paraId="1D2732EE" w14:textId="77777777" w:rsidR="000A5161" w:rsidRPr="00E82EE4" w:rsidRDefault="000A5161" w:rsidP="000A5161">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The present study aimed to evaluate the role of menstrual cycles in the development of anaemia and its potential reversibility among allied healthcare students of Tripura. The findings provide significant insights into how menstrual-related physiological changes influence haemoglobin levels and related </w:t>
      </w:r>
      <w:proofErr w:type="spellStart"/>
      <w:r w:rsidRPr="00E82EE4">
        <w:rPr>
          <w:rFonts w:ascii="Arial" w:hAnsi="Arial" w:cs="Arial"/>
          <w:color w:val="000000" w:themeColor="text1"/>
          <w:lang w:eastAsia="en-GB"/>
        </w:rPr>
        <w:t>haematological</w:t>
      </w:r>
      <w:proofErr w:type="spellEnd"/>
      <w:r w:rsidRPr="00E82EE4">
        <w:rPr>
          <w:rFonts w:ascii="Arial" w:hAnsi="Arial" w:cs="Arial"/>
          <w:color w:val="000000" w:themeColor="text1"/>
          <w:lang w:eastAsia="en-GB"/>
        </w:rPr>
        <w:t xml:space="preserve"> parameters.</w:t>
      </w:r>
    </w:p>
    <w:p w14:paraId="03D992F5" w14:textId="77777777" w:rsidR="000A5161" w:rsidRPr="00E82EE4" w:rsidRDefault="000A5161" w:rsidP="000A5161">
      <w:pPr>
        <w:snapToGrid w:val="0"/>
        <w:jc w:val="both"/>
        <w:rPr>
          <w:rFonts w:ascii="Arial" w:hAnsi="Arial" w:cs="Arial"/>
          <w:color w:val="000000" w:themeColor="text1"/>
          <w:lang w:eastAsia="en-GB"/>
        </w:rPr>
      </w:pPr>
    </w:p>
    <w:p w14:paraId="4CE760D9" w14:textId="77777777" w:rsidR="000A5161" w:rsidRPr="00E82EE4" w:rsidRDefault="000A5161" w:rsidP="000A5161">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Table 1 demonstrated that </w:t>
      </w:r>
      <w:r w:rsidR="00FD79C8" w:rsidRPr="00E82EE4">
        <w:rPr>
          <w:rFonts w:ascii="Arial" w:hAnsi="Arial" w:cs="Arial"/>
          <w:color w:val="000000" w:themeColor="text1"/>
          <w:lang w:eastAsia="en-GB"/>
        </w:rPr>
        <w:t>43.75</w:t>
      </w:r>
      <w:r w:rsidRPr="00E82EE4">
        <w:rPr>
          <w:rFonts w:ascii="Arial" w:hAnsi="Arial" w:cs="Arial"/>
          <w:color w:val="000000" w:themeColor="text1"/>
          <w:lang w:eastAsia="en-GB"/>
        </w:rPr>
        <w:t xml:space="preserve">% of the students were affected by anaemia, with a majority presenting with mild anaemia. Additionally, a substantial proportion exhibited abnormal red cell indices, such as low packed cell volume (PCV), mean corpuscular volume (MCV), and mean corpuscular haemoglobin (MCH). These findings are consistent with previous studies that reported menstrual blood loss as a major contributing factor to anaemia among young women (WHO, 2011; </w:t>
      </w:r>
      <w:proofErr w:type="spellStart"/>
      <w:r w:rsidRPr="00E82EE4">
        <w:rPr>
          <w:rFonts w:ascii="Arial" w:hAnsi="Arial" w:cs="Arial"/>
          <w:color w:val="000000" w:themeColor="text1"/>
          <w:lang w:eastAsia="en-GB"/>
        </w:rPr>
        <w:t>Balarajan</w:t>
      </w:r>
      <w:proofErr w:type="spellEnd"/>
      <w:r w:rsidRPr="00E82EE4">
        <w:rPr>
          <w:rFonts w:ascii="Arial" w:hAnsi="Arial" w:cs="Arial"/>
          <w:color w:val="000000" w:themeColor="text1"/>
          <w:lang w:eastAsia="en-GB"/>
        </w:rPr>
        <w:t xml:space="preserve"> et al., 2011). Iron deficiency due to menstrual blood loss is one of the most prevalent causes of anaemia in this age group (McLean et al., 2009).</w:t>
      </w:r>
    </w:p>
    <w:p w14:paraId="637B463D" w14:textId="77777777" w:rsidR="000A5161" w:rsidRPr="00E82EE4" w:rsidRDefault="000A5161" w:rsidP="000A5161">
      <w:pPr>
        <w:snapToGrid w:val="0"/>
        <w:jc w:val="both"/>
        <w:rPr>
          <w:rFonts w:ascii="Arial" w:hAnsi="Arial" w:cs="Arial"/>
          <w:color w:val="000000" w:themeColor="text1"/>
          <w:lang w:eastAsia="en-GB"/>
        </w:rPr>
      </w:pPr>
    </w:p>
    <w:p w14:paraId="0B427119" w14:textId="77777777" w:rsidR="000A5161" w:rsidRPr="00E82EE4" w:rsidRDefault="000A5161" w:rsidP="000A5161">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The distribution shown in Table 2 indicates that irregular menstrual patterns, such as menorrhagia and oligomenorrhoea, were more prevalent among </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students. Menorrhagia, characterized by excessive menstrual bleeding, has been widely reported to exacerbate iron deficiency anaemia, particularly when menstrual blood loss exceeds physiological limits (Milman, 2011). Although the p-value did not reach statistical significance, the trend observed aligns with literature linking menstrual irregularities and iron depletion (Georgieff, 2008).</w:t>
      </w:r>
    </w:p>
    <w:p w14:paraId="0EF984E2" w14:textId="77777777" w:rsidR="000A5161" w:rsidRPr="00E82EE4" w:rsidRDefault="000A5161" w:rsidP="000A5161">
      <w:pPr>
        <w:snapToGrid w:val="0"/>
        <w:jc w:val="both"/>
        <w:rPr>
          <w:rFonts w:ascii="Arial" w:hAnsi="Arial" w:cs="Arial"/>
          <w:color w:val="000000" w:themeColor="text1"/>
          <w:lang w:eastAsia="en-GB"/>
        </w:rPr>
      </w:pPr>
    </w:p>
    <w:p w14:paraId="156B7971" w14:textId="77777777" w:rsidR="000A5161" w:rsidRPr="00E82EE4" w:rsidRDefault="000A5161" w:rsidP="000A5161">
      <w:pPr>
        <w:snapToGrid w:val="0"/>
        <w:jc w:val="both"/>
        <w:rPr>
          <w:rFonts w:ascii="Arial" w:hAnsi="Arial" w:cs="Arial"/>
          <w:color w:val="000000" w:themeColor="text1"/>
          <w:lang w:eastAsia="en-GB"/>
        </w:rPr>
      </w:pPr>
      <w:r w:rsidRPr="00E82EE4">
        <w:rPr>
          <w:rFonts w:ascii="Arial" w:hAnsi="Arial" w:cs="Arial"/>
          <w:color w:val="000000" w:themeColor="text1"/>
          <w:lang w:eastAsia="en-GB"/>
        </w:rPr>
        <w:t>Tables 3 through 7 collectively highlight the significant modulation of haemoglobin concentration across the menstrual cycle. The mean haemoglobin concentration was observed to decline during the follicular phase (11</w:t>
      </w:r>
      <w:r w:rsidR="00FD79C8" w:rsidRPr="00E82EE4">
        <w:rPr>
          <w:rFonts w:ascii="Arial" w:hAnsi="Arial" w:cs="Arial"/>
          <w:color w:val="000000" w:themeColor="text1"/>
          <w:lang w:eastAsia="en-GB"/>
        </w:rPr>
        <w:t>.42</w:t>
      </w:r>
      <w:r w:rsidRPr="00E82EE4">
        <w:rPr>
          <w:rFonts w:ascii="Arial" w:hAnsi="Arial" w:cs="Arial"/>
          <w:color w:val="000000" w:themeColor="text1"/>
          <w:lang w:eastAsia="en-GB"/>
        </w:rPr>
        <w:t xml:space="preserve"> ± 1.</w:t>
      </w:r>
      <w:r w:rsidR="00FD79C8" w:rsidRPr="00E82EE4">
        <w:rPr>
          <w:rFonts w:ascii="Arial" w:hAnsi="Arial" w:cs="Arial"/>
          <w:color w:val="000000" w:themeColor="text1"/>
          <w:lang w:eastAsia="en-GB"/>
        </w:rPr>
        <w:t>10</w:t>
      </w:r>
      <w:r w:rsidRPr="00E82EE4">
        <w:rPr>
          <w:rFonts w:ascii="Arial" w:hAnsi="Arial" w:cs="Arial"/>
          <w:color w:val="000000" w:themeColor="text1"/>
          <w:lang w:eastAsia="en-GB"/>
        </w:rPr>
        <w:t xml:space="preserve"> gm/dl) compared to the luteal phase (11.</w:t>
      </w:r>
      <w:r w:rsidR="00FD79C8" w:rsidRPr="00E82EE4">
        <w:rPr>
          <w:rFonts w:ascii="Arial" w:hAnsi="Arial" w:cs="Arial"/>
          <w:color w:val="000000" w:themeColor="text1"/>
          <w:lang w:eastAsia="en-GB"/>
        </w:rPr>
        <w:t>86</w:t>
      </w:r>
      <w:r w:rsidRPr="00E82EE4">
        <w:rPr>
          <w:rFonts w:ascii="Arial" w:hAnsi="Arial" w:cs="Arial"/>
          <w:color w:val="000000" w:themeColor="text1"/>
          <w:lang w:eastAsia="en-GB"/>
        </w:rPr>
        <w:t xml:space="preserve"> ± 1.</w:t>
      </w:r>
      <w:r w:rsidR="00FD79C8" w:rsidRPr="00E82EE4">
        <w:rPr>
          <w:rFonts w:ascii="Arial" w:hAnsi="Arial" w:cs="Arial"/>
          <w:color w:val="000000" w:themeColor="text1"/>
          <w:lang w:eastAsia="en-GB"/>
        </w:rPr>
        <w:t>28</w:t>
      </w:r>
      <w:r w:rsidRPr="00E82EE4">
        <w:rPr>
          <w:rFonts w:ascii="Arial" w:hAnsi="Arial" w:cs="Arial"/>
          <w:color w:val="000000" w:themeColor="text1"/>
          <w:lang w:eastAsia="en-GB"/>
        </w:rPr>
        <w:t xml:space="preserve"> gm/dl), as shown in Table 3. The difference in haemoglobin levels was statistically significant (p &lt; 0.05), confirming that cyclical changes in blood volume and iron availability during menstruation influence haemoglobin levels.</w:t>
      </w:r>
    </w:p>
    <w:p w14:paraId="571EA563" w14:textId="77777777" w:rsidR="000A5161" w:rsidRPr="00E82EE4" w:rsidRDefault="000A5161" w:rsidP="000A5161">
      <w:pPr>
        <w:snapToGrid w:val="0"/>
        <w:jc w:val="both"/>
        <w:rPr>
          <w:rFonts w:ascii="Arial" w:hAnsi="Arial" w:cs="Arial"/>
          <w:color w:val="000000" w:themeColor="text1"/>
          <w:lang w:eastAsia="en-GB"/>
        </w:rPr>
      </w:pPr>
    </w:p>
    <w:p w14:paraId="4DBBAFCA" w14:textId="77777777" w:rsidR="000A5161" w:rsidRPr="00E82EE4" w:rsidRDefault="000A5161" w:rsidP="000A5161">
      <w:pPr>
        <w:snapToGrid w:val="0"/>
        <w:jc w:val="both"/>
        <w:rPr>
          <w:rFonts w:ascii="Arial" w:hAnsi="Arial" w:cs="Arial"/>
          <w:color w:val="000000" w:themeColor="text1"/>
          <w:lang w:eastAsia="en-GB"/>
        </w:rPr>
      </w:pPr>
      <w:r w:rsidRPr="00E82EE4">
        <w:rPr>
          <w:rFonts w:ascii="Arial" w:hAnsi="Arial" w:cs="Arial"/>
          <w:color w:val="000000" w:themeColor="text1"/>
          <w:lang w:eastAsia="en-GB"/>
        </w:rPr>
        <w:t>The distribution of haemoglobin change (Table 4) further supports this observation. Over half of the students (5</w:t>
      </w:r>
      <w:r w:rsidR="00FD79C8" w:rsidRPr="00E82EE4">
        <w:rPr>
          <w:rFonts w:ascii="Arial" w:hAnsi="Arial" w:cs="Arial"/>
          <w:color w:val="000000" w:themeColor="text1"/>
          <w:lang w:eastAsia="en-GB"/>
        </w:rPr>
        <w:t>3.12</w:t>
      </w:r>
      <w:r w:rsidRPr="00E82EE4">
        <w:rPr>
          <w:rFonts w:ascii="Arial" w:hAnsi="Arial" w:cs="Arial"/>
          <w:color w:val="000000" w:themeColor="text1"/>
          <w:lang w:eastAsia="en-GB"/>
        </w:rPr>
        <w:t>%) showed a haemoglobin change greater than 1.0 g/dl, and 1</w:t>
      </w:r>
      <w:r w:rsidR="00FD79C8" w:rsidRPr="00E82EE4">
        <w:rPr>
          <w:rFonts w:ascii="Arial" w:hAnsi="Arial" w:cs="Arial"/>
          <w:color w:val="000000" w:themeColor="text1"/>
          <w:lang w:eastAsia="en-GB"/>
        </w:rPr>
        <w:t>4.06</w:t>
      </w:r>
      <w:r w:rsidRPr="00E82EE4">
        <w:rPr>
          <w:rFonts w:ascii="Arial" w:hAnsi="Arial" w:cs="Arial"/>
          <w:color w:val="000000" w:themeColor="text1"/>
          <w:lang w:eastAsia="en-GB"/>
        </w:rPr>
        <w:t>% experienced changes exceeding 2.0 g/dl. Such fluctuations, if persistent, could lead to progressive iron deficiency and anaemia over time, particularly if replenishment is inadequate.</w:t>
      </w:r>
    </w:p>
    <w:p w14:paraId="3453B6A5" w14:textId="77777777" w:rsidR="000A5161" w:rsidRPr="00E82EE4" w:rsidRDefault="000A5161" w:rsidP="000A5161">
      <w:pPr>
        <w:snapToGrid w:val="0"/>
        <w:jc w:val="both"/>
        <w:rPr>
          <w:rFonts w:ascii="Arial" w:hAnsi="Arial" w:cs="Arial"/>
          <w:color w:val="000000" w:themeColor="text1"/>
          <w:lang w:eastAsia="en-GB"/>
        </w:rPr>
      </w:pPr>
    </w:p>
    <w:p w14:paraId="0A929EC1" w14:textId="77777777" w:rsidR="000A5161" w:rsidRPr="00E82EE4" w:rsidRDefault="000A5161" w:rsidP="000A5161">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The data in Tables 5 and 6 illustrate a concerning pattern. During the luteal phase, 42% of students were </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primarily with mild anaemia, whereas no cases of moderate or severe anaemia were observed. In contrast, the follicular phase saw a dramatic rise in anaemia, with 95</w:t>
      </w:r>
      <w:r w:rsidR="00FD79C8" w:rsidRPr="00E82EE4">
        <w:rPr>
          <w:rFonts w:ascii="Arial" w:hAnsi="Arial" w:cs="Arial"/>
          <w:color w:val="000000" w:themeColor="text1"/>
          <w:lang w:eastAsia="en-GB"/>
        </w:rPr>
        <w:t>.3</w:t>
      </w:r>
      <w:r w:rsidRPr="00E82EE4">
        <w:rPr>
          <w:rFonts w:ascii="Arial" w:hAnsi="Arial" w:cs="Arial"/>
          <w:color w:val="000000" w:themeColor="text1"/>
          <w:lang w:eastAsia="en-GB"/>
        </w:rPr>
        <w:t>% of students being affected</w:t>
      </w:r>
      <w:r w:rsidR="00FD79C8" w:rsidRPr="00E82EE4">
        <w:rPr>
          <w:rFonts w:ascii="Arial" w:hAnsi="Arial" w:cs="Arial"/>
          <w:color w:val="000000" w:themeColor="text1"/>
          <w:lang w:eastAsia="en-GB"/>
        </w:rPr>
        <w:t xml:space="preserve"> </w:t>
      </w:r>
      <w:r w:rsidRPr="00E82EE4">
        <w:rPr>
          <w:rFonts w:ascii="Arial" w:hAnsi="Arial" w:cs="Arial"/>
          <w:color w:val="000000" w:themeColor="text1"/>
          <w:lang w:eastAsia="en-GB"/>
        </w:rPr>
        <w:t>31</w:t>
      </w:r>
      <w:r w:rsidR="00FD79C8" w:rsidRPr="00E82EE4">
        <w:rPr>
          <w:rFonts w:ascii="Arial" w:hAnsi="Arial" w:cs="Arial"/>
          <w:color w:val="000000" w:themeColor="text1"/>
          <w:lang w:eastAsia="en-GB"/>
        </w:rPr>
        <w:t>.3</w:t>
      </w:r>
      <w:r w:rsidRPr="00E82EE4">
        <w:rPr>
          <w:rFonts w:ascii="Arial" w:hAnsi="Arial" w:cs="Arial"/>
          <w:color w:val="000000" w:themeColor="text1"/>
          <w:lang w:eastAsia="en-GB"/>
        </w:rPr>
        <w:t>% with mild anaemia and 64</w:t>
      </w:r>
      <w:r w:rsidR="00FD79C8" w:rsidRPr="00E82EE4">
        <w:rPr>
          <w:rFonts w:ascii="Arial" w:hAnsi="Arial" w:cs="Arial"/>
          <w:color w:val="000000" w:themeColor="text1"/>
          <w:lang w:eastAsia="en-GB"/>
        </w:rPr>
        <w:t>.1</w:t>
      </w:r>
      <w:r w:rsidRPr="00E82EE4">
        <w:rPr>
          <w:rFonts w:ascii="Arial" w:hAnsi="Arial" w:cs="Arial"/>
          <w:color w:val="000000" w:themeColor="text1"/>
          <w:lang w:eastAsia="en-GB"/>
        </w:rPr>
        <w:t xml:space="preserve">% with moderate anaemia. This stark contrast underscores the vulnerability of women to iron deficiency during menstruation and suggests that blood loss during menstruation, </w:t>
      </w:r>
      <w:r w:rsidRPr="00E82EE4">
        <w:rPr>
          <w:rFonts w:ascii="Arial" w:hAnsi="Arial" w:cs="Arial"/>
          <w:color w:val="000000" w:themeColor="text1"/>
          <w:lang w:eastAsia="en-GB"/>
        </w:rPr>
        <w:lastRenderedPageBreak/>
        <w:t>compounded by poor iron intake or absorption, is a critical factor in anaemia development (Bates et al., 2007).</w:t>
      </w:r>
    </w:p>
    <w:p w14:paraId="35E0F82E" w14:textId="77777777" w:rsidR="000A5161" w:rsidRPr="00E82EE4" w:rsidRDefault="000A5161" w:rsidP="000A5161">
      <w:pPr>
        <w:snapToGrid w:val="0"/>
        <w:jc w:val="both"/>
        <w:rPr>
          <w:rFonts w:ascii="Arial" w:hAnsi="Arial" w:cs="Arial"/>
          <w:color w:val="000000" w:themeColor="text1"/>
          <w:lang w:eastAsia="en-GB"/>
        </w:rPr>
      </w:pPr>
    </w:p>
    <w:p w14:paraId="129DBAAE" w14:textId="77777777" w:rsidR="000A5161" w:rsidRPr="00E82EE4" w:rsidRDefault="000A5161" w:rsidP="000A5161">
      <w:pPr>
        <w:snapToGrid w:val="0"/>
        <w:jc w:val="both"/>
        <w:rPr>
          <w:rFonts w:ascii="Arial" w:hAnsi="Arial" w:cs="Arial"/>
          <w:color w:val="000000" w:themeColor="text1"/>
          <w:lang w:eastAsia="en-GB"/>
        </w:rPr>
      </w:pPr>
      <w:r w:rsidRPr="00E82EE4">
        <w:rPr>
          <w:rFonts w:ascii="Arial" w:hAnsi="Arial" w:cs="Arial"/>
          <w:color w:val="000000" w:themeColor="text1"/>
          <w:lang w:eastAsia="en-GB"/>
        </w:rPr>
        <w:t>Table 7 highlights the difference in anaemia prevalence between the two phases. The findings reveal that failure to manage haemoglobin levels during the luteal phase could lead to worsening anaemia in the follicular phase. This progression supports the hypothesis that menstrual cycles can trigger reversible stages of anaemia, provided that timely interventions such as iron supplementation, nutritional counselling, and medical management are provided (Petry et al., 2016).</w:t>
      </w:r>
    </w:p>
    <w:p w14:paraId="480F6101" w14:textId="77777777" w:rsidR="000A5161" w:rsidRPr="00E82EE4" w:rsidRDefault="000A5161" w:rsidP="000A5161">
      <w:pPr>
        <w:snapToGrid w:val="0"/>
        <w:jc w:val="both"/>
        <w:rPr>
          <w:rFonts w:ascii="Arial" w:hAnsi="Arial" w:cs="Arial"/>
          <w:color w:val="000000" w:themeColor="text1"/>
          <w:lang w:eastAsia="en-GB"/>
        </w:rPr>
      </w:pPr>
    </w:p>
    <w:p w14:paraId="11093B42" w14:textId="77777777" w:rsidR="000A5161" w:rsidRPr="00E82EE4" w:rsidRDefault="000A5161" w:rsidP="000A5161">
      <w:pPr>
        <w:snapToGrid w:val="0"/>
        <w:jc w:val="both"/>
        <w:rPr>
          <w:rFonts w:ascii="Arial" w:hAnsi="Arial" w:cs="Arial"/>
          <w:color w:val="000000" w:themeColor="text1"/>
          <w:lang w:eastAsia="en-GB"/>
        </w:rPr>
      </w:pPr>
      <w:r w:rsidRPr="00E82EE4">
        <w:rPr>
          <w:rFonts w:ascii="Arial" w:hAnsi="Arial" w:cs="Arial"/>
          <w:color w:val="000000" w:themeColor="text1"/>
          <w:lang w:eastAsia="en-GB"/>
        </w:rPr>
        <w:t>The results of this study are particularly relevant for allied healthcare students who often face academic stress, irregular dietary habits, and poor sleep, further exacerbating their susceptibility to anaemia (Brown et al., 2015). Monitoring haemoglobin levels and providing education on menstrual health, diet, and iron supplementation can mitigate the adverse effects of menstrual-related anaemia. The reversibility observed between phases emphasizes the need for proactive interventions during the luteal phase to prevent severe anaemia during the follicular phase.</w:t>
      </w:r>
    </w:p>
    <w:p w14:paraId="2A3308ED" w14:textId="77777777" w:rsidR="000A5161" w:rsidRPr="00E82EE4" w:rsidRDefault="000A5161" w:rsidP="000A5161">
      <w:pPr>
        <w:snapToGrid w:val="0"/>
        <w:jc w:val="both"/>
        <w:rPr>
          <w:rFonts w:ascii="Arial" w:hAnsi="Arial" w:cs="Arial"/>
          <w:color w:val="000000" w:themeColor="text1"/>
          <w:lang w:eastAsia="en-GB"/>
        </w:rPr>
      </w:pPr>
    </w:p>
    <w:p w14:paraId="02EA3D8C" w14:textId="77777777" w:rsidR="00E053D0" w:rsidRPr="00E82EE4" w:rsidRDefault="000A5161" w:rsidP="000A5161">
      <w:pPr>
        <w:pStyle w:val="Body"/>
        <w:spacing w:after="0"/>
        <w:rPr>
          <w:rFonts w:ascii="Arial" w:hAnsi="Arial" w:cs="Arial"/>
          <w:color w:val="000000" w:themeColor="text1"/>
        </w:rPr>
      </w:pPr>
      <w:r w:rsidRPr="00E82EE4">
        <w:rPr>
          <w:rFonts w:ascii="Arial" w:hAnsi="Arial" w:cs="Arial"/>
          <w:color w:val="000000" w:themeColor="text1"/>
          <w:lang w:eastAsia="en-GB"/>
        </w:rPr>
        <w:t xml:space="preserve">A strength of this study is the cyclical comparison of haemoglobin levels, providing a dynamic view of menstrual-related changes rather than a single-time-point assessment. However, limitations include reliance on self-reported menstrual patterns and </w:t>
      </w:r>
      <w:r w:rsidR="00FD79C8" w:rsidRPr="00E82EE4">
        <w:rPr>
          <w:rFonts w:ascii="Arial" w:hAnsi="Arial" w:cs="Arial"/>
          <w:color w:val="000000" w:themeColor="text1"/>
          <w:lang w:eastAsia="en-GB"/>
        </w:rPr>
        <w:t xml:space="preserve">the </w:t>
      </w:r>
      <w:r w:rsidRPr="00E82EE4">
        <w:rPr>
          <w:rFonts w:ascii="Arial" w:hAnsi="Arial" w:cs="Arial"/>
          <w:color w:val="000000" w:themeColor="text1"/>
          <w:lang w:eastAsia="en-GB"/>
        </w:rPr>
        <w:t>absence of iron studies (serum ferritin) that could better establish iron deficiency as the underlying cause.</w:t>
      </w:r>
    </w:p>
    <w:p w14:paraId="6F47E857" w14:textId="77777777" w:rsidR="00790ADA" w:rsidRPr="00E82EE4" w:rsidRDefault="00790ADA" w:rsidP="00441B6F">
      <w:pPr>
        <w:pStyle w:val="Body"/>
        <w:spacing w:after="0"/>
        <w:rPr>
          <w:rFonts w:ascii="Arial" w:hAnsi="Arial" w:cs="Arial"/>
          <w:color w:val="000000" w:themeColor="text1"/>
        </w:rPr>
      </w:pPr>
    </w:p>
    <w:p w14:paraId="34A9528F" w14:textId="77777777" w:rsidR="00B01FCD" w:rsidRPr="00E82EE4" w:rsidRDefault="007A453E" w:rsidP="00441B6F">
      <w:pPr>
        <w:pStyle w:val="ConcHead"/>
        <w:spacing w:after="0"/>
        <w:jc w:val="both"/>
        <w:rPr>
          <w:rFonts w:ascii="Arial" w:hAnsi="Arial" w:cs="Arial"/>
          <w:color w:val="000000" w:themeColor="text1"/>
        </w:rPr>
      </w:pPr>
      <w:r w:rsidRPr="00E82EE4">
        <w:rPr>
          <w:rFonts w:ascii="Arial" w:hAnsi="Arial" w:cs="Arial"/>
          <w:color w:val="000000" w:themeColor="text1"/>
        </w:rPr>
        <w:t>5.</w:t>
      </w:r>
      <w:r w:rsidR="00000F8F" w:rsidRPr="00E82EE4">
        <w:rPr>
          <w:rFonts w:ascii="Arial" w:hAnsi="Arial" w:cs="Arial"/>
          <w:color w:val="000000" w:themeColor="text1"/>
        </w:rPr>
        <w:t xml:space="preserve"> </w:t>
      </w:r>
      <w:r w:rsidR="00B01FCD" w:rsidRPr="00E82EE4">
        <w:rPr>
          <w:rFonts w:ascii="Arial" w:hAnsi="Arial" w:cs="Arial"/>
          <w:color w:val="000000" w:themeColor="text1"/>
        </w:rPr>
        <w:t>Conclusion</w:t>
      </w:r>
    </w:p>
    <w:p w14:paraId="5ED11994" w14:textId="77777777" w:rsidR="00790ADA" w:rsidRPr="00E82EE4" w:rsidRDefault="00790ADA" w:rsidP="00441B6F">
      <w:pPr>
        <w:pStyle w:val="ConcHead"/>
        <w:spacing w:after="0"/>
        <w:jc w:val="both"/>
        <w:rPr>
          <w:rFonts w:ascii="Arial" w:hAnsi="Arial" w:cs="Arial"/>
          <w:color w:val="000000" w:themeColor="text1"/>
        </w:rPr>
      </w:pPr>
    </w:p>
    <w:p w14:paraId="16CF369C" w14:textId="77777777" w:rsidR="000A5161" w:rsidRPr="00E82EE4" w:rsidRDefault="000A5161" w:rsidP="000A5161">
      <w:pPr>
        <w:snapToGrid w:val="0"/>
        <w:jc w:val="both"/>
        <w:rPr>
          <w:rFonts w:ascii="Arial" w:hAnsi="Arial" w:cs="Arial"/>
          <w:color w:val="000000" w:themeColor="text1"/>
          <w:lang w:eastAsia="en-GB"/>
        </w:rPr>
      </w:pPr>
      <w:r w:rsidRPr="00E82EE4">
        <w:rPr>
          <w:rFonts w:ascii="Arial" w:hAnsi="Arial" w:cs="Arial"/>
          <w:color w:val="000000" w:themeColor="text1"/>
          <w:lang w:eastAsia="en-GB"/>
        </w:rPr>
        <w:t>The study confirms that menstrual cycles play a significant role in the development and progression of anaemia among allied healthcare students in Tripura. The cyclical variation in haemoglobin levels, with a marked increase in anaemia during the follicular phase, points to menstrual blood loss as a key determinant. Importantly, the observed reversibility between phases suggests that appropriate interventions can prevent or mitigate anaemia. These findings underscore the need for targeted health programs that address menstrual health, nutrition, and iron supplementation, particularly in vulnerable student populations.</w:t>
      </w:r>
    </w:p>
    <w:p w14:paraId="266EAB1B" w14:textId="77777777" w:rsidR="00790ADA" w:rsidRPr="00E82EE4" w:rsidRDefault="00790ADA" w:rsidP="00441B6F">
      <w:pPr>
        <w:pStyle w:val="Body"/>
        <w:spacing w:after="0"/>
        <w:rPr>
          <w:rFonts w:ascii="Arial" w:hAnsi="Arial" w:cs="Arial"/>
          <w:color w:val="000000" w:themeColor="text1"/>
        </w:rPr>
      </w:pPr>
    </w:p>
    <w:p w14:paraId="0F3A20D5" w14:textId="77777777" w:rsidR="002B685A" w:rsidRPr="00E82EE4" w:rsidRDefault="002B685A" w:rsidP="00441B6F">
      <w:pPr>
        <w:pStyle w:val="ReferHead"/>
        <w:spacing w:after="0"/>
        <w:jc w:val="both"/>
        <w:rPr>
          <w:rFonts w:ascii="Arial" w:hAnsi="Arial" w:cs="Arial"/>
          <w:b w:val="0"/>
          <w:caps w:val="0"/>
          <w:color w:val="000000" w:themeColor="text1"/>
          <w:sz w:val="20"/>
        </w:rPr>
      </w:pPr>
    </w:p>
    <w:p w14:paraId="440A5569" w14:textId="77777777" w:rsidR="002B685A" w:rsidRPr="00E82EE4" w:rsidRDefault="002B685A" w:rsidP="00441B6F">
      <w:pPr>
        <w:pStyle w:val="ReferHead"/>
        <w:spacing w:after="0"/>
        <w:jc w:val="both"/>
        <w:rPr>
          <w:rFonts w:ascii="Arial" w:hAnsi="Arial" w:cs="Arial"/>
          <w:bCs/>
          <w:color w:val="000000" w:themeColor="text1"/>
        </w:rPr>
      </w:pPr>
      <w:r w:rsidRPr="00E82EE4">
        <w:rPr>
          <w:rFonts w:ascii="Arial" w:hAnsi="Arial" w:cs="Arial"/>
          <w:bCs/>
          <w:color w:val="000000" w:themeColor="text1"/>
        </w:rPr>
        <w:t>Consent</w:t>
      </w:r>
    </w:p>
    <w:p w14:paraId="5B7B794E" w14:textId="77777777" w:rsidR="001A29D8" w:rsidRPr="00E82EE4" w:rsidRDefault="001A29D8" w:rsidP="00441B6F">
      <w:pPr>
        <w:pStyle w:val="ReferHead"/>
        <w:spacing w:after="0"/>
        <w:jc w:val="both"/>
        <w:rPr>
          <w:rFonts w:ascii="Arial" w:hAnsi="Arial" w:cs="Arial"/>
          <w:b w:val="0"/>
          <w:caps w:val="0"/>
          <w:color w:val="000000" w:themeColor="text1"/>
          <w:sz w:val="20"/>
        </w:rPr>
      </w:pPr>
      <w:r w:rsidRPr="00E82EE4">
        <w:rPr>
          <w:rFonts w:ascii="Arial" w:hAnsi="Arial" w:cs="Arial"/>
          <w:b w:val="0"/>
          <w:caps w:val="0"/>
          <w:color w:val="000000" w:themeColor="text1"/>
          <w:sz w:val="20"/>
        </w:rPr>
        <w:t xml:space="preserve">All authors declare that written informed consent was obtained </w:t>
      </w:r>
      <w:r w:rsidR="009D6558" w:rsidRPr="00E82EE4">
        <w:rPr>
          <w:rFonts w:ascii="Arial" w:hAnsi="Arial" w:cs="Arial"/>
          <w:b w:val="0"/>
          <w:caps w:val="0"/>
          <w:color w:val="000000" w:themeColor="text1"/>
          <w:sz w:val="20"/>
        </w:rPr>
        <w:t xml:space="preserve">before conducting the study. </w:t>
      </w:r>
    </w:p>
    <w:p w14:paraId="2AE98F36" w14:textId="77777777" w:rsidR="001A29D8" w:rsidRPr="00E82EE4" w:rsidRDefault="001A29D8" w:rsidP="00441B6F">
      <w:pPr>
        <w:pStyle w:val="ReferHead"/>
        <w:spacing w:after="0"/>
        <w:jc w:val="both"/>
        <w:rPr>
          <w:rFonts w:ascii="Arial" w:hAnsi="Arial" w:cs="Arial"/>
          <w:b w:val="0"/>
          <w:caps w:val="0"/>
          <w:color w:val="000000" w:themeColor="text1"/>
          <w:sz w:val="20"/>
        </w:rPr>
      </w:pPr>
    </w:p>
    <w:p w14:paraId="5D27D758" w14:textId="77777777" w:rsidR="005C784C" w:rsidRPr="00E82EE4" w:rsidRDefault="005C784C" w:rsidP="00441B6F">
      <w:pPr>
        <w:pStyle w:val="ReferHead"/>
        <w:spacing w:after="0"/>
        <w:jc w:val="both"/>
        <w:rPr>
          <w:rFonts w:ascii="Arial" w:hAnsi="Arial" w:cs="Arial"/>
          <w:b w:val="0"/>
          <w:caps w:val="0"/>
          <w:color w:val="000000" w:themeColor="text1"/>
          <w:sz w:val="20"/>
        </w:rPr>
      </w:pPr>
    </w:p>
    <w:p w14:paraId="5C7D24CE" w14:textId="77777777" w:rsidR="005C784C" w:rsidRPr="00E82EE4" w:rsidRDefault="005C784C" w:rsidP="00441B6F">
      <w:pPr>
        <w:pStyle w:val="ReferHead"/>
        <w:spacing w:after="0"/>
        <w:jc w:val="both"/>
        <w:rPr>
          <w:rFonts w:ascii="Arial" w:hAnsi="Arial" w:cs="Arial"/>
          <w:bCs/>
          <w:color w:val="000000" w:themeColor="text1"/>
        </w:rPr>
      </w:pPr>
      <w:r w:rsidRPr="00E82EE4">
        <w:rPr>
          <w:rFonts w:ascii="Arial" w:hAnsi="Arial" w:cs="Arial"/>
          <w:bCs/>
          <w:color w:val="000000" w:themeColor="text1"/>
        </w:rPr>
        <w:t>Ethical approval</w:t>
      </w:r>
    </w:p>
    <w:p w14:paraId="47F9EADF" w14:textId="77777777" w:rsidR="005C784C" w:rsidRPr="00E82EE4" w:rsidRDefault="005C784C" w:rsidP="00441B6F">
      <w:pPr>
        <w:pStyle w:val="ReferHead"/>
        <w:spacing w:after="0"/>
        <w:jc w:val="both"/>
        <w:rPr>
          <w:rFonts w:ascii="Arial" w:hAnsi="Arial" w:cs="Arial"/>
          <w:bCs/>
          <w:color w:val="000000" w:themeColor="text1"/>
        </w:rPr>
      </w:pPr>
    </w:p>
    <w:p w14:paraId="59B44666" w14:textId="77777777" w:rsidR="0041027F" w:rsidRPr="00E82EE4" w:rsidRDefault="001A29D8" w:rsidP="00441B6F">
      <w:pPr>
        <w:pStyle w:val="ReferHead"/>
        <w:spacing w:after="0"/>
        <w:jc w:val="both"/>
        <w:rPr>
          <w:rFonts w:ascii="Arial" w:hAnsi="Arial" w:cs="Arial"/>
          <w:b w:val="0"/>
          <w:caps w:val="0"/>
          <w:color w:val="000000" w:themeColor="text1"/>
          <w:sz w:val="20"/>
        </w:rPr>
      </w:pPr>
      <w:r w:rsidRPr="00E82EE4">
        <w:rPr>
          <w:rFonts w:ascii="Arial" w:hAnsi="Arial" w:cs="Arial"/>
          <w:b w:val="0"/>
          <w:caps w:val="0"/>
          <w:color w:val="000000" w:themeColor="text1"/>
          <w:sz w:val="20"/>
        </w:rPr>
        <w:t xml:space="preserve"> All authors hereby declare that a</w:t>
      </w:r>
      <w:r w:rsidR="0041027F" w:rsidRPr="00E82EE4">
        <w:rPr>
          <w:rFonts w:ascii="Arial" w:hAnsi="Arial" w:cs="Arial"/>
          <w:b w:val="0"/>
          <w:caps w:val="0"/>
          <w:color w:val="000000" w:themeColor="text1"/>
          <w:sz w:val="20"/>
        </w:rPr>
        <w:t xml:space="preserve">ll </w:t>
      </w:r>
      <w:r w:rsidR="00F469F0" w:rsidRPr="00E82EE4">
        <w:rPr>
          <w:rFonts w:ascii="Arial" w:hAnsi="Arial" w:cs="Arial"/>
          <w:b w:val="0"/>
          <w:caps w:val="0"/>
          <w:color w:val="000000" w:themeColor="text1"/>
          <w:sz w:val="20"/>
        </w:rPr>
        <w:t>experiments</w:t>
      </w:r>
      <w:r w:rsidR="0041027F" w:rsidRPr="00E82EE4">
        <w:rPr>
          <w:rFonts w:ascii="Arial" w:hAnsi="Arial" w:cs="Arial"/>
          <w:b w:val="0"/>
          <w:caps w:val="0"/>
          <w:color w:val="000000" w:themeColor="text1"/>
          <w:sz w:val="20"/>
        </w:rPr>
        <w:t xml:space="preserve"> have been examined</w:t>
      </w:r>
      <w:r w:rsidRPr="00E82EE4">
        <w:rPr>
          <w:rFonts w:ascii="Arial" w:hAnsi="Arial" w:cs="Arial"/>
          <w:b w:val="0"/>
          <w:caps w:val="0"/>
          <w:color w:val="000000" w:themeColor="text1"/>
          <w:sz w:val="20"/>
        </w:rPr>
        <w:t xml:space="preserve"> and approved</w:t>
      </w:r>
      <w:r w:rsidR="0041027F" w:rsidRPr="00E82EE4">
        <w:rPr>
          <w:rFonts w:ascii="Arial" w:hAnsi="Arial" w:cs="Arial"/>
          <w:b w:val="0"/>
          <w:caps w:val="0"/>
          <w:color w:val="000000" w:themeColor="text1"/>
          <w:sz w:val="20"/>
        </w:rPr>
        <w:t xml:space="preserve"> by the appropriate ethics committee.</w:t>
      </w:r>
    </w:p>
    <w:p w14:paraId="73FDABA4" w14:textId="77777777" w:rsidR="00860000" w:rsidRPr="00E82EE4" w:rsidRDefault="00860000" w:rsidP="00441B6F">
      <w:pPr>
        <w:pStyle w:val="ReferHead"/>
        <w:spacing w:after="0"/>
        <w:jc w:val="both"/>
        <w:rPr>
          <w:rFonts w:ascii="Arial" w:hAnsi="Arial" w:cs="Arial"/>
          <w:color w:val="000000" w:themeColor="text1"/>
        </w:rPr>
      </w:pPr>
    </w:p>
    <w:p w14:paraId="65AEA4B1" w14:textId="77777777" w:rsidR="00B01FCD" w:rsidRDefault="00B01FCD" w:rsidP="00441B6F">
      <w:pPr>
        <w:pStyle w:val="ReferHead"/>
        <w:spacing w:after="0"/>
        <w:jc w:val="both"/>
        <w:rPr>
          <w:rFonts w:ascii="Arial" w:hAnsi="Arial" w:cs="Arial"/>
          <w:color w:val="000000" w:themeColor="text1"/>
        </w:rPr>
      </w:pPr>
      <w:r w:rsidRPr="00E82EE4">
        <w:rPr>
          <w:rFonts w:ascii="Arial" w:hAnsi="Arial" w:cs="Arial"/>
          <w:color w:val="000000" w:themeColor="text1"/>
        </w:rPr>
        <w:t>References</w:t>
      </w:r>
    </w:p>
    <w:p w14:paraId="77F10CB7" w14:textId="77777777" w:rsidR="00284C4C" w:rsidRPr="00E82EE4" w:rsidRDefault="00284C4C" w:rsidP="00441B6F">
      <w:pPr>
        <w:pStyle w:val="Body"/>
        <w:spacing w:after="0"/>
        <w:rPr>
          <w:i/>
          <w:color w:val="000000" w:themeColor="text1"/>
          <w:u w:val="single"/>
        </w:rPr>
      </w:pPr>
    </w:p>
    <w:p w14:paraId="7581B054" w14:textId="77777777" w:rsidR="009D6558" w:rsidRPr="00E82EE4" w:rsidRDefault="009D6558" w:rsidP="009D6558">
      <w:pPr>
        <w:snapToGrid w:val="0"/>
        <w:jc w:val="both"/>
        <w:rPr>
          <w:rFonts w:ascii="Arial" w:hAnsi="Arial" w:cs="Arial"/>
          <w:color w:val="000000" w:themeColor="text1"/>
          <w:lang w:eastAsia="en-GB"/>
        </w:rPr>
      </w:pPr>
      <w:proofErr w:type="spellStart"/>
      <w:r w:rsidRPr="00E82EE4">
        <w:rPr>
          <w:rFonts w:ascii="Arial" w:hAnsi="Arial" w:cs="Arial"/>
          <w:color w:val="000000" w:themeColor="text1"/>
          <w:lang w:eastAsia="en-GB"/>
        </w:rPr>
        <w:t>Balarajan</w:t>
      </w:r>
      <w:proofErr w:type="spellEnd"/>
      <w:r w:rsidRPr="00E82EE4">
        <w:rPr>
          <w:rFonts w:ascii="Arial" w:hAnsi="Arial" w:cs="Arial"/>
          <w:color w:val="000000" w:themeColor="text1"/>
          <w:lang w:eastAsia="en-GB"/>
        </w:rPr>
        <w:t xml:space="preserve">, Y., Ramakrishnan, U., </w:t>
      </w:r>
      <w:proofErr w:type="spellStart"/>
      <w:r w:rsidRPr="00E82EE4">
        <w:rPr>
          <w:rFonts w:ascii="Arial" w:hAnsi="Arial" w:cs="Arial"/>
          <w:color w:val="000000" w:themeColor="text1"/>
          <w:lang w:eastAsia="en-GB"/>
        </w:rPr>
        <w:t>Özaltin</w:t>
      </w:r>
      <w:proofErr w:type="spellEnd"/>
      <w:r w:rsidRPr="00E82EE4">
        <w:rPr>
          <w:rFonts w:ascii="Arial" w:hAnsi="Arial" w:cs="Arial"/>
          <w:color w:val="000000" w:themeColor="text1"/>
          <w:lang w:eastAsia="en-GB"/>
        </w:rPr>
        <w:t>, E., Shankar, A. H., &amp; Subramanian, S. V. (2011). Anaemia in low-income and middle-income countries. The Lancet, 378(9809), 2123–2135.</w:t>
      </w:r>
    </w:p>
    <w:p w14:paraId="0B567D6E" w14:textId="77777777" w:rsidR="00790ADA" w:rsidRPr="00E82EE4" w:rsidRDefault="00790ADA" w:rsidP="00441B6F">
      <w:pPr>
        <w:pStyle w:val="Body"/>
        <w:spacing w:after="0"/>
        <w:rPr>
          <w:rFonts w:ascii="Arial" w:hAnsi="Arial" w:cs="Arial"/>
          <w:color w:val="000000" w:themeColor="text1"/>
        </w:rPr>
      </w:pPr>
    </w:p>
    <w:p w14:paraId="1016A2A1" w14:textId="77777777" w:rsidR="009D6558" w:rsidRPr="00E82EE4" w:rsidRDefault="009D6558" w:rsidP="009D6558">
      <w:pPr>
        <w:snapToGrid w:val="0"/>
        <w:jc w:val="both"/>
        <w:rPr>
          <w:rFonts w:ascii="Arial" w:hAnsi="Arial" w:cs="Arial"/>
          <w:color w:val="000000" w:themeColor="text1"/>
          <w:lang w:eastAsia="en-GB"/>
        </w:rPr>
      </w:pPr>
      <w:r w:rsidRPr="00E82EE4">
        <w:rPr>
          <w:rFonts w:ascii="Arial" w:hAnsi="Arial" w:cs="Arial"/>
          <w:color w:val="000000" w:themeColor="text1"/>
          <w:lang w:eastAsia="en-GB"/>
        </w:rPr>
        <w:t>Bates, C. J., Prentice, A., Cole, T. J., et al. (2007). Iron status and iron deficiency in UK adolescents. British Journal of Nutrition, 97(5), 876–882.</w:t>
      </w:r>
    </w:p>
    <w:p w14:paraId="4F69C0C5" w14:textId="77777777" w:rsidR="009D6558" w:rsidRPr="00E82EE4" w:rsidRDefault="009D6558" w:rsidP="009D6558">
      <w:pPr>
        <w:snapToGrid w:val="0"/>
        <w:jc w:val="both"/>
        <w:rPr>
          <w:rFonts w:ascii="Arial" w:hAnsi="Arial" w:cs="Arial"/>
          <w:color w:val="000000" w:themeColor="text1"/>
          <w:lang w:eastAsia="en-GB"/>
        </w:rPr>
      </w:pPr>
    </w:p>
    <w:p w14:paraId="27152DF2" w14:textId="77777777" w:rsidR="009D6558" w:rsidRPr="00E82EE4" w:rsidRDefault="009D6558" w:rsidP="009D6558">
      <w:pPr>
        <w:snapToGrid w:val="0"/>
        <w:jc w:val="both"/>
        <w:rPr>
          <w:rFonts w:ascii="Arial" w:hAnsi="Arial" w:cs="Arial"/>
          <w:color w:val="000000" w:themeColor="text1"/>
          <w:lang w:eastAsia="en-GB"/>
        </w:rPr>
      </w:pPr>
      <w:r w:rsidRPr="00E82EE4">
        <w:rPr>
          <w:rFonts w:ascii="Arial" w:hAnsi="Arial" w:cs="Arial"/>
          <w:color w:val="000000" w:themeColor="text1"/>
          <w:lang w:eastAsia="en-GB"/>
        </w:rPr>
        <w:lastRenderedPageBreak/>
        <w:t>Brown, R. C., Ferrini, R., &amp; Trock, B. J. (2015). Stress and anemia: A review of the physiological mechanisms. Journal of Health and Nutrition, 8(2), 112–118.</w:t>
      </w:r>
    </w:p>
    <w:p w14:paraId="7290515C" w14:textId="77777777" w:rsidR="009D6558" w:rsidRPr="00E82EE4" w:rsidRDefault="009D6558" w:rsidP="00441B6F">
      <w:pPr>
        <w:pStyle w:val="Body"/>
        <w:spacing w:after="0"/>
        <w:rPr>
          <w:rFonts w:ascii="Arial" w:hAnsi="Arial" w:cs="Arial"/>
          <w:color w:val="000000" w:themeColor="text1"/>
        </w:rPr>
      </w:pPr>
    </w:p>
    <w:p w14:paraId="258E3C52" w14:textId="77777777" w:rsidR="0025362B"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Georgieff, M. K. (2008). Iron deficiency in pregnancy. American Journal of Obstetrics and Gynecology, 199(4), S44–S48.</w:t>
      </w:r>
    </w:p>
    <w:p w14:paraId="5CACE00B" w14:textId="77777777" w:rsidR="0025362B" w:rsidRPr="00E82EE4" w:rsidRDefault="0025362B" w:rsidP="0025362B">
      <w:pPr>
        <w:snapToGrid w:val="0"/>
        <w:jc w:val="both"/>
        <w:rPr>
          <w:rFonts w:ascii="Arial" w:hAnsi="Arial" w:cs="Arial"/>
          <w:color w:val="000000" w:themeColor="text1"/>
          <w:lang w:eastAsia="en-GB"/>
        </w:rPr>
      </w:pPr>
    </w:p>
    <w:p w14:paraId="6F1BE00F" w14:textId="77777777" w:rsidR="0025362B" w:rsidRPr="00E82EE4" w:rsidRDefault="0025362B" w:rsidP="0025362B">
      <w:pPr>
        <w:snapToGrid w:val="0"/>
        <w:jc w:val="both"/>
        <w:rPr>
          <w:rFonts w:ascii="Arial" w:hAnsi="Arial" w:cs="Arial"/>
          <w:color w:val="000000" w:themeColor="text1"/>
          <w:lang w:eastAsia="en-GB"/>
        </w:rPr>
      </w:pPr>
      <w:proofErr w:type="spellStart"/>
      <w:r w:rsidRPr="00E82EE4">
        <w:rPr>
          <w:rFonts w:ascii="Arial" w:hAnsi="Arial" w:cs="Arial"/>
          <w:color w:val="000000" w:themeColor="text1"/>
          <w:lang w:eastAsia="en-GB"/>
        </w:rPr>
        <w:t>Godkar</w:t>
      </w:r>
      <w:proofErr w:type="spellEnd"/>
      <w:r w:rsidRPr="00E82EE4">
        <w:rPr>
          <w:rFonts w:ascii="Arial" w:hAnsi="Arial" w:cs="Arial"/>
          <w:color w:val="000000" w:themeColor="text1"/>
          <w:lang w:eastAsia="en-GB"/>
        </w:rPr>
        <w:t xml:space="preserve"> P, </w:t>
      </w:r>
      <w:proofErr w:type="spellStart"/>
      <w:r w:rsidRPr="00E82EE4">
        <w:rPr>
          <w:rFonts w:ascii="Arial" w:hAnsi="Arial" w:cs="Arial"/>
          <w:color w:val="000000" w:themeColor="text1"/>
          <w:lang w:eastAsia="en-GB"/>
        </w:rPr>
        <w:t>Godkar</w:t>
      </w:r>
      <w:proofErr w:type="spellEnd"/>
      <w:r w:rsidRPr="00E82EE4">
        <w:rPr>
          <w:rFonts w:ascii="Arial" w:hAnsi="Arial" w:cs="Arial"/>
          <w:color w:val="000000" w:themeColor="text1"/>
          <w:lang w:eastAsia="en-GB"/>
        </w:rPr>
        <w:t xml:space="preserve"> D. Textbook of Medical Laboratory Technology. 2nd ed. </w:t>
      </w:r>
      <w:proofErr w:type="spellStart"/>
      <w:r w:rsidRPr="00E82EE4">
        <w:rPr>
          <w:rFonts w:ascii="Arial" w:hAnsi="Arial" w:cs="Arial"/>
          <w:color w:val="000000" w:themeColor="text1"/>
          <w:lang w:eastAsia="en-GB"/>
        </w:rPr>
        <w:t>Bhalani</w:t>
      </w:r>
      <w:proofErr w:type="spellEnd"/>
      <w:r w:rsidRPr="00E82EE4">
        <w:rPr>
          <w:rFonts w:ascii="Arial" w:hAnsi="Arial" w:cs="Arial"/>
          <w:color w:val="000000" w:themeColor="text1"/>
          <w:lang w:eastAsia="en-GB"/>
        </w:rPr>
        <w:t xml:space="preserve"> Publishing House; 2016.</w:t>
      </w:r>
    </w:p>
    <w:p w14:paraId="1B6F8607" w14:textId="77777777" w:rsidR="0025362B" w:rsidRPr="00E82EE4" w:rsidRDefault="0025362B" w:rsidP="0025362B">
      <w:pPr>
        <w:snapToGrid w:val="0"/>
        <w:jc w:val="both"/>
        <w:rPr>
          <w:rFonts w:ascii="Arial" w:hAnsi="Arial" w:cs="Arial"/>
          <w:color w:val="000000" w:themeColor="text1"/>
          <w:lang w:eastAsia="en-GB"/>
        </w:rPr>
      </w:pPr>
    </w:p>
    <w:p w14:paraId="207587A5" w14:textId="77777777" w:rsidR="0025362B"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Hurrell, R., &amp; Egli, I. (2010). Iron bioavailability and dietary reference values. The American Journal of Clinical Nutrition, 91(5), 1461S–1467S. https://doi.org/10.3945/ajcn.2010.28674F</w:t>
      </w:r>
    </w:p>
    <w:p w14:paraId="57E19B42" w14:textId="77777777" w:rsidR="0025362B" w:rsidRPr="00E82EE4" w:rsidRDefault="0025362B" w:rsidP="00441B6F">
      <w:pPr>
        <w:pStyle w:val="Body"/>
        <w:spacing w:after="0"/>
        <w:rPr>
          <w:rFonts w:ascii="Arial" w:hAnsi="Arial" w:cs="Arial"/>
          <w:color w:val="000000" w:themeColor="text1"/>
        </w:rPr>
      </w:pPr>
    </w:p>
    <w:p w14:paraId="050E1669" w14:textId="77777777" w:rsidR="0025362B"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Kaur, S., &amp; Deshmukh, P. R. (2020). Prevalence of anaemia among adolescent girls and its association with menstrual patterns. Indian Journal of Community Medicine, 45(1), 23–28. https://doi.org/10.4103/ijcm.IJCM_197_19</w:t>
      </w:r>
    </w:p>
    <w:p w14:paraId="087E6F0C" w14:textId="77777777" w:rsidR="0025362B" w:rsidRPr="00E82EE4" w:rsidRDefault="0025362B" w:rsidP="0025362B">
      <w:pPr>
        <w:snapToGrid w:val="0"/>
        <w:jc w:val="both"/>
        <w:rPr>
          <w:rFonts w:ascii="Arial" w:hAnsi="Arial" w:cs="Arial"/>
          <w:color w:val="000000" w:themeColor="text1"/>
          <w:lang w:eastAsia="en-GB"/>
        </w:rPr>
      </w:pPr>
    </w:p>
    <w:p w14:paraId="7576DBF9" w14:textId="77777777" w:rsidR="0025362B"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McLean, E., Cogswell, M., Egli, I., Wojdyla, D., &amp; de Benoist, B. (2009). Worldwide prevalence of anaemia 1993–2005: WHO global database on anaemia. World Health Organization.</w:t>
      </w:r>
    </w:p>
    <w:p w14:paraId="6BE1DDA2" w14:textId="77777777" w:rsidR="0025362B" w:rsidRPr="00E82EE4" w:rsidRDefault="0025362B" w:rsidP="0025362B">
      <w:pPr>
        <w:snapToGrid w:val="0"/>
        <w:jc w:val="both"/>
        <w:rPr>
          <w:rFonts w:ascii="Arial" w:hAnsi="Arial" w:cs="Arial"/>
          <w:color w:val="000000" w:themeColor="text1"/>
          <w:lang w:eastAsia="en-GB"/>
        </w:rPr>
      </w:pPr>
    </w:p>
    <w:p w14:paraId="53008B8F" w14:textId="77777777" w:rsidR="0025362B"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Mehta, S., Gupta, N., &amp; Bhatia, V. (2020). Nutritional deficiencies and their association with menstrual irregularities among young women. Journal of Health and Nutrition, 8(2), 45–52.</w:t>
      </w:r>
    </w:p>
    <w:p w14:paraId="56F6C297" w14:textId="77777777" w:rsidR="0025362B" w:rsidRPr="00E82EE4" w:rsidRDefault="0025362B" w:rsidP="0025362B">
      <w:pPr>
        <w:snapToGrid w:val="0"/>
        <w:jc w:val="both"/>
        <w:rPr>
          <w:rFonts w:ascii="Arial" w:hAnsi="Arial" w:cs="Arial"/>
          <w:color w:val="000000" w:themeColor="text1"/>
          <w:lang w:eastAsia="en-GB"/>
        </w:rPr>
      </w:pPr>
    </w:p>
    <w:p w14:paraId="53940C4C" w14:textId="77777777" w:rsidR="0025362B"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Milman, N. (2011). Iron deficiency and anaemia in menstruating women. Thalassemia Reports, 1(1), e2.</w:t>
      </w:r>
    </w:p>
    <w:p w14:paraId="71A89998" w14:textId="77777777" w:rsidR="00E82EE4" w:rsidRDefault="00E82EE4" w:rsidP="00E82EE4">
      <w:pPr>
        <w:widowControl w:val="0"/>
        <w:tabs>
          <w:tab w:val="left" w:pos="1199"/>
          <w:tab w:val="left" w:pos="1200"/>
        </w:tabs>
        <w:autoSpaceDE w:val="0"/>
        <w:autoSpaceDN w:val="0"/>
        <w:ind w:right="3"/>
        <w:jc w:val="both"/>
        <w:rPr>
          <w:rFonts w:ascii="Arial" w:hAnsi="Arial" w:cs="Arial"/>
        </w:rPr>
      </w:pPr>
    </w:p>
    <w:p w14:paraId="6C196230" w14:textId="77777777" w:rsidR="00E82EE4" w:rsidRPr="00E82EE4" w:rsidRDefault="00E82EE4" w:rsidP="00E82EE4">
      <w:pPr>
        <w:widowControl w:val="0"/>
        <w:tabs>
          <w:tab w:val="left" w:pos="1199"/>
          <w:tab w:val="left" w:pos="1200"/>
        </w:tabs>
        <w:autoSpaceDE w:val="0"/>
        <w:autoSpaceDN w:val="0"/>
        <w:ind w:right="3"/>
        <w:jc w:val="both"/>
        <w:rPr>
          <w:rFonts w:ascii="Arial" w:hAnsi="Arial" w:cs="Arial"/>
        </w:rPr>
      </w:pPr>
      <w:r w:rsidRPr="00E82EE4">
        <w:rPr>
          <w:rFonts w:ascii="Arial" w:hAnsi="Arial" w:cs="Arial"/>
        </w:rPr>
        <w:t xml:space="preserve">Nath, S. K., A. M. Dutta., S. Datta., S. Chattopadhyay., &amp; A. S. Das. (2018). Nutritional and Health Status of the Tea Garden Workers of West Tripura District, Tripura, India. International Journal of Research and Analytical Reviews, 5(4), 700-706. </w:t>
      </w:r>
      <w:r w:rsidRPr="00E82EE4">
        <w:rPr>
          <w:rFonts w:ascii="Arial" w:hAnsi="Arial" w:cs="Arial"/>
          <w:color w:val="000000" w:themeColor="text1"/>
          <w:shd w:val="clear" w:color="auto" w:fill="FFFFFF"/>
        </w:rPr>
        <w:t>Article DOI:</w:t>
      </w:r>
      <w:r w:rsidRPr="00E82EE4">
        <w:rPr>
          <w:rFonts w:ascii="Arial" w:hAnsi="Arial" w:cs="Arial"/>
        </w:rPr>
        <w:t xml:space="preserve"> </w:t>
      </w:r>
      <w:r w:rsidRPr="00E82EE4">
        <w:rPr>
          <w:rFonts w:ascii="Arial" w:hAnsi="Arial" w:cs="Arial"/>
          <w:color w:val="000000" w:themeColor="text1"/>
        </w:rPr>
        <w:t>http://doi.one/10.1729/Journal.18631</w:t>
      </w:r>
    </w:p>
    <w:p w14:paraId="24D8C2F3" w14:textId="77777777" w:rsidR="009D6558" w:rsidRPr="00E82EE4" w:rsidRDefault="009D6558" w:rsidP="009D6558">
      <w:pPr>
        <w:snapToGrid w:val="0"/>
        <w:jc w:val="both"/>
        <w:rPr>
          <w:rFonts w:ascii="Arial" w:hAnsi="Arial" w:cs="Arial"/>
          <w:color w:val="000000" w:themeColor="text1"/>
          <w:lang w:eastAsia="en-GB"/>
        </w:rPr>
      </w:pPr>
    </w:p>
    <w:p w14:paraId="2ABBB354" w14:textId="77777777" w:rsidR="009D6558" w:rsidRPr="00E82EE4" w:rsidRDefault="009D6558" w:rsidP="009D6558">
      <w:pPr>
        <w:snapToGrid w:val="0"/>
        <w:jc w:val="both"/>
        <w:rPr>
          <w:rFonts w:ascii="Arial" w:hAnsi="Arial" w:cs="Arial"/>
          <w:color w:val="000000" w:themeColor="text1"/>
          <w:lang w:eastAsia="en-GB"/>
        </w:rPr>
      </w:pPr>
      <w:r w:rsidRPr="00E82EE4">
        <w:rPr>
          <w:rFonts w:ascii="Arial" w:hAnsi="Arial" w:cs="Arial"/>
          <w:color w:val="000000" w:themeColor="text1"/>
          <w:lang w:eastAsia="en-GB"/>
        </w:rPr>
        <w:t>Patil, R. R., Bhise, A. S., &amp; Jadhav, M. (2019). Anaemia and academic performance in adolescent girls: A cross-sectional study. International Journal of Adolescent Medicine and Health, 31(3), 20180123. https://doi.org/10.1515/ijamh-2018-0123</w:t>
      </w:r>
    </w:p>
    <w:p w14:paraId="7DDB6931" w14:textId="77777777" w:rsidR="009D6558" w:rsidRPr="00E82EE4" w:rsidRDefault="009D6558" w:rsidP="009D6558">
      <w:pPr>
        <w:snapToGrid w:val="0"/>
        <w:jc w:val="both"/>
        <w:rPr>
          <w:rFonts w:ascii="Arial" w:hAnsi="Arial" w:cs="Arial"/>
          <w:color w:val="000000" w:themeColor="text1"/>
          <w:lang w:eastAsia="en-GB"/>
        </w:rPr>
      </w:pPr>
    </w:p>
    <w:p w14:paraId="655F682C" w14:textId="77777777" w:rsidR="009D6558"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Petry, N., </w:t>
      </w:r>
      <w:proofErr w:type="spellStart"/>
      <w:r w:rsidRPr="00E82EE4">
        <w:rPr>
          <w:rFonts w:ascii="Arial" w:hAnsi="Arial" w:cs="Arial"/>
          <w:color w:val="000000" w:themeColor="text1"/>
          <w:lang w:eastAsia="en-GB"/>
        </w:rPr>
        <w:t>Olofin</w:t>
      </w:r>
      <w:proofErr w:type="spellEnd"/>
      <w:r w:rsidRPr="00E82EE4">
        <w:rPr>
          <w:rFonts w:ascii="Arial" w:hAnsi="Arial" w:cs="Arial"/>
          <w:color w:val="000000" w:themeColor="text1"/>
          <w:lang w:eastAsia="en-GB"/>
        </w:rPr>
        <w:t>, I., Hurrell, R. F., et al. (2016). The proportion of anemia associated with iron deficiency in low, medium, and high human development index countries. American Journal of Clinical Nutrition, 104(6), 1208–1217.</w:t>
      </w:r>
    </w:p>
    <w:p w14:paraId="182C4511" w14:textId="77777777" w:rsidR="009D6558" w:rsidRPr="00E82EE4" w:rsidRDefault="009D6558" w:rsidP="009D6558">
      <w:pPr>
        <w:snapToGrid w:val="0"/>
        <w:jc w:val="both"/>
        <w:rPr>
          <w:rFonts w:ascii="Arial" w:hAnsi="Arial" w:cs="Arial"/>
          <w:color w:val="000000" w:themeColor="text1"/>
          <w:lang w:eastAsia="en-GB"/>
        </w:rPr>
      </w:pPr>
    </w:p>
    <w:p w14:paraId="756251EC" w14:textId="77777777" w:rsidR="009D6558" w:rsidRPr="00E82EE4" w:rsidRDefault="009D6558" w:rsidP="009D6558">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Sapra A. Vital Signs: Measurement, Importance, and Interpretation. J Clin </w:t>
      </w:r>
      <w:proofErr w:type="spellStart"/>
      <w:r w:rsidRPr="00E82EE4">
        <w:rPr>
          <w:rFonts w:ascii="Arial" w:hAnsi="Arial" w:cs="Arial"/>
          <w:color w:val="000000" w:themeColor="text1"/>
          <w:lang w:eastAsia="en-GB"/>
        </w:rPr>
        <w:t>Pract</w:t>
      </w:r>
      <w:proofErr w:type="spellEnd"/>
      <w:r w:rsidRPr="00E82EE4">
        <w:rPr>
          <w:rFonts w:ascii="Arial" w:hAnsi="Arial" w:cs="Arial"/>
          <w:color w:val="000000" w:themeColor="text1"/>
          <w:lang w:eastAsia="en-GB"/>
        </w:rPr>
        <w:t>. 2022;10(3):145–150.</w:t>
      </w:r>
    </w:p>
    <w:p w14:paraId="57EDC624" w14:textId="77777777" w:rsidR="0025362B" w:rsidRPr="00E82EE4" w:rsidRDefault="0025362B" w:rsidP="0025362B">
      <w:pPr>
        <w:snapToGrid w:val="0"/>
        <w:jc w:val="both"/>
        <w:rPr>
          <w:rFonts w:ascii="Arial" w:hAnsi="Arial" w:cs="Arial"/>
          <w:color w:val="000000" w:themeColor="text1"/>
          <w:lang w:eastAsia="en-GB"/>
        </w:rPr>
      </w:pPr>
    </w:p>
    <w:p w14:paraId="57D73336" w14:textId="77777777" w:rsidR="0025362B"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Wintrobe MM. Clinical Hematology. Lea &amp; </w:t>
      </w:r>
      <w:proofErr w:type="spellStart"/>
      <w:r w:rsidRPr="00E82EE4">
        <w:rPr>
          <w:rFonts w:ascii="Arial" w:hAnsi="Arial" w:cs="Arial"/>
          <w:color w:val="000000" w:themeColor="text1"/>
          <w:lang w:eastAsia="en-GB"/>
        </w:rPr>
        <w:t>Febiger</w:t>
      </w:r>
      <w:proofErr w:type="spellEnd"/>
      <w:r w:rsidRPr="00E82EE4">
        <w:rPr>
          <w:rFonts w:ascii="Arial" w:hAnsi="Arial" w:cs="Arial"/>
          <w:color w:val="000000" w:themeColor="text1"/>
          <w:lang w:eastAsia="en-GB"/>
        </w:rPr>
        <w:t>; 1929.</w:t>
      </w:r>
    </w:p>
    <w:p w14:paraId="75D47A2D" w14:textId="77777777" w:rsidR="0025362B" w:rsidRPr="00E82EE4" w:rsidRDefault="0025362B" w:rsidP="0025362B">
      <w:pPr>
        <w:snapToGrid w:val="0"/>
        <w:jc w:val="both"/>
        <w:rPr>
          <w:rFonts w:ascii="Arial" w:hAnsi="Arial" w:cs="Arial"/>
          <w:color w:val="000000" w:themeColor="text1"/>
          <w:lang w:eastAsia="en-GB"/>
        </w:rPr>
      </w:pPr>
    </w:p>
    <w:p w14:paraId="73600F33" w14:textId="77777777" w:rsidR="0025362B"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World Health Organization (WHO). Physical status: the use and interpretation of anthropometry. Report of a WHO Expert Committee. Geneva: WHO; 1995.</w:t>
      </w:r>
    </w:p>
    <w:p w14:paraId="4734054C" w14:textId="77777777" w:rsidR="009D6558" w:rsidRPr="00E82EE4" w:rsidRDefault="009D6558" w:rsidP="009D6558">
      <w:pPr>
        <w:snapToGrid w:val="0"/>
        <w:jc w:val="both"/>
        <w:rPr>
          <w:rFonts w:ascii="Arial" w:hAnsi="Arial" w:cs="Arial"/>
          <w:color w:val="000000" w:themeColor="text1"/>
          <w:lang w:eastAsia="en-GB"/>
        </w:rPr>
      </w:pPr>
    </w:p>
    <w:p w14:paraId="31BC127F" w14:textId="77777777" w:rsidR="009D6558" w:rsidRPr="00E82EE4" w:rsidRDefault="009D6558" w:rsidP="009D6558">
      <w:pPr>
        <w:snapToGrid w:val="0"/>
        <w:jc w:val="both"/>
        <w:rPr>
          <w:rFonts w:ascii="Arial" w:hAnsi="Arial" w:cs="Arial"/>
          <w:color w:val="000000" w:themeColor="text1"/>
          <w:lang w:eastAsia="en-GB"/>
        </w:rPr>
      </w:pPr>
      <w:r w:rsidRPr="00E82EE4">
        <w:rPr>
          <w:rFonts w:ascii="Arial" w:hAnsi="Arial" w:cs="Arial"/>
          <w:color w:val="000000" w:themeColor="text1"/>
          <w:lang w:eastAsia="en-GB"/>
        </w:rPr>
        <w:t>World Health Organization (WHO). (2011). Haemoglobin concentrations for the diagnosis of anaemia and assessment of severity.</w:t>
      </w:r>
    </w:p>
    <w:p w14:paraId="171E5C78" w14:textId="77777777" w:rsidR="004D4277" w:rsidRPr="00E82EE4" w:rsidRDefault="004D4277" w:rsidP="00441B6F">
      <w:pPr>
        <w:pStyle w:val="Appendix"/>
        <w:spacing w:after="0"/>
        <w:jc w:val="both"/>
        <w:rPr>
          <w:rFonts w:ascii="Arial" w:hAnsi="Arial" w:cs="Arial"/>
          <w:b w:val="0"/>
          <w:color w:val="000000" w:themeColor="text1"/>
        </w:rPr>
      </w:pPr>
    </w:p>
    <w:p w14:paraId="02CE2244" w14:textId="77777777" w:rsidR="0025362B" w:rsidRPr="00E82EE4" w:rsidRDefault="0025362B" w:rsidP="0025362B">
      <w:pPr>
        <w:snapToGrid w:val="0"/>
        <w:jc w:val="both"/>
        <w:rPr>
          <w:rFonts w:ascii="Arial" w:hAnsi="Arial" w:cs="Arial"/>
          <w:color w:val="000000" w:themeColor="text1"/>
          <w:lang w:eastAsia="en-GB"/>
        </w:rPr>
      </w:pPr>
      <w:r w:rsidRPr="00E82EE4">
        <w:rPr>
          <w:rFonts w:ascii="Arial" w:hAnsi="Arial" w:cs="Arial"/>
          <w:color w:val="000000" w:themeColor="text1"/>
          <w:lang w:eastAsia="en-GB"/>
        </w:rPr>
        <w:t>World Health Organization (WHO). (2021). Anaemia. Retrieved from https://www.who.int/news-room/fact-sheets/detail/anaemia</w:t>
      </w:r>
    </w:p>
    <w:p w14:paraId="390546CC" w14:textId="77777777" w:rsidR="0025362B" w:rsidRPr="00E82EE4" w:rsidRDefault="0025362B" w:rsidP="00441B6F">
      <w:pPr>
        <w:pStyle w:val="Appendix"/>
        <w:spacing w:after="0"/>
        <w:jc w:val="both"/>
        <w:rPr>
          <w:rFonts w:ascii="Arial" w:hAnsi="Arial" w:cs="Arial"/>
          <w:b w:val="0"/>
          <w:color w:val="000000" w:themeColor="text1"/>
        </w:rPr>
        <w:sectPr w:rsidR="0025362B" w:rsidRPr="00E82EE4" w:rsidSect="0032154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A79CD84" w14:textId="77777777" w:rsidR="00B01FCD" w:rsidRPr="00E82EE4" w:rsidRDefault="00B01FCD" w:rsidP="00441B6F">
      <w:pPr>
        <w:pStyle w:val="Appendix"/>
        <w:spacing w:after="0"/>
        <w:jc w:val="both"/>
        <w:rPr>
          <w:rFonts w:ascii="Arial" w:hAnsi="Arial" w:cs="Arial"/>
          <w:b w:val="0"/>
          <w:color w:val="000000" w:themeColor="text1"/>
        </w:rPr>
      </w:pPr>
    </w:p>
    <w:sectPr w:rsidR="00B01FCD" w:rsidRPr="00E82EE4" w:rsidSect="003215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AD12E" w14:textId="77777777" w:rsidR="00B06B0B" w:rsidRDefault="00B06B0B" w:rsidP="00C37E61">
      <w:r>
        <w:separator/>
      </w:r>
    </w:p>
  </w:endnote>
  <w:endnote w:type="continuationSeparator" w:id="0">
    <w:p w14:paraId="4A312696" w14:textId="77777777" w:rsidR="00B06B0B" w:rsidRDefault="00B06B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54D1" w14:textId="77777777" w:rsidR="00321545" w:rsidRDefault="00321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E0109" w14:textId="77777777" w:rsidR="00321545" w:rsidRDefault="00321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6DA3C" w14:textId="12814143" w:rsidR="00754C9A" w:rsidRPr="00321545" w:rsidRDefault="00754C9A" w:rsidP="0032154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2CB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58E02" w14:textId="77777777" w:rsidR="00B06B0B" w:rsidRDefault="00B06B0B" w:rsidP="00C37E61">
      <w:r>
        <w:separator/>
      </w:r>
    </w:p>
  </w:footnote>
  <w:footnote w:type="continuationSeparator" w:id="0">
    <w:p w14:paraId="5C486D8E" w14:textId="77777777" w:rsidR="00B06B0B" w:rsidRDefault="00B06B0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88111" w14:textId="0AB21EBD" w:rsidR="00321545" w:rsidRDefault="00321545">
    <w:pPr>
      <w:pStyle w:val="Header"/>
    </w:pPr>
    <w:r>
      <w:rPr>
        <w:noProof/>
      </w:rPr>
      <w:pict w14:anchorId="46B43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121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7BAA" w14:textId="471502B1" w:rsidR="00321545" w:rsidRDefault="00321545">
    <w:pPr>
      <w:pStyle w:val="Header"/>
    </w:pPr>
    <w:r>
      <w:rPr>
        <w:noProof/>
      </w:rPr>
      <w:pict w14:anchorId="0B188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121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E1952" w14:textId="2ED6A9F3" w:rsidR="00296529" w:rsidRPr="00296529" w:rsidRDefault="00321545" w:rsidP="00296529">
    <w:pPr>
      <w:ind w:left="2160"/>
      <w:jc w:val="center"/>
      <w:rPr>
        <w:rFonts w:ascii="Times New Roman" w:eastAsia="Calibri" w:hAnsi="Times New Roman"/>
        <w:i/>
        <w:sz w:val="18"/>
        <w:szCs w:val="22"/>
      </w:rPr>
    </w:pPr>
    <w:r>
      <w:rPr>
        <w:noProof/>
      </w:rPr>
      <w:pict w14:anchorId="323ED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121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5E556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FF188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5BB64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D6D6C9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EC5ED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FEFA2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358FA" w14:textId="5A0E0CB9" w:rsidR="00321545" w:rsidRDefault="00321545">
    <w:pPr>
      <w:pStyle w:val="Header"/>
    </w:pPr>
    <w:r>
      <w:rPr>
        <w:noProof/>
      </w:rPr>
      <w:pict w14:anchorId="3E764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1210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EC61" w14:textId="3704801D" w:rsidR="00321545" w:rsidRDefault="00321545">
    <w:pPr>
      <w:pStyle w:val="Header"/>
    </w:pPr>
    <w:r>
      <w:rPr>
        <w:noProof/>
      </w:rPr>
      <w:pict w14:anchorId="046F2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1210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F825C" w14:textId="0CC3BC04" w:rsidR="00321545" w:rsidRDefault="00321545">
    <w:pPr>
      <w:pStyle w:val="Header"/>
    </w:pPr>
    <w:r>
      <w:rPr>
        <w:noProof/>
      </w:rPr>
      <w:pict w14:anchorId="700BB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1210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091DA7"/>
    <w:multiLevelType w:val="hybridMultilevel"/>
    <w:tmpl w:val="8FCACBC2"/>
    <w:lvl w:ilvl="0" w:tplc="CCF45CDA">
      <w:numFmt w:val="bullet"/>
      <w:lvlText w:val=""/>
      <w:lvlJc w:val="left"/>
      <w:pPr>
        <w:ind w:left="369" w:hanging="188"/>
      </w:pPr>
      <w:rPr>
        <w:rFonts w:ascii="Wingdings" w:eastAsia="Wingdings" w:hAnsi="Wingdings" w:cs="Wingdings" w:hint="default"/>
        <w:w w:val="100"/>
        <w:sz w:val="16"/>
        <w:szCs w:val="16"/>
        <w:lang w:val="en-US" w:eastAsia="en-US" w:bidi="ar-SA"/>
      </w:rPr>
    </w:lvl>
    <w:lvl w:ilvl="1" w:tplc="7228D2F6">
      <w:numFmt w:val="bullet"/>
      <w:lvlText w:val=""/>
      <w:lvlJc w:val="left"/>
      <w:pPr>
        <w:ind w:left="1247" w:hanging="360"/>
      </w:pPr>
      <w:rPr>
        <w:rFonts w:ascii="Symbol" w:eastAsia="Symbol" w:hAnsi="Symbol" w:cs="Symbol" w:hint="default"/>
        <w:color w:val="000000" w:themeColor="text1"/>
        <w:w w:val="100"/>
        <w:sz w:val="24"/>
        <w:szCs w:val="24"/>
        <w:lang w:val="en-US" w:eastAsia="en-US" w:bidi="ar-SA"/>
      </w:rPr>
    </w:lvl>
    <w:lvl w:ilvl="2" w:tplc="40090001">
      <w:start w:val="1"/>
      <w:numFmt w:val="bullet"/>
      <w:lvlText w:val=""/>
      <w:lvlJc w:val="left"/>
      <w:pPr>
        <w:ind w:left="2244" w:hanging="360"/>
      </w:pPr>
      <w:rPr>
        <w:rFonts w:ascii="Symbol" w:hAnsi="Symbol" w:hint="default"/>
      </w:rPr>
    </w:lvl>
    <w:lvl w:ilvl="3" w:tplc="8A0A23F2">
      <w:numFmt w:val="bullet"/>
      <w:lvlText w:val="•"/>
      <w:lvlJc w:val="left"/>
      <w:pPr>
        <w:ind w:left="3240" w:hanging="360"/>
      </w:pPr>
      <w:rPr>
        <w:rFonts w:hint="default"/>
        <w:lang w:val="en-US" w:eastAsia="en-US" w:bidi="ar-SA"/>
      </w:rPr>
    </w:lvl>
    <w:lvl w:ilvl="4" w:tplc="6E8C6B92">
      <w:numFmt w:val="bullet"/>
      <w:lvlText w:val="•"/>
      <w:lvlJc w:val="left"/>
      <w:pPr>
        <w:ind w:left="4236" w:hanging="360"/>
      </w:pPr>
      <w:rPr>
        <w:rFonts w:hint="default"/>
        <w:lang w:val="en-US" w:eastAsia="en-US" w:bidi="ar-SA"/>
      </w:rPr>
    </w:lvl>
    <w:lvl w:ilvl="5" w:tplc="1CE85092">
      <w:numFmt w:val="bullet"/>
      <w:lvlText w:val="•"/>
      <w:lvlJc w:val="left"/>
      <w:pPr>
        <w:ind w:left="5233" w:hanging="360"/>
      </w:pPr>
      <w:rPr>
        <w:rFonts w:hint="default"/>
        <w:lang w:val="en-US" w:eastAsia="en-US" w:bidi="ar-SA"/>
      </w:rPr>
    </w:lvl>
    <w:lvl w:ilvl="6" w:tplc="45D44952">
      <w:numFmt w:val="bullet"/>
      <w:lvlText w:val="•"/>
      <w:lvlJc w:val="left"/>
      <w:pPr>
        <w:ind w:left="6229" w:hanging="360"/>
      </w:pPr>
      <w:rPr>
        <w:rFonts w:hint="default"/>
        <w:lang w:val="en-US" w:eastAsia="en-US" w:bidi="ar-SA"/>
      </w:rPr>
    </w:lvl>
    <w:lvl w:ilvl="7" w:tplc="23B0714E">
      <w:numFmt w:val="bullet"/>
      <w:lvlText w:val="•"/>
      <w:lvlJc w:val="left"/>
      <w:pPr>
        <w:ind w:left="7225" w:hanging="360"/>
      </w:pPr>
      <w:rPr>
        <w:rFonts w:hint="default"/>
        <w:lang w:val="en-US" w:eastAsia="en-US" w:bidi="ar-SA"/>
      </w:rPr>
    </w:lvl>
    <w:lvl w:ilvl="8" w:tplc="1D84A198">
      <w:numFmt w:val="bullet"/>
      <w:lvlText w:val="•"/>
      <w:lvlJc w:val="left"/>
      <w:pPr>
        <w:ind w:left="8221" w:hanging="360"/>
      </w:pPr>
      <w:rPr>
        <w:rFonts w:hint="default"/>
        <w:lang w:val="en-US" w:eastAsia="en-US" w:bidi="ar-SA"/>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302235"/>
    <w:multiLevelType w:val="hybridMultilevel"/>
    <w:tmpl w:val="52B07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2"/>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3"/>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7512"/>
    <w:rsid w:val="000944D1"/>
    <w:rsid w:val="000A47FA"/>
    <w:rsid w:val="000A5161"/>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62B"/>
    <w:rsid w:val="002556F6"/>
    <w:rsid w:val="00283105"/>
    <w:rsid w:val="00284C4C"/>
    <w:rsid w:val="00287E68"/>
    <w:rsid w:val="00296529"/>
    <w:rsid w:val="002B2047"/>
    <w:rsid w:val="002B27FB"/>
    <w:rsid w:val="002B685A"/>
    <w:rsid w:val="002C57D2"/>
    <w:rsid w:val="002E0D56"/>
    <w:rsid w:val="003018B2"/>
    <w:rsid w:val="00315186"/>
    <w:rsid w:val="00321545"/>
    <w:rsid w:val="0033343E"/>
    <w:rsid w:val="003512C2"/>
    <w:rsid w:val="00371FB6"/>
    <w:rsid w:val="003763C1"/>
    <w:rsid w:val="00376BBE"/>
    <w:rsid w:val="0039224F"/>
    <w:rsid w:val="0039330A"/>
    <w:rsid w:val="003A43A4"/>
    <w:rsid w:val="003A7E18"/>
    <w:rsid w:val="003C4C86"/>
    <w:rsid w:val="003C5319"/>
    <w:rsid w:val="003C6258"/>
    <w:rsid w:val="003E2904"/>
    <w:rsid w:val="0040085E"/>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2295"/>
    <w:rsid w:val="005263B8"/>
    <w:rsid w:val="0053056E"/>
    <w:rsid w:val="00554FDA"/>
    <w:rsid w:val="005B1BD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37F78"/>
    <w:rsid w:val="00746E59"/>
    <w:rsid w:val="00754C9A"/>
    <w:rsid w:val="0075599A"/>
    <w:rsid w:val="00761D52"/>
    <w:rsid w:val="0076440E"/>
    <w:rsid w:val="0077749E"/>
    <w:rsid w:val="00790ADA"/>
    <w:rsid w:val="007A453E"/>
    <w:rsid w:val="007D2288"/>
    <w:rsid w:val="007E088F"/>
    <w:rsid w:val="007F7B32"/>
    <w:rsid w:val="00804BC2"/>
    <w:rsid w:val="0081431A"/>
    <w:rsid w:val="00830A97"/>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12F9"/>
    <w:rsid w:val="00927834"/>
    <w:rsid w:val="009500A6"/>
    <w:rsid w:val="00957C18"/>
    <w:rsid w:val="009659BA"/>
    <w:rsid w:val="00983040"/>
    <w:rsid w:val="009B3FB9"/>
    <w:rsid w:val="009C2465"/>
    <w:rsid w:val="009D0641"/>
    <w:rsid w:val="009D35A0"/>
    <w:rsid w:val="009D6558"/>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6B0B"/>
    <w:rsid w:val="00B1776C"/>
    <w:rsid w:val="00B177D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2EE4"/>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5684"/>
    <w:rsid w:val="00FD36C8"/>
    <w:rsid w:val="00FD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6D32AA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212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9212F9"/>
    <w:rPr>
      <w:rFonts w:asciiTheme="majorHAnsi" w:eastAsiaTheme="majorEastAsia" w:hAnsiTheme="majorHAnsi" w:cstheme="majorBidi"/>
      <w:color w:val="243F60" w:themeColor="accent1" w:themeShade="7F"/>
      <w:sz w:val="24"/>
      <w:szCs w:val="24"/>
    </w:rPr>
  </w:style>
  <w:style w:type="paragraph" w:customStyle="1" w:styleId="p1">
    <w:name w:val="p1"/>
    <w:basedOn w:val="Normal"/>
    <w:rsid w:val="002B2047"/>
    <w:pPr>
      <w:spacing w:before="100" w:beforeAutospacing="1" w:after="100" w:afterAutospacing="1"/>
    </w:pPr>
    <w:rPr>
      <w:rFonts w:ascii="Times New Roman" w:hAnsi="Times New Roman"/>
      <w:sz w:val="24"/>
      <w:szCs w:val="24"/>
      <w:lang w:val="en-IN" w:eastAsia="en-GB"/>
    </w:rPr>
  </w:style>
  <w:style w:type="character" w:customStyle="1" w:styleId="s1">
    <w:name w:val="s1"/>
    <w:basedOn w:val="DefaultParagraphFont"/>
    <w:rsid w:val="002B2047"/>
  </w:style>
  <w:style w:type="paragraph" w:customStyle="1" w:styleId="p2">
    <w:name w:val="p2"/>
    <w:basedOn w:val="Normal"/>
    <w:rsid w:val="00FC5684"/>
    <w:pPr>
      <w:spacing w:before="100" w:beforeAutospacing="1" w:after="100" w:afterAutospacing="1"/>
    </w:pPr>
    <w:rPr>
      <w:rFonts w:ascii="Times New Roman" w:hAnsi="Times New Roman"/>
      <w:sz w:val="24"/>
      <w:szCs w:val="24"/>
      <w:lang w:val="en-IN" w:eastAsia="en-GB"/>
    </w:rPr>
  </w:style>
  <w:style w:type="paragraph" w:styleId="ListParagraph">
    <w:name w:val="List Paragraph"/>
    <w:basedOn w:val="Normal"/>
    <w:uiPriority w:val="1"/>
    <w:qFormat/>
    <w:rsid w:val="000A5161"/>
    <w:pPr>
      <w:spacing w:after="160" w:line="278" w:lineRule="auto"/>
      <w:ind w:left="720"/>
      <w:contextualSpacing/>
    </w:pPr>
    <w:rPr>
      <w:rFonts w:asciiTheme="minorHAnsi" w:eastAsiaTheme="minorHAnsi" w:hAnsiTheme="minorHAnsi" w:cstheme="minorBidi"/>
      <w:kern w:val="2"/>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8D4EC-7A91-4AD0-954A-B5097BCFC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142</TotalTime>
  <Pages>9</Pages>
  <Words>3688</Words>
  <Characters>21027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24666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2014-10-25T14:34:00Z</dcterms:created>
  <dcterms:modified xsi:type="dcterms:W3CDTF">2025-09-09T06:01:00Z</dcterms:modified>
</cp:coreProperties>
</file>