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F69C2" w14:textId="77777777" w:rsidR="00754C9A" w:rsidRDefault="00754C9A" w:rsidP="00441B6F">
      <w:pPr>
        <w:pStyle w:val="Title"/>
        <w:spacing w:after="0"/>
        <w:jc w:val="both"/>
        <w:rPr>
          <w:rFonts w:ascii="Arial" w:hAnsi="Arial" w:cs="Arial"/>
        </w:rPr>
      </w:pPr>
    </w:p>
    <w:p w14:paraId="48569616" w14:textId="29E077DD" w:rsidR="00A258C3" w:rsidRPr="00790ADA" w:rsidRDefault="002D6BB1" w:rsidP="00521E7E">
      <w:pPr>
        <w:pStyle w:val="Author"/>
        <w:spacing w:line="240" w:lineRule="auto"/>
        <w:jc w:val="left"/>
        <w:rPr>
          <w:rFonts w:ascii="Arial" w:hAnsi="Arial" w:cs="Arial"/>
          <w:sz w:val="36"/>
        </w:rPr>
      </w:pPr>
      <w:r w:rsidRPr="00003E3D">
        <w:rPr>
          <w:rFonts w:ascii="Arial" w:eastAsia="DejaVu Sans" w:hAnsi="Arial" w:cs="Arial"/>
          <w:bCs/>
          <w:szCs w:val="24"/>
          <w:lang w:eastAsia="zh-CN"/>
        </w:rPr>
        <w:t xml:space="preserve">Varietal Performance of </w:t>
      </w:r>
      <w:proofErr w:type="spellStart"/>
      <w:r w:rsidRPr="00003E3D">
        <w:rPr>
          <w:rFonts w:ascii="Arial" w:eastAsia="DejaVu Sans" w:hAnsi="Arial" w:cs="Arial"/>
          <w:bCs/>
          <w:szCs w:val="24"/>
          <w:lang w:eastAsia="zh-CN"/>
        </w:rPr>
        <w:t>Pechay</w:t>
      </w:r>
      <w:proofErr w:type="spellEnd"/>
      <w:r w:rsidRPr="00003E3D">
        <w:rPr>
          <w:rFonts w:ascii="Arial" w:eastAsia="DejaVu Sans" w:hAnsi="Arial" w:cs="Arial"/>
          <w:bCs/>
          <w:szCs w:val="24"/>
          <w:lang w:eastAsia="zh-CN"/>
        </w:rPr>
        <w:t xml:space="preserve"> (Brassica </w:t>
      </w:r>
      <w:proofErr w:type="spellStart"/>
      <w:r w:rsidRPr="00003E3D">
        <w:rPr>
          <w:rFonts w:ascii="Arial" w:eastAsia="DejaVu Sans" w:hAnsi="Arial" w:cs="Arial"/>
          <w:bCs/>
          <w:szCs w:val="24"/>
          <w:lang w:eastAsia="zh-CN"/>
        </w:rPr>
        <w:t>rapa</w:t>
      </w:r>
      <w:proofErr w:type="spellEnd"/>
      <w:r w:rsidRPr="00003E3D">
        <w:rPr>
          <w:rFonts w:ascii="Arial" w:eastAsia="DejaVu Sans" w:hAnsi="Arial" w:cs="Arial"/>
          <w:bCs/>
          <w:szCs w:val="24"/>
          <w:lang w:eastAsia="zh-CN"/>
        </w:rPr>
        <w:t xml:space="preserve"> L.) Under Simulated Waterlogging: Implications for Lowland Vegetable Production</w:t>
      </w:r>
    </w:p>
    <w:p w14:paraId="76BB151A" w14:textId="77777777" w:rsidR="002D6BB1" w:rsidRDefault="002D6BB1" w:rsidP="00441B6F">
      <w:pPr>
        <w:pStyle w:val="Author"/>
        <w:spacing w:line="240" w:lineRule="auto"/>
        <w:rPr>
          <w:rFonts w:ascii="Arial" w:hAnsi="Arial" w:cs="Arial"/>
        </w:rPr>
      </w:pPr>
    </w:p>
    <w:p w14:paraId="64C4EE11" w14:textId="6F957A0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1EDEFF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6FFC929" w14:textId="77777777" w:rsidTr="001E44FE">
        <w:tc>
          <w:tcPr>
            <w:tcW w:w="9576" w:type="dxa"/>
            <w:shd w:val="clear" w:color="auto" w:fill="F2F2F2"/>
          </w:tcPr>
          <w:p w14:paraId="352B46EF" w14:textId="3F6AEC5B" w:rsidR="00A03B96" w:rsidRDefault="009516DA" w:rsidP="00441B6F">
            <w:pPr>
              <w:pStyle w:val="Body"/>
              <w:spacing w:after="0"/>
              <w:rPr>
                <w:rFonts w:ascii="Arial" w:eastAsia="Calibri" w:hAnsi="Arial" w:cs="Arial"/>
                <w:szCs w:val="22"/>
              </w:rPr>
            </w:pPr>
            <w:r w:rsidRPr="009516DA">
              <w:rPr>
                <w:rFonts w:ascii="Arial" w:eastAsia="Calibri" w:hAnsi="Arial" w:cs="Arial"/>
                <w:szCs w:val="22"/>
              </w:rPr>
              <w:t xml:space="preserve">Waterlogging, often caused by excessive rainfall, threatens crop productivity by depriving roots of oxygen.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is a vital crop for food security, capable of producing significantly more food per unit area than cereal crops. This study assessed the growth responses of three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varieties: </w:t>
            </w:r>
            <w:proofErr w:type="spellStart"/>
            <w:r w:rsidRPr="009516DA">
              <w:rPr>
                <w:rFonts w:ascii="Arial" w:eastAsia="Calibri" w:hAnsi="Arial" w:cs="Arial"/>
                <w:szCs w:val="22"/>
              </w:rPr>
              <w:t>Pavo</w:t>
            </w:r>
            <w:proofErr w:type="spellEnd"/>
            <w:r w:rsidRPr="009516DA">
              <w:rPr>
                <w:rFonts w:ascii="Arial" w:eastAsia="Calibri" w:hAnsi="Arial" w:cs="Arial"/>
                <w:szCs w:val="22"/>
              </w:rPr>
              <w:t xml:space="preserve"> </w:t>
            </w:r>
            <w:proofErr w:type="gramStart"/>
            <w:r w:rsidRPr="009516DA">
              <w:rPr>
                <w:rFonts w:ascii="Arial" w:eastAsia="Calibri" w:hAnsi="Arial" w:cs="Arial"/>
                <w:szCs w:val="22"/>
              </w:rPr>
              <w:t>and  Pac</w:t>
            </w:r>
            <w:proofErr w:type="gramEnd"/>
            <w:r w:rsidRPr="009516DA">
              <w:rPr>
                <w:rFonts w:ascii="Arial" w:eastAsia="Calibri" w:hAnsi="Arial" w:cs="Arial"/>
                <w:szCs w:val="22"/>
              </w:rPr>
              <w:t xml:space="preserve"> Choi under different waterlogging durations (0, 24, 48, and 72 hours). Two weeks after sowing, seedlings were transplanted into polyethylene pots and grown for another two weeks before submersion. Results showed no significant differences among varieties in terms of survival rate, plant height, and number of leaves. However, plants submerged for 72 hours exhibited significantly lower survival and growth. No significant interaction effects were found between variety and submersion period except on the percentage survival recovery. The study suggests that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can tolerate waterlogging for up to 48 hours, but prolonged submersion negatively impacts plant development and survival. These findings are useful for guiding flood-resilient </w:t>
            </w:r>
            <w:proofErr w:type="spellStart"/>
            <w:r w:rsidRPr="009516DA">
              <w:rPr>
                <w:rFonts w:ascii="Arial" w:eastAsia="Calibri" w:hAnsi="Arial" w:cs="Arial"/>
                <w:szCs w:val="22"/>
              </w:rPr>
              <w:t>pechay</w:t>
            </w:r>
            <w:proofErr w:type="spellEnd"/>
            <w:r w:rsidRPr="009516DA">
              <w:rPr>
                <w:rFonts w:ascii="Arial" w:eastAsia="Calibri" w:hAnsi="Arial" w:cs="Arial"/>
                <w:szCs w:val="22"/>
              </w:rPr>
              <w:t xml:space="preserve"> cultivation.</w:t>
            </w:r>
          </w:p>
          <w:p w14:paraId="7784A6CC" w14:textId="27E873DA" w:rsidR="00505F06" w:rsidRPr="00BA1B01" w:rsidRDefault="00505F06" w:rsidP="00441B6F">
            <w:pPr>
              <w:pStyle w:val="Body"/>
              <w:spacing w:after="0"/>
              <w:rPr>
                <w:rFonts w:ascii="Arial" w:eastAsia="Calibri" w:hAnsi="Arial" w:cs="Arial"/>
                <w:szCs w:val="22"/>
              </w:rPr>
            </w:pPr>
          </w:p>
        </w:tc>
      </w:tr>
    </w:tbl>
    <w:p w14:paraId="0DD4F6D9" w14:textId="77777777" w:rsidR="00636EB2" w:rsidRDefault="00636EB2" w:rsidP="00441B6F">
      <w:pPr>
        <w:pStyle w:val="Body"/>
        <w:spacing w:after="0"/>
        <w:rPr>
          <w:rFonts w:ascii="Arial" w:hAnsi="Arial" w:cs="Arial"/>
          <w:i/>
        </w:rPr>
      </w:pPr>
    </w:p>
    <w:p w14:paraId="3E0EAB37" w14:textId="710ECF58" w:rsidR="00A24E7E" w:rsidRDefault="00A24E7E" w:rsidP="00441B6F">
      <w:pPr>
        <w:pStyle w:val="Body"/>
        <w:spacing w:after="0"/>
        <w:rPr>
          <w:rFonts w:ascii="Arial" w:hAnsi="Arial" w:cs="Arial"/>
          <w:i/>
        </w:rPr>
      </w:pPr>
      <w:r>
        <w:rPr>
          <w:rFonts w:ascii="Arial" w:hAnsi="Arial" w:cs="Arial"/>
          <w:i/>
        </w:rPr>
        <w:t xml:space="preserve">Keywords: </w:t>
      </w:r>
      <w:r w:rsidR="00554630" w:rsidRPr="00554630">
        <w:rPr>
          <w:rFonts w:ascii="Arial" w:hAnsi="Arial" w:cs="Arial"/>
          <w:i/>
        </w:rPr>
        <w:t xml:space="preserve">Pac </w:t>
      </w:r>
      <w:proofErr w:type="spellStart"/>
      <w:r w:rsidR="00554630" w:rsidRPr="00554630">
        <w:rPr>
          <w:rFonts w:ascii="Arial" w:hAnsi="Arial" w:cs="Arial"/>
          <w:i/>
        </w:rPr>
        <w:t>choi</w:t>
      </w:r>
      <w:proofErr w:type="spellEnd"/>
      <w:r w:rsidR="00554630" w:rsidRPr="00554630">
        <w:rPr>
          <w:rFonts w:ascii="Arial" w:hAnsi="Arial" w:cs="Arial"/>
          <w:i/>
        </w:rPr>
        <w:t xml:space="preserve">, </w:t>
      </w:r>
      <w:proofErr w:type="spellStart"/>
      <w:r w:rsidR="00554630" w:rsidRPr="00554630">
        <w:rPr>
          <w:rFonts w:ascii="Arial" w:hAnsi="Arial" w:cs="Arial"/>
          <w:i/>
        </w:rPr>
        <w:t>Pavo</w:t>
      </w:r>
      <w:proofErr w:type="spellEnd"/>
      <w:r w:rsidR="00554630" w:rsidRPr="00554630">
        <w:rPr>
          <w:rFonts w:ascii="Arial" w:hAnsi="Arial" w:cs="Arial"/>
          <w:i/>
        </w:rPr>
        <w:t xml:space="preserve"> </w:t>
      </w:r>
      <w:proofErr w:type="spellStart"/>
      <w:r w:rsidR="00554630" w:rsidRPr="00554630">
        <w:rPr>
          <w:rFonts w:ascii="Arial" w:hAnsi="Arial" w:cs="Arial"/>
          <w:i/>
        </w:rPr>
        <w:t>Pechay</w:t>
      </w:r>
      <w:proofErr w:type="spellEnd"/>
      <w:r w:rsidR="00554630" w:rsidRPr="00554630">
        <w:rPr>
          <w:rFonts w:ascii="Arial" w:hAnsi="Arial" w:cs="Arial"/>
          <w:i/>
        </w:rPr>
        <w:t>, submersion, waterlogging</w:t>
      </w:r>
    </w:p>
    <w:p w14:paraId="27640B0A" w14:textId="77777777" w:rsidR="0024282C" w:rsidRDefault="0024282C" w:rsidP="00441B6F">
      <w:pPr>
        <w:pStyle w:val="Body"/>
        <w:spacing w:after="0"/>
        <w:rPr>
          <w:rFonts w:ascii="Arial" w:hAnsi="Arial" w:cs="Arial"/>
          <w:i/>
          <w:sz w:val="18"/>
        </w:rPr>
      </w:pPr>
    </w:p>
    <w:p w14:paraId="4408510E" w14:textId="77777777" w:rsidR="00505F06" w:rsidRPr="00A24E7E" w:rsidRDefault="00505F06" w:rsidP="00441B6F">
      <w:pPr>
        <w:pStyle w:val="Body"/>
        <w:spacing w:after="0"/>
        <w:rPr>
          <w:rFonts w:ascii="Arial" w:hAnsi="Arial" w:cs="Arial"/>
          <w:i/>
        </w:rPr>
      </w:pPr>
    </w:p>
    <w:p w14:paraId="0E1A586F" w14:textId="4194B5C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3BF65B4" w14:textId="77777777" w:rsidR="00790ADA" w:rsidRPr="00FB3A86" w:rsidRDefault="00790ADA" w:rsidP="00441B6F">
      <w:pPr>
        <w:pStyle w:val="AbstHead"/>
        <w:spacing w:after="0"/>
        <w:jc w:val="both"/>
        <w:rPr>
          <w:rFonts w:ascii="Arial" w:hAnsi="Arial" w:cs="Arial"/>
        </w:rPr>
      </w:pPr>
    </w:p>
    <w:p w14:paraId="2A5E1B1E" w14:textId="77777777" w:rsidR="00554630" w:rsidRPr="00554630" w:rsidRDefault="00554630" w:rsidP="00554630">
      <w:pPr>
        <w:pStyle w:val="Body"/>
        <w:rPr>
          <w:rFonts w:ascii="Arial" w:hAnsi="Arial" w:cs="Arial"/>
        </w:rPr>
      </w:pPr>
      <w:r w:rsidRPr="00554630">
        <w:rPr>
          <w:rFonts w:ascii="Arial" w:hAnsi="Arial" w:cs="Arial"/>
        </w:rPr>
        <w:t>Agriculture continues to be a major driver of the Philippine economy, providing employment, ensuring food security, and supporting rural development. Vegetable production, particularly of staple and high-value crops, plays a crit</w:t>
      </w:r>
      <w:bookmarkStart w:id="0" w:name="_GoBack"/>
      <w:bookmarkEnd w:id="0"/>
      <w:r w:rsidRPr="00554630">
        <w:rPr>
          <w:rFonts w:ascii="Arial" w:hAnsi="Arial" w:cs="Arial"/>
        </w:rPr>
        <w:t xml:space="preserve">ical role in this system. Among the widely cultivated leafy vegetables, </w:t>
      </w:r>
      <w:proofErr w:type="spellStart"/>
      <w:r w:rsidRPr="00554630">
        <w:rPr>
          <w:rFonts w:ascii="Arial" w:hAnsi="Arial" w:cs="Arial"/>
        </w:rPr>
        <w:t>pechay</w:t>
      </w:r>
      <w:proofErr w:type="spellEnd"/>
      <w:r w:rsidRPr="00554630">
        <w:rPr>
          <w:rFonts w:ascii="Arial" w:hAnsi="Arial" w:cs="Arial"/>
        </w:rPr>
        <w:t xml:space="preserve"> (Brassica </w:t>
      </w:r>
      <w:proofErr w:type="spellStart"/>
      <w:r w:rsidRPr="00554630">
        <w:rPr>
          <w:rFonts w:ascii="Arial" w:hAnsi="Arial" w:cs="Arial"/>
        </w:rPr>
        <w:t>rapa</w:t>
      </w:r>
      <w:proofErr w:type="spellEnd"/>
      <w:r w:rsidRPr="00554630">
        <w:rPr>
          <w:rFonts w:ascii="Arial" w:hAnsi="Arial" w:cs="Arial"/>
        </w:rPr>
        <w:t xml:space="preserve"> L.) holds a prominent position due to its short growing period, nutritional value, and adaptability to various agroecological zones (PSA, 2023; DA, 2022). Its consistent demand in local markets and culinary traditions reflects its role in enhancing dietary diversity and nutrition among Filipino households.</w:t>
      </w:r>
    </w:p>
    <w:p w14:paraId="7743141A" w14:textId="77777777" w:rsidR="00554630" w:rsidRPr="00554630" w:rsidRDefault="00554630" w:rsidP="00554630">
      <w:pPr>
        <w:pStyle w:val="Body"/>
        <w:rPr>
          <w:rFonts w:ascii="Arial" w:hAnsi="Arial" w:cs="Arial"/>
        </w:rPr>
      </w:pPr>
      <w:proofErr w:type="spellStart"/>
      <w:r w:rsidRPr="00554630">
        <w:rPr>
          <w:rFonts w:ascii="Arial" w:hAnsi="Arial" w:cs="Arial"/>
        </w:rPr>
        <w:t>Pechay</w:t>
      </w:r>
      <w:proofErr w:type="spellEnd"/>
      <w:r w:rsidRPr="00554630">
        <w:rPr>
          <w:rFonts w:ascii="Arial" w:hAnsi="Arial" w:cs="Arial"/>
        </w:rPr>
        <w:t xml:space="preserve"> varieties such as Pac Choi and Pavo have become popular among farmers due to their fast growth, uniformity, and resilience under standard growing conditions. The Pavo variety, for example, is favored for its compact rosette form, dark green leaves, and high marketability (East-West Seed, 2024). However, despite these positive traits, the productivity of </w:t>
      </w:r>
      <w:proofErr w:type="spellStart"/>
      <w:r w:rsidRPr="00554630">
        <w:rPr>
          <w:rFonts w:ascii="Arial" w:hAnsi="Arial" w:cs="Arial"/>
        </w:rPr>
        <w:t>pechay</w:t>
      </w:r>
      <w:proofErr w:type="spellEnd"/>
      <w:r w:rsidRPr="00554630">
        <w:rPr>
          <w:rFonts w:ascii="Arial" w:hAnsi="Arial" w:cs="Arial"/>
        </w:rPr>
        <w:t xml:space="preserve"> remains highly susceptible to environmental stress—particularly waterlogging, which is a growing concern in flood-prone agricultural areas during the rainy season.</w:t>
      </w:r>
    </w:p>
    <w:p w14:paraId="63673137" w14:textId="77777777" w:rsidR="00554630" w:rsidRPr="00554630" w:rsidRDefault="00554630" w:rsidP="00554630">
      <w:pPr>
        <w:pStyle w:val="Body"/>
        <w:rPr>
          <w:rFonts w:ascii="Arial" w:hAnsi="Arial" w:cs="Arial"/>
        </w:rPr>
      </w:pPr>
      <w:r w:rsidRPr="00554630">
        <w:rPr>
          <w:rFonts w:ascii="Arial" w:hAnsi="Arial" w:cs="Arial"/>
        </w:rPr>
        <w:t>Waterlogging significantly restricts oxygen availability in the root zone, hindering root respiration, nutrient uptake, and overall plant development (Richmond, 2021; Herzog et al., 2016). In extreme cases, prolonged saturation of the root zone leads to stunted growth, wilting, and death. The effects of waterlogging are compounded by other climatic stressors such as high temperatures and erratic rainfall, conditions which are becoming more frequent due to climate change (IPCC, 2023; Lobell et al., 2011).</w:t>
      </w:r>
    </w:p>
    <w:p w14:paraId="08D7E9EB" w14:textId="77777777" w:rsidR="00554630" w:rsidRPr="00554630" w:rsidRDefault="00554630" w:rsidP="00554630">
      <w:pPr>
        <w:pStyle w:val="Body"/>
        <w:rPr>
          <w:rFonts w:ascii="Arial" w:hAnsi="Arial" w:cs="Arial"/>
        </w:rPr>
      </w:pPr>
      <w:r w:rsidRPr="00554630">
        <w:rPr>
          <w:rFonts w:ascii="Arial" w:hAnsi="Arial" w:cs="Arial"/>
        </w:rPr>
        <w:t xml:space="preserve">As weather patterns continue to shift, identifying vegetable crops with improved stress tolerance is critical to safeguarding food production systems. In the case of </w:t>
      </w:r>
      <w:proofErr w:type="spellStart"/>
      <w:r w:rsidRPr="00554630">
        <w:rPr>
          <w:rFonts w:ascii="Arial" w:hAnsi="Arial" w:cs="Arial"/>
        </w:rPr>
        <w:t>pechay</w:t>
      </w:r>
      <w:proofErr w:type="spellEnd"/>
      <w:r w:rsidRPr="00554630">
        <w:rPr>
          <w:rFonts w:ascii="Arial" w:hAnsi="Arial" w:cs="Arial"/>
        </w:rPr>
        <w:t>, determining which varieties can survive and thrive under transient or prolonged waterlogging can provide valuable insights for climate-resilient farming. Such knowledge will be essential in supporting smallholder farmers, especially those operating in low-lying areas where flooding is recurrent.</w:t>
      </w:r>
    </w:p>
    <w:p w14:paraId="5E35952A" w14:textId="77777777" w:rsidR="00554630" w:rsidRPr="00554630" w:rsidRDefault="00554630" w:rsidP="00554630">
      <w:pPr>
        <w:pStyle w:val="Body"/>
        <w:rPr>
          <w:rFonts w:ascii="Arial" w:hAnsi="Arial" w:cs="Arial"/>
        </w:rPr>
      </w:pPr>
      <w:r w:rsidRPr="00554630">
        <w:rPr>
          <w:rFonts w:ascii="Arial" w:hAnsi="Arial" w:cs="Arial"/>
        </w:rPr>
        <w:t>Moreover, this study aligns with Sustainable Development Goal 2 (Zero Hunger), which emphasizes sustainable agriculture, food security, and the development of crop varieties resilient to environmental stressors (UN, 2023). Promoting waterlogging-tolerant varieties contributes to continuous vegetable production, enhances income stability among farming communities, and strengthens local food systems.</w:t>
      </w:r>
    </w:p>
    <w:p w14:paraId="48A86052" w14:textId="77777777" w:rsidR="00554630" w:rsidRPr="00554630" w:rsidRDefault="00554630" w:rsidP="00554630">
      <w:pPr>
        <w:pStyle w:val="Body"/>
        <w:rPr>
          <w:rFonts w:ascii="Arial" w:hAnsi="Arial" w:cs="Arial"/>
        </w:rPr>
      </w:pPr>
      <w:r w:rsidRPr="00554630">
        <w:rPr>
          <w:rFonts w:ascii="Arial" w:hAnsi="Arial" w:cs="Arial"/>
        </w:rPr>
        <w:t>While Brassica rapa has been studied extensively for its adaptability and nutritional profile, limited research has focused on its physiological and morphological response to waterlogging stress under Philippine conditions. Thus, evaluating varietal response under such stress conditions is crucial for developing adaptive strategies in horticultural production systems.</w:t>
      </w:r>
    </w:p>
    <w:p w14:paraId="7E84117C" w14:textId="77777777" w:rsidR="00554630" w:rsidRPr="00083CFD" w:rsidRDefault="00554630" w:rsidP="00554630">
      <w:pPr>
        <w:pStyle w:val="Body"/>
        <w:rPr>
          <w:rFonts w:ascii="Arial" w:hAnsi="Arial" w:cs="Arial"/>
          <w:b/>
          <w:bCs/>
        </w:rPr>
      </w:pPr>
      <w:r w:rsidRPr="00083CFD">
        <w:rPr>
          <w:rFonts w:ascii="Arial" w:hAnsi="Arial" w:cs="Arial"/>
          <w:b/>
          <w:bCs/>
        </w:rPr>
        <w:lastRenderedPageBreak/>
        <w:t>Objectives of the Study</w:t>
      </w:r>
    </w:p>
    <w:p w14:paraId="2B9FD13D" w14:textId="77777777" w:rsidR="00554630" w:rsidRPr="00554630" w:rsidRDefault="00554630" w:rsidP="00554630">
      <w:pPr>
        <w:pStyle w:val="Body"/>
        <w:rPr>
          <w:rFonts w:ascii="Arial" w:hAnsi="Arial" w:cs="Arial"/>
        </w:rPr>
      </w:pPr>
      <w:r w:rsidRPr="00554630">
        <w:rPr>
          <w:rFonts w:ascii="Arial" w:hAnsi="Arial" w:cs="Arial"/>
        </w:rPr>
        <w:t xml:space="preserve">This study aimed to determine the response of </w:t>
      </w:r>
      <w:proofErr w:type="spellStart"/>
      <w:r w:rsidRPr="00554630">
        <w:rPr>
          <w:rFonts w:ascii="Arial" w:hAnsi="Arial" w:cs="Arial"/>
        </w:rPr>
        <w:t>pechay</w:t>
      </w:r>
      <w:proofErr w:type="spellEnd"/>
      <w:r w:rsidRPr="00554630">
        <w:rPr>
          <w:rFonts w:ascii="Arial" w:hAnsi="Arial" w:cs="Arial"/>
        </w:rPr>
        <w:t xml:space="preserve"> (Brassica </w:t>
      </w:r>
      <w:proofErr w:type="spellStart"/>
      <w:r w:rsidRPr="00554630">
        <w:rPr>
          <w:rFonts w:ascii="Arial" w:hAnsi="Arial" w:cs="Arial"/>
        </w:rPr>
        <w:t>rapa</w:t>
      </w:r>
      <w:proofErr w:type="spellEnd"/>
      <w:r w:rsidRPr="00554630">
        <w:rPr>
          <w:rFonts w:ascii="Arial" w:hAnsi="Arial" w:cs="Arial"/>
        </w:rPr>
        <w:t xml:space="preserve"> L.) varieties to waterlogging conditions. Specifically, it sought to:</w:t>
      </w:r>
    </w:p>
    <w:p w14:paraId="2D2AC922" w14:textId="77777777" w:rsidR="00554630" w:rsidRPr="00554630" w:rsidRDefault="00554630" w:rsidP="00253948">
      <w:pPr>
        <w:pStyle w:val="Body"/>
        <w:spacing w:after="0"/>
        <w:rPr>
          <w:rFonts w:ascii="Arial" w:hAnsi="Arial" w:cs="Arial"/>
        </w:rPr>
      </w:pPr>
      <w:r w:rsidRPr="00554630">
        <w:rPr>
          <w:rFonts w:ascii="Arial" w:hAnsi="Arial" w:cs="Arial"/>
        </w:rPr>
        <w:t>1.</w:t>
      </w:r>
      <w:r w:rsidRPr="00554630">
        <w:rPr>
          <w:rFonts w:ascii="Arial" w:hAnsi="Arial" w:cs="Arial"/>
        </w:rPr>
        <w:tab/>
        <w:t xml:space="preserve">Evaluate the growth performance of </w:t>
      </w:r>
      <w:proofErr w:type="spellStart"/>
      <w:r w:rsidRPr="00554630">
        <w:rPr>
          <w:rFonts w:ascii="Arial" w:hAnsi="Arial" w:cs="Arial"/>
        </w:rPr>
        <w:t>pechay</w:t>
      </w:r>
      <w:proofErr w:type="spellEnd"/>
      <w:r w:rsidRPr="00554630">
        <w:rPr>
          <w:rFonts w:ascii="Arial" w:hAnsi="Arial" w:cs="Arial"/>
        </w:rPr>
        <w:t xml:space="preserve"> varieties under waterlogged and non-waterlogged conditions;</w:t>
      </w:r>
    </w:p>
    <w:p w14:paraId="5D72EB20" w14:textId="77777777" w:rsidR="00554630" w:rsidRPr="00554630" w:rsidRDefault="00554630" w:rsidP="00253948">
      <w:pPr>
        <w:pStyle w:val="Body"/>
        <w:spacing w:after="0"/>
        <w:rPr>
          <w:rFonts w:ascii="Arial" w:hAnsi="Arial" w:cs="Arial"/>
        </w:rPr>
      </w:pPr>
      <w:r w:rsidRPr="00554630">
        <w:rPr>
          <w:rFonts w:ascii="Arial" w:hAnsi="Arial" w:cs="Arial"/>
        </w:rPr>
        <w:t>2.</w:t>
      </w:r>
      <w:r w:rsidRPr="00554630">
        <w:rPr>
          <w:rFonts w:ascii="Arial" w:hAnsi="Arial" w:cs="Arial"/>
        </w:rPr>
        <w:tab/>
        <w:t xml:space="preserve">Identify which </w:t>
      </w:r>
      <w:proofErr w:type="spellStart"/>
      <w:r w:rsidRPr="00554630">
        <w:rPr>
          <w:rFonts w:ascii="Arial" w:hAnsi="Arial" w:cs="Arial"/>
        </w:rPr>
        <w:t>pechay</w:t>
      </w:r>
      <w:proofErr w:type="spellEnd"/>
      <w:r w:rsidRPr="00554630">
        <w:rPr>
          <w:rFonts w:ascii="Arial" w:hAnsi="Arial" w:cs="Arial"/>
        </w:rPr>
        <w:t xml:space="preserve"> varieties exhibit the best tolerance to waterlogging stress;</w:t>
      </w:r>
    </w:p>
    <w:p w14:paraId="05BE0956" w14:textId="77777777" w:rsidR="00253948" w:rsidRDefault="00554630" w:rsidP="00253948">
      <w:pPr>
        <w:pStyle w:val="Body"/>
        <w:spacing w:after="0"/>
        <w:rPr>
          <w:rFonts w:ascii="Arial" w:hAnsi="Arial" w:cs="Arial"/>
        </w:rPr>
      </w:pPr>
      <w:r w:rsidRPr="00554630">
        <w:rPr>
          <w:rFonts w:ascii="Arial" w:hAnsi="Arial" w:cs="Arial"/>
        </w:rPr>
        <w:t>3.</w:t>
      </w:r>
      <w:r w:rsidRPr="00554630">
        <w:rPr>
          <w:rFonts w:ascii="Arial" w:hAnsi="Arial" w:cs="Arial"/>
        </w:rPr>
        <w:tab/>
        <w:t xml:space="preserve">Determine the maximum duration of waterlogging each variety can tolerate without significant detrimental effects; </w:t>
      </w:r>
      <w:r w:rsidR="00253948">
        <w:rPr>
          <w:rFonts w:ascii="Arial" w:hAnsi="Arial" w:cs="Arial"/>
        </w:rPr>
        <w:t xml:space="preserve">     </w:t>
      </w:r>
    </w:p>
    <w:p w14:paraId="1CB3194C" w14:textId="726A1D5E" w:rsidR="00554630" w:rsidRPr="00554630" w:rsidRDefault="00253948" w:rsidP="00253948">
      <w:pPr>
        <w:pStyle w:val="Body"/>
        <w:spacing w:after="0"/>
        <w:rPr>
          <w:rFonts w:ascii="Arial" w:hAnsi="Arial" w:cs="Arial"/>
        </w:rPr>
      </w:pPr>
      <w:r>
        <w:rPr>
          <w:rFonts w:ascii="Arial" w:hAnsi="Arial" w:cs="Arial"/>
        </w:rPr>
        <w:t xml:space="preserve">              </w:t>
      </w:r>
      <w:r w:rsidR="00554630" w:rsidRPr="00554630">
        <w:rPr>
          <w:rFonts w:ascii="Arial" w:hAnsi="Arial" w:cs="Arial"/>
        </w:rPr>
        <w:t>and</w:t>
      </w:r>
    </w:p>
    <w:p w14:paraId="625CB845" w14:textId="1DDE36F4" w:rsidR="00790ADA" w:rsidRDefault="00554630" w:rsidP="00253948">
      <w:pPr>
        <w:pStyle w:val="Body"/>
        <w:spacing w:after="0"/>
        <w:rPr>
          <w:rFonts w:ascii="Arial" w:hAnsi="Arial" w:cs="Arial"/>
        </w:rPr>
      </w:pPr>
      <w:r w:rsidRPr="00554630">
        <w:rPr>
          <w:rFonts w:ascii="Arial" w:hAnsi="Arial" w:cs="Arial"/>
        </w:rPr>
        <w:t>4.</w:t>
      </w:r>
      <w:r w:rsidRPr="00554630">
        <w:rPr>
          <w:rFonts w:ascii="Arial" w:hAnsi="Arial" w:cs="Arial"/>
        </w:rPr>
        <w:tab/>
        <w:t xml:space="preserve">Analyze the interaction between </w:t>
      </w:r>
      <w:proofErr w:type="spellStart"/>
      <w:r w:rsidRPr="00554630">
        <w:rPr>
          <w:rFonts w:ascii="Arial" w:hAnsi="Arial" w:cs="Arial"/>
        </w:rPr>
        <w:t>pechay</w:t>
      </w:r>
      <w:proofErr w:type="spellEnd"/>
      <w:r w:rsidRPr="00554630">
        <w:rPr>
          <w:rFonts w:ascii="Arial" w:hAnsi="Arial" w:cs="Arial"/>
        </w:rPr>
        <w:t xml:space="preserve"> varieties and waterlogging duration in relation to survival rate.</w:t>
      </w:r>
    </w:p>
    <w:p w14:paraId="6CF89A19" w14:textId="77777777" w:rsidR="00253948" w:rsidRPr="00FB3A86" w:rsidRDefault="00253948" w:rsidP="00253948">
      <w:pPr>
        <w:pStyle w:val="Body"/>
        <w:spacing w:after="0"/>
        <w:rPr>
          <w:rFonts w:ascii="Arial" w:hAnsi="Arial" w:cs="Arial"/>
        </w:rPr>
      </w:pPr>
    </w:p>
    <w:p w14:paraId="5E4BB0D1" w14:textId="0CF42B55"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0B23822" w14:textId="77777777" w:rsidR="00253948" w:rsidRPr="00FB3A86" w:rsidRDefault="00253948" w:rsidP="00253948">
      <w:pPr>
        <w:pStyle w:val="AbstHead"/>
        <w:spacing w:after="0"/>
        <w:jc w:val="center"/>
        <w:rPr>
          <w:rFonts w:ascii="Arial" w:hAnsi="Arial" w:cs="Arial"/>
        </w:rPr>
      </w:pPr>
    </w:p>
    <w:p w14:paraId="76CCE799" w14:textId="77777777" w:rsidR="00083CFD" w:rsidRPr="00083CFD" w:rsidRDefault="00083CFD" w:rsidP="00083CFD">
      <w:pPr>
        <w:pStyle w:val="Body"/>
        <w:rPr>
          <w:rFonts w:ascii="Arial" w:hAnsi="Arial" w:cs="Arial"/>
        </w:rPr>
      </w:pPr>
      <w:r w:rsidRPr="00083CFD">
        <w:rPr>
          <w:rFonts w:ascii="Arial" w:hAnsi="Arial" w:cs="Arial"/>
        </w:rPr>
        <w:t xml:space="preserve">The study was conducted at </w:t>
      </w:r>
      <w:proofErr w:type="spellStart"/>
      <w:r w:rsidRPr="00083CFD">
        <w:rPr>
          <w:rFonts w:ascii="Arial" w:hAnsi="Arial" w:cs="Arial"/>
        </w:rPr>
        <w:t>Casiaman</w:t>
      </w:r>
      <w:proofErr w:type="spellEnd"/>
      <w:r w:rsidRPr="00083CFD">
        <w:rPr>
          <w:rFonts w:ascii="Arial" w:hAnsi="Arial" w:cs="Arial"/>
        </w:rPr>
        <w:t xml:space="preserve">, </w:t>
      </w:r>
      <w:proofErr w:type="spellStart"/>
      <w:r w:rsidRPr="00083CFD">
        <w:rPr>
          <w:rFonts w:ascii="Arial" w:hAnsi="Arial" w:cs="Arial"/>
        </w:rPr>
        <w:t>Bacnotan</w:t>
      </w:r>
      <w:proofErr w:type="spellEnd"/>
      <w:r w:rsidRPr="00083CFD">
        <w:rPr>
          <w:rFonts w:ascii="Arial" w:hAnsi="Arial" w:cs="Arial"/>
        </w:rPr>
        <w:t xml:space="preserve">, La Union.  It is situated in the northwestern part of </w:t>
      </w:r>
      <w:proofErr w:type="spellStart"/>
      <w:r w:rsidRPr="00083CFD">
        <w:rPr>
          <w:rFonts w:ascii="Arial" w:hAnsi="Arial" w:cs="Arial"/>
        </w:rPr>
        <w:t>Bacnotan</w:t>
      </w:r>
      <w:proofErr w:type="spellEnd"/>
      <w:r w:rsidRPr="00083CFD">
        <w:rPr>
          <w:rFonts w:ascii="Arial" w:hAnsi="Arial" w:cs="Arial"/>
        </w:rPr>
        <w:t>, La Union. The area experiences a Type I climate under the modified Corona’s Climate Classification with distinct wet and dry seasons.  The dry season typically from November to April while the wet season occurs from May to October, influenced by the southwestern monsoon (</w:t>
      </w:r>
      <w:proofErr w:type="spellStart"/>
      <w:r w:rsidRPr="00083CFD">
        <w:rPr>
          <w:rFonts w:ascii="Arial" w:hAnsi="Arial" w:cs="Arial"/>
        </w:rPr>
        <w:t>Habagat</w:t>
      </w:r>
      <w:proofErr w:type="spellEnd"/>
      <w:r w:rsidRPr="00083CFD">
        <w:rPr>
          <w:rFonts w:ascii="Arial" w:hAnsi="Arial" w:cs="Arial"/>
        </w:rPr>
        <w:t xml:space="preserve">) (PAGASA, 2020). </w:t>
      </w:r>
    </w:p>
    <w:p w14:paraId="2DDDDC88" w14:textId="77777777" w:rsidR="00083CFD" w:rsidRPr="00083CFD" w:rsidRDefault="00083CFD" w:rsidP="00083CFD">
      <w:pPr>
        <w:pStyle w:val="Body"/>
        <w:rPr>
          <w:rFonts w:ascii="Arial" w:hAnsi="Arial" w:cs="Arial"/>
        </w:rPr>
      </w:pPr>
      <w:r w:rsidRPr="00083CFD">
        <w:rPr>
          <w:rFonts w:ascii="Arial" w:hAnsi="Arial" w:cs="Arial"/>
        </w:rPr>
        <w:t xml:space="preserve">The study was laid out following a 2x4 factorial experiment in Split Plot Design with three blocks and 6 sample plants per treatment per block. </w:t>
      </w:r>
    </w:p>
    <w:p w14:paraId="3362224D" w14:textId="77777777" w:rsidR="00083CFD" w:rsidRPr="00083CFD" w:rsidRDefault="00083CFD" w:rsidP="00083CFD">
      <w:pPr>
        <w:pStyle w:val="Body"/>
        <w:rPr>
          <w:rFonts w:ascii="Arial" w:hAnsi="Arial" w:cs="Arial"/>
        </w:rPr>
      </w:pPr>
      <w:r w:rsidRPr="00083CFD">
        <w:rPr>
          <w:rFonts w:ascii="Arial" w:hAnsi="Arial" w:cs="Arial"/>
        </w:rPr>
        <w:t>The treatments used in the study are as follows:</w:t>
      </w:r>
    </w:p>
    <w:p w14:paraId="56CAB618" w14:textId="77777777" w:rsidR="00083CFD" w:rsidRPr="00083CFD" w:rsidRDefault="00083CFD" w:rsidP="00083CFD">
      <w:pPr>
        <w:pStyle w:val="Body"/>
        <w:rPr>
          <w:rFonts w:ascii="Arial" w:hAnsi="Arial" w:cs="Arial"/>
        </w:rPr>
      </w:pPr>
      <w:r w:rsidRPr="00083CFD">
        <w:rPr>
          <w:rFonts w:ascii="Arial" w:hAnsi="Arial" w:cs="Arial"/>
        </w:rPr>
        <w:t xml:space="preserve">Main plot - Varieties:                    </w:t>
      </w:r>
      <w:r w:rsidRPr="00083CFD">
        <w:rPr>
          <w:rFonts w:ascii="Arial" w:hAnsi="Arial" w:cs="Arial"/>
        </w:rPr>
        <w:tab/>
        <w:t>Sub plot - Submersion Period:</w:t>
      </w:r>
    </w:p>
    <w:p w14:paraId="39B8938E" w14:textId="5AA16196" w:rsidR="00083CFD" w:rsidRPr="00083CFD" w:rsidRDefault="00083CFD" w:rsidP="00083CFD">
      <w:pPr>
        <w:pStyle w:val="Body"/>
        <w:rPr>
          <w:rFonts w:ascii="Arial" w:hAnsi="Arial" w:cs="Arial"/>
          <w:lang w:val="it-IT"/>
        </w:rPr>
      </w:pPr>
      <w:r w:rsidRPr="00083CFD">
        <w:rPr>
          <w:rFonts w:ascii="Arial" w:hAnsi="Arial" w:cs="Arial"/>
          <w:lang w:val="it-IT"/>
        </w:rPr>
        <w:t xml:space="preserve">V1– Pavo                                           </w:t>
      </w:r>
      <w:r w:rsidRPr="00083CFD">
        <w:rPr>
          <w:rFonts w:ascii="Arial" w:hAnsi="Arial" w:cs="Arial"/>
          <w:lang w:val="it-IT"/>
        </w:rPr>
        <w:tab/>
      </w:r>
      <w:r w:rsidR="00253948">
        <w:rPr>
          <w:rFonts w:ascii="Arial" w:hAnsi="Arial" w:cs="Arial"/>
          <w:lang w:val="it-IT"/>
        </w:rPr>
        <w:t xml:space="preserve">  </w:t>
      </w:r>
      <w:r w:rsidRPr="00083CFD">
        <w:rPr>
          <w:rFonts w:ascii="Arial" w:hAnsi="Arial" w:cs="Arial"/>
          <w:lang w:val="it-IT"/>
        </w:rPr>
        <w:t>B1 – Control (No Submersion)</w:t>
      </w:r>
    </w:p>
    <w:p w14:paraId="79018A72" w14:textId="2BEBEFB8" w:rsidR="00083CFD" w:rsidRPr="00083CFD" w:rsidRDefault="00083CFD" w:rsidP="00083CFD">
      <w:pPr>
        <w:pStyle w:val="Body"/>
        <w:rPr>
          <w:rFonts w:ascii="Arial" w:hAnsi="Arial" w:cs="Arial"/>
        </w:rPr>
      </w:pPr>
      <w:r w:rsidRPr="00083CFD">
        <w:rPr>
          <w:rFonts w:ascii="Arial" w:hAnsi="Arial" w:cs="Arial"/>
        </w:rPr>
        <w:t>V2- Pac Choi</w:t>
      </w:r>
      <w:r w:rsidRPr="00083CFD">
        <w:rPr>
          <w:rFonts w:ascii="Arial" w:hAnsi="Arial" w:cs="Arial"/>
        </w:rPr>
        <w:tab/>
        <w:t xml:space="preserve">                              </w:t>
      </w:r>
      <w:r w:rsidR="00253948">
        <w:rPr>
          <w:rFonts w:ascii="Arial" w:hAnsi="Arial" w:cs="Arial"/>
        </w:rPr>
        <w:t xml:space="preserve">         </w:t>
      </w:r>
      <w:r w:rsidRPr="00083CFD">
        <w:rPr>
          <w:rFonts w:ascii="Arial" w:hAnsi="Arial" w:cs="Arial"/>
        </w:rPr>
        <w:t xml:space="preserve">  B2 – 24   Hours                                  </w:t>
      </w:r>
    </w:p>
    <w:p w14:paraId="4B292BC7" w14:textId="77777777" w:rsidR="00083CFD" w:rsidRPr="00083CFD" w:rsidRDefault="00083CFD" w:rsidP="00083CFD">
      <w:pPr>
        <w:pStyle w:val="Body"/>
        <w:rPr>
          <w:rFonts w:ascii="Arial" w:hAnsi="Arial" w:cs="Arial"/>
        </w:rPr>
      </w:pPr>
      <w:r w:rsidRPr="00083CFD">
        <w:rPr>
          <w:rFonts w:ascii="Arial" w:hAnsi="Arial" w:cs="Arial"/>
        </w:rPr>
        <w:tab/>
        <w:t xml:space="preserve">                                                      B3 – 48 Hours</w:t>
      </w:r>
    </w:p>
    <w:p w14:paraId="05814E95" w14:textId="77777777" w:rsidR="00083CFD" w:rsidRPr="00083CFD" w:rsidRDefault="00083CFD" w:rsidP="00083CFD">
      <w:pPr>
        <w:pStyle w:val="Body"/>
        <w:rPr>
          <w:rFonts w:ascii="Arial" w:hAnsi="Arial" w:cs="Arial"/>
        </w:rPr>
      </w:pPr>
      <w:r w:rsidRPr="00083CFD">
        <w:rPr>
          <w:rFonts w:ascii="Arial" w:hAnsi="Arial" w:cs="Arial"/>
        </w:rPr>
        <w:tab/>
        <w:t xml:space="preserve">                                                      B4 – 72 Hours</w:t>
      </w:r>
    </w:p>
    <w:p w14:paraId="4CB06313" w14:textId="77777777" w:rsidR="00083CFD" w:rsidRPr="00083CFD" w:rsidRDefault="00083CFD" w:rsidP="00083CFD">
      <w:pPr>
        <w:pStyle w:val="Body"/>
        <w:rPr>
          <w:rFonts w:ascii="Arial" w:hAnsi="Arial" w:cs="Arial"/>
          <w:b/>
          <w:bCs/>
        </w:rPr>
      </w:pPr>
      <w:r w:rsidRPr="00083CFD">
        <w:rPr>
          <w:rFonts w:ascii="Arial" w:hAnsi="Arial" w:cs="Arial"/>
          <w:b/>
          <w:bCs/>
        </w:rPr>
        <w:t xml:space="preserve">Seed Sowing and Seedling Preparation </w:t>
      </w:r>
    </w:p>
    <w:p w14:paraId="25D5AB8B" w14:textId="77777777" w:rsidR="00083CFD" w:rsidRPr="00083CFD" w:rsidRDefault="00083CFD" w:rsidP="00083CFD">
      <w:pPr>
        <w:pStyle w:val="Body"/>
        <w:rPr>
          <w:rFonts w:ascii="Arial" w:hAnsi="Arial" w:cs="Arial"/>
        </w:rPr>
      </w:pPr>
      <w:r w:rsidRPr="00083CFD">
        <w:rPr>
          <w:rFonts w:ascii="Arial" w:hAnsi="Arial" w:cs="Arial"/>
        </w:rPr>
        <w:t xml:space="preserve">Two to three (2–3) seeds of each </w:t>
      </w:r>
      <w:proofErr w:type="spellStart"/>
      <w:r w:rsidRPr="00083CFD">
        <w:rPr>
          <w:rFonts w:ascii="Arial" w:hAnsi="Arial" w:cs="Arial"/>
        </w:rPr>
        <w:t>pechay</w:t>
      </w:r>
      <w:proofErr w:type="spellEnd"/>
      <w:r w:rsidRPr="00083CFD">
        <w:rPr>
          <w:rFonts w:ascii="Arial" w:hAnsi="Arial" w:cs="Arial"/>
        </w:rPr>
        <w:t xml:space="preserve"> variety were sown per hole in seedling trays filled with fine, ordinary garden soil. The trays were placed under nursery conditions. After two (2) weeks, healthy and uniform seedlings were selected and transplanted into individual plastic pots measuring 4 x 6 inches. The seedlings were maintained under the nursery for another two (2) weeks to ensure proper establishment before treatment application. </w:t>
      </w:r>
    </w:p>
    <w:p w14:paraId="1122AC98" w14:textId="77777777" w:rsidR="00083CFD" w:rsidRPr="00083CFD" w:rsidRDefault="00083CFD" w:rsidP="00083CFD">
      <w:pPr>
        <w:pStyle w:val="Body"/>
        <w:rPr>
          <w:rFonts w:ascii="Arial" w:hAnsi="Arial" w:cs="Arial"/>
          <w:b/>
          <w:bCs/>
        </w:rPr>
      </w:pPr>
      <w:r w:rsidRPr="00083CFD">
        <w:rPr>
          <w:rFonts w:ascii="Arial" w:hAnsi="Arial" w:cs="Arial"/>
          <w:b/>
          <w:bCs/>
        </w:rPr>
        <w:t xml:space="preserve">Waterlogging Treatments </w:t>
      </w:r>
    </w:p>
    <w:p w14:paraId="7A44066D" w14:textId="3FF3E327" w:rsidR="00083CFD" w:rsidRPr="00083CFD" w:rsidRDefault="00083CFD" w:rsidP="00083CFD">
      <w:pPr>
        <w:pStyle w:val="Body"/>
        <w:rPr>
          <w:rFonts w:ascii="Arial" w:hAnsi="Arial" w:cs="Arial"/>
        </w:rPr>
      </w:pPr>
      <w:r w:rsidRPr="00083CFD">
        <w:rPr>
          <w:rFonts w:ascii="Arial" w:hAnsi="Arial" w:cs="Arial"/>
        </w:rPr>
        <w:t xml:space="preserve">Waterlogging condition was simulated using </w:t>
      </w:r>
      <w:proofErr w:type="spellStart"/>
      <w:r w:rsidRPr="00083CFD">
        <w:rPr>
          <w:rFonts w:ascii="Arial" w:hAnsi="Arial" w:cs="Arial"/>
        </w:rPr>
        <w:t>lona</w:t>
      </w:r>
      <w:proofErr w:type="spellEnd"/>
      <w:r w:rsidRPr="00083CFD">
        <w:rPr>
          <w:rFonts w:ascii="Arial" w:hAnsi="Arial" w:cs="Arial"/>
        </w:rPr>
        <w:t xml:space="preserve">-lined submersion ponds. Each potted </w:t>
      </w:r>
      <w:proofErr w:type="gramStart"/>
      <w:r w:rsidRPr="00083CFD">
        <w:rPr>
          <w:rFonts w:ascii="Arial" w:hAnsi="Arial" w:cs="Arial"/>
        </w:rPr>
        <w:t>seedlings</w:t>
      </w:r>
      <w:proofErr w:type="gramEnd"/>
      <w:r w:rsidRPr="00083CFD">
        <w:rPr>
          <w:rFonts w:ascii="Arial" w:hAnsi="Arial" w:cs="Arial"/>
        </w:rPr>
        <w:t xml:space="preserve"> were carefully submerged in water, ensuring that the entire shoot is covered with water without submerging the leaves entirely. Water levels were regularly checked and adjusted to ensure they consistently reached the plant shoot level across all treatments.</w:t>
      </w:r>
    </w:p>
    <w:p w14:paraId="1EB7812E" w14:textId="77777777" w:rsidR="00083CFD" w:rsidRPr="00083CFD" w:rsidRDefault="00083CFD" w:rsidP="00083CFD">
      <w:pPr>
        <w:pStyle w:val="Body"/>
        <w:rPr>
          <w:rFonts w:ascii="Arial" w:hAnsi="Arial" w:cs="Arial"/>
        </w:rPr>
      </w:pPr>
      <w:r w:rsidRPr="00083CFD">
        <w:rPr>
          <w:rFonts w:ascii="Arial" w:hAnsi="Arial" w:cs="Arial"/>
        </w:rPr>
        <w:t>The experiment followed a staggered submersion schedule to ensure that all treatments concluded simultaneously. Plants in Subplot B4, assigned to the 72-hour submersion treatment, were submerged first. After 24 hours, plants in Subplot B3, designated for 48-hour submersion, were submerged. On the third day, plants in Subplot B2 underwent the 24-hour submersion treatment. Meanwhile, Subplot B1 served as the control group; these plants were not submerged but were placed adjacent to the submersion ponds to ensure they were exposed to similar environmental conditions as the submerged treatments.</w:t>
      </w:r>
    </w:p>
    <w:p w14:paraId="00E385AD" w14:textId="77777777" w:rsidR="00083CFD" w:rsidRPr="00083CFD" w:rsidRDefault="00083CFD" w:rsidP="00083CFD">
      <w:pPr>
        <w:pStyle w:val="Body"/>
        <w:rPr>
          <w:rFonts w:ascii="Arial" w:hAnsi="Arial" w:cs="Arial"/>
        </w:rPr>
      </w:pPr>
      <w:r w:rsidRPr="00083CFD">
        <w:rPr>
          <w:rFonts w:ascii="Arial" w:hAnsi="Arial" w:cs="Arial"/>
        </w:rPr>
        <w:t xml:space="preserve">After completing their designated submersion durations, plants from each subplot were removed from the </w:t>
      </w:r>
      <w:proofErr w:type="spellStart"/>
      <w:r w:rsidRPr="00083CFD">
        <w:rPr>
          <w:rFonts w:ascii="Arial" w:hAnsi="Arial" w:cs="Arial"/>
        </w:rPr>
        <w:t>lona</w:t>
      </w:r>
      <w:proofErr w:type="spellEnd"/>
      <w:r w:rsidRPr="00083CFD">
        <w:rPr>
          <w:rFonts w:ascii="Arial" w:hAnsi="Arial" w:cs="Arial"/>
        </w:rPr>
        <w:t xml:space="preserve"> ponds and returned to the observation area beside the pond. The plants were arranged following their original positions during the submersion process to maintain uniform exposure and arrangement throughout the observation period. </w:t>
      </w:r>
    </w:p>
    <w:p w14:paraId="495A4684" w14:textId="77777777" w:rsidR="00083CFD" w:rsidRDefault="00083CFD" w:rsidP="00083CFD">
      <w:pPr>
        <w:pStyle w:val="Body"/>
        <w:spacing w:after="0"/>
        <w:rPr>
          <w:rFonts w:ascii="Arial" w:hAnsi="Arial" w:cs="Arial"/>
        </w:rPr>
      </w:pPr>
      <w:r w:rsidRPr="00083CFD">
        <w:rPr>
          <w:rFonts w:ascii="Arial" w:hAnsi="Arial" w:cs="Arial"/>
        </w:rPr>
        <w:lastRenderedPageBreak/>
        <w:t xml:space="preserve">For the post-submersion observation, all potted plants were observed daily for a 3 days period. Parameters such as plant wilting, recovery, new leaf formation, and signs of stress or mortality were recorded. This observation period assessed the short-term impact of waterlogging on </w:t>
      </w:r>
      <w:proofErr w:type="gramStart"/>
      <w:r w:rsidRPr="00083CFD">
        <w:rPr>
          <w:rFonts w:ascii="Arial" w:hAnsi="Arial" w:cs="Arial"/>
        </w:rPr>
        <w:t>plant  survival</w:t>
      </w:r>
      <w:proofErr w:type="gramEnd"/>
      <w:r w:rsidRPr="00083CFD">
        <w:rPr>
          <w:rFonts w:ascii="Arial" w:hAnsi="Arial" w:cs="Arial"/>
        </w:rPr>
        <w:t xml:space="preserve">. </w:t>
      </w:r>
    </w:p>
    <w:p w14:paraId="3776B4AB" w14:textId="77777777" w:rsidR="00083CFD" w:rsidRDefault="00083CFD" w:rsidP="00441B6F">
      <w:pPr>
        <w:pStyle w:val="Head1"/>
        <w:spacing w:after="0"/>
        <w:jc w:val="both"/>
        <w:rPr>
          <w:rFonts w:ascii="Arial" w:hAnsi="Arial" w:cs="Arial"/>
        </w:rPr>
      </w:pPr>
    </w:p>
    <w:p w14:paraId="7E2D84B6" w14:textId="5E277761" w:rsidR="00083CFD" w:rsidRDefault="00083CFD" w:rsidP="00253948">
      <w:pPr>
        <w:pStyle w:val="Head1"/>
        <w:spacing w:after="0"/>
        <w:jc w:val="center"/>
        <w:rPr>
          <w:rFonts w:ascii="Arial" w:hAnsi="Arial" w:cs="Arial"/>
        </w:rPr>
      </w:pPr>
      <w:r w:rsidRPr="00A66E32">
        <w:rPr>
          <w:rFonts w:ascii="Times New Roman" w:hAnsi="Times New Roman"/>
          <w:noProof/>
          <w:color w:val="000000" w:themeColor="text1"/>
        </w:rPr>
        <w:drawing>
          <wp:inline distT="0" distB="0" distL="0" distR="0" wp14:anchorId="2B1BB3A9" wp14:editId="60C811B1">
            <wp:extent cx="5152293" cy="3519805"/>
            <wp:effectExtent l="0" t="0" r="0" b="4445"/>
            <wp:docPr id="26" name="Picture 26" descr="A person watering plants in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atering plants in a pond&#10;&#10;Description automatically generated"/>
                    <pic:cNvPicPr/>
                  </pic:nvPicPr>
                  <pic:blipFill>
                    <a:blip r:embed="rId8"/>
                    <a:stretch>
                      <a:fillRect/>
                    </a:stretch>
                  </pic:blipFill>
                  <pic:spPr>
                    <a:xfrm>
                      <a:off x="0" y="0"/>
                      <a:ext cx="5200327" cy="3552620"/>
                    </a:xfrm>
                    <a:prstGeom prst="rect">
                      <a:avLst/>
                    </a:prstGeom>
                  </pic:spPr>
                </pic:pic>
              </a:graphicData>
            </a:graphic>
          </wp:inline>
        </w:drawing>
      </w:r>
    </w:p>
    <w:p w14:paraId="2098D062" w14:textId="77777777" w:rsidR="00083CFD" w:rsidRPr="00253948" w:rsidRDefault="00083CFD" w:rsidP="00083CFD">
      <w:pPr>
        <w:pStyle w:val="Head1"/>
        <w:spacing w:after="0"/>
        <w:jc w:val="center"/>
        <w:rPr>
          <w:rFonts w:ascii="Arial" w:hAnsi="Arial" w:cs="Arial"/>
          <w:b w:val="0"/>
          <w:bCs/>
          <w:sz w:val="20"/>
        </w:rPr>
      </w:pPr>
      <w:r w:rsidRPr="00253948">
        <w:rPr>
          <w:rFonts w:ascii="Arial" w:hAnsi="Arial" w:cs="Arial"/>
          <w:b w:val="0"/>
          <w:bCs/>
          <w:sz w:val="20"/>
        </w:rPr>
        <w:t>Plate 1. Submersion Period</w:t>
      </w:r>
    </w:p>
    <w:p w14:paraId="4E1FB270" w14:textId="5A198890" w:rsidR="00083CFD" w:rsidRPr="00253948" w:rsidRDefault="00083CFD" w:rsidP="00441B6F">
      <w:pPr>
        <w:pStyle w:val="Head1"/>
        <w:spacing w:after="0"/>
        <w:jc w:val="both"/>
        <w:rPr>
          <w:rFonts w:ascii="Arial" w:hAnsi="Arial" w:cs="Arial"/>
          <w:b w:val="0"/>
          <w:bCs/>
          <w:sz w:val="20"/>
        </w:rPr>
      </w:pPr>
      <w:r w:rsidRPr="00253948">
        <w:rPr>
          <w:rFonts w:ascii="Arial" w:hAnsi="Arial" w:cs="Arial"/>
          <w:b w:val="0"/>
          <w:bCs/>
          <w:sz w:val="20"/>
        </w:rPr>
        <w:t xml:space="preserve"> </w:t>
      </w:r>
    </w:p>
    <w:p w14:paraId="6DD2C020" w14:textId="7C7DB8F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2175A6" w14:textId="77777777" w:rsidR="00790ADA" w:rsidRPr="00FB3A86" w:rsidRDefault="00790ADA" w:rsidP="00441B6F">
      <w:pPr>
        <w:pStyle w:val="Head1"/>
        <w:spacing w:after="0"/>
        <w:jc w:val="both"/>
        <w:rPr>
          <w:rFonts w:ascii="Arial" w:hAnsi="Arial" w:cs="Arial"/>
        </w:rPr>
      </w:pPr>
    </w:p>
    <w:p w14:paraId="49AC4DD3" w14:textId="77777777" w:rsidR="00083CFD" w:rsidRPr="00083CFD" w:rsidRDefault="00083CFD" w:rsidP="00083CFD">
      <w:pPr>
        <w:autoSpaceDE w:val="0"/>
        <w:autoSpaceDN w:val="0"/>
        <w:adjustRightInd w:val="0"/>
        <w:jc w:val="both"/>
        <w:rPr>
          <w:rFonts w:ascii="Arial" w:hAnsi="Arial" w:cs="Arial"/>
          <w:b/>
          <w:bCs/>
        </w:rPr>
      </w:pPr>
      <w:r w:rsidRPr="00083CFD">
        <w:rPr>
          <w:rFonts w:ascii="Arial" w:hAnsi="Arial" w:cs="Arial"/>
          <w:b/>
          <w:bCs/>
        </w:rPr>
        <w:t>Percentage Survival at Post Submersion Period</w:t>
      </w:r>
    </w:p>
    <w:p w14:paraId="72326E9B" w14:textId="77777777" w:rsidR="00083CFD" w:rsidRPr="00083CFD" w:rsidRDefault="00083CFD" w:rsidP="00083CFD">
      <w:pPr>
        <w:autoSpaceDE w:val="0"/>
        <w:autoSpaceDN w:val="0"/>
        <w:adjustRightInd w:val="0"/>
        <w:jc w:val="both"/>
        <w:rPr>
          <w:rFonts w:ascii="Arial" w:hAnsi="Arial" w:cs="Arial"/>
        </w:rPr>
      </w:pPr>
    </w:p>
    <w:p w14:paraId="13CA1577" w14:textId="30A80465" w:rsidR="00083CFD" w:rsidRPr="00083CFD" w:rsidRDefault="00083CFD" w:rsidP="00083CFD">
      <w:pPr>
        <w:autoSpaceDE w:val="0"/>
        <w:autoSpaceDN w:val="0"/>
        <w:adjustRightInd w:val="0"/>
        <w:jc w:val="both"/>
        <w:rPr>
          <w:rFonts w:ascii="Arial" w:hAnsi="Arial" w:cs="Arial"/>
        </w:rPr>
      </w:pPr>
      <w:r w:rsidRPr="00083CFD">
        <w:rPr>
          <w:rFonts w:ascii="Arial" w:hAnsi="Arial" w:cs="Arial"/>
        </w:rPr>
        <w:t>Table 1</w:t>
      </w:r>
      <w:r w:rsidR="005E2A32">
        <w:rPr>
          <w:rFonts w:ascii="Arial" w:hAnsi="Arial" w:cs="Arial"/>
        </w:rPr>
        <w:t>a</w:t>
      </w:r>
      <w:r w:rsidRPr="00083CFD">
        <w:rPr>
          <w:rFonts w:ascii="Arial" w:hAnsi="Arial" w:cs="Arial"/>
        </w:rPr>
        <w:t xml:space="preserve"> presents the percentage survival rate of </w:t>
      </w:r>
      <w:proofErr w:type="spellStart"/>
      <w:r w:rsidRPr="00083CFD">
        <w:rPr>
          <w:rFonts w:ascii="Arial" w:hAnsi="Arial" w:cs="Arial"/>
        </w:rPr>
        <w:t>pechay</w:t>
      </w:r>
      <w:proofErr w:type="spellEnd"/>
      <w:r w:rsidRPr="00083CFD">
        <w:rPr>
          <w:rFonts w:ascii="Arial" w:hAnsi="Arial" w:cs="Arial"/>
        </w:rPr>
        <w:t xml:space="preserve"> measured after the post-submersion period. It can be observed that all varieties exhibited high survival rates, ranging from 84.70% to 91.65%. Although slight numerical differences were recorded among the varieties, statistical analysis indicated that these differences were not significant. This result suggests that the </w:t>
      </w:r>
      <w:proofErr w:type="spellStart"/>
      <w:r w:rsidRPr="00083CFD">
        <w:rPr>
          <w:rFonts w:ascii="Arial" w:hAnsi="Arial" w:cs="Arial"/>
        </w:rPr>
        <w:t>pechay</w:t>
      </w:r>
      <w:proofErr w:type="spellEnd"/>
      <w:r w:rsidRPr="00083CFD">
        <w:rPr>
          <w:rFonts w:ascii="Arial" w:hAnsi="Arial" w:cs="Arial"/>
        </w:rPr>
        <w:t xml:space="preserve"> varieties used in the study possess inherent tolerance to temporary waterlogging, which is critical for survival under adverse soil moisture conditions.</w:t>
      </w:r>
    </w:p>
    <w:p w14:paraId="4AA63219" w14:textId="77777777" w:rsidR="00083CFD" w:rsidRPr="00083CFD" w:rsidRDefault="00083CFD" w:rsidP="00083CFD">
      <w:pPr>
        <w:autoSpaceDE w:val="0"/>
        <w:autoSpaceDN w:val="0"/>
        <w:adjustRightInd w:val="0"/>
        <w:jc w:val="both"/>
        <w:rPr>
          <w:rFonts w:ascii="Arial" w:hAnsi="Arial" w:cs="Arial"/>
        </w:rPr>
      </w:pPr>
    </w:p>
    <w:p w14:paraId="511CFBE6" w14:textId="64DCC7F0" w:rsidR="00927834" w:rsidRDefault="00083CFD" w:rsidP="00083CFD">
      <w:pPr>
        <w:autoSpaceDE w:val="0"/>
        <w:autoSpaceDN w:val="0"/>
        <w:adjustRightInd w:val="0"/>
        <w:jc w:val="both"/>
        <w:rPr>
          <w:rFonts w:ascii="Arial" w:hAnsi="Arial" w:cs="Arial"/>
        </w:rPr>
      </w:pPr>
      <w:r w:rsidRPr="00083CFD">
        <w:rPr>
          <w:rFonts w:ascii="Arial" w:hAnsi="Arial" w:cs="Arial"/>
        </w:rPr>
        <w:t xml:space="preserve">The high survival rates across varieties may be attributed to general characteristics such as robust root systems, capacity for anaerobic respiration, and morphological adaptations like thicker leaves or faster recovery growth (Setter &amp; Waters, 2003). These findings imply that varietal selection for </w:t>
      </w:r>
      <w:proofErr w:type="spellStart"/>
      <w:r w:rsidRPr="00083CFD">
        <w:rPr>
          <w:rFonts w:ascii="Arial" w:hAnsi="Arial" w:cs="Arial"/>
        </w:rPr>
        <w:t>pechay</w:t>
      </w:r>
      <w:proofErr w:type="spellEnd"/>
      <w:r w:rsidRPr="00083CFD">
        <w:rPr>
          <w:rFonts w:ascii="Arial" w:hAnsi="Arial" w:cs="Arial"/>
        </w:rPr>
        <w:t xml:space="preserve"> cultivation under intermittent flooding conditions may not need to heavily prioritize survival traits, as most commercial varieties show sufficient resilience. </w:t>
      </w:r>
    </w:p>
    <w:p w14:paraId="28FAB521" w14:textId="77777777" w:rsidR="00FF5D53" w:rsidRDefault="00FF5D53" w:rsidP="00083CFD">
      <w:pPr>
        <w:autoSpaceDE w:val="0"/>
        <w:autoSpaceDN w:val="0"/>
        <w:adjustRightInd w:val="0"/>
        <w:jc w:val="both"/>
        <w:rPr>
          <w:rFonts w:ascii="Arial" w:hAnsi="Arial" w:cs="Arial"/>
        </w:rPr>
      </w:pPr>
    </w:p>
    <w:p w14:paraId="53611317" w14:textId="77777777" w:rsidR="00FF5D53" w:rsidRDefault="00FF5D53" w:rsidP="00083CFD">
      <w:pPr>
        <w:autoSpaceDE w:val="0"/>
        <w:autoSpaceDN w:val="0"/>
        <w:adjustRightInd w:val="0"/>
        <w:jc w:val="both"/>
        <w:rPr>
          <w:rFonts w:ascii="Arial" w:hAnsi="Arial" w:cs="Arial"/>
        </w:rPr>
      </w:pPr>
    </w:p>
    <w:p w14:paraId="3C898AC3" w14:textId="77777777" w:rsidR="00083CFD" w:rsidRDefault="00083CFD" w:rsidP="00083CFD">
      <w:pPr>
        <w:autoSpaceDE w:val="0"/>
        <w:autoSpaceDN w:val="0"/>
        <w:adjustRightInd w:val="0"/>
        <w:jc w:val="both"/>
        <w:rPr>
          <w:rFonts w:ascii="Arial" w:hAnsi="Arial" w:cs="Arial"/>
        </w:rPr>
      </w:pPr>
    </w:p>
    <w:p w14:paraId="1544345A" w14:textId="31666268" w:rsidR="00083CFD" w:rsidRDefault="00083CFD" w:rsidP="00083CFD">
      <w:pPr>
        <w:autoSpaceDE w:val="0"/>
        <w:autoSpaceDN w:val="0"/>
        <w:adjustRightInd w:val="0"/>
        <w:jc w:val="both"/>
        <w:rPr>
          <w:rFonts w:ascii="Arial" w:hAnsi="Arial" w:cs="Arial"/>
        </w:rPr>
      </w:pPr>
      <w:r w:rsidRPr="00083CFD">
        <w:rPr>
          <w:rFonts w:ascii="Arial" w:hAnsi="Arial" w:cs="Arial"/>
        </w:rPr>
        <w:t>Table 1</w:t>
      </w:r>
      <w:r w:rsidR="00A60F49">
        <w:rPr>
          <w:rFonts w:ascii="Arial" w:hAnsi="Arial" w:cs="Arial"/>
        </w:rPr>
        <w:t>a</w:t>
      </w:r>
      <w:r w:rsidRPr="00083CFD">
        <w:rPr>
          <w:rFonts w:ascii="Arial" w:hAnsi="Arial" w:cs="Arial"/>
        </w:rPr>
        <w:t xml:space="preserve">. Percentage Survival of </w:t>
      </w:r>
      <w:proofErr w:type="spellStart"/>
      <w:r w:rsidRPr="00083CFD">
        <w:rPr>
          <w:rFonts w:ascii="Arial" w:hAnsi="Arial" w:cs="Arial"/>
        </w:rPr>
        <w:t>Pechay</w:t>
      </w:r>
      <w:proofErr w:type="spellEnd"/>
      <w:r w:rsidRPr="00083CFD">
        <w:rPr>
          <w:rFonts w:ascii="Arial" w:hAnsi="Arial" w:cs="Arial"/>
        </w:rPr>
        <w:t xml:space="preserve"> Varieties at Post-Submersion Period</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4131"/>
      </w:tblGrid>
      <w:tr w:rsidR="00083CFD" w:rsidRPr="00083CFD" w14:paraId="08E18D8A" w14:textId="77777777" w:rsidTr="00310B86">
        <w:tc>
          <w:tcPr>
            <w:tcW w:w="3125" w:type="pct"/>
            <w:tcBorders>
              <w:top w:val="double" w:sz="12" w:space="0" w:color="auto"/>
              <w:bottom w:val="single" w:sz="4" w:space="0" w:color="auto"/>
            </w:tcBorders>
          </w:tcPr>
          <w:p w14:paraId="62749297" w14:textId="77777777" w:rsidR="00083CFD" w:rsidRPr="00083CFD" w:rsidRDefault="00083CFD" w:rsidP="00083CFD">
            <w:pPr>
              <w:widowControl w:val="0"/>
              <w:autoSpaceDE w:val="0"/>
              <w:autoSpaceDN w:val="0"/>
              <w:jc w:val="both"/>
              <w:rPr>
                <w:rFonts w:ascii="Arial" w:eastAsia="Arial MT" w:hAnsi="Arial" w:cs="Arial"/>
                <w:color w:val="000000" w:themeColor="text1"/>
                <w:sz w:val="20"/>
                <w:szCs w:val="20"/>
              </w:rPr>
            </w:pPr>
            <w:proofErr w:type="spellStart"/>
            <w:r w:rsidRPr="00083CFD">
              <w:rPr>
                <w:rFonts w:ascii="Arial" w:eastAsia="Arial MT" w:hAnsi="Arial" w:cs="Arial"/>
                <w:sz w:val="20"/>
                <w:szCs w:val="20"/>
                <w:lang w:eastAsia="en-PH"/>
              </w:rPr>
              <w:t>Pechay</w:t>
            </w:r>
            <w:proofErr w:type="spellEnd"/>
            <w:r w:rsidRPr="00083CFD">
              <w:rPr>
                <w:rFonts w:ascii="Arial" w:eastAsia="Arial MT" w:hAnsi="Arial" w:cs="Arial"/>
                <w:sz w:val="20"/>
                <w:szCs w:val="20"/>
                <w:lang w:eastAsia="en-PH"/>
              </w:rPr>
              <w:t xml:space="preserve"> Varieties</w:t>
            </w:r>
          </w:p>
        </w:tc>
        <w:tc>
          <w:tcPr>
            <w:tcW w:w="1875" w:type="pct"/>
            <w:tcBorders>
              <w:top w:val="double" w:sz="12" w:space="0" w:color="auto"/>
              <w:bottom w:val="single" w:sz="4" w:space="0" w:color="auto"/>
            </w:tcBorders>
          </w:tcPr>
          <w:p w14:paraId="2D2894CF" w14:textId="77777777" w:rsidR="00083CFD" w:rsidRPr="00083CFD" w:rsidRDefault="00083CFD" w:rsidP="00083CFD">
            <w:pPr>
              <w:widowControl w:val="0"/>
              <w:autoSpaceDE w:val="0"/>
              <w:autoSpaceDN w:val="0"/>
              <w:ind w:firstLine="15"/>
              <w:jc w:val="center"/>
              <w:rPr>
                <w:rFonts w:ascii="Arial" w:eastAsia="Arial MT" w:hAnsi="Arial" w:cs="Arial"/>
                <w:color w:val="000000" w:themeColor="text1"/>
                <w:sz w:val="20"/>
                <w:szCs w:val="20"/>
                <w:vertAlign w:val="superscript"/>
              </w:rPr>
            </w:pPr>
            <w:r w:rsidRPr="00083CFD">
              <w:rPr>
                <w:rFonts w:ascii="Arial" w:eastAsia="Arial MT" w:hAnsi="Arial" w:cs="Arial"/>
                <w:color w:val="000000" w:themeColor="text1"/>
                <w:sz w:val="20"/>
                <w:szCs w:val="20"/>
              </w:rPr>
              <w:t>Percentage Survival at Post Submersion Period (</w:t>
            </w:r>
            <w:proofErr w:type="gramStart"/>
            <w:r w:rsidRPr="00083CFD">
              <w:rPr>
                <w:rFonts w:ascii="Arial" w:eastAsia="Arial MT" w:hAnsi="Arial" w:cs="Arial"/>
                <w:color w:val="000000" w:themeColor="text1"/>
                <w:sz w:val="20"/>
                <w:szCs w:val="20"/>
              </w:rPr>
              <w:t>%)</w:t>
            </w:r>
            <w:r w:rsidRPr="00083CFD">
              <w:rPr>
                <w:rFonts w:ascii="Arial" w:eastAsia="Arial MT" w:hAnsi="Arial" w:cs="Arial"/>
                <w:color w:val="000000" w:themeColor="text1"/>
                <w:sz w:val="20"/>
                <w:szCs w:val="20"/>
                <w:vertAlign w:val="superscript"/>
              </w:rPr>
              <w:t>+</w:t>
            </w:r>
            <w:proofErr w:type="gramEnd"/>
          </w:p>
        </w:tc>
      </w:tr>
      <w:tr w:rsidR="00083CFD" w:rsidRPr="00083CFD" w14:paraId="70A55099" w14:textId="77777777" w:rsidTr="00310B86">
        <w:trPr>
          <w:trHeight w:val="377"/>
        </w:trPr>
        <w:tc>
          <w:tcPr>
            <w:tcW w:w="3125" w:type="pct"/>
            <w:tcBorders>
              <w:top w:val="single" w:sz="4" w:space="0" w:color="auto"/>
            </w:tcBorders>
          </w:tcPr>
          <w:p w14:paraId="4FFF8D6C" w14:textId="77777777" w:rsidR="00083CFD" w:rsidRPr="00083CFD" w:rsidRDefault="00083CFD" w:rsidP="00083CFD">
            <w:pPr>
              <w:widowControl w:val="0"/>
              <w:autoSpaceDE w:val="0"/>
              <w:autoSpaceDN w:val="0"/>
              <w:jc w:val="both"/>
              <w:rPr>
                <w:rFonts w:ascii="Arial" w:eastAsia="Arial MT" w:hAnsi="Arial" w:cs="Arial"/>
                <w:color w:val="000000" w:themeColor="text1"/>
                <w:sz w:val="20"/>
                <w:szCs w:val="20"/>
              </w:rPr>
            </w:pPr>
            <w:r w:rsidRPr="00083CFD">
              <w:rPr>
                <w:rFonts w:ascii="Arial" w:eastAsia="Arial MT" w:hAnsi="Arial" w:cs="Arial"/>
                <w:sz w:val="20"/>
                <w:szCs w:val="20"/>
              </w:rPr>
              <w:t>V</w:t>
            </w:r>
            <w:r w:rsidRPr="00083CFD">
              <w:rPr>
                <w:rFonts w:ascii="Arial" w:eastAsia="Arial MT" w:hAnsi="Arial" w:cs="Arial"/>
                <w:sz w:val="20"/>
                <w:szCs w:val="20"/>
                <w:vertAlign w:val="subscript"/>
              </w:rPr>
              <w:t>1</w:t>
            </w:r>
            <w:r w:rsidRPr="00083CFD">
              <w:rPr>
                <w:rFonts w:ascii="Arial" w:eastAsia="Arial MT" w:hAnsi="Arial" w:cs="Arial"/>
                <w:sz w:val="20"/>
                <w:szCs w:val="20"/>
              </w:rPr>
              <w:t xml:space="preserve">– Pavo                                           </w:t>
            </w:r>
          </w:p>
        </w:tc>
        <w:tc>
          <w:tcPr>
            <w:tcW w:w="1875" w:type="pct"/>
            <w:tcBorders>
              <w:top w:val="single" w:sz="4" w:space="0" w:color="auto"/>
            </w:tcBorders>
            <w:vAlign w:val="bottom"/>
          </w:tcPr>
          <w:p w14:paraId="19E13B1C" w14:textId="77777777" w:rsidR="00083CFD" w:rsidRPr="00083CFD" w:rsidRDefault="00083CFD" w:rsidP="00083CFD">
            <w:pPr>
              <w:widowControl w:val="0"/>
              <w:autoSpaceDE w:val="0"/>
              <w:autoSpaceDN w:val="0"/>
              <w:jc w:val="center"/>
              <w:rPr>
                <w:rFonts w:ascii="Arial" w:eastAsia="Arial MT" w:hAnsi="Arial" w:cs="Arial"/>
                <w:color w:val="000000" w:themeColor="text1"/>
                <w:sz w:val="20"/>
                <w:szCs w:val="20"/>
              </w:rPr>
            </w:pPr>
            <w:r w:rsidRPr="00083CFD">
              <w:rPr>
                <w:rFonts w:ascii="Arial" w:eastAsia="Arial MT" w:hAnsi="Arial" w:cs="Arial"/>
                <w:color w:val="000000"/>
                <w:sz w:val="20"/>
                <w:szCs w:val="20"/>
              </w:rPr>
              <w:t>91.65</w:t>
            </w:r>
          </w:p>
        </w:tc>
      </w:tr>
      <w:tr w:rsidR="00083CFD" w:rsidRPr="00083CFD" w14:paraId="0E42A7E5" w14:textId="77777777" w:rsidTr="00310B86">
        <w:tc>
          <w:tcPr>
            <w:tcW w:w="3125" w:type="pct"/>
            <w:tcBorders>
              <w:bottom w:val="double" w:sz="12" w:space="0" w:color="auto"/>
            </w:tcBorders>
          </w:tcPr>
          <w:p w14:paraId="1111FCF7" w14:textId="77777777" w:rsidR="00083CFD" w:rsidRPr="00083CFD" w:rsidRDefault="00083CFD" w:rsidP="00083CFD">
            <w:pPr>
              <w:widowControl w:val="0"/>
              <w:tabs>
                <w:tab w:val="center" w:pos="2502"/>
              </w:tabs>
              <w:autoSpaceDE w:val="0"/>
              <w:autoSpaceDN w:val="0"/>
              <w:jc w:val="both"/>
              <w:rPr>
                <w:rFonts w:ascii="Arial" w:eastAsia="Arial MT" w:hAnsi="Arial" w:cs="Arial"/>
                <w:color w:val="000000" w:themeColor="text1"/>
                <w:sz w:val="20"/>
                <w:szCs w:val="20"/>
              </w:rPr>
            </w:pPr>
            <w:r w:rsidRPr="00083CFD">
              <w:rPr>
                <w:rFonts w:ascii="Arial" w:eastAsia="Arial MT" w:hAnsi="Arial" w:cs="Arial"/>
                <w:sz w:val="20"/>
                <w:szCs w:val="20"/>
              </w:rPr>
              <w:t>V2- Pac Choi</w:t>
            </w:r>
            <w:r w:rsidRPr="00083CFD">
              <w:rPr>
                <w:rFonts w:ascii="Arial" w:eastAsia="Arial MT" w:hAnsi="Arial" w:cs="Arial"/>
                <w:sz w:val="20"/>
                <w:szCs w:val="20"/>
              </w:rPr>
              <w:tab/>
            </w:r>
          </w:p>
        </w:tc>
        <w:tc>
          <w:tcPr>
            <w:tcW w:w="1875" w:type="pct"/>
            <w:tcBorders>
              <w:bottom w:val="double" w:sz="12" w:space="0" w:color="auto"/>
            </w:tcBorders>
            <w:vAlign w:val="bottom"/>
          </w:tcPr>
          <w:p w14:paraId="7A223B1C" w14:textId="77777777" w:rsidR="00083CFD" w:rsidRPr="00083CFD" w:rsidRDefault="00083CFD" w:rsidP="00083CFD">
            <w:pPr>
              <w:widowControl w:val="0"/>
              <w:autoSpaceDE w:val="0"/>
              <w:autoSpaceDN w:val="0"/>
              <w:jc w:val="center"/>
              <w:rPr>
                <w:rFonts w:ascii="Arial" w:eastAsia="Arial MT" w:hAnsi="Arial" w:cs="Arial"/>
                <w:color w:val="000000" w:themeColor="text1"/>
                <w:sz w:val="20"/>
                <w:szCs w:val="20"/>
              </w:rPr>
            </w:pPr>
            <w:r w:rsidRPr="00083CFD">
              <w:rPr>
                <w:rFonts w:ascii="Arial" w:eastAsia="Arial MT" w:hAnsi="Arial" w:cs="Arial"/>
                <w:sz w:val="20"/>
                <w:szCs w:val="20"/>
              </w:rPr>
              <w:t>84.70</w:t>
            </w:r>
          </w:p>
        </w:tc>
      </w:tr>
    </w:tbl>
    <w:p w14:paraId="06EBC0CF" w14:textId="0E071F43" w:rsidR="00083CFD" w:rsidRPr="00083CFD" w:rsidRDefault="00083CFD" w:rsidP="00083CFD">
      <w:pPr>
        <w:autoSpaceDE w:val="0"/>
        <w:autoSpaceDN w:val="0"/>
        <w:adjustRightInd w:val="0"/>
        <w:jc w:val="both"/>
        <w:rPr>
          <w:rFonts w:ascii="Arial" w:hAnsi="Arial" w:cs="Arial"/>
        </w:rPr>
      </w:pPr>
      <w:r w:rsidRPr="00083CFD">
        <w:rPr>
          <w:rFonts w:ascii="Arial" w:hAnsi="Arial" w:cs="Arial"/>
        </w:rPr>
        <w:t>+=not significant at p&lt;0.05</w:t>
      </w:r>
    </w:p>
    <w:p w14:paraId="5FF879B9" w14:textId="77777777" w:rsidR="00927834" w:rsidRDefault="00927834" w:rsidP="00441B6F">
      <w:pPr>
        <w:autoSpaceDE w:val="0"/>
        <w:autoSpaceDN w:val="0"/>
        <w:adjustRightInd w:val="0"/>
        <w:jc w:val="both"/>
        <w:rPr>
          <w:rFonts w:ascii="Arial" w:hAnsi="Arial" w:cs="Arial"/>
          <w:b/>
          <w:bCs/>
          <w:szCs w:val="22"/>
        </w:rPr>
      </w:pPr>
    </w:p>
    <w:p w14:paraId="7BEB2B1F" w14:textId="1009C9C4" w:rsidR="00083CFD" w:rsidRPr="00083CFD" w:rsidRDefault="00083CFD" w:rsidP="00083CFD">
      <w:pPr>
        <w:pStyle w:val="Body"/>
        <w:rPr>
          <w:rFonts w:ascii="Arial" w:hAnsi="Arial" w:cs="Arial"/>
        </w:rPr>
      </w:pPr>
      <w:r w:rsidRPr="00083CFD">
        <w:rPr>
          <w:rFonts w:ascii="Arial" w:hAnsi="Arial" w:cs="Arial"/>
        </w:rPr>
        <w:t xml:space="preserve">The observed mean tuber weights fall within the expected range for sweet potato varieties, aligning with varietal yield characteristics reported in the literature. For instance, the Bureau of Plant Industry (2020) notes that commonly cultivated sweet potato varieties in the Philippines, such as NSIC Sp-35, NSIC Sp-31, and NSIC Sp-25, typically produce tuber weights per plant ranging from 200 g to 350 g under normal cultivation conditions. NSIC Sp-36 is recognized for its </w:t>
      </w:r>
      <w:r w:rsidRPr="00083CFD">
        <w:rPr>
          <w:rFonts w:ascii="Arial" w:hAnsi="Arial" w:cs="Arial"/>
        </w:rPr>
        <w:lastRenderedPageBreak/>
        <w:t>moderate yield and disease resistance, producing approximately 300–350 g of tubers per plant, while NSIC Sp-31 yields slightly less but is valued for its early maturity and adaptability (Bureau of Plant Industry, 2020; Maghirang, 2018).</w:t>
      </w:r>
    </w:p>
    <w:p w14:paraId="698DE1B7" w14:textId="78A9F24C" w:rsidR="00E053D0" w:rsidRDefault="00083CFD" w:rsidP="00083CFD">
      <w:pPr>
        <w:pStyle w:val="Body"/>
        <w:spacing w:after="0"/>
        <w:rPr>
          <w:rFonts w:ascii="Arial" w:hAnsi="Arial" w:cs="Arial"/>
        </w:rPr>
      </w:pPr>
      <w:r w:rsidRPr="00C74E82">
        <w:rPr>
          <w:rFonts w:ascii="Arial" w:hAnsi="Arial" w:cs="Arial"/>
          <w:b/>
          <w:bCs/>
        </w:rPr>
        <w:t>Effects of Submersion Period.</w:t>
      </w:r>
      <w:r w:rsidRPr="00083CFD">
        <w:rPr>
          <w:rFonts w:ascii="Arial" w:hAnsi="Arial" w:cs="Arial"/>
        </w:rPr>
        <w:t xml:space="preserve"> Table 1</w:t>
      </w:r>
      <w:r w:rsidR="00A60F49">
        <w:rPr>
          <w:rFonts w:ascii="Arial" w:hAnsi="Arial" w:cs="Arial"/>
        </w:rPr>
        <w:t>b</w:t>
      </w:r>
      <w:r w:rsidRPr="00083CFD">
        <w:rPr>
          <w:rFonts w:ascii="Arial" w:hAnsi="Arial" w:cs="Arial"/>
        </w:rPr>
        <w:t xml:space="preserve"> presents the percentage survival of </w:t>
      </w:r>
      <w:proofErr w:type="spellStart"/>
      <w:r w:rsidRPr="00083CFD">
        <w:rPr>
          <w:rFonts w:ascii="Arial" w:hAnsi="Arial" w:cs="Arial"/>
        </w:rPr>
        <w:t>pechay</w:t>
      </w:r>
      <w:proofErr w:type="spellEnd"/>
      <w:r w:rsidRPr="00083CFD">
        <w:rPr>
          <w:rFonts w:ascii="Arial" w:hAnsi="Arial" w:cs="Arial"/>
        </w:rPr>
        <w:t xml:space="preserve"> varieties as affected by </w:t>
      </w:r>
      <w:r>
        <w:rPr>
          <w:rFonts w:ascii="Arial" w:hAnsi="Arial" w:cs="Arial"/>
        </w:rPr>
        <w:t xml:space="preserve">the </w:t>
      </w:r>
      <w:r w:rsidRPr="00083CFD">
        <w:rPr>
          <w:rFonts w:ascii="Arial" w:hAnsi="Arial" w:cs="Arial"/>
        </w:rPr>
        <w:t xml:space="preserve">submersion period.  </w:t>
      </w:r>
    </w:p>
    <w:p w14:paraId="65AB4760" w14:textId="77777777" w:rsidR="00FF5D53" w:rsidRDefault="00FF5D53" w:rsidP="00083CFD">
      <w:pPr>
        <w:pStyle w:val="Body"/>
        <w:spacing w:after="0"/>
        <w:rPr>
          <w:rFonts w:ascii="Arial" w:hAnsi="Arial" w:cs="Arial"/>
        </w:rPr>
      </w:pPr>
    </w:p>
    <w:p w14:paraId="73B7218B" w14:textId="4C17C7E3" w:rsidR="00C74E82" w:rsidRDefault="00C74E82" w:rsidP="00083CFD">
      <w:pPr>
        <w:pStyle w:val="Body"/>
        <w:spacing w:after="0"/>
        <w:rPr>
          <w:rFonts w:ascii="Arial" w:hAnsi="Arial" w:cs="Arial"/>
        </w:rPr>
      </w:pPr>
      <w:r w:rsidRPr="00C74E82">
        <w:rPr>
          <w:rFonts w:ascii="Arial" w:hAnsi="Arial" w:cs="Arial"/>
        </w:rPr>
        <w:t>Table 1</w:t>
      </w:r>
      <w:r w:rsidR="00A60F49">
        <w:rPr>
          <w:rFonts w:ascii="Arial" w:hAnsi="Arial" w:cs="Arial"/>
        </w:rPr>
        <w:t>b</w:t>
      </w:r>
      <w:r w:rsidRPr="00C74E82">
        <w:rPr>
          <w:rFonts w:ascii="Arial" w:hAnsi="Arial" w:cs="Arial"/>
        </w:rPr>
        <w:t xml:space="preserve">. Percentage Survival of </w:t>
      </w:r>
      <w:proofErr w:type="spellStart"/>
      <w:r w:rsidRPr="00C74E82">
        <w:rPr>
          <w:rFonts w:ascii="Arial" w:hAnsi="Arial" w:cs="Arial"/>
        </w:rPr>
        <w:t>Pechay</w:t>
      </w:r>
      <w:proofErr w:type="spellEnd"/>
      <w:r w:rsidRPr="00C74E82">
        <w:rPr>
          <w:rFonts w:ascii="Arial" w:hAnsi="Arial" w:cs="Arial"/>
        </w:rPr>
        <w:t xml:space="preserve"> as Affected by Submersion Period</w:t>
      </w:r>
    </w:p>
    <w:tbl>
      <w:tblPr>
        <w:tblStyle w:val="TableGrid4"/>
        <w:tblpPr w:leftFromText="180" w:rightFromText="180" w:vertAnchor="text" w:horzAnchor="margin" w:tblpY="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7"/>
        <w:gridCol w:w="4239"/>
      </w:tblGrid>
      <w:tr w:rsidR="00C74E82" w:rsidRPr="00C74E82" w14:paraId="25B3D166" w14:textId="77777777" w:rsidTr="00310B86">
        <w:tc>
          <w:tcPr>
            <w:tcW w:w="3076" w:type="pct"/>
            <w:tcBorders>
              <w:top w:val="double" w:sz="12" w:space="0" w:color="auto"/>
              <w:bottom w:val="single" w:sz="12" w:space="0" w:color="auto"/>
            </w:tcBorders>
          </w:tcPr>
          <w:p w14:paraId="40959F9C" w14:textId="77777777" w:rsidR="00C74E82" w:rsidRPr="00C74E82" w:rsidRDefault="00C74E82" w:rsidP="00C74E82">
            <w:pPr>
              <w:widowControl w:val="0"/>
              <w:autoSpaceDE w:val="0"/>
              <w:autoSpaceDN w:val="0"/>
              <w:rPr>
                <w:rFonts w:ascii="Arial" w:eastAsia="Arial MT" w:hAnsi="Arial" w:cs="Arial"/>
                <w:color w:val="000000" w:themeColor="text1"/>
                <w:sz w:val="20"/>
                <w:szCs w:val="20"/>
                <w:lang w:eastAsia="en-PH"/>
              </w:rPr>
            </w:pPr>
            <w:bookmarkStart w:id="1" w:name="_Hlk208492534"/>
            <w:r w:rsidRPr="00C74E82">
              <w:rPr>
                <w:rFonts w:ascii="Arial" w:eastAsia="Arial MT" w:hAnsi="Arial" w:cs="Arial"/>
                <w:color w:val="000000" w:themeColor="text1"/>
                <w:sz w:val="20"/>
                <w:szCs w:val="20"/>
              </w:rPr>
              <w:t>Submersion Period</w:t>
            </w:r>
          </w:p>
        </w:tc>
        <w:tc>
          <w:tcPr>
            <w:tcW w:w="1924" w:type="pct"/>
            <w:tcBorders>
              <w:top w:val="double" w:sz="12" w:space="0" w:color="auto"/>
              <w:bottom w:val="single" w:sz="12" w:space="0" w:color="auto"/>
            </w:tcBorders>
            <w:vAlign w:val="center"/>
          </w:tcPr>
          <w:p w14:paraId="471903CE"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vertAlign w:val="superscript"/>
                <w:lang w:eastAsia="en-PH"/>
              </w:rPr>
            </w:pPr>
            <w:r w:rsidRPr="00C74E82">
              <w:rPr>
                <w:rFonts w:ascii="Arial" w:eastAsia="Arial MT" w:hAnsi="Arial" w:cs="Arial"/>
                <w:color w:val="000000" w:themeColor="text1"/>
                <w:sz w:val="20"/>
                <w:szCs w:val="20"/>
              </w:rPr>
              <w:t>Percentage Survival at Post Submersion Period (</w:t>
            </w:r>
            <w:proofErr w:type="gramStart"/>
            <w:r w:rsidRPr="00C74E82">
              <w:rPr>
                <w:rFonts w:ascii="Arial" w:eastAsia="Arial MT" w:hAnsi="Arial" w:cs="Arial"/>
                <w:color w:val="000000" w:themeColor="text1"/>
                <w:sz w:val="20"/>
                <w:szCs w:val="20"/>
              </w:rPr>
              <w:t>%)*</w:t>
            </w:r>
            <w:proofErr w:type="gramEnd"/>
          </w:p>
        </w:tc>
      </w:tr>
      <w:tr w:rsidR="00C74E82" w:rsidRPr="00C74E82" w14:paraId="2061A6A5" w14:textId="77777777" w:rsidTr="00310B86">
        <w:tc>
          <w:tcPr>
            <w:tcW w:w="3076" w:type="pct"/>
            <w:tcBorders>
              <w:top w:val="single" w:sz="12" w:space="0" w:color="auto"/>
            </w:tcBorders>
          </w:tcPr>
          <w:p w14:paraId="7E750E8B"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1</w:t>
            </w:r>
            <w:r w:rsidRPr="00C74E82">
              <w:rPr>
                <w:rFonts w:ascii="Arial" w:eastAsia="Arial MT" w:hAnsi="Arial" w:cs="Arial"/>
                <w:sz w:val="20"/>
                <w:szCs w:val="20"/>
              </w:rPr>
              <w:t xml:space="preserve"> – Control (No Submersion)</w:t>
            </w:r>
          </w:p>
        </w:tc>
        <w:tc>
          <w:tcPr>
            <w:tcW w:w="1924" w:type="pct"/>
            <w:tcBorders>
              <w:top w:val="single" w:sz="12" w:space="0" w:color="auto"/>
            </w:tcBorders>
            <w:vAlign w:val="center"/>
          </w:tcPr>
          <w:p w14:paraId="6BBBD830"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100.00</w:t>
            </w:r>
            <w:r w:rsidRPr="00C74E82">
              <w:rPr>
                <w:rFonts w:ascii="Arial" w:eastAsia="Arial MT" w:hAnsi="Arial" w:cs="Arial"/>
                <w:color w:val="000000" w:themeColor="text1"/>
                <w:sz w:val="20"/>
                <w:szCs w:val="20"/>
                <w:vertAlign w:val="superscript"/>
                <w:lang w:eastAsia="en-PH"/>
              </w:rPr>
              <w:t>a</w:t>
            </w:r>
          </w:p>
        </w:tc>
      </w:tr>
      <w:tr w:rsidR="00C74E82" w:rsidRPr="00C74E82" w14:paraId="31238D96" w14:textId="77777777" w:rsidTr="00310B86">
        <w:tc>
          <w:tcPr>
            <w:tcW w:w="3076" w:type="pct"/>
          </w:tcPr>
          <w:p w14:paraId="5D42CF7F"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2</w:t>
            </w:r>
            <w:r w:rsidRPr="00C74E82">
              <w:rPr>
                <w:rFonts w:ascii="Arial" w:eastAsia="Arial MT" w:hAnsi="Arial" w:cs="Arial"/>
                <w:sz w:val="20"/>
                <w:szCs w:val="20"/>
              </w:rPr>
              <w:t xml:space="preserve"> – 24   Hours                                  </w:t>
            </w:r>
          </w:p>
        </w:tc>
        <w:tc>
          <w:tcPr>
            <w:tcW w:w="1924" w:type="pct"/>
            <w:vAlign w:val="center"/>
          </w:tcPr>
          <w:p w14:paraId="671F26E2"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92.58</w:t>
            </w:r>
            <w:r w:rsidRPr="00C74E82">
              <w:rPr>
                <w:rFonts w:ascii="Arial" w:eastAsia="Arial MT" w:hAnsi="Arial" w:cs="Arial"/>
                <w:color w:val="000000" w:themeColor="text1"/>
                <w:sz w:val="20"/>
                <w:szCs w:val="20"/>
                <w:vertAlign w:val="superscript"/>
                <w:lang w:eastAsia="en-PH"/>
              </w:rPr>
              <w:t>ab</w:t>
            </w:r>
          </w:p>
        </w:tc>
      </w:tr>
      <w:tr w:rsidR="00C74E82" w:rsidRPr="00C74E82" w14:paraId="0E8E15FE" w14:textId="77777777" w:rsidTr="00310B86">
        <w:tc>
          <w:tcPr>
            <w:tcW w:w="3076" w:type="pct"/>
          </w:tcPr>
          <w:p w14:paraId="3BFB7308"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 xml:space="preserve">3 </w:t>
            </w:r>
            <w:r w:rsidRPr="00C74E82">
              <w:rPr>
                <w:rFonts w:ascii="Arial" w:eastAsia="Arial MT" w:hAnsi="Arial" w:cs="Arial"/>
                <w:sz w:val="20"/>
                <w:szCs w:val="20"/>
              </w:rPr>
              <w:t>– 48 Hours</w:t>
            </w:r>
          </w:p>
        </w:tc>
        <w:tc>
          <w:tcPr>
            <w:tcW w:w="1924" w:type="pct"/>
            <w:vAlign w:val="center"/>
          </w:tcPr>
          <w:p w14:paraId="3878D4F2"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87.01</w:t>
            </w:r>
            <w:r w:rsidRPr="00C74E82">
              <w:rPr>
                <w:rFonts w:ascii="Arial" w:eastAsia="Arial MT" w:hAnsi="Arial" w:cs="Arial"/>
                <w:color w:val="000000" w:themeColor="text1"/>
                <w:sz w:val="20"/>
                <w:szCs w:val="20"/>
                <w:vertAlign w:val="superscript"/>
                <w:lang w:eastAsia="en-PH"/>
              </w:rPr>
              <w:t>b</w:t>
            </w:r>
          </w:p>
        </w:tc>
      </w:tr>
      <w:tr w:rsidR="00C74E82" w:rsidRPr="00C74E82" w14:paraId="01987C8A" w14:textId="77777777" w:rsidTr="00310B86">
        <w:tc>
          <w:tcPr>
            <w:tcW w:w="3076" w:type="pct"/>
            <w:tcBorders>
              <w:bottom w:val="double" w:sz="12" w:space="0" w:color="auto"/>
            </w:tcBorders>
          </w:tcPr>
          <w:p w14:paraId="7BEE6F16" w14:textId="77777777" w:rsidR="00C74E82" w:rsidRPr="00C74E82" w:rsidRDefault="00C74E82" w:rsidP="00C74E82">
            <w:pPr>
              <w:widowControl w:val="0"/>
              <w:autoSpaceDE w:val="0"/>
              <w:autoSpaceDN w:val="0"/>
              <w:jc w:val="both"/>
              <w:rPr>
                <w:rFonts w:ascii="Arial" w:eastAsia="Arial MT" w:hAnsi="Arial" w:cs="Arial"/>
                <w:color w:val="000000" w:themeColor="text1"/>
                <w:sz w:val="20"/>
                <w:szCs w:val="20"/>
                <w:lang w:eastAsia="en-PH"/>
              </w:rPr>
            </w:pPr>
            <w:r w:rsidRPr="00C74E82">
              <w:rPr>
                <w:rFonts w:ascii="Arial" w:eastAsia="Arial MT" w:hAnsi="Arial" w:cs="Arial"/>
                <w:sz w:val="20"/>
                <w:szCs w:val="20"/>
              </w:rPr>
              <w:t>B</w:t>
            </w:r>
            <w:r w:rsidRPr="00C74E82">
              <w:rPr>
                <w:rFonts w:ascii="Arial" w:eastAsia="Arial MT" w:hAnsi="Arial" w:cs="Arial"/>
                <w:sz w:val="20"/>
                <w:szCs w:val="20"/>
                <w:vertAlign w:val="subscript"/>
              </w:rPr>
              <w:t xml:space="preserve">4 </w:t>
            </w:r>
            <w:r w:rsidRPr="00C74E82">
              <w:rPr>
                <w:rFonts w:ascii="Arial" w:eastAsia="Arial MT" w:hAnsi="Arial" w:cs="Arial"/>
                <w:sz w:val="20"/>
                <w:szCs w:val="20"/>
              </w:rPr>
              <w:t>– 72 Hours</w:t>
            </w:r>
          </w:p>
        </w:tc>
        <w:tc>
          <w:tcPr>
            <w:tcW w:w="1924" w:type="pct"/>
            <w:tcBorders>
              <w:bottom w:val="double" w:sz="12" w:space="0" w:color="auto"/>
            </w:tcBorders>
            <w:vAlign w:val="center"/>
          </w:tcPr>
          <w:p w14:paraId="05289994" w14:textId="77777777" w:rsidR="00C74E82" w:rsidRPr="00C74E82" w:rsidRDefault="00C74E82" w:rsidP="00C74E82">
            <w:pPr>
              <w:widowControl w:val="0"/>
              <w:autoSpaceDE w:val="0"/>
              <w:autoSpaceDN w:val="0"/>
              <w:jc w:val="center"/>
              <w:rPr>
                <w:rFonts w:ascii="Arial" w:eastAsia="Arial MT" w:hAnsi="Arial" w:cs="Arial"/>
                <w:color w:val="000000" w:themeColor="text1"/>
                <w:sz w:val="20"/>
                <w:szCs w:val="20"/>
                <w:lang w:eastAsia="en-PH"/>
              </w:rPr>
            </w:pPr>
            <w:r w:rsidRPr="00C74E82">
              <w:rPr>
                <w:rFonts w:ascii="Arial" w:eastAsia="Arial MT" w:hAnsi="Arial" w:cs="Arial"/>
                <w:color w:val="000000" w:themeColor="text1"/>
                <w:sz w:val="20"/>
                <w:szCs w:val="20"/>
                <w:lang w:eastAsia="en-PH"/>
              </w:rPr>
              <w:t>72.18</w:t>
            </w:r>
            <w:r w:rsidRPr="00C74E82">
              <w:rPr>
                <w:rFonts w:ascii="Arial" w:eastAsia="Arial MT" w:hAnsi="Arial" w:cs="Arial"/>
                <w:color w:val="000000" w:themeColor="text1"/>
                <w:sz w:val="20"/>
                <w:szCs w:val="20"/>
                <w:vertAlign w:val="superscript"/>
                <w:lang w:eastAsia="en-PH"/>
              </w:rPr>
              <w:t>c</w:t>
            </w:r>
          </w:p>
        </w:tc>
      </w:tr>
    </w:tbl>
    <w:bookmarkEnd w:id="1"/>
    <w:p w14:paraId="6E4CE00E" w14:textId="65F05F9A" w:rsidR="00C74E82" w:rsidRDefault="00C74E82" w:rsidP="00083CFD">
      <w:pPr>
        <w:pStyle w:val="Body"/>
        <w:spacing w:after="0"/>
        <w:rPr>
          <w:rFonts w:ascii="Arial" w:hAnsi="Arial" w:cs="Arial"/>
        </w:rPr>
      </w:pPr>
      <w:r w:rsidRPr="00C74E82">
        <w:rPr>
          <w:rFonts w:ascii="Arial" w:hAnsi="Arial" w:cs="Arial"/>
        </w:rPr>
        <w:t>*=significant at p &lt; 0.05.  Means with the same letter are not significantly different; means with the same letters are significantly different.</w:t>
      </w:r>
    </w:p>
    <w:p w14:paraId="0B3AFB2E" w14:textId="77777777" w:rsidR="00C74E82" w:rsidRDefault="00C74E82" w:rsidP="00083CFD">
      <w:pPr>
        <w:pStyle w:val="Body"/>
        <w:spacing w:after="0"/>
        <w:rPr>
          <w:rFonts w:ascii="Arial" w:hAnsi="Arial" w:cs="Arial"/>
        </w:rPr>
      </w:pPr>
    </w:p>
    <w:p w14:paraId="546BB2EE" w14:textId="2F5C4D79" w:rsidR="00FF5D53" w:rsidRPr="00FF5D53" w:rsidRDefault="00FF5D53" w:rsidP="00FF5D53">
      <w:pPr>
        <w:pStyle w:val="Body"/>
        <w:rPr>
          <w:rFonts w:ascii="Arial" w:hAnsi="Arial" w:cs="Arial"/>
        </w:rPr>
      </w:pPr>
      <w:r w:rsidRPr="00FF5D53">
        <w:rPr>
          <w:rFonts w:ascii="Arial" w:hAnsi="Arial" w:cs="Arial"/>
        </w:rPr>
        <w:t xml:space="preserve">It can be gleaned from the table that a significant difference exists in the percentage survival of </w:t>
      </w:r>
      <w:proofErr w:type="spellStart"/>
      <w:r w:rsidRPr="00FF5D53">
        <w:rPr>
          <w:rFonts w:ascii="Arial" w:hAnsi="Arial" w:cs="Arial"/>
        </w:rPr>
        <w:t>pechay</w:t>
      </w:r>
      <w:proofErr w:type="spellEnd"/>
      <w:r w:rsidRPr="00FF5D53">
        <w:rPr>
          <w:rFonts w:ascii="Arial" w:hAnsi="Arial" w:cs="Arial"/>
        </w:rPr>
        <w:t xml:space="preserve"> varieties subjected to varying submersion durations. A perfect survival rate (100%) was observed among plants under the control treatment, which were not submerged in water. This result is statistically comparable to the plants that were submerged for only 24 hours, suggesting that short-term submersion does not significantly affect the survival of </w:t>
      </w:r>
      <w:proofErr w:type="spellStart"/>
      <w:r w:rsidRPr="00FF5D53">
        <w:rPr>
          <w:rFonts w:ascii="Arial" w:hAnsi="Arial" w:cs="Arial"/>
        </w:rPr>
        <w:t>pechay</w:t>
      </w:r>
      <w:proofErr w:type="spellEnd"/>
      <w:r w:rsidRPr="00FF5D53">
        <w:rPr>
          <w:rFonts w:ascii="Arial" w:hAnsi="Arial" w:cs="Arial"/>
        </w:rPr>
        <w:t xml:space="preserve">. Plants submerged for 48 hours exhibited a slightly lower survival rate of 87.01%, which was still statistically comparable to those submerged for 24 hours (92.58%). This suggests that </w:t>
      </w:r>
      <w:proofErr w:type="spellStart"/>
      <w:r w:rsidRPr="00FF5D53">
        <w:rPr>
          <w:rFonts w:ascii="Arial" w:hAnsi="Arial" w:cs="Arial"/>
        </w:rPr>
        <w:t>pechay</w:t>
      </w:r>
      <w:proofErr w:type="spellEnd"/>
      <w:r w:rsidRPr="00FF5D53">
        <w:rPr>
          <w:rFonts w:ascii="Arial" w:hAnsi="Arial" w:cs="Arial"/>
        </w:rPr>
        <w:t xml:space="preserve"> may possess a level of tolerance to brief periods of waterlogging, likely due to its ability to maintain oxygen transport and root function under mildly hypoxic conditions.</w:t>
      </w:r>
    </w:p>
    <w:p w14:paraId="4812741A" w14:textId="056F1AFE" w:rsidR="00FF5D53" w:rsidRPr="00FF5D53" w:rsidRDefault="00FF5D53" w:rsidP="00FF5D53">
      <w:pPr>
        <w:pStyle w:val="Body"/>
        <w:rPr>
          <w:rFonts w:ascii="Arial" w:hAnsi="Arial" w:cs="Arial"/>
        </w:rPr>
      </w:pPr>
      <w:r w:rsidRPr="00FF5D53">
        <w:rPr>
          <w:rFonts w:ascii="Arial" w:hAnsi="Arial" w:cs="Arial"/>
        </w:rPr>
        <w:t xml:space="preserve">However, a marked decline in survival rate was noted at the 72-hour submersion level, with only 72.18% of plants surviving. This result supports the hypothesis that prolonged submersion has detrimental effects on </w:t>
      </w:r>
      <w:proofErr w:type="spellStart"/>
      <w:r w:rsidRPr="00FF5D53">
        <w:rPr>
          <w:rFonts w:ascii="Arial" w:hAnsi="Arial" w:cs="Arial"/>
        </w:rPr>
        <w:t>pechay</w:t>
      </w:r>
      <w:proofErr w:type="spellEnd"/>
      <w:r w:rsidRPr="00FF5D53">
        <w:rPr>
          <w:rFonts w:ascii="Arial" w:hAnsi="Arial" w:cs="Arial"/>
        </w:rPr>
        <w:t xml:space="preserve">, potentially due to anoxic stress, impaired root respiration, and reduced nutrient uptake. According to Herzog et al. (2016), in their study on wheat (Triticum aestivum) prolonged flooding leads to oxygen deficiency in the root zone, which adversely affects plant metabolism and can lead to cellular damage or death. The decrease in survival after 72 hours of submersion indicates that this duration surpasses the tolerance threshold for </w:t>
      </w:r>
      <w:proofErr w:type="spellStart"/>
      <w:r w:rsidRPr="00FF5D53">
        <w:rPr>
          <w:rFonts w:ascii="Arial" w:hAnsi="Arial" w:cs="Arial"/>
        </w:rPr>
        <w:t>pechay</w:t>
      </w:r>
      <w:proofErr w:type="spellEnd"/>
      <w:r w:rsidRPr="00FF5D53">
        <w:rPr>
          <w:rFonts w:ascii="Arial" w:hAnsi="Arial" w:cs="Arial"/>
        </w:rPr>
        <w:t xml:space="preserve"> under the experimental conditions.</w:t>
      </w:r>
    </w:p>
    <w:p w14:paraId="2ED35741" w14:textId="25FE442F" w:rsidR="00FF5D53" w:rsidRPr="00FF5D53" w:rsidRDefault="00FF5D53" w:rsidP="00FF5D53">
      <w:pPr>
        <w:pStyle w:val="Body"/>
        <w:rPr>
          <w:rFonts w:ascii="Arial" w:hAnsi="Arial" w:cs="Arial"/>
        </w:rPr>
      </w:pPr>
      <w:r w:rsidRPr="00FF5D53">
        <w:rPr>
          <w:rFonts w:ascii="Arial" w:hAnsi="Arial" w:cs="Arial"/>
        </w:rPr>
        <w:t xml:space="preserve">This trend aligns with the findings of Pang et al. (2017), who reported that Brassica crops, including </w:t>
      </w:r>
      <w:proofErr w:type="spellStart"/>
      <w:r w:rsidRPr="00FF5D53">
        <w:rPr>
          <w:rFonts w:ascii="Arial" w:hAnsi="Arial" w:cs="Arial"/>
        </w:rPr>
        <w:t>pechay</w:t>
      </w:r>
      <w:proofErr w:type="spellEnd"/>
      <w:r w:rsidRPr="00FF5D53">
        <w:rPr>
          <w:rFonts w:ascii="Arial" w:hAnsi="Arial" w:cs="Arial"/>
        </w:rPr>
        <w:t xml:space="preserve"> and Chinese cabbage, experience significant reductions in survival and biomass accumulation under waterlogged conditions exceeding 48 hours. Similarly, Yamauchi et al. (2018) noted that oxygen deprivation in root tissues under extended flooding causes the accumulation of toxic metabolites and limits aerobic respiration, which are critical for cell maintenance and survival.</w:t>
      </w:r>
    </w:p>
    <w:p w14:paraId="7D526710" w14:textId="53BC4C5D" w:rsidR="00FF5D53" w:rsidRPr="00FF5D53" w:rsidRDefault="00FF5D53" w:rsidP="00FF5D53">
      <w:pPr>
        <w:pStyle w:val="Body"/>
        <w:rPr>
          <w:rFonts w:ascii="Arial" w:hAnsi="Arial" w:cs="Arial"/>
        </w:rPr>
      </w:pPr>
      <w:r w:rsidRPr="00FF5D53">
        <w:rPr>
          <w:rFonts w:ascii="Arial" w:hAnsi="Arial" w:cs="Arial"/>
        </w:rPr>
        <w:t xml:space="preserve">Conversely, some studies suggest that certain cultivars or varieties of leafy vegetables exhibit greater tolerance to waterlogging. For example, research by Ahmed et al. (2013) on mustard greens (a close relative of </w:t>
      </w:r>
      <w:proofErr w:type="spellStart"/>
      <w:r w:rsidRPr="00FF5D53">
        <w:rPr>
          <w:rFonts w:ascii="Arial" w:hAnsi="Arial" w:cs="Arial"/>
        </w:rPr>
        <w:t>pechay</w:t>
      </w:r>
      <w:proofErr w:type="spellEnd"/>
      <w:r w:rsidRPr="00FF5D53">
        <w:rPr>
          <w:rFonts w:ascii="Arial" w:hAnsi="Arial" w:cs="Arial"/>
        </w:rPr>
        <w:t>) demonstrated high survival rates even after 72 hours of flooding, particularly when the plants were in earlier developmental stages. These discrepancies could be attributed to genetic variation, differences in root architecture, and physiological adaptations such as adventitious rooting.</w:t>
      </w:r>
    </w:p>
    <w:p w14:paraId="4F02C721" w14:textId="0EBB4E63" w:rsidR="00FF5D53" w:rsidRPr="00FF5D53" w:rsidRDefault="00FF5D53" w:rsidP="00FF5D53">
      <w:pPr>
        <w:pStyle w:val="Body"/>
        <w:rPr>
          <w:rFonts w:ascii="Arial" w:hAnsi="Arial" w:cs="Arial"/>
        </w:rPr>
      </w:pPr>
      <w:r w:rsidRPr="00FF5D53">
        <w:rPr>
          <w:rFonts w:ascii="Arial" w:hAnsi="Arial" w:cs="Arial"/>
        </w:rPr>
        <w:t xml:space="preserve">The observed results in this study highlight the sensitivity of </w:t>
      </w:r>
      <w:proofErr w:type="spellStart"/>
      <w:r w:rsidRPr="00FF5D53">
        <w:rPr>
          <w:rFonts w:ascii="Arial" w:hAnsi="Arial" w:cs="Arial"/>
        </w:rPr>
        <w:t>pechay</w:t>
      </w:r>
      <w:proofErr w:type="spellEnd"/>
      <w:r w:rsidRPr="00FF5D53">
        <w:rPr>
          <w:rFonts w:ascii="Arial" w:hAnsi="Arial" w:cs="Arial"/>
        </w:rPr>
        <w:t xml:space="preserve"> to prolonged submersion, emphasizing the need for water management strategies during periods of heavy rainfall or poor drainage. The findings also suggest the importance of screening and selecting </w:t>
      </w:r>
      <w:proofErr w:type="spellStart"/>
      <w:r w:rsidRPr="00FF5D53">
        <w:rPr>
          <w:rFonts w:ascii="Arial" w:hAnsi="Arial" w:cs="Arial"/>
        </w:rPr>
        <w:t>pechay</w:t>
      </w:r>
      <w:proofErr w:type="spellEnd"/>
      <w:r w:rsidRPr="00FF5D53">
        <w:rPr>
          <w:rFonts w:ascii="Arial" w:hAnsi="Arial" w:cs="Arial"/>
        </w:rPr>
        <w:t xml:space="preserve"> varieties with greater flood tolerance for areas prone to waterlogging.</w:t>
      </w:r>
    </w:p>
    <w:p w14:paraId="3A570AF6" w14:textId="15F62A2A" w:rsidR="00FF5D53" w:rsidRDefault="00FF5D53" w:rsidP="00FF5D53">
      <w:pPr>
        <w:pStyle w:val="Body"/>
        <w:spacing w:after="0"/>
        <w:rPr>
          <w:rFonts w:ascii="Arial" w:hAnsi="Arial" w:cs="Arial"/>
        </w:rPr>
      </w:pPr>
      <w:r w:rsidRPr="00C74E82">
        <w:rPr>
          <w:rFonts w:ascii="Arial" w:hAnsi="Arial" w:cs="Arial"/>
          <w:b/>
          <w:bCs/>
        </w:rPr>
        <w:t>Interaction Effect.</w:t>
      </w:r>
      <w:r w:rsidRPr="00FF5D53">
        <w:rPr>
          <w:rFonts w:ascii="Arial" w:hAnsi="Arial" w:cs="Arial"/>
        </w:rPr>
        <w:t xml:space="preserve">  Table 1</w:t>
      </w:r>
      <w:r w:rsidR="00A60F49">
        <w:rPr>
          <w:rFonts w:ascii="Arial" w:hAnsi="Arial" w:cs="Arial"/>
        </w:rPr>
        <w:t>c</w:t>
      </w:r>
      <w:r w:rsidRPr="00FF5D53">
        <w:rPr>
          <w:rFonts w:ascii="Arial" w:hAnsi="Arial" w:cs="Arial"/>
        </w:rPr>
        <w:t xml:space="preserve"> presents the interaction effect between </w:t>
      </w:r>
      <w:proofErr w:type="spellStart"/>
      <w:r w:rsidRPr="00FF5D53">
        <w:rPr>
          <w:rFonts w:ascii="Arial" w:hAnsi="Arial" w:cs="Arial"/>
        </w:rPr>
        <w:t>pechay</w:t>
      </w:r>
      <w:proofErr w:type="spellEnd"/>
      <w:r w:rsidRPr="00FF5D53">
        <w:rPr>
          <w:rFonts w:ascii="Arial" w:hAnsi="Arial" w:cs="Arial"/>
        </w:rPr>
        <w:t xml:space="preserve"> varieties and submersion period on the percentage survival of </w:t>
      </w:r>
      <w:proofErr w:type="spellStart"/>
      <w:r w:rsidRPr="00FF5D53">
        <w:rPr>
          <w:rFonts w:ascii="Arial" w:hAnsi="Arial" w:cs="Arial"/>
        </w:rPr>
        <w:t>pechay</w:t>
      </w:r>
      <w:proofErr w:type="spellEnd"/>
      <w:r w:rsidRPr="00FF5D53">
        <w:rPr>
          <w:rFonts w:ascii="Arial" w:hAnsi="Arial" w:cs="Arial"/>
        </w:rPr>
        <w:t xml:space="preserve"> varieties gathered at post-submersion period. This finding suggests that the percentage survival of </w:t>
      </w:r>
      <w:proofErr w:type="spellStart"/>
      <w:r w:rsidRPr="00FF5D53">
        <w:rPr>
          <w:rFonts w:ascii="Arial" w:hAnsi="Arial" w:cs="Arial"/>
        </w:rPr>
        <w:t>pechay</w:t>
      </w:r>
      <w:proofErr w:type="spellEnd"/>
      <w:r w:rsidRPr="00FF5D53">
        <w:rPr>
          <w:rFonts w:ascii="Arial" w:hAnsi="Arial" w:cs="Arial"/>
        </w:rPr>
        <w:t xml:space="preserve"> varieties is not significantly influenced by the interaction between </w:t>
      </w:r>
      <w:proofErr w:type="spellStart"/>
      <w:r w:rsidRPr="00FF5D53">
        <w:rPr>
          <w:rFonts w:ascii="Arial" w:hAnsi="Arial" w:cs="Arial"/>
        </w:rPr>
        <w:t>pechay</w:t>
      </w:r>
      <w:proofErr w:type="spellEnd"/>
      <w:r w:rsidRPr="00FF5D53">
        <w:rPr>
          <w:rFonts w:ascii="Arial" w:hAnsi="Arial" w:cs="Arial"/>
        </w:rPr>
        <w:t xml:space="preserve"> varieties and the submersion period. Therefore, any of the treatment combinations can be effectively used without negatively impacting the percentage survival.  </w:t>
      </w:r>
    </w:p>
    <w:p w14:paraId="6F53EFAC" w14:textId="77777777" w:rsidR="00083CFD" w:rsidRDefault="00083CFD" w:rsidP="00083CFD">
      <w:pPr>
        <w:pStyle w:val="Body"/>
        <w:spacing w:after="0"/>
        <w:rPr>
          <w:rFonts w:ascii="Arial" w:hAnsi="Arial" w:cs="Arial"/>
        </w:rPr>
      </w:pPr>
    </w:p>
    <w:p w14:paraId="2EE5CCF4" w14:textId="31C6BE66" w:rsidR="00083CFD" w:rsidRDefault="00083CFD" w:rsidP="00083CFD">
      <w:pPr>
        <w:pStyle w:val="Body"/>
        <w:spacing w:after="0"/>
        <w:rPr>
          <w:rFonts w:ascii="Arial" w:hAnsi="Arial" w:cs="Arial"/>
        </w:rPr>
      </w:pPr>
      <w:r w:rsidRPr="00083CFD">
        <w:rPr>
          <w:rFonts w:ascii="Arial" w:hAnsi="Arial" w:cs="Arial"/>
        </w:rPr>
        <w:t>Table 1</w:t>
      </w:r>
      <w:r w:rsidR="00A60F49">
        <w:rPr>
          <w:rFonts w:ascii="Arial" w:hAnsi="Arial" w:cs="Arial"/>
        </w:rPr>
        <w:t>c</w:t>
      </w:r>
      <w:r w:rsidRPr="00083CFD">
        <w:rPr>
          <w:rFonts w:ascii="Arial" w:hAnsi="Arial" w:cs="Arial"/>
        </w:rPr>
        <w:t xml:space="preserve">. Interaction Table Between </w:t>
      </w:r>
      <w:proofErr w:type="spellStart"/>
      <w:r w:rsidRPr="00083CFD">
        <w:rPr>
          <w:rFonts w:ascii="Arial" w:hAnsi="Arial" w:cs="Arial"/>
        </w:rPr>
        <w:t>Pechay</w:t>
      </w:r>
      <w:proofErr w:type="spellEnd"/>
      <w:r w:rsidRPr="00083CFD">
        <w:rPr>
          <w:rFonts w:ascii="Arial" w:hAnsi="Arial" w:cs="Arial"/>
        </w:rPr>
        <w:t xml:space="preserve"> Varieties and Submersion Period</w:t>
      </w:r>
    </w:p>
    <w:tbl>
      <w:tblPr>
        <w:tblpPr w:leftFromText="180" w:rightFromText="180" w:vertAnchor="text" w:horzAnchor="margin" w:tblpY="419"/>
        <w:tblW w:w="5000" w:type="pct"/>
        <w:tblLook w:val="04A0" w:firstRow="1" w:lastRow="0" w:firstColumn="1" w:lastColumn="0" w:noHBand="0" w:noVBand="1"/>
      </w:tblPr>
      <w:tblGrid>
        <w:gridCol w:w="6312"/>
        <w:gridCol w:w="4704"/>
      </w:tblGrid>
      <w:tr w:rsidR="00083CFD" w:rsidRPr="00083CFD" w14:paraId="503992AD" w14:textId="77777777" w:rsidTr="00310B86">
        <w:trPr>
          <w:trHeight w:val="543"/>
        </w:trPr>
        <w:tc>
          <w:tcPr>
            <w:tcW w:w="2865" w:type="pct"/>
            <w:tcBorders>
              <w:top w:val="double" w:sz="12" w:space="0" w:color="auto"/>
              <w:bottom w:val="single" w:sz="12" w:space="0" w:color="auto"/>
            </w:tcBorders>
          </w:tcPr>
          <w:p w14:paraId="773655D6" w14:textId="77777777" w:rsidR="00083CFD" w:rsidRPr="00083CFD" w:rsidRDefault="00083CFD" w:rsidP="00083CFD">
            <w:pPr>
              <w:widowControl w:val="0"/>
              <w:autoSpaceDE w:val="0"/>
              <w:autoSpaceDN w:val="0"/>
              <w:rPr>
                <w:rFonts w:ascii="Arial" w:eastAsia="Arial MT" w:hAnsi="Arial" w:cs="Arial"/>
                <w:bCs/>
                <w:color w:val="000000" w:themeColor="text1"/>
                <w:lang w:eastAsia="en-PH"/>
              </w:rPr>
            </w:pPr>
            <w:r w:rsidRPr="00083CFD">
              <w:rPr>
                <w:rFonts w:ascii="Arial" w:eastAsia="Arial MT" w:hAnsi="Arial" w:cs="Arial"/>
                <w:bCs/>
                <w:color w:val="000000" w:themeColor="text1"/>
                <w:lang w:eastAsia="en-PH"/>
              </w:rPr>
              <w:t>Treatment</w:t>
            </w:r>
          </w:p>
        </w:tc>
        <w:tc>
          <w:tcPr>
            <w:tcW w:w="2135" w:type="pct"/>
            <w:tcBorders>
              <w:top w:val="double" w:sz="12" w:space="0" w:color="auto"/>
              <w:bottom w:val="single" w:sz="12" w:space="0" w:color="auto"/>
            </w:tcBorders>
            <w:vAlign w:val="center"/>
          </w:tcPr>
          <w:p w14:paraId="7A87E3E1" w14:textId="77777777" w:rsidR="00083CFD" w:rsidRPr="00083CFD" w:rsidRDefault="00083CFD" w:rsidP="00083CFD">
            <w:pPr>
              <w:widowControl w:val="0"/>
              <w:autoSpaceDE w:val="0"/>
              <w:autoSpaceDN w:val="0"/>
              <w:jc w:val="center"/>
              <w:rPr>
                <w:rFonts w:ascii="Arial" w:eastAsia="Arial MT" w:hAnsi="Arial" w:cs="Arial"/>
                <w:bCs/>
                <w:color w:val="000000" w:themeColor="text1"/>
                <w:vertAlign w:val="superscript"/>
              </w:rPr>
            </w:pPr>
            <w:r w:rsidRPr="00083CFD">
              <w:rPr>
                <w:rFonts w:ascii="Arial" w:eastAsia="Arial MT" w:hAnsi="Arial" w:cs="Arial"/>
                <w:bCs/>
                <w:color w:val="000000" w:themeColor="text1"/>
              </w:rPr>
              <w:t>Percentage Survival at Post Submersion Period (</w:t>
            </w:r>
            <w:proofErr w:type="gramStart"/>
            <w:r w:rsidRPr="00083CFD">
              <w:rPr>
                <w:rFonts w:ascii="Arial" w:eastAsia="Arial MT" w:hAnsi="Arial" w:cs="Arial"/>
                <w:bCs/>
                <w:color w:val="000000" w:themeColor="text1"/>
              </w:rPr>
              <w:t>%)</w:t>
            </w:r>
            <w:r w:rsidRPr="00083CFD">
              <w:rPr>
                <w:rFonts w:ascii="Arial" w:eastAsia="Arial MT" w:hAnsi="Arial" w:cs="Arial"/>
                <w:bCs/>
                <w:color w:val="000000" w:themeColor="text1"/>
                <w:vertAlign w:val="superscript"/>
              </w:rPr>
              <w:t>+</w:t>
            </w:r>
            <w:proofErr w:type="gramEnd"/>
          </w:p>
          <w:p w14:paraId="4A3E39BB" w14:textId="77777777" w:rsidR="00083CFD" w:rsidRPr="00083CFD" w:rsidRDefault="00083CFD" w:rsidP="00083CFD">
            <w:pPr>
              <w:widowControl w:val="0"/>
              <w:autoSpaceDE w:val="0"/>
              <w:autoSpaceDN w:val="0"/>
              <w:jc w:val="center"/>
              <w:rPr>
                <w:rFonts w:ascii="Arial" w:eastAsia="Arial MT" w:hAnsi="Arial" w:cs="Arial"/>
                <w:bCs/>
                <w:color w:val="000000" w:themeColor="text1"/>
                <w:vertAlign w:val="superscript"/>
                <w:lang w:eastAsia="en-PH"/>
              </w:rPr>
            </w:pPr>
          </w:p>
        </w:tc>
      </w:tr>
      <w:tr w:rsidR="00083CFD" w:rsidRPr="00083CFD" w14:paraId="6E610DCA" w14:textId="77777777" w:rsidTr="00310B86">
        <w:tc>
          <w:tcPr>
            <w:tcW w:w="2865" w:type="pct"/>
            <w:tcBorders>
              <w:top w:val="single" w:sz="12" w:space="0" w:color="auto"/>
            </w:tcBorders>
          </w:tcPr>
          <w:p w14:paraId="4BBCC539"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lastRenderedPageBreak/>
              <w:t>A</w:t>
            </w:r>
            <w:r w:rsidRPr="00083CFD">
              <w:rPr>
                <w:rFonts w:ascii="Arial" w:eastAsia="Arial MT" w:hAnsi="Arial" w:cs="Arial"/>
                <w:color w:val="000000" w:themeColor="text1"/>
                <w:vertAlign w:val="subscript"/>
                <w:lang w:eastAsia="en-PH"/>
              </w:rPr>
              <w:t>1</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0 </w:t>
            </w:r>
          </w:p>
        </w:tc>
        <w:tc>
          <w:tcPr>
            <w:tcW w:w="2135" w:type="pct"/>
            <w:tcBorders>
              <w:top w:val="single" w:sz="12" w:space="0" w:color="auto"/>
            </w:tcBorders>
            <w:vAlign w:val="center"/>
          </w:tcPr>
          <w:p w14:paraId="23E6F566"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100.00</w:t>
            </w:r>
          </w:p>
        </w:tc>
      </w:tr>
      <w:tr w:rsidR="00083CFD" w:rsidRPr="00083CFD" w14:paraId="66EF4B20" w14:textId="77777777" w:rsidTr="00310B86">
        <w:tc>
          <w:tcPr>
            <w:tcW w:w="2865" w:type="pct"/>
          </w:tcPr>
          <w:p w14:paraId="1C5AE004"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1</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1 </w:t>
            </w:r>
          </w:p>
        </w:tc>
        <w:tc>
          <w:tcPr>
            <w:tcW w:w="2135" w:type="pct"/>
            <w:vAlign w:val="center"/>
          </w:tcPr>
          <w:p w14:paraId="6550C701"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94.43</w:t>
            </w:r>
          </w:p>
        </w:tc>
      </w:tr>
      <w:tr w:rsidR="00083CFD" w:rsidRPr="00083CFD" w14:paraId="342A036A" w14:textId="77777777" w:rsidTr="00310B86">
        <w:trPr>
          <w:trHeight w:val="267"/>
        </w:trPr>
        <w:tc>
          <w:tcPr>
            <w:tcW w:w="2865" w:type="pct"/>
          </w:tcPr>
          <w:p w14:paraId="0521FBB2" w14:textId="77777777" w:rsidR="00083CFD" w:rsidRPr="00083CFD" w:rsidRDefault="00083CFD" w:rsidP="00083CFD">
            <w:pPr>
              <w:widowControl w:val="0"/>
              <w:autoSpaceDE w:val="0"/>
              <w:autoSpaceDN w:val="0"/>
              <w:jc w:val="both"/>
              <w:rPr>
                <w:rFonts w:ascii="Arial" w:eastAsia="Arial MT" w:hAnsi="Arial" w:cs="Arial"/>
                <w:bCs/>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1</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2</w:t>
            </w:r>
          </w:p>
        </w:tc>
        <w:tc>
          <w:tcPr>
            <w:tcW w:w="2135" w:type="pct"/>
            <w:vAlign w:val="center"/>
          </w:tcPr>
          <w:p w14:paraId="03C192D1"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94.43</w:t>
            </w:r>
          </w:p>
        </w:tc>
      </w:tr>
      <w:tr w:rsidR="00083CFD" w:rsidRPr="00083CFD" w14:paraId="2D3AE02C" w14:textId="77777777" w:rsidTr="00310B86">
        <w:tc>
          <w:tcPr>
            <w:tcW w:w="2865" w:type="pct"/>
          </w:tcPr>
          <w:p w14:paraId="4AD1C8C8"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bCs/>
                <w:color w:val="000000" w:themeColor="text1"/>
                <w:lang w:eastAsia="en-PH"/>
              </w:rPr>
              <w:t>A</w:t>
            </w:r>
            <w:r w:rsidRPr="00083CFD">
              <w:rPr>
                <w:rFonts w:ascii="Arial" w:eastAsia="Arial MT" w:hAnsi="Arial" w:cs="Arial"/>
                <w:color w:val="000000" w:themeColor="text1"/>
                <w:vertAlign w:val="subscript"/>
                <w:lang w:eastAsia="en-PH"/>
              </w:rPr>
              <w:t>1</w:t>
            </w:r>
            <w:r w:rsidRPr="00083CFD">
              <w:rPr>
                <w:rFonts w:ascii="Arial" w:eastAsia="Arial MT" w:hAnsi="Arial" w:cs="Arial"/>
                <w:bCs/>
                <w:color w:val="000000" w:themeColor="text1"/>
                <w:lang w:eastAsia="en-PH"/>
              </w:rPr>
              <w:t>B</w:t>
            </w:r>
            <w:r w:rsidRPr="00083CFD">
              <w:rPr>
                <w:rFonts w:ascii="Arial" w:eastAsia="Arial MT" w:hAnsi="Arial" w:cs="Arial"/>
                <w:bCs/>
                <w:color w:val="000000" w:themeColor="text1"/>
                <w:vertAlign w:val="subscript"/>
                <w:lang w:eastAsia="en-PH"/>
              </w:rPr>
              <w:t>3</w:t>
            </w:r>
          </w:p>
        </w:tc>
        <w:tc>
          <w:tcPr>
            <w:tcW w:w="2135" w:type="pct"/>
            <w:vAlign w:val="bottom"/>
          </w:tcPr>
          <w:p w14:paraId="6D10813D"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77.73</w:t>
            </w:r>
          </w:p>
        </w:tc>
      </w:tr>
      <w:tr w:rsidR="00083CFD" w:rsidRPr="00083CFD" w14:paraId="17FD2098" w14:textId="77777777" w:rsidTr="00310B86">
        <w:tc>
          <w:tcPr>
            <w:tcW w:w="2865" w:type="pct"/>
          </w:tcPr>
          <w:p w14:paraId="46B6B7C0" w14:textId="77777777" w:rsidR="00083CFD" w:rsidRPr="00083CFD" w:rsidRDefault="00083CFD" w:rsidP="00083CFD">
            <w:pPr>
              <w:widowControl w:val="0"/>
              <w:autoSpaceDE w:val="0"/>
              <w:autoSpaceDN w:val="0"/>
              <w:jc w:val="both"/>
              <w:rPr>
                <w:rFonts w:ascii="Arial" w:eastAsia="Arial MT" w:hAnsi="Arial" w:cs="Arial"/>
                <w:bCs/>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0</w:t>
            </w:r>
          </w:p>
        </w:tc>
        <w:tc>
          <w:tcPr>
            <w:tcW w:w="2135" w:type="pct"/>
            <w:vAlign w:val="center"/>
          </w:tcPr>
          <w:p w14:paraId="6AB40A54"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100.00</w:t>
            </w:r>
          </w:p>
        </w:tc>
      </w:tr>
      <w:tr w:rsidR="00083CFD" w:rsidRPr="00083CFD" w14:paraId="5C1A35E7" w14:textId="77777777" w:rsidTr="00310B86">
        <w:tc>
          <w:tcPr>
            <w:tcW w:w="2865" w:type="pct"/>
          </w:tcPr>
          <w:p w14:paraId="64D82628"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1 </w:t>
            </w:r>
          </w:p>
        </w:tc>
        <w:tc>
          <w:tcPr>
            <w:tcW w:w="2135" w:type="pct"/>
            <w:vAlign w:val="center"/>
          </w:tcPr>
          <w:p w14:paraId="533CBC8C"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94.43</w:t>
            </w:r>
          </w:p>
        </w:tc>
      </w:tr>
      <w:tr w:rsidR="00083CFD" w:rsidRPr="00083CFD" w14:paraId="0921607C" w14:textId="77777777" w:rsidTr="00310B86">
        <w:tc>
          <w:tcPr>
            <w:tcW w:w="2865" w:type="pct"/>
          </w:tcPr>
          <w:p w14:paraId="7492C019"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 xml:space="preserve">2 </w:t>
            </w:r>
          </w:p>
        </w:tc>
        <w:tc>
          <w:tcPr>
            <w:tcW w:w="2135" w:type="pct"/>
            <w:vAlign w:val="center"/>
          </w:tcPr>
          <w:p w14:paraId="3CE06F7A"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83.33</w:t>
            </w:r>
          </w:p>
        </w:tc>
      </w:tr>
      <w:tr w:rsidR="00083CFD" w:rsidRPr="00083CFD" w14:paraId="15E11571" w14:textId="77777777" w:rsidTr="00310B86">
        <w:trPr>
          <w:trHeight w:val="70"/>
        </w:trPr>
        <w:tc>
          <w:tcPr>
            <w:tcW w:w="2865" w:type="pct"/>
            <w:tcBorders>
              <w:bottom w:val="double" w:sz="12" w:space="0" w:color="auto"/>
            </w:tcBorders>
          </w:tcPr>
          <w:p w14:paraId="607F1B42" w14:textId="77777777" w:rsidR="00083CFD" w:rsidRPr="00083CFD" w:rsidRDefault="00083CFD" w:rsidP="00083CFD">
            <w:pPr>
              <w:widowControl w:val="0"/>
              <w:autoSpaceDE w:val="0"/>
              <w:autoSpaceDN w:val="0"/>
              <w:jc w:val="both"/>
              <w:rPr>
                <w:rFonts w:ascii="Arial" w:eastAsia="Arial MT" w:hAnsi="Arial" w:cs="Arial"/>
                <w:color w:val="000000" w:themeColor="text1"/>
                <w:lang w:eastAsia="en-PH"/>
              </w:rPr>
            </w:pPr>
            <w:r w:rsidRPr="00083CFD">
              <w:rPr>
                <w:rFonts w:ascii="Arial" w:eastAsia="Arial MT" w:hAnsi="Arial" w:cs="Arial"/>
                <w:color w:val="000000" w:themeColor="text1"/>
                <w:lang w:eastAsia="en-PH"/>
              </w:rPr>
              <w:t>A</w:t>
            </w:r>
            <w:r w:rsidRPr="00083CFD">
              <w:rPr>
                <w:rFonts w:ascii="Arial" w:eastAsia="Arial MT" w:hAnsi="Arial" w:cs="Arial"/>
                <w:color w:val="000000" w:themeColor="text1"/>
                <w:vertAlign w:val="subscript"/>
                <w:lang w:eastAsia="en-PH"/>
              </w:rPr>
              <w:t>2</w:t>
            </w:r>
            <w:r w:rsidRPr="00083CFD">
              <w:rPr>
                <w:rFonts w:ascii="Arial" w:eastAsia="Arial MT" w:hAnsi="Arial" w:cs="Arial"/>
                <w:color w:val="000000" w:themeColor="text1"/>
                <w:lang w:eastAsia="en-PH"/>
              </w:rPr>
              <w:t>B</w:t>
            </w:r>
            <w:r w:rsidRPr="00083CFD">
              <w:rPr>
                <w:rFonts w:ascii="Arial" w:eastAsia="Arial MT" w:hAnsi="Arial" w:cs="Arial"/>
                <w:color w:val="000000" w:themeColor="text1"/>
                <w:vertAlign w:val="subscript"/>
                <w:lang w:eastAsia="en-PH"/>
              </w:rPr>
              <w:t>3</w:t>
            </w:r>
          </w:p>
        </w:tc>
        <w:tc>
          <w:tcPr>
            <w:tcW w:w="2135" w:type="pct"/>
            <w:tcBorders>
              <w:bottom w:val="double" w:sz="12" w:space="0" w:color="auto"/>
            </w:tcBorders>
            <w:vAlign w:val="center"/>
          </w:tcPr>
          <w:p w14:paraId="0745A53F" w14:textId="77777777" w:rsidR="00083CFD" w:rsidRPr="00083CFD" w:rsidRDefault="00083CFD" w:rsidP="00083CFD">
            <w:pPr>
              <w:widowControl w:val="0"/>
              <w:autoSpaceDE w:val="0"/>
              <w:autoSpaceDN w:val="0"/>
              <w:jc w:val="center"/>
              <w:rPr>
                <w:rFonts w:ascii="Arial" w:eastAsia="Arial MT" w:hAnsi="Arial" w:cs="Arial"/>
                <w:color w:val="000000" w:themeColor="text1"/>
                <w:lang w:eastAsia="en-PH"/>
              </w:rPr>
            </w:pPr>
            <w:r w:rsidRPr="00083CFD">
              <w:rPr>
                <w:rFonts w:ascii="Arial" w:hAnsi="Arial" w:cs="Arial"/>
                <w:color w:val="000000"/>
                <w:lang w:eastAsia="en-PH"/>
              </w:rPr>
              <w:t>61.07</w:t>
            </w:r>
          </w:p>
        </w:tc>
      </w:tr>
    </w:tbl>
    <w:p w14:paraId="6DCFE34D" w14:textId="77777777" w:rsidR="00083CFD" w:rsidRDefault="00083CFD" w:rsidP="00083CFD">
      <w:pPr>
        <w:pStyle w:val="Body"/>
        <w:spacing w:after="0"/>
        <w:rPr>
          <w:rFonts w:ascii="Arial" w:hAnsi="Arial" w:cs="Arial"/>
        </w:rPr>
      </w:pPr>
    </w:p>
    <w:p w14:paraId="03190BB7" w14:textId="6EF61414" w:rsidR="00790ADA" w:rsidRDefault="003A56A7" w:rsidP="00441B6F">
      <w:pPr>
        <w:pStyle w:val="Body"/>
        <w:spacing w:after="0"/>
        <w:rPr>
          <w:rFonts w:ascii="Arial" w:hAnsi="Arial" w:cs="Arial"/>
        </w:rPr>
      </w:pPr>
      <w:r w:rsidRPr="003A56A7">
        <w:rPr>
          <w:rFonts w:ascii="Arial" w:hAnsi="Arial" w:cs="Arial"/>
        </w:rPr>
        <w:t>+= not significant at p &lt; 0.05</w:t>
      </w:r>
    </w:p>
    <w:p w14:paraId="54BB6ED7" w14:textId="77777777" w:rsidR="003A56A7" w:rsidRDefault="003A56A7" w:rsidP="00441B6F">
      <w:pPr>
        <w:pStyle w:val="Body"/>
        <w:spacing w:after="0"/>
        <w:rPr>
          <w:rFonts w:ascii="Arial" w:hAnsi="Arial" w:cs="Arial"/>
        </w:rPr>
      </w:pPr>
    </w:p>
    <w:p w14:paraId="7AB23F36" w14:textId="77777777" w:rsidR="003A56A7" w:rsidRPr="00253948" w:rsidRDefault="003A56A7" w:rsidP="003A56A7">
      <w:pPr>
        <w:pStyle w:val="Body"/>
        <w:rPr>
          <w:rFonts w:ascii="Arial" w:hAnsi="Arial" w:cs="Arial"/>
          <w:b/>
          <w:bCs/>
        </w:rPr>
      </w:pPr>
      <w:r w:rsidRPr="00253948">
        <w:rPr>
          <w:rFonts w:ascii="Arial" w:hAnsi="Arial" w:cs="Arial"/>
          <w:b/>
          <w:bCs/>
        </w:rPr>
        <w:t>Plant Height (cm)</w:t>
      </w:r>
    </w:p>
    <w:p w14:paraId="02A4DCD1" w14:textId="7808BF4B" w:rsidR="003A56A7" w:rsidRPr="003A56A7" w:rsidRDefault="003A56A7" w:rsidP="003A56A7">
      <w:pPr>
        <w:pStyle w:val="Body"/>
        <w:rPr>
          <w:rFonts w:ascii="Arial" w:hAnsi="Arial" w:cs="Arial"/>
        </w:rPr>
      </w:pPr>
      <w:r w:rsidRPr="003A56A7">
        <w:rPr>
          <w:rFonts w:ascii="Arial" w:hAnsi="Arial" w:cs="Arial"/>
        </w:rPr>
        <w:t xml:space="preserve">As to the final height of </w:t>
      </w:r>
      <w:proofErr w:type="spellStart"/>
      <w:r w:rsidRPr="003A56A7">
        <w:rPr>
          <w:rFonts w:ascii="Arial" w:hAnsi="Arial" w:cs="Arial"/>
        </w:rPr>
        <w:t>pechay</w:t>
      </w:r>
      <w:proofErr w:type="spellEnd"/>
      <w:r w:rsidRPr="003A56A7">
        <w:rPr>
          <w:rFonts w:ascii="Arial" w:hAnsi="Arial" w:cs="Arial"/>
        </w:rPr>
        <w:t xml:space="preserve"> varieties as affected by submersion period (Figure 1), Analysis of Variance showed a significant difference in plant height at 72 hours post-submersion. A particularly noteworthy result was that plants under the control treatment (non- submerged) reached the tallest height of 114.50 cm and the only treatment that showed an increase in height after 72 hours. In contrast, all submerged plants either decreased in height or showed a little growth. The decline in height was most pronounced in plants submerged for 72 hours.   </w:t>
      </w:r>
    </w:p>
    <w:p w14:paraId="2255752F" w14:textId="09B7EA49" w:rsidR="003A56A7" w:rsidRDefault="003A56A7" w:rsidP="003A56A7">
      <w:pPr>
        <w:pStyle w:val="Body"/>
        <w:spacing w:after="0"/>
        <w:rPr>
          <w:rFonts w:ascii="Arial" w:hAnsi="Arial" w:cs="Arial"/>
        </w:rPr>
      </w:pPr>
      <w:r w:rsidRPr="003A56A7">
        <w:rPr>
          <w:rFonts w:ascii="Arial" w:hAnsi="Arial" w:cs="Arial"/>
        </w:rPr>
        <w:t>Interestingly, the plants submerged for only 24 hours experience a very little decrease in height (0.3cm), indicating that their physiological functions were already affected, albeit not to a destructive extent. This stagnation suggests that even short-term submersion can disturb normal plant metabolic activities such as cell elongation and nutrient transport.</w:t>
      </w:r>
    </w:p>
    <w:p w14:paraId="6ECF1E08" w14:textId="77777777" w:rsidR="003A56A7" w:rsidRDefault="003A56A7" w:rsidP="003A56A7">
      <w:pPr>
        <w:pStyle w:val="Body"/>
        <w:spacing w:after="0"/>
        <w:rPr>
          <w:rFonts w:ascii="Arial" w:hAnsi="Arial" w:cs="Arial"/>
        </w:rPr>
      </w:pPr>
    </w:p>
    <w:p w14:paraId="3A8DE760" w14:textId="0760F990" w:rsidR="003A56A7" w:rsidRDefault="003A56A7" w:rsidP="00EE22B6">
      <w:pPr>
        <w:pStyle w:val="Body"/>
        <w:spacing w:after="0"/>
        <w:jc w:val="center"/>
        <w:rPr>
          <w:rFonts w:ascii="Arial" w:hAnsi="Arial" w:cs="Arial"/>
        </w:rPr>
      </w:pPr>
      <w:r>
        <w:rPr>
          <w:noProof/>
        </w:rPr>
        <w:drawing>
          <wp:inline distT="0" distB="0" distL="0" distR="0" wp14:anchorId="2E52BF30" wp14:editId="70AEA510">
            <wp:extent cx="5212080" cy="2765780"/>
            <wp:effectExtent l="0" t="0" r="0" b="0"/>
            <wp:docPr id="25" name="Chart 25">
              <a:extLst xmlns:a="http://schemas.openxmlformats.org/drawingml/2006/main">
                <a:ext uri="{FF2B5EF4-FFF2-40B4-BE49-F238E27FC236}">
                  <a16:creationId xmlns:a16="http://schemas.microsoft.com/office/drawing/2014/main" id="{4A0A898A-FD0D-0A72-10B1-15882413A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B78552" w14:textId="0A59C9F1" w:rsidR="003A56A7" w:rsidRDefault="003A56A7" w:rsidP="003A56A7">
      <w:pPr>
        <w:pStyle w:val="Body"/>
        <w:spacing w:after="0"/>
        <w:rPr>
          <w:rFonts w:ascii="Arial" w:hAnsi="Arial" w:cs="Arial"/>
        </w:rPr>
      </w:pPr>
      <w:r w:rsidRPr="003A56A7">
        <w:rPr>
          <w:rFonts w:ascii="Arial" w:hAnsi="Arial" w:cs="Arial"/>
        </w:rPr>
        <w:t>*=significant at p &lt; 0.05.  Means with the same letter are not significantly different; means with the same letters are significantly different.</w:t>
      </w:r>
    </w:p>
    <w:p w14:paraId="3E6869AB" w14:textId="77777777" w:rsidR="003A56A7" w:rsidRDefault="003A56A7" w:rsidP="003A56A7">
      <w:pPr>
        <w:pStyle w:val="Body"/>
        <w:spacing w:after="0"/>
        <w:jc w:val="center"/>
        <w:rPr>
          <w:rFonts w:ascii="Arial" w:hAnsi="Arial" w:cs="Arial"/>
        </w:rPr>
      </w:pPr>
    </w:p>
    <w:p w14:paraId="2AF3451F" w14:textId="5B8CAA26" w:rsidR="003A56A7" w:rsidRDefault="003A56A7" w:rsidP="003A56A7">
      <w:pPr>
        <w:pStyle w:val="Body"/>
        <w:spacing w:after="0"/>
        <w:jc w:val="center"/>
        <w:rPr>
          <w:rFonts w:ascii="Arial" w:hAnsi="Arial" w:cs="Arial"/>
        </w:rPr>
      </w:pPr>
      <w:r w:rsidRPr="003A56A7">
        <w:rPr>
          <w:rFonts w:ascii="Arial" w:hAnsi="Arial" w:cs="Arial"/>
        </w:rPr>
        <w:t xml:space="preserve">Fig. 1.  Final Height of </w:t>
      </w:r>
      <w:proofErr w:type="spellStart"/>
      <w:r w:rsidRPr="003A56A7">
        <w:rPr>
          <w:rFonts w:ascii="Arial" w:hAnsi="Arial" w:cs="Arial"/>
        </w:rPr>
        <w:t>Pechay</w:t>
      </w:r>
      <w:proofErr w:type="spellEnd"/>
      <w:r w:rsidRPr="003A56A7">
        <w:rPr>
          <w:rFonts w:ascii="Arial" w:hAnsi="Arial" w:cs="Arial"/>
        </w:rPr>
        <w:t xml:space="preserve"> as Affected by Submersion Period</w:t>
      </w:r>
    </w:p>
    <w:p w14:paraId="3C0EEF8A" w14:textId="77777777" w:rsidR="003A56A7" w:rsidRDefault="003A56A7" w:rsidP="003A56A7">
      <w:pPr>
        <w:pStyle w:val="Body"/>
        <w:spacing w:after="0"/>
        <w:rPr>
          <w:rFonts w:ascii="Arial" w:hAnsi="Arial" w:cs="Arial"/>
        </w:rPr>
      </w:pPr>
    </w:p>
    <w:p w14:paraId="59C21DC7" w14:textId="717551AA" w:rsidR="003A56A7" w:rsidRPr="003A56A7" w:rsidRDefault="003A56A7" w:rsidP="003A56A7">
      <w:pPr>
        <w:pStyle w:val="Body"/>
        <w:rPr>
          <w:rFonts w:ascii="Arial" w:hAnsi="Arial" w:cs="Arial"/>
        </w:rPr>
      </w:pPr>
      <w:r w:rsidRPr="003A56A7">
        <w:rPr>
          <w:rFonts w:ascii="Arial" w:hAnsi="Arial" w:cs="Arial"/>
        </w:rPr>
        <w:t>Waterlogging or submersion affects plant growth by limiting oxygen availability in the root zone, which is crucial for aerobic respiration. Oxygen deprivation leads to a decline in root metabolic activity, causing reduced nutrient uptake and inhibition of hormone-regulated growth processes such as gibberellin-induced stem elongation (Setter &amp; Waters, 2003). According to Jackson and Colmer (2005), hypoxic conditions resulting from waterlogging suppress cell division and elongation, thereby halting vertical growth. Similarly, Dat et al. (2004) noted that prolonged submersion triggers ethylene accumulation and reactive oxygen species (ROS) formation, which in turn leads to oxidative stress and leaf senescence.</w:t>
      </w:r>
    </w:p>
    <w:p w14:paraId="3BD7E06B" w14:textId="2848A81A" w:rsidR="003A56A7" w:rsidRPr="003A56A7" w:rsidRDefault="003A56A7" w:rsidP="003A56A7">
      <w:pPr>
        <w:pStyle w:val="Body"/>
        <w:rPr>
          <w:rFonts w:ascii="Arial" w:hAnsi="Arial" w:cs="Arial"/>
        </w:rPr>
      </w:pPr>
      <w:r w:rsidRPr="003A56A7">
        <w:rPr>
          <w:rFonts w:ascii="Arial" w:hAnsi="Arial" w:cs="Arial"/>
        </w:rPr>
        <w:t>In a study on Brassica crops, Malik et al. (2002) observed that plant height and biomass accumulation were significantly reduced after 48 to 72 hours of waterlogging. These findings are consistent with the present results, where extended submersion caused visible signs of stress and growth retardation.</w:t>
      </w:r>
    </w:p>
    <w:p w14:paraId="3C1985E4" w14:textId="65224A90" w:rsidR="003A56A7" w:rsidRPr="003A56A7" w:rsidRDefault="003A56A7" w:rsidP="003A56A7">
      <w:pPr>
        <w:pStyle w:val="Body"/>
        <w:rPr>
          <w:rFonts w:ascii="Arial" w:hAnsi="Arial" w:cs="Arial"/>
        </w:rPr>
      </w:pPr>
      <w:r w:rsidRPr="003A56A7">
        <w:rPr>
          <w:rFonts w:ascii="Arial" w:hAnsi="Arial" w:cs="Arial"/>
        </w:rPr>
        <w:lastRenderedPageBreak/>
        <w:t>In summary, the observed reduction or stagnation in plant height under submerged conditions confirms that waterlogging severely impairs physiological processes essential for plant development. The lack of oxygen disrupted hormonal signaling, and stress responses collectively contribute to growth inhibition and in some cases, deterioration of plant structure (Herzog et al., 2016).</w:t>
      </w:r>
    </w:p>
    <w:p w14:paraId="79BB9367" w14:textId="422749D7" w:rsidR="003A56A7" w:rsidRDefault="003A56A7" w:rsidP="003A56A7">
      <w:pPr>
        <w:pStyle w:val="Body"/>
        <w:spacing w:after="0"/>
        <w:rPr>
          <w:rFonts w:ascii="Arial" w:hAnsi="Arial" w:cs="Arial"/>
        </w:rPr>
      </w:pPr>
      <w:r w:rsidRPr="00EE22B6">
        <w:rPr>
          <w:rFonts w:ascii="Arial" w:hAnsi="Arial" w:cs="Arial"/>
          <w:b/>
          <w:bCs/>
        </w:rPr>
        <w:t>Interaction Effect.</w:t>
      </w:r>
      <w:r w:rsidRPr="003A56A7">
        <w:rPr>
          <w:rFonts w:ascii="Arial" w:hAnsi="Arial" w:cs="Arial"/>
        </w:rPr>
        <w:t xml:space="preserve"> Table 2 presents the interaction effect between </w:t>
      </w:r>
      <w:proofErr w:type="spellStart"/>
      <w:r w:rsidRPr="003A56A7">
        <w:rPr>
          <w:rFonts w:ascii="Arial" w:hAnsi="Arial" w:cs="Arial"/>
        </w:rPr>
        <w:t>pechay</w:t>
      </w:r>
      <w:proofErr w:type="spellEnd"/>
      <w:r w:rsidRPr="003A56A7">
        <w:rPr>
          <w:rFonts w:ascii="Arial" w:hAnsi="Arial" w:cs="Arial"/>
        </w:rPr>
        <w:t xml:space="preserve"> varieties and submersion period on the height of </w:t>
      </w:r>
      <w:proofErr w:type="spellStart"/>
      <w:r w:rsidRPr="003A56A7">
        <w:rPr>
          <w:rFonts w:ascii="Arial" w:hAnsi="Arial" w:cs="Arial"/>
        </w:rPr>
        <w:t>pechay</w:t>
      </w:r>
      <w:proofErr w:type="spellEnd"/>
      <w:r w:rsidRPr="003A56A7">
        <w:rPr>
          <w:rFonts w:ascii="Arial" w:hAnsi="Arial" w:cs="Arial"/>
        </w:rPr>
        <w:t xml:space="preserve"> varieties.   Analysis of variance revealed a no significant difference among the different treatment </w:t>
      </w:r>
      <w:r>
        <w:rPr>
          <w:rFonts w:ascii="Arial" w:hAnsi="Arial" w:cs="Arial"/>
        </w:rPr>
        <w:t>combinations</w:t>
      </w:r>
      <w:r w:rsidRPr="003A56A7">
        <w:rPr>
          <w:rFonts w:ascii="Arial" w:hAnsi="Arial" w:cs="Arial"/>
        </w:rPr>
        <w:t xml:space="preserve">.  </w:t>
      </w:r>
    </w:p>
    <w:p w14:paraId="683601DD" w14:textId="77777777" w:rsidR="003A56A7" w:rsidRDefault="003A56A7" w:rsidP="003A56A7">
      <w:pPr>
        <w:pStyle w:val="Body"/>
        <w:spacing w:after="0"/>
        <w:rPr>
          <w:rFonts w:ascii="Arial" w:hAnsi="Arial" w:cs="Arial"/>
        </w:rPr>
      </w:pPr>
    </w:p>
    <w:p w14:paraId="6EE1C89B" w14:textId="6657348A" w:rsidR="003A56A7" w:rsidRDefault="003A56A7" w:rsidP="003A56A7">
      <w:pPr>
        <w:pStyle w:val="Body"/>
        <w:spacing w:after="0"/>
        <w:rPr>
          <w:rFonts w:ascii="Arial" w:hAnsi="Arial" w:cs="Arial"/>
        </w:rPr>
      </w:pPr>
      <w:r w:rsidRPr="003A56A7">
        <w:rPr>
          <w:rFonts w:ascii="Arial" w:hAnsi="Arial" w:cs="Arial"/>
        </w:rPr>
        <w:t xml:space="preserve">Table 2. Interaction Table Between </w:t>
      </w:r>
      <w:proofErr w:type="spellStart"/>
      <w:r w:rsidRPr="003A56A7">
        <w:rPr>
          <w:rFonts w:ascii="Arial" w:hAnsi="Arial" w:cs="Arial"/>
        </w:rPr>
        <w:t>Pechay</w:t>
      </w:r>
      <w:proofErr w:type="spellEnd"/>
      <w:r w:rsidRPr="003A56A7">
        <w:rPr>
          <w:rFonts w:ascii="Arial" w:hAnsi="Arial" w:cs="Arial"/>
        </w:rPr>
        <w:t xml:space="preserve"> Varieties   and Submersion Period on the Initial and Final Height of </w:t>
      </w:r>
      <w:proofErr w:type="spellStart"/>
      <w:r w:rsidRPr="003A56A7">
        <w:rPr>
          <w:rFonts w:ascii="Arial" w:hAnsi="Arial" w:cs="Arial"/>
        </w:rPr>
        <w:t>Pechay</w:t>
      </w:r>
      <w:proofErr w:type="spellEnd"/>
    </w:p>
    <w:p w14:paraId="16C08EE3" w14:textId="77777777" w:rsidR="003A56A7" w:rsidRDefault="003A56A7" w:rsidP="003A56A7">
      <w:pPr>
        <w:pStyle w:val="Body"/>
        <w:spacing w:after="0"/>
        <w:rPr>
          <w:rFonts w:ascii="Arial" w:hAnsi="Arial" w:cs="Arial"/>
        </w:rPr>
      </w:pPr>
    </w:p>
    <w:tbl>
      <w:tblPr>
        <w:tblpPr w:leftFromText="180" w:rightFromText="180" w:vertAnchor="text" w:horzAnchor="margin" w:tblpY="17"/>
        <w:tblW w:w="5000" w:type="pct"/>
        <w:tblLook w:val="04A0" w:firstRow="1" w:lastRow="0" w:firstColumn="1" w:lastColumn="0" w:noHBand="0" w:noVBand="1"/>
      </w:tblPr>
      <w:tblGrid>
        <w:gridCol w:w="2501"/>
        <w:gridCol w:w="4347"/>
        <w:gridCol w:w="4168"/>
      </w:tblGrid>
      <w:tr w:rsidR="003A56A7" w:rsidRPr="003A56A7" w14:paraId="33CBC8D5" w14:textId="77777777" w:rsidTr="00310B86">
        <w:trPr>
          <w:trHeight w:val="187"/>
        </w:trPr>
        <w:tc>
          <w:tcPr>
            <w:tcW w:w="1135" w:type="pct"/>
            <w:tcBorders>
              <w:top w:val="double" w:sz="12" w:space="0" w:color="auto"/>
              <w:bottom w:val="single" w:sz="12" w:space="0" w:color="auto"/>
            </w:tcBorders>
            <w:vAlign w:val="bottom"/>
          </w:tcPr>
          <w:p w14:paraId="16594BC2" w14:textId="77777777" w:rsidR="003A56A7" w:rsidRPr="003A56A7" w:rsidRDefault="003A56A7" w:rsidP="003A56A7">
            <w:pPr>
              <w:widowControl w:val="0"/>
              <w:autoSpaceDE w:val="0"/>
              <w:autoSpaceDN w:val="0"/>
              <w:rPr>
                <w:rFonts w:ascii="Arial" w:eastAsia="Arial MT" w:hAnsi="Arial" w:cs="Arial"/>
                <w:bCs/>
                <w:color w:val="000000" w:themeColor="text1"/>
                <w:lang w:eastAsia="en-PH"/>
              </w:rPr>
            </w:pPr>
            <w:r w:rsidRPr="003A56A7">
              <w:rPr>
                <w:rFonts w:ascii="Arial" w:eastAsia="Arial MT" w:hAnsi="Arial" w:cs="Arial"/>
                <w:bCs/>
                <w:color w:val="000000" w:themeColor="text1"/>
                <w:lang w:eastAsia="en-PH"/>
              </w:rPr>
              <w:t>Treatment</w:t>
            </w:r>
          </w:p>
        </w:tc>
        <w:tc>
          <w:tcPr>
            <w:tcW w:w="1973" w:type="pct"/>
            <w:tcBorders>
              <w:top w:val="double" w:sz="12" w:space="0" w:color="auto"/>
              <w:bottom w:val="single" w:sz="12" w:space="0" w:color="auto"/>
            </w:tcBorders>
          </w:tcPr>
          <w:p w14:paraId="7ABC168F" w14:textId="77777777" w:rsidR="003A56A7" w:rsidRPr="003A56A7" w:rsidRDefault="003A56A7" w:rsidP="003A56A7">
            <w:pPr>
              <w:widowControl w:val="0"/>
              <w:autoSpaceDE w:val="0"/>
              <w:autoSpaceDN w:val="0"/>
              <w:jc w:val="center"/>
              <w:rPr>
                <w:rFonts w:ascii="Arial" w:eastAsia="Arial MT" w:hAnsi="Arial" w:cs="Arial"/>
                <w:bCs/>
                <w:color w:val="000000" w:themeColor="text1"/>
                <w:lang w:eastAsia="en-PH"/>
              </w:rPr>
            </w:pPr>
            <w:r w:rsidRPr="003A56A7">
              <w:rPr>
                <w:rFonts w:ascii="Arial" w:eastAsia="Arial MT" w:hAnsi="Arial" w:cs="Arial"/>
                <w:bCs/>
                <w:color w:val="000000" w:themeColor="text1"/>
                <w:lang w:eastAsia="en-PH"/>
              </w:rPr>
              <w:t>Initial Height (cm)</w:t>
            </w:r>
            <w:r w:rsidRPr="003A56A7">
              <w:rPr>
                <w:rFonts w:ascii="Arial" w:eastAsia="Arial MT" w:hAnsi="Arial" w:cs="Arial"/>
                <w:bCs/>
                <w:color w:val="000000" w:themeColor="text1"/>
                <w:vertAlign w:val="superscript"/>
              </w:rPr>
              <w:t>+</w:t>
            </w:r>
          </w:p>
        </w:tc>
        <w:tc>
          <w:tcPr>
            <w:tcW w:w="1892" w:type="pct"/>
            <w:tcBorders>
              <w:top w:val="double" w:sz="12" w:space="0" w:color="auto"/>
              <w:bottom w:val="single" w:sz="12" w:space="0" w:color="auto"/>
            </w:tcBorders>
            <w:vAlign w:val="center"/>
          </w:tcPr>
          <w:p w14:paraId="1CBA57EC" w14:textId="77777777" w:rsidR="003A56A7" w:rsidRPr="003A56A7" w:rsidRDefault="003A56A7" w:rsidP="003A56A7">
            <w:pPr>
              <w:widowControl w:val="0"/>
              <w:autoSpaceDE w:val="0"/>
              <w:autoSpaceDN w:val="0"/>
              <w:jc w:val="center"/>
              <w:rPr>
                <w:rFonts w:ascii="Arial" w:eastAsia="Arial MT" w:hAnsi="Arial" w:cs="Arial"/>
                <w:bCs/>
                <w:color w:val="000000" w:themeColor="text1"/>
                <w:vertAlign w:val="superscript"/>
                <w:lang w:eastAsia="en-PH"/>
              </w:rPr>
            </w:pPr>
            <w:r w:rsidRPr="003A56A7">
              <w:rPr>
                <w:rFonts w:ascii="Arial" w:eastAsia="Arial MT" w:hAnsi="Arial" w:cs="Arial"/>
                <w:bCs/>
                <w:color w:val="000000" w:themeColor="text1"/>
                <w:lang w:eastAsia="en-PH"/>
              </w:rPr>
              <w:t>Final Height (cm)</w:t>
            </w:r>
            <w:r w:rsidRPr="003A56A7">
              <w:rPr>
                <w:rFonts w:ascii="Arial" w:eastAsia="Arial MT" w:hAnsi="Arial" w:cs="Arial"/>
                <w:bCs/>
                <w:color w:val="000000" w:themeColor="text1"/>
                <w:vertAlign w:val="superscript"/>
              </w:rPr>
              <w:t>+</w:t>
            </w:r>
          </w:p>
        </w:tc>
      </w:tr>
      <w:tr w:rsidR="003A56A7" w:rsidRPr="003A56A7" w14:paraId="71A6FFE3" w14:textId="77777777" w:rsidTr="00310B86">
        <w:tc>
          <w:tcPr>
            <w:tcW w:w="1135" w:type="pct"/>
            <w:tcBorders>
              <w:top w:val="single" w:sz="12" w:space="0" w:color="auto"/>
            </w:tcBorders>
          </w:tcPr>
          <w:p w14:paraId="2BE473E3"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 xml:space="preserve">0 </w:t>
            </w:r>
          </w:p>
        </w:tc>
        <w:tc>
          <w:tcPr>
            <w:tcW w:w="1973" w:type="pct"/>
            <w:tcBorders>
              <w:top w:val="single" w:sz="12" w:space="0" w:color="auto"/>
            </w:tcBorders>
            <w:vAlign w:val="bottom"/>
          </w:tcPr>
          <w:p w14:paraId="763EA381"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239.17</w:t>
            </w:r>
          </w:p>
        </w:tc>
        <w:tc>
          <w:tcPr>
            <w:tcW w:w="1892" w:type="pct"/>
            <w:tcBorders>
              <w:top w:val="single" w:sz="12" w:space="0" w:color="auto"/>
            </w:tcBorders>
            <w:vAlign w:val="center"/>
          </w:tcPr>
          <w:p w14:paraId="5C13761C"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305.00</w:t>
            </w:r>
          </w:p>
        </w:tc>
      </w:tr>
      <w:tr w:rsidR="003A56A7" w:rsidRPr="003A56A7" w14:paraId="07A30BAE" w14:textId="77777777" w:rsidTr="00310B86">
        <w:tc>
          <w:tcPr>
            <w:tcW w:w="1135" w:type="pct"/>
          </w:tcPr>
          <w:p w14:paraId="2EB3A100"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 xml:space="preserve">1 </w:t>
            </w:r>
          </w:p>
        </w:tc>
        <w:tc>
          <w:tcPr>
            <w:tcW w:w="1973" w:type="pct"/>
            <w:vAlign w:val="center"/>
          </w:tcPr>
          <w:p w14:paraId="3C344874"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255.50</w:t>
            </w:r>
          </w:p>
        </w:tc>
        <w:tc>
          <w:tcPr>
            <w:tcW w:w="1892" w:type="pct"/>
            <w:vAlign w:val="center"/>
          </w:tcPr>
          <w:p w14:paraId="3CCC609C"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190.83</w:t>
            </w:r>
          </w:p>
        </w:tc>
      </w:tr>
      <w:tr w:rsidR="003A56A7" w:rsidRPr="003A56A7" w14:paraId="35A11596" w14:textId="77777777" w:rsidTr="00310B86">
        <w:trPr>
          <w:trHeight w:val="267"/>
        </w:trPr>
        <w:tc>
          <w:tcPr>
            <w:tcW w:w="1135" w:type="pct"/>
          </w:tcPr>
          <w:p w14:paraId="1503BEDF" w14:textId="77777777" w:rsidR="003A56A7" w:rsidRPr="003A56A7" w:rsidRDefault="003A56A7" w:rsidP="003A56A7">
            <w:pPr>
              <w:widowControl w:val="0"/>
              <w:autoSpaceDE w:val="0"/>
              <w:autoSpaceDN w:val="0"/>
              <w:jc w:val="both"/>
              <w:rPr>
                <w:rFonts w:ascii="Arial" w:eastAsia="Arial MT" w:hAnsi="Arial" w:cs="Arial"/>
                <w:bCs/>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2</w:t>
            </w:r>
          </w:p>
        </w:tc>
        <w:tc>
          <w:tcPr>
            <w:tcW w:w="1973" w:type="pct"/>
            <w:vAlign w:val="center"/>
          </w:tcPr>
          <w:p w14:paraId="4BBE2E61"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379.67</w:t>
            </w:r>
          </w:p>
        </w:tc>
        <w:tc>
          <w:tcPr>
            <w:tcW w:w="1892" w:type="pct"/>
            <w:vAlign w:val="center"/>
          </w:tcPr>
          <w:p w14:paraId="5A061002"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192.32</w:t>
            </w:r>
          </w:p>
        </w:tc>
      </w:tr>
      <w:tr w:rsidR="003A56A7" w:rsidRPr="003A56A7" w14:paraId="16B11CB7" w14:textId="77777777" w:rsidTr="00310B86">
        <w:tc>
          <w:tcPr>
            <w:tcW w:w="1135" w:type="pct"/>
          </w:tcPr>
          <w:p w14:paraId="7FC5F4CE"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bCs/>
                <w:color w:val="000000" w:themeColor="text1"/>
                <w:lang w:eastAsia="en-PH"/>
              </w:rPr>
              <w:t>A</w:t>
            </w:r>
            <w:r w:rsidRPr="003A56A7">
              <w:rPr>
                <w:rFonts w:ascii="Arial" w:eastAsia="Arial MT" w:hAnsi="Arial" w:cs="Arial"/>
                <w:color w:val="000000" w:themeColor="text1"/>
                <w:vertAlign w:val="subscript"/>
                <w:lang w:eastAsia="en-PH"/>
              </w:rPr>
              <w:t>1</w:t>
            </w:r>
            <w:r w:rsidRPr="003A56A7">
              <w:rPr>
                <w:rFonts w:ascii="Arial" w:eastAsia="Arial MT" w:hAnsi="Arial" w:cs="Arial"/>
                <w:bCs/>
                <w:color w:val="000000" w:themeColor="text1"/>
                <w:lang w:eastAsia="en-PH"/>
              </w:rPr>
              <w:t>B</w:t>
            </w:r>
            <w:r w:rsidRPr="003A56A7">
              <w:rPr>
                <w:rFonts w:ascii="Arial" w:eastAsia="Arial MT" w:hAnsi="Arial" w:cs="Arial"/>
                <w:bCs/>
                <w:color w:val="000000" w:themeColor="text1"/>
                <w:vertAlign w:val="subscript"/>
                <w:lang w:eastAsia="en-PH"/>
              </w:rPr>
              <w:t>3</w:t>
            </w:r>
          </w:p>
        </w:tc>
        <w:tc>
          <w:tcPr>
            <w:tcW w:w="1973" w:type="pct"/>
            <w:vAlign w:val="center"/>
          </w:tcPr>
          <w:p w14:paraId="684D7074"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263.33</w:t>
            </w:r>
          </w:p>
        </w:tc>
        <w:tc>
          <w:tcPr>
            <w:tcW w:w="1892" w:type="pct"/>
            <w:vAlign w:val="bottom"/>
          </w:tcPr>
          <w:p w14:paraId="7DE00873"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252.70</w:t>
            </w:r>
          </w:p>
        </w:tc>
      </w:tr>
      <w:tr w:rsidR="003A56A7" w:rsidRPr="003A56A7" w14:paraId="74F3B13A" w14:textId="77777777" w:rsidTr="00310B86">
        <w:tc>
          <w:tcPr>
            <w:tcW w:w="1135" w:type="pct"/>
          </w:tcPr>
          <w:p w14:paraId="23A7528D" w14:textId="77777777" w:rsidR="003A56A7" w:rsidRPr="003A56A7" w:rsidRDefault="003A56A7" w:rsidP="003A56A7">
            <w:pPr>
              <w:widowControl w:val="0"/>
              <w:autoSpaceDE w:val="0"/>
              <w:autoSpaceDN w:val="0"/>
              <w:jc w:val="both"/>
              <w:rPr>
                <w:rFonts w:ascii="Arial" w:eastAsia="Arial MT" w:hAnsi="Arial" w:cs="Arial"/>
                <w:bCs/>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2</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0</w:t>
            </w:r>
          </w:p>
        </w:tc>
        <w:tc>
          <w:tcPr>
            <w:tcW w:w="1973" w:type="pct"/>
            <w:vAlign w:val="center"/>
          </w:tcPr>
          <w:p w14:paraId="6516BC4B" w14:textId="77777777" w:rsidR="003A56A7" w:rsidRPr="003A56A7" w:rsidRDefault="003A56A7" w:rsidP="003A56A7">
            <w:pPr>
              <w:widowControl w:val="0"/>
              <w:autoSpaceDE w:val="0"/>
              <w:autoSpaceDN w:val="0"/>
              <w:jc w:val="center"/>
              <w:rPr>
                <w:rFonts w:ascii="Arial" w:hAnsi="Arial" w:cs="Arial"/>
                <w:color w:val="000000"/>
                <w:lang w:eastAsia="en-PH"/>
              </w:rPr>
            </w:pPr>
            <w:r w:rsidRPr="003A56A7">
              <w:rPr>
                <w:rFonts w:ascii="Arial" w:hAnsi="Arial" w:cs="Arial"/>
                <w:color w:val="000000"/>
                <w:lang w:eastAsia="en-PH"/>
              </w:rPr>
              <w:t>267.68</w:t>
            </w:r>
          </w:p>
        </w:tc>
        <w:tc>
          <w:tcPr>
            <w:tcW w:w="1892" w:type="pct"/>
            <w:vAlign w:val="center"/>
          </w:tcPr>
          <w:p w14:paraId="3442779E"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355.83</w:t>
            </w:r>
          </w:p>
        </w:tc>
      </w:tr>
      <w:tr w:rsidR="003A56A7" w:rsidRPr="003A56A7" w14:paraId="5A43DEC7" w14:textId="77777777" w:rsidTr="00310B86">
        <w:tc>
          <w:tcPr>
            <w:tcW w:w="1135" w:type="pct"/>
          </w:tcPr>
          <w:p w14:paraId="43E2ED30"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2</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1</w:t>
            </w:r>
          </w:p>
        </w:tc>
        <w:tc>
          <w:tcPr>
            <w:tcW w:w="1973" w:type="pct"/>
            <w:vAlign w:val="bottom"/>
          </w:tcPr>
          <w:p w14:paraId="73B232A9"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288.17</w:t>
            </w:r>
          </w:p>
        </w:tc>
        <w:tc>
          <w:tcPr>
            <w:tcW w:w="1892" w:type="pct"/>
            <w:vAlign w:val="center"/>
          </w:tcPr>
          <w:p w14:paraId="164E70A3"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289.00</w:t>
            </w:r>
          </w:p>
        </w:tc>
      </w:tr>
      <w:tr w:rsidR="003A56A7" w:rsidRPr="003A56A7" w14:paraId="7F69EF84" w14:textId="77777777" w:rsidTr="00310B86">
        <w:tc>
          <w:tcPr>
            <w:tcW w:w="1135" w:type="pct"/>
          </w:tcPr>
          <w:p w14:paraId="78C64FA8"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color w:val="000000" w:themeColor="text1"/>
                <w:lang w:eastAsia="en-PH"/>
              </w:rPr>
              <w:t>A</w:t>
            </w:r>
            <w:r w:rsidRPr="003A56A7">
              <w:rPr>
                <w:rFonts w:ascii="Arial" w:eastAsia="Arial MT" w:hAnsi="Arial" w:cs="Arial"/>
                <w:color w:val="000000" w:themeColor="text1"/>
                <w:vertAlign w:val="subscript"/>
                <w:lang w:eastAsia="en-PH"/>
              </w:rPr>
              <w:t>2</w:t>
            </w:r>
            <w:r w:rsidRPr="003A56A7">
              <w:rPr>
                <w:rFonts w:ascii="Arial" w:eastAsia="Arial MT" w:hAnsi="Arial" w:cs="Arial"/>
                <w:color w:val="000000" w:themeColor="text1"/>
                <w:lang w:eastAsia="en-PH"/>
              </w:rPr>
              <w:t>B</w:t>
            </w:r>
            <w:r w:rsidRPr="003A56A7">
              <w:rPr>
                <w:rFonts w:ascii="Arial" w:eastAsia="Arial MT" w:hAnsi="Arial" w:cs="Arial"/>
                <w:color w:val="000000" w:themeColor="text1"/>
                <w:vertAlign w:val="subscript"/>
                <w:lang w:eastAsia="en-PH"/>
              </w:rPr>
              <w:t xml:space="preserve">2 </w:t>
            </w:r>
          </w:p>
        </w:tc>
        <w:tc>
          <w:tcPr>
            <w:tcW w:w="1973" w:type="pct"/>
            <w:vAlign w:val="bottom"/>
          </w:tcPr>
          <w:p w14:paraId="6AEAD84A"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hAnsi="Arial" w:cs="Arial"/>
                <w:color w:val="000000"/>
                <w:lang w:eastAsia="en-PH"/>
              </w:rPr>
              <w:t>268.50</w:t>
            </w:r>
          </w:p>
        </w:tc>
        <w:tc>
          <w:tcPr>
            <w:tcW w:w="1892" w:type="pct"/>
            <w:vAlign w:val="center"/>
          </w:tcPr>
          <w:p w14:paraId="4E787D40"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hAnsi="Arial" w:cs="Arial"/>
                <w:color w:val="000000"/>
                <w:lang w:eastAsia="en-PH"/>
              </w:rPr>
              <w:t>215.80</w:t>
            </w:r>
          </w:p>
        </w:tc>
      </w:tr>
      <w:tr w:rsidR="003A56A7" w:rsidRPr="003A56A7" w14:paraId="1A8F3803" w14:textId="77777777" w:rsidTr="00310B86">
        <w:trPr>
          <w:trHeight w:val="70"/>
        </w:trPr>
        <w:tc>
          <w:tcPr>
            <w:tcW w:w="1135" w:type="pct"/>
            <w:tcBorders>
              <w:bottom w:val="double" w:sz="12" w:space="0" w:color="auto"/>
            </w:tcBorders>
          </w:tcPr>
          <w:p w14:paraId="1E16910B" w14:textId="77777777" w:rsidR="003A56A7" w:rsidRPr="003A56A7" w:rsidRDefault="003A56A7" w:rsidP="003A56A7">
            <w:pPr>
              <w:widowControl w:val="0"/>
              <w:autoSpaceDE w:val="0"/>
              <w:autoSpaceDN w:val="0"/>
              <w:jc w:val="both"/>
              <w:rPr>
                <w:rFonts w:ascii="Arial" w:eastAsia="Arial MT" w:hAnsi="Arial" w:cs="Arial"/>
                <w:color w:val="000000" w:themeColor="text1"/>
                <w:lang w:eastAsia="en-PH"/>
              </w:rPr>
            </w:pPr>
            <w:r w:rsidRPr="003A56A7">
              <w:rPr>
                <w:rFonts w:ascii="Arial" w:eastAsia="Arial MT" w:hAnsi="Arial" w:cs="Arial"/>
              </w:rPr>
              <w:t xml:space="preserve">A2B3 </w:t>
            </w:r>
          </w:p>
        </w:tc>
        <w:tc>
          <w:tcPr>
            <w:tcW w:w="1973" w:type="pct"/>
            <w:tcBorders>
              <w:bottom w:val="double" w:sz="12" w:space="0" w:color="auto"/>
            </w:tcBorders>
          </w:tcPr>
          <w:p w14:paraId="62C710A9" w14:textId="77777777" w:rsidR="003A56A7" w:rsidRPr="003A56A7" w:rsidRDefault="003A56A7" w:rsidP="003A56A7">
            <w:pPr>
              <w:widowControl w:val="0"/>
              <w:autoSpaceDE w:val="0"/>
              <w:autoSpaceDN w:val="0"/>
              <w:jc w:val="center"/>
              <w:rPr>
                <w:rFonts w:ascii="Arial" w:eastAsia="Arial MT" w:hAnsi="Arial" w:cs="Arial"/>
              </w:rPr>
            </w:pPr>
            <w:r w:rsidRPr="003A56A7">
              <w:rPr>
                <w:rFonts w:ascii="Arial" w:eastAsia="Arial MT" w:hAnsi="Arial" w:cs="Arial"/>
              </w:rPr>
              <w:t>271.50</w:t>
            </w:r>
          </w:p>
        </w:tc>
        <w:tc>
          <w:tcPr>
            <w:tcW w:w="1892" w:type="pct"/>
            <w:tcBorders>
              <w:bottom w:val="double" w:sz="12" w:space="0" w:color="auto"/>
            </w:tcBorders>
          </w:tcPr>
          <w:p w14:paraId="09D7100B"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rPr>
              <w:t>224.17</w:t>
            </w:r>
          </w:p>
        </w:tc>
      </w:tr>
    </w:tbl>
    <w:p w14:paraId="42B912E0" w14:textId="4CEB01F8" w:rsidR="003A56A7" w:rsidRDefault="003A56A7" w:rsidP="003A56A7">
      <w:pPr>
        <w:pStyle w:val="Body"/>
        <w:spacing w:after="0"/>
        <w:rPr>
          <w:rFonts w:ascii="Arial" w:hAnsi="Arial" w:cs="Arial"/>
        </w:rPr>
      </w:pPr>
      <w:r w:rsidRPr="003A56A7">
        <w:rPr>
          <w:rFonts w:ascii="Arial" w:hAnsi="Arial" w:cs="Arial"/>
        </w:rPr>
        <w:t>+= not significant at p &lt; 0.05</w:t>
      </w:r>
    </w:p>
    <w:p w14:paraId="1FCF5A77" w14:textId="77777777" w:rsidR="003A56A7" w:rsidRDefault="003A56A7" w:rsidP="003A56A7">
      <w:pPr>
        <w:pStyle w:val="Body"/>
        <w:rPr>
          <w:rFonts w:ascii="Arial" w:hAnsi="Arial" w:cs="Arial"/>
        </w:rPr>
      </w:pPr>
    </w:p>
    <w:p w14:paraId="6221DD4B" w14:textId="67FCFF0F" w:rsidR="003A56A7" w:rsidRPr="003A56A7" w:rsidRDefault="003A56A7" w:rsidP="003A56A7">
      <w:pPr>
        <w:pStyle w:val="Body"/>
        <w:rPr>
          <w:rFonts w:ascii="Arial" w:hAnsi="Arial" w:cs="Arial"/>
          <w:b/>
          <w:bCs/>
        </w:rPr>
      </w:pPr>
      <w:r w:rsidRPr="003A56A7">
        <w:rPr>
          <w:rFonts w:ascii="Arial" w:hAnsi="Arial" w:cs="Arial"/>
          <w:b/>
          <w:bCs/>
        </w:rPr>
        <w:t xml:space="preserve">Leaf Number </w:t>
      </w:r>
    </w:p>
    <w:p w14:paraId="7B27220B" w14:textId="7940ED31" w:rsidR="003A56A7" w:rsidRPr="003A56A7" w:rsidRDefault="003A56A7" w:rsidP="003A56A7">
      <w:pPr>
        <w:pStyle w:val="Body"/>
        <w:rPr>
          <w:rFonts w:ascii="Arial" w:hAnsi="Arial" w:cs="Arial"/>
        </w:rPr>
      </w:pPr>
      <w:r w:rsidRPr="003A56A7">
        <w:rPr>
          <w:rFonts w:ascii="Arial" w:hAnsi="Arial" w:cs="Arial"/>
        </w:rPr>
        <w:t xml:space="preserve">Effect of varieties. Table 3 presents the data on the leaf production of different </w:t>
      </w:r>
      <w:proofErr w:type="spellStart"/>
      <w:r w:rsidRPr="003A56A7">
        <w:rPr>
          <w:rFonts w:ascii="Arial" w:hAnsi="Arial" w:cs="Arial"/>
        </w:rPr>
        <w:t>pechay</w:t>
      </w:r>
      <w:proofErr w:type="spellEnd"/>
      <w:r w:rsidRPr="003A56A7">
        <w:rPr>
          <w:rFonts w:ascii="Arial" w:hAnsi="Arial" w:cs="Arial"/>
        </w:rPr>
        <w:t xml:space="preserve"> varieties. The initial number of leaves was recorded prior to the submersion treatment, while the final leaf count was gathered after the submersion period. It can be observed that the initial leaf numbers among the different </w:t>
      </w:r>
      <w:proofErr w:type="spellStart"/>
      <w:r w:rsidRPr="003A56A7">
        <w:rPr>
          <w:rFonts w:ascii="Arial" w:hAnsi="Arial" w:cs="Arial"/>
        </w:rPr>
        <w:t>pechay</w:t>
      </w:r>
      <w:proofErr w:type="spellEnd"/>
      <w:r w:rsidRPr="003A56A7">
        <w:rPr>
          <w:rFonts w:ascii="Arial" w:hAnsi="Arial" w:cs="Arial"/>
        </w:rPr>
        <w:t xml:space="preserve"> varieties did not differ significantly. Results of the Analysis of Variance (ANOVA) revealed no significant differences in initial leaf number, suggesting that the plants were statistically uniform before the application of the waterlogging treatments.</w:t>
      </w:r>
    </w:p>
    <w:p w14:paraId="2751EBBF" w14:textId="77777777" w:rsidR="003A56A7" w:rsidRDefault="003A56A7" w:rsidP="003A56A7">
      <w:pPr>
        <w:pStyle w:val="Body"/>
        <w:rPr>
          <w:rFonts w:ascii="Arial" w:hAnsi="Arial" w:cs="Arial"/>
        </w:rPr>
      </w:pPr>
      <w:r w:rsidRPr="003A56A7">
        <w:rPr>
          <w:rFonts w:ascii="Arial" w:hAnsi="Arial" w:cs="Arial"/>
        </w:rPr>
        <w:t>This uniformity is crucial for the validity of experimental results, as it ensures that observed effects post-treatment can be attributed to treatment differences rather than pre-existing variation among varieties. Similar findings were reported by Maity et al. (2018), who emphasized the importance of varietal uniformity in evaluating abiotic stress responses in leafy vegetables. In their study on mustard greens under stress conditions, they noted that initial morphological uniformity allowed for a clearer interpretation of post-treatment outcomes.</w:t>
      </w:r>
    </w:p>
    <w:p w14:paraId="0CCDB9A9" w14:textId="4225191C" w:rsidR="003A56A7" w:rsidRDefault="003A56A7" w:rsidP="003A56A7">
      <w:pPr>
        <w:pStyle w:val="Body"/>
        <w:rPr>
          <w:rFonts w:ascii="Arial" w:hAnsi="Arial" w:cs="Arial"/>
        </w:rPr>
      </w:pPr>
      <w:r w:rsidRPr="003A56A7">
        <w:rPr>
          <w:rFonts w:ascii="Arial" w:hAnsi="Arial" w:cs="Arial"/>
        </w:rPr>
        <w:t>Additionally, research by Tripathi and Singh (2015) on Brassica species highlighted that varietal differences in leaf number typically emerge during later growth stages, especially when environmental stressors such as flooding or waterlogging are introduced. Therefore, the lack of initial variation in this study confirms that subsequent changes in leaf number can be accurately attributed to submersion stress rather than varietal disparities from the outset.</w:t>
      </w:r>
    </w:p>
    <w:p w14:paraId="1CAD020E" w14:textId="2400D57C" w:rsidR="003A56A7" w:rsidRDefault="003A56A7" w:rsidP="003A56A7">
      <w:pPr>
        <w:pStyle w:val="Body"/>
        <w:rPr>
          <w:rFonts w:ascii="Arial" w:hAnsi="Arial" w:cs="Arial"/>
        </w:rPr>
      </w:pPr>
      <w:r w:rsidRPr="003A56A7">
        <w:rPr>
          <w:rFonts w:ascii="Arial" w:hAnsi="Arial" w:cs="Arial"/>
        </w:rPr>
        <w:t xml:space="preserve">Table 3. Initial and Final Leaf Number of </w:t>
      </w:r>
      <w:proofErr w:type="spellStart"/>
      <w:r w:rsidRPr="003A56A7">
        <w:rPr>
          <w:rFonts w:ascii="Arial" w:hAnsi="Arial" w:cs="Arial"/>
        </w:rPr>
        <w:t>Pechay</w:t>
      </w:r>
      <w:proofErr w:type="spellEnd"/>
      <w:r w:rsidRPr="003A56A7">
        <w:rPr>
          <w:rFonts w:ascii="Arial" w:hAnsi="Arial" w:cs="Arial"/>
        </w:rPr>
        <w:t xml:space="preserve"> as Affected by Different Varieties </w:t>
      </w:r>
    </w:p>
    <w:tbl>
      <w:tblPr>
        <w:tblW w:w="5052" w:type="pct"/>
        <w:tblLook w:val="04A0" w:firstRow="1" w:lastRow="0" w:firstColumn="1" w:lastColumn="0" w:noHBand="0" w:noVBand="1"/>
      </w:tblPr>
      <w:tblGrid>
        <w:gridCol w:w="5507"/>
        <w:gridCol w:w="2870"/>
        <w:gridCol w:w="2754"/>
      </w:tblGrid>
      <w:tr w:rsidR="003A56A7" w:rsidRPr="003A56A7" w14:paraId="3B0E1E74" w14:textId="77777777" w:rsidTr="00310B86">
        <w:trPr>
          <w:trHeight w:val="257"/>
        </w:trPr>
        <w:tc>
          <w:tcPr>
            <w:tcW w:w="2474" w:type="pct"/>
            <w:tcBorders>
              <w:top w:val="double" w:sz="12" w:space="0" w:color="auto"/>
              <w:bottom w:val="single" w:sz="12" w:space="0" w:color="auto"/>
            </w:tcBorders>
            <w:vAlign w:val="bottom"/>
          </w:tcPr>
          <w:p w14:paraId="7C48379C" w14:textId="77777777" w:rsidR="003A56A7" w:rsidRPr="003A56A7" w:rsidRDefault="003A56A7" w:rsidP="003A56A7">
            <w:pPr>
              <w:widowControl w:val="0"/>
              <w:autoSpaceDE w:val="0"/>
              <w:autoSpaceDN w:val="0"/>
              <w:rPr>
                <w:rFonts w:ascii="Arial" w:eastAsia="Arial MT" w:hAnsi="Arial" w:cs="Arial"/>
                <w:bCs/>
                <w:color w:val="000000" w:themeColor="text1"/>
                <w:lang w:eastAsia="en-PH"/>
              </w:rPr>
            </w:pPr>
            <w:proofErr w:type="spellStart"/>
            <w:r w:rsidRPr="003A56A7">
              <w:rPr>
                <w:rFonts w:ascii="Arial" w:eastAsia="Arial MT" w:hAnsi="Arial" w:cs="Arial"/>
                <w:bCs/>
                <w:color w:val="000000" w:themeColor="text1"/>
                <w:lang w:eastAsia="en-PH"/>
              </w:rPr>
              <w:t>Pechay</w:t>
            </w:r>
            <w:proofErr w:type="spellEnd"/>
            <w:r w:rsidRPr="003A56A7">
              <w:rPr>
                <w:rFonts w:ascii="Arial" w:eastAsia="Arial MT" w:hAnsi="Arial" w:cs="Arial"/>
                <w:bCs/>
                <w:color w:val="000000" w:themeColor="text1"/>
                <w:lang w:eastAsia="en-PH"/>
              </w:rPr>
              <w:t xml:space="preserve"> Varieties</w:t>
            </w:r>
          </w:p>
          <w:p w14:paraId="798A5B6C" w14:textId="77777777" w:rsidR="003A56A7" w:rsidRPr="003A56A7" w:rsidRDefault="003A56A7" w:rsidP="003A56A7">
            <w:pPr>
              <w:widowControl w:val="0"/>
              <w:autoSpaceDE w:val="0"/>
              <w:autoSpaceDN w:val="0"/>
              <w:rPr>
                <w:rFonts w:ascii="Arial" w:eastAsia="Arial MT" w:hAnsi="Arial" w:cs="Arial"/>
                <w:color w:val="000000" w:themeColor="text1"/>
                <w:lang w:eastAsia="en-PH"/>
              </w:rPr>
            </w:pPr>
          </w:p>
        </w:tc>
        <w:tc>
          <w:tcPr>
            <w:tcW w:w="1289" w:type="pct"/>
            <w:tcBorders>
              <w:top w:val="double" w:sz="12" w:space="0" w:color="auto"/>
              <w:bottom w:val="single" w:sz="12" w:space="0" w:color="auto"/>
            </w:tcBorders>
            <w:vAlign w:val="bottom"/>
          </w:tcPr>
          <w:p w14:paraId="4BE232E6" w14:textId="77777777" w:rsidR="003A56A7" w:rsidRPr="003A56A7" w:rsidRDefault="003A56A7" w:rsidP="003A56A7">
            <w:pPr>
              <w:widowControl w:val="0"/>
              <w:autoSpaceDE w:val="0"/>
              <w:autoSpaceDN w:val="0"/>
              <w:jc w:val="center"/>
              <w:rPr>
                <w:rFonts w:ascii="Arial" w:eastAsia="Arial MT" w:hAnsi="Arial" w:cs="Arial"/>
                <w:b/>
                <w:color w:val="000000" w:themeColor="text1"/>
                <w:vertAlign w:val="superscript"/>
              </w:rPr>
            </w:pPr>
            <w:r w:rsidRPr="003A56A7">
              <w:rPr>
                <w:rFonts w:ascii="Arial" w:eastAsia="Arial MT" w:hAnsi="Arial" w:cs="Arial"/>
                <w:color w:val="000000" w:themeColor="text1"/>
                <w:lang w:eastAsia="en-PH"/>
              </w:rPr>
              <w:t>Initial Leaf Number</w:t>
            </w:r>
            <w:r w:rsidRPr="003A56A7">
              <w:rPr>
                <w:rFonts w:ascii="Arial" w:eastAsia="Arial MT" w:hAnsi="Arial" w:cs="Arial"/>
                <w:b/>
                <w:color w:val="000000" w:themeColor="text1"/>
                <w:vertAlign w:val="superscript"/>
              </w:rPr>
              <w:t>+</w:t>
            </w:r>
          </w:p>
          <w:p w14:paraId="3FC7745A" w14:textId="77777777" w:rsidR="003A56A7" w:rsidRPr="003A56A7" w:rsidRDefault="003A56A7" w:rsidP="003A56A7">
            <w:pPr>
              <w:widowControl w:val="0"/>
              <w:autoSpaceDE w:val="0"/>
              <w:autoSpaceDN w:val="0"/>
              <w:jc w:val="center"/>
              <w:rPr>
                <w:rFonts w:ascii="Arial" w:eastAsia="Arial MT" w:hAnsi="Arial" w:cs="Arial"/>
                <w:color w:val="000000" w:themeColor="text1"/>
                <w:vertAlign w:val="superscript"/>
                <w:lang w:eastAsia="en-PH"/>
              </w:rPr>
            </w:pPr>
          </w:p>
        </w:tc>
        <w:tc>
          <w:tcPr>
            <w:tcW w:w="1237" w:type="pct"/>
            <w:tcBorders>
              <w:top w:val="double" w:sz="12" w:space="0" w:color="auto"/>
              <w:bottom w:val="single" w:sz="12" w:space="0" w:color="auto"/>
            </w:tcBorders>
          </w:tcPr>
          <w:p w14:paraId="61C76F85"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color w:val="000000" w:themeColor="text1"/>
                <w:lang w:eastAsia="en-PH"/>
              </w:rPr>
              <w:t>Final Leaf Number</w:t>
            </w:r>
            <w:r w:rsidRPr="003A56A7">
              <w:rPr>
                <w:rFonts w:ascii="Arial" w:eastAsia="Arial MT" w:hAnsi="Arial" w:cs="Arial"/>
                <w:b/>
                <w:color w:val="000000" w:themeColor="text1"/>
                <w:vertAlign w:val="superscript"/>
              </w:rPr>
              <w:t>+</w:t>
            </w:r>
          </w:p>
        </w:tc>
      </w:tr>
      <w:tr w:rsidR="003A56A7" w:rsidRPr="003A56A7" w14:paraId="606A9697" w14:textId="77777777" w:rsidTr="00310B86">
        <w:tc>
          <w:tcPr>
            <w:tcW w:w="2474" w:type="pct"/>
            <w:tcBorders>
              <w:top w:val="single" w:sz="12" w:space="0" w:color="auto"/>
            </w:tcBorders>
          </w:tcPr>
          <w:p w14:paraId="27B31984" w14:textId="77777777" w:rsidR="003A56A7" w:rsidRPr="003A56A7" w:rsidRDefault="003A56A7" w:rsidP="003A56A7">
            <w:pPr>
              <w:widowControl w:val="0"/>
              <w:autoSpaceDE w:val="0"/>
              <w:autoSpaceDN w:val="0"/>
              <w:rPr>
                <w:rFonts w:ascii="Arial" w:eastAsia="Arial MT" w:hAnsi="Arial" w:cs="Arial"/>
                <w:color w:val="000000" w:themeColor="text1"/>
                <w:lang w:eastAsia="en-PH"/>
              </w:rPr>
            </w:pPr>
            <w:r w:rsidRPr="003A56A7">
              <w:rPr>
                <w:rFonts w:ascii="Arial" w:eastAsia="Arial MT" w:hAnsi="Arial" w:cs="Arial"/>
              </w:rPr>
              <w:t>V</w:t>
            </w:r>
            <w:r w:rsidRPr="003A56A7">
              <w:rPr>
                <w:rFonts w:ascii="Arial" w:eastAsia="Arial MT" w:hAnsi="Arial" w:cs="Arial"/>
                <w:vertAlign w:val="subscript"/>
              </w:rPr>
              <w:t xml:space="preserve">1- </w:t>
            </w:r>
            <w:r w:rsidRPr="003A56A7">
              <w:rPr>
                <w:rFonts w:ascii="Arial" w:eastAsia="Arial MT" w:hAnsi="Arial" w:cs="Arial"/>
              </w:rPr>
              <w:t xml:space="preserve">Pavo                                           </w:t>
            </w:r>
          </w:p>
        </w:tc>
        <w:tc>
          <w:tcPr>
            <w:tcW w:w="1289" w:type="pct"/>
          </w:tcPr>
          <w:p w14:paraId="1CE69A79" w14:textId="77777777" w:rsidR="003A56A7" w:rsidRPr="003A56A7" w:rsidRDefault="003A56A7" w:rsidP="003A56A7">
            <w:pPr>
              <w:widowControl w:val="0"/>
              <w:autoSpaceDE w:val="0"/>
              <w:autoSpaceDN w:val="0"/>
              <w:jc w:val="center"/>
              <w:rPr>
                <w:rFonts w:ascii="Arial" w:eastAsia="Arial MT" w:hAnsi="Arial" w:cs="Arial"/>
                <w:color w:val="000000"/>
              </w:rPr>
            </w:pPr>
            <w:r w:rsidRPr="003A56A7">
              <w:rPr>
                <w:rFonts w:ascii="Arial" w:eastAsia="Arial MT" w:hAnsi="Arial" w:cs="Arial"/>
                <w:color w:val="000000"/>
              </w:rPr>
              <w:t>4.45</w:t>
            </w:r>
          </w:p>
        </w:tc>
        <w:tc>
          <w:tcPr>
            <w:tcW w:w="1237" w:type="pct"/>
            <w:vAlign w:val="bottom"/>
          </w:tcPr>
          <w:p w14:paraId="55C0CC4D"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color w:val="000000"/>
              </w:rPr>
              <w:t>1.94</w:t>
            </w:r>
          </w:p>
        </w:tc>
      </w:tr>
      <w:tr w:rsidR="003A56A7" w:rsidRPr="003A56A7" w14:paraId="71B5F78E" w14:textId="77777777" w:rsidTr="00310B86">
        <w:trPr>
          <w:trHeight w:val="259"/>
        </w:trPr>
        <w:tc>
          <w:tcPr>
            <w:tcW w:w="2474" w:type="pct"/>
            <w:tcBorders>
              <w:bottom w:val="double" w:sz="12" w:space="0" w:color="auto"/>
            </w:tcBorders>
          </w:tcPr>
          <w:p w14:paraId="741FF8EB" w14:textId="77777777" w:rsidR="003A56A7" w:rsidRPr="003A56A7" w:rsidRDefault="003A56A7" w:rsidP="003A56A7">
            <w:pPr>
              <w:widowControl w:val="0"/>
              <w:autoSpaceDE w:val="0"/>
              <w:autoSpaceDN w:val="0"/>
              <w:rPr>
                <w:rFonts w:ascii="Arial" w:eastAsia="Arial MT" w:hAnsi="Arial" w:cs="Arial"/>
                <w:bCs/>
                <w:color w:val="000000" w:themeColor="text1"/>
                <w:lang w:eastAsia="en-PH"/>
              </w:rPr>
            </w:pPr>
            <w:r w:rsidRPr="003A56A7">
              <w:rPr>
                <w:rFonts w:ascii="Arial" w:eastAsia="Arial MT" w:hAnsi="Arial" w:cs="Arial"/>
              </w:rPr>
              <w:t>V</w:t>
            </w:r>
            <w:r w:rsidRPr="003A56A7">
              <w:rPr>
                <w:rFonts w:ascii="Arial" w:eastAsia="Arial MT" w:hAnsi="Arial" w:cs="Arial"/>
                <w:vertAlign w:val="subscript"/>
              </w:rPr>
              <w:t xml:space="preserve">2 - </w:t>
            </w:r>
            <w:r w:rsidRPr="003A56A7">
              <w:rPr>
                <w:rFonts w:ascii="Arial" w:eastAsia="Arial MT" w:hAnsi="Arial" w:cs="Arial"/>
              </w:rPr>
              <w:t>Pac Choi</w:t>
            </w:r>
          </w:p>
        </w:tc>
        <w:tc>
          <w:tcPr>
            <w:tcW w:w="1289" w:type="pct"/>
            <w:tcBorders>
              <w:bottom w:val="double" w:sz="12" w:space="0" w:color="auto"/>
            </w:tcBorders>
          </w:tcPr>
          <w:p w14:paraId="099D35F4" w14:textId="77777777" w:rsidR="003A56A7" w:rsidRPr="003A56A7" w:rsidRDefault="003A56A7" w:rsidP="003A56A7">
            <w:pPr>
              <w:widowControl w:val="0"/>
              <w:autoSpaceDE w:val="0"/>
              <w:autoSpaceDN w:val="0"/>
              <w:jc w:val="center"/>
              <w:rPr>
                <w:rFonts w:ascii="Arial" w:eastAsia="Arial MT" w:hAnsi="Arial" w:cs="Arial"/>
                <w:color w:val="000000"/>
              </w:rPr>
            </w:pPr>
            <w:r w:rsidRPr="003A56A7">
              <w:rPr>
                <w:rFonts w:ascii="Arial" w:eastAsia="Arial MT" w:hAnsi="Arial" w:cs="Arial"/>
                <w:color w:val="000000"/>
              </w:rPr>
              <w:t>4.56</w:t>
            </w:r>
          </w:p>
        </w:tc>
        <w:tc>
          <w:tcPr>
            <w:tcW w:w="1237" w:type="pct"/>
            <w:tcBorders>
              <w:bottom w:val="double" w:sz="12" w:space="0" w:color="auto"/>
            </w:tcBorders>
            <w:vAlign w:val="bottom"/>
          </w:tcPr>
          <w:p w14:paraId="6F2B7860" w14:textId="77777777" w:rsidR="003A56A7" w:rsidRPr="003A56A7" w:rsidRDefault="003A56A7" w:rsidP="003A56A7">
            <w:pPr>
              <w:widowControl w:val="0"/>
              <w:autoSpaceDE w:val="0"/>
              <w:autoSpaceDN w:val="0"/>
              <w:jc w:val="center"/>
              <w:rPr>
                <w:rFonts w:ascii="Arial" w:eastAsia="Arial MT" w:hAnsi="Arial" w:cs="Arial"/>
                <w:color w:val="000000" w:themeColor="text1"/>
                <w:lang w:eastAsia="en-PH"/>
              </w:rPr>
            </w:pPr>
            <w:r w:rsidRPr="003A56A7">
              <w:rPr>
                <w:rFonts w:ascii="Arial" w:eastAsia="Arial MT" w:hAnsi="Arial" w:cs="Arial"/>
                <w:color w:val="000000"/>
              </w:rPr>
              <w:t>2.53</w:t>
            </w:r>
          </w:p>
        </w:tc>
      </w:tr>
    </w:tbl>
    <w:p w14:paraId="5BA2623A" w14:textId="7C9ECCDF" w:rsidR="003A56A7" w:rsidRPr="003A56A7" w:rsidRDefault="003A56A7" w:rsidP="003A56A7">
      <w:pPr>
        <w:pStyle w:val="Body"/>
        <w:rPr>
          <w:rFonts w:ascii="Arial" w:hAnsi="Arial" w:cs="Arial"/>
        </w:rPr>
      </w:pPr>
      <w:r w:rsidRPr="003A56A7">
        <w:rPr>
          <w:rFonts w:ascii="Arial" w:hAnsi="Arial" w:cs="Arial"/>
        </w:rPr>
        <w:t xml:space="preserve">+= not significant at p &lt; 0.05 </w:t>
      </w:r>
    </w:p>
    <w:p w14:paraId="1E4F0701" w14:textId="77777777" w:rsidR="00242EFD" w:rsidRP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sz w:val="20"/>
          <w:szCs w:val="20"/>
        </w:rPr>
        <w:t xml:space="preserve">As to the final number of leaves of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gathered at the post-submersion period, the analysis of variance reveals no significant difference among the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used. This result suggests that the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exhibited comparable resilience in terms of leaf retention or regeneration following the submersion stress event. However, it is important to note that the observation period was limited to only 72 hours after the submersion. Given this short recovery duration, there was insufficient time for the plants to initiate and complete new leaf production, which typically requires several days under optimal conditions. Thus, the recorded leaf count primarily reflects leaf retention rather than regrowth.</w:t>
      </w:r>
    </w:p>
    <w:p w14:paraId="58CC709A" w14:textId="77777777" w:rsidR="00242EFD" w:rsidRPr="00242EFD" w:rsidRDefault="00242EFD" w:rsidP="00242EFD">
      <w:pPr>
        <w:pStyle w:val="NormalWeb"/>
        <w:spacing w:before="0" w:beforeAutospacing="0" w:after="0" w:afterAutospacing="0"/>
        <w:ind w:firstLine="720"/>
        <w:jc w:val="both"/>
        <w:rPr>
          <w:rFonts w:ascii="Arial" w:hAnsi="Arial" w:cs="Arial"/>
          <w:sz w:val="20"/>
          <w:szCs w:val="20"/>
        </w:rPr>
      </w:pPr>
    </w:p>
    <w:p w14:paraId="3608A979" w14:textId="77777777" w:rsidR="00242EFD" w:rsidRP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sz w:val="20"/>
          <w:szCs w:val="20"/>
        </w:rPr>
        <w:t xml:space="preserve">This limited timeframe may have constrained the detection of varietal differences in post-submersion recovery capacity, particularly in leaf regeneration potential. According to </w:t>
      </w:r>
      <w:proofErr w:type="spellStart"/>
      <w:r w:rsidRPr="00242EFD">
        <w:rPr>
          <w:rFonts w:ascii="Arial" w:hAnsi="Arial" w:cs="Arial"/>
          <w:sz w:val="20"/>
          <w:szCs w:val="20"/>
        </w:rPr>
        <w:t>Ponnamperuma</w:t>
      </w:r>
      <w:proofErr w:type="spellEnd"/>
      <w:r w:rsidRPr="00242EFD">
        <w:rPr>
          <w:rFonts w:ascii="Arial" w:hAnsi="Arial" w:cs="Arial"/>
          <w:sz w:val="20"/>
          <w:szCs w:val="20"/>
        </w:rPr>
        <w:t xml:space="preserve"> (1984), while many leafy vegetables such as </w:t>
      </w:r>
      <w:proofErr w:type="spellStart"/>
      <w:r w:rsidRPr="00242EFD">
        <w:rPr>
          <w:rFonts w:ascii="Arial" w:hAnsi="Arial" w:cs="Arial"/>
          <w:sz w:val="20"/>
          <w:szCs w:val="20"/>
        </w:rPr>
        <w:lastRenderedPageBreak/>
        <w:t>pechay</w:t>
      </w:r>
      <w:proofErr w:type="spellEnd"/>
      <w:r w:rsidRPr="00242EFD">
        <w:rPr>
          <w:rFonts w:ascii="Arial" w:hAnsi="Arial" w:cs="Arial"/>
          <w:sz w:val="20"/>
          <w:szCs w:val="20"/>
        </w:rPr>
        <w:t xml:space="preserve"> are capable of surviving transient flooding, observable morphological recovery—especially the emergence of new leaves—often occurs several days after water is drained, depending on environmental conditions and plant vigor. Likewise, Setter and Laureles (1996) emphasized that the re-growth of leaves post-flooding is influenced more by the recovery conditions and duration than by the inherent varietal characteristics when the stress period is brief.</w:t>
      </w:r>
    </w:p>
    <w:p w14:paraId="055A6585" w14:textId="77777777" w:rsidR="00242EFD" w:rsidRPr="00242EFD" w:rsidRDefault="00242EFD" w:rsidP="00242EFD">
      <w:pPr>
        <w:pStyle w:val="NormalWeb"/>
        <w:spacing w:before="0" w:beforeAutospacing="0" w:after="0" w:afterAutospacing="0"/>
        <w:ind w:firstLine="720"/>
        <w:jc w:val="both"/>
        <w:rPr>
          <w:rFonts w:ascii="Arial" w:hAnsi="Arial" w:cs="Arial"/>
          <w:sz w:val="20"/>
          <w:szCs w:val="20"/>
        </w:rPr>
      </w:pPr>
    </w:p>
    <w:p w14:paraId="77F55BA1" w14:textId="77777777" w:rsidR="00242EFD" w:rsidRP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sz w:val="20"/>
          <w:szCs w:val="20"/>
        </w:rPr>
        <w:t xml:space="preserve">The findings are also consistent with those of Cruz et al., (2013), who reported minimal changes in the number of leaves among Brassica species within short-term post-flooding periods. In their study, differences among varieties became apparent only after extended observation beyond one week. This suggests that, while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may possess varied capacities for leaf regeneration, such differences might not be evident under a limited 72-hour observation window.</w:t>
      </w:r>
    </w:p>
    <w:p w14:paraId="1AC93829" w14:textId="77777777" w:rsidR="00242EFD" w:rsidRPr="00242EFD" w:rsidRDefault="00242EFD" w:rsidP="00242EFD">
      <w:pPr>
        <w:pStyle w:val="NormalWeb"/>
        <w:spacing w:before="0" w:beforeAutospacing="0" w:after="0" w:afterAutospacing="0"/>
        <w:ind w:firstLine="634"/>
        <w:jc w:val="both"/>
        <w:rPr>
          <w:rFonts w:ascii="Arial" w:hAnsi="Arial" w:cs="Arial"/>
          <w:b/>
          <w:i/>
          <w:color w:val="000000" w:themeColor="text1"/>
          <w:sz w:val="20"/>
          <w:szCs w:val="20"/>
        </w:rPr>
      </w:pPr>
    </w:p>
    <w:p w14:paraId="347C3C5C" w14:textId="1029341B" w:rsidR="00242EFD" w:rsidRDefault="00242EFD" w:rsidP="00242EFD">
      <w:pPr>
        <w:pStyle w:val="NormalWeb"/>
        <w:spacing w:before="0" w:beforeAutospacing="0" w:after="0" w:afterAutospacing="0"/>
        <w:jc w:val="both"/>
        <w:rPr>
          <w:rFonts w:ascii="Arial" w:hAnsi="Arial" w:cs="Arial"/>
          <w:sz w:val="20"/>
          <w:szCs w:val="20"/>
        </w:rPr>
      </w:pPr>
      <w:r w:rsidRPr="00242EFD">
        <w:rPr>
          <w:rFonts w:ascii="Arial" w:hAnsi="Arial" w:cs="Arial"/>
          <w:b/>
          <w:i/>
          <w:color w:val="000000" w:themeColor="text1"/>
          <w:sz w:val="20"/>
          <w:szCs w:val="20"/>
        </w:rPr>
        <w:t xml:space="preserve">Effect of Submersion Period.  </w:t>
      </w:r>
      <w:r w:rsidRPr="00242EFD">
        <w:rPr>
          <w:rFonts w:ascii="Arial" w:hAnsi="Arial" w:cs="Arial"/>
          <w:sz w:val="20"/>
          <w:szCs w:val="20"/>
        </w:rPr>
        <w:t xml:space="preserve">It can be gleaned in Table </w:t>
      </w:r>
      <w:r w:rsidR="00A60F49">
        <w:rPr>
          <w:rFonts w:ascii="Arial" w:hAnsi="Arial" w:cs="Arial"/>
          <w:sz w:val="20"/>
          <w:szCs w:val="20"/>
        </w:rPr>
        <w:t>4</w:t>
      </w:r>
      <w:r w:rsidRPr="00242EFD">
        <w:rPr>
          <w:rFonts w:ascii="Arial" w:hAnsi="Arial" w:cs="Arial"/>
          <w:sz w:val="20"/>
          <w:szCs w:val="20"/>
        </w:rPr>
        <w:t xml:space="preserve"> the initial number of leaves of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varieties as affected by submersion period. The initial number of leaves showed no significant difference among the varieties, with values ranging from 4.37 to 4.65. This indicates that prior to the application of the submersion treatment, the </w:t>
      </w:r>
      <w:proofErr w:type="spellStart"/>
      <w:r w:rsidRPr="00242EFD">
        <w:rPr>
          <w:rFonts w:ascii="Arial" w:hAnsi="Arial" w:cs="Arial"/>
          <w:sz w:val="20"/>
          <w:szCs w:val="20"/>
        </w:rPr>
        <w:t>pechay</w:t>
      </w:r>
      <w:proofErr w:type="spellEnd"/>
      <w:r w:rsidRPr="00242EFD">
        <w:rPr>
          <w:rFonts w:ascii="Arial" w:hAnsi="Arial" w:cs="Arial"/>
          <w:sz w:val="20"/>
          <w:szCs w:val="20"/>
        </w:rPr>
        <w:t xml:space="preserve"> plants were relatively uniform in vegetative development, particularly in terms of leaf count. Such uniformity at the baseline is essential for evaluating the effects of a treatment because it minimizes the influence of initial variability on the final results (Gomez &amp; Gomez, 1984).</w:t>
      </w:r>
    </w:p>
    <w:p w14:paraId="4ED47B29" w14:textId="77777777" w:rsidR="00242EFD" w:rsidRDefault="00242EFD" w:rsidP="00242EFD">
      <w:pPr>
        <w:pStyle w:val="NormalWeb"/>
        <w:spacing w:before="0" w:beforeAutospacing="0" w:after="0" w:afterAutospacing="0"/>
        <w:jc w:val="both"/>
        <w:rPr>
          <w:rFonts w:ascii="Arial" w:hAnsi="Arial" w:cs="Arial"/>
          <w:sz w:val="20"/>
          <w:szCs w:val="20"/>
        </w:rPr>
      </w:pPr>
    </w:p>
    <w:p w14:paraId="3862F554" w14:textId="211121C4" w:rsidR="00242EFD" w:rsidRPr="00242EFD" w:rsidRDefault="00242EFD" w:rsidP="00242EFD">
      <w:pPr>
        <w:pStyle w:val="NormalWeb"/>
        <w:spacing w:before="0" w:beforeAutospacing="0" w:after="0" w:afterAutospacing="0"/>
        <w:jc w:val="both"/>
        <w:rPr>
          <w:rFonts w:ascii="Arial" w:hAnsi="Arial" w:cs="Arial"/>
          <w:color w:val="000000" w:themeColor="text1"/>
          <w:sz w:val="20"/>
          <w:szCs w:val="20"/>
        </w:rPr>
      </w:pPr>
      <w:r w:rsidRPr="00242EFD">
        <w:rPr>
          <w:rFonts w:ascii="Arial" w:hAnsi="Arial" w:cs="Arial"/>
          <w:color w:val="000000" w:themeColor="text1"/>
          <w:sz w:val="20"/>
          <w:szCs w:val="20"/>
        </w:rPr>
        <w:t xml:space="preserve">Table </w:t>
      </w:r>
      <w:r w:rsidR="00A60F49">
        <w:rPr>
          <w:rFonts w:ascii="Arial" w:hAnsi="Arial" w:cs="Arial"/>
          <w:color w:val="000000" w:themeColor="text1"/>
          <w:sz w:val="20"/>
          <w:szCs w:val="20"/>
        </w:rPr>
        <w:t>4</w:t>
      </w:r>
      <w:r w:rsidRPr="00242EFD">
        <w:rPr>
          <w:rFonts w:ascii="Arial" w:hAnsi="Arial" w:cs="Arial"/>
          <w:color w:val="000000" w:themeColor="text1"/>
          <w:sz w:val="20"/>
          <w:szCs w:val="20"/>
        </w:rPr>
        <w:t xml:space="preserve">.  Leaf Number of </w:t>
      </w:r>
      <w:proofErr w:type="spellStart"/>
      <w:r w:rsidRPr="00242EFD">
        <w:rPr>
          <w:rFonts w:ascii="Arial" w:hAnsi="Arial" w:cs="Arial"/>
          <w:color w:val="000000" w:themeColor="text1"/>
          <w:sz w:val="20"/>
          <w:szCs w:val="20"/>
        </w:rPr>
        <w:t>Pechay</w:t>
      </w:r>
      <w:proofErr w:type="spellEnd"/>
      <w:r w:rsidRPr="00242EFD">
        <w:rPr>
          <w:rFonts w:ascii="Arial" w:hAnsi="Arial" w:cs="Arial"/>
          <w:color w:val="000000" w:themeColor="text1"/>
          <w:sz w:val="20"/>
          <w:szCs w:val="20"/>
        </w:rPr>
        <w:t xml:space="preserve"> Varieties as Affected by Submersion Period</w:t>
      </w:r>
    </w:p>
    <w:tbl>
      <w:tblPr>
        <w:tblStyle w:val="TableGrid3"/>
        <w:tblpPr w:leftFromText="180" w:rightFromText="180" w:vertAnchor="text" w:horzAnchor="margin" w:tblpY="14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5023"/>
      </w:tblGrid>
      <w:tr w:rsidR="00242EFD" w:rsidRPr="00242EFD" w14:paraId="64D9A2B7" w14:textId="77777777" w:rsidTr="00310B86">
        <w:tc>
          <w:tcPr>
            <w:tcW w:w="2720" w:type="pct"/>
            <w:tcBorders>
              <w:top w:val="double" w:sz="12" w:space="0" w:color="auto"/>
              <w:bottom w:val="single" w:sz="12" w:space="0" w:color="auto"/>
            </w:tcBorders>
          </w:tcPr>
          <w:p w14:paraId="1AC15E1E" w14:textId="77777777" w:rsidR="00242EFD" w:rsidRPr="00242EFD" w:rsidRDefault="00242EFD" w:rsidP="00242EFD">
            <w:pPr>
              <w:widowControl w:val="0"/>
              <w:autoSpaceDE w:val="0"/>
              <w:autoSpaceDN w:val="0"/>
              <w:rPr>
                <w:rFonts w:ascii="Arial" w:eastAsia="Arial MT" w:hAnsi="Arial" w:cs="Arial"/>
                <w:bCs/>
                <w:color w:val="000000" w:themeColor="text1"/>
                <w:sz w:val="20"/>
                <w:szCs w:val="20"/>
                <w:lang w:eastAsia="en-PH"/>
              </w:rPr>
            </w:pPr>
            <w:r w:rsidRPr="00242EFD">
              <w:rPr>
                <w:rFonts w:ascii="Arial" w:eastAsia="Arial MT" w:hAnsi="Arial" w:cs="Arial"/>
                <w:color w:val="000000" w:themeColor="text1"/>
                <w:sz w:val="20"/>
                <w:szCs w:val="20"/>
              </w:rPr>
              <w:t>Submersion Period</w:t>
            </w:r>
          </w:p>
        </w:tc>
        <w:tc>
          <w:tcPr>
            <w:tcW w:w="2280" w:type="pct"/>
            <w:tcBorders>
              <w:top w:val="double" w:sz="12" w:space="0" w:color="auto"/>
              <w:bottom w:val="single" w:sz="12" w:space="0" w:color="auto"/>
            </w:tcBorders>
          </w:tcPr>
          <w:p w14:paraId="07445E13" w14:textId="77777777" w:rsidR="00242EFD" w:rsidRPr="00242EFD" w:rsidRDefault="00242EFD" w:rsidP="00242EFD">
            <w:pPr>
              <w:widowControl w:val="0"/>
              <w:autoSpaceDE w:val="0"/>
              <w:autoSpaceDN w:val="0"/>
              <w:jc w:val="center"/>
              <w:rPr>
                <w:rFonts w:ascii="Arial" w:eastAsia="Arial MT" w:hAnsi="Arial" w:cs="Arial"/>
                <w:color w:val="000000" w:themeColor="text1"/>
                <w:sz w:val="20"/>
                <w:szCs w:val="20"/>
              </w:rPr>
            </w:pPr>
            <w:r w:rsidRPr="00242EFD">
              <w:rPr>
                <w:rFonts w:ascii="Arial" w:eastAsia="Arial MT" w:hAnsi="Arial" w:cs="Arial"/>
                <w:color w:val="000000" w:themeColor="text1"/>
                <w:sz w:val="20"/>
                <w:szCs w:val="20"/>
              </w:rPr>
              <w:t>Initial No. of Leaves</w:t>
            </w:r>
            <w:r w:rsidRPr="00242EFD">
              <w:rPr>
                <w:rFonts w:ascii="Arial" w:eastAsia="Arial MT" w:hAnsi="Arial" w:cs="Arial"/>
                <w:color w:val="000000" w:themeColor="text1"/>
                <w:sz w:val="20"/>
                <w:szCs w:val="20"/>
                <w:vertAlign w:val="superscript"/>
              </w:rPr>
              <w:t>+</w:t>
            </w:r>
          </w:p>
        </w:tc>
      </w:tr>
      <w:tr w:rsidR="00242EFD" w:rsidRPr="00242EFD" w14:paraId="426F051E" w14:textId="77777777" w:rsidTr="00310B86">
        <w:tc>
          <w:tcPr>
            <w:tcW w:w="2720" w:type="pct"/>
            <w:tcBorders>
              <w:top w:val="single" w:sz="12" w:space="0" w:color="auto"/>
            </w:tcBorders>
          </w:tcPr>
          <w:p w14:paraId="0C443FF1"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1</w:t>
            </w:r>
            <w:r w:rsidRPr="00242EFD">
              <w:rPr>
                <w:rFonts w:ascii="Arial" w:eastAsia="Arial MT" w:hAnsi="Arial" w:cs="Arial"/>
                <w:sz w:val="20"/>
                <w:szCs w:val="20"/>
              </w:rPr>
              <w:t xml:space="preserve"> – Control (No Submersion)</w:t>
            </w:r>
          </w:p>
        </w:tc>
        <w:tc>
          <w:tcPr>
            <w:tcW w:w="2280" w:type="pct"/>
            <w:tcBorders>
              <w:top w:val="single" w:sz="12" w:space="0" w:color="auto"/>
            </w:tcBorders>
          </w:tcPr>
          <w:p w14:paraId="3155C4E3"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4.43</w:t>
            </w:r>
          </w:p>
        </w:tc>
      </w:tr>
      <w:tr w:rsidR="00242EFD" w:rsidRPr="00242EFD" w14:paraId="6278636F" w14:textId="77777777" w:rsidTr="00310B86">
        <w:tc>
          <w:tcPr>
            <w:tcW w:w="2720" w:type="pct"/>
          </w:tcPr>
          <w:p w14:paraId="382422C5"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2</w:t>
            </w:r>
            <w:r w:rsidRPr="00242EFD">
              <w:rPr>
                <w:rFonts w:ascii="Arial" w:eastAsia="Arial MT" w:hAnsi="Arial" w:cs="Arial"/>
                <w:sz w:val="20"/>
                <w:szCs w:val="20"/>
              </w:rPr>
              <w:t xml:space="preserve"> – 24   Hours                                  </w:t>
            </w:r>
          </w:p>
        </w:tc>
        <w:tc>
          <w:tcPr>
            <w:tcW w:w="2280" w:type="pct"/>
          </w:tcPr>
          <w:p w14:paraId="5D56B55C"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4.37</w:t>
            </w:r>
          </w:p>
        </w:tc>
      </w:tr>
      <w:tr w:rsidR="00242EFD" w:rsidRPr="00242EFD" w14:paraId="73CD16AD" w14:textId="77777777" w:rsidTr="00310B86">
        <w:tc>
          <w:tcPr>
            <w:tcW w:w="2720" w:type="pct"/>
          </w:tcPr>
          <w:p w14:paraId="3F8B916F"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 xml:space="preserve">3 </w:t>
            </w:r>
            <w:r w:rsidRPr="00242EFD">
              <w:rPr>
                <w:rFonts w:ascii="Arial" w:eastAsia="Arial MT" w:hAnsi="Arial" w:cs="Arial"/>
                <w:sz w:val="20"/>
                <w:szCs w:val="20"/>
              </w:rPr>
              <w:t>– 48 Hours</w:t>
            </w:r>
          </w:p>
        </w:tc>
        <w:tc>
          <w:tcPr>
            <w:tcW w:w="2280" w:type="pct"/>
          </w:tcPr>
          <w:p w14:paraId="68572FAE"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4.65</w:t>
            </w:r>
          </w:p>
        </w:tc>
      </w:tr>
      <w:tr w:rsidR="00242EFD" w:rsidRPr="00242EFD" w14:paraId="4BF60117" w14:textId="77777777" w:rsidTr="00310B86">
        <w:tc>
          <w:tcPr>
            <w:tcW w:w="2720" w:type="pct"/>
            <w:tcBorders>
              <w:bottom w:val="double" w:sz="12" w:space="0" w:color="auto"/>
            </w:tcBorders>
          </w:tcPr>
          <w:p w14:paraId="1DEBDD57" w14:textId="77777777" w:rsidR="00242EFD" w:rsidRPr="00242EFD" w:rsidRDefault="00242EFD" w:rsidP="00242EFD">
            <w:pPr>
              <w:widowControl w:val="0"/>
              <w:autoSpaceDE w:val="0"/>
              <w:autoSpaceDN w:val="0"/>
              <w:jc w:val="both"/>
              <w:rPr>
                <w:rFonts w:ascii="Arial" w:eastAsia="Arial MT" w:hAnsi="Arial" w:cs="Arial"/>
                <w:color w:val="000000" w:themeColor="text1"/>
                <w:sz w:val="20"/>
                <w:szCs w:val="20"/>
                <w:lang w:eastAsia="en-PH"/>
              </w:rPr>
            </w:pPr>
            <w:r w:rsidRPr="00242EFD">
              <w:rPr>
                <w:rFonts w:ascii="Arial" w:eastAsia="Arial MT" w:hAnsi="Arial" w:cs="Arial"/>
                <w:sz w:val="20"/>
                <w:szCs w:val="20"/>
              </w:rPr>
              <w:t>B</w:t>
            </w:r>
            <w:r w:rsidRPr="00242EFD">
              <w:rPr>
                <w:rFonts w:ascii="Arial" w:eastAsia="Arial MT" w:hAnsi="Arial" w:cs="Arial"/>
                <w:sz w:val="20"/>
                <w:szCs w:val="20"/>
                <w:vertAlign w:val="subscript"/>
              </w:rPr>
              <w:t xml:space="preserve">4 </w:t>
            </w:r>
            <w:r w:rsidRPr="00242EFD">
              <w:rPr>
                <w:rFonts w:ascii="Arial" w:eastAsia="Arial MT" w:hAnsi="Arial" w:cs="Arial"/>
                <w:sz w:val="20"/>
                <w:szCs w:val="20"/>
              </w:rPr>
              <w:t>– 72 Hours</w:t>
            </w:r>
          </w:p>
        </w:tc>
        <w:tc>
          <w:tcPr>
            <w:tcW w:w="2280" w:type="pct"/>
            <w:tcBorders>
              <w:bottom w:val="double" w:sz="12" w:space="0" w:color="auto"/>
            </w:tcBorders>
          </w:tcPr>
          <w:p w14:paraId="7C971B0F" w14:textId="77777777" w:rsidR="00242EFD" w:rsidRPr="00242EFD" w:rsidRDefault="00242EFD" w:rsidP="00242EFD">
            <w:pPr>
              <w:widowControl w:val="0"/>
              <w:autoSpaceDE w:val="0"/>
              <w:autoSpaceDN w:val="0"/>
              <w:jc w:val="center"/>
              <w:rPr>
                <w:rFonts w:ascii="Arial" w:eastAsia="Arial MT" w:hAnsi="Arial" w:cs="Arial"/>
                <w:color w:val="000000"/>
                <w:sz w:val="20"/>
                <w:szCs w:val="20"/>
              </w:rPr>
            </w:pPr>
            <w:r w:rsidRPr="00242EFD">
              <w:rPr>
                <w:rFonts w:ascii="Arial" w:eastAsia="Arial MT" w:hAnsi="Arial" w:cs="Arial"/>
                <w:color w:val="000000"/>
                <w:sz w:val="20"/>
                <w:szCs w:val="20"/>
              </w:rPr>
              <w:t>4.52</w:t>
            </w:r>
          </w:p>
        </w:tc>
      </w:tr>
    </w:tbl>
    <w:p w14:paraId="2D05BDF8" w14:textId="77777777" w:rsidR="00242EFD" w:rsidRPr="00564FCF" w:rsidRDefault="00242EFD" w:rsidP="00242EFD">
      <w:pPr>
        <w:pStyle w:val="NormalWeb"/>
        <w:spacing w:before="0" w:beforeAutospacing="0" w:after="240" w:afterAutospacing="0"/>
        <w:jc w:val="both"/>
        <w:rPr>
          <w:rFonts w:ascii="Arial" w:hAnsi="Arial" w:cs="Arial"/>
          <w:color w:val="000000" w:themeColor="text1"/>
        </w:rPr>
      </w:pPr>
      <w:r w:rsidRPr="00564FCF">
        <w:rPr>
          <w:rFonts w:ascii="Arial" w:hAnsi="Arial" w:cs="Arial"/>
          <w:color w:val="000000" w:themeColor="text1"/>
          <w:sz w:val="20"/>
          <w:szCs w:val="20"/>
          <w:vertAlign w:val="superscript"/>
        </w:rPr>
        <w:t>+</w:t>
      </w:r>
      <w:r w:rsidRPr="00564FCF">
        <w:rPr>
          <w:rFonts w:ascii="Arial" w:hAnsi="Arial" w:cs="Arial"/>
          <w:color w:val="000000" w:themeColor="text1"/>
          <w:sz w:val="20"/>
          <w:szCs w:val="20"/>
        </w:rPr>
        <w:t>=significant</w:t>
      </w:r>
      <w:r w:rsidRPr="00564FCF">
        <w:rPr>
          <w:rFonts w:ascii="Arial" w:hAnsi="Arial" w:cs="Arial"/>
          <w:color w:val="000000" w:themeColor="text1"/>
        </w:rPr>
        <w:t xml:space="preserve"> </w:t>
      </w:r>
      <w:r w:rsidRPr="00564FCF">
        <w:rPr>
          <w:rFonts w:ascii="Arial" w:hAnsi="Arial" w:cs="Arial"/>
          <w:color w:val="000000" w:themeColor="text1"/>
          <w:sz w:val="20"/>
          <w:szCs w:val="20"/>
        </w:rPr>
        <w:t xml:space="preserve">at </w:t>
      </w:r>
      <w:r w:rsidRPr="00564FCF">
        <w:rPr>
          <w:rFonts w:ascii="Arial" w:hAnsi="Arial" w:cs="Arial"/>
          <w:i/>
          <w:color w:val="000000" w:themeColor="text1"/>
          <w:sz w:val="20"/>
          <w:szCs w:val="20"/>
        </w:rPr>
        <w:t xml:space="preserve">p </w:t>
      </w:r>
      <w:r w:rsidRPr="00564FCF">
        <w:rPr>
          <w:rFonts w:ascii="Arial" w:hAnsi="Arial" w:cs="Arial"/>
          <w:color w:val="000000" w:themeColor="text1"/>
          <w:sz w:val="20"/>
          <w:szCs w:val="20"/>
        </w:rPr>
        <w:t>&lt; 0.05</w:t>
      </w:r>
    </w:p>
    <w:p w14:paraId="4F8B6AE0" w14:textId="12E57873" w:rsidR="00242EFD" w:rsidRPr="00242EFD" w:rsidRDefault="00242EFD" w:rsidP="00EE22B6">
      <w:pPr>
        <w:jc w:val="both"/>
        <w:rPr>
          <w:rFonts w:ascii="Arial" w:hAnsi="Arial" w:cs="Arial"/>
          <w:lang w:val="en-PH" w:eastAsia="en-PH"/>
        </w:rPr>
      </w:pPr>
      <w:r w:rsidRPr="00242EFD">
        <w:rPr>
          <w:rFonts w:ascii="Arial" w:hAnsi="Arial" w:cs="Arial"/>
          <w:lang w:val="en-PH" w:eastAsia="en-PH"/>
        </w:rPr>
        <w:t xml:space="preserve">The lack of </w:t>
      </w:r>
      <w:r>
        <w:rPr>
          <w:rFonts w:ascii="Arial" w:hAnsi="Arial" w:cs="Arial"/>
          <w:lang w:val="en-PH" w:eastAsia="en-PH"/>
        </w:rPr>
        <w:t xml:space="preserve">a </w:t>
      </w:r>
      <w:r w:rsidRPr="00242EFD">
        <w:rPr>
          <w:rFonts w:ascii="Arial" w:hAnsi="Arial" w:cs="Arial"/>
          <w:lang w:val="en-PH" w:eastAsia="en-PH"/>
        </w:rPr>
        <w:t>significant difference in initial leaf number aligns with observations in similar studies on leafy vegetables. For instance, Cruz et al. (2013) found that when seedlings of uniform age and size are used, the initial leaf count across Brassica varieties remains statistically similar, which ensures that post-treatment variations are attributable to the applied stress and not pre-existing plant differences.</w:t>
      </w:r>
    </w:p>
    <w:p w14:paraId="328FFC80" w14:textId="77777777" w:rsidR="00242EFD" w:rsidRPr="00242EFD" w:rsidRDefault="00242EFD" w:rsidP="00242EFD">
      <w:pPr>
        <w:ind w:firstLine="634"/>
        <w:jc w:val="both"/>
        <w:rPr>
          <w:rFonts w:ascii="Arial" w:hAnsi="Arial" w:cs="Arial"/>
          <w:lang w:val="en-PH" w:eastAsia="en-PH"/>
        </w:rPr>
      </w:pPr>
    </w:p>
    <w:p w14:paraId="58D68E45" w14:textId="77777777" w:rsidR="00242EFD" w:rsidRPr="00242EFD" w:rsidRDefault="00242EFD" w:rsidP="00242EFD">
      <w:pPr>
        <w:widowControl w:val="0"/>
        <w:autoSpaceDE w:val="0"/>
        <w:autoSpaceDN w:val="0"/>
        <w:jc w:val="both"/>
        <w:rPr>
          <w:rFonts w:ascii="Arial" w:hAnsi="Arial" w:cs="Arial"/>
          <w:lang w:val="en-PH" w:eastAsia="en-PH"/>
        </w:rPr>
      </w:pPr>
      <w:r w:rsidRPr="00242EFD">
        <w:rPr>
          <w:rFonts w:ascii="Arial" w:hAnsi="Arial" w:cs="Arial"/>
          <w:lang w:val="en-PH" w:eastAsia="en-PH"/>
        </w:rPr>
        <w:t>Furthermore, the relatively stable initial leaf number emphasizes that any subsequent changes observed in the final leaf number—whether loss or lack of new growth—can be attributed primarily to the effect of the submersion period. This reinforces the importance of baseline data in analyzing physiological responses to abiotic stresses such as waterlogging or submersion (Yin &amp; Komatsu, 2017).</w:t>
      </w:r>
    </w:p>
    <w:p w14:paraId="3A1CC9C1" w14:textId="77777777" w:rsidR="00242EFD" w:rsidRPr="00242EFD" w:rsidRDefault="00242EFD" w:rsidP="00242EFD">
      <w:pPr>
        <w:ind w:firstLine="720"/>
        <w:jc w:val="both"/>
        <w:rPr>
          <w:rFonts w:ascii="Arial" w:hAnsi="Arial" w:cs="Arial"/>
          <w:lang w:val="en-PH" w:eastAsia="en-PH"/>
        </w:rPr>
      </w:pPr>
    </w:p>
    <w:p w14:paraId="7D74BF09" w14:textId="77777777" w:rsidR="00242EFD" w:rsidRDefault="00242EFD" w:rsidP="00242EFD">
      <w:pPr>
        <w:widowControl w:val="0"/>
        <w:autoSpaceDE w:val="0"/>
        <w:autoSpaceDN w:val="0"/>
        <w:spacing w:before="1"/>
        <w:jc w:val="both"/>
        <w:rPr>
          <w:rFonts w:ascii="Arial" w:hAnsi="Arial" w:cs="Arial"/>
          <w:lang w:val="en-PH" w:eastAsia="en-PH"/>
        </w:rPr>
      </w:pPr>
      <w:r w:rsidRPr="00242EFD">
        <w:rPr>
          <w:rFonts w:ascii="Arial" w:hAnsi="Arial" w:cs="Arial"/>
          <w:lang w:val="en-PH" w:eastAsia="en-PH"/>
        </w:rPr>
        <w:t xml:space="preserve">As to the final number of leaves gathered at the post-submersion period after 72 hours, analysis of variance revealed a significant difference among treatments as can be gleaned from Figure 2. This indicates that the duration of submersion had a measurable impact on the leaf number of </w:t>
      </w:r>
      <w:proofErr w:type="spellStart"/>
      <w:r w:rsidRPr="00242EFD">
        <w:rPr>
          <w:rFonts w:ascii="Arial" w:hAnsi="Arial" w:cs="Arial"/>
          <w:lang w:val="en-PH" w:eastAsia="en-PH"/>
        </w:rPr>
        <w:t>pechay</w:t>
      </w:r>
      <w:proofErr w:type="spellEnd"/>
      <w:r w:rsidRPr="00242EFD">
        <w:rPr>
          <w:rFonts w:ascii="Arial" w:hAnsi="Arial" w:cs="Arial"/>
          <w:lang w:val="en-PH" w:eastAsia="en-PH"/>
        </w:rPr>
        <w:t xml:space="preserve">. It can be observed that plants under the control treatment (no submersion) continued to produce new leaves, demonstrating normal vegetative growth under non-stress conditions. In contrast, all plants subjected to submersion—whether for 24, 48, or 72 hours—exhibited a decrease in the final number of leaves compared to their initial counts. This decline in leaf number among submerged plants can be attributed to several physiological responses to flooding stress. Submersion reduces oxygen availability in the root zone, inducing hypoxic or anoxic conditions that disrupt aerobic respiration and energy production (Yin &amp; Komatsu, 2017; Qi et al., 2021). These oxygen-deprived conditions can cause cellular damage, hinder nutrient uptake, and lead to the accumulation of reactive oxygen species (ROS), which collectively impair growth and accelerate senescence processes (Ghosh et al., 2018; Zhou &amp; Lin, 2020). Moreover, hormonal imbalances, such as increased ethylene and reduced </w:t>
      </w:r>
      <w:proofErr w:type="spellStart"/>
      <w:r w:rsidRPr="00242EFD">
        <w:rPr>
          <w:rFonts w:ascii="Arial" w:hAnsi="Arial" w:cs="Arial"/>
          <w:lang w:val="en-PH" w:eastAsia="en-PH"/>
        </w:rPr>
        <w:t>cytokinins</w:t>
      </w:r>
      <w:proofErr w:type="spellEnd"/>
      <w:r w:rsidRPr="00242EFD">
        <w:rPr>
          <w:rFonts w:ascii="Arial" w:hAnsi="Arial" w:cs="Arial"/>
          <w:lang w:val="en-PH" w:eastAsia="en-PH"/>
        </w:rPr>
        <w:t>, may promote leaf yellowing and abscission as adaptive survival mechanisms under prolonged stress (Sasidharan et al., 2017; Chen et al., 2022).</w:t>
      </w:r>
    </w:p>
    <w:p w14:paraId="64BAB3A4" w14:textId="77777777" w:rsidR="00242EFD" w:rsidRDefault="00242EFD" w:rsidP="00242EFD">
      <w:pPr>
        <w:widowControl w:val="0"/>
        <w:autoSpaceDE w:val="0"/>
        <w:autoSpaceDN w:val="0"/>
        <w:spacing w:before="1"/>
        <w:jc w:val="both"/>
        <w:rPr>
          <w:rFonts w:ascii="Arial" w:hAnsi="Arial" w:cs="Arial"/>
          <w:lang w:val="en-PH" w:eastAsia="en-PH"/>
        </w:rPr>
      </w:pPr>
    </w:p>
    <w:p w14:paraId="3678A8FD" w14:textId="0A80A7FE" w:rsidR="00242EFD" w:rsidRPr="00242EFD" w:rsidRDefault="00242EFD" w:rsidP="00EE22B6">
      <w:pPr>
        <w:widowControl w:val="0"/>
        <w:autoSpaceDE w:val="0"/>
        <w:autoSpaceDN w:val="0"/>
        <w:spacing w:before="1"/>
        <w:jc w:val="center"/>
        <w:rPr>
          <w:rFonts w:ascii="Arial" w:hAnsi="Arial" w:cs="Arial"/>
          <w:lang w:val="en-PH" w:eastAsia="en-PH"/>
        </w:rPr>
      </w:pPr>
      <w:r w:rsidRPr="00564FCF">
        <w:rPr>
          <w:rFonts w:ascii="Arial" w:hAnsi="Arial" w:cs="Arial"/>
          <w:noProof/>
        </w:rPr>
        <w:lastRenderedPageBreak/>
        <w:drawing>
          <wp:inline distT="0" distB="0" distL="0" distR="0" wp14:anchorId="04B9769F" wp14:editId="5374B7D0">
            <wp:extent cx="5212080" cy="2592537"/>
            <wp:effectExtent l="0" t="0" r="0" b="0"/>
            <wp:docPr id="1003167075" name="Chart 1003167075">
              <a:extLst xmlns:a="http://schemas.openxmlformats.org/drawingml/2006/main">
                <a:ext uri="{FF2B5EF4-FFF2-40B4-BE49-F238E27FC236}">
                  <a16:creationId xmlns:a16="http://schemas.microsoft.com/office/drawing/2014/main" id="{E263AA53-F052-2B91-964F-AC1052AD5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A97DD9" w14:textId="72377760" w:rsidR="00242EFD" w:rsidRPr="00242EFD" w:rsidRDefault="00242EFD" w:rsidP="00242EFD">
      <w:pPr>
        <w:pStyle w:val="NormalWeb"/>
        <w:spacing w:before="0" w:beforeAutospacing="0" w:after="0" w:afterAutospacing="0"/>
        <w:jc w:val="both"/>
        <w:rPr>
          <w:rFonts w:ascii="Arial" w:hAnsi="Arial" w:cs="Arial"/>
          <w:color w:val="000000" w:themeColor="text1"/>
          <w:sz w:val="20"/>
          <w:szCs w:val="20"/>
        </w:rPr>
      </w:pPr>
      <w:r w:rsidRPr="00564FCF">
        <w:rPr>
          <w:rFonts w:ascii="Arial" w:hAnsi="Arial" w:cs="Arial"/>
          <w:color w:val="000000" w:themeColor="text1"/>
          <w:sz w:val="20"/>
          <w:szCs w:val="20"/>
          <w:vertAlign w:val="superscript"/>
        </w:rPr>
        <w:t>*</w:t>
      </w:r>
      <w:r w:rsidRPr="00564FCF">
        <w:rPr>
          <w:rFonts w:ascii="Arial" w:hAnsi="Arial" w:cs="Arial"/>
          <w:color w:val="000000" w:themeColor="text1"/>
          <w:sz w:val="20"/>
          <w:szCs w:val="20"/>
        </w:rPr>
        <w:t xml:space="preserve">=significant at </w:t>
      </w:r>
      <w:r w:rsidRPr="00564FCF">
        <w:rPr>
          <w:rFonts w:ascii="Arial" w:hAnsi="Arial" w:cs="Arial"/>
          <w:i/>
          <w:color w:val="000000" w:themeColor="text1"/>
          <w:sz w:val="20"/>
          <w:szCs w:val="20"/>
        </w:rPr>
        <w:t xml:space="preserve">p </w:t>
      </w:r>
      <w:r w:rsidRPr="00564FCF">
        <w:rPr>
          <w:rFonts w:ascii="Arial" w:hAnsi="Arial" w:cs="Arial"/>
          <w:color w:val="000000" w:themeColor="text1"/>
          <w:sz w:val="20"/>
          <w:szCs w:val="20"/>
        </w:rPr>
        <w:t>&lt; 0.05.  Means with the same letter are not significantly different; means with</w:t>
      </w:r>
      <w:r>
        <w:rPr>
          <w:rFonts w:ascii="Arial" w:hAnsi="Arial" w:cs="Arial"/>
          <w:color w:val="000000" w:themeColor="text1"/>
          <w:sz w:val="20"/>
          <w:szCs w:val="20"/>
        </w:rPr>
        <w:t xml:space="preserve"> </w:t>
      </w:r>
      <w:r w:rsidRPr="00564FCF">
        <w:rPr>
          <w:rFonts w:ascii="Arial" w:hAnsi="Arial" w:cs="Arial"/>
          <w:color w:val="000000" w:themeColor="text1"/>
          <w:sz w:val="20"/>
          <w:szCs w:val="20"/>
        </w:rPr>
        <w:t>different letters are significantly different.</w:t>
      </w:r>
    </w:p>
    <w:p w14:paraId="40D09920" w14:textId="77777777" w:rsidR="00242EFD" w:rsidRPr="00242EFD" w:rsidRDefault="00242EFD" w:rsidP="00441B6F">
      <w:pPr>
        <w:pStyle w:val="ConcHead"/>
        <w:spacing w:after="0"/>
        <w:jc w:val="both"/>
        <w:rPr>
          <w:rFonts w:ascii="Arial" w:hAnsi="Arial" w:cs="Arial"/>
          <w:lang w:val="en-PH"/>
        </w:rPr>
      </w:pPr>
    </w:p>
    <w:p w14:paraId="13F07D24" w14:textId="77777777" w:rsidR="00242EFD" w:rsidRPr="00242EFD" w:rsidRDefault="00242EFD" w:rsidP="00242EFD">
      <w:pPr>
        <w:ind w:firstLine="720"/>
        <w:jc w:val="center"/>
        <w:rPr>
          <w:rFonts w:ascii="Arial" w:hAnsi="Arial" w:cs="Arial"/>
          <w:lang w:val="en-PH" w:eastAsia="en-PH"/>
        </w:rPr>
      </w:pPr>
      <w:r w:rsidRPr="00242EFD">
        <w:rPr>
          <w:rFonts w:ascii="Arial" w:hAnsi="Arial" w:cs="Arial"/>
          <w:lang w:val="en-PH" w:eastAsia="en-PH"/>
        </w:rPr>
        <w:t>Fig. 2.  Final Number of Leaves as Affected by Submersion Period</w:t>
      </w:r>
    </w:p>
    <w:p w14:paraId="0BFD7D10" w14:textId="77777777" w:rsidR="00242EFD" w:rsidRPr="00242EFD" w:rsidRDefault="00242EFD" w:rsidP="00242EFD">
      <w:pPr>
        <w:ind w:firstLine="720"/>
        <w:jc w:val="center"/>
        <w:rPr>
          <w:rFonts w:ascii="Arial" w:hAnsi="Arial" w:cs="Arial"/>
          <w:lang w:val="en-PH" w:eastAsia="en-PH"/>
        </w:rPr>
      </w:pPr>
    </w:p>
    <w:p w14:paraId="16B37E05" w14:textId="77777777" w:rsidR="00242EFD" w:rsidRPr="00242EFD" w:rsidRDefault="00242EFD" w:rsidP="00EE22B6">
      <w:pPr>
        <w:jc w:val="both"/>
        <w:rPr>
          <w:rFonts w:ascii="Arial" w:hAnsi="Arial" w:cs="Arial"/>
          <w:lang w:val="en-PH" w:eastAsia="en-PH"/>
        </w:rPr>
      </w:pPr>
      <w:r w:rsidRPr="00242EFD">
        <w:rPr>
          <w:rFonts w:ascii="Arial" w:hAnsi="Arial" w:cs="Arial"/>
          <w:lang w:val="en-PH" w:eastAsia="en-PH"/>
        </w:rPr>
        <w:t xml:space="preserve">The significant differences observed suggest that even short-term submersion can adversely affect leaf retention in </w:t>
      </w:r>
      <w:proofErr w:type="spellStart"/>
      <w:r w:rsidRPr="00242EFD">
        <w:rPr>
          <w:rFonts w:ascii="Arial" w:hAnsi="Arial" w:cs="Arial"/>
          <w:lang w:val="en-PH" w:eastAsia="en-PH"/>
        </w:rPr>
        <w:t>pechay</w:t>
      </w:r>
      <w:proofErr w:type="spellEnd"/>
      <w:r w:rsidRPr="00242EFD">
        <w:rPr>
          <w:rFonts w:ascii="Arial" w:hAnsi="Arial" w:cs="Arial"/>
          <w:lang w:val="en-PH" w:eastAsia="en-PH"/>
        </w:rPr>
        <w:t xml:space="preserve">. This aligns with the findings of Pang et al. (2017) and Chen et al. (2022), who reported that waterlogging stress in leafy vegetables leads to a reduction in photosynthetic surface area due to leaf senescence and abscission, particularly when the stress duration exceeds 24 hours. The sustained leaf production observed in the control plants further underscores the high sensitivity of </w:t>
      </w:r>
      <w:proofErr w:type="spellStart"/>
      <w:r w:rsidRPr="00242EFD">
        <w:rPr>
          <w:rFonts w:ascii="Arial" w:hAnsi="Arial" w:cs="Arial"/>
          <w:lang w:val="en-PH" w:eastAsia="en-PH"/>
        </w:rPr>
        <w:t>pechay</w:t>
      </w:r>
      <w:proofErr w:type="spellEnd"/>
      <w:r w:rsidRPr="00242EFD">
        <w:rPr>
          <w:rFonts w:ascii="Arial" w:hAnsi="Arial" w:cs="Arial"/>
          <w:lang w:val="en-PH" w:eastAsia="en-PH"/>
        </w:rPr>
        <w:t xml:space="preserve"> to excess water and highlights the importance of maintaining well-drained conditions during early vegetative growth.</w:t>
      </w:r>
    </w:p>
    <w:p w14:paraId="7EF649EC" w14:textId="77777777" w:rsidR="00242EFD" w:rsidRPr="00242EFD" w:rsidRDefault="00242EFD" w:rsidP="00242EFD">
      <w:pPr>
        <w:ind w:firstLine="720"/>
        <w:jc w:val="both"/>
        <w:rPr>
          <w:rFonts w:ascii="Arial" w:hAnsi="Arial" w:cs="Arial"/>
          <w:lang w:val="en-PH" w:eastAsia="en-PH"/>
        </w:rPr>
      </w:pPr>
    </w:p>
    <w:p w14:paraId="497EE735" w14:textId="77777777" w:rsidR="00242EFD" w:rsidRPr="00242EFD" w:rsidRDefault="00242EFD" w:rsidP="00EE22B6">
      <w:pPr>
        <w:jc w:val="both"/>
        <w:rPr>
          <w:rFonts w:ascii="Arial" w:hAnsi="Arial" w:cs="Arial"/>
          <w:lang w:val="en-PH" w:eastAsia="en-PH"/>
        </w:rPr>
      </w:pPr>
      <w:r w:rsidRPr="00242EFD">
        <w:rPr>
          <w:rFonts w:ascii="Arial" w:hAnsi="Arial" w:cs="Arial"/>
          <w:lang w:val="en-PH" w:eastAsia="en-PH"/>
        </w:rPr>
        <w:t>Furthermore, the progressive severity of the response across 24, 48, and 72-hour treatments suggests a dose-dependent effect, where prolonged submersion exacerbates the physiological damage. Although the full recovery potential of the plants was not assessed due to the limited 72-hour post-observation period, the observed trend implies that the longer the duration of flooding, the greater the inhibition of vegetative growth.</w:t>
      </w:r>
    </w:p>
    <w:p w14:paraId="2478BB7D" w14:textId="77777777" w:rsidR="00242EFD" w:rsidRPr="00242EFD" w:rsidRDefault="00242EFD" w:rsidP="00242EFD">
      <w:pPr>
        <w:ind w:firstLine="720"/>
        <w:jc w:val="both"/>
        <w:rPr>
          <w:rFonts w:ascii="Arial" w:hAnsi="Arial" w:cs="Arial"/>
          <w:lang w:val="en-PH" w:eastAsia="en-PH"/>
        </w:rPr>
      </w:pPr>
    </w:p>
    <w:p w14:paraId="46BD7F14" w14:textId="2AC8B820" w:rsidR="00242EFD" w:rsidRPr="00242EFD" w:rsidRDefault="00242EFD" w:rsidP="00242EFD">
      <w:pPr>
        <w:widowControl w:val="0"/>
        <w:autoSpaceDE w:val="0"/>
        <w:autoSpaceDN w:val="0"/>
        <w:jc w:val="both"/>
        <w:rPr>
          <w:rFonts w:ascii="Arial" w:eastAsia="Arial MT" w:hAnsi="Arial" w:cs="Arial"/>
        </w:rPr>
      </w:pPr>
      <w:r w:rsidRPr="00242EFD">
        <w:rPr>
          <w:rFonts w:ascii="Arial" w:eastAsia="Arial MT" w:hAnsi="Arial" w:cs="Arial"/>
          <w:b/>
          <w:iCs/>
          <w:color w:val="000000" w:themeColor="text1"/>
        </w:rPr>
        <w:t>Interaction Effect</w:t>
      </w:r>
      <w:r w:rsidRPr="00242EFD">
        <w:rPr>
          <w:rFonts w:ascii="Arial" w:eastAsia="Arial MT" w:hAnsi="Arial" w:cs="Arial"/>
          <w:bCs/>
          <w:iCs/>
          <w:color w:val="000000" w:themeColor="text1"/>
        </w:rPr>
        <w:t>.</w:t>
      </w:r>
      <w:r w:rsidRPr="00242EFD">
        <w:rPr>
          <w:rFonts w:ascii="Arial" w:eastAsia="Arial MT" w:hAnsi="Arial" w:cs="Arial"/>
          <w:color w:val="000000" w:themeColor="text1"/>
        </w:rPr>
        <w:t xml:space="preserve"> </w:t>
      </w:r>
      <w:r w:rsidRPr="00242EFD">
        <w:rPr>
          <w:rFonts w:ascii="Arial" w:eastAsia="Arial MT" w:hAnsi="Arial" w:cs="Arial"/>
        </w:rPr>
        <w:t xml:space="preserve">Table </w:t>
      </w:r>
      <w:r w:rsidR="00A60F49">
        <w:rPr>
          <w:rFonts w:ascii="Arial" w:eastAsia="Arial MT" w:hAnsi="Arial" w:cs="Arial"/>
        </w:rPr>
        <w:t>5</w:t>
      </w:r>
      <w:r w:rsidRPr="00242EFD">
        <w:rPr>
          <w:rFonts w:ascii="Arial" w:eastAsia="Arial MT" w:hAnsi="Arial" w:cs="Arial"/>
        </w:rPr>
        <w:t xml:space="preserve"> presents the interaction effect between </w:t>
      </w:r>
      <w:proofErr w:type="spellStart"/>
      <w:r w:rsidRPr="00242EFD">
        <w:rPr>
          <w:rFonts w:ascii="Arial" w:eastAsia="Arial MT" w:hAnsi="Arial" w:cs="Arial"/>
        </w:rPr>
        <w:t>pechay</w:t>
      </w:r>
      <w:proofErr w:type="spellEnd"/>
      <w:r w:rsidRPr="00242EFD">
        <w:rPr>
          <w:rFonts w:ascii="Arial" w:eastAsia="Arial MT" w:hAnsi="Arial" w:cs="Arial"/>
        </w:rPr>
        <w:t xml:space="preserve"> varieties and submersion duration on the leaf number of </w:t>
      </w:r>
      <w:proofErr w:type="spellStart"/>
      <w:r w:rsidRPr="00242EFD">
        <w:rPr>
          <w:rFonts w:ascii="Arial" w:eastAsia="Arial MT" w:hAnsi="Arial" w:cs="Arial"/>
        </w:rPr>
        <w:t>pechay</w:t>
      </w:r>
      <w:proofErr w:type="spellEnd"/>
      <w:r w:rsidRPr="00242EFD">
        <w:rPr>
          <w:rFonts w:ascii="Arial" w:eastAsia="Arial MT" w:hAnsi="Arial" w:cs="Arial"/>
        </w:rPr>
        <w:t xml:space="preserve"> plants.  The analysis of variance revealed no significant interaction effect, indicating that the combination of </w:t>
      </w:r>
      <w:proofErr w:type="spellStart"/>
      <w:r w:rsidRPr="00242EFD">
        <w:rPr>
          <w:rFonts w:ascii="Arial" w:eastAsia="Arial MT" w:hAnsi="Arial" w:cs="Arial"/>
        </w:rPr>
        <w:t>pechay</w:t>
      </w:r>
      <w:proofErr w:type="spellEnd"/>
      <w:r w:rsidRPr="00242EFD">
        <w:rPr>
          <w:rFonts w:ascii="Arial" w:eastAsia="Arial MT" w:hAnsi="Arial" w:cs="Arial"/>
        </w:rPr>
        <w:t xml:space="preserve"> varieties and submersion duration did not influence the leaf number of </w:t>
      </w:r>
      <w:proofErr w:type="spellStart"/>
      <w:r w:rsidRPr="00242EFD">
        <w:rPr>
          <w:rFonts w:ascii="Arial" w:eastAsia="Arial MT" w:hAnsi="Arial" w:cs="Arial"/>
        </w:rPr>
        <w:t>pechay</w:t>
      </w:r>
      <w:proofErr w:type="spellEnd"/>
      <w:r w:rsidRPr="00242EFD">
        <w:rPr>
          <w:rFonts w:ascii="Arial" w:eastAsia="Arial MT" w:hAnsi="Arial" w:cs="Arial"/>
        </w:rPr>
        <w:t>.</w:t>
      </w:r>
    </w:p>
    <w:p w14:paraId="35FF0C09" w14:textId="77777777" w:rsidR="00242EFD" w:rsidRDefault="00242EFD" w:rsidP="00441B6F">
      <w:pPr>
        <w:pStyle w:val="ConcHead"/>
        <w:spacing w:after="0"/>
        <w:jc w:val="both"/>
        <w:rPr>
          <w:rFonts w:ascii="Arial" w:hAnsi="Arial" w:cs="Arial"/>
        </w:rPr>
      </w:pPr>
    </w:p>
    <w:p w14:paraId="52CDFA7E" w14:textId="3FCE00D2" w:rsidR="00242EFD" w:rsidRPr="00242EFD" w:rsidRDefault="00242EFD" w:rsidP="00242EFD">
      <w:pPr>
        <w:widowControl w:val="0"/>
        <w:autoSpaceDE w:val="0"/>
        <w:autoSpaceDN w:val="0"/>
        <w:ind w:left="990" w:hanging="990"/>
        <w:jc w:val="both"/>
        <w:rPr>
          <w:rFonts w:ascii="Arial" w:eastAsia="Arial MT" w:hAnsi="Arial" w:cs="Arial"/>
          <w:color w:val="000000" w:themeColor="text1"/>
        </w:rPr>
      </w:pPr>
      <w:r w:rsidRPr="00242EFD">
        <w:rPr>
          <w:rFonts w:ascii="Arial" w:eastAsia="Arial MT" w:hAnsi="Arial" w:cs="Arial"/>
          <w:color w:val="000000" w:themeColor="text1"/>
        </w:rPr>
        <w:t xml:space="preserve">Table </w:t>
      </w:r>
      <w:r w:rsidR="00A60F49">
        <w:rPr>
          <w:rFonts w:ascii="Arial" w:eastAsia="Arial MT" w:hAnsi="Arial" w:cs="Arial"/>
          <w:color w:val="000000" w:themeColor="text1"/>
        </w:rPr>
        <w:t>5</w:t>
      </w:r>
      <w:r w:rsidRPr="00242EFD">
        <w:rPr>
          <w:rFonts w:ascii="Arial" w:eastAsia="Arial MT" w:hAnsi="Arial" w:cs="Arial"/>
          <w:color w:val="000000" w:themeColor="text1"/>
        </w:rPr>
        <w:t xml:space="preserve">. Interaction Effect Between </w:t>
      </w:r>
      <w:proofErr w:type="spellStart"/>
      <w:r w:rsidRPr="00242EFD">
        <w:rPr>
          <w:rFonts w:ascii="Arial" w:eastAsia="Arial MT" w:hAnsi="Arial" w:cs="Arial"/>
          <w:color w:val="000000" w:themeColor="text1"/>
        </w:rPr>
        <w:t>Pechay</w:t>
      </w:r>
      <w:proofErr w:type="spellEnd"/>
      <w:r w:rsidRPr="00242EFD">
        <w:rPr>
          <w:rFonts w:ascii="Arial" w:eastAsia="Arial MT" w:hAnsi="Arial" w:cs="Arial"/>
          <w:color w:val="000000" w:themeColor="text1"/>
        </w:rPr>
        <w:t xml:space="preserve"> Varieties and Submersion Period on the Leaf Number</w:t>
      </w:r>
    </w:p>
    <w:tbl>
      <w:tblPr>
        <w:tblW w:w="0" w:type="auto"/>
        <w:tblLook w:val="04A0" w:firstRow="1" w:lastRow="0" w:firstColumn="1" w:lastColumn="0" w:noHBand="0" w:noVBand="1"/>
      </w:tblPr>
      <w:tblGrid>
        <w:gridCol w:w="5650"/>
        <w:gridCol w:w="2774"/>
      </w:tblGrid>
      <w:tr w:rsidR="00242EFD" w:rsidRPr="00242EFD" w14:paraId="1F79195E" w14:textId="77777777" w:rsidTr="00242EFD">
        <w:trPr>
          <w:trHeight w:val="306"/>
        </w:trPr>
        <w:tc>
          <w:tcPr>
            <w:tcW w:w="5650" w:type="dxa"/>
            <w:tcBorders>
              <w:top w:val="double" w:sz="12" w:space="0" w:color="auto"/>
              <w:bottom w:val="single" w:sz="12" w:space="0" w:color="auto"/>
            </w:tcBorders>
            <w:vAlign w:val="bottom"/>
          </w:tcPr>
          <w:p w14:paraId="53891951" w14:textId="77777777" w:rsidR="00242EFD" w:rsidRPr="00242EFD" w:rsidRDefault="00242EFD" w:rsidP="00242EFD">
            <w:pPr>
              <w:widowControl w:val="0"/>
              <w:autoSpaceDE w:val="0"/>
              <w:autoSpaceDN w:val="0"/>
              <w:rPr>
                <w:rFonts w:ascii="Arial" w:eastAsia="Arial MT" w:hAnsi="Arial" w:cs="Arial"/>
                <w:color w:val="000000" w:themeColor="text1"/>
                <w:lang w:eastAsia="en-PH"/>
              </w:rPr>
            </w:pPr>
            <w:r w:rsidRPr="00242EFD">
              <w:rPr>
                <w:rFonts w:ascii="Arial" w:eastAsia="Arial MT" w:hAnsi="Arial" w:cs="Arial"/>
                <w:color w:val="000000" w:themeColor="text1"/>
                <w:lang w:eastAsia="en-PH"/>
              </w:rPr>
              <w:t>Treatments</w:t>
            </w:r>
          </w:p>
        </w:tc>
        <w:tc>
          <w:tcPr>
            <w:tcW w:w="2774" w:type="dxa"/>
            <w:tcBorders>
              <w:top w:val="double" w:sz="12" w:space="0" w:color="auto"/>
              <w:bottom w:val="single" w:sz="12" w:space="0" w:color="auto"/>
            </w:tcBorders>
            <w:vAlign w:val="center"/>
          </w:tcPr>
          <w:p w14:paraId="4D9D1D47" w14:textId="77777777" w:rsidR="00242EFD" w:rsidRPr="00242EFD" w:rsidRDefault="00242EFD" w:rsidP="00242EFD">
            <w:pPr>
              <w:widowControl w:val="0"/>
              <w:autoSpaceDE w:val="0"/>
              <w:autoSpaceDN w:val="0"/>
              <w:jc w:val="center"/>
              <w:rPr>
                <w:rFonts w:ascii="Arial" w:eastAsia="Arial MT" w:hAnsi="Arial" w:cs="Arial"/>
                <w:color w:val="000000" w:themeColor="text1"/>
                <w:vertAlign w:val="superscript"/>
                <w:lang w:eastAsia="en-PH"/>
              </w:rPr>
            </w:pPr>
            <w:r w:rsidRPr="00242EFD">
              <w:rPr>
                <w:rFonts w:ascii="Arial" w:eastAsia="Arial MT" w:hAnsi="Arial" w:cs="Arial"/>
                <w:color w:val="000000" w:themeColor="text1"/>
              </w:rPr>
              <w:t>Leaf Number</w:t>
            </w:r>
            <w:r w:rsidRPr="00242EFD">
              <w:rPr>
                <w:rFonts w:ascii="Arial" w:eastAsia="Arial MT" w:hAnsi="Arial" w:cs="Arial"/>
                <w:color w:val="000000" w:themeColor="text1"/>
                <w:vertAlign w:val="superscript"/>
                <w:lang w:eastAsia="en-PH"/>
              </w:rPr>
              <w:t>+</w:t>
            </w:r>
          </w:p>
        </w:tc>
      </w:tr>
      <w:tr w:rsidR="00242EFD" w:rsidRPr="00242EFD" w14:paraId="48C53F75" w14:textId="77777777" w:rsidTr="00242EFD">
        <w:tc>
          <w:tcPr>
            <w:tcW w:w="5650" w:type="dxa"/>
            <w:tcBorders>
              <w:top w:val="single" w:sz="12" w:space="0" w:color="auto"/>
            </w:tcBorders>
          </w:tcPr>
          <w:p w14:paraId="03CEE632"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0 </w:t>
            </w:r>
          </w:p>
        </w:tc>
        <w:tc>
          <w:tcPr>
            <w:tcW w:w="2774" w:type="dxa"/>
            <w:tcBorders>
              <w:top w:val="single" w:sz="12" w:space="0" w:color="auto"/>
            </w:tcBorders>
            <w:vAlign w:val="bottom"/>
          </w:tcPr>
          <w:p w14:paraId="3361C4BC"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4.27</w:t>
            </w:r>
          </w:p>
        </w:tc>
      </w:tr>
      <w:tr w:rsidR="00242EFD" w:rsidRPr="00242EFD" w14:paraId="5075F4AE" w14:textId="77777777" w:rsidTr="00242EFD">
        <w:tc>
          <w:tcPr>
            <w:tcW w:w="5650" w:type="dxa"/>
          </w:tcPr>
          <w:p w14:paraId="52203934"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1 </w:t>
            </w:r>
          </w:p>
        </w:tc>
        <w:tc>
          <w:tcPr>
            <w:tcW w:w="2774" w:type="dxa"/>
            <w:vAlign w:val="bottom"/>
          </w:tcPr>
          <w:p w14:paraId="393F6798"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4.20</w:t>
            </w:r>
          </w:p>
        </w:tc>
      </w:tr>
      <w:tr w:rsidR="00242EFD" w:rsidRPr="00242EFD" w14:paraId="414270A1" w14:textId="77777777" w:rsidTr="00242EFD">
        <w:tc>
          <w:tcPr>
            <w:tcW w:w="5650" w:type="dxa"/>
          </w:tcPr>
          <w:p w14:paraId="58389578" w14:textId="77777777" w:rsidR="00242EFD" w:rsidRPr="00242EFD" w:rsidRDefault="00242EFD" w:rsidP="00242EFD">
            <w:pPr>
              <w:widowControl w:val="0"/>
              <w:autoSpaceDE w:val="0"/>
              <w:autoSpaceDN w:val="0"/>
              <w:jc w:val="both"/>
              <w:rPr>
                <w:rFonts w:ascii="Arial" w:eastAsia="Arial MT" w:hAnsi="Arial" w:cs="Arial"/>
                <w:bCs/>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2</w:t>
            </w:r>
          </w:p>
        </w:tc>
        <w:tc>
          <w:tcPr>
            <w:tcW w:w="2774" w:type="dxa"/>
            <w:vAlign w:val="bottom"/>
          </w:tcPr>
          <w:p w14:paraId="0DCB09C5"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4.83</w:t>
            </w:r>
          </w:p>
        </w:tc>
      </w:tr>
      <w:tr w:rsidR="00242EFD" w:rsidRPr="00242EFD" w14:paraId="27A73586" w14:textId="77777777" w:rsidTr="00242EFD">
        <w:tc>
          <w:tcPr>
            <w:tcW w:w="5650" w:type="dxa"/>
          </w:tcPr>
          <w:p w14:paraId="2CE7B4D2"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bCs/>
                <w:color w:val="000000" w:themeColor="text1"/>
                <w:lang w:eastAsia="en-PH"/>
              </w:rPr>
              <w:t>A</w:t>
            </w:r>
            <w:r w:rsidRPr="00242EFD">
              <w:rPr>
                <w:rFonts w:ascii="Arial" w:eastAsia="Arial MT" w:hAnsi="Arial" w:cs="Arial"/>
                <w:color w:val="000000" w:themeColor="text1"/>
                <w:vertAlign w:val="subscript"/>
                <w:lang w:eastAsia="en-PH"/>
              </w:rPr>
              <w:t>1</w:t>
            </w:r>
            <w:r w:rsidRPr="00242EFD">
              <w:rPr>
                <w:rFonts w:ascii="Arial" w:eastAsia="Arial MT" w:hAnsi="Arial" w:cs="Arial"/>
                <w:bCs/>
                <w:color w:val="000000" w:themeColor="text1"/>
                <w:lang w:eastAsia="en-PH"/>
              </w:rPr>
              <w:t>B</w:t>
            </w:r>
            <w:r w:rsidRPr="00242EFD">
              <w:rPr>
                <w:rFonts w:ascii="Arial" w:eastAsia="Arial MT" w:hAnsi="Arial" w:cs="Arial"/>
                <w:bCs/>
                <w:color w:val="000000" w:themeColor="text1"/>
                <w:vertAlign w:val="subscript"/>
                <w:lang w:eastAsia="en-PH"/>
              </w:rPr>
              <w:t>3</w:t>
            </w:r>
          </w:p>
        </w:tc>
        <w:tc>
          <w:tcPr>
            <w:tcW w:w="2774" w:type="dxa"/>
            <w:vAlign w:val="bottom"/>
          </w:tcPr>
          <w:p w14:paraId="50109815"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4.37</w:t>
            </w:r>
          </w:p>
        </w:tc>
      </w:tr>
      <w:tr w:rsidR="00242EFD" w:rsidRPr="00242EFD" w14:paraId="41EEEBAC" w14:textId="77777777" w:rsidTr="00242EFD">
        <w:tc>
          <w:tcPr>
            <w:tcW w:w="5650" w:type="dxa"/>
          </w:tcPr>
          <w:p w14:paraId="54BD0BA1"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0</w:t>
            </w:r>
          </w:p>
        </w:tc>
        <w:tc>
          <w:tcPr>
            <w:tcW w:w="2774" w:type="dxa"/>
            <w:vAlign w:val="bottom"/>
          </w:tcPr>
          <w:p w14:paraId="7373F0EF"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4.43</w:t>
            </w:r>
          </w:p>
        </w:tc>
      </w:tr>
      <w:tr w:rsidR="00242EFD" w:rsidRPr="00242EFD" w14:paraId="360242BB" w14:textId="77777777" w:rsidTr="00242EFD">
        <w:tc>
          <w:tcPr>
            <w:tcW w:w="5650" w:type="dxa"/>
          </w:tcPr>
          <w:p w14:paraId="05D4003A"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1</w:t>
            </w:r>
          </w:p>
        </w:tc>
        <w:tc>
          <w:tcPr>
            <w:tcW w:w="2774" w:type="dxa"/>
            <w:vAlign w:val="bottom"/>
          </w:tcPr>
          <w:p w14:paraId="31196346"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4.40</w:t>
            </w:r>
          </w:p>
        </w:tc>
      </w:tr>
      <w:tr w:rsidR="00242EFD" w:rsidRPr="00242EFD" w14:paraId="74556BB8" w14:textId="77777777" w:rsidTr="00242EFD">
        <w:tc>
          <w:tcPr>
            <w:tcW w:w="5650" w:type="dxa"/>
          </w:tcPr>
          <w:p w14:paraId="0FC6D2A8"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2 </w:t>
            </w:r>
          </w:p>
        </w:tc>
        <w:tc>
          <w:tcPr>
            <w:tcW w:w="2774" w:type="dxa"/>
            <w:vAlign w:val="bottom"/>
          </w:tcPr>
          <w:p w14:paraId="598C3EE3"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4.40</w:t>
            </w:r>
          </w:p>
        </w:tc>
      </w:tr>
      <w:tr w:rsidR="00242EFD" w:rsidRPr="00242EFD" w14:paraId="6D050511" w14:textId="77777777" w:rsidTr="00242EFD">
        <w:tc>
          <w:tcPr>
            <w:tcW w:w="5650" w:type="dxa"/>
          </w:tcPr>
          <w:p w14:paraId="0C126935"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2</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3 </w:t>
            </w:r>
          </w:p>
        </w:tc>
        <w:tc>
          <w:tcPr>
            <w:tcW w:w="2774" w:type="dxa"/>
            <w:vAlign w:val="bottom"/>
          </w:tcPr>
          <w:p w14:paraId="395AD75E"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4.73</w:t>
            </w:r>
          </w:p>
        </w:tc>
      </w:tr>
      <w:tr w:rsidR="00242EFD" w:rsidRPr="00242EFD" w14:paraId="4DD93A78" w14:textId="77777777" w:rsidTr="00242EFD">
        <w:tc>
          <w:tcPr>
            <w:tcW w:w="5650" w:type="dxa"/>
          </w:tcPr>
          <w:p w14:paraId="74A047CC"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3</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0 </w:t>
            </w:r>
          </w:p>
        </w:tc>
        <w:tc>
          <w:tcPr>
            <w:tcW w:w="2774" w:type="dxa"/>
            <w:vAlign w:val="bottom"/>
          </w:tcPr>
          <w:p w14:paraId="43EF493B"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4.40</w:t>
            </w:r>
          </w:p>
        </w:tc>
      </w:tr>
      <w:tr w:rsidR="00242EFD" w:rsidRPr="00242EFD" w14:paraId="4A358652" w14:textId="77777777" w:rsidTr="00242EFD">
        <w:tc>
          <w:tcPr>
            <w:tcW w:w="5650" w:type="dxa"/>
          </w:tcPr>
          <w:p w14:paraId="21A4E5DD"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3</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1 </w:t>
            </w:r>
            <w:r w:rsidRPr="00242EFD">
              <w:rPr>
                <w:rFonts w:ascii="Arial" w:eastAsia="Arial MT" w:hAnsi="Arial" w:cs="Arial"/>
                <w:bCs/>
                <w:color w:val="000000" w:themeColor="text1"/>
                <w:lang w:eastAsia="en-PH"/>
              </w:rPr>
              <w:t xml:space="preserve"> </w:t>
            </w:r>
          </w:p>
        </w:tc>
        <w:tc>
          <w:tcPr>
            <w:tcW w:w="2774" w:type="dxa"/>
            <w:vAlign w:val="bottom"/>
          </w:tcPr>
          <w:p w14:paraId="4E1301B6"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4.20</w:t>
            </w:r>
          </w:p>
        </w:tc>
      </w:tr>
      <w:tr w:rsidR="00242EFD" w:rsidRPr="00242EFD" w14:paraId="290A3DBC" w14:textId="77777777" w:rsidTr="00242EFD">
        <w:tc>
          <w:tcPr>
            <w:tcW w:w="5650" w:type="dxa"/>
          </w:tcPr>
          <w:p w14:paraId="026EE484"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rPr>
              <w:t>A</w:t>
            </w:r>
            <w:r w:rsidRPr="00242EFD">
              <w:rPr>
                <w:rFonts w:ascii="Arial" w:eastAsia="Arial MT" w:hAnsi="Arial" w:cs="Arial"/>
                <w:vertAlign w:val="subscript"/>
              </w:rPr>
              <w:t>3</w:t>
            </w:r>
            <w:r w:rsidRPr="00242EFD">
              <w:rPr>
                <w:rFonts w:ascii="Arial" w:eastAsia="Arial MT" w:hAnsi="Arial" w:cs="Arial"/>
              </w:rPr>
              <w:t>B</w:t>
            </w:r>
            <w:r w:rsidRPr="00242EFD">
              <w:rPr>
                <w:rFonts w:ascii="Arial" w:eastAsia="Arial MT" w:hAnsi="Arial" w:cs="Arial"/>
                <w:vertAlign w:val="subscript"/>
              </w:rPr>
              <w:t>2</w:t>
            </w:r>
            <w:r w:rsidRPr="00242EFD">
              <w:rPr>
                <w:rFonts w:ascii="Arial" w:eastAsia="Arial MT" w:hAnsi="Arial" w:cs="Arial"/>
                <w:color w:val="000000" w:themeColor="text1"/>
                <w:vertAlign w:val="subscript"/>
                <w:lang w:eastAsia="en-PH"/>
              </w:rPr>
              <w:t xml:space="preserve"> </w:t>
            </w:r>
          </w:p>
        </w:tc>
        <w:tc>
          <w:tcPr>
            <w:tcW w:w="2774" w:type="dxa"/>
            <w:vAlign w:val="bottom"/>
          </w:tcPr>
          <w:p w14:paraId="73413E91"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4.57</w:t>
            </w:r>
          </w:p>
        </w:tc>
      </w:tr>
      <w:tr w:rsidR="00242EFD" w:rsidRPr="00242EFD" w14:paraId="5F6F1BE9" w14:textId="77777777" w:rsidTr="00242EFD">
        <w:tc>
          <w:tcPr>
            <w:tcW w:w="5650" w:type="dxa"/>
            <w:tcBorders>
              <w:bottom w:val="double" w:sz="12" w:space="0" w:color="auto"/>
            </w:tcBorders>
          </w:tcPr>
          <w:p w14:paraId="08EF25D9" w14:textId="77777777" w:rsidR="00242EFD" w:rsidRPr="00242EFD" w:rsidRDefault="00242EFD" w:rsidP="00242EFD">
            <w:pPr>
              <w:widowControl w:val="0"/>
              <w:autoSpaceDE w:val="0"/>
              <w:autoSpaceDN w:val="0"/>
              <w:jc w:val="both"/>
              <w:rPr>
                <w:rFonts w:ascii="Arial" w:eastAsia="Arial MT" w:hAnsi="Arial" w:cs="Arial"/>
                <w:color w:val="000000" w:themeColor="text1"/>
                <w:lang w:eastAsia="en-PH"/>
              </w:rPr>
            </w:pPr>
            <w:r w:rsidRPr="00242EFD">
              <w:rPr>
                <w:rFonts w:ascii="Arial" w:eastAsia="Arial MT" w:hAnsi="Arial" w:cs="Arial"/>
                <w:color w:val="000000" w:themeColor="text1"/>
                <w:lang w:eastAsia="en-PH"/>
              </w:rPr>
              <w:t>A</w:t>
            </w:r>
            <w:r w:rsidRPr="00242EFD">
              <w:rPr>
                <w:rFonts w:ascii="Arial" w:eastAsia="Arial MT" w:hAnsi="Arial" w:cs="Arial"/>
                <w:color w:val="000000" w:themeColor="text1"/>
                <w:vertAlign w:val="subscript"/>
                <w:lang w:eastAsia="en-PH"/>
              </w:rPr>
              <w:t>3</w:t>
            </w:r>
            <w:r w:rsidRPr="00242EFD">
              <w:rPr>
                <w:rFonts w:ascii="Arial" w:eastAsia="Arial MT" w:hAnsi="Arial" w:cs="Arial"/>
                <w:color w:val="000000" w:themeColor="text1"/>
                <w:lang w:eastAsia="en-PH"/>
              </w:rPr>
              <w:t>B</w:t>
            </w:r>
            <w:r w:rsidRPr="00242EFD">
              <w:rPr>
                <w:rFonts w:ascii="Arial" w:eastAsia="Arial MT" w:hAnsi="Arial" w:cs="Arial"/>
                <w:color w:val="000000" w:themeColor="text1"/>
                <w:vertAlign w:val="subscript"/>
                <w:lang w:eastAsia="en-PH"/>
              </w:rPr>
              <w:t xml:space="preserve">3 </w:t>
            </w:r>
          </w:p>
        </w:tc>
        <w:tc>
          <w:tcPr>
            <w:tcW w:w="2774" w:type="dxa"/>
            <w:tcBorders>
              <w:bottom w:val="double" w:sz="12" w:space="0" w:color="auto"/>
            </w:tcBorders>
            <w:vAlign w:val="bottom"/>
          </w:tcPr>
          <w:p w14:paraId="598BB36C" w14:textId="77777777" w:rsidR="00242EFD" w:rsidRPr="00242EFD" w:rsidRDefault="00242EFD" w:rsidP="00242EFD">
            <w:pPr>
              <w:widowControl w:val="0"/>
              <w:autoSpaceDE w:val="0"/>
              <w:autoSpaceDN w:val="0"/>
              <w:jc w:val="center"/>
              <w:rPr>
                <w:rFonts w:ascii="Arial" w:eastAsia="Arial MT" w:hAnsi="Arial" w:cs="Arial"/>
                <w:color w:val="000000" w:themeColor="text1"/>
                <w:lang w:eastAsia="en-PH"/>
              </w:rPr>
            </w:pPr>
            <w:r w:rsidRPr="00242EFD">
              <w:rPr>
                <w:rFonts w:ascii="Arial" w:hAnsi="Arial" w:cs="Arial"/>
                <w:color w:val="000000"/>
                <w:lang w:eastAsia="en-PH"/>
              </w:rPr>
              <w:t>4.37</w:t>
            </w:r>
          </w:p>
        </w:tc>
      </w:tr>
    </w:tbl>
    <w:p w14:paraId="644C2762" w14:textId="77777777" w:rsidR="00242EFD" w:rsidRPr="00242EFD" w:rsidRDefault="00242EFD" w:rsidP="00242EFD">
      <w:pPr>
        <w:widowControl w:val="0"/>
        <w:autoSpaceDE w:val="0"/>
        <w:autoSpaceDN w:val="0"/>
        <w:jc w:val="both"/>
        <w:rPr>
          <w:rFonts w:ascii="Arial" w:eastAsia="Arial MT" w:hAnsi="Arial" w:cs="Arial"/>
          <w:color w:val="000000" w:themeColor="text1"/>
        </w:rPr>
      </w:pPr>
      <w:r w:rsidRPr="00242EFD">
        <w:rPr>
          <w:rFonts w:ascii="Arial" w:eastAsia="Arial MT" w:hAnsi="Arial" w:cs="Arial"/>
          <w:color w:val="000000" w:themeColor="text1"/>
          <w:vertAlign w:val="superscript"/>
        </w:rPr>
        <w:t>+</w:t>
      </w:r>
      <w:r w:rsidRPr="00242EFD">
        <w:rPr>
          <w:rFonts w:ascii="Arial" w:eastAsia="Arial MT" w:hAnsi="Arial" w:cs="Arial"/>
          <w:color w:val="000000" w:themeColor="text1"/>
        </w:rPr>
        <w:t xml:space="preserve">= not significant at </w:t>
      </w:r>
      <w:r w:rsidRPr="00242EFD">
        <w:rPr>
          <w:rFonts w:ascii="Arial" w:eastAsia="Arial MT" w:hAnsi="Arial" w:cs="Arial"/>
          <w:i/>
          <w:color w:val="000000" w:themeColor="text1"/>
        </w:rPr>
        <w:t xml:space="preserve">p </w:t>
      </w:r>
      <w:r w:rsidRPr="00242EFD">
        <w:rPr>
          <w:rFonts w:ascii="Arial" w:eastAsia="Arial MT" w:hAnsi="Arial" w:cs="Arial"/>
          <w:color w:val="000000" w:themeColor="text1"/>
        </w:rPr>
        <w:t xml:space="preserve">&lt; 0.05 </w:t>
      </w:r>
    </w:p>
    <w:p w14:paraId="45BD2953" w14:textId="77777777" w:rsidR="00242EFD" w:rsidRDefault="00242EFD" w:rsidP="00441B6F">
      <w:pPr>
        <w:pStyle w:val="ConcHead"/>
        <w:spacing w:after="0"/>
        <w:jc w:val="both"/>
        <w:rPr>
          <w:rFonts w:ascii="Arial" w:hAnsi="Arial" w:cs="Arial"/>
        </w:rPr>
      </w:pPr>
    </w:p>
    <w:p w14:paraId="54EC137B" w14:textId="77777777" w:rsidR="00242EFD" w:rsidRDefault="00242EFD" w:rsidP="00441B6F">
      <w:pPr>
        <w:pStyle w:val="ConcHead"/>
        <w:spacing w:after="0"/>
        <w:jc w:val="both"/>
        <w:rPr>
          <w:rFonts w:ascii="Arial" w:hAnsi="Arial" w:cs="Arial"/>
        </w:rPr>
      </w:pPr>
    </w:p>
    <w:p w14:paraId="72E323F9" w14:textId="4C496045"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EE80604" w14:textId="77777777" w:rsidR="00790ADA" w:rsidRPr="00FB3A86" w:rsidRDefault="00790ADA" w:rsidP="00441B6F">
      <w:pPr>
        <w:pStyle w:val="ConcHead"/>
        <w:spacing w:after="0"/>
        <w:jc w:val="both"/>
        <w:rPr>
          <w:rFonts w:ascii="Arial" w:hAnsi="Arial" w:cs="Arial"/>
        </w:rPr>
      </w:pPr>
    </w:p>
    <w:p w14:paraId="519BE5D9" w14:textId="77777777" w:rsidR="00083AB9" w:rsidRDefault="00083AB9" w:rsidP="00441B6F">
      <w:pPr>
        <w:pStyle w:val="AcknHead"/>
        <w:spacing w:after="0"/>
        <w:jc w:val="both"/>
        <w:rPr>
          <w:rFonts w:ascii="Arial" w:hAnsi="Arial" w:cs="Arial"/>
          <w:b w:val="0"/>
          <w:caps w:val="0"/>
          <w:sz w:val="20"/>
        </w:rPr>
      </w:pPr>
      <w:r w:rsidRPr="00083AB9">
        <w:rPr>
          <w:rFonts w:ascii="Arial" w:hAnsi="Arial" w:cs="Arial"/>
          <w:b w:val="0"/>
          <w:caps w:val="0"/>
          <w:sz w:val="20"/>
        </w:rPr>
        <w:t xml:space="preserve">Based on the results and findings of the study, it was revealed that the different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varieties showed no significant effects on growth parameters such as percentage survival, plant height, and number of leaves. However, highly significant differences were observed in the percentage survival recovery following submersion. Among the varieties tested, Variety 2 (Pac Choi) registered higher recovery percentages, indicating better tolerance to waterlogging conditions compared to Variety 1 (Pavo). Furthermore,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plants submerged for 72 hours exhibited significantly lower percentage survival, reduced recovery survival percentage, shorter plant height, and fewer leaves during the post-submersion period. This finding indicates that prolonged waterlogging severely affects the physiological and morphological performance of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limiting its ability to recover and resume normal growth after stress. Finally, no significant interaction effects were observed between </w:t>
      </w:r>
      <w:proofErr w:type="spellStart"/>
      <w:r w:rsidRPr="00083AB9">
        <w:rPr>
          <w:rFonts w:ascii="Arial" w:hAnsi="Arial" w:cs="Arial"/>
          <w:b w:val="0"/>
          <w:caps w:val="0"/>
          <w:sz w:val="20"/>
        </w:rPr>
        <w:t>pechay</w:t>
      </w:r>
      <w:proofErr w:type="spellEnd"/>
      <w:r w:rsidRPr="00083AB9">
        <w:rPr>
          <w:rFonts w:ascii="Arial" w:hAnsi="Arial" w:cs="Arial"/>
          <w:b w:val="0"/>
          <w:caps w:val="0"/>
          <w:sz w:val="20"/>
        </w:rPr>
        <w:t xml:space="preserve"> varieties and submersion period combinations across all measured parameters.</w:t>
      </w:r>
    </w:p>
    <w:p w14:paraId="31CC535D" w14:textId="77777777" w:rsidR="00315186" w:rsidRPr="00315186" w:rsidRDefault="00315186" w:rsidP="00441B6F"/>
    <w:p w14:paraId="59FA0756" w14:textId="77777777" w:rsidR="001A29D8" w:rsidRDefault="001A29D8" w:rsidP="00441B6F">
      <w:pPr>
        <w:pStyle w:val="ReferHead"/>
        <w:spacing w:after="0"/>
        <w:jc w:val="both"/>
        <w:rPr>
          <w:rFonts w:ascii="Arial" w:hAnsi="Arial" w:cs="Arial"/>
          <w:b w:val="0"/>
          <w:caps w:val="0"/>
          <w:sz w:val="20"/>
        </w:rPr>
      </w:pPr>
    </w:p>
    <w:p w14:paraId="664C832A" w14:textId="77777777" w:rsidR="00083AB9" w:rsidRDefault="00083AB9" w:rsidP="00441B6F">
      <w:pPr>
        <w:pStyle w:val="ReferHead"/>
        <w:spacing w:after="0"/>
        <w:jc w:val="both"/>
        <w:rPr>
          <w:rFonts w:ascii="Arial" w:hAnsi="Arial" w:cs="Arial"/>
        </w:rPr>
      </w:pPr>
    </w:p>
    <w:p w14:paraId="0FA79F9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186973" w14:textId="77777777" w:rsidR="00083AB9" w:rsidRDefault="00083AB9" w:rsidP="00441B6F">
      <w:pPr>
        <w:pStyle w:val="ReferHead"/>
        <w:spacing w:after="0"/>
        <w:jc w:val="both"/>
        <w:rPr>
          <w:rFonts w:ascii="Arial" w:hAnsi="Arial" w:cs="Arial"/>
        </w:rPr>
      </w:pPr>
    </w:p>
    <w:p w14:paraId="4A547FFF" w14:textId="77777777" w:rsidR="0074539C" w:rsidRDefault="00083AB9" w:rsidP="0074539C">
      <w:pPr>
        <w:jc w:val="both"/>
        <w:rPr>
          <w:rFonts w:ascii="Arial" w:hAnsi="Arial" w:cs="Arial"/>
          <w:i/>
          <w:iCs/>
          <w:lang w:val="en-PH" w:eastAsia="en-PH"/>
        </w:rPr>
      </w:pPr>
      <w:r w:rsidRPr="00083AB9">
        <w:rPr>
          <w:rFonts w:ascii="Arial" w:hAnsi="Arial" w:cs="Arial"/>
          <w:lang w:val="en-PH" w:eastAsia="en-PH"/>
        </w:rPr>
        <w:t>Ahmed, F., Uddin, M. N., Hossain, M. A., &amp; Rahman, M. A. (2013). Morphophysiological responses of mustard (</w:t>
      </w:r>
      <w:r w:rsidRPr="00083AB9">
        <w:rPr>
          <w:rFonts w:ascii="Arial" w:hAnsi="Arial" w:cs="Arial"/>
          <w:i/>
          <w:iCs/>
          <w:lang w:val="en-PH" w:eastAsia="en-PH"/>
        </w:rPr>
        <w:t xml:space="preserve">Brassica </w:t>
      </w:r>
      <w:r w:rsidR="0074539C">
        <w:rPr>
          <w:rFonts w:ascii="Arial" w:hAnsi="Arial" w:cs="Arial"/>
          <w:i/>
          <w:iCs/>
          <w:lang w:val="en-PH" w:eastAsia="en-PH"/>
        </w:rPr>
        <w:t xml:space="preserve"> </w:t>
      </w:r>
    </w:p>
    <w:p w14:paraId="1259B922" w14:textId="35341891" w:rsidR="00083AB9" w:rsidRDefault="00083AB9" w:rsidP="0074539C">
      <w:pPr>
        <w:ind w:left="720"/>
        <w:jc w:val="both"/>
        <w:rPr>
          <w:rFonts w:ascii="Arial" w:hAnsi="Arial" w:cs="Arial"/>
          <w:lang w:val="en-PH" w:eastAsia="en-PH"/>
        </w:rPr>
      </w:pPr>
      <w:r w:rsidRPr="00083AB9">
        <w:rPr>
          <w:rFonts w:ascii="Arial" w:hAnsi="Arial" w:cs="Arial"/>
          <w:i/>
          <w:iCs/>
          <w:lang w:val="en-PH" w:eastAsia="en-PH"/>
        </w:rPr>
        <w:t>juncea</w:t>
      </w:r>
      <w:r w:rsidRPr="00083AB9">
        <w:rPr>
          <w:rFonts w:ascii="Arial" w:hAnsi="Arial" w:cs="Arial"/>
          <w:lang w:val="en-PH" w:eastAsia="en-PH"/>
        </w:rPr>
        <w:t xml:space="preserve">) varieties to waterlogging. </w:t>
      </w:r>
      <w:r w:rsidRPr="00083AB9">
        <w:rPr>
          <w:rFonts w:ascii="Arial" w:hAnsi="Arial" w:cs="Arial"/>
          <w:i/>
          <w:iCs/>
          <w:lang w:val="en-PH" w:eastAsia="en-PH"/>
        </w:rPr>
        <w:t>Bangladesh Journal of Agricultural Research</w:t>
      </w:r>
      <w:r w:rsidRPr="00083AB9">
        <w:rPr>
          <w:rFonts w:ascii="Arial" w:hAnsi="Arial" w:cs="Arial"/>
          <w:lang w:val="en-PH" w:eastAsia="en-PH"/>
        </w:rPr>
        <w:t xml:space="preserve">, 38(3), 437–448. </w:t>
      </w:r>
      <w:hyperlink r:id="rId11" w:history="1">
        <w:r w:rsidR="0074539C" w:rsidRPr="00083AB9">
          <w:rPr>
            <w:rStyle w:val="Hyperlink"/>
            <w:rFonts w:ascii="Arial" w:hAnsi="Arial" w:cs="Arial"/>
            <w:color w:val="auto"/>
            <w:u w:val="none"/>
            <w:lang w:val="en-PH" w:eastAsia="en-PH"/>
          </w:rPr>
          <w:t>https://doi.org/10.3329/bjar.v38i3.15878</w:t>
        </w:r>
      </w:hyperlink>
    </w:p>
    <w:p w14:paraId="6E9DF0D9" w14:textId="77777777" w:rsidR="0074539C" w:rsidRPr="00083AB9" w:rsidRDefault="0074539C" w:rsidP="0074539C">
      <w:pPr>
        <w:ind w:left="720"/>
        <w:jc w:val="both"/>
        <w:rPr>
          <w:rFonts w:ascii="Arial" w:hAnsi="Arial" w:cs="Arial"/>
          <w:lang w:val="en-PH" w:eastAsia="en-PH"/>
        </w:rPr>
      </w:pPr>
    </w:p>
    <w:p w14:paraId="324F1AFE"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Bailey, T. C., &amp; Colmer, T. D. (2014). Plant tolerance to waterlogging: a review of morphological and physiological </w:t>
      </w:r>
    </w:p>
    <w:p w14:paraId="17201091" w14:textId="032D6DBD" w:rsidR="00083AB9" w:rsidRPr="0074539C" w:rsidRDefault="00083AB9" w:rsidP="0074539C">
      <w:pPr>
        <w:ind w:firstLine="720"/>
        <w:jc w:val="both"/>
        <w:rPr>
          <w:rFonts w:ascii="Arial" w:hAnsi="Arial" w:cs="Arial"/>
          <w:lang w:val="en-PH" w:eastAsia="en-PH"/>
        </w:rPr>
      </w:pPr>
      <w:r w:rsidRPr="00083AB9">
        <w:rPr>
          <w:rFonts w:ascii="Arial" w:hAnsi="Arial" w:cs="Arial"/>
          <w:lang w:val="en-PH" w:eastAsia="en-PH"/>
        </w:rPr>
        <w:t xml:space="preserve">adaptations. </w:t>
      </w:r>
      <w:r w:rsidRPr="00083AB9">
        <w:rPr>
          <w:rFonts w:ascii="Arial" w:hAnsi="Arial" w:cs="Arial"/>
          <w:i/>
          <w:iCs/>
          <w:lang w:val="en-PH" w:eastAsia="en-PH"/>
        </w:rPr>
        <w:t>Functional Plant Biology</w:t>
      </w:r>
      <w:r w:rsidRPr="00083AB9">
        <w:rPr>
          <w:rFonts w:ascii="Arial" w:hAnsi="Arial" w:cs="Arial"/>
          <w:lang w:val="en-PH" w:eastAsia="en-PH"/>
        </w:rPr>
        <w:t xml:space="preserve">, 41(10), 971–982. </w:t>
      </w:r>
      <w:hyperlink r:id="rId12" w:history="1">
        <w:r w:rsidR="0074539C" w:rsidRPr="00083AB9">
          <w:rPr>
            <w:rStyle w:val="Hyperlink"/>
            <w:rFonts w:ascii="Arial" w:hAnsi="Arial" w:cs="Arial"/>
            <w:color w:val="auto"/>
            <w:u w:val="none"/>
            <w:lang w:val="en-PH" w:eastAsia="en-PH"/>
          </w:rPr>
          <w:t>https://doi.org/10.1071/FP14096</w:t>
        </w:r>
      </w:hyperlink>
    </w:p>
    <w:p w14:paraId="06FADA9E" w14:textId="77777777" w:rsidR="0074539C" w:rsidRPr="00083AB9" w:rsidRDefault="0074539C" w:rsidP="0074539C">
      <w:pPr>
        <w:ind w:firstLine="720"/>
        <w:jc w:val="both"/>
        <w:rPr>
          <w:rFonts w:ascii="Arial" w:hAnsi="Arial" w:cs="Arial"/>
          <w:lang w:val="en-PH" w:eastAsia="en-PH"/>
        </w:rPr>
      </w:pPr>
    </w:p>
    <w:p w14:paraId="1568A571" w14:textId="77777777" w:rsidR="0074539C" w:rsidRPr="0074539C" w:rsidRDefault="00083AB9" w:rsidP="0074539C">
      <w:pPr>
        <w:jc w:val="both"/>
        <w:rPr>
          <w:rFonts w:ascii="Arial" w:hAnsi="Arial" w:cs="Arial"/>
          <w:lang w:val="en-PH" w:eastAsia="en-PH"/>
        </w:rPr>
      </w:pPr>
      <w:r w:rsidRPr="00083AB9">
        <w:rPr>
          <w:rFonts w:ascii="Arial" w:hAnsi="Arial" w:cs="Arial"/>
          <w:lang w:val="en-PH" w:eastAsia="en-PH"/>
        </w:rPr>
        <w:t xml:space="preserve">Chen, C., Cui, Y., Zhang, B., Li, Y., &amp; Liu, X. (2022). Responses of photosynthesis and growth of leafy vegetables to </w:t>
      </w:r>
    </w:p>
    <w:p w14:paraId="44283B87" w14:textId="076CDA2A" w:rsidR="00083AB9" w:rsidRPr="0074539C" w:rsidRDefault="00083AB9" w:rsidP="0074539C">
      <w:pPr>
        <w:ind w:firstLine="720"/>
        <w:jc w:val="both"/>
        <w:rPr>
          <w:rFonts w:ascii="Arial" w:hAnsi="Arial" w:cs="Arial"/>
          <w:lang w:val="en-PH" w:eastAsia="en-PH"/>
        </w:rPr>
      </w:pPr>
      <w:r w:rsidRPr="00083AB9">
        <w:rPr>
          <w:rFonts w:ascii="Arial" w:hAnsi="Arial" w:cs="Arial"/>
          <w:lang w:val="en-PH" w:eastAsia="en-PH"/>
        </w:rPr>
        <w:t xml:space="preserve">submergence stress. Scientia </w:t>
      </w:r>
      <w:proofErr w:type="spellStart"/>
      <w:r w:rsidRPr="00083AB9">
        <w:rPr>
          <w:rFonts w:ascii="Arial" w:hAnsi="Arial" w:cs="Arial"/>
          <w:lang w:val="en-PH" w:eastAsia="en-PH"/>
        </w:rPr>
        <w:t>Horticulturae</w:t>
      </w:r>
      <w:proofErr w:type="spellEnd"/>
      <w:r w:rsidRPr="00083AB9">
        <w:rPr>
          <w:rFonts w:ascii="Arial" w:hAnsi="Arial" w:cs="Arial"/>
          <w:lang w:val="en-PH" w:eastAsia="en-PH"/>
        </w:rPr>
        <w:t xml:space="preserve">, 296, 110902. </w:t>
      </w:r>
      <w:hyperlink r:id="rId13" w:history="1">
        <w:r w:rsidR="0074539C" w:rsidRPr="00083AB9">
          <w:rPr>
            <w:rStyle w:val="Hyperlink"/>
            <w:rFonts w:ascii="Arial" w:hAnsi="Arial" w:cs="Arial"/>
            <w:color w:val="auto"/>
            <w:u w:val="none"/>
            <w:lang w:val="en-PH" w:eastAsia="en-PH"/>
          </w:rPr>
          <w:t>https://doi.org/10.1016/j.scienta.2022.110902</w:t>
        </w:r>
      </w:hyperlink>
    </w:p>
    <w:p w14:paraId="7CDC4CEB" w14:textId="77777777" w:rsidR="0074539C" w:rsidRPr="00083AB9" w:rsidRDefault="0074539C" w:rsidP="0074539C">
      <w:pPr>
        <w:ind w:firstLine="720"/>
        <w:jc w:val="both"/>
        <w:rPr>
          <w:rFonts w:ascii="Arial" w:hAnsi="Arial" w:cs="Arial"/>
          <w:lang w:val="en-PH" w:eastAsia="en-PH"/>
        </w:rPr>
      </w:pPr>
    </w:p>
    <w:p w14:paraId="2F01B3DB"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Cruz, R. T., Arguelles, A. T., &amp; </w:t>
      </w:r>
      <w:proofErr w:type="spellStart"/>
      <w:r w:rsidRPr="00083AB9">
        <w:rPr>
          <w:rFonts w:ascii="Arial" w:hAnsi="Arial" w:cs="Arial"/>
          <w:lang w:val="en-PH" w:eastAsia="en-PH"/>
        </w:rPr>
        <w:t>Gerpacio</w:t>
      </w:r>
      <w:proofErr w:type="spellEnd"/>
      <w:r w:rsidRPr="00083AB9">
        <w:rPr>
          <w:rFonts w:ascii="Arial" w:hAnsi="Arial" w:cs="Arial"/>
          <w:lang w:val="en-PH" w:eastAsia="en-PH"/>
        </w:rPr>
        <w:t xml:space="preserve">, R. V. (2013). Flooding stress in </w:t>
      </w:r>
      <w:r w:rsidRPr="00083AB9">
        <w:rPr>
          <w:rFonts w:ascii="Arial" w:hAnsi="Arial" w:cs="Arial"/>
          <w:i/>
          <w:iCs/>
          <w:lang w:val="en-PH" w:eastAsia="en-PH"/>
        </w:rPr>
        <w:t>Brassica</w:t>
      </w:r>
      <w:r w:rsidRPr="00083AB9">
        <w:rPr>
          <w:rFonts w:ascii="Arial" w:hAnsi="Arial" w:cs="Arial"/>
          <w:lang w:val="en-PH" w:eastAsia="en-PH"/>
        </w:rPr>
        <w:t xml:space="preserve"> species: Comparative tolerance and </w:t>
      </w:r>
    </w:p>
    <w:p w14:paraId="5680945D" w14:textId="7F2AFB90" w:rsidR="00083AB9" w:rsidRPr="00083AB9" w:rsidRDefault="00083AB9" w:rsidP="0074539C">
      <w:pPr>
        <w:ind w:firstLine="720"/>
        <w:jc w:val="both"/>
        <w:rPr>
          <w:rFonts w:ascii="Arial" w:hAnsi="Arial" w:cs="Arial"/>
          <w:lang w:val="en-PH" w:eastAsia="en-PH"/>
        </w:rPr>
      </w:pPr>
      <w:r w:rsidRPr="00083AB9">
        <w:rPr>
          <w:rFonts w:ascii="Arial" w:hAnsi="Arial" w:cs="Arial"/>
          <w:lang w:val="en-PH" w:eastAsia="en-PH"/>
        </w:rPr>
        <w:t xml:space="preserve">recovery. </w:t>
      </w:r>
      <w:r w:rsidRPr="00083AB9">
        <w:rPr>
          <w:rFonts w:ascii="Arial" w:hAnsi="Arial" w:cs="Arial"/>
          <w:i/>
          <w:iCs/>
          <w:lang w:val="en-PH" w:eastAsia="en-PH"/>
        </w:rPr>
        <w:t>Philippine Journal of Crop Science</w:t>
      </w:r>
      <w:r w:rsidRPr="00083AB9">
        <w:rPr>
          <w:rFonts w:ascii="Arial" w:hAnsi="Arial" w:cs="Arial"/>
          <w:lang w:val="en-PH" w:eastAsia="en-PH"/>
        </w:rPr>
        <w:t>, 38(2), 24–31.</w:t>
      </w:r>
    </w:p>
    <w:p w14:paraId="1DC8AA53" w14:textId="77777777" w:rsidR="00083AB9" w:rsidRPr="00083AB9" w:rsidRDefault="00083AB9" w:rsidP="00083AB9">
      <w:pPr>
        <w:spacing w:before="100" w:beforeAutospacing="1" w:after="100" w:afterAutospacing="1"/>
        <w:jc w:val="both"/>
        <w:rPr>
          <w:rFonts w:ascii="Arial" w:hAnsi="Arial" w:cs="Arial"/>
          <w:lang w:val="en-PH" w:eastAsia="en-PH"/>
        </w:rPr>
      </w:pPr>
      <w:r w:rsidRPr="00083AB9">
        <w:rPr>
          <w:rFonts w:ascii="Arial" w:hAnsi="Arial" w:cs="Arial"/>
          <w:lang w:val="en-PH" w:eastAsia="en-PH"/>
        </w:rPr>
        <w:t xml:space="preserve">DA. (2022). </w:t>
      </w:r>
      <w:r w:rsidRPr="00083AB9">
        <w:rPr>
          <w:rFonts w:ascii="Arial" w:hAnsi="Arial" w:cs="Arial"/>
          <w:i/>
          <w:iCs/>
          <w:lang w:val="en-PH" w:eastAsia="en-PH"/>
        </w:rPr>
        <w:t>Vegetable Industry Performance Report</w:t>
      </w:r>
      <w:r w:rsidRPr="00083AB9">
        <w:rPr>
          <w:rFonts w:ascii="Arial" w:hAnsi="Arial" w:cs="Arial"/>
          <w:lang w:val="en-PH" w:eastAsia="en-PH"/>
        </w:rPr>
        <w:t xml:space="preserve">. Department of Agriculture, Philippines. </w:t>
      </w:r>
      <w:hyperlink r:id="rId14" w:tgtFrame="_new" w:history="1">
        <w:r w:rsidRPr="00083AB9">
          <w:rPr>
            <w:rFonts w:ascii="Arial" w:hAnsi="Arial" w:cs="Arial"/>
            <w:lang w:val="en-PH" w:eastAsia="en-PH"/>
          </w:rPr>
          <w:t>https://www.da.gov.ph</w:t>
        </w:r>
      </w:hyperlink>
    </w:p>
    <w:p w14:paraId="363AF344" w14:textId="77777777" w:rsidR="00083AB9" w:rsidRPr="00083AB9" w:rsidRDefault="00083AB9" w:rsidP="00083AB9">
      <w:pPr>
        <w:spacing w:before="100" w:beforeAutospacing="1" w:after="100" w:afterAutospacing="1"/>
        <w:jc w:val="both"/>
        <w:rPr>
          <w:rFonts w:ascii="Arial" w:hAnsi="Arial" w:cs="Arial"/>
          <w:lang w:val="it-IT" w:eastAsia="en-PH"/>
        </w:rPr>
      </w:pPr>
      <w:r w:rsidRPr="00083AB9">
        <w:rPr>
          <w:rFonts w:ascii="Arial" w:hAnsi="Arial" w:cs="Arial"/>
          <w:lang w:val="en-PH" w:eastAsia="en-PH"/>
        </w:rPr>
        <w:t xml:space="preserve">East-West Seed. (2024). </w:t>
      </w:r>
      <w:proofErr w:type="spellStart"/>
      <w:r w:rsidRPr="00083AB9">
        <w:rPr>
          <w:rFonts w:ascii="Arial" w:hAnsi="Arial" w:cs="Arial"/>
          <w:i/>
          <w:iCs/>
          <w:lang w:val="en-PH" w:eastAsia="en-PH"/>
        </w:rPr>
        <w:t>Pavo</w:t>
      </w:r>
      <w:proofErr w:type="spellEnd"/>
      <w:r w:rsidRPr="00083AB9">
        <w:rPr>
          <w:rFonts w:ascii="Arial" w:hAnsi="Arial" w:cs="Arial"/>
          <w:i/>
          <w:iCs/>
          <w:lang w:val="en-PH" w:eastAsia="en-PH"/>
        </w:rPr>
        <w:t xml:space="preserve"> </w:t>
      </w:r>
      <w:proofErr w:type="spellStart"/>
      <w:r w:rsidRPr="00083AB9">
        <w:rPr>
          <w:rFonts w:ascii="Arial" w:hAnsi="Arial" w:cs="Arial"/>
          <w:i/>
          <w:iCs/>
          <w:lang w:val="en-PH" w:eastAsia="en-PH"/>
        </w:rPr>
        <w:t>Pechay</w:t>
      </w:r>
      <w:proofErr w:type="spellEnd"/>
      <w:r w:rsidRPr="00083AB9">
        <w:rPr>
          <w:rFonts w:ascii="Arial" w:hAnsi="Arial" w:cs="Arial"/>
          <w:i/>
          <w:iCs/>
          <w:lang w:val="en-PH" w:eastAsia="en-PH"/>
        </w:rPr>
        <w:t xml:space="preserve"> Hybrid Variety Technical Bulletin</w:t>
      </w:r>
      <w:r w:rsidRPr="00083AB9">
        <w:rPr>
          <w:rFonts w:ascii="Arial" w:hAnsi="Arial" w:cs="Arial"/>
          <w:lang w:val="en-PH" w:eastAsia="en-PH"/>
        </w:rPr>
        <w:t xml:space="preserve">. </w:t>
      </w:r>
      <w:hyperlink r:id="rId15" w:tgtFrame="_new" w:history="1">
        <w:r w:rsidRPr="00083AB9">
          <w:rPr>
            <w:rFonts w:ascii="Arial" w:hAnsi="Arial" w:cs="Arial"/>
            <w:lang w:val="it-IT" w:eastAsia="en-PH"/>
          </w:rPr>
          <w:t>https://www.eastwestseed.com</w:t>
        </w:r>
      </w:hyperlink>
    </w:p>
    <w:p w14:paraId="7F80256F" w14:textId="77777777" w:rsidR="0074539C" w:rsidRDefault="00083AB9" w:rsidP="0074539C">
      <w:pPr>
        <w:jc w:val="both"/>
        <w:rPr>
          <w:rFonts w:ascii="Arial" w:hAnsi="Arial" w:cs="Arial"/>
          <w:lang w:val="en-PH" w:eastAsia="en-PH"/>
        </w:rPr>
      </w:pPr>
      <w:r w:rsidRPr="00083AB9">
        <w:rPr>
          <w:rFonts w:ascii="Arial" w:hAnsi="Arial" w:cs="Arial"/>
          <w:lang w:val="it-IT" w:eastAsia="en-PH"/>
        </w:rPr>
        <w:t xml:space="preserve">Ghosh, D., Xu, J., Abi-Haidar, A., &amp; Li, W. (2018). </w:t>
      </w:r>
      <w:r w:rsidRPr="00083AB9">
        <w:rPr>
          <w:rFonts w:ascii="Arial" w:hAnsi="Arial" w:cs="Arial"/>
          <w:lang w:val="en-PH" w:eastAsia="en-PH"/>
        </w:rPr>
        <w:t xml:space="preserve">Flooding stress in plants: Molecular and physiological responses. Acta </w:t>
      </w:r>
    </w:p>
    <w:p w14:paraId="0E934BA0" w14:textId="2FEF042E" w:rsidR="00083AB9" w:rsidRPr="00083AB9" w:rsidRDefault="00083AB9" w:rsidP="0074539C">
      <w:pPr>
        <w:ind w:firstLine="720"/>
        <w:jc w:val="both"/>
        <w:rPr>
          <w:rFonts w:ascii="Arial" w:hAnsi="Arial" w:cs="Arial"/>
          <w:lang w:val="en-PH" w:eastAsia="en-PH"/>
        </w:rPr>
      </w:pPr>
      <w:proofErr w:type="spellStart"/>
      <w:r w:rsidRPr="00083AB9">
        <w:rPr>
          <w:rFonts w:ascii="Arial" w:hAnsi="Arial" w:cs="Arial"/>
          <w:lang w:val="en-PH" w:eastAsia="en-PH"/>
        </w:rPr>
        <w:t>Physiologiae</w:t>
      </w:r>
      <w:proofErr w:type="spellEnd"/>
      <w:r w:rsidRPr="00083AB9">
        <w:rPr>
          <w:rFonts w:ascii="Arial" w:hAnsi="Arial" w:cs="Arial"/>
          <w:lang w:val="en-PH" w:eastAsia="en-PH"/>
        </w:rPr>
        <w:t xml:space="preserve"> Plantarum, 40(10), 195. https://doi.org/10.1007/s11738-018-2775-1</w:t>
      </w:r>
    </w:p>
    <w:p w14:paraId="43C8FD63" w14:textId="77777777" w:rsidR="00083AB9" w:rsidRPr="00083AB9" w:rsidRDefault="00083AB9" w:rsidP="00083AB9">
      <w:pPr>
        <w:spacing w:before="100" w:beforeAutospacing="1" w:after="100" w:afterAutospacing="1"/>
        <w:jc w:val="both"/>
        <w:rPr>
          <w:rFonts w:ascii="Arial" w:hAnsi="Arial" w:cs="Arial"/>
          <w:lang w:val="en-PH" w:eastAsia="en-PH"/>
        </w:rPr>
      </w:pPr>
      <w:r w:rsidRPr="00083AB9">
        <w:rPr>
          <w:rFonts w:ascii="Arial" w:hAnsi="Arial" w:cs="Arial"/>
          <w:lang w:val="en-PH" w:eastAsia="en-PH"/>
        </w:rPr>
        <w:t xml:space="preserve">Gomez, K. A., &amp; Gomez, A. A. (1984). </w:t>
      </w:r>
      <w:r w:rsidRPr="00083AB9">
        <w:rPr>
          <w:rFonts w:ascii="Arial" w:hAnsi="Arial" w:cs="Arial"/>
          <w:i/>
          <w:iCs/>
          <w:lang w:val="en-PH" w:eastAsia="en-PH"/>
        </w:rPr>
        <w:t>Statistical procedures for agricultural research</w:t>
      </w:r>
      <w:r w:rsidRPr="00083AB9">
        <w:rPr>
          <w:rFonts w:ascii="Arial" w:hAnsi="Arial" w:cs="Arial"/>
          <w:lang w:val="en-PH" w:eastAsia="en-PH"/>
        </w:rPr>
        <w:t xml:space="preserve"> (2nd ed.). John Wiley &amp; Sons.</w:t>
      </w:r>
    </w:p>
    <w:p w14:paraId="1D82C623"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Herzog, M., Striker, G. G., Colmer, T. D., &amp; Pedersen, O. (2016). Mechanisms of waterlogging tolerance in wheat–a </w:t>
      </w:r>
    </w:p>
    <w:p w14:paraId="10AD84A7" w14:textId="2A3C1AE1" w:rsidR="00083AB9" w:rsidRPr="0074539C" w:rsidRDefault="00083AB9" w:rsidP="0074539C">
      <w:pPr>
        <w:ind w:left="720"/>
        <w:jc w:val="both"/>
        <w:rPr>
          <w:rFonts w:ascii="Arial" w:hAnsi="Arial" w:cs="Arial"/>
          <w:lang w:val="en-PH" w:eastAsia="en-PH"/>
        </w:rPr>
      </w:pPr>
      <w:r w:rsidRPr="00083AB9">
        <w:rPr>
          <w:rFonts w:ascii="Arial" w:hAnsi="Arial" w:cs="Arial"/>
          <w:lang w:val="en-PH" w:eastAsia="en-PH"/>
        </w:rPr>
        <w:t xml:space="preserve">review of root and shoot physiology. </w:t>
      </w:r>
      <w:r w:rsidRPr="00083AB9">
        <w:rPr>
          <w:rFonts w:ascii="Arial" w:hAnsi="Arial" w:cs="Arial"/>
          <w:i/>
          <w:iCs/>
          <w:lang w:val="en-PH" w:eastAsia="en-PH"/>
        </w:rPr>
        <w:t>Plant, Cell &amp; Environment</w:t>
      </w:r>
      <w:r w:rsidRPr="00083AB9">
        <w:rPr>
          <w:rFonts w:ascii="Arial" w:hAnsi="Arial" w:cs="Arial"/>
          <w:lang w:val="en-PH" w:eastAsia="en-PH"/>
        </w:rPr>
        <w:t xml:space="preserve">, 39(5), 1068–1086. </w:t>
      </w:r>
      <w:hyperlink r:id="rId16" w:history="1">
        <w:r w:rsidR="0074539C" w:rsidRPr="00083AB9">
          <w:rPr>
            <w:rStyle w:val="Hyperlink"/>
            <w:rFonts w:ascii="Arial" w:hAnsi="Arial" w:cs="Arial"/>
            <w:color w:val="auto"/>
            <w:u w:val="none"/>
            <w:lang w:val="en-PH" w:eastAsia="en-PH"/>
          </w:rPr>
          <w:t>https://doi.org/10.1111/pce.12676</w:t>
        </w:r>
      </w:hyperlink>
    </w:p>
    <w:p w14:paraId="6D81146F" w14:textId="77777777" w:rsidR="0074539C" w:rsidRPr="00083AB9" w:rsidRDefault="0074539C" w:rsidP="0074539C">
      <w:pPr>
        <w:ind w:left="720"/>
        <w:jc w:val="both"/>
        <w:rPr>
          <w:rFonts w:ascii="Arial" w:hAnsi="Arial" w:cs="Arial"/>
          <w:lang w:val="en-PH" w:eastAsia="en-PH"/>
        </w:rPr>
      </w:pPr>
    </w:p>
    <w:p w14:paraId="1A3D71C7" w14:textId="77777777" w:rsidR="0074539C" w:rsidRPr="0074539C" w:rsidRDefault="00083AB9" w:rsidP="0074539C">
      <w:pPr>
        <w:jc w:val="both"/>
        <w:rPr>
          <w:rFonts w:ascii="Arial" w:hAnsi="Arial" w:cs="Arial"/>
          <w:i/>
          <w:iCs/>
          <w:lang w:val="en-PH" w:eastAsia="en-PH"/>
        </w:rPr>
      </w:pPr>
      <w:r w:rsidRPr="00083AB9">
        <w:rPr>
          <w:rFonts w:ascii="Arial" w:hAnsi="Arial" w:cs="Arial"/>
          <w:lang w:val="en-PH" w:eastAsia="en-PH"/>
        </w:rPr>
        <w:t xml:space="preserve">IPCC. (2021). </w:t>
      </w:r>
      <w:r w:rsidRPr="00083AB9">
        <w:rPr>
          <w:rFonts w:ascii="Arial" w:hAnsi="Arial" w:cs="Arial"/>
          <w:i/>
          <w:iCs/>
          <w:lang w:val="en-PH" w:eastAsia="en-PH"/>
        </w:rPr>
        <w:t xml:space="preserve">Climate Change 2021: The Physical Science Basis. Contribution of Working Group I to the Sixth </w:t>
      </w:r>
    </w:p>
    <w:p w14:paraId="6BC6AB4B" w14:textId="6BD5CAE4" w:rsidR="00083AB9" w:rsidRPr="0074539C" w:rsidRDefault="00083AB9" w:rsidP="0074539C">
      <w:pPr>
        <w:ind w:left="720"/>
        <w:jc w:val="both"/>
        <w:rPr>
          <w:rFonts w:ascii="Arial" w:hAnsi="Arial" w:cs="Arial"/>
          <w:lang w:val="en-PH" w:eastAsia="en-PH"/>
        </w:rPr>
      </w:pPr>
      <w:r w:rsidRPr="00083AB9">
        <w:rPr>
          <w:rFonts w:ascii="Arial" w:hAnsi="Arial" w:cs="Arial"/>
          <w:i/>
          <w:iCs/>
          <w:lang w:val="en-PH" w:eastAsia="en-PH"/>
        </w:rPr>
        <w:t>Assessment Report of the Intergovernmental Panel on Climate Change</w:t>
      </w:r>
      <w:r w:rsidRPr="00083AB9">
        <w:rPr>
          <w:rFonts w:ascii="Arial" w:hAnsi="Arial" w:cs="Arial"/>
          <w:lang w:val="en-PH" w:eastAsia="en-PH"/>
        </w:rPr>
        <w:t xml:space="preserve">. Cambridge University Press. </w:t>
      </w:r>
      <w:hyperlink r:id="rId17" w:history="1">
        <w:r w:rsidR="0074539C" w:rsidRPr="00083AB9">
          <w:rPr>
            <w:rStyle w:val="Hyperlink"/>
            <w:rFonts w:ascii="Arial" w:hAnsi="Arial" w:cs="Arial"/>
            <w:color w:val="auto"/>
            <w:u w:val="none"/>
            <w:lang w:val="en-PH" w:eastAsia="en-PH"/>
          </w:rPr>
          <w:t>https://www.ipcc.ch/report/ar6/wg1/</w:t>
        </w:r>
      </w:hyperlink>
    </w:p>
    <w:p w14:paraId="7768A576" w14:textId="77777777" w:rsidR="0074539C" w:rsidRPr="00083AB9" w:rsidRDefault="0074539C" w:rsidP="0074539C">
      <w:pPr>
        <w:ind w:left="720"/>
        <w:jc w:val="both"/>
        <w:rPr>
          <w:rFonts w:ascii="Arial" w:hAnsi="Arial" w:cs="Arial"/>
          <w:lang w:val="en-PH" w:eastAsia="en-PH"/>
        </w:rPr>
      </w:pPr>
    </w:p>
    <w:p w14:paraId="07966FEE" w14:textId="77777777" w:rsidR="0074539C" w:rsidRPr="0074539C" w:rsidRDefault="00083AB9" w:rsidP="0074539C">
      <w:pPr>
        <w:jc w:val="both"/>
        <w:rPr>
          <w:rFonts w:ascii="Arial" w:hAnsi="Arial" w:cs="Arial"/>
          <w:lang w:val="en-PH" w:eastAsia="en-PH"/>
        </w:rPr>
      </w:pPr>
      <w:r w:rsidRPr="00083AB9">
        <w:rPr>
          <w:rFonts w:ascii="Arial" w:hAnsi="Arial" w:cs="Arial"/>
          <w:lang w:val="en-PH" w:eastAsia="en-PH"/>
        </w:rPr>
        <w:t xml:space="preserve">IPCC. (2023). </w:t>
      </w:r>
      <w:r w:rsidRPr="00083AB9">
        <w:rPr>
          <w:rFonts w:ascii="Arial" w:hAnsi="Arial" w:cs="Arial"/>
          <w:i/>
          <w:iCs/>
          <w:lang w:val="en-PH" w:eastAsia="en-PH"/>
        </w:rPr>
        <w:t>Synthesis Report of the Sixth Assessment Report</w:t>
      </w:r>
      <w:r w:rsidRPr="00083AB9">
        <w:rPr>
          <w:rFonts w:ascii="Arial" w:hAnsi="Arial" w:cs="Arial"/>
          <w:lang w:val="en-PH" w:eastAsia="en-PH"/>
        </w:rPr>
        <w:t xml:space="preserve">. Intergovernmental Panel on Climate Change. </w:t>
      </w:r>
    </w:p>
    <w:p w14:paraId="3FA65807" w14:textId="2161A32B" w:rsidR="00083AB9" w:rsidRPr="0074539C" w:rsidRDefault="0004297F" w:rsidP="0074539C">
      <w:pPr>
        <w:ind w:firstLine="720"/>
        <w:jc w:val="both"/>
        <w:rPr>
          <w:rFonts w:ascii="Arial" w:hAnsi="Arial" w:cs="Arial"/>
          <w:lang w:val="en-PH" w:eastAsia="en-PH"/>
        </w:rPr>
      </w:pPr>
      <w:hyperlink r:id="rId18" w:history="1">
        <w:r w:rsidR="0074539C" w:rsidRPr="00083AB9">
          <w:rPr>
            <w:rStyle w:val="Hyperlink"/>
            <w:rFonts w:ascii="Arial" w:hAnsi="Arial" w:cs="Arial"/>
            <w:color w:val="auto"/>
            <w:u w:val="none"/>
            <w:lang w:val="en-PH" w:eastAsia="en-PH"/>
          </w:rPr>
          <w:t>https://www.ipcc.ch/report/ar6/syr/</w:t>
        </w:r>
      </w:hyperlink>
    </w:p>
    <w:p w14:paraId="32A8DCB0" w14:textId="77777777" w:rsidR="0074539C" w:rsidRPr="00083AB9" w:rsidRDefault="0074539C" w:rsidP="0074539C">
      <w:pPr>
        <w:ind w:firstLine="720"/>
        <w:jc w:val="both"/>
        <w:rPr>
          <w:rFonts w:ascii="Arial" w:hAnsi="Arial" w:cs="Arial"/>
          <w:lang w:val="en-PH" w:eastAsia="en-PH"/>
        </w:rPr>
      </w:pPr>
    </w:p>
    <w:p w14:paraId="791F2A20" w14:textId="77777777" w:rsidR="0074539C" w:rsidRPr="0074539C" w:rsidRDefault="00083AB9" w:rsidP="0074539C">
      <w:pPr>
        <w:jc w:val="both"/>
        <w:rPr>
          <w:rFonts w:ascii="Arial" w:hAnsi="Arial" w:cs="Arial"/>
          <w:lang w:val="en-PH" w:eastAsia="en-PH"/>
        </w:rPr>
      </w:pPr>
      <w:r w:rsidRPr="00083AB9">
        <w:rPr>
          <w:rFonts w:ascii="Arial" w:hAnsi="Arial" w:cs="Arial"/>
          <w:lang w:val="en-PH" w:eastAsia="en-PH"/>
        </w:rPr>
        <w:t xml:space="preserve">Lobell, D. B., Schlenker, W., &amp; Costa-Roberts, J. (2011). Climate trends and global crop production since 1980. </w:t>
      </w:r>
      <w:r w:rsidRPr="00083AB9">
        <w:rPr>
          <w:rFonts w:ascii="Arial" w:hAnsi="Arial" w:cs="Arial"/>
          <w:i/>
          <w:iCs/>
          <w:lang w:val="en-PH" w:eastAsia="en-PH"/>
        </w:rPr>
        <w:t>Science</w:t>
      </w:r>
      <w:r w:rsidRPr="00083AB9">
        <w:rPr>
          <w:rFonts w:ascii="Arial" w:hAnsi="Arial" w:cs="Arial"/>
          <w:lang w:val="en-PH" w:eastAsia="en-PH"/>
        </w:rPr>
        <w:t xml:space="preserve">, </w:t>
      </w:r>
    </w:p>
    <w:p w14:paraId="6B8BE114" w14:textId="48160E48" w:rsidR="00083AB9" w:rsidRPr="0074539C" w:rsidRDefault="00083AB9" w:rsidP="0074539C">
      <w:pPr>
        <w:ind w:firstLine="720"/>
        <w:jc w:val="both"/>
        <w:rPr>
          <w:rFonts w:ascii="Arial" w:hAnsi="Arial" w:cs="Arial"/>
          <w:lang w:val="en-PH" w:eastAsia="en-PH"/>
        </w:rPr>
      </w:pPr>
      <w:r w:rsidRPr="00083AB9">
        <w:rPr>
          <w:rFonts w:ascii="Arial" w:hAnsi="Arial" w:cs="Arial"/>
          <w:lang w:val="en-PH" w:eastAsia="en-PH"/>
        </w:rPr>
        <w:t xml:space="preserve">333(6042), 616–620. </w:t>
      </w:r>
      <w:hyperlink r:id="rId19" w:history="1">
        <w:r w:rsidR="0074539C" w:rsidRPr="00083AB9">
          <w:rPr>
            <w:rStyle w:val="Hyperlink"/>
            <w:rFonts w:ascii="Arial" w:hAnsi="Arial" w:cs="Arial"/>
            <w:color w:val="auto"/>
            <w:u w:val="none"/>
            <w:lang w:val="en-PH" w:eastAsia="en-PH"/>
          </w:rPr>
          <w:t>https://doi.org/10.1126/science.1204531</w:t>
        </w:r>
      </w:hyperlink>
    </w:p>
    <w:p w14:paraId="700F2F8E" w14:textId="77777777" w:rsidR="0074539C" w:rsidRPr="00083AB9" w:rsidRDefault="0074539C" w:rsidP="0074539C">
      <w:pPr>
        <w:ind w:firstLine="720"/>
        <w:jc w:val="both"/>
        <w:rPr>
          <w:rFonts w:ascii="Arial" w:hAnsi="Arial" w:cs="Arial"/>
          <w:lang w:val="en-PH" w:eastAsia="en-PH"/>
        </w:rPr>
      </w:pPr>
    </w:p>
    <w:p w14:paraId="565C91DA"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Malik, A. I., Colmer, T. D., Lambers, H., Setter, T. L., &amp; </w:t>
      </w:r>
      <w:proofErr w:type="spellStart"/>
      <w:r w:rsidRPr="00083AB9">
        <w:rPr>
          <w:rFonts w:ascii="Arial" w:hAnsi="Arial" w:cs="Arial"/>
          <w:lang w:val="en-PH" w:eastAsia="en-PH"/>
        </w:rPr>
        <w:t>Schortemeyer</w:t>
      </w:r>
      <w:proofErr w:type="spellEnd"/>
      <w:r w:rsidRPr="00083AB9">
        <w:rPr>
          <w:rFonts w:ascii="Arial" w:hAnsi="Arial" w:cs="Arial"/>
          <w:lang w:val="en-PH" w:eastAsia="en-PH"/>
        </w:rPr>
        <w:t xml:space="preserve">, M. (2002). Short-term waterlogging has long-term </w:t>
      </w:r>
    </w:p>
    <w:p w14:paraId="7046A29D" w14:textId="64FCEEA8" w:rsidR="00083AB9" w:rsidRPr="00083AB9" w:rsidRDefault="00083AB9" w:rsidP="0074539C">
      <w:pPr>
        <w:ind w:left="720"/>
        <w:jc w:val="both"/>
        <w:rPr>
          <w:rFonts w:ascii="Arial" w:hAnsi="Arial" w:cs="Arial"/>
          <w:lang w:val="en-PH" w:eastAsia="en-PH"/>
        </w:rPr>
      </w:pPr>
      <w:r w:rsidRPr="00083AB9">
        <w:rPr>
          <w:rFonts w:ascii="Arial" w:hAnsi="Arial" w:cs="Arial"/>
          <w:lang w:val="en-PH" w:eastAsia="en-PH"/>
        </w:rPr>
        <w:t xml:space="preserve">effects on the growth and physiology of </w:t>
      </w:r>
      <w:r w:rsidRPr="00083AB9">
        <w:rPr>
          <w:rFonts w:ascii="Arial" w:hAnsi="Arial" w:cs="Arial"/>
          <w:i/>
          <w:iCs/>
          <w:lang w:val="en-PH" w:eastAsia="en-PH"/>
        </w:rPr>
        <w:t>Brassica</w:t>
      </w:r>
      <w:r w:rsidRPr="00083AB9">
        <w:rPr>
          <w:rFonts w:ascii="Arial" w:hAnsi="Arial" w:cs="Arial"/>
          <w:lang w:val="en-PH" w:eastAsia="en-PH"/>
        </w:rPr>
        <w:t xml:space="preserve"> species. </w:t>
      </w:r>
      <w:r w:rsidRPr="00083AB9">
        <w:rPr>
          <w:rFonts w:ascii="Arial" w:hAnsi="Arial" w:cs="Arial"/>
          <w:i/>
          <w:iCs/>
          <w:lang w:val="en-PH" w:eastAsia="en-PH"/>
        </w:rPr>
        <w:t>Functional Plant Biology</w:t>
      </w:r>
      <w:r w:rsidRPr="00083AB9">
        <w:rPr>
          <w:rFonts w:ascii="Arial" w:hAnsi="Arial" w:cs="Arial"/>
          <w:lang w:val="en-PH" w:eastAsia="en-PH"/>
        </w:rPr>
        <w:t>, 29(10), 1155–1164. https://doi.org/10.1071/PP01143</w:t>
      </w:r>
    </w:p>
    <w:p w14:paraId="60D96608" w14:textId="77777777" w:rsidR="00083AB9" w:rsidRPr="00083AB9" w:rsidRDefault="00083AB9" w:rsidP="00083AB9">
      <w:pPr>
        <w:spacing w:before="100" w:beforeAutospacing="1" w:after="100" w:afterAutospacing="1"/>
        <w:jc w:val="both"/>
        <w:rPr>
          <w:rFonts w:ascii="Arial" w:hAnsi="Arial" w:cs="Arial"/>
          <w:lang w:val="en-PH" w:eastAsia="en-PH"/>
        </w:rPr>
      </w:pPr>
      <w:r w:rsidRPr="00083AB9">
        <w:rPr>
          <w:rFonts w:ascii="Arial" w:hAnsi="Arial" w:cs="Arial"/>
          <w:lang w:val="en-PH" w:eastAsia="en-PH"/>
        </w:rPr>
        <w:lastRenderedPageBreak/>
        <w:t xml:space="preserve">Nair, P. K. R. (2019). </w:t>
      </w:r>
      <w:r w:rsidRPr="00083AB9">
        <w:rPr>
          <w:rFonts w:ascii="Arial" w:hAnsi="Arial" w:cs="Arial"/>
          <w:i/>
          <w:iCs/>
          <w:lang w:val="en-PH" w:eastAsia="en-PH"/>
        </w:rPr>
        <w:t>Agroforestry: Systems and practices for sustainable land use</w:t>
      </w:r>
      <w:r w:rsidRPr="00083AB9">
        <w:rPr>
          <w:rFonts w:ascii="Arial" w:hAnsi="Arial" w:cs="Arial"/>
          <w:lang w:val="en-PH" w:eastAsia="en-PH"/>
        </w:rPr>
        <w:t>. Springer Nature.</w:t>
      </w:r>
    </w:p>
    <w:p w14:paraId="25C17A90"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PAGASA. (2020). </w:t>
      </w:r>
      <w:r w:rsidRPr="00083AB9">
        <w:rPr>
          <w:rFonts w:ascii="Arial" w:hAnsi="Arial" w:cs="Arial"/>
          <w:i/>
          <w:iCs/>
          <w:lang w:val="en-PH" w:eastAsia="en-PH"/>
        </w:rPr>
        <w:t>Climate classification and seasonal patterns in the Philippines</w:t>
      </w:r>
      <w:r w:rsidRPr="00083AB9">
        <w:rPr>
          <w:rFonts w:ascii="Arial" w:hAnsi="Arial" w:cs="Arial"/>
          <w:lang w:val="en-PH" w:eastAsia="en-PH"/>
        </w:rPr>
        <w:t xml:space="preserve">. Philippine Atmospheric, Geophysical </w:t>
      </w:r>
    </w:p>
    <w:p w14:paraId="0F2C2AA2" w14:textId="3601F6A0" w:rsidR="00083AB9" w:rsidRPr="0074539C" w:rsidRDefault="00083AB9" w:rsidP="0074539C">
      <w:pPr>
        <w:ind w:firstLine="720"/>
        <w:jc w:val="both"/>
        <w:rPr>
          <w:rFonts w:ascii="Arial" w:hAnsi="Arial" w:cs="Arial"/>
          <w:lang w:val="en-PH" w:eastAsia="en-PH"/>
        </w:rPr>
      </w:pPr>
      <w:r w:rsidRPr="00083AB9">
        <w:rPr>
          <w:rFonts w:ascii="Arial" w:hAnsi="Arial" w:cs="Arial"/>
          <w:lang w:val="en-PH" w:eastAsia="en-PH"/>
        </w:rPr>
        <w:t xml:space="preserve">and Astronomical Services Administration. </w:t>
      </w:r>
      <w:hyperlink r:id="rId20" w:history="1">
        <w:r w:rsidR="0074539C" w:rsidRPr="00083AB9">
          <w:rPr>
            <w:rStyle w:val="Hyperlink"/>
            <w:rFonts w:ascii="Arial" w:hAnsi="Arial" w:cs="Arial"/>
            <w:color w:val="auto"/>
            <w:u w:val="none"/>
            <w:lang w:val="en-PH" w:eastAsia="en-PH"/>
          </w:rPr>
          <w:t>https://www.pagasa.dost.gov.ph</w:t>
        </w:r>
      </w:hyperlink>
    </w:p>
    <w:p w14:paraId="61D66C3D" w14:textId="77777777" w:rsidR="0074539C" w:rsidRPr="00083AB9" w:rsidRDefault="0074539C" w:rsidP="0074539C">
      <w:pPr>
        <w:ind w:firstLine="720"/>
        <w:jc w:val="both"/>
        <w:rPr>
          <w:rFonts w:ascii="Arial" w:hAnsi="Arial" w:cs="Arial"/>
          <w:lang w:val="en-PH" w:eastAsia="en-PH"/>
        </w:rPr>
      </w:pPr>
    </w:p>
    <w:p w14:paraId="47CD4A2D"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Pang, J., Turner, N. C., Khan, T., Du, Y., &amp; Colmer, T. D. (2017). Leaf gas exchange and growth responses of the leafy </w:t>
      </w:r>
    </w:p>
    <w:p w14:paraId="2C6C47A5" w14:textId="62BA2A1D" w:rsidR="00083AB9" w:rsidRPr="0074539C" w:rsidRDefault="00083AB9" w:rsidP="0074539C">
      <w:pPr>
        <w:ind w:left="720"/>
        <w:jc w:val="both"/>
        <w:rPr>
          <w:rFonts w:ascii="Arial" w:hAnsi="Arial" w:cs="Arial"/>
          <w:lang w:val="en-PH" w:eastAsia="en-PH"/>
        </w:rPr>
      </w:pPr>
      <w:r w:rsidRPr="00083AB9">
        <w:rPr>
          <w:rFonts w:ascii="Arial" w:hAnsi="Arial" w:cs="Arial"/>
          <w:lang w:val="en-PH" w:eastAsia="en-PH"/>
        </w:rPr>
        <w:t xml:space="preserve">vegetable </w:t>
      </w:r>
      <w:r w:rsidRPr="00083AB9">
        <w:rPr>
          <w:rFonts w:ascii="Arial" w:hAnsi="Arial" w:cs="Arial"/>
          <w:i/>
          <w:iCs/>
          <w:lang w:val="en-PH" w:eastAsia="en-PH"/>
        </w:rPr>
        <w:t>Brassica rapa</w:t>
      </w:r>
      <w:r w:rsidRPr="00083AB9">
        <w:rPr>
          <w:rFonts w:ascii="Arial" w:hAnsi="Arial" w:cs="Arial"/>
          <w:lang w:val="en-PH" w:eastAsia="en-PH"/>
        </w:rPr>
        <w:t xml:space="preserve"> to soil waterlogging. </w:t>
      </w:r>
      <w:r w:rsidRPr="00083AB9">
        <w:rPr>
          <w:rFonts w:ascii="Arial" w:hAnsi="Arial" w:cs="Arial"/>
          <w:i/>
          <w:iCs/>
          <w:lang w:val="en-PH" w:eastAsia="en-PH"/>
        </w:rPr>
        <w:t>Functional Plant Biology</w:t>
      </w:r>
      <w:r w:rsidRPr="00083AB9">
        <w:rPr>
          <w:rFonts w:ascii="Arial" w:hAnsi="Arial" w:cs="Arial"/>
          <w:lang w:val="en-PH" w:eastAsia="en-PH"/>
        </w:rPr>
        <w:t xml:space="preserve">, 44(5), 524–536. </w:t>
      </w:r>
      <w:hyperlink r:id="rId21" w:history="1">
        <w:r w:rsidR="0074539C" w:rsidRPr="00083AB9">
          <w:rPr>
            <w:rStyle w:val="Hyperlink"/>
            <w:rFonts w:ascii="Arial" w:hAnsi="Arial" w:cs="Arial"/>
            <w:color w:val="auto"/>
            <w:u w:val="none"/>
            <w:lang w:val="en-PH" w:eastAsia="en-PH"/>
          </w:rPr>
          <w:t>https://doi.org/10.1071/FP16364</w:t>
        </w:r>
      </w:hyperlink>
    </w:p>
    <w:p w14:paraId="5AAA5131" w14:textId="77777777" w:rsidR="0074539C" w:rsidRPr="00083AB9" w:rsidRDefault="0074539C" w:rsidP="0074539C">
      <w:pPr>
        <w:ind w:left="720"/>
        <w:jc w:val="both"/>
        <w:rPr>
          <w:rFonts w:ascii="Arial" w:hAnsi="Arial" w:cs="Arial"/>
          <w:lang w:val="en-PH" w:eastAsia="en-PH"/>
        </w:rPr>
      </w:pPr>
    </w:p>
    <w:p w14:paraId="2DB4CA4E"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PCARRD. (2006). </w:t>
      </w:r>
      <w:r w:rsidRPr="00083AB9">
        <w:rPr>
          <w:rFonts w:ascii="Arial" w:hAnsi="Arial" w:cs="Arial"/>
          <w:i/>
          <w:iCs/>
          <w:lang w:val="en-PH" w:eastAsia="en-PH"/>
        </w:rPr>
        <w:t>Production guide for leafy vegetables</w:t>
      </w:r>
      <w:r w:rsidRPr="00083AB9">
        <w:rPr>
          <w:rFonts w:ascii="Arial" w:hAnsi="Arial" w:cs="Arial"/>
          <w:lang w:val="en-PH" w:eastAsia="en-PH"/>
        </w:rPr>
        <w:t xml:space="preserve">. Philippine Council for Agriculture, Forestry and Natural </w:t>
      </w:r>
    </w:p>
    <w:p w14:paraId="510540A9" w14:textId="431592FD" w:rsidR="00083AB9" w:rsidRPr="00083AB9" w:rsidRDefault="00083AB9" w:rsidP="0074539C">
      <w:pPr>
        <w:ind w:firstLine="720"/>
        <w:jc w:val="both"/>
        <w:rPr>
          <w:rFonts w:ascii="Arial" w:hAnsi="Arial" w:cs="Arial"/>
          <w:lang w:val="en-PH" w:eastAsia="en-PH"/>
        </w:rPr>
      </w:pPr>
      <w:r w:rsidRPr="00083AB9">
        <w:rPr>
          <w:rFonts w:ascii="Arial" w:hAnsi="Arial" w:cs="Arial"/>
          <w:lang w:val="en-PH" w:eastAsia="en-PH"/>
        </w:rPr>
        <w:t>Resources Research and Development.</w:t>
      </w:r>
    </w:p>
    <w:p w14:paraId="518E6451" w14:textId="77777777" w:rsidR="00083AB9" w:rsidRPr="00083AB9" w:rsidRDefault="00083AB9" w:rsidP="00083AB9">
      <w:pPr>
        <w:spacing w:before="100" w:beforeAutospacing="1" w:after="100" w:afterAutospacing="1"/>
        <w:jc w:val="both"/>
        <w:rPr>
          <w:rFonts w:ascii="Arial" w:hAnsi="Arial" w:cs="Arial"/>
          <w:lang w:val="en-PH" w:eastAsia="en-PH"/>
        </w:rPr>
      </w:pPr>
      <w:r w:rsidRPr="00083AB9">
        <w:rPr>
          <w:rFonts w:ascii="Arial" w:hAnsi="Arial" w:cs="Arial"/>
          <w:lang w:val="en-PH" w:eastAsia="en-PH"/>
        </w:rPr>
        <w:t xml:space="preserve">Philippine Statistics Authority (PSA). (2023). </w:t>
      </w:r>
      <w:r w:rsidRPr="00083AB9">
        <w:rPr>
          <w:rFonts w:ascii="Arial" w:hAnsi="Arial" w:cs="Arial"/>
          <w:i/>
          <w:iCs/>
          <w:lang w:val="en-PH" w:eastAsia="en-PH"/>
        </w:rPr>
        <w:t>Major Vegetables and Root Crops Quarterly Bulletin</w:t>
      </w:r>
      <w:r w:rsidRPr="00083AB9">
        <w:rPr>
          <w:rFonts w:ascii="Arial" w:hAnsi="Arial" w:cs="Arial"/>
          <w:lang w:val="en-PH" w:eastAsia="en-PH"/>
        </w:rPr>
        <w:t xml:space="preserve">. </w:t>
      </w:r>
      <w:hyperlink r:id="rId22" w:tgtFrame="_new" w:history="1">
        <w:r w:rsidRPr="00083AB9">
          <w:rPr>
            <w:rFonts w:ascii="Arial" w:hAnsi="Arial" w:cs="Arial"/>
            <w:lang w:val="en-PH" w:eastAsia="en-PH"/>
          </w:rPr>
          <w:t>https://psa.gov.ph</w:t>
        </w:r>
      </w:hyperlink>
    </w:p>
    <w:p w14:paraId="2537136C" w14:textId="77777777" w:rsidR="0074539C" w:rsidRDefault="00083AB9" w:rsidP="0074539C">
      <w:pPr>
        <w:jc w:val="both"/>
        <w:rPr>
          <w:rFonts w:ascii="Arial" w:hAnsi="Arial" w:cs="Arial"/>
          <w:lang w:val="en-PH" w:eastAsia="en-PH"/>
        </w:rPr>
      </w:pPr>
      <w:proofErr w:type="spellStart"/>
      <w:r w:rsidRPr="00083AB9">
        <w:rPr>
          <w:rFonts w:ascii="Arial" w:hAnsi="Arial" w:cs="Arial"/>
          <w:lang w:val="en-PH" w:eastAsia="en-PH"/>
        </w:rPr>
        <w:t>Ponnamperuma</w:t>
      </w:r>
      <w:proofErr w:type="spellEnd"/>
      <w:r w:rsidRPr="00083AB9">
        <w:rPr>
          <w:rFonts w:ascii="Arial" w:hAnsi="Arial" w:cs="Arial"/>
          <w:lang w:val="en-PH" w:eastAsia="en-PH"/>
        </w:rPr>
        <w:t xml:space="preserve">, F. N. (1984). Effects of flooding on soils. In T. T. Kozlowski (Ed.), </w:t>
      </w:r>
      <w:r w:rsidRPr="00083AB9">
        <w:rPr>
          <w:rFonts w:ascii="Arial" w:hAnsi="Arial" w:cs="Arial"/>
          <w:i/>
          <w:iCs/>
          <w:lang w:val="en-PH" w:eastAsia="en-PH"/>
        </w:rPr>
        <w:t>Flooding and plant growth</w:t>
      </w:r>
      <w:r w:rsidRPr="00083AB9">
        <w:rPr>
          <w:rFonts w:ascii="Arial" w:hAnsi="Arial" w:cs="Arial"/>
          <w:lang w:val="en-PH" w:eastAsia="en-PH"/>
        </w:rPr>
        <w:t xml:space="preserve"> (pp. 9–45). </w:t>
      </w:r>
    </w:p>
    <w:p w14:paraId="5EAB57DB" w14:textId="0DC6F87A" w:rsidR="00083AB9" w:rsidRDefault="00083AB9" w:rsidP="0074539C">
      <w:pPr>
        <w:ind w:firstLine="720"/>
        <w:jc w:val="both"/>
        <w:rPr>
          <w:rFonts w:ascii="Arial" w:hAnsi="Arial" w:cs="Arial"/>
          <w:lang w:val="en-PH" w:eastAsia="en-PH"/>
        </w:rPr>
      </w:pPr>
      <w:r w:rsidRPr="00083AB9">
        <w:rPr>
          <w:rFonts w:ascii="Arial" w:hAnsi="Arial" w:cs="Arial"/>
          <w:lang w:val="en-PH" w:eastAsia="en-PH"/>
        </w:rPr>
        <w:t>Academic Press.</w:t>
      </w:r>
    </w:p>
    <w:p w14:paraId="3BFBF943" w14:textId="77777777" w:rsidR="0074539C" w:rsidRPr="00083AB9" w:rsidRDefault="0074539C" w:rsidP="0074539C">
      <w:pPr>
        <w:ind w:firstLine="720"/>
        <w:jc w:val="both"/>
        <w:rPr>
          <w:rFonts w:ascii="Arial" w:hAnsi="Arial" w:cs="Arial"/>
          <w:lang w:val="en-PH" w:eastAsia="en-PH"/>
        </w:rPr>
      </w:pPr>
    </w:p>
    <w:p w14:paraId="5C15FB4C" w14:textId="77777777" w:rsidR="0074539C" w:rsidRDefault="00083AB9" w:rsidP="0074539C">
      <w:pPr>
        <w:jc w:val="both"/>
        <w:rPr>
          <w:rFonts w:ascii="Arial" w:hAnsi="Arial" w:cs="Arial"/>
          <w:i/>
          <w:iCs/>
          <w:lang w:val="en-PH" w:eastAsia="en-PH"/>
        </w:rPr>
      </w:pPr>
      <w:r w:rsidRPr="00083AB9">
        <w:rPr>
          <w:rFonts w:ascii="Arial" w:hAnsi="Arial" w:cs="Arial"/>
          <w:lang w:val="en-PH" w:eastAsia="en-PH"/>
        </w:rPr>
        <w:t xml:space="preserve">Ramos, J. D., Santos, R. G., &amp; De Leon, M. G. (2024). </w:t>
      </w:r>
      <w:proofErr w:type="spellStart"/>
      <w:r w:rsidRPr="00083AB9">
        <w:rPr>
          <w:rFonts w:ascii="Arial" w:hAnsi="Arial" w:cs="Arial"/>
          <w:lang w:val="en-PH" w:eastAsia="en-PH"/>
        </w:rPr>
        <w:t>Pechay</w:t>
      </w:r>
      <w:proofErr w:type="spellEnd"/>
      <w:r w:rsidRPr="00083AB9">
        <w:rPr>
          <w:rFonts w:ascii="Arial" w:hAnsi="Arial" w:cs="Arial"/>
          <w:lang w:val="en-PH" w:eastAsia="en-PH"/>
        </w:rPr>
        <w:t xml:space="preserve"> productivity in agroecological systems. </w:t>
      </w:r>
      <w:r w:rsidRPr="00083AB9">
        <w:rPr>
          <w:rFonts w:ascii="Arial" w:hAnsi="Arial" w:cs="Arial"/>
          <w:i/>
          <w:iCs/>
          <w:lang w:val="en-PH" w:eastAsia="en-PH"/>
        </w:rPr>
        <w:t xml:space="preserve">Philippine Journal </w:t>
      </w:r>
    </w:p>
    <w:p w14:paraId="6E5663FE" w14:textId="6C6AE667" w:rsidR="00083AB9" w:rsidRDefault="00083AB9" w:rsidP="0074539C">
      <w:pPr>
        <w:ind w:firstLine="720"/>
        <w:jc w:val="both"/>
        <w:rPr>
          <w:rFonts w:ascii="Arial" w:hAnsi="Arial" w:cs="Arial"/>
          <w:lang w:val="en-PH" w:eastAsia="en-PH"/>
        </w:rPr>
      </w:pPr>
      <w:r w:rsidRPr="00083AB9">
        <w:rPr>
          <w:rFonts w:ascii="Arial" w:hAnsi="Arial" w:cs="Arial"/>
          <w:i/>
          <w:iCs/>
          <w:lang w:val="en-PH" w:eastAsia="en-PH"/>
        </w:rPr>
        <w:t>of Crop Science</w:t>
      </w:r>
      <w:r w:rsidRPr="00083AB9">
        <w:rPr>
          <w:rFonts w:ascii="Arial" w:hAnsi="Arial" w:cs="Arial"/>
          <w:lang w:val="en-PH" w:eastAsia="en-PH"/>
        </w:rPr>
        <w:t>, 49(1), 55–62.</w:t>
      </w:r>
    </w:p>
    <w:p w14:paraId="769A5E8C" w14:textId="77777777" w:rsidR="0074539C" w:rsidRPr="00083AB9" w:rsidRDefault="0074539C" w:rsidP="0074539C">
      <w:pPr>
        <w:ind w:firstLine="720"/>
        <w:jc w:val="both"/>
        <w:rPr>
          <w:rFonts w:ascii="Arial" w:hAnsi="Arial" w:cs="Arial"/>
          <w:lang w:val="en-PH" w:eastAsia="en-PH"/>
        </w:rPr>
      </w:pPr>
    </w:p>
    <w:p w14:paraId="0535B846"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Richmond, C. (2021). Oxygen, roots, and plant health: Why too much water harms crops. </w:t>
      </w:r>
      <w:r w:rsidRPr="00083AB9">
        <w:rPr>
          <w:rFonts w:ascii="Arial" w:hAnsi="Arial" w:cs="Arial"/>
          <w:i/>
          <w:iCs/>
          <w:lang w:val="en-PH" w:eastAsia="en-PH"/>
        </w:rPr>
        <w:t>Plant Physiology Today</w:t>
      </w:r>
      <w:r w:rsidRPr="00083AB9">
        <w:rPr>
          <w:rFonts w:ascii="Arial" w:hAnsi="Arial" w:cs="Arial"/>
          <w:lang w:val="en-PH" w:eastAsia="en-PH"/>
        </w:rPr>
        <w:t xml:space="preserve">, 11(2), </w:t>
      </w:r>
    </w:p>
    <w:p w14:paraId="0346F5A6" w14:textId="5CB41FD3" w:rsidR="00083AB9" w:rsidRDefault="00083AB9" w:rsidP="0074539C">
      <w:pPr>
        <w:ind w:firstLine="720"/>
        <w:jc w:val="both"/>
        <w:rPr>
          <w:rFonts w:ascii="Arial" w:hAnsi="Arial" w:cs="Arial"/>
          <w:lang w:val="en-PH" w:eastAsia="en-PH"/>
        </w:rPr>
      </w:pPr>
      <w:r w:rsidRPr="00083AB9">
        <w:rPr>
          <w:rFonts w:ascii="Arial" w:hAnsi="Arial" w:cs="Arial"/>
          <w:lang w:val="en-PH" w:eastAsia="en-PH"/>
        </w:rPr>
        <w:t>34–39.</w:t>
      </w:r>
    </w:p>
    <w:p w14:paraId="44FC3298" w14:textId="77777777" w:rsidR="0074539C" w:rsidRPr="00083AB9" w:rsidRDefault="0074539C" w:rsidP="0074539C">
      <w:pPr>
        <w:ind w:firstLine="720"/>
        <w:jc w:val="both"/>
        <w:rPr>
          <w:rFonts w:ascii="Arial" w:hAnsi="Arial" w:cs="Arial"/>
          <w:lang w:val="en-PH" w:eastAsia="en-PH"/>
        </w:rPr>
      </w:pPr>
    </w:p>
    <w:p w14:paraId="77BD443B" w14:textId="77777777" w:rsidR="0074539C" w:rsidRDefault="00083AB9" w:rsidP="0074539C">
      <w:pPr>
        <w:jc w:val="both"/>
        <w:rPr>
          <w:rFonts w:ascii="Arial" w:hAnsi="Arial" w:cs="Arial"/>
          <w:lang w:val="en-PH" w:eastAsia="en-PH"/>
        </w:rPr>
      </w:pPr>
      <w:r w:rsidRPr="00083AB9">
        <w:rPr>
          <w:rFonts w:ascii="Arial" w:hAnsi="Arial" w:cs="Arial"/>
          <w:lang w:val="en-PH" w:eastAsia="en-PH"/>
        </w:rPr>
        <w:t xml:space="preserve">Qi, X., Li, M. W., Xie, M., Liu, X., Ni, M., Shao, G., &amp; Lam, H. M. (2021). Plant responses to waterlogging stress: </w:t>
      </w:r>
    </w:p>
    <w:p w14:paraId="544A83D9" w14:textId="0A90FFF1" w:rsidR="00083AB9" w:rsidRPr="00FF5D53" w:rsidRDefault="00083AB9" w:rsidP="0074539C">
      <w:pPr>
        <w:ind w:left="720"/>
        <w:jc w:val="both"/>
        <w:rPr>
          <w:rFonts w:ascii="Arial" w:hAnsi="Arial" w:cs="Arial"/>
          <w:lang w:val="en-PH" w:eastAsia="en-PH"/>
        </w:rPr>
      </w:pPr>
      <w:r w:rsidRPr="00083AB9">
        <w:rPr>
          <w:rFonts w:ascii="Arial" w:hAnsi="Arial" w:cs="Arial"/>
          <w:lang w:val="en-PH" w:eastAsia="en-PH"/>
        </w:rPr>
        <w:t xml:space="preserve">Strategies and mechanisms. International Journal of Molecular Sciences, 22(17), 9324. </w:t>
      </w:r>
      <w:hyperlink r:id="rId23" w:history="1">
        <w:r w:rsidR="00FF5D53" w:rsidRPr="00083AB9">
          <w:rPr>
            <w:rStyle w:val="Hyperlink"/>
            <w:rFonts w:ascii="Arial" w:hAnsi="Arial" w:cs="Arial"/>
            <w:color w:val="auto"/>
            <w:u w:val="none"/>
            <w:lang w:val="en-PH" w:eastAsia="en-PH"/>
          </w:rPr>
          <w:t>https://doi.org/10.3390/ijms22179324</w:t>
        </w:r>
      </w:hyperlink>
    </w:p>
    <w:p w14:paraId="2D49DFF5" w14:textId="77777777" w:rsidR="00FF5D53" w:rsidRPr="00083AB9" w:rsidRDefault="00FF5D53" w:rsidP="0074539C">
      <w:pPr>
        <w:ind w:left="720"/>
        <w:jc w:val="both"/>
        <w:rPr>
          <w:rFonts w:ascii="Arial" w:hAnsi="Arial" w:cs="Arial"/>
          <w:lang w:val="en-PH" w:eastAsia="en-PH"/>
        </w:rPr>
      </w:pPr>
    </w:p>
    <w:p w14:paraId="7C6CB796" w14:textId="77777777" w:rsidR="0074539C" w:rsidRDefault="00083AB9" w:rsidP="00FF5D53">
      <w:pPr>
        <w:jc w:val="both"/>
        <w:rPr>
          <w:rFonts w:ascii="Arial" w:hAnsi="Arial" w:cs="Arial"/>
          <w:lang w:val="en-PH" w:eastAsia="en-PH"/>
        </w:rPr>
      </w:pPr>
      <w:r w:rsidRPr="00083AB9">
        <w:rPr>
          <w:rFonts w:ascii="Arial" w:hAnsi="Arial" w:cs="Arial"/>
          <w:lang w:val="en-PH" w:eastAsia="en-PH"/>
        </w:rPr>
        <w:t>Rubia, R. B. (2024). The role of Brassica rapa in Asian culinary and cultural history. Asian Vegetable Journal, 16(1), 12–</w:t>
      </w:r>
    </w:p>
    <w:p w14:paraId="49B0EB8F" w14:textId="447FF87D" w:rsidR="00083AB9" w:rsidRDefault="00083AB9" w:rsidP="00FF5D53">
      <w:pPr>
        <w:ind w:firstLine="720"/>
        <w:jc w:val="both"/>
        <w:rPr>
          <w:rFonts w:ascii="Arial" w:hAnsi="Arial" w:cs="Arial"/>
          <w:lang w:val="en-PH" w:eastAsia="en-PH"/>
        </w:rPr>
      </w:pPr>
      <w:r w:rsidRPr="00083AB9">
        <w:rPr>
          <w:rFonts w:ascii="Arial" w:hAnsi="Arial" w:cs="Arial"/>
          <w:lang w:val="en-PH" w:eastAsia="en-PH"/>
        </w:rPr>
        <w:t>21.</w:t>
      </w:r>
    </w:p>
    <w:p w14:paraId="7D0A4406" w14:textId="77777777" w:rsidR="00FF5D53" w:rsidRPr="00083AB9" w:rsidRDefault="00FF5D53" w:rsidP="00FF5D53">
      <w:pPr>
        <w:ind w:firstLine="720"/>
        <w:jc w:val="both"/>
        <w:rPr>
          <w:rFonts w:ascii="Arial" w:hAnsi="Arial" w:cs="Arial"/>
          <w:lang w:val="en-PH" w:eastAsia="en-PH"/>
        </w:rPr>
      </w:pPr>
    </w:p>
    <w:p w14:paraId="656D20F1" w14:textId="77777777" w:rsidR="00FF5D53" w:rsidRDefault="00083AB9" w:rsidP="00FF5D53">
      <w:pPr>
        <w:jc w:val="both"/>
        <w:rPr>
          <w:rFonts w:ascii="Arial" w:hAnsi="Arial" w:cs="Arial"/>
          <w:lang w:val="en-PH" w:eastAsia="en-PH"/>
        </w:rPr>
      </w:pPr>
      <w:r w:rsidRPr="00083AB9">
        <w:rPr>
          <w:rFonts w:ascii="Arial" w:hAnsi="Arial" w:cs="Arial"/>
          <w:lang w:val="en-PH" w:eastAsia="en-PH"/>
        </w:rPr>
        <w:t xml:space="preserve">Sasidharan, R., Bailey-Serres, J., Ashraf, U., et al. (2017). Flooding: How plants cope with temporary submergence. New </w:t>
      </w:r>
    </w:p>
    <w:p w14:paraId="2349A19F" w14:textId="1F9F1F23" w:rsidR="00083AB9" w:rsidRDefault="00083AB9" w:rsidP="00FF5D53">
      <w:pPr>
        <w:ind w:firstLine="720"/>
        <w:jc w:val="both"/>
        <w:rPr>
          <w:rFonts w:ascii="Arial" w:hAnsi="Arial" w:cs="Arial"/>
          <w:lang w:val="en-PH" w:eastAsia="en-PH"/>
        </w:rPr>
      </w:pPr>
      <w:r w:rsidRPr="00083AB9">
        <w:rPr>
          <w:rFonts w:ascii="Arial" w:hAnsi="Arial" w:cs="Arial"/>
          <w:lang w:val="en-PH" w:eastAsia="en-PH"/>
        </w:rPr>
        <w:t xml:space="preserve">Phytologist, 206(1), 39–43. </w:t>
      </w:r>
      <w:hyperlink r:id="rId24" w:history="1">
        <w:r w:rsidR="00FF5D53" w:rsidRPr="00083AB9">
          <w:rPr>
            <w:rStyle w:val="Hyperlink"/>
            <w:rFonts w:ascii="Arial" w:hAnsi="Arial" w:cs="Arial"/>
            <w:color w:val="auto"/>
            <w:u w:val="none"/>
            <w:lang w:val="en-PH" w:eastAsia="en-PH"/>
          </w:rPr>
          <w:t>https://doi.org/10.1111/nph.13393</w:t>
        </w:r>
      </w:hyperlink>
    </w:p>
    <w:p w14:paraId="4D10CA62" w14:textId="77777777" w:rsidR="00FF5D53" w:rsidRPr="00083AB9" w:rsidRDefault="00FF5D53" w:rsidP="00FF5D53">
      <w:pPr>
        <w:ind w:firstLine="720"/>
        <w:jc w:val="both"/>
        <w:rPr>
          <w:rFonts w:ascii="Arial" w:hAnsi="Arial" w:cs="Arial"/>
          <w:lang w:val="en-PH" w:eastAsia="en-PH"/>
        </w:rPr>
      </w:pPr>
    </w:p>
    <w:p w14:paraId="1153F708" w14:textId="77777777" w:rsidR="00FF5D53" w:rsidRDefault="00083AB9" w:rsidP="00FF5D53">
      <w:pPr>
        <w:jc w:val="both"/>
        <w:rPr>
          <w:rFonts w:ascii="Arial" w:hAnsi="Arial" w:cs="Arial"/>
          <w:lang w:val="en-PH" w:eastAsia="en-PH"/>
        </w:rPr>
      </w:pPr>
      <w:r w:rsidRPr="00083AB9">
        <w:rPr>
          <w:rFonts w:ascii="Arial" w:hAnsi="Arial" w:cs="Arial"/>
          <w:lang w:val="en-PH" w:eastAsia="en-PH"/>
        </w:rPr>
        <w:t xml:space="preserve">Setter, T. L., &amp; Waters, I. (2003). Review of prospects for germplasm improvement for waterlogging tolerance in wheat, </w:t>
      </w:r>
    </w:p>
    <w:p w14:paraId="5ACA0DFA" w14:textId="15CC1E8A" w:rsidR="00083AB9" w:rsidRPr="00FF5D53" w:rsidRDefault="00083AB9" w:rsidP="00FF5D53">
      <w:pPr>
        <w:ind w:firstLine="720"/>
        <w:jc w:val="both"/>
        <w:rPr>
          <w:rFonts w:ascii="Arial" w:hAnsi="Arial" w:cs="Arial"/>
          <w:lang w:val="en-PH" w:eastAsia="en-PH"/>
        </w:rPr>
      </w:pPr>
      <w:r w:rsidRPr="00083AB9">
        <w:rPr>
          <w:rFonts w:ascii="Arial" w:hAnsi="Arial" w:cs="Arial"/>
          <w:lang w:val="en-PH" w:eastAsia="en-PH"/>
        </w:rPr>
        <w:t xml:space="preserve">barley and oats. </w:t>
      </w:r>
      <w:r w:rsidRPr="00083AB9">
        <w:rPr>
          <w:rFonts w:ascii="Arial" w:hAnsi="Arial" w:cs="Arial"/>
          <w:i/>
          <w:iCs/>
          <w:lang w:val="en-PH" w:eastAsia="en-PH"/>
        </w:rPr>
        <w:t>Plant and Soil</w:t>
      </w:r>
      <w:r w:rsidRPr="00083AB9">
        <w:rPr>
          <w:rFonts w:ascii="Arial" w:hAnsi="Arial" w:cs="Arial"/>
          <w:lang w:val="en-PH" w:eastAsia="en-PH"/>
        </w:rPr>
        <w:t xml:space="preserve">, 253(1), 1–34. </w:t>
      </w:r>
      <w:hyperlink r:id="rId25" w:history="1">
        <w:r w:rsidR="00FF5D53" w:rsidRPr="00083AB9">
          <w:rPr>
            <w:rStyle w:val="Hyperlink"/>
            <w:rFonts w:ascii="Arial" w:hAnsi="Arial" w:cs="Arial"/>
            <w:color w:val="auto"/>
            <w:u w:val="none"/>
            <w:lang w:val="en-PH" w:eastAsia="en-PH"/>
          </w:rPr>
          <w:t>https://doi.org/10.1023/A:1024560008470</w:t>
        </w:r>
      </w:hyperlink>
    </w:p>
    <w:p w14:paraId="3748B3FA" w14:textId="77777777" w:rsidR="00FF5D53" w:rsidRPr="00083AB9" w:rsidRDefault="00FF5D53" w:rsidP="00FF5D53">
      <w:pPr>
        <w:ind w:firstLine="720"/>
        <w:jc w:val="both"/>
        <w:rPr>
          <w:rFonts w:ascii="Arial" w:hAnsi="Arial" w:cs="Arial"/>
          <w:lang w:val="en-PH" w:eastAsia="en-PH"/>
        </w:rPr>
      </w:pPr>
    </w:p>
    <w:p w14:paraId="6FD96ED4" w14:textId="77777777" w:rsidR="00FF5D53" w:rsidRPr="00FF5D53" w:rsidRDefault="00083AB9" w:rsidP="00FF5D53">
      <w:pPr>
        <w:jc w:val="both"/>
        <w:rPr>
          <w:rFonts w:ascii="Arial" w:hAnsi="Arial" w:cs="Arial"/>
          <w:lang w:val="en-PH" w:eastAsia="en-PH"/>
        </w:rPr>
      </w:pPr>
      <w:r w:rsidRPr="00083AB9">
        <w:rPr>
          <w:rFonts w:ascii="Arial" w:hAnsi="Arial" w:cs="Arial"/>
          <w:lang w:val="en-PH" w:eastAsia="en-PH"/>
        </w:rPr>
        <w:t xml:space="preserve">United Nations. (2023). The Sustainable Development Goals Report 2023. United Nations. </w:t>
      </w:r>
    </w:p>
    <w:p w14:paraId="14871906" w14:textId="2B99F35D" w:rsidR="00083AB9" w:rsidRPr="00FF5D53" w:rsidRDefault="0004297F" w:rsidP="00FF5D53">
      <w:pPr>
        <w:ind w:firstLine="720"/>
        <w:jc w:val="both"/>
        <w:rPr>
          <w:rFonts w:ascii="Arial" w:hAnsi="Arial" w:cs="Arial"/>
          <w:lang w:val="en-PH" w:eastAsia="en-PH"/>
        </w:rPr>
      </w:pPr>
      <w:hyperlink r:id="rId26" w:history="1">
        <w:r w:rsidR="00FF5D53" w:rsidRPr="00083AB9">
          <w:rPr>
            <w:rStyle w:val="Hyperlink"/>
            <w:rFonts w:ascii="Arial" w:hAnsi="Arial" w:cs="Arial"/>
            <w:color w:val="auto"/>
            <w:u w:val="none"/>
            <w:lang w:val="en-PH" w:eastAsia="en-PH"/>
          </w:rPr>
          <w:t>https://unstats.un.org/sdgs/report/2023/</w:t>
        </w:r>
      </w:hyperlink>
    </w:p>
    <w:p w14:paraId="4EAF755E" w14:textId="77777777" w:rsidR="00FF5D53" w:rsidRPr="00083AB9" w:rsidRDefault="00FF5D53" w:rsidP="00FF5D53">
      <w:pPr>
        <w:ind w:firstLine="720"/>
        <w:jc w:val="both"/>
        <w:rPr>
          <w:rFonts w:ascii="Arial" w:hAnsi="Arial" w:cs="Arial"/>
          <w:lang w:val="en-PH" w:eastAsia="en-PH"/>
        </w:rPr>
      </w:pPr>
    </w:p>
    <w:p w14:paraId="5DD6DC6A" w14:textId="77777777" w:rsidR="00FF5D53" w:rsidRPr="00FF5D53" w:rsidRDefault="00083AB9" w:rsidP="00FF5D53">
      <w:pPr>
        <w:jc w:val="both"/>
        <w:rPr>
          <w:rFonts w:ascii="Arial" w:hAnsi="Arial" w:cs="Arial"/>
          <w:lang w:val="en-PH" w:eastAsia="en-PH"/>
        </w:rPr>
      </w:pPr>
      <w:r w:rsidRPr="00083AB9">
        <w:rPr>
          <w:rFonts w:ascii="Arial" w:hAnsi="Arial" w:cs="Arial"/>
          <w:lang w:val="en-PH" w:eastAsia="en-PH"/>
        </w:rPr>
        <w:t xml:space="preserve">Yamauchi, T., Colmer, T. D., &amp; </w:t>
      </w:r>
      <w:proofErr w:type="spellStart"/>
      <w:r w:rsidRPr="00083AB9">
        <w:rPr>
          <w:rFonts w:ascii="Arial" w:hAnsi="Arial" w:cs="Arial"/>
          <w:lang w:val="en-PH" w:eastAsia="en-PH"/>
        </w:rPr>
        <w:t>Nakazono</w:t>
      </w:r>
      <w:proofErr w:type="spellEnd"/>
      <w:r w:rsidRPr="00083AB9">
        <w:rPr>
          <w:rFonts w:ascii="Arial" w:hAnsi="Arial" w:cs="Arial"/>
          <w:lang w:val="en-PH" w:eastAsia="en-PH"/>
        </w:rPr>
        <w:t xml:space="preserve">, M. (2018). Regulation of root traits for internal aeration and tolerance to soil </w:t>
      </w:r>
    </w:p>
    <w:p w14:paraId="04EA6349" w14:textId="61BBD45F" w:rsidR="00FF5D53" w:rsidRDefault="00083AB9" w:rsidP="00FF5D53">
      <w:pPr>
        <w:ind w:firstLine="720"/>
        <w:jc w:val="both"/>
        <w:rPr>
          <w:rFonts w:ascii="Arial" w:hAnsi="Arial" w:cs="Arial"/>
          <w:lang w:val="en-PH" w:eastAsia="en-PH"/>
        </w:rPr>
      </w:pPr>
      <w:r w:rsidRPr="00083AB9">
        <w:rPr>
          <w:rFonts w:ascii="Arial" w:hAnsi="Arial" w:cs="Arial"/>
          <w:lang w:val="en-PH" w:eastAsia="en-PH"/>
        </w:rPr>
        <w:t xml:space="preserve">waterlogging–flooding stress. </w:t>
      </w:r>
      <w:r w:rsidRPr="00083AB9">
        <w:rPr>
          <w:rFonts w:ascii="Arial" w:hAnsi="Arial" w:cs="Arial"/>
          <w:i/>
          <w:iCs/>
          <w:lang w:val="en-PH" w:eastAsia="en-PH"/>
        </w:rPr>
        <w:t>Plant Physiology</w:t>
      </w:r>
      <w:r w:rsidRPr="00083AB9">
        <w:rPr>
          <w:rFonts w:ascii="Arial" w:hAnsi="Arial" w:cs="Arial"/>
          <w:lang w:val="en-PH" w:eastAsia="en-PH"/>
        </w:rPr>
        <w:t xml:space="preserve">, 176(2), 1118–1130. </w:t>
      </w:r>
      <w:hyperlink r:id="rId27" w:history="1">
        <w:r w:rsidR="00FF5D53" w:rsidRPr="00083AB9">
          <w:rPr>
            <w:rStyle w:val="Hyperlink"/>
            <w:rFonts w:ascii="Arial" w:hAnsi="Arial" w:cs="Arial"/>
            <w:color w:val="auto"/>
            <w:u w:val="none"/>
            <w:lang w:val="en-PH" w:eastAsia="en-PH"/>
          </w:rPr>
          <w:t>https://doi.org/10.1104/pp.17.01157</w:t>
        </w:r>
      </w:hyperlink>
    </w:p>
    <w:p w14:paraId="7F9B9BEE" w14:textId="77777777" w:rsidR="00FF5D53" w:rsidRPr="00083AB9" w:rsidRDefault="00FF5D53" w:rsidP="00FF5D53">
      <w:pPr>
        <w:ind w:firstLine="720"/>
        <w:jc w:val="both"/>
        <w:rPr>
          <w:rFonts w:ascii="Arial" w:hAnsi="Arial" w:cs="Arial"/>
          <w:lang w:val="en-PH" w:eastAsia="en-PH"/>
        </w:rPr>
      </w:pPr>
    </w:p>
    <w:p w14:paraId="0F7AE2E7" w14:textId="77777777" w:rsidR="00FF5D53" w:rsidRDefault="00083AB9" w:rsidP="00083AB9">
      <w:pPr>
        <w:widowControl w:val="0"/>
        <w:autoSpaceDE w:val="0"/>
        <w:autoSpaceDN w:val="0"/>
        <w:spacing w:line="275" w:lineRule="exact"/>
        <w:jc w:val="both"/>
        <w:rPr>
          <w:rFonts w:ascii="Arial" w:eastAsia="Arial MT" w:hAnsi="Arial" w:cs="Arial"/>
        </w:rPr>
      </w:pPr>
      <w:r w:rsidRPr="00083AB9">
        <w:rPr>
          <w:rFonts w:ascii="Arial" w:eastAsia="Arial MT" w:hAnsi="Arial" w:cs="Arial"/>
        </w:rPr>
        <w:t xml:space="preserve">Yin, X., &amp; Komatsu, S. (2017). Submergence and waterlogging stress in plants: A review highlighting research </w:t>
      </w:r>
    </w:p>
    <w:p w14:paraId="7676B326" w14:textId="1DF307B1" w:rsidR="00083AB9" w:rsidRPr="00083AB9" w:rsidRDefault="00083AB9" w:rsidP="00FF5D53">
      <w:pPr>
        <w:widowControl w:val="0"/>
        <w:autoSpaceDE w:val="0"/>
        <w:autoSpaceDN w:val="0"/>
        <w:spacing w:line="275" w:lineRule="exact"/>
        <w:ind w:left="720"/>
        <w:jc w:val="both"/>
        <w:rPr>
          <w:rFonts w:ascii="Arial" w:eastAsia="Arial MT" w:hAnsi="Arial" w:cs="Arial"/>
        </w:rPr>
      </w:pPr>
      <w:r w:rsidRPr="00083AB9">
        <w:rPr>
          <w:rFonts w:ascii="Arial" w:eastAsia="Arial MT" w:hAnsi="Arial" w:cs="Arial"/>
        </w:rPr>
        <w:t>opportunities and understudied aspects. Frontiers in Plant Science, 8, 1458. https://doi.org/10.3389/fpls.2017.01458</w:t>
      </w:r>
    </w:p>
    <w:p w14:paraId="42C3AD78" w14:textId="77777777" w:rsidR="00083AB9" w:rsidRPr="00083AB9" w:rsidRDefault="00083AB9" w:rsidP="00083AB9">
      <w:pPr>
        <w:widowControl w:val="0"/>
        <w:autoSpaceDE w:val="0"/>
        <w:autoSpaceDN w:val="0"/>
        <w:spacing w:line="275" w:lineRule="exact"/>
        <w:jc w:val="both"/>
        <w:rPr>
          <w:rFonts w:ascii="Arial" w:eastAsia="Arial MT" w:hAnsi="Arial" w:cs="Arial"/>
        </w:rPr>
      </w:pPr>
    </w:p>
    <w:p w14:paraId="355C443F" w14:textId="77777777" w:rsidR="00FF5D53" w:rsidRDefault="00083AB9" w:rsidP="00083AB9">
      <w:pPr>
        <w:widowControl w:val="0"/>
        <w:autoSpaceDE w:val="0"/>
        <w:autoSpaceDN w:val="0"/>
        <w:spacing w:line="275" w:lineRule="exact"/>
        <w:jc w:val="both"/>
        <w:rPr>
          <w:rFonts w:ascii="Arial" w:eastAsia="Arial MT" w:hAnsi="Arial" w:cs="Arial"/>
        </w:rPr>
      </w:pPr>
      <w:r w:rsidRPr="00083AB9">
        <w:rPr>
          <w:rFonts w:ascii="Arial" w:eastAsia="Arial MT" w:hAnsi="Arial" w:cs="Arial"/>
        </w:rPr>
        <w:t xml:space="preserve">Zhou, W., &amp; Lin, W. (2020). Plant adaptation to flooding stress: Morphological and physiological traits. Annals of Botany, </w:t>
      </w:r>
    </w:p>
    <w:p w14:paraId="67E2A763" w14:textId="69A45E8C" w:rsidR="00083AB9" w:rsidRDefault="00083AB9" w:rsidP="00FF5D53">
      <w:pPr>
        <w:widowControl w:val="0"/>
        <w:autoSpaceDE w:val="0"/>
        <w:autoSpaceDN w:val="0"/>
        <w:spacing w:line="275" w:lineRule="exact"/>
        <w:ind w:firstLine="720"/>
        <w:jc w:val="both"/>
        <w:rPr>
          <w:rFonts w:ascii="Arial" w:eastAsia="Arial MT" w:hAnsi="Arial" w:cs="Arial"/>
        </w:rPr>
      </w:pPr>
      <w:r w:rsidRPr="00083AB9">
        <w:rPr>
          <w:rFonts w:ascii="Arial" w:eastAsia="Arial MT" w:hAnsi="Arial" w:cs="Arial"/>
        </w:rPr>
        <w:t xml:space="preserve">125(3), 345–359. </w:t>
      </w:r>
      <w:hyperlink r:id="rId28" w:history="1">
        <w:r w:rsidR="007E66A8" w:rsidRPr="000416A3">
          <w:rPr>
            <w:rStyle w:val="Hyperlink"/>
            <w:rFonts w:ascii="Arial" w:eastAsia="Arial MT" w:hAnsi="Arial" w:cs="Arial"/>
          </w:rPr>
          <w:t>https://doi.org/10.1093/aob/mcz164</w:t>
        </w:r>
      </w:hyperlink>
    </w:p>
    <w:p w14:paraId="27C635B0" w14:textId="77777777" w:rsidR="00083AB9" w:rsidRDefault="00083AB9" w:rsidP="00441B6F">
      <w:pPr>
        <w:pStyle w:val="ReferHead"/>
        <w:spacing w:after="0"/>
        <w:jc w:val="both"/>
        <w:rPr>
          <w:rFonts w:ascii="Arial" w:hAnsi="Arial" w:cs="Arial"/>
        </w:rPr>
      </w:pPr>
    </w:p>
    <w:p w14:paraId="2CA19D93" w14:textId="77777777" w:rsidR="00790ADA" w:rsidRPr="00FB3A86" w:rsidRDefault="00790ADA" w:rsidP="00441B6F">
      <w:pPr>
        <w:pStyle w:val="ReferHead"/>
        <w:spacing w:after="0"/>
        <w:jc w:val="both"/>
        <w:rPr>
          <w:rFonts w:ascii="Arial" w:hAnsi="Arial" w:cs="Arial"/>
        </w:rPr>
      </w:pPr>
    </w:p>
    <w:p w14:paraId="59C8088A" w14:textId="77777777" w:rsidR="00B01FCD" w:rsidRPr="00FB3A86" w:rsidRDefault="00B01FCD" w:rsidP="00441B6F">
      <w:pPr>
        <w:pStyle w:val="Appendix"/>
        <w:spacing w:after="0"/>
        <w:jc w:val="both"/>
        <w:rPr>
          <w:rFonts w:ascii="Arial" w:hAnsi="Arial" w:cs="Arial"/>
          <w:b w:val="0"/>
        </w:rPr>
      </w:pPr>
    </w:p>
    <w:sectPr w:rsidR="00B01FCD" w:rsidRPr="00FB3A86" w:rsidSect="000062D2">
      <w:headerReference w:type="even" r:id="rId29"/>
      <w:headerReference w:type="default" r:id="rId30"/>
      <w:footerReference w:type="even" r:id="rId31"/>
      <w:footerReference w:type="default" r:id="rId32"/>
      <w:headerReference w:type="first" r:id="rId33"/>
      <w:foot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9DFC5" w14:textId="77777777" w:rsidR="0004297F" w:rsidRDefault="0004297F" w:rsidP="00C37E61">
      <w:r>
        <w:separator/>
      </w:r>
    </w:p>
  </w:endnote>
  <w:endnote w:type="continuationSeparator" w:id="0">
    <w:p w14:paraId="2A77174B" w14:textId="77777777" w:rsidR="0004297F" w:rsidRDefault="000429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panose1 w:val="00000000000000000000"/>
    <w:charset w:val="00"/>
    <w:family w:val="roman"/>
    <w:notTrueType/>
    <w:pitch w:val="default"/>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15CEA" w14:textId="77777777" w:rsidR="003B4E02" w:rsidRDefault="003B4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6B028"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75146" w14:textId="77777777" w:rsidR="003B4E02" w:rsidRDefault="003B4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CB885" w14:textId="77777777" w:rsidR="0004297F" w:rsidRDefault="0004297F" w:rsidP="00C37E61">
      <w:r>
        <w:separator/>
      </w:r>
    </w:p>
  </w:footnote>
  <w:footnote w:type="continuationSeparator" w:id="0">
    <w:p w14:paraId="04BE1565" w14:textId="77777777" w:rsidR="0004297F" w:rsidRDefault="000429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6BECD" w14:textId="6150DD4F" w:rsidR="003B4E02" w:rsidRDefault="003B4E02">
    <w:pPr>
      <w:pStyle w:val="Header"/>
    </w:pPr>
    <w:r>
      <w:rPr>
        <w:noProof/>
      </w:rPr>
      <w:pict w14:anchorId="4C89E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97546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036A0" w14:textId="25E9CF74" w:rsidR="003B4E02" w:rsidRDefault="003B4E02">
    <w:pPr>
      <w:pStyle w:val="Header"/>
    </w:pPr>
    <w:r>
      <w:rPr>
        <w:noProof/>
      </w:rPr>
      <w:pict w14:anchorId="7996B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97547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84C29" w14:textId="01819379" w:rsidR="003B4E02" w:rsidRDefault="003B4E02">
    <w:pPr>
      <w:pStyle w:val="Header"/>
    </w:pPr>
    <w:r>
      <w:rPr>
        <w:noProof/>
      </w:rPr>
      <w:pict w14:anchorId="381E6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97546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2D2"/>
    <w:rsid w:val="0001206F"/>
    <w:rsid w:val="00030174"/>
    <w:rsid w:val="0004297F"/>
    <w:rsid w:val="0004579C"/>
    <w:rsid w:val="00083AB9"/>
    <w:rsid w:val="00083CF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16F2"/>
    <w:rsid w:val="001A29D8"/>
    <w:rsid w:val="001A5CAA"/>
    <w:rsid w:val="001B0427"/>
    <w:rsid w:val="001D3A51"/>
    <w:rsid w:val="001E0C3E"/>
    <w:rsid w:val="001E10D2"/>
    <w:rsid w:val="001E25B4"/>
    <w:rsid w:val="001E44FE"/>
    <w:rsid w:val="00200595"/>
    <w:rsid w:val="00204835"/>
    <w:rsid w:val="00231920"/>
    <w:rsid w:val="0023195C"/>
    <w:rsid w:val="0024282C"/>
    <w:rsid w:val="00242EFD"/>
    <w:rsid w:val="002460DC"/>
    <w:rsid w:val="00250985"/>
    <w:rsid w:val="00252754"/>
    <w:rsid w:val="00252A63"/>
    <w:rsid w:val="00253948"/>
    <w:rsid w:val="002556F6"/>
    <w:rsid w:val="00283105"/>
    <w:rsid w:val="00284C4C"/>
    <w:rsid w:val="00287E68"/>
    <w:rsid w:val="00296529"/>
    <w:rsid w:val="002B27FB"/>
    <w:rsid w:val="002B685A"/>
    <w:rsid w:val="002C57D2"/>
    <w:rsid w:val="002D6BB1"/>
    <w:rsid w:val="002E0D56"/>
    <w:rsid w:val="00315186"/>
    <w:rsid w:val="00327747"/>
    <w:rsid w:val="0033343E"/>
    <w:rsid w:val="00341AE6"/>
    <w:rsid w:val="003512C2"/>
    <w:rsid w:val="00371FB6"/>
    <w:rsid w:val="003763C1"/>
    <w:rsid w:val="00376BBE"/>
    <w:rsid w:val="0039224F"/>
    <w:rsid w:val="003A43A4"/>
    <w:rsid w:val="003A56A7"/>
    <w:rsid w:val="003A7E18"/>
    <w:rsid w:val="003B4E02"/>
    <w:rsid w:val="003C089D"/>
    <w:rsid w:val="003C4C86"/>
    <w:rsid w:val="003C6258"/>
    <w:rsid w:val="003E2904"/>
    <w:rsid w:val="00401927"/>
    <w:rsid w:val="0041027F"/>
    <w:rsid w:val="00412475"/>
    <w:rsid w:val="00423789"/>
    <w:rsid w:val="00440F43"/>
    <w:rsid w:val="00441B6F"/>
    <w:rsid w:val="00446221"/>
    <w:rsid w:val="00450E62"/>
    <w:rsid w:val="004539DB"/>
    <w:rsid w:val="00466E8F"/>
    <w:rsid w:val="00471A80"/>
    <w:rsid w:val="004873E8"/>
    <w:rsid w:val="004C32E8"/>
    <w:rsid w:val="004D305E"/>
    <w:rsid w:val="004D4277"/>
    <w:rsid w:val="00502516"/>
    <w:rsid w:val="00505F06"/>
    <w:rsid w:val="00506828"/>
    <w:rsid w:val="00507555"/>
    <w:rsid w:val="00521E7E"/>
    <w:rsid w:val="0053056E"/>
    <w:rsid w:val="00554630"/>
    <w:rsid w:val="00554FDA"/>
    <w:rsid w:val="00597CC0"/>
    <w:rsid w:val="005A2A64"/>
    <w:rsid w:val="005C784C"/>
    <w:rsid w:val="005D17F6"/>
    <w:rsid w:val="005E2A32"/>
    <w:rsid w:val="005E5539"/>
    <w:rsid w:val="00602BF5"/>
    <w:rsid w:val="00617FDD"/>
    <w:rsid w:val="00633614"/>
    <w:rsid w:val="00633F68"/>
    <w:rsid w:val="00636EB2"/>
    <w:rsid w:val="006375B8"/>
    <w:rsid w:val="0066510A"/>
    <w:rsid w:val="00673F9F"/>
    <w:rsid w:val="00686953"/>
    <w:rsid w:val="006869A1"/>
    <w:rsid w:val="00687DEA"/>
    <w:rsid w:val="00687E67"/>
    <w:rsid w:val="006967F7"/>
    <w:rsid w:val="006A250C"/>
    <w:rsid w:val="006B21D3"/>
    <w:rsid w:val="006B57D0"/>
    <w:rsid w:val="006D30FF"/>
    <w:rsid w:val="006D6940"/>
    <w:rsid w:val="006E2174"/>
    <w:rsid w:val="006F11EC"/>
    <w:rsid w:val="0070082C"/>
    <w:rsid w:val="007369E6"/>
    <w:rsid w:val="0074539C"/>
    <w:rsid w:val="00746E59"/>
    <w:rsid w:val="00752D83"/>
    <w:rsid w:val="00754C9A"/>
    <w:rsid w:val="0075599A"/>
    <w:rsid w:val="00761D52"/>
    <w:rsid w:val="0077749E"/>
    <w:rsid w:val="00790ADA"/>
    <w:rsid w:val="007A705B"/>
    <w:rsid w:val="007D2288"/>
    <w:rsid w:val="007E088F"/>
    <w:rsid w:val="007E66A8"/>
    <w:rsid w:val="007F7B32"/>
    <w:rsid w:val="00804BC2"/>
    <w:rsid w:val="0081431A"/>
    <w:rsid w:val="0083216F"/>
    <w:rsid w:val="00860000"/>
    <w:rsid w:val="00863BD3"/>
    <w:rsid w:val="008641ED"/>
    <w:rsid w:val="00866D66"/>
    <w:rsid w:val="008671C6"/>
    <w:rsid w:val="00875803"/>
    <w:rsid w:val="008A4338"/>
    <w:rsid w:val="008B459E"/>
    <w:rsid w:val="008E13AE"/>
    <w:rsid w:val="008E1506"/>
    <w:rsid w:val="008E710C"/>
    <w:rsid w:val="008F69D6"/>
    <w:rsid w:val="00902823"/>
    <w:rsid w:val="00915CA6"/>
    <w:rsid w:val="00927834"/>
    <w:rsid w:val="009500A6"/>
    <w:rsid w:val="009516DA"/>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5D69"/>
    <w:rsid w:val="00A347C0"/>
    <w:rsid w:val="00A51431"/>
    <w:rsid w:val="00A539AD"/>
    <w:rsid w:val="00A60F49"/>
    <w:rsid w:val="00A94063"/>
    <w:rsid w:val="00AA6219"/>
    <w:rsid w:val="00AA74E0"/>
    <w:rsid w:val="00AB703F"/>
    <w:rsid w:val="00AC6BB8"/>
    <w:rsid w:val="00AD304C"/>
    <w:rsid w:val="00AE008F"/>
    <w:rsid w:val="00B01FCD"/>
    <w:rsid w:val="00B1776C"/>
    <w:rsid w:val="00B52583"/>
    <w:rsid w:val="00B52896"/>
    <w:rsid w:val="00B95236"/>
    <w:rsid w:val="00B96BD9"/>
    <w:rsid w:val="00BA1B01"/>
    <w:rsid w:val="00BA2641"/>
    <w:rsid w:val="00BB29C9"/>
    <w:rsid w:val="00BB37AA"/>
    <w:rsid w:val="00BC53A0"/>
    <w:rsid w:val="00BE62AD"/>
    <w:rsid w:val="00BF121F"/>
    <w:rsid w:val="00BF1F80"/>
    <w:rsid w:val="00C166EF"/>
    <w:rsid w:val="00C17EB0"/>
    <w:rsid w:val="00C27F5F"/>
    <w:rsid w:val="00C30A0F"/>
    <w:rsid w:val="00C37E61"/>
    <w:rsid w:val="00C70F1B"/>
    <w:rsid w:val="00C71A47"/>
    <w:rsid w:val="00C7464C"/>
    <w:rsid w:val="00C74E82"/>
    <w:rsid w:val="00C85588"/>
    <w:rsid w:val="00CD6755"/>
    <w:rsid w:val="00CD6856"/>
    <w:rsid w:val="00CE0089"/>
    <w:rsid w:val="00CE793C"/>
    <w:rsid w:val="00CF193C"/>
    <w:rsid w:val="00D03592"/>
    <w:rsid w:val="00D118D5"/>
    <w:rsid w:val="00D173F1"/>
    <w:rsid w:val="00D30EBA"/>
    <w:rsid w:val="00D46BA4"/>
    <w:rsid w:val="00D54A7D"/>
    <w:rsid w:val="00D74CB0"/>
    <w:rsid w:val="00D8295D"/>
    <w:rsid w:val="00DA5D5C"/>
    <w:rsid w:val="00DC2A65"/>
    <w:rsid w:val="00DE15F0"/>
    <w:rsid w:val="00DE5663"/>
    <w:rsid w:val="00DE78AA"/>
    <w:rsid w:val="00DE7FE2"/>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22B6"/>
    <w:rsid w:val="00EE52CB"/>
    <w:rsid w:val="00EF581D"/>
    <w:rsid w:val="00EF7FD8"/>
    <w:rsid w:val="00F06F59"/>
    <w:rsid w:val="00F17988"/>
    <w:rsid w:val="00F469F0"/>
    <w:rsid w:val="00F53273"/>
    <w:rsid w:val="00F55E54"/>
    <w:rsid w:val="00F755E4"/>
    <w:rsid w:val="00F77D02"/>
    <w:rsid w:val="00F77EDA"/>
    <w:rsid w:val="00F81786"/>
    <w:rsid w:val="00FB146A"/>
    <w:rsid w:val="00FB3A86"/>
    <w:rsid w:val="00FD36C8"/>
    <w:rsid w:val="00FF5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8E33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qFormat/>
    <w:rsid w:val="00083CFD"/>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083CFD"/>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EFD"/>
    <w:pPr>
      <w:spacing w:before="100" w:beforeAutospacing="1" w:after="100" w:afterAutospacing="1"/>
    </w:pPr>
    <w:rPr>
      <w:rFonts w:ascii="Times New Roman" w:hAnsi="Times New Roman"/>
      <w:sz w:val="24"/>
      <w:szCs w:val="24"/>
      <w:lang w:val="en-PH" w:eastAsia="en-PH"/>
    </w:rPr>
  </w:style>
  <w:style w:type="table" w:customStyle="1" w:styleId="TableGrid3">
    <w:name w:val="Table Grid3"/>
    <w:basedOn w:val="TableNormal"/>
    <w:next w:val="TableGrid"/>
    <w:uiPriority w:val="39"/>
    <w:qFormat/>
    <w:rsid w:val="00242EFD"/>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083AB9"/>
    <w:pPr>
      <w:spacing w:after="120"/>
    </w:pPr>
  </w:style>
  <w:style w:type="character" w:customStyle="1" w:styleId="BodyTextChar">
    <w:name w:val="Body Text Char"/>
    <w:basedOn w:val="DefaultParagraphFont"/>
    <w:link w:val="BodyText"/>
    <w:semiHidden/>
    <w:rsid w:val="00083AB9"/>
    <w:rPr>
      <w:rFonts w:ascii="Helvetica" w:hAnsi="Helvetica"/>
    </w:rPr>
  </w:style>
  <w:style w:type="table" w:customStyle="1" w:styleId="TableGrid4">
    <w:name w:val="Table Grid4"/>
    <w:basedOn w:val="TableNormal"/>
    <w:next w:val="TableGrid"/>
    <w:uiPriority w:val="39"/>
    <w:qFormat/>
    <w:rsid w:val="00C74E82"/>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2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scienta.2022.110902" TargetMode="External"/><Relationship Id="rId18" Type="http://schemas.openxmlformats.org/officeDocument/2006/relationships/hyperlink" Target="https://www.ipcc.ch/report/ar6/syr/" TargetMode="External"/><Relationship Id="rId26" Type="http://schemas.openxmlformats.org/officeDocument/2006/relationships/hyperlink" Target="https://unstats.un.org/sdgs/report/2023/" TargetMode="External"/><Relationship Id="rId3" Type="http://schemas.openxmlformats.org/officeDocument/2006/relationships/styles" Target="styles.xml"/><Relationship Id="rId21" Type="http://schemas.openxmlformats.org/officeDocument/2006/relationships/hyperlink" Target="https://doi.org/10.1071/FP16364"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071/FP14096" TargetMode="External"/><Relationship Id="rId17" Type="http://schemas.openxmlformats.org/officeDocument/2006/relationships/hyperlink" Target="https://www.ipcc.ch/report/ar6/wg1/" TargetMode="External"/><Relationship Id="rId25" Type="http://schemas.openxmlformats.org/officeDocument/2006/relationships/hyperlink" Target="https://doi.org/10.1023/A:1024560008470"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111/pce.12676" TargetMode="External"/><Relationship Id="rId20" Type="http://schemas.openxmlformats.org/officeDocument/2006/relationships/hyperlink" Target="https://www.pagasa.dost.gov.ph"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29/bjar.v38i3.15878" TargetMode="External"/><Relationship Id="rId24" Type="http://schemas.openxmlformats.org/officeDocument/2006/relationships/hyperlink" Target="https://doi.org/10.1111/nph.1339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astwestseed.com" TargetMode="External"/><Relationship Id="rId23" Type="http://schemas.openxmlformats.org/officeDocument/2006/relationships/hyperlink" Target="https://doi.org/10.3390/ijms22179324" TargetMode="External"/><Relationship Id="rId28" Type="http://schemas.openxmlformats.org/officeDocument/2006/relationships/hyperlink" Target="https://doi.org/10.1093/aob/mcz164" TargetMode="Externa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doi.org/10.1126/science.120453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da.gov.ph" TargetMode="External"/><Relationship Id="rId22" Type="http://schemas.openxmlformats.org/officeDocument/2006/relationships/hyperlink" Target="https://psa.gov.ph" TargetMode="External"/><Relationship Id="rId27" Type="http://schemas.openxmlformats.org/officeDocument/2006/relationships/hyperlink" Target="https://doi.org/10.1104/pp.17.01157"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PH" sz="1000">
                <a:solidFill>
                  <a:sysClr val="windowText" lastClr="000000"/>
                </a:solidFill>
              </a:rPr>
              <a:t>Final Height</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1"/>
          <c:order val="1"/>
          <c:spPr>
            <a:solidFill>
              <a:schemeClr val="accent2"/>
            </a:solidFill>
            <a:ln w="6350">
              <a:solidFill>
                <a:schemeClr val="tx1"/>
              </a:solidFill>
            </a:ln>
            <a:effectLst/>
          </c:spPr>
          <c:invertIfNegative val="0"/>
          <c:dLbls>
            <c:dLbl>
              <c:idx val="0"/>
              <c:layout>
                <c:manualLayout>
                  <c:x val="0"/>
                  <c:y val="-3.7037037037037056E-2"/>
                </c:manualLayout>
              </c:layout>
              <c:tx>
                <c:rich>
                  <a:bodyPr/>
                  <a:lstStyle/>
                  <a:p>
                    <a:r>
                      <a:rPr lang="en-US" sz="1200">
                        <a:latin typeface="Times New Roman" panose="02020603050405020304" pitchFamily="18" charset="0"/>
                        <a:cs typeface="Times New Roman" panose="02020603050405020304" pitchFamily="18" charset="0"/>
                      </a:rPr>
                      <a:t>114.17</a:t>
                    </a:r>
                    <a:r>
                      <a:rPr lang="en-US" sz="1200" baseline="0">
                        <a:latin typeface="Times New Roman" panose="02020603050405020304" pitchFamily="18" charset="0"/>
                        <a:cs typeface="Times New Roman" panose="02020603050405020304" pitchFamily="18" charset="0"/>
                      </a:rPr>
                      <a:t> a</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06-4C44-A26D-A93AC3DB6D7C}"/>
                </c:ext>
              </c:extLst>
            </c:dLbl>
            <c:dLbl>
              <c:idx val="1"/>
              <c:layout>
                <c:manualLayout>
                  <c:x val="-2.7777777777777779E-3"/>
                  <c:y val="-4.6296296296296335E-2"/>
                </c:manualLayout>
              </c:layout>
              <c:tx>
                <c:rich>
                  <a:bodyPr/>
                  <a:lstStyle/>
                  <a:p>
                    <a:r>
                      <a:rPr lang="en-US" sz="1200">
                        <a:latin typeface="Times New Roman" panose="02020603050405020304" pitchFamily="18" charset="0"/>
                        <a:cs typeface="Times New Roman" panose="02020603050405020304" pitchFamily="18" charset="0"/>
                      </a:rPr>
                      <a:t>82.57</a:t>
                    </a:r>
                    <a:r>
                      <a:rPr lang="en-US" sz="1200" baseline="0">
                        <a:latin typeface="Times New Roman" panose="02020603050405020304" pitchFamily="18" charset="0"/>
                        <a:cs typeface="Times New Roman" panose="02020603050405020304" pitchFamily="18" charset="0"/>
                      </a:rPr>
                      <a:t> b</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06-4C44-A26D-A93AC3DB6D7C}"/>
                </c:ext>
              </c:extLst>
            </c:dLbl>
            <c:dLbl>
              <c:idx val="2"/>
              <c:layout>
                <c:manualLayout>
                  <c:x val="-1.0185067526415994E-16"/>
                  <c:y val="-5.5555555555555552E-2"/>
                </c:manualLayout>
              </c:layout>
              <c:tx>
                <c:rich>
                  <a:bodyPr/>
                  <a:lstStyle/>
                  <a:p>
                    <a:r>
                      <a:rPr lang="en-US" sz="1200">
                        <a:latin typeface="Times New Roman" panose="02020603050405020304" pitchFamily="18" charset="0"/>
                        <a:cs typeface="Times New Roman" panose="02020603050405020304" pitchFamily="18" charset="0"/>
                      </a:rPr>
                      <a:t>79.40</a:t>
                    </a:r>
                    <a:r>
                      <a:rPr lang="en-US" sz="1200" baseline="0">
                        <a:latin typeface="Times New Roman" panose="02020603050405020304" pitchFamily="18" charset="0"/>
                        <a:cs typeface="Times New Roman" panose="02020603050405020304" pitchFamily="18" charset="0"/>
                      </a:rPr>
                      <a:t> b</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06-4C44-A26D-A93AC3DB6D7C}"/>
                </c:ext>
              </c:extLst>
            </c:dLbl>
            <c:dLbl>
              <c:idx val="3"/>
              <c:layout>
                <c:manualLayout>
                  <c:x val="-1.0185067526415994E-16"/>
                  <c:y val="-5.5555555555555601E-2"/>
                </c:manualLayout>
              </c:layout>
              <c:tx>
                <c:rich>
                  <a:bodyPr/>
                  <a:lstStyle/>
                  <a:p>
                    <a:r>
                      <a:rPr lang="en-US" sz="1200">
                        <a:latin typeface="Times New Roman" panose="02020603050405020304" pitchFamily="18" charset="0"/>
                        <a:cs typeface="Times New Roman" panose="02020603050405020304" pitchFamily="18" charset="0"/>
                      </a:rPr>
                      <a:t>71.37</a:t>
                    </a:r>
                    <a:r>
                      <a:rPr lang="en-US" sz="1200" baseline="0">
                        <a:latin typeface="Times New Roman" panose="02020603050405020304" pitchFamily="18" charset="0"/>
                        <a:cs typeface="Times New Roman" panose="02020603050405020304" pitchFamily="18" charset="0"/>
                      </a:rPr>
                      <a:t> c</a:t>
                    </a:r>
                    <a:endParaRPr lang="en-US" sz="120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06-4C44-A26D-A93AC3DB6D7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('Final Height '!$J$6,'Final Height '!$M$6,'Final Height '!$P$6,'Final Height '!$S$6)</c:f>
                <c:numCache>
                  <c:formatCode>General</c:formatCode>
                  <c:ptCount val="4"/>
                  <c:pt idx="0">
                    <c:v>11.696390706348501</c:v>
                  </c:pt>
                  <c:pt idx="1">
                    <c:v>16.378150907855609</c:v>
                  </c:pt>
                  <c:pt idx="2">
                    <c:v>14.665739659256364</c:v>
                  </c:pt>
                  <c:pt idx="3">
                    <c:v>11.768100059582451</c:v>
                  </c:pt>
                </c:numCache>
                <c:extLst/>
              </c:numRef>
            </c:plus>
            <c:minus>
              <c:numRef>
                <c:f>('Final Height '!$J$6,'Final Height '!$M$6,'Final Height '!$P$6,'Final Height '!$S$6)</c:f>
                <c:numCache>
                  <c:formatCode>General</c:formatCode>
                  <c:ptCount val="4"/>
                  <c:pt idx="0">
                    <c:v>11.696390706348501</c:v>
                  </c:pt>
                  <c:pt idx="1">
                    <c:v>16.378150907855609</c:v>
                  </c:pt>
                  <c:pt idx="2">
                    <c:v>14.665739659256364</c:v>
                  </c:pt>
                  <c:pt idx="3">
                    <c:v>11.768100059582451</c:v>
                  </c:pt>
                </c:numCache>
                <c:extLst/>
              </c:numRef>
            </c:minus>
            <c:spPr>
              <a:noFill/>
              <a:ln w="12700" cap="flat" cmpd="sng" algn="ctr">
                <a:solidFill>
                  <a:schemeClr val="tx1"/>
                </a:solidFill>
                <a:round/>
              </a:ln>
              <a:effectLst/>
            </c:spPr>
          </c:errBars>
          <c:cat>
            <c:strRef>
              <c:f>('Final Height '!$J$3,'Final Height '!$M$3,'Final Height '!$P$3,'Final Height '!$S$3)</c:f>
              <c:strCache>
                <c:ptCount val="4"/>
                <c:pt idx="0">
                  <c:v>Control (No Submersion)</c:v>
                </c:pt>
                <c:pt idx="1">
                  <c:v>24  Hours</c:v>
                </c:pt>
                <c:pt idx="2">
                  <c:v>48 Hours </c:v>
                </c:pt>
                <c:pt idx="3">
                  <c:v>72 Hours</c:v>
                </c:pt>
              </c:strCache>
              <c:extLst/>
            </c:strRef>
          </c:cat>
          <c:val>
            <c:numRef>
              <c:f>('Final Height '!$J$4,'Final Height '!$M$4,'Final Height '!$P$4,'Final Height '!$S$4)</c:f>
              <c:numCache>
                <c:formatCode>0.00</c:formatCode>
                <c:ptCount val="4"/>
                <c:pt idx="0">
                  <c:v>114.16666666666667</c:v>
                </c:pt>
                <c:pt idx="1">
                  <c:v>82.574074074074076</c:v>
                </c:pt>
                <c:pt idx="2">
                  <c:v>79.400000000000006</c:v>
                </c:pt>
                <c:pt idx="3">
                  <c:v>71.37</c:v>
                </c:pt>
              </c:numCache>
              <c:extLst/>
            </c:numRef>
          </c:val>
          <c:extLst>
            <c:ext xmlns:c16="http://schemas.microsoft.com/office/drawing/2014/chart" uri="{C3380CC4-5D6E-409C-BE32-E72D297353CC}">
              <c16:uniqueId val="{00000004-A506-4C44-A26D-A93AC3DB6D7C}"/>
            </c:ext>
          </c:extLst>
        </c:ser>
        <c:dLbls>
          <c:dLblPos val="outEnd"/>
          <c:showLegendKey val="0"/>
          <c:showVal val="1"/>
          <c:showCatName val="0"/>
          <c:showSerName val="0"/>
          <c:showPercent val="0"/>
          <c:showBubbleSize val="0"/>
        </c:dLbls>
        <c:gapWidth val="219"/>
        <c:overlap val="-27"/>
        <c:axId val="1035054016"/>
        <c:axId val="103505235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('Final Height '!$J$3,'Final Height '!$M$3,'Final Height '!$P$3,'Final Height '!$S$3)</c15:sqref>
                        </c15:formulaRef>
                      </c:ext>
                    </c:extLst>
                    <c:strCache>
                      <c:ptCount val="4"/>
                      <c:pt idx="0">
                        <c:v>Control (No Submersion)</c:v>
                      </c:pt>
                      <c:pt idx="1">
                        <c:v>24  Hours</c:v>
                      </c:pt>
                      <c:pt idx="2">
                        <c:v>48 Hours </c:v>
                      </c:pt>
                      <c:pt idx="3">
                        <c:v>72 Hours</c:v>
                      </c:pt>
                    </c:strCache>
                  </c:strRef>
                </c:cat>
                <c:val>
                  <c:numRef>
                    <c:extLst>
                      <c:ext uri="{02D57815-91ED-43cb-92C2-25804820EDAC}">
                        <c15:formulaRef>
                          <c15:sqref>('Final Height '!$J$3,'Final Height '!$M$3,'Final Height '!$P$3,'Final Height '!$S$3)</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A506-4C44-A26D-A93AC3DB6D7C}"/>
                  </c:ext>
                </c:extLst>
              </c15:ser>
            </c15:filteredBarSeries>
          </c:ext>
        </c:extLst>
      </c:barChart>
      <c:catAx>
        <c:axId val="1035054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PH">
                    <a:solidFill>
                      <a:sysClr val="windowText" lastClr="000000"/>
                    </a:solidFill>
                  </a:rPr>
                  <a:t>Submersion Period*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5052352"/>
        <c:crosses val="autoZero"/>
        <c:auto val="1"/>
        <c:lblAlgn val="ctr"/>
        <c:lblOffset val="100"/>
        <c:noMultiLvlLbl val="0"/>
      </c:catAx>
      <c:valAx>
        <c:axId val="10350523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PH">
                    <a:solidFill>
                      <a:sysClr val="windowText" lastClr="000000"/>
                    </a:solidFill>
                  </a:rPr>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35054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STHupo" panose="02010800040101010101" pitchFamily="2" charset="-122"/>
                <a:cs typeface="Arial" panose="020B0604020202020204" pitchFamily="34" charset="0"/>
              </a:defRPr>
            </a:pPr>
            <a:r>
              <a:rPr lang="en-PH" sz="1000">
                <a:solidFill>
                  <a:sysClr val="windowText" lastClr="000000"/>
                </a:solidFill>
                <a:latin typeface="Arial" panose="020B0604020202020204" pitchFamily="34" charset="0"/>
                <a:ea typeface="STHupo" panose="02010800040101010101" pitchFamily="2" charset="-122"/>
                <a:cs typeface="Arial" panose="020B0604020202020204" pitchFamily="34" charset="0"/>
              </a:rPr>
              <a:t>Final Number of Leaves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STHupo" panose="02010800040101010101" pitchFamily="2" charset="-122"/>
              <a:cs typeface="Arial" panose="020B0604020202020204" pitchFamily="34" charset="0"/>
            </a:defRPr>
          </a:pPr>
          <a:endParaRPr lang="en-US"/>
        </a:p>
      </c:txPr>
    </c:title>
    <c:autoTitleDeleted val="0"/>
    <c:plotArea>
      <c:layout>
        <c:manualLayout>
          <c:layoutTarget val="inner"/>
          <c:xMode val="edge"/>
          <c:yMode val="edge"/>
          <c:x val="0.16097911006738194"/>
          <c:y val="0.18373346398824109"/>
          <c:w val="0.83902088993261803"/>
          <c:h val="0.54571250004822403"/>
        </c:manualLayout>
      </c:layout>
      <c:barChart>
        <c:barDir val="col"/>
        <c:grouping val="clustered"/>
        <c:varyColors val="0"/>
        <c:ser>
          <c:idx val="1"/>
          <c:order val="1"/>
          <c:spPr>
            <a:solidFill>
              <a:schemeClr val="accent2"/>
            </a:solidFill>
            <a:ln w="6350">
              <a:solidFill>
                <a:schemeClr val="tx1"/>
              </a:solidFill>
            </a:ln>
            <a:effectLst/>
          </c:spPr>
          <c:invertIfNegative val="0"/>
          <c:dLbls>
            <c:dLbl>
              <c:idx val="0"/>
              <c:layout>
                <c:manualLayout>
                  <c:x val="0"/>
                  <c:y val="-8.3333333333333356E-2"/>
                </c:manualLayout>
              </c:layout>
              <c:tx>
                <c:rich>
                  <a:bodyPr/>
                  <a:lstStyle/>
                  <a:p>
                    <a:r>
                      <a:rPr lang="en-US" sz="1200">
                        <a:solidFill>
                          <a:sysClr val="windowText" lastClr="000000"/>
                        </a:solidFill>
                        <a:latin typeface="Times New Roman" panose="02020603050405020304" pitchFamily="18" charset="0"/>
                        <a:cs typeface="Times New Roman" panose="02020603050405020304" pitchFamily="18" charset="0"/>
                      </a:rPr>
                      <a:t>4.02</a:t>
                    </a:r>
                    <a:r>
                      <a:rPr lang="en-US" sz="1200" baseline="0">
                        <a:solidFill>
                          <a:sysClr val="windowText" lastClr="000000"/>
                        </a:solidFill>
                        <a:latin typeface="Times New Roman" panose="02020603050405020304" pitchFamily="18" charset="0"/>
                        <a:cs typeface="Times New Roman" panose="02020603050405020304" pitchFamily="18" charset="0"/>
                      </a:rPr>
                      <a:t> a</a:t>
                    </a:r>
                    <a:endParaRPr lang="en-US" sz="1200">
                      <a:solidFill>
                        <a:sysClr val="windowText" lastClr="000000"/>
                      </a:solidFill>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4E-485A-B73D-894E8EE3B2EE}"/>
                </c:ext>
              </c:extLst>
            </c:dLbl>
            <c:dLbl>
              <c:idx val="1"/>
              <c:layout>
                <c:manualLayout>
                  <c:x val="0"/>
                  <c:y val="-4.6296296296296294E-2"/>
                </c:manualLayout>
              </c:layout>
              <c:tx>
                <c:rich>
                  <a:bodyPr/>
                  <a:lstStyle/>
                  <a:p>
                    <a:r>
                      <a:rPr lang="en-US"/>
                      <a:t>2.59 b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4E-485A-B73D-894E8EE3B2EE}"/>
                </c:ext>
              </c:extLst>
            </c:dLbl>
            <c:dLbl>
              <c:idx val="2"/>
              <c:layout>
                <c:manualLayout>
                  <c:x val="0"/>
                  <c:y val="-4.6296296296296384E-2"/>
                </c:manualLayout>
              </c:layout>
              <c:tx>
                <c:rich>
                  <a:bodyPr/>
                  <a:lstStyle/>
                  <a:p>
                    <a:r>
                      <a:rPr lang="en-US"/>
                      <a:t>1.47 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4E-485A-B73D-894E8EE3B2EE}"/>
                </c:ext>
              </c:extLst>
            </c:dLbl>
            <c:dLbl>
              <c:idx val="3"/>
              <c:layout>
                <c:manualLayout>
                  <c:x val="-1.0185067526415994E-16"/>
                  <c:y val="-8.3333333333333329E-2"/>
                </c:manualLayout>
              </c:layout>
              <c:tx>
                <c:rich>
                  <a:bodyPr/>
                  <a:lstStyle/>
                  <a:p>
                    <a:r>
                      <a:rPr lang="en-US"/>
                      <a:t>1.74 b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4E-485A-B73D-894E8EE3B2EE}"/>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('Final Number of Leaves'!$I$5,'Final Number of Leaves'!$L$5,'Final Number of Leaves'!$O$5,'Final Number of Leaves'!$R$5)</c:f>
                <c:numCache>
                  <c:formatCode>General</c:formatCode>
                  <c:ptCount val="4"/>
                  <c:pt idx="0">
                    <c:v>0.63707471895442835</c:v>
                  </c:pt>
                  <c:pt idx="1">
                    <c:v>0.47525172017665024</c:v>
                  </c:pt>
                  <c:pt idx="2">
                    <c:v>0.38251724725095004</c:v>
                  </c:pt>
                  <c:pt idx="3">
                    <c:v>0.6195378604200289</c:v>
                  </c:pt>
                </c:numCache>
                <c:extLst/>
              </c:numRef>
            </c:plus>
            <c:minus>
              <c:numRef>
                <c:f>('Final Number of Leaves'!$I$5,'Final Number of Leaves'!$L$5,'Final Number of Leaves'!$O$5,'Final Number of Leaves'!$R$5)</c:f>
                <c:numCache>
                  <c:formatCode>General</c:formatCode>
                  <c:ptCount val="4"/>
                  <c:pt idx="0">
                    <c:v>0.63707471895442835</c:v>
                  </c:pt>
                  <c:pt idx="1">
                    <c:v>0.47525172017665024</c:v>
                  </c:pt>
                  <c:pt idx="2">
                    <c:v>0.38251724725095004</c:v>
                  </c:pt>
                  <c:pt idx="3">
                    <c:v>0.6195378604200289</c:v>
                  </c:pt>
                </c:numCache>
                <c:extLst/>
              </c:numRef>
            </c:minus>
            <c:spPr>
              <a:noFill/>
              <a:ln w="12700" cap="flat" cmpd="sng" algn="ctr">
                <a:solidFill>
                  <a:schemeClr val="tx1"/>
                </a:solidFill>
                <a:round/>
              </a:ln>
              <a:effectLst/>
            </c:spPr>
          </c:errBars>
          <c:cat>
            <c:strRef>
              <c:f>('Final Number of Leaves'!$I$2,'Final Number of Leaves'!$L$2,'Final Number of Leaves'!$O$2,'Final Number of Leaves'!$R$2)</c:f>
              <c:strCache>
                <c:ptCount val="4"/>
                <c:pt idx="0">
                  <c:v>Control (No Submersion)</c:v>
                </c:pt>
                <c:pt idx="1">
                  <c:v>24  Hours</c:v>
                </c:pt>
                <c:pt idx="2">
                  <c:v>48 Hours </c:v>
                </c:pt>
                <c:pt idx="3">
                  <c:v>72 Hours</c:v>
                </c:pt>
              </c:strCache>
              <c:extLst/>
            </c:strRef>
          </c:cat>
          <c:val>
            <c:numRef>
              <c:f>('Final Number of Leaves'!$I$3,'Final Number of Leaves'!$L$3,'Final Number of Leaves'!$O$3,'Final Number of Leaves'!$R$3)</c:f>
              <c:numCache>
                <c:formatCode>0.00</c:formatCode>
                <c:ptCount val="4"/>
                <c:pt idx="0">
                  <c:v>4.0185185185185182</c:v>
                </c:pt>
                <c:pt idx="1">
                  <c:v>2.585185185185185</c:v>
                </c:pt>
                <c:pt idx="2">
                  <c:v>1.4666666666666666</c:v>
                </c:pt>
                <c:pt idx="3">
                  <c:v>1.7407407407407409</c:v>
                </c:pt>
              </c:numCache>
              <c:extLst/>
            </c:numRef>
          </c:val>
          <c:extLst>
            <c:ext xmlns:c16="http://schemas.microsoft.com/office/drawing/2014/chart" uri="{C3380CC4-5D6E-409C-BE32-E72D297353CC}">
              <c16:uniqueId val="{00000004-F54E-485A-B73D-894E8EE3B2EE}"/>
            </c:ext>
          </c:extLst>
        </c:ser>
        <c:dLbls>
          <c:dLblPos val="outEnd"/>
          <c:showLegendKey val="0"/>
          <c:showVal val="1"/>
          <c:showCatName val="0"/>
          <c:showSerName val="0"/>
          <c:showPercent val="0"/>
          <c:showBubbleSize val="0"/>
        </c:dLbls>
        <c:gapWidth val="219"/>
        <c:overlap val="-27"/>
        <c:axId val="1198152272"/>
        <c:axId val="119815518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('Final Number of Leaves'!$I$2,'Final Number of Leaves'!$L$2,'Final Number of Leaves'!$O$2,'Final Number of Leaves'!$R$2)</c15:sqref>
                        </c15:formulaRef>
                      </c:ext>
                    </c:extLst>
                    <c:strCache>
                      <c:ptCount val="4"/>
                      <c:pt idx="0">
                        <c:v>Control (No Submersion)</c:v>
                      </c:pt>
                      <c:pt idx="1">
                        <c:v>24  Hours</c:v>
                      </c:pt>
                      <c:pt idx="2">
                        <c:v>48 Hours </c:v>
                      </c:pt>
                      <c:pt idx="3">
                        <c:v>72 Hours</c:v>
                      </c:pt>
                    </c:strCache>
                  </c:strRef>
                </c:cat>
                <c:val>
                  <c:numRef>
                    <c:extLst>
                      <c:ext uri="{02D57815-91ED-43cb-92C2-25804820EDAC}">
                        <c15:formulaRef>
                          <c15:sqref>('Final Number of Leaves'!$I$2,'Final Number of Leaves'!$L$2,'Final Number of Leaves'!$O$2,'Final Number of Leaves'!$R$2)</c15:sqref>
                        </c15:formulaRef>
                      </c:ext>
                    </c:extLst>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F54E-485A-B73D-894E8EE3B2EE}"/>
                  </c:ext>
                </c:extLst>
              </c15:ser>
            </c15:filteredBarSeries>
          </c:ext>
        </c:extLst>
      </c:barChart>
      <c:catAx>
        <c:axId val="1198152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r>
                  <a:rPr lang="en-PH" sz="1000">
                    <a:solidFill>
                      <a:sysClr val="windowText" lastClr="000000"/>
                    </a:solidFill>
                    <a:latin typeface="Arial "/>
                    <a:cs typeface="Times New Roman" panose="02020603050405020304" pitchFamily="18" charset="0"/>
                  </a:rPr>
                  <a:t>Submersion Period*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98155184"/>
        <c:crosses val="autoZero"/>
        <c:auto val="1"/>
        <c:lblAlgn val="ctr"/>
        <c:lblOffset val="100"/>
        <c:noMultiLvlLbl val="0"/>
      </c:catAx>
      <c:valAx>
        <c:axId val="11981551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r>
                  <a:rPr lang="en-PH" sz="1000">
                    <a:solidFill>
                      <a:sysClr val="windowText" lastClr="000000"/>
                    </a:solidFill>
                    <a:latin typeface="Arial "/>
                    <a:cs typeface="Times New Roman" panose="02020603050405020304" pitchFamily="18" charset="0"/>
                  </a:rPr>
                  <a:t>Mean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
                  <a:ea typeface="+mn-ea"/>
                  <a:cs typeface="Times New Roman" panose="02020603050405020304" pitchFamily="18" charset="0"/>
                </a:defRPr>
              </a:pPr>
              <a:endParaRPr lang="en-US"/>
            </a:p>
          </c:txPr>
        </c:title>
        <c:numFmt formatCode="0.0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8152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5244-22CF-4259-8A73-A4B62CD49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155</TotalTime>
  <Pages>10</Pages>
  <Words>4997</Words>
  <Characters>28483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33414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52</cp:revision>
  <cp:lastPrinted>1999-07-06T11:00:00Z</cp:lastPrinted>
  <dcterms:created xsi:type="dcterms:W3CDTF">2014-10-25T14:34:00Z</dcterms:created>
  <dcterms:modified xsi:type="dcterms:W3CDTF">2025-09-11T11:52:00Z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1686009b-70c7-4a34-840d-2b47513ceca8</vt:lpwstr>
  </property>
</Properties>
</file>