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CB890" w14:textId="18D79DBF" w:rsidR="00E51395" w:rsidRPr="00E51395" w:rsidRDefault="00E51395" w:rsidP="00E51395">
      <w:pPr>
        <w:pStyle w:val="Author"/>
        <w:spacing w:line="240" w:lineRule="auto"/>
        <w:jc w:val="left"/>
        <w:rPr>
          <w:rFonts w:ascii="Arial" w:hAnsi="Arial" w:cs="Arial"/>
          <w:bCs/>
          <w:iCs/>
          <w:kern w:val="28"/>
          <w:szCs w:val="14"/>
          <w:u w:val="single"/>
        </w:rPr>
      </w:pPr>
      <w:r w:rsidRPr="00E51395">
        <w:rPr>
          <w:rFonts w:ascii="Arial" w:hAnsi="Arial" w:cs="Arial"/>
          <w:bCs/>
          <w:iCs/>
          <w:kern w:val="28"/>
          <w:szCs w:val="14"/>
          <w:u w:val="single"/>
        </w:rPr>
        <w:t>Original Research Article</w:t>
      </w:r>
    </w:p>
    <w:p w14:paraId="24B4E9BB" w14:textId="2F7C343C" w:rsidR="00D3624F" w:rsidRDefault="00D3624F" w:rsidP="00871455">
      <w:pPr>
        <w:pStyle w:val="Author"/>
        <w:spacing w:line="240" w:lineRule="auto"/>
        <w:jc w:val="center"/>
        <w:rPr>
          <w:rFonts w:ascii="Arial" w:hAnsi="Arial" w:cs="Arial"/>
          <w:bCs/>
          <w:iCs/>
          <w:kern w:val="28"/>
          <w:sz w:val="36"/>
        </w:rPr>
      </w:pPr>
      <w:r>
        <w:rPr>
          <w:rFonts w:ascii="Arial" w:hAnsi="Arial" w:cs="Arial"/>
          <w:bCs/>
          <w:iCs/>
          <w:kern w:val="28"/>
          <w:sz w:val="36"/>
        </w:rPr>
        <w:t xml:space="preserve">Effects of spacing between stone-rows on the chemical and biological fertility of </w:t>
      </w:r>
      <w:proofErr w:type="spellStart"/>
      <w:r>
        <w:rPr>
          <w:rFonts w:ascii="Arial" w:hAnsi="Arial" w:cs="Arial"/>
          <w:bCs/>
          <w:iCs/>
          <w:kern w:val="28"/>
          <w:sz w:val="36"/>
        </w:rPr>
        <w:t>lixisoils</w:t>
      </w:r>
      <w:proofErr w:type="spellEnd"/>
      <w:r>
        <w:rPr>
          <w:rFonts w:ascii="Arial" w:hAnsi="Arial" w:cs="Arial"/>
          <w:bCs/>
          <w:iCs/>
          <w:kern w:val="28"/>
          <w:sz w:val="36"/>
        </w:rPr>
        <w:t xml:space="preserve"> in eastern Burkina Faso</w:t>
      </w:r>
    </w:p>
    <w:p w14:paraId="27AC4B31" w14:textId="77777777" w:rsidR="00D3624F" w:rsidRPr="00790ADA" w:rsidRDefault="00D3624F" w:rsidP="00441B6F">
      <w:pPr>
        <w:pStyle w:val="Author"/>
        <w:spacing w:line="240" w:lineRule="auto"/>
        <w:jc w:val="both"/>
        <w:rPr>
          <w:rFonts w:ascii="Arial" w:hAnsi="Arial" w:cs="Arial"/>
          <w:sz w:val="36"/>
        </w:rPr>
      </w:pPr>
    </w:p>
    <w:p w14:paraId="3C39C74A" w14:textId="5B6D2A32" w:rsidR="00B01FCD" w:rsidRPr="00FB3A86" w:rsidRDefault="00B36605" w:rsidP="00441B6F">
      <w:pPr>
        <w:pStyle w:val="Copyright"/>
        <w:spacing w:after="0" w:line="240" w:lineRule="auto"/>
        <w:jc w:val="both"/>
        <w:rPr>
          <w:rFonts w:ascii="Arial" w:hAnsi="Arial" w:cs="Arial"/>
        </w:rPr>
        <w:sectPr w:rsidR="00B01FCD" w:rsidRPr="00FB3A86" w:rsidSect="00BE09A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E842385" wp14:editId="6E538572">
                <wp:extent cx="5303520" cy="635"/>
                <wp:effectExtent l="0" t="12700" r="508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9BE0B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69C32563" w14:textId="14CF0656" w:rsidR="00790ADA" w:rsidRPr="00FB3A86" w:rsidRDefault="00B01BC3" w:rsidP="00441B6F">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A6E379E" w14:textId="77777777" w:rsidTr="001E44FE">
        <w:tc>
          <w:tcPr>
            <w:tcW w:w="9576" w:type="dxa"/>
            <w:shd w:val="clear" w:color="auto" w:fill="F2F2F2"/>
          </w:tcPr>
          <w:p w14:paraId="386449C1" w14:textId="5F1E5C8F" w:rsidR="00505F06" w:rsidRPr="00BA1B01" w:rsidRDefault="00FA655D" w:rsidP="00441B6F">
            <w:pPr>
              <w:pStyle w:val="Body"/>
              <w:spacing w:after="0"/>
              <w:rPr>
                <w:rFonts w:ascii="Arial" w:eastAsia="Calibri" w:hAnsi="Arial" w:cs="Arial"/>
                <w:szCs w:val="22"/>
              </w:rPr>
            </w:pPr>
            <w:r w:rsidRPr="00FA655D">
              <w:rPr>
                <w:rFonts w:ascii="Arial" w:eastAsia="Calibri" w:hAnsi="Arial" w:cs="Arial"/>
                <w:bCs/>
                <w:szCs w:val="22"/>
              </w:rPr>
              <w:t xml:space="preserve">The effect of stone-rows spacing on soil fertility parameters in a farm and the likely occurrence of a fertility gradient were assessed. The study was conducted in a rural setting in the Sampieri agricultural area in eastern Burkina Faso in a </w:t>
            </w:r>
            <w:proofErr w:type="spellStart"/>
            <w:r w:rsidRPr="00FA655D">
              <w:rPr>
                <w:rFonts w:ascii="Arial" w:eastAsia="Calibri" w:hAnsi="Arial" w:cs="Arial"/>
                <w:bCs/>
                <w:szCs w:val="22"/>
              </w:rPr>
              <w:t>Sudano</w:t>
            </w:r>
            <w:proofErr w:type="spellEnd"/>
            <w:r w:rsidRPr="00FA655D">
              <w:rPr>
                <w:rFonts w:ascii="Arial" w:eastAsia="Calibri" w:hAnsi="Arial" w:cs="Arial"/>
                <w:bCs/>
                <w:szCs w:val="22"/>
              </w:rPr>
              <w:t xml:space="preserve">-Sahelian environment on </w:t>
            </w:r>
            <w:proofErr w:type="spellStart"/>
            <w:r w:rsidRPr="00FA655D">
              <w:rPr>
                <w:rFonts w:ascii="Arial" w:eastAsia="Calibri" w:hAnsi="Arial" w:cs="Arial"/>
                <w:bCs/>
                <w:szCs w:val="22"/>
              </w:rPr>
              <w:t>lixisols</w:t>
            </w:r>
            <w:proofErr w:type="spellEnd"/>
            <w:r w:rsidRPr="00FA655D">
              <w:rPr>
                <w:rFonts w:ascii="Arial" w:eastAsia="Calibri" w:hAnsi="Arial" w:cs="Arial"/>
                <w:bCs/>
                <w:szCs w:val="22"/>
              </w:rPr>
              <w:t xml:space="preserve"> with a medium slope of up to 5%. The experimental design included three plots where stone bunds were installed. In the first plot, the spacing between the bunds was 15.5 m (P1), 18.5 m (P2) in the second and 22 m (P3) in the third. Samples were taken at intervals ranging from 0 to 15 m beyond the overall assessment in these plots. The 0-10 and 10-20 cm horizons were sampled. Soil organic carbon, total nitrogen, pH and soil microbiological activity were assessed. The study showed that C, N, P and pH levels improved better on plots P2 and P1 than on plot P3. However, although differences were noted for microbiology, they were not statistically significant. There was a correlation between the area of plots with stone bunds and most soil fertility parameters. However, no soil fertility gradient appeared as a function of slope when moving away from the first line of stone-rows</w:t>
            </w:r>
            <w:r w:rsidR="00AB3D59">
              <w:rPr>
                <w:rFonts w:ascii="Arial" w:eastAsia="Calibri" w:hAnsi="Arial" w:cs="Arial"/>
                <w:bCs/>
                <w:szCs w:val="22"/>
              </w:rPr>
              <w:t>.</w:t>
            </w:r>
            <w:r w:rsidR="00D235EF">
              <w:rPr>
                <w:rFonts w:ascii="Arial" w:eastAsia="Calibri" w:hAnsi="Arial" w:cs="Arial"/>
                <w:bCs/>
                <w:szCs w:val="22"/>
              </w:rPr>
              <w:t xml:space="preserve"> </w:t>
            </w:r>
            <w:r w:rsidR="00D235EF" w:rsidRPr="00D235EF">
              <w:rPr>
                <w:rFonts w:ascii="Arial" w:eastAsia="Calibri" w:hAnsi="Arial" w:cs="Arial"/>
                <w:bCs/>
                <w:szCs w:val="22"/>
              </w:rPr>
              <w:t>It can be concluded that the optimal spacing between stone ridges is 18.5 and that it is difficult to deduce a fertility gradient within this interval. But this study deserves to be repeated for validation and confirmation.</w:t>
            </w:r>
          </w:p>
        </w:tc>
      </w:tr>
    </w:tbl>
    <w:p w14:paraId="70D8D2A9" w14:textId="4EBE2CDE" w:rsidR="00A24E7E" w:rsidRDefault="00A24E7E" w:rsidP="00441B6F">
      <w:pPr>
        <w:pStyle w:val="Body"/>
        <w:spacing w:after="0"/>
        <w:rPr>
          <w:rFonts w:ascii="Arial" w:hAnsi="Arial" w:cs="Arial"/>
          <w:i/>
        </w:rPr>
      </w:pPr>
      <w:r>
        <w:rPr>
          <w:rFonts w:ascii="Arial" w:hAnsi="Arial" w:cs="Arial"/>
          <w:i/>
        </w:rPr>
        <w:t xml:space="preserve">Keywords: </w:t>
      </w:r>
      <w:r w:rsidR="00D235EF" w:rsidRPr="00D235EF">
        <w:rPr>
          <w:rFonts w:ascii="Arial" w:hAnsi="Arial" w:cs="Arial"/>
          <w:i/>
        </w:rPr>
        <w:t xml:space="preserve">Agroecological, Stone-rows, soil parameters, </w:t>
      </w:r>
      <w:proofErr w:type="spellStart"/>
      <w:r w:rsidR="00D235EF" w:rsidRPr="00D235EF">
        <w:rPr>
          <w:rFonts w:ascii="Arial" w:hAnsi="Arial" w:cs="Arial"/>
          <w:i/>
        </w:rPr>
        <w:t>Lixisols</w:t>
      </w:r>
      <w:proofErr w:type="spellEnd"/>
      <w:r w:rsidR="00D235EF" w:rsidRPr="00D235EF">
        <w:rPr>
          <w:rFonts w:ascii="Arial" w:hAnsi="Arial" w:cs="Arial"/>
          <w:i/>
        </w:rPr>
        <w:t>, Burkina Faso</w:t>
      </w:r>
    </w:p>
    <w:p w14:paraId="356E1E18" w14:textId="77777777" w:rsidR="00505F06" w:rsidRPr="00A24E7E" w:rsidRDefault="00505F06" w:rsidP="00441B6F">
      <w:pPr>
        <w:pStyle w:val="Body"/>
        <w:spacing w:after="0"/>
        <w:rPr>
          <w:rFonts w:ascii="Arial" w:hAnsi="Arial" w:cs="Arial"/>
          <w:i/>
        </w:rPr>
      </w:pPr>
    </w:p>
    <w:p w14:paraId="5C11EA4C" w14:textId="0232C453" w:rsidR="001530EE" w:rsidRDefault="00902823" w:rsidP="00BC1C9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40BB864" w14:textId="77777777" w:rsidR="001530EE" w:rsidRPr="001530EE" w:rsidRDefault="001530EE" w:rsidP="001530EE">
      <w:pPr>
        <w:pStyle w:val="Body"/>
        <w:rPr>
          <w:rFonts w:ascii="Arial" w:hAnsi="Arial" w:cs="Arial"/>
        </w:rPr>
      </w:pPr>
      <w:r w:rsidRPr="001530EE">
        <w:rPr>
          <w:rFonts w:ascii="Arial" w:hAnsi="Arial" w:cs="Arial"/>
        </w:rPr>
        <w:t xml:space="preserve">In the Sudano-Sahelian zone, recurrent droughts since the 1970s, demographic pressure, as well as extensive </w:t>
      </w:r>
      <w:proofErr w:type="spellStart"/>
      <w:r w:rsidRPr="001530EE">
        <w:rPr>
          <w:rFonts w:ascii="Arial" w:hAnsi="Arial" w:cs="Arial"/>
        </w:rPr>
        <w:t>agro</w:t>
      </w:r>
      <w:proofErr w:type="spellEnd"/>
      <w:r w:rsidRPr="001530EE">
        <w:rPr>
          <w:rFonts w:ascii="Arial" w:hAnsi="Arial" w:cs="Arial"/>
        </w:rPr>
        <w:t xml:space="preserve">-pastoral production systems, have had the immediate consequence of increasing the vulnerability of </w:t>
      </w:r>
      <w:proofErr w:type="spellStart"/>
      <w:r w:rsidRPr="001530EE">
        <w:rPr>
          <w:rFonts w:ascii="Arial" w:hAnsi="Arial" w:cs="Arial"/>
        </w:rPr>
        <w:t>agro</w:t>
      </w:r>
      <w:proofErr w:type="spellEnd"/>
      <w:r w:rsidRPr="001530EE">
        <w:rPr>
          <w:rFonts w:ascii="Arial" w:hAnsi="Arial" w:cs="Arial"/>
        </w:rPr>
        <w:t>-ecosystems. Indeed, the green revolution, symbol of agricultural intensification (or industrialized agriculture) based on tillage, massive use of mineral and synthetic inputs of industrial origin (fertilizers, pesticides and energy) and a small number of cultivated species (</w:t>
      </w:r>
      <w:proofErr w:type="spellStart"/>
      <w:r w:rsidRPr="001530EE">
        <w:rPr>
          <w:rFonts w:ascii="Arial" w:hAnsi="Arial" w:cs="Arial"/>
        </w:rPr>
        <w:t>Sainju</w:t>
      </w:r>
      <w:proofErr w:type="spellEnd"/>
      <w:r w:rsidRPr="001530EE">
        <w:rPr>
          <w:rFonts w:ascii="Arial" w:hAnsi="Arial" w:cs="Arial"/>
        </w:rPr>
        <w:t xml:space="preserve"> et al., 2003; </w:t>
      </w:r>
      <w:proofErr w:type="spellStart"/>
      <w:r w:rsidRPr="001530EE">
        <w:rPr>
          <w:rFonts w:ascii="Arial" w:hAnsi="Arial" w:cs="Arial"/>
        </w:rPr>
        <w:t>Goïta</w:t>
      </w:r>
      <w:proofErr w:type="spellEnd"/>
      <w:r w:rsidRPr="001530EE">
        <w:rPr>
          <w:rFonts w:ascii="Arial" w:hAnsi="Arial" w:cs="Arial"/>
        </w:rPr>
        <w:t>, 2014) has had as a corollary the increase in cereal crop yields (</w:t>
      </w:r>
      <w:proofErr w:type="spellStart"/>
      <w:r w:rsidRPr="001530EE">
        <w:rPr>
          <w:rFonts w:ascii="Arial" w:hAnsi="Arial" w:cs="Arial"/>
        </w:rPr>
        <w:t>Sainju</w:t>
      </w:r>
      <w:proofErr w:type="spellEnd"/>
      <w:r w:rsidRPr="001530EE">
        <w:rPr>
          <w:rFonts w:ascii="Arial" w:hAnsi="Arial" w:cs="Arial"/>
        </w:rPr>
        <w:t xml:space="preserve"> et al., 2003; Gomiero et al., 2011). Globally, the consequences of this modernization have included a tenfold increase in cereal production yields and cultivated areas per farmer, a sharp increase in livestock production, and a more than hundredfold increase in gross agricultural labor productivity (</w:t>
      </w:r>
      <w:proofErr w:type="spellStart"/>
      <w:r w:rsidRPr="001530EE">
        <w:rPr>
          <w:rFonts w:ascii="Arial" w:hAnsi="Arial" w:cs="Arial"/>
        </w:rPr>
        <w:t>Mazoyer</w:t>
      </w:r>
      <w:proofErr w:type="spellEnd"/>
      <w:r w:rsidRPr="001530EE">
        <w:rPr>
          <w:rFonts w:ascii="Arial" w:hAnsi="Arial" w:cs="Arial"/>
        </w:rPr>
        <w:t xml:space="preserve"> et al., 2002). In Africa, this has resulted in an increase in yields estimated at around 14%, but with a parallel doubling of cultivated areas (Soule and </w:t>
      </w:r>
      <w:proofErr w:type="spellStart"/>
      <w:r w:rsidRPr="001530EE">
        <w:rPr>
          <w:rFonts w:ascii="Arial" w:hAnsi="Arial" w:cs="Arial"/>
        </w:rPr>
        <w:t>Gansari</w:t>
      </w:r>
      <w:proofErr w:type="spellEnd"/>
      <w:r w:rsidRPr="001530EE">
        <w:rPr>
          <w:rFonts w:ascii="Arial" w:hAnsi="Arial" w:cs="Arial"/>
        </w:rPr>
        <w:t xml:space="preserve">, 2010). However, this type of agriculture results in a reduction in biodiversity, the degradation of arable land, the alteration of water quality and quantity, and a negative contribution to climate change (Gomiero et al. 2011). The most characteristic consequence is, in practice, a continuous decline in land productivity, which reflects a complex process of deterioration of the chemical, physical, and biological properties of the soil (Hien, 2004). These dysfunctions are also exacerbated by the impact of global climate change (Jauffret, 2009), whose predictive models agree on a likely increase in the instability of climatic conditions across the world, with catastrophic droughts or floods. In addition to the impact of climate change and human activity on continental </w:t>
      </w:r>
      <w:proofErr w:type="spellStart"/>
      <w:r w:rsidRPr="001530EE">
        <w:rPr>
          <w:rFonts w:ascii="Arial" w:hAnsi="Arial" w:cs="Arial"/>
        </w:rPr>
        <w:t>biogeosystems</w:t>
      </w:r>
      <w:proofErr w:type="spellEnd"/>
      <w:r w:rsidRPr="001530EE">
        <w:rPr>
          <w:rFonts w:ascii="Arial" w:hAnsi="Arial" w:cs="Arial"/>
        </w:rPr>
        <w:t xml:space="preserve">, it is important to consider the unique characteristics of tropical environments. These environments are often </w:t>
      </w:r>
      <w:proofErr w:type="spellStart"/>
      <w:r w:rsidRPr="001530EE">
        <w:rPr>
          <w:rFonts w:ascii="Arial" w:hAnsi="Arial" w:cs="Arial"/>
        </w:rPr>
        <w:t>characterised</w:t>
      </w:r>
      <w:proofErr w:type="spellEnd"/>
      <w:r w:rsidRPr="001530EE">
        <w:rPr>
          <w:rFonts w:ascii="Arial" w:hAnsi="Arial" w:cs="Arial"/>
        </w:rPr>
        <w:t xml:space="preserve"> by fragile soils and intense climates, which can further compound the effects of these disturbances. As a landlocked and ecologically fragile country, </w:t>
      </w:r>
      <w:r w:rsidRPr="001530EE">
        <w:rPr>
          <w:rFonts w:ascii="Arial" w:hAnsi="Arial" w:cs="Arial"/>
        </w:rPr>
        <w:lastRenderedPageBreak/>
        <w:t>Burkina Faso is unfortunately not immune to this general trend in the agricultural world of the Sahel. It is even more exposed because its economy is structured primarily around its "land and/or natural resources" capital. Unfortunately, under the combined effects of climate and anthropogenic activity, this "land and/or natural resources" capital is undergoing a worrying degradation, jeopardizing the country's socioeconomic development. Indeed, some studies (</w:t>
      </w:r>
      <w:proofErr w:type="spellStart"/>
      <w:r w:rsidRPr="001530EE">
        <w:rPr>
          <w:rFonts w:ascii="Arial" w:hAnsi="Arial" w:cs="Arial"/>
        </w:rPr>
        <w:t>Gomgnimbou</w:t>
      </w:r>
      <w:proofErr w:type="spellEnd"/>
      <w:r w:rsidRPr="001530EE">
        <w:rPr>
          <w:rFonts w:ascii="Arial" w:hAnsi="Arial" w:cs="Arial"/>
        </w:rPr>
        <w:t xml:space="preserve"> et al., 2010; Ouédraogo et al., 2019, Sanou et al. 2025) have shown that the degradation of terrestrial ecosystems and the environment in Burkina Faso in general is linked to anthropogenic factors, particularly agricultural activities. In addition, the slopes present a morpho-pedological heterogeneity from upstream to downstream, often marked by the presence of a shell or armor which limits the useful depth of the soil (80 and 100 cm maximum). The presence of this shallow shell or armor on nearly two-thirds of the glacis imposes, among other things, constraints on water management and plant growth, as well as the susceptibility of soils to runoff, regardless of their texture. According to an assessment by INERA in 2010, about 24% of Burkina Faso's farmland is severely degraded. This poses a threat to the quality of the natural environment and the country's food security in the medium and long term.</w:t>
      </w:r>
    </w:p>
    <w:p w14:paraId="50AD900C" w14:textId="77777777" w:rsidR="001530EE" w:rsidRPr="001530EE" w:rsidRDefault="001530EE" w:rsidP="001530EE">
      <w:pPr>
        <w:pStyle w:val="Body"/>
        <w:rPr>
          <w:rFonts w:ascii="Arial" w:hAnsi="Arial" w:cs="Arial"/>
        </w:rPr>
      </w:pPr>
      <w:r w:rsidRPr="001530EE">
        <w:rPr>
          <w:rFonts w:ascii="Arial" w:hAnsi="Arial" w:cs="Arial"/>
        </w:rPr>
        <w:t>Added to this is the fact that the country's soils are characterized by their nutrient deficiency, particularly nitrogen and phosphorus (</w:t>
      </w:r>
      <w:proofErr w:type="spellStart"/>
      <w:r w:rsidRPr="001530EE">
        <w:rPr>
          <w:rFonts w:ascii="Arial" w:hAnsi="Arial" w:cs="Arial"/>
        </w:rPr>
        <w:t>Dembélé</w:t>
      </w:r>
      <w:proofErr w:type="spellEnd"/>
      <w:r w:rsidRPr="001530EE">
        <w:rPr>
          <w:rFonts w:ascii="Arial" w:hAnsi="Arial" w:cs="Arial"/>
        </w:rPr>
        <w:t xml:space="preserve"> and </w:t>
      </w:r>
      <w:proofErr w:type="spellStart"/>
      <w:r w:rsidRPr="001530EE">
        <w:rPr>
          <w:rFonts w:ascii="Arial" w:hAnsi="Arial" w:cs="Arial"/>
        </w:rPr>
        <w:t>Somé</w:t>
      </w:r>
      <w:proofErr w:type="spellEnd"/>
      <w:r w:rsidRPr="001530EE">
        <w:rPr>
          <w:rFonts w:ascii="Arial" w:hAnsi="Arial" w:cs="Arial"/>
        </w:rPr>
        <w:t>, 1991). They are also rich in silt and fine sand with poor structural stability, low clay content, and low organic matter content (less than 3% under vegetation and 0.7% under crops) (Pieri, 1989).</w:t>
      </w:r>
    </w:p>
    <w:p w14:paraId="2D7BED49" w14:textId="77777777" w:rsidR="001530EE" w:rsidRPr="001530EE" w:rsidRDefault="001530EE" w:rsidP="001530EE">
      <w:pPr>
        <w:pStyle w:val="Body"/>
        <w:rPr>
          <w:rFonts w:ascii="Arial" w:hAnsi="Arial" w:cs="Arial"/>
        </w:rPr>
      </w:pPr>
      <w:r w:rsidRPr="001530EE">
        <w:rPr>
          <w:rFonts w:ascii="Arial" w:hAnsi="Arial" w:cs="Arial"/>
        </w:rPr>
        <w:t xml:space="preserve">To address these realities, scientific agronomic work combined with traditional peasant knowledge has helped to identify and reveal innovative agroecological technical solutions. Technically based on the measured use of local resources, agroecology aims to integrate into its practice all the parameters of ecological management of cultivated areas, making it possible to reconcile productivity, sustainable management of natural resources, food security and human development while preserving the health of populations (Altieri, 2002; De </w:t>
      </w:r>
      <w:proofErr w:type="spellStart"/>
      <w:r w:rsidRPr="001530EE">
        <w:rPr>
          <w:rFonts w:ascii="Arial" w:hAnsi="Arial" w:cs="Arial"/>
        </w:rPr>
        <w:t>Schutter</w:t>
      </w:r>
      <w:proofErr w:type="spellEnd"/>
      <w:r w:rsidRPr="001530EE">
        <w:rPr>
          <w:rFonts w:ascii="Arial" w:hAnsi="Arial" w:cs="Arial"/>
        </w:rPr>
        <w:t xml:space="preserve">, 2010; </w:t>
      </w:r>
      <w:proofErr w:type="spellStart"/>
      <w:r w:rsidRPr="001530EE">
        <w:rPr>
          <w:rFonts w:ascii="Arial" w:hAnsi="Arial" w:cs="Arial"/>
        </w:rPr>
        <w:t>Dufumier</w:t>
      </w:r>
      <w:proofErr w:type="spellEnd"/>
      <w:r w:rsidRPr="001530EE">
        <w:rPr>
          <w:rFonts w:ascii="Arial" w:hAnsi="Arial" w:cs="Arial"/>
        </w:rPr>
        <w:t xml:space="preserve">, 2010; Van </w:t>
      </w:r>
      <w:proofErr w:type="spellStart"/>
      <w:r w:rsidRPr="001530EE">
        <w:rPr>
          <w:rFonts w:ascii="Arial" w:hAnsi="Arial" w:cs="Arial"/>
        </w:rPr>
        <w:t>Walsum</w:t>
      </w:r>
      <w:proofErr w:type="spellEnd"/>
      <w:r w:rsidRPr="001530EE">
        <w:rPr>
          <w:rFonts w:ascii="Arial" w:hAnsi="Arial" w:cs="Arial"/>
        </w:rPr>
        <w:t>, et al., 2014; Francis et al., 2003). These advantages are therefore the foundations for building a more resilient agriculture (USAID, 2012). Stone bunds are, in this context, a promoted technique whose effects on soils and crop yields have been evaluated in the western, northern, and eastern regions of the country (Coulibaly et al., 2018; Yaméogo et al., 2011; Sawadogo et al., 2008, Douamba et al., 2011). However, few research has been conducted into the effectiveness of the technique when the spacing between stone-rows varies.</w:t>
      </w:r>
    </w:p>
    <w:p w14:paraId="39AF5B56" w14:textId="23E9F907" w:rsidR="001530EE" w:rsidRDefault="001530EE" w:rsidP="001530EE">
      <w:pPr>
        <w:pStyle w:val="Body"/>
        <w:spacing w:after="0"/>
        <w:rPr>
          <w:rFonts w:ascii="Arial" w:hAnsi="Arial" w:cs="Arial"/>
        </w:rPr>
      </w:pPr>
      <w:r w:rsidRPr="001530EE">
        <w:rPr>
          <w:rFonts w:ascii="Arial" w:hAnsi="Arial" w:cs="Arial"/>
        </w:rPr>
        <w:t>Hence the interest of this study in this agroecological zone after several years of promoting stone</w:t>
      </w:r>
      <w:r w:rsidR="00871455">
        <w:rPr>
          <w:rFonts w:ascii="Arial" w:hAnsi="Arial" w:cs="Arial"/>
        </w:rPr>
        <w:t>-rows</w:t>
      </w:r>
      <w:r w:rsidRPr="001530EE">
        <w:rPr>
          <w:rFonts w:ascii="Arial" w:hAnsi="Arial" w:cs="Arial"/>
        </w:rPr>
        <w:t>. It consisted of evaluating the impact of spacing between stone-rows on the chemical</w:t>
      </w:r>
      <w:r w:rsidR="00871455">
        <w:rPr>
          <w:rFonts w:ascii="Arial" w:hAnsi="Arial" w:cs="Arial"/>
        </w:rPr>
        <w:t xml:space="preserve"> </w:t>
      </w:r>
      <w:r w:rsidRPr="001530EE">
        <w:rPr>
          <w:rFonts w:ascii="Arial" w:hAnsi="Arial" w:cs="Arial"/>
        </w:rPr>
        <w:t>and microbiological characteristics of soils, but also to determine the optimal spacing between the stone-rows.</w:t>
      </w:r>
    </w:p>
    <w:p w14:paraId="5A6520D0" w14:textId="77777777" w:rsidR="00790ADA" w:rsidRPr="00FB3A86" w:rsidRDefault="00790ADA" w:rsidP="00441B6F">
      <w:pPr>
        <w:pStyle w:val="Body"/>
        <w:spacing w:after="0"/>
        <w:rPr>
          <w:rFonts w:ascii="Arial" w:hAnsi="Arial" w:cs="Arial"/>
        </w:rPr>
      </w:pPr>
    </w:p>
    <w:p w14:paraId="74A8AAB8" w14:textId="56EBBA4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BC4CAC9" w14:textId="77777777" w:rsidR="00790ADA" w:rsidRPr="00FB3A86" w:rsidRDefault="00790ADA" w:rsidP="00441B6F">
      <w:pPr>
        <w:pStyle w:val="Body"/>
        <w:spacing w:after="0"/>
        <w:rPr>
          <w:rFonts w:ascii="Arial" w:hAnsi="Arial" w:cs="Arial"/>
        </w:rPr>
      </w:pPr>
    </w:p>
    <w:p w14:paraId="2A0F28DC" w14:textId="07C50310" w:rsidR="00324FD1" w:rsidRDefault="00AA74E0" w:rsidP="00441B6F">
      <w:pPr>
        <w:pStyle w:val="Body"/>
        <w:spacing w:after="0"/>
        <w:rPr>
          <w:rFonts w:ascii="Arial" w:hAnsi="Arial" w:cs="Arial"/>
          <w:b/>
          <w:sz w:val="22"/>
        </w:rPr>
      </w:pPr>
      <w:r w:rsidRPr="00C30A0F">
        <w:rPr>
          <w:rFonts w:ascii="Arial" w:hAnsi="Arial" w:cs="Arial"/>
          <w:b/>
          <w:caps/>
          <w:sz w:val="22"/>
        </w:rPr>
        <w:t xml:space="preserve">2.1 </w:t>
      </w:r>
      <w:r w:rsidR="00324FD1">
        <w:rPr>
          <w:rFonts w:ascii="Arial" w:hAnsi="Arial" w:cs="Arial"/>
          <w:b/>
          <w:sz w:val="22"/>
        </w:rPr>
        <w:t>Site description</w:t>
      </w:r>
    </w:p>
    <w:p w14:paraId="09A87FF1" w14:textId="39FF80F0" w:rsidR="00505F06" w:rsidRDefault="00505F06" w:rsidP="00441B6F">
      <w:pPr>
        <w:pStyle w:val="Body"/>
        <w:spacing w:after="0"/>
        <w:rPr>
          <w:rFonts w:ascii="Arial" w:hAnsi="Arial" w:cs="Arial"/>
        </w:rPr>
      </w:pPr>
    </w:p>
    <w:p w14:paraId="1A02438B" w14:textId="0E4C0E0E" w:rsidR="00324FD1" w:rsidRDefault="00324FD1" w:rsidP="00441B6F">
      <w:pPr>
        <w:pStyle w:val="Body"/>
        <w:spacing w:after="0"/>
        <w:rPr>
          <w:rFonts w:ascii="Arial" w:hAnsi="Arial" w:cs="Arial"/>
        </w:rPr>
      </w:pPr>
      <w:r w:rsidRPr="00324FD1">
        <w:rPr>
          <w:rFonts w:ascii="Arial" w:hAnsi="Arial" w:cs="Arial"/>
        </w:rPr>
        <w:t xml:space="preserve">The study was conducted in the eastern Burkina Faso in the village of Sampieri about 150 km east of </w:t>
      </w:r>
      <w:proofErr w:type="spellStart"/>
      <w:r w:rsidRPr="00324FD1">
        <w:rPr>
          <w:rFonts w:ascii="Arial" w:hAnsi="Arial" w:cs="Arial"/>
        </w:rPr>
        <w:t>Fada</w:t>
      </w:r>
      <w:proofErr w:type="spellEnd"/>
      <w:r w:rsidRPr="00324FD1">
        <w:rPr>
          <w:rFonts w:ascii="Arial" w:hAnsi="Arial" w:cs="Arial"/>
        </w:rPr>
        <w:t xml:space="preserve"> </w:t>
      </w:r>
      <w:proofErr w:type="spellStart"/>
      <w:r w:rsidRPr="00324FD1">
        <w:rPr>
          <w:rFonts w:ascii="Arial" w:hAnsi="Arial" w:cs="Arial"/>
        </w:rPr>
        <w:t>N'Gourma</w:t>
      </w:r>
      <w:proofErr w:type="spellEnd"/>
      <w:r w:rsidRPr="00324FD1">
        <w:rPr>
          <w:rFonts w:ascii="Arial" w:hAnsi="Arial" w:cs="Arial"/>
        </w:rPr>
        <w:t xml:space="preserve"> city and 20 km west of the commune of </w:t>
      </w:r>
      <w:proofErr w:type="spellStart"/>
      <w:r w:rsidRPr="00324FD1">
        <w:rPr>
          <w:rFonts w:ascii="Arial" w:hAnsi="Arial" w:cs="Arial"/>
        </w:rPr>
        <w:t>Kantchari</w:t>
      </w:r>
      <w:proofErr w:type="spellEnd"/>
      <w:r w:rsidRPr="00324FD1">
        <w:rPr>
          <w:rFonts w:ascii="Arial" w:hAnsi="Arial" w:cs="Arial"/>
        </w:rPr>
        <w:t xml:space="preserve"> (border Burkina-Niger). The climate in this area is Northern-</w:t>
      </w:r>
      <w:proofErr w:type="spellStart"/>
      <w:r w:rsidRPr="00324FD1">
        <w:rPr>
          <w:rFonts w:ascii="Arial" w:hAnsi="Arial" w:cs="Arial"/>
        </w:rPr>
        <w:t>Sudanian</w:t>
      </w:r>
      <w:proofErr w:type="spellEnd"/>
      <w:r w:rsidRPr="00324FD1">
        <w:rPr>
          <w:rFonts w:ascii="Arial" w:hAnsi="Arial" w:cs="Arial"/>
        </w:rPr>
        <w:t xml:space="preserve"> an mean annual precipitation and temperature are 687 mm and 29 °C respectively. </w:t>
      </w:r>
      <w:proofErr w:type="spellStart"/>
      <w:r w:rsidRPr="00324FD1">
        <w:rPr>
          <w:rFonts w:ascii="Arial" w:hAnsi="Arial" w:cs="Arial"/>
        </w:rPr>
        <w:t>Geologicaly</w:t>
      </w:r>
      <w:proofErr w:type="spellEnd"/>
      <w:r w:rsidRPr="00324FD1">
        <w:rPr>
          <w:rFonts w:ascii="Arial" w:hAnsi="Arial" w:cs="Arial"/>
        </w:rPr>
        <w:t xml:space="preserve">, </w:t>
      </w:r>
      <w:proofErr w:type="spellStart"/>
      <w:r w:rsidRPr="00324FD1">
        <w:rPr>
          <w:rFonts w:ascii="Arial" w:hAnsi="Arial" w:cs="Arial"/>
        </w:rPr>
        <w:t>Sampiéri</w:t>
      </w:r>
      <w:proofErr w:type="spellEnd"/>
      <w:r w:rsidRPr="00324FD1">
        <w:rPr>
          <w:rFonts w:ascii="Arial" w:hAnsi="Arial" w:cs="Arial"/>
        </w:rPr>
        <w:t xml:space="preserve"> is on a basement resulting from the alternation between </w:t>
      </w:r>
      <w:proofErr w:type="spellStart"/>
      <w:r w:rsidRPr="00324FD1">
        <w:rPr>
          <w:rFonts w:ascii="Arial" w:hAnsi="Arial" w:cs="Arial"/>
        </w:rPr>
        <w:t>birrimian</w:t>
      </w:r>
      <w:proofErr w:type="spellEnd"/>
      <w:r w:rsidRPr="00324FD1">
        <w:rPr>
          <w:rFonts w:ascii="Arial" w:hAnsi="Arial" w:cs="Arial"/>
        </w:rPr>
        <w:t xml:space="preserve"> furrows and granitic terrains (</w:t>
      </w:r>
      <w:proofErr w:type="spellStart"/>
      <w:r w:rsidRPr="00324FD1">
        <w:rPr>
          <w:rFonts w:ascii="Arial" w:hAnsi="Arial" w:cs="Arial"/>
        </w:rPr>
        <w:t>Sattran</w:t>
      </w:r>
      <w:proofErr w:type="spellEnd"/>
      <w:r w:rsidRPr="00324FD1">
        <w:rPr>
          <w:rFonts w:ascii="Arial" w:hAnsi="Arial" w:cs="Arial"/>
        </w:rPr>
        <w:t xml:space="preserve"> and </w:t>
      </w:r>
      <w:proofErr w:type="spellStart"/>
      <w:r w:rsidRPr="00324FD1">
        <w:rPr>
          <w:rFonts w:ascii="Arial" w:hAnsi="Arial" w:cs="Arial"/>
        </w:rPr>
        <w:t>Wenmenga</w:t>
      </w:r>
      <w:proofErr w:type="spellEnd"/>
      <w:r w:rsidRPr="00324FD1">
        <w:rPr>
          <w:rFonts w:ascii="Arial" w:hAnsi="Arial" w:cs="Arial"/>
        </w:rPr>
        <w:t xml:space="preserve">, 2002). Soil from granitic level was subsequently altered leading to the formation of plinthite or </w:t>
      </w:r>
      <w:proofErr w:type="spellStart"/>
      <w:r w:rsidRPr="00324FD1">
        <w:rPr>
          <w:rFonts w:ascii="Arial" w:hAnsi="Arial" w:cs="Arial"/>
        </w:rPr>
        <w:t>petro</w:t>
      </w:r>
      <w:proofErr w:type="spellEnd"/>
      <w:r w:rsidRPr="00324FD1">
        <w:rPr>
          <w:rFonts w:ascii="Arial" w:hAnsi="Arial" w:cs="Arial"/>
        </w:rPr>
        <w:t xml:space="preserve">-plinthite layer. The main soils inventoried in the village are </w:t>
      </w:r>
      <w:proofErr w:type="spellStart"/>
      <w:r w:rsidRPr="00324FD1">
        <w:rPr>
          <w:rFonts w:ascii="Arial" w:hAnsi="Arial" w:cs="Arial"/>
        </w:rPr>
        <w:t>lixisols</w:t>
      </w:r>
      <w:proofErr w:type="spellEnd"/>
      <w:r w:rsidRPr="00324FD1">
        <w:rPr>
          <w:rFonts w:ascii="Arial" w:hAnsi="Arial" w:cs="Arial"/>
        </w:rPr>
        <w:t xml:space="preserve"> (WRB, 2014) from little leached to leached on sandy, sandy-clayey and clayey-sandy and poorly evolved. They are mainly characterized by low levels of nitrogen and phosphorus. Basic soil </w:t>
      </w:r>
      <w:r w:rsidRPr="00324FD1">
        <w:rPr>
          <w:rFonts w:ascii="Arial" w:hAnsi="Arial" w:cs="Arial"/>
        </w:rPr>
        <w:lastRenderedPageBreak/>
        <w:t>data for the Sampieri village are given in Table 1. Agriculture (sorghum, millet, maize system) is the main activity and is family-based with a set of small plots (about 3 ha) per farmer. Production is predominantly subsistence, but in recent years cash crops have also been developed, especially cotton and sesame. The fields concerned by our study have been cultivated for years (sorghum, millet, maize) before being gradually developed into stone-rows and then amended in compost since 2006.</w:t>
      </w:r>
    </w:p>
    <w:p w14:paraId="0CB4A0DD" w14:textId="7996854B" w:rsidR="00324FD1" w:rsidRPr="00B727AD" w:rsidRDefault="00324FD1" w:rsidP="00B727AD">
      <w:pPr>
        <w:jc w:val="center"/>
        <w:rPr>
          <w:rFonts w:ascii="Arial" w:hAnsi="Arial" w:cs="Arial"/>
          <w:b/>
          <w:bCs/>
          <w:color w:val="000000" w:themeColor="text1"/>
        </w:rPr>
      </w:pPr>
      <w:r w:rsidRPr="00B727AD">
        <w:rPr>
          <w:rFonts w:ascii="Arial" w:hAnsi="Arial" w:cs="Arial"/>
          <w:b/>
          <w:bCs/>
          <w:color w:val="000000" w:themeColor="text1"/>
        </w:rPr>
        <w:t xml:space="preserve">Table </w:t>
      </w:r>
      <w:proofErr w:type="gramStart"/>
      <w:r w:rsidRPr="00B727AD">
        <w:rPr>
          <w:rFonts w:ascii="Arial" w:hAnsi="Arial" w:cs="Arial"/>
          <w:b/>
          <w:bCs/>
          <w:color w:val="000000" w:themeColor="text1"/>
        </w:rPr>
        <w:t>1 :</w:t>
      </w:r>
      <w:proofErr w:type="gramEnd"/>
      <w:r w:rsidRPr="00B727AD">
        <w:rPr>
          <w:rFonts w:ascii="Arial" w:hAnsi="Arial" w:cs="Arial"/>
          <w:b/>
          <w:bCs/>
          <w:color w:val="000000" w:themeColor="text1"/>
        </w:rPr>
        <w:t xml:space="preserve"> Basic soil properties of </w:t>
      </w:r>
      <w:proofErr w:type="spellStart"/>
      <w:r w:rsidRPr="00B727AD">
        <w:rPr>
          <w:rFonts w:ascii="Arial" w:hAnsi="Arial" w:cs="Arial"/>
          <w:b/>
          <w:bCs/>
          <w:color w:val="000000" w:themeColor="text1"/>
        </w:rPr>
        <w:t>Sampieri</w:t>
      </w:r>
      <w:proofErr w:type="spellEnd"/>
      <w:r w:rsidRPr="00B727AD">
        <w:rPr>
          <w:rFonts w:ascii="Arial" w:hAnsi="Arial" w:cs="Arial"/>
          <w:b/>
          <w:bCs/>
          <w:color w:val="000000" w:themeColor="text1"/>
        </w:rPr>
        <w:t xml:space="preserve"> soil (</w:t>
      </w:r>
      <w:proofErr w:type="spellStart"/>
      <w:r w:rsidRPr="00B727AD">
        <w:rPr>
          <w:rFonts w:ascii="Arial" w:hAnsi="Arial" w:cs="Arial"/>
          <w:b/>
          <w:bCs/>
          <w:color w:val="000000" w:themeColor="text1"/>
        </w:rPr>
        <w:t>Bunasols</w:t>
      </w:r>
      <w:proofErr w:type="spellEnd"/>
      <w:r w:rsidRPr="00B727AD">
        <w:rPr>
          <w:rFonts w:ascii="Arial" w:hAnsi="Arial" w:cs="Arial"/>
          <w:b/>
          <w:bCs/>
          <w:color w:val="000000" w:themeColor="text1"/>
        </w:rPr>
        <w:t>, 2008)</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57"/>
        <w:gridCol w:w="883"/>
        <w:gridCol w:w="735"/>
        <w:gridCol w:w="914"/>
        <w:gridCol w:w="914"/>
        <w:gridCol w:w="944"/>
        <w:gridCol w:w="653"/>
        <w:gridCol w:w="693"/>
      </w:tblGrid>
      <w:tr w:rsidR="00324FD1" w:rsidRPr="00BF04E7" w14:paraId="521C6DF4" w14:textId="77777777" w:rsidTr="00BF04E7">
        <w:tc>
          <w:tcPr>
            <w:tcW w:w="983" w:type="pct"/>
            <w:tcBorders>
              <w:top w:val="single" w:sz="12" w:space="0" w:color="auto"/>
              <w:bottom w:val="single" w:sz="12" w:space="0" w:color="auto"/>
            </w:tcBorders>
            <w:vAlign w:val="center"/>
          </w:tcPr>
          <w:p w14:paraId="56C74D5A"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Parameter</w:t>
            </w:r>
          </w:p>
        </w:tc>
        <w:tc>
          <w:tcPr>
            <w:tcW w:w="522" w:type="pct"/>
            <w:tcBorders>
              <w:top w:val="single" w:sz="12" w:space="0" w:color="auto"/>
              <w:bottom w:val="single" w:sz="12" w:space="0" w:color="auto"/>
            </w:tcBorders>
            <w:vAlign w:val="center"/>
          </w:tcPr>
          <w:p w14:paraId="36EF578D"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Clay</w:t>
            </w:r>
          </w:p>
        </w:tc>
        <w:tc>
          <w:tcPr>
            <w:tcW w:w="538" w:type="pct"/>
            <w:tcBorders>
              <w:top w:val="single" w:sz="12" w:space="0" w:color="auto"/>
              <w:bottom w:val="single" w:sz="12" w:space="0" w:color="auto"/>
            </w:tcBorders>
            <w:vAlign w:val="center"/>
          </w:tcPr>
          <w:p w14:paraId="16FE9E9B"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Sand</w:t>
            </w:r>
          </w:p>
        </w:tc>
        <w:tc>
          <w:tcPr>
            <w:tcW w:w="448" w:type="pct"/>
            <w:tcBorders>
              <w:top w:val="single" w:sz="12" w:space="0" w:color="auto"/>
              <w:bottom w:val="single" w:sz="12" w:space="0" w:color="auto"/>
            </w:tcBorders>
            <w:vAlign w:val="center"/>
          </w:tcPr>
          <w:p w14:paraId="411766BE"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Silt</w:t>
            </w:r>
          </w:p>
        </w:tc>
        <w:tc>
          <w:tcPr>
            <w:tcW w:w="557" w:type="pct"/>
            <w:tcBorders>
              <w:top w:val="single" w:sz="12" w:space="0" w:color="auto"/>
              <w:bottom w:val="single" w:sz="12" w:space="0" w:color="auto"/>
            </w:tcBorders>
            <w:vAlign w:val="center"/>
          </w:tcPr>
          <w:p w14:paraId="39CD56F9"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C</w:t>
            </w:r>
          </w:p>
        </w:tc>
        <w:tc>
          <w:tcPr>
            <w:tcW w:w="557" w:type="pct"/>
            <w:tcBorders>
              <w:top w:val="single" w:sz="12" w:space="0" w:color="auto"/>
              <w:bottom w:val="single" w:sz="12" w:space="0" w:color="auto"/>
            </w:tcBorders>
            <w:vAlign w:val="center"/>
          </w:tcPr>
          <w:p w14:paraId="158E6108"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N</w:t>
            </w:r>
          </w:p>
        </w:tc>
        <w:tc>
          <w:tcPr>
            <w:tcW w:w="575" w:type="pct"/>
            <w:tcBorders>
              <w:top w:val="single" w:sz="12" w:space="0" w:color="auto"/>
              <w:bottom w:val="single" w:sz="12" w:space="0" w:color="auto"/>
            </w:tcBorders>
            <w:vAlign w:val="center"/>
          </w:tcPr>
          <w:p w14:paraId="122D29D4"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C/N ratio</w:t>
            </w:r>
          </w:p>
        </w:tc>
        <w:tc>
          <w:tcPr>
            <w:tcW w:w="398" w:type="pct"/>
            <w:tcBorders>
              <w:top w:val="single" w:sz="12" w:space="0" w:color="auto"/>
              <w:bottom w:val="single" w:sz="12" w:space="0" w:color="auto"/>
            </w:tcBorders>
            <w:vAlign w:val="center"/>
          </w:tcPr>
          <w:p w14:paraId="69AA6D26"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Pa</w:t>
            </w:r>
          </w:p>
        </w:tc>
        <w:tc>
          <w:tcPr>
            <w:tcW w:w="423" w:type="pct"/>
            <w:tcBorders>
              <w:top w:val="single" w:sz="12" w:space="0" w:color="auto"/>
              <w:bottom w:val="single" w:sz="12" w:space="0" w:color="auto"/>
            </w:tcBorders>
            <w:vAlign w:val="center"/>
          </w:tcPr>
          <w:p w14:paraId="4A2A416A"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pH</w:t>
            </w:r>
          </w:p>
        </w:tc>
      </w:tr>
      <w:tr w:rsidR="00324FD1" w:rsidRPr="00BF04E7" w14:paraId="4BE08DD8" w14:textId="77777777" w:rsidTr="00BF04E7">
        <w:tc>
          <w:tcPr>
            <w:tcW w:w="983" w:type="pct"/>
            <w:tcBorders>
              <w:top w:val="single" w:sz="12" w:space="0" w:color="auto"/>
            </w:tcBorders>
            <w:vAlign w:val="center"/>
          </w:tcPr>
          <w:p w14:paraId="27B2F971"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Unit</w:t>
            </w:r>
          </w:p>
        </w:tc>
        <w:tc>
          <w:tcPr>
            <w:tcW w:w="522" w:type="pct"/>
            <w:tcBorders>
              <w:top w:val="single" w:sz="12" w:space="0" w:color="auto"/>
            </w:tcBorders>
            <w:vAlign w:val="center"/>
          </w:tcPr>
          <w:p w14:paraId="181828B0"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w:t>
            </w:r>
          </w:p>
        </w:tc>
        <w:tc>
          <w:tcPr>
            <w:tcW w:w="538" w:type="pct"/>
            <w:tcBorders>
              <w:top w:val="single" w:sz="12" w:space="0" w:color="auto"/>
            </w:tcBorders>
            <w:vAlign w:val="center"/>
          </w:tcPr>
          <w:p w14:paraId="71DDAA19"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w:t>
            </w:r>
          </w:p>
        </w:tc>
        <w:tc>
          <w:tcPr>
            <w:tcW w:w="448" w:type="pct"/>
            <w:tcBorders>
              <w:top w:val="single" w:sz="12" w:space="0" w:color="auto"/>
            </w:tcBorders>
            <w:vAlign w:val="center"/>
          </w:tcPr>
          <w:p w14:paraId="5FD369D5"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w:t>
            </w:r>
          </w:p>
        </w:tc>
        <w:tc>
          <w:tcPr>
            <w:tcW w:w="557" w:type="pct"/>
            <w:tcBorders>
              <w:top w:val="single" w:sz="12" w:space="0" w:color="auto"/>
            </w:tcBorders>
            <w:vAlign w:val="center"/>
          </w:tcPr>
          <w:p w14:paraId="4C8FE7D2" w14:textId="77777777" w:rsidR="00324FD1" w:rsidRPr="00BF04E7" w:rsidRDefault="00324FD1" w:rsidP="009A5BC4">
            <w:pPr>
              <w:spacing w:line="360" w:lineRule="auto"/>
              <w:rPr>
                <w:rFonts w:ascii="Arial" w:hAnsi="Arial" w:cs="Arial"/>
                <w:sz w:val="20"/>
                <w:szCs w:val="20"/>
              </w:rPr>
            </w:pPr>
            <w:proofErr w:type="gramStart"/>
            <w:r w:rsidRPr="00BF04E7">
              <w:rPr>
                <w:rFonts w:ascii="Arial" w:hAnsi="Arial" w:cs="Arial"/>
                <w:sz w:val="20"/>
                <w:szCs w:val="20"/>
              </w:rPr>
              <w:t>mg.g</w:t>
            </w:r>
            <w:proofErr w:type="gramEnd"/>
            <w:r w:rsidRPr="00BF04E7">
              <w:rPr>
                <w:rFonts w:ascii="Arial" w:hAnsi="Arial" w:cs="Arial"/>
                <w:sz w:val="20"/>
                <w:szCs w:val="20"/>
                <w:vertAlign w:val="superscript"/>
              </w:rPr>
              <w:t>-1</w:t>
            </w:r>
          </w:p>
        </w:tc>
        <w:tc>
          <w:tcPr>
            <w:tcW w:w="557" w:type="pct"/>
            <w:tcBorders>
              <w:top w:val="single" w:sz="12" w:space="0" w:color="auto"/>
            </w:tcBorders>
            <w:vAlign w:val="center"/>
          </w:tcPr>
          <w:p w14:paraId="47BD3C27" w14:textId="77777777" w:rsidR="00324FD1" w:rsidRPr="00BF04E7" w:rsidRDefault="00324FD1" w:rsidP="009A5BC4">
            <w:pPr>
              <w:spacing w:line="360" w:lineRule="auto"/>
              <w:rPr>
                <w:rFonts w:ascii="Arial" w:hAnsi="Arial" w:cs="Arial"/>
                <w:sz w:val="20"/>
                <w:szCs w:val="20"/>
              </w:rPr>
            </w:pPr>
            <w:proofErr w:type="gramStart"/>
            <w:r w:rsidRPr="00BF04E7">
              <w:rPr>
                <w:rFonts w:ascii="Arial" w:hAnsi="Arial" w:cs="Arial"/>
                <w:sz w:val="20"/>
                <w:szCs w:val="20"/>
              </w:rPr>
              <w:t>mg.g</w:t>
            </w:r>
            <w:proofErr w:type="gramEnd"/>
            <w:r w:rsidRPr="00BF04E7">
              <w:rPr>
                <w:rFonts w:ascii="Arial" w:hAnsi="Arial" w:cs="Arial"/>
                <w:sz w:val="20"/>
                <w:szCs w:val="20"/>
                <w:vertAlign w:val="superscript"/>
              </w:rPr>
              <w:t>-1</w:t>
            </w:r>
          </w:p>
        </w:tc>
        <w:tc>
          <w:tcPr>
            <w:tcW w:w="575" w:type="pct"/>
            <w:tcBorders>
              <w:top w:val="single" w:sz="12" w:space="0" w:color="auto"/>
            </w:tcBorders>
            <w:vAlign w:val="center"/>
          </w:tcPr>
          <w:p w14:paraId="41B98E57"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w:t>
            </w:r>
          </w:p>
        </w:tc>
        <w:tc>
          <w:tcPr>
            <w:tcW w:w="398" w:type="pct"/>
            <w:tcBorders>
              <w:top w:val="single" w:sz="12" w:space="0" w:color="auto"/>
            </w:tcBorders>
            <w:vAlign w:val="center"/>
          </w:tcPr>
          <w:p w14:paraId="06968836"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ppm</w:t>
            </w:r>
          </w:p>
        </w:tc>
        <w:tc>
          <w:tcPr>
            <w:tcW w:w="423" w:type="pct"/>
            <w:tcBorders>
              <w:top w:val="single" w:sz="12" w:space="0" w:color="auto"/>
            </w:tcBorders>
            <w:vAlign w:val="center"/>
          </w:tcPr>
          <w:p w14:paraId="57F4229C"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w:t>
            </w:r>
          </w:p>
        </w:tc>
      </w:tr>
      <w:tr w:rsidR="00324FD1" w:rsidRPr="00BF04E7" w14:paraId="6A105385" w14:textId="77777777" w:rsidTr="00BF04E7">
        <w:tc>
          <w:tcPr>
            <w:tcW w:w="983" w:type="pct"/>
            <w:vAlign w:val="center"/>
          </w:tcPr>
          <w:p w14:paraId="00AE62C7"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 xml:space="preserve">Value </w:t>
            </w:r>
          </w:p>
        </w:tc>
        <w:tc>
          <w:tcPr>
            <w:tcW w:w="522" w:type="pct"/>
            <w:vAlign w:val="center"/>
          </w:tcPr>
          <w:p w14:paraId="3D100E76"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8-10</w:t>
            </w:r>
          </w:p>
        </w:tc>
        <w:tc>
          <w:tcPr>
            <w:tcW w:w="538" w:type="pct"/>
            <w:vAlign w:val="center"/>
          </w:tcPr>
          <w:p w14:paraId="2C07981D"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37-51</w:t>
            </w:r>
          </w:p>
        </w:tc>
        <w:tc>
          <w:tcPr>
            <w:tcW w:w="448" w:type="pct"/>
            <w:vAlign w:val="center"/>
          </w:tcPr>
          <w:p w14:paraId="3A636E45"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39-55</w:t>
            </w:r>
          </w:p>
        </w:tc>
        <w:tc>
          <w:tcPr>
            <w:tcW w:w="557" w:type="pct"/>
            <w:vAlign w:val="center"/>
          </w:tcPr>
          <w:p w14:paraId="138A2FD3"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4.5</w:t>
            </w:r>
          </w:p>
        </w:tc>
        <w:tc>
          <w:tcPr>
            <w:tcW w:w="557" w:type="pct"/>
            <w:vAlign w:val="center"/>
          </w:tcPr>
          <w:p w14:paraId="37597490"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0.4</w:t>
            </w:r>
          </w:p>
        </w:tc>
        <w:tc>
          <w:tcPr>
            <w:tcW w:w="575" w:type="pct"/>
            <w:vAlign w:val="center"/>
          </w:tcPr>
          <w:p w14:paraId="7DD99A04"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10-13</w:t>
            </w:r>
          </w:p>
        </w:tc>
        <w:tc>
          <w:tcPr>
            <w:tcW w:w="398" w:type="pct"/>
            <w:vAlign w:val="center"/>
          </w:tcPr>
          <w:p w14:paraId="1FF68643"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1.4</w:t>
            </w:r>
          </w:p>
        </w:tc>
        <w:tc>
          <w:tcPr>
            <w:tcW w:w="423" w:type="pct"/>
            <w:vAlign w:val="center"/>
          </w:tcPr>
          <w:p w14:paraId="4F898717" w14:textId="77777777" w:rsidR="00324FD1" w:rsidRPr="00BF04E7" w:rsidRDefault="00324FD1" w:rsidP="009A5BC4">
            <w:pPr>
              <w:spacing w:line="360" w:lineRule="auto"/>
              <w:rPr>
                <w:rFonts w:ascii="Arial" w:hAnsi="Arial" w:cs="Arial"/>
                <w:sz w:val="20"/>
                <w:szCs w:val="20"/>
              </w:rPr>
            </w:pPr>
            <w:r w:rsidRPr="00BF04E7">
              <w:rPr>
                <w:rFonts w:ascii="Arial" w:hAnsi="Arial" w:cs="Arial"/>
                <w:sz w:val="20"/>
                <w:szCs w:val="20"/>
              </w:rPr>
              <w:t>6-6.6</w:t>
            </w:r>
          </w:p>
        </w:tc>
      </w:tr>
    </w:tbl>
    <w:p w14:paraId="37AA7746" w14:textId="7A867D6C" w:rsidR="00324FD1" w:rsidRDefault="00324FD1" w:rsidP="00441B6F">
      <w:pPr>
        <w:pStyle w:val="Body"/>
        <w:spacing w:after="0"/>
        <w:rPr>
          <w:rFonts w:ascii="Arial" w:hAnsi="Arial" w:cs="Arial"/>
        </w:rPr>
      </w:pPr>
    </w:p>
    <w:p w14:paraId="7598B7F5" w14:textId="133F9D33" w:rsidR="00324FD1" w:rsidRDefault="00324FD1" w:rsidP="00324FD1">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Methods</w:t>
      </w:r>
    </w:p>
    <w:p w14:paraId="14869F68" w14:textId="40D3FF09" w:rsidR="00324FD1" w:rsidRDefault="00324FD1" w:rsidP="00441B6F">
      <w:pPr>
        <w:pStyle w:val="Body"/>
        <w:spacing w:after="0"/>
        <w:rPr>
          <w:rFonts w:ascii="Arial" w:hAnsi="Arial" w:cs="Arial"/>
        </w:rPr>
      </w:pPr>
    </w:p>
    <w:p w14:paraId="61466E13" w14:textId="1E7B59BB" w:rsidR="00324FD1" w:rsidRDefault="00324FD1" w:rsidP="00441B6F">
      <w:pPr>
        <w:pStyle w:val="Body"/>
        <w:spacing w:after="0"/>
        <w:rPr>
          <w:rFonts w:ascii="Arial" w:hAnsi="Arial" w:cs="Arial"/>
        </w:rPr>
      </w:pPr>
      <w:r w:rsidRPr="00324FD1">
        <w:rPr>
          <w:rFonts w:ascii="Arial" w:hAnsi="Arial" w:cs="Arial"/>
        </w:rPr>
        <w:t>Stone-rows are obstacles along a contour that cut down run-off speed. The implementing of this structure allowed the sedimentation of soil particles (sands, organic matter, ….). According to the farmer's organization, the plots arranged in stone-rows on the average slope glacis are subdivided into three plots P1, P2 and P3 (Fig</w:t>
      </w:r>
      <w:r w:rsidR="00A13833">
        <w:rPr>
          <w:rFonts w:ascii="Arial" w:hAnsi="Arial" w:cs="Arial"/>
        </w:rPr>
        <w:t>.</w:t>
      </w:r>
      <w:r w:rsidRPr="00324FD1">
        <w:rPr>
          <w:rFonts w:ascii="Arial" w:hAnsi="Arial" w:cs="Arial"/>
        </w:rPr>
        <w:t xml:space="preserve"> 1). Plots P1, P2 and P3 correspond respectively to plots of size 15.5; 18.5 and 22 m. Within each plot, soil samples are taken at regular distances ranging from 0 to 15 meters initially for all three plots. In a second step, an additional sample is taken within plots P2 and P3 to the end of the plot. These samples are taken in the 0-10 and 10-20 cm layers. A total of 120 soil samples were taken within the plots delimited by the stone barriers, i.e. 36 samples for plot P1 and 42 for plots P2 and P3. Composite soil samples were then taken with these elementary samples according to the sampling distance to obtain a total of 40 samples. The soil samples thus constituted were dried, sieved to 2 mm, then preserved for physical, chemical and microbiological analyses.</w:t>
      </w:r>
    </w:p>
    <w:p w14:paraId="460DABFB" w14:textId="4045AB90" w:rsidR="00324FD1" w:rsidRDefault="00324FD1" w:rsidP="00441B6F">
      <w:pPr>
        <w:pStyle w:val="Body"/>
        <w:spacing w:after="0"/>
        <w:rPr>
          <w:rFonts w:ascii="Arial" w:hAnsi="Arial" w:cs="Arial"/>
        </w:rPr>
      </w:pPr>
      <w:r w:rsidRPr="008D25C5">
        <w:rPr>
          <w:rFonts w:ascii="Times New Roman" w:hAnsi="Times New Roman"/>
          <w:noProof/>
          <w:sz w:val="24"/>
        </w:rPr>
        <w:drawing>
          <wp:inline distT="0" distB="0" distL="0" distR="0" wp14:anchorId="4BD38249" wp14:editId="2978D8C2">
            <wp:extent cx="5212080" cy="284216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2080" cy="2842169"/>
                    </a:xfrm>
                    <a:prstGeom prst="rect">
                      <a:avLst/>
                    </a:prstGeom>
                  </pic:spPr>
                </pic:pic>
              </a:graphicData>
            </a:graphic>
          </wp:inline>
        </w:drawing>
      </w:r>
    </w:p>
    <w:p w14:paraId="6296D4FA" w14:textId="4A20DCE1" w:rsidR="00324FD1" w:rsidRPr="00324FD1" w:rsidRDefault="00324FD1" w:rsidP="00324FD1">
      <w:pPr>
        <w:pStyle w:val="Caption"/>
        <w:jc w:val="both"/>
        <w:rPr>
          <w:rFonts w:ascii="Arial" w:hAnsi="Arial" w:cs="Arial"/>
          <w:color w:val="auto"/>
          <w:sz w:val="20"/>
          <w:szCs w:val="20"/>
          <w:lang w:val="en-US"/>
        </w:rPr>
      </w:pPr>
      <w:bookmarkStart w:id="1" w:name="_Toc497410723"/>
      <w:bookmarkStart w:id="2" w:name="_Toc513534527"/>
      <w:bookmarkStart w:id="3" w:name="_Toc526158651"/>
      <w:r w:rsidRPr="00324FD1">
        <w:rPr>
          <w:rFonts w:ascii="Arial" w:hAnsi="Arial" w:cs="Arial"/>
          <w:color w:val="auto"/>
          <w:sz w:val="20"/>
          <w:szCs w:val="20"/>
          <w:lang w:val="en-US"/>
        </w:rPr>
        <w:t xml:space="preserve">Fig </w:t>
      </w:r>
      <w:r w:rsidRPr="00324FD1">
        <w:rPr>
          <w:rFonts w:ascii="Arial" w:hAnsi="Arial" w:cs="Arial"/>
          <w:color w:val="auto"/>
          <w:sz w:val="20"/>
          <w:szCs w:val="20"/>
        </w:rPr>
        <w:fldChar w:fldCharType="begin"/>
      </w:r>
      <w:r w:rsidRPr="00324FD1">
        <w:rPr>
          <w:rFonts w:ascii="Arial" w:hAnsi="Arial" w:cs="Arial"/>
          <w:color w:val="auto"/>
          <w:sz w:val="20"/>
          <w:szCs w:val="20"/>
          <w:lang w:val="en-US"/>
        </w:rPr>
        <w:instrText xml:space="preserve"> SEQ Figure \* ARABIC </w:instrText>
      </w:r>
      <w:r w:rsidRPr="00324FD1">
        <w:rPr>
          <w:rFonts w:ascii="Arial" w:hAnsi="Arial" w:cs="Arial"/>
          <w:color w:val="auto"/>
          <w:sz w:val="20"/>
          <w:szCs w:val="20"/>
        </w:rPr>
        <w:fldChar w:fldCharType="separate"/>
      </w:r>
      <w:r w:rsidRPr="00324FD1">
        <w:rPr>
          <w:rFonts w:ascii="Arial" w:hAnsi="Arial" w:cs="Arial"/>
          <w:noProof/>
          <w:color w:val="auto"/>
          <w:sz w:val="20"/>
          <w:szCs w:val="20"/>
          <w:lang w:val="en-US"/>
        </w:rPr>
        <w:t>1</w:t>
      </w:r>
      <w:r w:rsidRPr="00324FD1">
        <w:rPr>
          <w:rFonts w:ascii="Arial" w:hAnsi="Arial" w:cs="Arial"/>
          <w:color w:val="auto"/>
          <w:sz w:val="20"/>
          <w:szCs w:val="20"/>
        </w:rPr>
        <w:fldChar w:fldCharType="end"/>
      </w:r>
      <w:r w:rsidRPr="00324FD1">
        <w:rPr>
          <w:rFonts w:ascii="Arial" w:hAnsi="Arial" w:cs="Arial"/>
          <w:color w:val="auto"/>
          <w:sz w:val="20"/>
          <w:szCs w:val="20"/>
          <w:lang w:val="en-US"/>
        </w:rPr>
        <w:t> : Plots arranged in stone ridges and sampling plan</w:t>
      </w:r>
      <w:bookmarkEnd w:id="1"/>
      <w:bookmarkEnd w:id="2"/>
      <w:bookmarkEnd w:id="3"/>
    </w:p>
    <w:p w14:paraId="03837E5A" w14:textId="7AAC32FF" w:rsidR="00A13833" w:rsidRDefault="00A13833" w:rsidP="004F1A74">
      <w:pPr>
        <w:pStyle w:val="Body"/>
        <w:rPr>
          <w:rFonts w:ascii="Arial" w:hAnsi="Arial" w:cs="Arial"/>
        </w:rPr>
      </w:pPr>
      <w:r w:rsidRPr="00A13833">
        <w:rPr>
          <w:rFonts w:ascii="Arial" w:hAnsi="Arial" w:cs="Arial"/>
        </w:rPr>
        <w:t xml:space="preserve">The experimental texture kit named Soil Texture Unit (code 1067) developed by LaMotte company (USA) was used for the determination of the various particles size fractions of the soils after sieving at 2 mm. This test was designed to separate fine earth into three basic mineral fractions independently of coarse elements greater than 2 mm: sand from 2 mm to 50 </w:t>
      </w:r>
      <w:proofErr w:type="spellStart"/>
      <w:r w:rsidRPr="00A13833">
        <w:rPr>
          <w:rFonts w:ascii="Arial" w:hAnsi="Arial" w:cs="Arial"/>
        </w:rPr>
        <w:lastRenderedPageBreak/>
        <w:t>μm</w:t>
      </w:r>
      <w:proofErr w:type="spellEnd"/>
      <w:r w:rsidRPr="00A13833">
        <w:rPr>
          <w:rFonts w:ascii="Arial" w:hAnsi="Arial" w:cs="Arial"/>
        </w:rPr>
        <w:t xml:space="preserve">, silt from 50 </w:t>
      </w:r>
      <w:proofErr w:type="spellStart"/>
      <w:r w:rsidRPr="00A13833">
        <w:rPr>
          <w:rFonts w:ascii="Arial" w:hAnsi="Arial" w:cs="Arial"/>
        </w:rPr>
        <w:t>μm</w:t>
      </w:r>
      <w:proofErr w:type="spellEnd"/>
      <w:r w:rsidRPr="00A13833">
        <w:rPr>
          <w:rFonts w:ascii="Arial" w:hAnsi="Arial" w:cs="Arial"/>
        </w:rPr>
        <w:t xml:space="preserve"> to 2 </w:t>
      </w:r>
      <w:proofErr w:type="spellStart"/>
      <w:r w:rsidRPr="00A13833">
        <w:rPr>
          <w:rFonts w:ascii="Arial" w:hAnsi="Arial" w:cs="Arial"/>
        </w:rPr>
        <w:t>μm</w:t>
      </w:r>
      <w:proofErr w:type="spellEnd"/>
      <w:r w:rsidRPr="00A13833">
        <w:rPr>
          <w:rFonts w:ascii="Arial" w:hAnsi="Arial" w:cs="Arial"/>
        </w:rPr>
        <w:t xml:space="preserve"> and clay less than 2 </w:t>
      </w:r>
      <w:proofErr w:type="spellStart"/>
      <w:r w:rsidRPr="00A13833">
        <w:rPr>
          <w:rFonts w:ascii="Arial" w:hAnsi="Arial" w:cs="Arial"/>
        </w:rPr>
        <w:t>μm</w:t>
      </w:r>
      <w:proofErr w:type="spellEnd"/>
      <w:r w:rsidRPr="00A13833">
        <w:rPr>
          <w:rFonts w:ascii="Arial" w:hAnsi="Arial" w:cs="Arial"/>
        </w:rPr>
        <w:t>.</w:t>
      </w:r>
      <w:r w:rsidR="004F1A74">
        <w:rPr>
          <w:rFonts w:ascii="Arial" w:hAnsi="Arial" w:cs="Arial"/>
        </w:rPr>
        <w:t xml:space="preserve"> </w:t>
      </w:r>
      <w:r w:rsidRPr="00A13833">
        <w:rPr>
          <w:rFonts w:ascii="Arial" w:hAnsi="Arial" w:cs="Arial"/>
        </w:rPr>
        <w:t xml:space="preserve">Determination of total nitrogen content was realized using an elemental flash </w:t>
      </w:r>
      <w:proofErr w:type="spellStart"/>
      <w:r w:rsidRPr="00A13833">
        <w:rPr>
          <w:rFonts w:ascii="Arial" w:hAnsi="Arial" w:cs="Arial"/>
        </w:rPr>
        <w:t>pyrolyser</w:t>
      </w:r>
      <w:proofErr w:type="spellEnd"/>
      <w:r w:rsidRPr="00A13833">
        <w:rPr>
          <w:rFonts w:ascii="Arial" w:hAnsi="Arial" w:cs="Arial"/>
        </w:rPr>
        <w:t xml:space="preserve"> </w:t>
      </w:r>
      <w:proofErr w:type="spellStart"/>
      <w:r w:rsidRPr="00A13833">
        <w:rPr>
          <w:rFonts w:ascii="Arial" w:hAnsi="Arial" w:cs="Arial"/>
        </w:rPr>
        <w:t>analyser</w:t>
      </w:r>
      <w:proofErr w:type="spellEnd"/>
      <w:r w:rsidRPr="00A13833">
        <w:rPr>
          <w:rFonts w:ascii="Arial" w:hAnsi="Arial" w:cs="Arial"/>
        </w:rPr>
        <w:t xml:space="preserve"> (Flash 2000, Thermo Fischer Scientific). For this purpose, soil samples were finely ground (diameter less than 160 </w:t>
      </w:r>
      <w:proofErr w:type="spellStart"/>
      <w:r w:rsidRPr="00A13833">
        <w:rPr>
          <w:rFonts w:ascii="Arial" w:hAnsi="Arial" w:cs="Arial"/>
        </w:rPr>
        <w:t>μm</w:t>
      </w:r>
      <w:proofErr w:type="spellEnd"/>
      <w:r w:rsidRPr="00A13833">
        <w:rPr>
          <w:rFonts w:ascii="Arial" w:hAnsi="Arial" w:cs="Arial"/>
        </w:rPr>
        <w:t>) and then placed in a tin capsule and introduced into a high-temperature furnace (900 °C) crossed by a current of helium, an oxygen supply causing total combustion. The respective contents of nitrogen (N) are quantified by gas chromatography. Total organic carbon content was determined by the Rock-Eval method (</w:t>
      </w:r>
      <w:proofErr w:type="spellStart"/>
      <w:r w:rsidRPr="00A13833">
        <w:rPr>
          <w:rFonts w:ascii="Arial" w:hAnsi="Arial" w:cs="Arial"/>
        </w:rPr>
        <w:t>Disnar</w:t>
      </w:r>
      <w:proofErr w:type="spellEnd"/>
      <w:r w:rsidRPr="00A13833">
        <w:rPr>
          <w:rFonts w:ascii="Arial" w:hAnsi="Arial" w:cs="Arial"/>
        </w:rPr>
        <w:t xml:space="preserve"> et al., 2003) using a Rock-Eval 6 Turbo (Vinci Technologies, France). It consists in heating successively between 300 and 650 °C (pyrolysis) and 300 and 850 °C (oxidation) 100 mg of soil sample finely ground beforehand. Microbial </w:t>
      </w:r>
      <w:r w:rsidR="004F1A74" w:rsidRPr="00A13833">
        <w:rPr>
          <w:rFonts w:ascii="Arial" w:hAnsi="Arial" w:cs="Arial"/>
        </w:rPr>
        <w:t>communities’</w:t>
      </w:r>
      <w:r w:rsidRPr="00A13833">
        <w:rPr>
          <w:rFonts w:ascii="Arial" w:hAnsi="Arial" w:cs="Arial"/>
        </w:rPr>
        <w:t xml:space="preserve"> characterization was carried out by the </w:t>
      </w:r>
      <w:proofErr w:type="spellStart"/>
      <w:r w:rsidRPr="00A13833">
        <w:rPr>
          <w:rFonts w:ascii="Arial" w:hAnsi="Arial" w:cs="Arial"/>
        </w:rPr>
        <w:t>MicroRespTM</w:t>
      </w:r>
      <w:proofErr w:type="spellEnd"/>
      <w:r w:rsidRPr="00A13833">
        <w:rPr>
          <w:rFonts w:ascii="Arial" w:hAnsi="Arial" w:cs="Arial"/>
        </w:rPr>
        <w:t xml:space="preserve"> technique (Campbell et al., 2003), which allows the study of the functional diversity of a soil in its entirety without the cultivation of the microorganisms present with the risk of selection phenomena. The </w:t>
      </w:r>
      <w:proofErr w:type="spellStart"/>
      <w:r w:rsidRPr="00A13833">
        <w:rPr>
          <w:rFonts w:ascii="Arial" w:hAnsi="Arial" w:cs="Arial"/>
        </w:rPr>
        <w:t>MicroRespTM</w:t>
      </w:r>
      <w:proofErr w:type="spellEnd"/>
      <w:r w:rsidRPr="00A13833">
        <w:rPr>
          <w:rFonts w:ascii="Arial" w:hAnsi="Arial" w:cs="Arial"/>
        </w:rPr>
        <w:t xml:space="preserve"> technique is a measurement soil respiration through the quantification of the CO2 emitted. The principle is based on the capture of CO2 released by the soils incubated in deep well plates (96 wells) by cresol red placed in detection plates. Soil samples (approximately 0.4 g of soil per well) placed in these wells were previously moistened to about 60% of their maximum water retention capacity. In addition to blank (distilled water), 25 </w:t>
      </w:r>
      <w:proofErr w:type="spellStart"/>
      <w:r w:rsidRPr="00A13833">
        <w:rPr>
          <w:rFonts w:ascii="Arial" w:hAnsi="Arial" w:cs="Arial"/>
        </w:rPr>
        <w:t>μL</w:t>
      </w:r>
      <w:proofErr w:type="spellEnd"/>
      <w:r w:rsidRPr="00A13833">
        <w:rPr>
          <w:rFonts w:ascii="Arial" w:hAnsi="Arial" w:cs="Arial"/>
        </w:rPr>
        <w:t xml:space="preserve"> of the following 15 carbon substrates added at 30 mg C g-1 soil water were used to enrich the incubated soils: glucose, galactose, mannose, fructose, trehalose, sucrose, maltose, mannitol, sorbitol, inositol, glycine, proline, arginine, citrate and malate. Substrates were chosen based on their complexity (</w:t>
      </w:r>
      <w:proofErr w:type="spellStart"/>
      <w:r w:rsidRPr="00A13833">
        <w:rPr>
          <w:rFonts w:ascii="Arial" w:hAnsi="Arial" w:cs="Arial"/>
        </w:rPr>
        <w:t>i</w:t>
      </w:r>
      <w:proofErr w:type="spellEnd"/>
      <w:r w:rsidRPr="00A13833">
        <w:rPr>
          <w:rFonts w:ascii="Arial" w:hAnsi="Arial" w:cs="Arial"/>
        </w:rPr>
        <w:t xml:space="preserve">. e. length of the C chain) and diversity concerning their role in the metabolism. Moreover, theses substrates are representative of low molecular weight organic compounds released during the decomposition of plant residues and released in root exudates (Campbell et al., 2003). All the C sources were obtained from Sigma-Aldrich (Saint-Quentin </w:t>
      </w:r>
      <w:proofErr w:type="spellStart"/>
      <w:r w:rsidRPr="00A13833">
        <w:rPr>
          <w:rFonts w:ascii="Arial" w:hAnsi="Arial" w:cs="Arial"/>
        </w:rPr>
        <w:t>Fallavier</w:t>
      </w:r>
      <w:proofErr w:type="spellEnd"/>
      <w:r w:rsidRPr="00A13833">
        <w:rPr>
          <w:rFonts w:ascii="Arial" w:hAnsi="Arial" w:cs="Arial"/>
        </w:rPr>
        <w:t xml:space="preserve">, France). CO2 released by the soil, after six hours incubation in the dark at 25 °C was captured by the gel. A chemical reaction takes place between the CO2 formed and the HCO3- ion to give, inter alia, H+; the medium thus sees its pH decreasing causing a change of color of the indicator in the detection plate. The change from pink to yellow was measured before adding substrates and following the </w:t>
      </w:r>
      <w:proofErr w:type="gramStart"/>
      <w:r w:rsidRPr="00A13833">
        <w:rPr>
          <w:rFonts w:ascii="Arial" w:hAnsi="Arial" w:cs="Arial"/>
        </w:rPr>
        <w:t>6 hour</w:t>
      </w:r>
      <w:proofErr w:type="gramEnd"/>
      <w:r w:rsidRPr="00A13833">
        <w:rPr>
          <w:rFonts w:ascii="Arial" w:hAnsi="Arial" w:cs="Arial"/>
        </w:rPr>
        <w:t xml:space="preserve"> incubation, using a spectrophotometer at the wavelength of 570 nm (Bio-Tek Instrument, Inc., µQuant – MQX 200). This will make it possible to estimate the rate of respiration of each well. The rate of CO2 respiration expressed per gram of soil per well was calculated using the formula provided in the </w:t>
      </w:r>
      <w:proofErr w:type="spellStart"/>
      <w:r w:rsidRPr="00A13833">
        <w:rPr>
          <w:rFonts w:ascii="Arial" w:hAnsi="Arial" w:cs="Arial"/>
        </w:rPr>
        <w:t>MicroResp</w:t>
      </w:r>
      <w:proofErr w:type="spellEnd"/>
      <w:r w:rsidRPr="00A13833">
        <w:rPr>
          <w:rFonts w:ascii="Arial" w:hAnsi="Arial" w:cs="Arial"/>
        </w:rPr>
        <w:t xml:space="preserve">™ manual (Macaulay Scientific Consulting, UK). The amount of CO2 produced from the water addition wells was subtracted from the respiration in the substrate wells to accurately calculate the substrate induced response (SIR). The determination of the basal respiration (BR) was calculated from data obtained after soil incubation with water added. Results were expressed in </w:t>
      </w:r>
      <w:proofErr w:type="spellStart"/>
      <w:r w:rsidRPr="00A13833">
        <w:rPr>
          <w:rFonts w:ascii="Arial" w:hAnsi="Arial" w:cs="Arial"/>
        </w:rPr>
        <w:t>μg</w:t>
      </w:r>
      <w:proofErr w:type="spellEnd"/>
      <w:r w:rsidRPr="00A13833">
        <w:rPr>
          <w:rFonts w:ascii="Arial" w:hAnsi="Arial" w:cs="Arial"/>
        </w:rPr>
        <w:t xml:space="preserve"> C-CO</w:t>
      </w:r>
      <w:r w:rsidRPr="004F1A74">
        <w:rPr>
          <w:rFonts w:ascii="Arial" w:hAnsi="Arial" w:cs="Arial"/>
          <w:vertAlign w:val="subscript"/>
        </w:rPr>
        <w:t>2</w:t>
      </w:r>
      <w:r w:rsidRPr="00A13833">
        <w:rPr>
          <w:rFonts w:ascii="Arial" w:hAnsi="Arial" w:cs="Arial"/>
        </w:rPr>
        <w:t xml:space="preserve"> g-1 soil h-1. The microbial biomass (MB) was calculated from respiration produced from the glucose amended wells using the equation from Anderson and </w:t>
      </w:r>
      <w:proofErr w:type="spellStart"/>
      <w:r w:rsidRPr="00A13833">
        <w:rPr>
          <w:rFonts w:ascii="Arial" w:hAnsi="Arial" w:cs="Arial"/>
        </w:rPr>
        <w:t>Domsch</w:t>
      </w:r>
      <w:proofErr w:type="spellEnd"/>
      <w:r w:rsidRPr="00A13833">
        <w:rPr>
          <w:rFonts w:ascii="Arial" w:hAnsi="Arial" w:cs="Arial"/>
        </w:rPr>
        <w:t xml:space="preserve"> (1978). The metabolic quotient (qCO2) was calculated according to the equation (Anderson and </w:t>
      </w:r>
      <w:proofErr w:type="spellStart"/>
      <w:r w:rsidRPr="00A13833">
        <w:rPr>
          <w:rFonts w:ascii="Arial" w:hAnsi="Arial" w:cs="Arial"/>
        </w:rPr>
        <w:t>Domsch</w:t>
      </w:r>
      <w:proofErr w:type="spellEnd"/>
      <w:r w:rsidRPr="00A13833">
        <w:rPr>
          <w:rFonts w:ascii="Arial" w:hAnsi="Arial" w:cs="Arial"/>
        </w:rPr>
        <w:t>, 1993): qCO</w:t>
      </w:r>
      <w:r w:rsidRPr="004F1A74">
        <w:rPr>
          <w:rFonts w:ascii="Arial" w:hAnsi="Arial" w:cs="Arial"/>
          <w:vertAlign w:val="subscript"/>
        </w:rPr>
        <w:t>2</w:t>
      </w:r>
      <w:r w:rsidRPr="00A13833">
        <w:rPr>
          <w:rFonts w:ascii="Arial" w:hAnsi="Arial" w:cs="Arial"/>
        </w:rPr>
        <w:t>: basal respiration / microbial biomass. Higher qCO</w:t>
      </w:r>
      <w:r w:rsidRPr="004F1A74">
        <w:rPr>
          <w:rFonts w:ascii="Arial" w:hAnsi="Arial" w:cs="Arial"/>
          <w:vertAlign w:val="subscript"/>
        </w:rPr>
        <w:t>2</w:t>
      </w:r>
      <w:r w:rsidRPr="00A13833">
        <w:rPr>
          <w:rFonts w:ascii="Arial" w:hAnsi="Arial" w:cs="Arial"/>
        </w:rPr>
        <w:t xml:space="preserve"> indicated stress or exogenous disturbance (Anderson and </w:t>
      </w:r>
      <w:proofErr w:type="spellStart"/>
      <w:r w:rsidRPr="00A13833">
        <w:rPr>
          <w:rFonts w:ascii="Arial" w:hAnsi="Arial" w:cs="Arial"/>
        </w:rPr>
        <w:t>Domsch</w:t>
      </w:r>
      <w:proofErr w:type="spellEnd"/>
      <w:r w:rsidRPr="00A13833">
        <w:rPr>
          <w:rFonts w:ascii="Arial" w:hAnsi="Arial" w:cs="Arial"/>
        </w:rPr>
        <w:t>, 1993). Shannon-Weaver index (H') and equitability index (E) were calculated to subsequently characterize the microbial community. All measurements were done in 6 technical replicates.</w:t>
      </w:r>
    </w:p>
    <w:p w14:paraId="27A0644D" w14:textId="77777777" w:rsidR="00A13833" w:rsidRDefault="00A13833" w:rsidP="00441B6F">
      <w:pPr>
        <w:pStyle w:val="Body"/>
        <w:spacing w:after="0"/>
        <w:rPr>
          <w:rFonts w:ascii="Arial" w:hAnsi="Arial" w:cs="Arial"/>
        </w:rPr>
      </w:pPr>
    </w:p>
    <w:p w14:paraId="341FA121" w14:textId="1A42F056" w:rsidR="00A13833" w:rsidRPr="00A13833" w:rsidRDefault="00A13833" w:rsidP="00441B6F">
      <w:pPr>
        <w:pStyle w:val="Body"/>
        <w:spacing w:after="0"/>
        <w:rPr>
          <w:rFonts w:ascii="Arial" w:hAnsi="Arial" w:cs="Arial"/>
          <w:b/>
          <w:caps/>
          <w:sz w:val="22"/>
        </w:rPr>
      </w:pPr>
      <w:r w:rsidRPr="00A13833">
        <w:rPr>
          <w:rFonts w:ascii="Arial" w:hAnsi="Arial" w:cs="Arial"/>
          <w:b/>
          <w:caps/>
          <w:sz w:val="22"/>
        </w:rPr>
        <w:t>2.</w:t>
      </w:r>
      <w:r>
        <w:rPr>
          <w:rFonts w:ascii="Arial" w:hAnsi="Arial" w:cs="Arial"/>
          <w:b/>
          <w:caps/>
          <w:sz w:val="22"/>
        </w:rPr>
        <w:t>3</w:t>
      </w:r>
      <w:r w:rsidRPr="00A13833">
        <w:rPr>
          <w:rFonts w:ascii="Arial" w:hAnsi="Arial" w:cs="Arial"/>
          <w:b/>
          <w:caps/>
          <w:sz w:val="22"/>
        </w:rPr>
        <w:t xml:space="preserve"> </w:t>
      </w:r>
      <w:r>
        <w:rPr>
          <w:rFonts w:ascii="Arial" w:hAnsi="Arial" w:cs="Arial"/>
          <w:b/>
          <w:caps/>
          <w:sz w:val="22"/>
        </w:rPr>
        <w:t>Statistical analysis</w:t>
      </w:r>
    </w:p>
    <w:p w14:paraId="3C2F6048" w14:textId="3E2D2D57" w:rsidR="00A13833" w:rsidRDefault="00A13833" w:rsidP="00441B6F">
      <w:pPr>
        <w:pStyle w:val="Body"/>
        <w:spacing w:after="0"/>
        <w:rPr>
          <w:rFonts w:ascii="Arial" w:hAnsi="Arial" w:cs="Arial"/>
        </w:rPr>
      </w:pPr>
    </w:p>
    <w:p w14:paraId="66312F2E" w14:textId="14841953" w:rsidR="00A13833" w:rsidRDefault="00A13833" w:rsidP="00441B6F">
      <w:pPr>
        <w:pStyle w:val="Body"/>
        <w:spacing w:after="0"/>
        <w:rPr>
          <w:rFonts w:ascii="Arial" w:hAnsi="Arial" w:cs="Arial"/>
        </w:rPr>
      </w:pPr>
      <w:r w:rsidRPr="00A13833">
        <w:rPr>
          <w:rFonts w:ascii="Arial" w:hAnsi="Arial" w:cs="Arial"/>
        </w:rPr>
        <w:t xml:space="preserve">The data was collected into Excel spreadsheet and then analyzed using ANOVA variance of XLSTAT 7.5 software. Means were separated according to the Tukey test at the 5% threshold. For the </w:t>
      </w:r>
      <w:proofErr w:type="spellStart"/>
      <w:r w:rsidRPr="00A13833">
        <w:rPr>
          <w:rFonts w:ascii="Arial" w:hAnsi="Arial" w:cs="Arial"/>
        </w:rPr>
        <w:t>MicroResp</w:t>
      </w:r>
      <w:proofErr w:type="spellEnd"/>
      <w:r w:rsidRPr="00A13833">
        <w:rPr>
          <w:rFonts w:ascii="Arial" w:hAnsi="Arial" w:cs="Arial"/>
        </w:rPr>
        <w:t xml:space="preserve"> data, principal component analysis (PCA) using a correlation similarity matrix was used to identify separate groups according to different soils treatments applying the XLSTAT 7.5 software. For soil microbial diversity, two indices cited above were calculated. The functional diversity as measured by Shannon-Weaver index (H’) was calculated using the </w:t>
      </w:r>
      <w:r w:rsidRPr="00A13833">
        <w:rPr>
          <w:rFonts w:ascii="Arial" w:hAnsi="Arial" w:cs="Arial"/>
        </w:rPr>
        <w:lastRenderedPageBreak/>
        <w:t>equation: H’= ∑Pi(</w:t>
      </w:r>
      <w:proofErr w:type="spellStart"/>
      <w:r w:rsidRPr="00A13833">
        <w:rPr>
          <w:rFonts w:ascii="Arial" w:hAnsi="Arial" w:cs="Arial"/>
        </w:rPr>
        <w:t>lnPi</w:t>
      </w:r>
      <w:proofErr w:type="spellEnd"/>
      <w:r w:rsidRPr="00A13833">
        <w:rPr>
          <w:rFonts w:ascii="Arial" w:hAnsi="Arial" w:cs="Arial"/>
        </w:rPr>
        <w:t xml:space="preserve">), where Pi was the ratio of the utilization rate of each C source to the sum of the utilization rate of all C source for each soil sample (Zak et al., 1994). Evenness (E) or </w:t>
      </w:r>
      <w:proofErr w:type="spellStart"/>
      <w:r w:rsidRPr="00A13833">
        <w:rPr>
          <w:rFonts w:ascii="Arial" w:hAnsi="Arial" w:cs="Arial"/>
        </w:rPr>
        <w:t>Pielou</w:t>
      </w:r>
      <w:proofErr w:type="spellEnd"/>
      <w:r w:rsidRPr="00A13833">
        <w:rPr>
          <w:rFonts w:ascii="Arial" w:hAnsi="Arial" w:cs="Arial"/>
        </w:rPr>
        <w:t xml:space="preserve"> index was calculated based on the equation of E = H’/</w:t>
      </w:r>
      <w:proofErr w:type="spellStart"/>
      <w:r w:rsidRPr="00A13833">
        <w:rPr>
          <w:rFonts w:ascii="Arial" w:hAnsi="Arial" w:cs="Arial"/>
        </w:rPr>
        <w:t>H’max</w:t>
      </w:r>
      <w:proofErr w:type="spellEnd"/>
      <w:r w:rsidRPr="00A13833">
        <w:rPr>
          <w:rFonts w:ascii="Arial" w:hAnsi="Arial" w:cs="Arial"/>
        </w:rPr>
        <w:t>=H’/</w:t>
      </w:r>
      <w:proofErr w:type="spellStart"/>
      <w:r w:rsidRPr="00A13833">
        <w:rPr>
          <w:rFonts w:ascii="Arial" w:hAnsi="Arial" w:cs="Arial"/>
        </w:rPr>
        <w:t>lnS</w:t>
      </w:r>
      <w:proofErr w:type="spellEnd"/>
      <w:r w:rsidRPr="00A13833">
        <w:rPr>
          <w:rFonts w:ascii="Arial" w:hAnsi="Arial" w:cs="Arial"/>
        </w:rPr>
        <w:t xml:space="preserve">, where </w:t>
      </w:r>
      <w:proofErr w:type="spellStart"/>
      <w:r w:rsidRPr="00A13833">
        <w:rPr>
          <w:rFonts w:ascii="Arial" w:hAnsi="Arial" w:cs="Arial"/>
        </w:rPr>
        <w:t>Hmax</w:t>
      </w:r>
      <w:proofErr w:type="spellEnd"/>
      <w:r w:rsidRPr="00A13833">
        <w:rPr>
          <w:rFonts w:ascii="Arial" w:hAnsi="Arial" w:cs="Arial"/>
        </w:rPr>
        <w:t xml:space="preserve"> was the largest H’ within a specific sample (Zhou et al., 2012) and S total number of species, represented here total number of substrates tested.</w:t>
      </w:r>
    </w:p>
    <w:p w14:paraId="63E0C582" w14:textId="77777777" w:rsidR="00A13833" w:rsidRDefault="00A13833" w:rsidP="00441B6F">
      <w:pPr>
        <w:pStyle w:val="Body"/>
        <w:spacing w:after="0"/>
        <w:rPr>
          <w:rFonts w:ascii="Arial" w:hAnsi="Arial" w:cs="Arial"/>
        </w:rPr>
      </w:pPr>
    </w:p>
    <w:p w14:paraId="28388EC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CC9403B" w14:textId="6B6C8565" w:rsidR="00790ADA" w:rsidRDefault="00790ADA" w:rsidP="00441B6F">
      <w:pPr>
        <w:pStyle w:val="Head1"/>
        <w:spacing w:after="0"/>
        <w:jc w:val="both"/>
        <w:rPr>
          <w:rFonts w:ascii="Arial" w:hAnsi="Arial" w:cs="Arial"/>
        </w:rPr>
      </w:pPr>
    </w:p>
    <w:p w14:paraId="3D467671" w14:textId="42031C39" w:rsidR="00B727AD" w:rsidRPr="00FB3A86" w:rsidRDefault="00B727AD" w:rsidP="00441B6F">
      <w:pPr>
        <w:pStyle w:val="Head1"/>
        <w:spacing w:after="0"/>
        <w:jc w:val="both"/>
        <w:rPr>
          <w:rFonts w:ascii="Arial" w:hAnsi="Arial" w:cs="Arial"/>
        </w:rPr>
      </w:pPr>
      <w:r>
        <w:rPr>
          <w:rFonts w:ascii="Arial" w:hAnsi="Arial" w:cs="Arial"/>
          <w:caps w:val="0"/>
        </w:rPr>
        <w:t>3.1. Results</w:t>
      </w:r>
    </w:p>
    <w:p w14:paraId="7FFE5E40" w14:textId="0609E9DD" w:rsidR="000D71D5" w:rsidRPr="00B727AD" w:rsidRDefault="000D71D5" w:rsidP="000D71D5">
      <w:pPr>
        <w:jc w:val="both"/>
        <w:rPr>
          <w:rFonts w:ascii="Arial" w:hAnsi="Arial" w:cs="Arial"/>
          <w:b/>
          <w:bCs/>
          <w:color w:val="000000" w:themeColor="text1"/>
        </w:rPr>
      </w:pPr>
      <w:r w:rsidRPr="000D71D5">
        <w:rPr>
          <w:rFonts w:ascii="Arial" w:hAnsi="Arial" w:cs="Arial"/>
          <w:b/>
          <w:bCs/>
          <w:color w:val="000000" w:themeColor="text1"/>
        </w:rPr>
        <w:t xml:space="preserve">3.1.1. Effects of spacing between stone-row lines on soil </w:t>
      </w:r>
      <w:r>
        <w:rPr>
          <w:rFonts w:ascii="Arial" w:hAnsi="Arial" w:cs="Arial"/>
          <w:b/>
          <w:bCs/>
          <w:color w:val="000000" w:themeColor="text1"/>
        </w:rPr>
        <w:t>chemical</w:t>
      </w:r>
      <w:r w:rsidRPr="000D71D5">
        <w:rPr>
          <w:rFonts w:ascii="Arial" w:hAnsi="Arial" w:cs="Arial"/>
          <w:b/>
          <w:bCs/>
          <w:color w:val="000000" w:themeColor="text1"/>
        </w:rPr>
        <w:t xml:space="preserve"> </w:t>
      </w:r>
      <w:bookmarkStart w:id="4" w:name="_Toc513537724"/>
      <w:bookmarkStart w:id="5" w:name="_Toc517270052"/>
      <w:r>
        <w:rPr>
          <w:rFonts w:ascii="Arial" w:hAnsi="Arial" w:cs="Arial"/>
          <w:b/>
          <w:bCs/>
          <w:color w:val="000000" w:themeColor="text1"/>
        </w:rPr>
        <w:t>characteristics</w:t>
      </w:r>
    </w:p>
    <w:bookmarkEnd w:id="4"/>
    <w:bookmarkEnd w:id="5"/>
    <w:p w14:paraId="5CB92DDF" w14:textId="00A4436C" w:rsidR="00B727AD" w:rsidRPr="00B727AD" w:rsidRDefault="00B727AD" w:rsidP="000D71D5">
      <w:pPr>
        <w:jc w:val="both"/>
        <w:rPr>
          <w:rFonts w:ascii="Arial" w:hAnsi="Arial" w:cs="Arial"/>
          <w:b/>
          <w:bCs/>
          <w:color w:val="000000" w:themeColor="text1"/>
        </w:rPr>
      </w:pPr>
    </w:p>
    <w:p w14:paraId="4721A9C4" w14:textId="77777777" w:rsidR="00B727AD" w:rsidRPr="00B727AD" w:rsidRDefault="00B727AD" w:rsidP="0000164D">
      <w:pPr>
        <w:pStyle w:val="Body"/>
        <w:spacing w:after="0"/>
        <w:rPr>
          <w:rFonts w:ascii="Arial" w:hAnsi="Arial" w:cs="Arial"/>
        </w:rPr>
      </w:pPr>
      <w:r w:rsidRPr="00B727AD">
        <w:rPr>
          <w:rFonts w:ascii="Arial" w:hAnsi="Arial" w:cs="Arial"/>
        </w:rPr>
        <w:t>The analysis of the Table below shows a variation in pH depending on the types of plots (Table 2). Thus, we note high values at the level of plots P1 (6.63) and P2 (6.89) unlike plot P3 where the pH is 6 for the 0-10 cm layer. As for the 10-20 cm layer we have the same trend as that of the 0-10 cm layer with 5.87 for P1 and 6.16 for P2 which are clearly higher than that of P3 (5.2). As for the pH-</w:t>
      </w:r>
      <w:proofErr w:type="spellStart"/>
      <w:r w:rsidRPr="00B727AD">
        <w:rPr>
          <w:rFonts w:ascii="Arial" w:hAnsi="Arial" w:cs="Arial"/>
        </w:rPr>
        <w:t>KCl</w:t>
      </w:r>
      <w:proofErr w:type="spellEnd"/>
      <w:r w:rsidRPr="00B727AD">
        <w:rPr>
          <w:rFonts w:ascii="Arial" w:hAnsi="Arial" w:cs="Arial"/>
        </w:rPr>
        <w:t>, it follows the same trend as the pH water both on the surface and in depth. We can note in the 0-10 cm layer 5.98 for P1, 6.02 for P2 and 5.12 for P3. In the 10-20 cm layer the values are 5.67; 5.95 and 4.46 respectively for P1, P2, and P3. It can also be noted that the pH and pH-</w:t>
      </w:r>
      <w:proofErr w:type="spellStart"/>
      <w:r w:rsidRPr="00B727AD">
        <w:rPr>
          <w:rFonts w:ascii="Arial" w:hAnsi="Arial" w:cs="Arial"/>
        </w:rPr>
        <w:t>KCl</w:t>
      </w:r>
      <w:proofErr w:type="spellEnd"/>
      <w:r w:rsidRPr="00B727AD">
        <w:rPr>
          <w:rFonts w:ascii="Arial" w:hAnsi="Arial" w:cs="Arial"/>
        </w:rPr>
        <w:t xml:space="preserve"> of plot P2 are higher than those of plot P1. Furthermore, there are significant differences between these treatments regardless of the layer at the 5% threshold according to the </w:t>
      </w:r>
      <w:proofErr w:type="spellStart"/>
      <w:r w:rsidRPr="00B727AD">
        <w:rPr>
          <w:rFonts w:ascii="Arial" w:hAnsi="Arial" w:cs="Arial"/>
        </w:rPr>
        <w:t>Tukeys</w:t>
      </w:r>
      <w:proofErr w:type="spellEnd"/>
      <w:r w:rsidRPr="00B727AD">
        <w:rPr>
          <w:rFonts w:ascii="Arial" w:hAnsi="Arial" w:cs="Arial"/>
        </w:rPr>
        <w:t xml:space="preserve"> test (Table 2).</w:t>
      </w:r>
    </w:p>
    <w:p w14:paraId="55081208" w14:textId="03FFFC22" w:rsidR="0000164D" w:rsidRPr="0000164D" w:rsidRDefault="00B727AD" w:rsidP="0000164D">
      <w:pPr>
        <w:pStyle w:val="Body"/>
        <w:spacing w:after="0"/>
        <w:rPr>
          <w:rFonts w:ascii="Arial" w:hAnsi="Arial" w:cs="Arial"/>
        </w:rPr>
      </w:pPr>
      <w:r w:rsidRPr="00B727AD">
        <w:rPr>
          <w:rFonts w:ascii="Arial" w:hAnsi="Arial" w:cs="Arial"/>
        </w:rPr>
        <w:t>For electrical conductivity, in the 0-10 cm layer, the electrical conductivity values are 247.47 µS/cm for P2, 175.66 µS/cm for P3, and 163.78 µS/cm for P1. In the 10-20 cm layer, the variation is the same, with 147 µS/cm for P2, 78.86 µS/cm for P3, and 74.83 µS/cm for P1. There is no significant difference between the treatments in the 0-10 cm layer. On the other hand, in the 10-20 cm layer there is a significant difference between plot P2 and the other treatments (Table 2).</w:t>
      </w:r>
      <w:bookmarkStart w:id="6" w:name="_Toc513534099"/>
      <w:bookmarkStart w:id="7" w:name="_Toc526154766"/>
    </w:p>
    <w:p w14:paraId="34E6D7C6" w14:textId="77777777" w:rsidR="0000164D" w:rsidRDefault="0000164D" w:rsidP="00B727AD">
      <w:pPr>
        <w:jc w:val="center"/>
        <w:rPr>
          <w:rFonts w:ascii="Arial" w:hAnsi="Arial" w:cs="Arial"/>
          <w:b/>
          <w:bCs/>
          <w:color w:val="000000" w:themeColor="text1"/>
        </w:rPr>
      </w:pPr>
    </w:p>
    <w:p w14:paraId="0DB84DFB" w14:textId="224E678A" w:rsidR="00B727AD" w:rsidRPr="00B727AD" w:rsidRDefault="00B727AD" w:rsidP="00B727AD">
      <w:pPr>
        <w:jc w:val="center"/>
        <w:rPr>
          <w:rFonts w:ascii="Arial" w:hAnsi="Arial" w:cs="Arial"/>
          <w:b/>
          <w:bCs/>
          <w:color w:val="000000" w:themeColor="text1"/>
        </w:rPr>
      </w:pPr>
      <w:r w:rsidRPr="00B727AD">
        <w:rPr>
          <w:rFonts w:ascii="Arial" w:hAnsi="Arial" w:cs="Arial"/>
          <w:b/>
          <w:bCs/>
          <w:color w:val="000000" w:themeColor="text1"/>
        </w:rPr>
        <w:t xml:space="preserve">Table </w:t>
      </w:r>
      <w:r w:rsidRPr="00B727AD">
        <w:rPr>
          <w:rFonts w:ascii="Arial" w:hAnsi="Arial" w:cs="Arial"/>
          <w:b/>
          <w:bCs/>
          <w:color w:val="000000" w:themeColor="text1"/>
        </w:rPr>
        <w:fldChar w:fldCharType="begin"/>
      </w:r>
      <w:r w:rsidRPr="00B727AD">
        <w:rPr>
          <w:rFonts w:ascii="Arial" w:hAnsi="Arial" w:cs="Arial"/>
          <w:b/>
          <w:bCs/>
          <w:color w:val="000000" w:themeColor="text1"/>
        </w:rPr>
        <w:instrText xml:space="preserve"> SEQ Tableau \* ARABIC </w:instrText>
      </w:r>
      <w:r w:rsidRPr="00B727AD">
        <w:rPr>
          <w:rFonts w:ascii="Arial" w:hAnsi="Arial" w:cs="Arial"/>
          <w:b/>
          <w:bCs/>
          <w:color w:val="000000" w:themeColor="text1"/>
        </w:rPr>
        <w:fldChar w:fldCharType="separate"/>
      </w:r>
      <w:r w:rsidRPr="00B727AD">
        <w:rPr>
          <w:rFonts w:ascii="Arial" w:hAnsi="Arial" w:cs="Arial"/>
          <w:b/>
          <w:bCs/>
          <w:color w:val="000000" w:themeColor="text1"/>
        </w:rPr>
        <w:t>2</w:t>
      </w:r>
      <w:r w:rsidRPr="00B727AD">
        <w:rPr>
          <w:rFonts w:ascii="Arial" w:hAnsi="Arial" w:cs="Arial"/>
          <w:b/>
          <w:bCs/>
          <w:color w:val="000000" w:themeColor="text1"/>
        </w:rPr>
        <w:fldChar w:fldCharType="end"/>
      </w:r>
      <w:r w:rsidRPr="00B727AD">
        <w:rPr>
          <w:rFonts w:ascii="Arial" w:hAnsi="Arial" w:cs="Arial"/>
          <w:b/>
          <w:bCs/>
          <w:color w:val="000000" w:themeColor="text1"/>
        </w:rPr>
        <w:t xml:space="preserve"> : </w:t>
      </w:r>
      <w:bookmarkEnd w:id="6"/>
      <w:bookmarkEnd w:id="7"/>
      <w:r w:rsidRPr="00B727AD">
        <w:rPr>
          <w:rFonts w:ascii="Arial" w:hAnsi="Arial" w:cs="Arial"/>
          <w:b/>
          <w:bCs/>
          <w:color w:val="000000" w:themeColor="text1"/>
        </w:rPr>
        <w:t>pH; pH-</w:t>
      </w:r>
      <w:proofErr w:type="spellStart"/>
      <w:r w:rsidRPr="00B727AD">
        <w:rPr>
          <w:rFonts w:ascii="Arial" w:hAnsi="Arial" w:cs="Arial"/>
          <w:b/>
          <w:bCs/>
          <w:color w:val="000000" w:themeColor="text1"/>
        </w:rPr>
        <w:t>KCl</w:t>
      </w:r>
      <w:proofErr w:type="spellEnd"/>
      <w:r w:rsidRPr="00B727AD">
        <w:rPr>
          <w:rFonts w:ascii="Arial" w:hAnsi="Arial" w:cs="Arial"/>
          <w:b/>
          <w:bCs/>
          <w:color w:val="000000" w:themeColor="text1"/>
        </w:rPr>
        <w:t xml:space="preserve"> and electrical conductivity of the different plots</w:t>
      </w:r>
    </w:p>
    <w:tbl>
      <w:tblPr>
        <w:tblW w:w="5000" w:type="pct"/>
        <w:tblCellMar>
          <w:left w:w="70" w:type="dxa"/>
          <w:right w:w="70" w:type="dxa"/>
        </w:tblCellMar>
        <w:tblLook w:val="04A0" w:firstRow="1" w:lastRow="0" w:firstColumn="1" w:lastColumn="0" w:noHBand="0" w:noVBand="1"/>
      </w:tblPr>
      <w:tblGrid>
        <w:gridCol w:w="1691"/>
        <w:gridCol w:w="1031"/>
        <w:gridCol w:w="1031"/>
        <w:gridCol w:w="1031"/>
        <w:gridCol w:w="1031"/>
        <w:gridCol w:w="1198"/>
        <w:gridCol w:w="1195"/>
      </w:tblGrid>
      <w:tr w:rsidR="00B727AD" w:rsidRPr="00BF04E7" w14:paraId="2C8F9B78" w14:textId="77777777" w:rsidTr="009A5BC4">
        <w:trPr>
          <w:trHeight w:val="315"/>
        </w:trPr>
        <w:tc>
          <w:tcPr>
            <w:tcW w:w="1030" w:type="pct"/>
            <w:vMerge w:val="restart"/>
            <w:tcBorders>
              <w:top w:val="single" w:sz="12" w:space="0" w:color="auto"/>
              <w:left w:val="nil"/>
              <w:right w:val="nil"/>
            </w:tcBorders>
            <w:noWrap/>
            <w:vAlign w:val="center"/>
            <w:hideMark/>
          </w:tcPr>
          <w:p w14:paraId="02622B41" w14:textId="77777777" w:rsidR="00B727AD" w:rsidRPr="00BF04E7" w:rsidRDefault="00B727AD" w:rsidP="009A5BC4">
            <w:pPr>
              <w:jc w:val="center"/>
              <w:rPr>
                <w:rFonts w:ascii="Arial" w:hAnsi="Arial" w:cs="Arial"/>
                <w:b/>
                <w:bCs/>
                <w:color w:val="000000"/>
              </w:rPr>
            </w:pPr>
            <w:r w:rsidRPr="00BF04E7">
              <w:rPr>
                <w:rFonts w:ascii="Arial" w:hAnsi="Arial" w:cs="Arial"/>
                <w:b/>
                <w:bCs/>
                <w:color w:val="000000"/>
              </w:rPr>
              <w:t>Plots</w:t>
            </w:r>
          </w:p>
        </w:tc>
        <w:tc>
          <w:tcPr>
            <w:tcW w:w="1256" w:type="pct"/>
            <w:gridSpan w:val="2"/>
            <w:tcBorders>
              <w:top w:val="single" w:sz="12" w:space="0" w:color="auto"/>
              <w:left w:val="nil"/>
              <w:bottom w:val="nil"/>
              <w:right w:val="nil"/>
            </w:tcBorders>
            <w:noWrap/>
            <w:vAlign w:val="center"/>
            <w:hideMark/>
          </w:tcPr>
          <w:p w14:paraId="0B220275" w14:textId="77777777" w:rsidR="00B727AD" w:rsidRPr="00BF04E7" w:rsidRDefault="00B727AD" w:rsidP="009A5BC4">
            <w:pPr>
              <w:jc w:val="center"/>
              <w:rPr>
                <w:rFonts w:ascii="Arial" w:hAnsi="Arial" w:cs="Arial"/>
                <w:b/>
                <w:bCs/>
                <w:color w:val="000000"/>
              </w:rPr>
            </w:pPr>
            <w:r w:rsidRPr="00BF04E7">
              <w:rPr>
                <w:rFonts w:ascii="Arial" w:hAnsi="Arial" w:cs="Arial"/>
                <w:b/>
                <w:bCs/>
                <w:color w:val="000000"/>
              </w:rPr>
              <w:t>pH</w:t>
            </w:r>
          </w:p>
        </w:tc>
        <w:tc>
          <w:tcPr>
            <w:tcW w:w="1256" w:type="pct"/>
            <w:gridSpan w:val="2"/>
            <w:tcBorders>
              <w:top w:val="single" w:sz="12" w:space="0" w:color="auto"/>
              <w:left w:val="nil"/>
              <w:bottom w:val="nil"/>
              <w:right w:val="nil"/>
            </w:tcBorders>
            <w:noWrap/>
            <w:vAlign w:val="center"/>
            <w:hideMark/>
          </w:tcPr>
          <w:p w14:paraId="32C4EB91" w14:textId="77777777" w:rsidR="00B727AD" w:rsidRPr="00BF04E7" w:rsidRDefault="00B727AD" w:rsidP="009A5BC4">
            <w:pPr>
              <w:jc w:val="center"/>
              <w:rPr>
                <w:rFonts w:ascii="Arial" w:hAnsi="Arial" w:cs="Arial"/>
                <w:b/>
                <w:bCs/>
                <w:color w:val="000000"/>
              </w:rPr>
            </w:pPr>
            <w:r w:rsidRPr="00BF04E7">
              <w:rPr>
                <w:rFonts w:ascii="Arial" w:hAnsi="Arial" w:cs="Arial"/>
                <w:b/>
                <w:bCs/>
                <w:color w:val="000000"/>
              </w:rPr>
              <w:t>pH-</w:t>
            </w:r>
            <w:proofErr w:type="spellStart"/>
            <w:r w:rsidRPr="00BF04E7">
              <w:rPr>
                <w:rFonts w:ascii="Arial" w:hAnsi="Arial" w:cs="Arial"/>
                <w:b/>
                <w:bCs/>
                <w:color w:val="000000"/>
              </w:rPr>
              <w:t>KCl</w:t>
            </w:r>
            <w:proofErr w:type="spellEnd"/>
          </w:p>
        </w:tc>
        <w:tc>
          <w:tcPr>
            <w:tcW w:w="1459" w:type="pct"/>
            <w:gridSpan w:val="2"/>
            <w:tcBorders>
              <w:top w:val="single" w:sz="12" w:space="0" w:color="auto"/>
              <w:left w:val="nil"/>
              <w:bottom w:val="nil"/>
              <w:right w:val="nil"/>
            </w:tcBorders>
            <w:noWrap/>
            <w:vAlign w:val="center"/>
            <w:hideMark/>
          </w:tcPr>
          <w:p w14:paraId="478DF8D3" w14:textId="77777777" w:rsidR="00B727AD" w:rsidRPr="00BF04E7" w:rsidRDefault="00B727AD" w:rsidP="009A5BC4">
            <w:pPr>
              <w:jc w:val="center"/>
              <w:rPr>
                <w:rFonts w:ascii="Arial" w:hAnsi="Arial" w:cs="Arial"/>
                <w:b/>
                <w:bCs/>
                <w:color w:val="000000"/>
              </w:rPr>
            </w:pPr>
            <w:r w:rsidRPr="00BF04E7">
              <w:rPr>
                <w:rFonts w:ascii="Arial" w:hAnsi="Arial" w:cs="Arial"/>
                <w:b/>
                <w:bCs/>
                <w:color w:val="000000"/>
              </w:rPr>
              <w:t>EC</w:t>
            </w:r>
          </w:p>
        </w:tc>
      </w:tr>
      <w:tr w:rsidR="00B727AD" w:rsidRPr="00BF04E7" w14:paraId="7C3B7284" w14:textId="77777777" w:rsidTr="009A5BC4">
        <w:trPr>
          <w:trHeight w:val="330"/>
        </w:trPr>
        <w:tc>
          <w:tcPr>
            <w:tcW w:w="1030" w:type="pct"/>
            <w:vMerge/>
            <w:tcBorders>
              <w:left w:val="nil"/>
              <w:bottom w:val="single" w:sz="12" w:space="0" w:color="auto"/>
              <w:right w:val="nil"/>
            </w:tcBorders>
            <w:noWrap/>
            <w:vAlign w:val="center"/>
            <w:hideMark/>
          </w:tcPr>
          <w:p w14:paraId="1C4C2077" w14:textId="77777777" w:rsidR="00B727AD" w:rsidRPr="00BF04E7" w:rsidRDefault="00B727AD" w:rsidP="009A5BC4">
            <w:pPr>
              <w:jc w:val="center"/>
              <w:rPr>
                <w:rFonts w:ascii="Arial" w:hAnsi="Arial" w:cs="Arial"/>
                <w:b/>
                <w:bCs/>
                <w:color w:val="000000"/>
              </w:rPr>
            </w:pPr>
          </w:p>
        </w:tc>
        <w:tc>
          <w:tcPr>
            <w:tcW w:w="628" w:type="pct"/>
            <w:tcBorders>
              <w:top w:val="nil"/>
              <w:left w:val="nil"/>
              <w:bottom w:val="single" w:sz="12" w:space="0" w:color="auto"/>
              <w:right w:val="nil"/>
            </w:tcBorders>
            <w:noWrap/>
            <w:vAlign w:val="center"/>
            <w:hideMark/>
          </w:tcPr>
          <w:p w14:paraId="2F862EDA" w14:textId="77777777" w:rsidR="00B727AD" w:rsidRPr="00BF04E7" w:rsidRDefault="00B727AD" w:rsidP="009A5BC4">
            <w:pPr>
              <w:jc w:val="center"/>
              <w:rPr>
                <w:rFonts w:ascii="Arial" w:hAnsi="Arial" w:cs="Arial"/>
                <w:b/>
                <w:bCs/>
                <w:color w:val="000000"/>
              </w:rPr>
            </w:pPr>
            <w:r w:rsidRPr="00BF04E7">
              <w:rPr>
                <w:rFonts w:ascii="Arial" w:hAnsi="Arial" w:cs="Arial"/>
                <w:b/>
                <w:bCs/>
                <w:color w:val="000000"/>
              </w:rPr>
              <w:t>0-10 cm</w:t>
            </w:r>
          </w:p>
        </w:tc>
        <w:tc>
          <w:tcPr>
            <w:tcW w:w="628" w:type="pct"/>
            <w:tcBorders>
              <w:top w:val="nil"/>
              <w:left w:val="nil"/>
              <w:bottom w:val="single" w:sz="12" w:space="0" w:color="auto"/>
              <w:right w:val="nil"/>
            </w:tcBorders>
            <w:noWrap/>
            <w:vAlign w:val="center"/>
            <w:hideMark/>
          </w:tcPr>
          <w:p w14:paraId="49C02ED2" w14:textId="77777777" w:rsidR="00B727AD" w:rsidRPr="00BF04E7" w:rsidRDefault="00B727AD" w:rsidP="009A5BC4">
            <w:pPr>
              <w:jc w:val="center"/>
              <w:rPr>
                <w:rFonts w:ascii="Arial" w:hAnsi="Arial" w:cs="Arial"/>
                <w:b/>
                <w:bCs/>
                <w:color w:val="000000"/>
              </w:rPr>
            </w:pPr>
            <w:r w:rsidRPr="00BF04E7">
              <w:rPr>
                <w:rFonts w:ascii="Arial" w:hAnsi="Arial" w:cs="Arial"/>
                <w:b/>
                <w:bCs/>
                <w:color w:val="000000"/>
              </w:rPr>
              <w:t>10-20 cm</w:t>
            </w:r>
          </w:p>
        </w:tc>
        <w:tc>
          <w:tcPr>
            <w:tcW w:w="628" w:type="pct"/>
            <w:tcBorders>
              <w:top w:val="nil"/>
              <w:left w:val="nil"/>
              <w:bottom w:val="single" w:sz="12" w:space="0" w:color="auto"/>
              <w:right w:val="nil"/>
            </w:tcBorders>
            <w:noWrap/>
            <w:vAlign w:val="center"/>
            <w:hideMark/>
          </w:tcPr>
          <w:p w14:paraId="6CD10F05" w14:textId="77777777" w:rsidR="00B727AD" w:rsidRPr="00BF04E7" w:rsidRDefault="00B727AD" w:rsidP="009A5BC4">
            <w:pPr>
              <w:jc w:val="center"/>
              <w:rPr>
                <w:rFonts w:ascii="Arial" w:hAnsi="Arial" w:cs="Arial"/>
                <w:b/>
                <w:bCs/>
                <w:color w:val="000000"/>
              </w:rPr>
            </w:pPr>
            <w:r w:rsidRPr="00BF04E7">
              <w:rPr>
                <w:rFonts w:ascii="Arial" w:hAnsi="Arial" w:cs="Arial"/>
                <w:b/>
                <w:bCs/>
                <w:color w:val="000000"/>
              </w:rPr>
              <w:t>0-10 cm</w:t>
            </w:r>
          </w:p>
        </w:tc>
        <w:tc>
          <w:tcPr>
            <w:tcW w:w="628" w:type="pct"/>
            <w:tcBorders>
              <w:top w:val="nil"/>
              <w:left w:val="nil"/>
              <w:bottom w:val="single" w:sz="12" w:space="0" w:color="auto"/>
              <w:right w:val="nil"/>
            </w:tcBorders>
            <w:noWrap/>
            <w:vAlign w:val="center"/>
            <w:hideMark/>
          </w:tcPr>
          <w:p w14:paraId="2B3A1FC4" w14:textId="77777777" w:rsidR="00B727AD" w:rsidRPr="00BF04E7" w:rsidRDefault="00B727AD" w:rsidP="009A5BC4">
            <w:pPr>
              <w:jc w:val="center"/>
              <w:rPr>
                <w:rFonts w:ascii="Arial" w:hAnsi="Arial" w:cs="Arial"/>
                <w:b/>
                <w:bCs/>
                <w:color w:val="000000"/>
              </w:rPr>
            </w:pPr>
            <w:r w:rsidRPr="00BF04E7">
              <w:rPr>
                <w:rFonts w:ascii="Arial" w:hAnsi="Arial" w:cs="Arial"/>
                <w:b/>
                <w:bCs/>
                <w:color w:val="000000"/>
              </w:rPr>
              <w:t>10-20 cm</w:t>
            </w:r>
          </w:p>
        </w:tc>
        <w:tc>
          <w:tcPr>
            <w:tcW w:w="730" w:type="pct"/>
            <w:tcBorders>
              <w:top w:val="nil"/>
              <w:left w:val="nil"/>
              <w:bottom w:val="single" w:sz="12" w:space="0" w:color="auto"/>
              <w:right w:val="nil"/>
            </w:tcBorders>
            <w:noWrap/>
            <w:vAlign w:val="center"/>
            <w:hideMark/>
          </w:tcPr>
          <w:p w14:paraId="6FE159DF" w14:textId="77777777" w:rsidR="00B727AD" w:rsidRPr="00BF04E7" w:rsidRDefault="00B727AD" w:rsidP="009A5BC4">
            <w:pPr>
              <w:jc w:val="center"/>
              <w:rPr>
                <w:rFonts w:ascii="Arial" w:hAnsi="Arial" w:cs="Arial"/>
                <w:b/>
                <w:bCs/>
                <w:color w:val="000000"/>
              </w:rPr>
            </w:pPr>
            <w:r w:rsidRPr="00BF04E7">
              <w:rPr>
                <w:rFonts w:ascii="Arial" w:hAnsi="Arial" w:cs="Arial"/>
                <w:b/>
                <w:bCs/>
                <w:color w:val="000000"/>
              </w:rPr>
              <w:t>0-10 cm</w:t>
            </w:r>
          </w:p>
        </w:tc>
        <w:tc>
          <w:tcPr>
            <w:tcW w:w="729" w:type="pct"/>
            <w:tcBorders>
              <w:top w:val="nil"/>
              <w:left w:val="nil"/>
              <w:bottom w:val="single" w:sz="12" w:space="0" w:color="auto"/>
              <w:right w:val="nil"/>
            </w:tcBorders>
            <w:noWrap/>
            <w:vAlign w:val="center"/>
            <w:hideMark/>
          </w:tcPr>
          <w:p w14:paraId="3341BEA4" w14:textId="77777777" w:rsidR="00B727AD" w:rsidRPr="00BF04E7" w:rsidRDefault="00B727AD" w:rsidP="009A5BC4">
            <w:pPr>
              <w:jc w:val="center"/>
              <w:rPr>
                <w:rFonts w:ascii="Arial" w:hAnsi="Arial" w:cs="Arial"/>
                <w:b/>
                <w:bCs/>
                <w:color w:val="000000"/>
              </w:rPr>
            </w:pPr>
            <w:r w:rsidRPr="00BF04E7">
              <w:rPr>
                <w:rFonts w:ascii="Arial" w:hAnsi="Arial" w:cs="Arial"/>
                <w:b/>
                <w:bCs/>
                <w:color w:val="000000"/>
              </w:rPr>
              <w:t>10-20 cm</w:t>
            </w:r>
          </w:p>
        </w:tc>
      </w:tr>
      <w:tr w:rsidR="00B727AD" w:rsidRPr="00BF04E7" w14:paraId="1FD25D74" w14:textId="77777777" w:rsidTr="009A5BC4">
        <w:trPr>
          <w:trHeight w:val="315"/>
        </w:trPr>
        <w:tc>
          <w:tcPr>
            <w:tcW w:w="1030" w:type="pct"/>
            <w:tcBorders>
              <w:top w:val="single" w:sz="12" w:space="0" w:color="auto"/>
              <w:left w:val="nil"/>
              <w:bottom w:val="nil"/>
              <w:right w:val="nil"/>
            </w:tcBorders>
            <w:noWrap/>
            <w:vAlign w:val="center"/>
            <w:hideMark/>
          </w:tcPr>
          <w:p w14:paraId="0FA52319" w14:textId="77777777" w:rsidR="00B727AD" w:rsidRPr="00BF04E7" w:rsidRDefault="00B727AD" w:rsidP="009A5BC4">
            <w:pPr>
              <w:jc w:val="center"/>
              <w:rPr>
                <w:rFonts w:ascii="Arial" w:hAnsi="Arial" w:cs="Arial"/>
                <w:b/>
                <w:bCs/>
                <w:color w:val="000000"/>
              </w:rPr>
            </w:pPr>
            <w:r w:rsidRPr="00BF04E7">
              <w:rPr>
                <w:rFonts w:ascii="Arial" w:hAnsi="Arial" w:cs="Arial"/>
                <w:b/>
                <w:bCs/>
                <w:color w:val="000000"/>
              </w:rPr>
              <w:t>P1</w:t>
            </w:r>
          </w:p>
        </w:tc>
        <w:tc>
          <w:tcPr>
            <w:tcW w:w="628" w:type="pct"/>
            <w:tcBorders>
              <w:top w:val="single" w:sz="12" w:space="0" w:color="auto"/>
              <w:left w:val="nil"/>
              <w:bottom w:val="nil"/>
              <w:right w:val="nil"/>
            </w:tcBorders>
            <w:noWrap/>
            <w:vAlign w:val="center"/>
            <w:hideMark/>
          </w:tcPr>
          <w:p w14:paraId="4D403459" w14:textId="77777777" w:rsidR="00B727AD" w:rsidRPr="00BF04E7" w:rsidRDefault="00B727AD" w:rsidP="009A5BC4">
            <w:pPr>
              <w:jc w:val="center"/>
              <w:rPr>
                <w:rFonts w:ascii="Arial" w:hAnsi="Arial" w:cs="Arial"/>
                <w:color w:val="000000"/>
              </w:rPr>
            </w:pPr>
            <w:r w:rsidRPr="00BF04E7">
              <w:rPr>
                <w:rFonts w:ascii="Arial" w:hAnsi="Arial" w:cs="Arial"/>
                <w:color w:val="000000"/>
              </w:rPr>
              <w:t>6.63 a</w:t>
            </w:r>
          </w:p>
        </w:tc>
        <w:tc>
          <w:tcPr>
            <w:tcW w:w="628" w:type="pct"/>
            <w:tcBorders>
              <w:top w:val="single" w:sz="12" w:space="0" w:color="auto"/>
              <w:left w:val="nil"/>
              <w:bottom w:val="nil"/>
              <w:right w:val="nil"/>
            </w:tcBorders>
            <w:noWrap/>
            <w:vAlign w:val="center"/>
            <w:hideMark/>
          </w:tcPr>
          <w:p w14:paraId="33251200" w14:textId="77777777" w:rsidR="00B727AD" w:rsidRPr="00BF04E7" w:rsidRDefault="00B727AD" w:rsidP="009A5BC4">
            <w:pPr>
              <w:jc w:val="center"/>
              <w:rPr>
                <w:rFonts w:ascii="Arial" w:hAnsi="Arial" w:cs="Arial"/>
                <w:color w:val="000000"/>
              </w:rPr>
            </w:pPr>
            <w:r w:rsidRPr="00BF04E7">
              <w:rPr>
                <w:rFonts w:ascii="Arial" w:hAnsi="Arial" w:cs="Arial"/>
                <w:color w:val="000000"/>
              </w:rPr>
              <w:t>5.87 a</w:t>
            </w:r>
          </w:p>
        </w:tc>
        <w:tc>
          <w:tcPr>
            <w:tcW w:w="628" w:type="pct"/>
            <w:tcBorders>
              <w:top w:val="single" w:sz="12" w:space="0" w:color="auto"/>
              <w:left w:val="nil"/>
              <w:bottom w:val="nil"/>
              <w:right w:val="nil"/>
            </w:tcBorders>
            <w:noWrap/>
            <w:vAlign w:val="center"/>
            <w:hideMark/>
          </w:tcPr>
          <w:p w14:paraId="30305168" w14:textId="77777777" w:rsidR="00B727AD" w:rsidRPr="00BF04E7" w:rsidRDefault="00B727AD" w:rsidP="009A5BC4">
            <w:pPr>
              <w:jc w:val="center"/>
              <w:rPr>
                <w:rFonts w:ascii="Arial" w:hAnsi="Arial" w:cs="Arial"/>
                <w:color w:val="000000"/>
              </w:rPr>
            </w:pPr>
            <w:r w:rsidRPr="00BF04E7">
              <w:rPr>
                <w:rFonts w:ascii="Arial" w:hAnsi="Arial" w:cs="Arial"/>
                <w:color w:val="000000"/>
              </w:rPr>
              <w:t>5.98 a</w:t>
            </w:r>
          </w:p>
        </w:tc>
        <w:tc>
          <w:tcPr>
            <w:tcW w:w="628" w:type="pct"/>
            <w:tcBorders>
              <w:top w:val="single" w:sz="12" w:space="0" w:color="auto"/>
              <w:left w:val="nil"/>
              <w:bottom w:val="nil"/>
              <w:right w:val="nil"/>
            </w:tcBorders>
            <w:noWrap/>
            <w:vAlign w:val="center"/>
            <w:hideMark/>
          </w:tcPr>
          <w:p w14:paraId="48AFE097" w14:textId="77777777" w:rsidR="00B727AD" w:rsidRPr="00BF04E7" w:rsidRDefault="00B727AD" w:rsidP="009A5BC4">
            <w:pPr>
              <w:jc w:val="center"/>
              <w:rPr>
                <w:rFonts w:ascii="Arial" w:hAnsi="Arial" w:cs="Arial"/>
                <w:color w:val="000000"/>
              </w:rPr>
            </w:pPr>
            <w:r w:rsidRPr="00BF04E7">
              <w:rPr>
                <w:rFonts w:ascii="Arial" w:hAnsi="Arial" w:cs="Arial"/>
                <w:color w:val="000000"/>
              </w:rPr>
              <w:t>5.67 a</w:t>
            </w:r>
          </w:p>
        </w:tc>
        <w:tc>
          <w:tcPr>
            <w:tcW w:w="730" w:type="pct"/>
            <w:tcBorders>
              <w:top w:val="single" w:sz="12" w:space="0" w:color="auto"/>
              <w:left w:val="nil"/>
              <w:bottom w:val="nil"/>
              <w:right w:val="nil"/>
            </w:tcBorders>
            <w:noWrap/>
            <w:vAlign w:val="center"/>
            <w:hideMark/>
          </w:tcPr>
          <w:p w14:paraId="1E47EA95" w14:textId="77777777" w:rsidR="00B727AD" w:rsidRPr="00BF04E7" w:rsidRDefault="00B727AD" w:rsidP="009A5BC4">
            <w:pPr>
              <w:jc w:val="center"/>
              <w:rPr>
                <w:rFonts w:ascii="Arial" w:hAnsi="Arial" w:cs="Arial"/>
                <w:color w:val="000000"/>
              </w:rPr>
            </w:pPr>
            <w:r w:rsidRPr="00BF04E7">
              <w:rPr>
                <w:rFonts w:ascii="Arial" w:hAnsi="Arial" w:cs="Arial"/>
                <w:color w:val="000000"/>
              </w:rPr>
              <w:t>163.78 a</w:t>
            </w:r>
          </w:p>
        </w:tc>
        <w:tc>
          <w:tcPr>
            <w:tcW w:w="729" w:type="pct"/>
            <w:tcBorders>
              <w:top w:val="single" w:sz="12" w:space="0" w:color="auto"/>
              <w:left w:val="nil"/>
              <w:bottom w:val="nil"/>
              <w:right w:val="nil"/>
            </w:tcBorders>
            <w:noWrap/>
            <w:vAlign w:val="center"/>
            <w:hideMark/>
          </w:tcPr>
          <w:p w14:paraId="47FF14EB" w14:textId="77777777" w:rsidR="00B727AD" w:rsidRPr="00BF04E7" w:rsidRDefault="00B727AD" w:rsidP="009A5BC4">
            <w:pPr>
              <w:jc w:val="center"/>
              <w:rPr>
                <w:rFonts w:ascii="Arial" w:hAnsi="Arial" w:cs="Arial"/>
                <w:color w:val="000000"/>
              </w:rPr>
            </w:pPr>
            <w:r w:rsidRPr="00BF04E7">
              <w:rPr>
                <w:rFonts w:ascii="Arial" w:hAnsi="Arial" w:cs="Arial"/>
                <w:color w:val="000000"/>
              </w:rPr>
              <w:t>74.83 b</w:t>
            </w:r>
          </w:p>
        </w:tc>
      </w:tr>
      <w:tr w:rsidR="00B727AD" w:rsidRPr="00BF04E7" w14:paraId="0E34F95A" w14:textId="77777777" w:rsidTr="009A5BC4">
        <w:trPr>
          <w:trHeight w:val="315"/>
        </w:trPr>
        <w:tc>
          <w:tcPr>
            <w:tcW w:w="1030" w:type="pct"/>
            <w:tcBorders>
              <w:top w:val="nil"/>
              <w:left w:val="nil"/>
              <w:bottom w:val="nil"/>
              <w:right w:val="nil"/>
            </w:tcBorders>
            <w:noWrap/>
            <w:vAlign w:val="center"/>
            <w:hideMark/>
          </w:tcPr>
          <w:p w14:paraId="6457FC10" w14:textId="77777777" w:rsidR="00B727AD" w:rsidRPr="00BF04E7" w:rsidRDefault="00B727AD" w:rsidP="009A5BC4">
            <w:pPr>
              <w:jc w:val="center"/>
              <w:rPr>
                <w:rFonts w:ascii="Arial" w:hAnsi="Arial" w:cs="Arial"/>
                <w:b/>
                <w:bCs/>
                <w:color w:val="000000"/>
              </w:rPr>
            </w:pPr>
            <w:r w:rsidRPr="00BF04E7">
              <w:rPr>
                <w:rFonts w:ascii="Arial" w:hAnsi="Arial" w:cs="Arial"/>
                <w:b/>
                <w:bCs/>
                <w:color w:val="000000"/>
              </w:rPr>
              <w:t>P2</w:t>
            </w:r>
          </w:p>
        </w:tc>
        <w:tc>
          <w:tcPr>
            <w:tcW w:w="628" w:type="pct"/>
            <w:tcBorders>
              <w:top w:val="nil"/>
              <w:left w:val="nil"/>
              <w:bottom w:val="nil"/>
              <w:right w:val="nil"/>
            </w:tcBorders>
            <w:noWrap/>
            <w:vAlign w:val="center"/>
            <w:hideMark/>
          </w:tcPr>
          <w:p w14:paraId="1E6DD23F" w14:textId="77777777" w:rsidR="00B727AD" w:rsidRPr="00BF04E7" w:rsidRDefault="00B727AD" w:rsidP="009A5BC4">
            <w:pPr>
              <w:jc w:val="center"/>
              <w:rPr>
                <w:rFonts w:ascii="Arial" w:hAnsi="Arial" w:cs="Arial"/>
                <w:color w:val="000000"/>
              </w:rPr>
            </w:pPr>
            <w:r w:rsidRPr="00BF04E7">
              <w:rPr>
                <w:rFonts w:ascii="Arial" w:hAnsi="Arial" w:cs="Arial"/>
                <w:color w:val="000000"/>
              </w:rPr>
              <w:t>6.89 a</w:t>
            </w:r>
          </w:p>
        </w:tc>
        <w:tc>
          <w:tcPr>
            <w:tcW w:w="628" w:type="pct"/>
            <w:tcBorders>
              <w:top w:val="nil"/>
              <w:left w:val="nil"/>
              <w:bottom w:val="nil"/>
              <w:right w:val="nil"/>
            </w:tcBorders>
            <w:noWrap/>
            <w:vAlign w:val="center"/>
            <w:hideMark/>
          </w:tcPr>
          <w:p w14:paraId="76278BF5" w14:textId="77777777" w:rsidR="00B727AD" w:rsidRPr="00BF04E7" w:rsidRDefault="00B727AD" w:rsidP="009A5BC4">
            <w:pPr>
              <w:jc w:val="center"/>
              <w:rPr>
                <w:rFonts w:ascii="Arial" w:hAnsi="Arial" w:cs="Arial"/>
                <w:color w:val="000000"/>
              </w:rPr>
            </w:pPr>
            <w:r w:rsidRPr="00BF04E7">
              <w:rPr>
                <w:rFonts w:ascii="Arial" w:hAnsi="Arial" w:cs="Arial"/>
                <w:color w:val="000000"/>
              </w:rPr>
              <w:t xml:space="preserve">6.16 a </w:t>
            </w:r>
          </w:p>
        </w:tc>
        <w:tc>
          <w:tcPr>
            <w:tcW w:w="628" w:type="pct"/>
            <w:tcBorders>
              <w:top w:val="nil"/>
              <w:left w:val="nil"/>
              <w:bottom w:val="nil"/>
              <w:right w:val="nil"/>
            </w:tcBorders>
            <w:noWrap/>
            <w:vAlign w:val="center"/>
            <w:hideMark/>
          </w:tcPr>
          <w:p w14:paraId="6631245F" w14:textId="77777777" w:rsidR="00B727AD" w:rsidRPr="00BF04E7" w:rsidRDefault="00B727AD" w:rsidP="009A5BC4">
            <w:pPr>
              <w:jc w:val="center"/>
              <w:rPr>
                <w:rFonts w:ascii="Arial" w:hAnsi="Arial" w:cs="Arial"/>
                <w:color w:val="000000"/>
              </w:rPr>
            </w:pPr>
            <w:r w:rsidRPr="00BF04E7">
              <w:rPr>
                <w:rFonts w:ascii="Arial" w:hAnsi="Arial" w:cs="Arial"/>
                <w:color w:val="000000"/>
              </w:rPr>
              <w:t>6.02 a</w:t>
            </w:r>
          </w:p>
        </w:tc>
        <w:tc>
          <w:tcPr>
            <w:tcW w:w="628" w:type="pct"/>
            <w:tcBorders>
              <w:top w:val="nil"/>
              <w:left w:val="nil"/>
              <w:bottom w:val="nil"/>
              <w:right w:val="nil"/>
            </w:tcBorders>
            <w:noWrap/>
            <w:vAlign w:val="center"/>
            <w:hideMark/>
          </w:tcPr>
          <w:p w14:paraId="064D3FC9" w14:textId="77777777" w:rsidR="00B727AD" w:rsidRPr="00BF04E7" w:rsidRDefault="00B727AD" w:rsidP="009A5BC4">
            <w:pPr>
              <w:jc w:val="center"/>
              <w:rPr>
                <w:rFonts w:ascii="Arial" w:hAnsi="Arial" w:cs="Arial"/>
                <w:color w:val="000000"/>
              </w:rPr>
            </w:pPr>
            <w:r w:rsidRPr="00BF04E7">
              <w:rPr>
                <w:rFonts w:ascii="Arial" w:hAnsi="Arial" w:cs="Arial"/>
                <w:color w:val="000000"/>
              </w:rPr>
              <w:t>5.95 a</w:t>
            </w:r>
          </w:p>
        </w:tc>
        <w:tc>
          <w:tcPr>
            <w:tcW w:w="730" w:type="pct"/>
            <w:tcBorders>
              <w:top w:val="nil"/>
              <w:left w:val="nil"/>
              <w:bottom w:val="nil"/>
              <w:right w:val="nil"/>
            </w:tcBorders>
            <w:noWrap/>
            <w:vAlign w:val="center"/>
            <w:hideMark/>
          </w:tcPr>
          <w:p w14:paraId="5C94AB61" w14:textId="77777777" w:rsidR="00B727AD" w:rsidRPr="00BF04E7" w:rsidRDefault="00B727AD" w:rsidP="009A5BC4">
            <w:pPr>
              <w:jc w:val="center"/>
              <w:rPr>
                <w:rFonts w:ascii="Arial" w:hAnsi="Arial" w:cs="Arial"/>
                <w:color w:val="000000"/>
              </w:rPr>
            </w:pPr>
            <w:r w:rsidRPr="00BF04E7">
              <w:rPr>
                <w:rFonts w:ascii="Arial" w:hAnsi="Arial" w:cs="Arial"/>
                <w:color w:val="000000"/>
              </w:rPr>
              <w:t>247.47 a</w:t>
            </w:r>
          </w:p>
        </w:tc>
        <w:tc>
          <w:tcPr>
            <w:tcW w:w="729" w:type="pct"/>
            <w:tcBorders>
              <w:top w:val="nil"/>
              <w:left w:val="nil"/>
              <w:bottom w:val="nil"/>
              <w:right w:val="nil"/>
            </w:tcBorders>
            <w:noWrap/>
            <w:vAlign w:val="center"/>
            <w:hideMark/>
          </w:tcPr>
          <w:p w14:paraId="4E7F8C44" w14:textId="77777777" w:rsidR="00B727AD" w:rsidRPr="00BF04E7" w:rsidRDefault="00B727AD" w:rsidP="009A5BC4">
            <w:pPr>
              <w:jc w:val="center"/>
              <w:rPr>
                <w:rFonts w:ascii="Arial" w:hAnsi="Arial" w:cs="Arial"/>
                <w:color w:val="000000"/>
              </w:rPr>
            </w:pPr>
            <w:r w:rsidRPr="00BF04E7">
              <w:rPr>
                <w:rFonts w:ascii="Arial" w:hAnsi="Arial" w:cs="Arial"/>
                <w:color w:val="000000"/>
              </w:rPr>
              <w:t>147.00 a</w:t>
            </w:r>
          </w:p>
        </w:tc>
      </w:tr>
      <w:tr w:rsidR="00B727AD" w:rsidRPr="00BF04E7" w14:paraId="5E3D5919" w14:textId="77777777" w:rsidTr="009A5BC4">
        <w:trPr>
          <w:trHeight w:val="330"/>
        </w:trPr>
        <w:tc>
          <w:tcPr>
            <w:tcW w:w="1030" w:type="pct"/>
            <w:tcBorders>
              <w:top w:val="nil"/>
              <w:left w:val="nil"/>
              <w:bottom w:val="single" w:sz="12" w:space="0" w:color="auto"/>
              <w:right w:val="nil"/>
            </w:tcBorders>
            <w:noWrap/>
            <w:vAlign w:val="center"/>
            <w:hideMark/>
          </w:tcPr>
          <w:p w14:paraId="214EB3B6" w14:textId="77777777" w:rsidR="00B727AD" w:rsidRPr="00BF04E7" w:rsidRDefault="00B727AD" w:rsidP="009A5BC4">
            <w:pPr>
              <w:jc w:val="center"/>
              <w:rPr>
                <w:rFonts w:ascii="Arial" w:hAnsi="Arial" w:cs="Arial"/>
                <w:b/>
                <w:bCs/>
                <w:color w:val="000000"/>
              </w:rPr>
            </w:pPr>
            <w:r w:rsidRPr="00BF04E7">
              <w:rPr>
                <w:rFonts w:ascii="Arial" w:hAnsi="Arial" w:cs="Arial"/>
                <w:b/>
                <w:bCs/>
                <w:color w:val="000000"/>
              </w:rPr>
              <w:t>P3</w:t>
            </w:r>
          </w:p>
        </w:tc>
        <w:tc>
          <w:tcPr>
            <w:tcW w:w="628" w:type="pct"/>
            <w:tcBorders>
              <w:top w:val="nil"/>
              <w:left w:val="nil"/>
              <w:bottom w:val="single" w:sz="12" w:space="0" w:color="auto"/>
              <w:right w:val="nil"/>
            </w:tcBorders>
            <w:noWrap/>
            <w:vAlign w:val="center"/>
            <w:hideMark/>
          </w:tcPr>
          <w:p w14:paraId="63510191" w14:textId="77777777" w:rsidR="00B727AD" w:rsidRPr="00BF04E7" w:rsidRDefault="00B727AD" w:rsidP="009A5BC4">
            <w:pPr>
              <w:jc w:val="center"/>
              <w:rPr>
                <w:rFonts w:ascii="Arial" w:hAnsi="Arial" w:cs="Arial"/>
                <w:color w:val="000000"/>
              </w:rPr>
            </w:pPr>
            <w:r w:rsidRPr="00BF04E7">
              <w:rPr>
                <w:rFonts w:ascii="Arial" w:hAnsi="Arial" w:cs="Arial"/>
                <w:color w:val="000000"/>
              </w:rPr>
              <w:t>6.00 b</w:t>
            </w:r>
          </w:p>
        </w:tc>
        <w:tc>
          <w:tcPr>
            <w:tcW w:w="628" w:type="pct"/>
            <w:tcBorders>
              <w:top w:val="nil"/>
              <w:left w:val="nil"/>
              <w:bottom w:val="single" w:sz="12" w:space="0" w:color="auto"/>
              <w:right w:val="nil"/>
            </w:tcBorders>
            <w:noWrap/>
            <w:vAlign w:val="center"/>
            <w:hideMark/>
          </w:tcPr>
          <w:p w14:paraId="35B5F736" w14:textId="77777777" w:rsidR="00B727AD" w:rsidRPr="00BF04E7" w:rsidRDefault="00B727AD" w:rsidP="009A5BC4">
            <w:pPr>
              <w:jc w:val="center"/>
              <w:rPr>
                <w:rFonts w:ascii="Arial" w:hAnsi="Arial" w:cs="Arial"/>
                <w:color w:val="000000"/>
              </w:rPr>
            </w:pPr>
            <w:r w:rsidRPr="00BF04E7">
              <w:rPr>
                <w:rFonts w:ascii="Arial" w:hAnsi="Arial" w:cs="Arial"/>
                <w:color w:val="000000"/>
              </w:rPr>
              <w:t>5.20 b</w:t>
            </w:r>
          </w:p>
        </w:tc>
        <w:tc>
          <w:tcPr>
            <w:tcW w:w="628" w:type="pct"/>
            <w:tcBorders>
              <w:top w:val="nil"/>
              <w:left w:val="nil"/>
              <w:bottom w:val="single" w:sz="12" w:space="0" w:color="auto"/>
              <w:right w:val="nil"/>
            </w:tcBorders>
            <w:noWrap/>
            <w:vAlign w:val="center"/>
            <w:hideMark/>
          </w:tcPr>
          <w:p w14:paraId="20D99CCC" w14:textId="77777777" w:rsidR="00B727AD" w:rsidRPr="00BF04E7" w:rsidRDefault="00B727AD" w:rsidP="009A5BC4">
            <w:pPr>
              <w:jc w:val="center"/>
              <w:rPr>
                <w:rFonts w:ascii="Arial" w:hAnsi="Arial" w:cs="Arial"/>
                <w:color w:val="000000"/>
              </w:rPr>
            </w:pPr>
            <w:r w:rsidRPr="00BF04E7">
              <w:rPr>
                <w:rFonts w:ascii="Arial" w:hAnsi="Arial" w:cs="Arial"/>
                <w:color w:val="000000"/>
              </w:rPr>
              <w:t>5.12 b</w:t>
            </w:r>
          </w:p>
        </w:tc>
        <w:tc>
          <w:tcPr>
            <w:tcW w:w="628" w:type="pct"/>
            <w:tcBorders>
              <w:top w:val="nil"/>
              <w:left w:val="nil"/>
              <w:bottom w:val="single" w:sz="12" w:space="0" w:color="auto"/>
              <w:right w:val="nil"/>
            </w:tcBorders>
            <w:noWrap/>
            <w:vAlign w:val="center"/>
            <w:hideMark/>
          </w:tcPr>
          <w:p w14:paraId="57611134" w14:textId="77777777" w:rsidR="00B727AD" w:rsidRPr="00BF04E7" w:rsidRDefault="00B727AD" w:rsidP="009A5BC4">
            <w:pPr>
              <w:jc w:val="center"/>
              <w:rPr>
                <w:rFonts w:ascii="Arial" w:hAnsi="Arial" w:cs="Arial"/>
                <w:color w:val="000000"/>
              </w:rPr>
            </w:pPr>
            <w:r w:rsidRPr="00BF04E7">
              <w:rPr>
                <w:rFonts w:ascii="Arial" w:hAnsi="Arial" w:cs="Arial"/>
                <w:color w:val="000000"/>
              </w:rPr>
              <w:t>4.46 b</w:t>
            </w:r>
          </w:p>
        </w:tc>
        <w:tc>
          <w:tcPr>
            <w:tcW w:w="730" w:type="pct"/>
            <w:tcBorders>
              <w:top w:val="nil"/>
              <w:left w:val="nil"/>
              <w:bottom w:val="single" w:sz="12" w:space="0" w:color="auto"/>
              <w:right w:val="nil"/>
            </w:tcBorders>
            <w:noWrap/>
            <w:vAlign w:val="center"/>
            <w:hideMark/>
          </w:tcPr>
          <w:p w14:paraId="41DDE297" w14:textId="77777777" w:rsidR="00B727AD" w:rsidRPr="00BF04E7" w:rsidRDefault="00B727AD" w:rsidP="009A5BC4">
            <w:pPr>
              <w:jc w:val="center"/>
              <w:rPr>
                <w:rFonts w:ascii="Arial" w:hAnsi="Arial" w:cs="Arial"/>
                <w:color w:val="000000"/>
              </w:rPr>
            </w:pPr>
            <w:r w:rsidRPr="00BF04E7">
              <w:rPr>
                <w:rFonts w:ascii="Arial" w:hAnsi="Arial" w:cs="Arial"/>
                <w:color w:val="000000"/>
              </w:rPr>
              <w:t>175.66 a</w:t>
            </w:r>
          </w:p>
        </w:tc>
        <w:tc>
          <w:tcPr>
            <w:tcW w:w="729" w:type="pct"/>
            <w:tcBorders>
              <w:top w:val="nil"/>
              <w:left w:val="nil"/>
              <w:bottom w:val="single" w:sz="12" w:space="0" w:color="auto"/>
              <w:right w:val="nil"/>
            </w:tcBorders>
            <w:noWrap/>
            <w:vAlign w:val="center"/>
            <w:hideMark/>
          </w:tcPr>
          <w:p w14:paraId="784A8781" w14:textId="77777777" w:rsidR="00B727AD" w:rsidRPr="00BF04E7" w:rsidRDefault="00B727AD" w:rsidP="009A5BC4">
            <w:pPr>
              <w:jc w:val="center"/>
              <w:rPr>
                <w:rFonts w:ascii="Arial" w:hAnsi="Arial" w:cs="Arial"/>
                <w:color w:val="000000"/>
              </w:rPr>
            </w:pPr>
            <w:r w:rsidRPr="00BF04E7">
              <w:rPr>
                <w:rFonts w:ascii="Arial" w:hAnsi="Arial" w:cs="Arial"/>
                <w:color w:val="000000"/>
              </w:rPr>
              <w:t>78.86 b</w:t>
            </w:r>
          </w:p>
        </w:tc>
      </w:tr>
    </w:tbl>
    <w:p w14:paraId="2EBA90EA" w14:textId="77777777" w:rsidR="0000164D" w:rsidRDefault="0000164D" w:rsidP="00284254">
      <w:pPr>
        <w:ind w:firstLine="720"/>
        <w:jc w:val="both"/>
        <w:rPr>
          <w:rFonts w:ascii="Arial" w:hAnsi="Arial" w:cs="Arial"/>
        </w:rPr>
      </w:pPr>
    </w:p>
    <w:p w14:paraId="7599FB5B" w14:textId="3E5A7155" w:rsidR="000D71D5" w:rsidRPr="000D71D5" w:rsidRDefault="000D71D5" w:rsidP="0000164D">
      <w:pPr>
        <w:jc w:val="both"/>
        <w:rPr>
          <w:rFonts w:ascii="Arial" w:hAnsi="Arial" w:cs="Arial"/>
        </w:rPr>
      </w:pPr>
      <w:r w:rsidRPr="000D71D5">
        <w:rPr>
          <w:rFonts w:ascii="Arial" w:hAnsi="Arial" w:cs="Arial"/>
        </w:rPr>
        <w:t>The carbon content of Plot P3 is low compared to that of Plots P2 and P1, regardless of the sampling layer (Fig. 2). It varies for Plot P3 from 4.23 mg g-1 in the 0-10 cm horizon to 4.10 mg g-1 in the 10-20 cm layer.</w:t>
      </w:r>
      <w:r w:rsidR="00284254">
        <w:rPr>
          <w:rFonts w:ascii="Arial" w:hAnsi="Arial" w:cs="Arial"/>
        </w:rPr>
        <w:t xml:space="preserve"> </w:t>
      </w:r>
      <w:r w:rsidRPr="000D71D5">
        <w:rPr>
          <w:rFonts w:ascii="Arial" w:hAnsi="Arial" w:cs="Arial"/>
        </w:rPr>
        <w:t>For Plots P1 and P2, the 0-10 cm layer contains 9.18 mg g-1 and 8.28 mg g-1, respectively. In the 10-20 cm layer, it decreases for these two plots but remains higher than that of P3, at around 8.38 mg g-1 for P1 and 6.82 mg g-1 for P2. Analysis of variance shows significant differences between Plots P1 and P2 and P3, regardless of the layer (Table 3).</w:t>
      </w:r>
    </w:p>
    <w:p w14:paraId="74AE7C76" w14:textId="44DCAC58" w:rsidR="00284254" w:rsidRDefault="00284254" w:rsidP="00441B6F">
      <w:pPr>
        <w:pStyle w:val="Body"/>
        <w:spacing w:after="0"/>
        <w:rPr>
          <w:rFonts w:ascii="Arial" w:hAnsi="Arial" w:cs="Arial"/>
        </w:rPr>
      </w:pPr>
      <w:r w:rsidRPr="00D04182">
        <w:rPr>
          <w:noProof/>
        </w:rPr>
        <w:lastRenderedPageBreak/>
        <w:drawing>
          <wp:inline distT="0" distB="0" distL="0" distR="0" wp14:anchorId="60CC7D57" wp14:editId="34872487">
            <wp:extent cx="5212080" cy="2715003"/>
            <wp:effectExtent l="0" t="0" r="0" b="3175"/>
            <wp:docPr id="26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6BA4F3" w14:textId="77777777" w:rsidR="00284254" w:rsidRPr="00284254" w:rsidRDefault="00284254" w:rsidP="00284254">
      <w:pPr>
        <w:jc w:val="center"/>
        <w:rPr>
          <w:rFonts w:ascii="Arial" w:hAnsi="Arial" w:cs="Arial"/>
          <w:b/>
          <w:bCs/>
          <w:color w:val="000000" w:themeColor="text1"/>
        </w:rPr>
      </w:pPr>
      <w:bookmarkStart w:id="8" w:name="_Toc497410770"/>
      <w:bookmarkStart w:id="9" w:name="_Toc513534576"/>
      <w:bookmarkStart w:id="10" w:name="_Toc526158703"/>
      <w:r w:rsidRPr="00284254">
        <w:rPr>
          <w:rFonts w:ascii="Arial" w:hAnsi="Arial" w:cs="Arial"/>
          <w:b/>
          <w:bCs/>
          <w:color w:val="000000" w:themeColor="text1"/>
        </w:rPr>
        <w:t xml:space="preserve">Figure </w:t>
      </w:r>
      <w:r w:rsidRPr="00284254">
        <w:rPr>
          <w:rFonts w:ascii="Arial" w:hAnsi="Arial" w:cs="Arial"/>
          <w:b/>
          <w:bCs/>
          <w:color w:val="000000" w:themeColor="text1"/>
        </w:rPr>
        <w:fldChar w:fldCharType="begin"/>
      </w:r>
      <w:r w:rsidRPr="00284254">
        <w:rPr>
          <w:rFonts w:ascii="Arial" w:hAnsi="Arial" w:cs="Arial"/>
          <w:b/>
          <w:bCs/>
          <w:color w:val="000000" w:themeColor="text1"/>
        </w:rPr>
        <w:instrText xml:space="preserve"> SEQ Figure \* ARABIC </w:instrText>
      </w:r>
      <w:r w:rsidRPr="00284254">
        <w:rPr>
          <w:rFonts w:ascii="Arial" w:hAnsi="Arial" w:cs="Arial"/>
          <w:b/>
          <w:bCs/>
          <w:color w:val="000000" w:themeColor="text1"/>
        </w:rPr>
        <w:fldChar w:fldCharType="separate"/>
      </w:r>
      <w:r w:rsidRPr="00284254">
        <w:rPr>
          <w:rFonts w:ascii="Arial" w:hAnsi="Arial" w:cs="Arial"/>
          <w:b/>
          <w:bCs/>
          <w:color w:val="000000" w:themeColor="text1"/>
        </w:rPr>
        <w:t>2</w:t>
      </w:r>
      <w:r w:rsidRPr="00284254">
        <w:rPr>
          <w:rFonts w:ascii="Arial" w:hAnsi="Arial" w:cs="Arial"/>
          <w:b/>
          <w:bCs/>
          <w:color w:val="000000" w:themeColor="text1"/>
        </w:rPr>
        <w:fldChar w:fldCharType="end"/>
      </w:r>
      <w:r w:rsidRPr="00284254">
        <w:rPr>
          <w:rFonts w:ascii="Arial" w:hAnsi="Arial" w:cs="Arial"/>
          <w:b/>
          <w:bCs/>
          <w:color w:val="000000" w:themeColor="text1"/>
        </w:rPr>
        <w:t xml:space="preserve"> : </w:t>
      </w:r>
      <w:bookmarkEnd w:id="8"/>
      <w:bookmarkEnd w:id="9"/>
      <w:bookmarkEnd w:id="10"/>
      <w:r w:rsidRPr="00284254">
        <w:rPr>
          <w:rFonts w:ascii="Arial" w:hAnsi="Arial" w:cs="Arial"/>
          <w:b/>
          <w:bCs/>
          <w:color w:val="000000" w:themeColor="text1"/>
        </w:rPr>
        <w:t>Organic carbon content of different plots</w:t>
      </w:r>
    </w:p>
    <w:p w14:paraId="3ABE8E5E" w14:textId="79A6C4D3" w:rsidR="000D71D5" w:rsidRDefault="000D71D5" w:rsidP="00441B6F">
      <w:pPr>
        <w:pStyle w:val="Body"/>
        <w:spacing w:after="0"/>
        <w:rPr>
          <w:rFonts w:ascii="Arial" w:hAnsi="Arial" w:cs="Arial"/>
        </w:rPr>
      </w:pPr>
    </w:p>
    <w:p w14:paraId="0DD9C419" w14:textId="1376A612" w:rsidR="00284254" w:rsidRDefault="00284254" w:rsidP="00441B6F">
      <w:pPr>
        <w:pStyle w:val="Body"/>
        <w:spacing w:after="0"/>
        <w:rPr>
          <w:rFonts w:ascii="Arial" w:hAnsi="Arial" w:cs="Arial"/>
        </w:rPr>
      </w:pPr>
      <w:r w:rsidRPr="00284254">
        <w:rPr>
          <w:rFonts w:ascii="Arial" w:hAnsi="Arial" w:cs="Arial"/>
        </w:rPr>
        <w:t>Nitrogen contents are increasing and evolve from 0.48 mg g-1 for P3; 0.54 mg g-1 for P2 and 0.56 mg g-1 for P1 for the 0-10 cm layer (Fig</w:t>
      </w:r>
      <w:r>
        <w:rPr>
          <w:rFonts w:ascii="Arial" w:hAnsi="Arial" w:cs="Arial"/>
        </w:rPr>
        <w:t>.</w:t>
      </w:r>
      <w:r w:rsidRPr="00284254">
        <w:rPr>
          <w:rFonts w:ascii="Arial" w:hAnsi="Arial" w:cs="Arial"/>
        </w:rPr>
        <w:t xml:space="preserve"> 3). In the 10-20 cm layer they are also increasing. We note 0.18 mg g-1 for P3, 0.49 mg g-1 for P1 and 0.50 mg g-1 for P2. The analysis of variance shows no significant difference between plots P1 and P2 regardless of the sampling layer. On the other hand, there are significant differences between plots P1, P2 and P3 on the two sampling layers (Table 3).</w:t>
      </w:r>
    </w:p>
    <w:p w14:paraId="575B2BEE" w14:textId="1ECA5307" w:rsidR="00284254" w:rsidRDefault="00284254" w:rsidP="00441B6F">
      <w:pPr>
        <w:pStyle w:val="Body"/>
        <w:spacing w:after="0"/>
        <w:rPr>
          <w:rFonts w:ascii="Arial" w:hAnsi="Arial" w:cs="Arial"/>
        </w:rPr>
      </w:pPr>
    </w:p>
    <w:p w14:paraId="52E0019E" w14:textId="01EE56E4" w:rsidR="00284254" w:rsidRDefault="0050791C" w:rsidP="00441B6F">
      <w:pPr>
        <w:pStyle w:val="Body"/>
        <w:spacing w:after="0"/>
        <w:rPr>
          <w:rFonts w:ascii="Arial" w:hAnsi="Arial" w:cs="Arial"/>
        </w:rPr>
      </w:pPr>
      <w:r>
        <w:rPr>
          <w:noProof/>
        </w:rPr>
        <w:object w:dxaOrig="9529" w:dyaOrig="6286" w14:anchorId="77306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05pt;height:239.35pt;mso-width-percent:0;mso-height-percent:0;mso-width-percent:0;mso-height-percent:0" o:ole="">
            <v:imagedata r:id="rId16" o:title=""/>
          </v:shape>
          <o:OLEObject Type="Embed" ProgID="Excel.Sheet.8" ShapeID="_x0000_i1025" DrawAspect="Content" ObjectID="_1818922315" r:id="rId17"/>
        </w:object>
      </w:r>
    </w:p>
    <w:p w14:paraId="712BDC65" w14:textId="77777777" w:rsidR="00284254" w:rsidRPr="00284254" w:rsidRDefault="00284254" w:rsidP="00284254">
      <w:pPr>
        <w:jc w:val="center"/>
        <w:rPr>
          <w:rFonts w:ascii="Arial" w:hAnsi="Arial" w:cs="Arial"/>
          <w:b/>
          <w:bCs/>
          <w:color w:val="000000" w:themeColor="text1"/>
        </w:rPr>
      </w:pPr>
      <w:bookmarkStart w:id="11" w:name="_Toc497410771"/>
      <w:bookmarkStart w:id="12" w:name="_Toc513534577"/>
      <w:bookmarkStart w:id="13" w:name="_Toc526158704"/>
      <w:r w:rsidRPr="00284254">
        <w:rPr>
          <w:rFonts w:ascii="Arial" w:hAnsi="Arial" w:cs="Arial"/>
          <w:b/>
          <w:bCs/>
          <w:color w:val="000000" w:themeColor="text1"/>
        </w:rPr>
        <w:t xml:space="preserve">Figure </w:t>
      </w:r>
      <w:r w:rsidRPr="00284254">
        <w:rPr>
          <w:rFonts w:ascii="Arial" w:hAnsi="Arial" w:cs="Arial"/>
          <w:b/>
          <w:bCs/>
          <w:color w:val="000000" w:themeColor="text1"/>
        </w:rPr>
        <w:fldChar w:fldCharType="begin"/>
      </w:r>
      <w:r w:rsidRPr="00284254">
        <w:rPr>
          <w:rFonts w:ascii="Arial" w:hAnsi="Arial" w:cs="Arial"/>
          <w:b/>
          <w:bCs/>
          <w:color w:val="000000" w:themeColor="text1"/>
        </w:rPr>
        <w:instrText xml:space="preserve"> SEQ Figure \* ARABIC </w:instrText>
      </w:r>
      <w:r w:rsidRPr="00284254">
        <w:rPr>
          <w:rFonts w:ascii="Arial" w:hAnsi="Arial" w:cs="Arial"/>
          <w:b/>
          <w:bCs/>
          <w:color w:val="000000" w:themeColor="text1"/>
        </w:rPr>
        <w:fldChar w:fldCharType="separate"/>
      </w:r>
      <w:r w:rsidRPr="00284254">
        <w:rPr>
          <w:rFonts w:ascii="Arial" w:hAnsi="Arial" w:cs="Arial"/>
          <w:b/>
          <w:bCs/>
          <w:color w:val="000000" w:themeColor="text1"/>
        </w:rPr>
        <w:t>3</w:t>
      </w:r>
      <w:r w:rsidRPr="00284254">
        <w:rPr>
          <w:rFonts w:ascii="Arial" w:hAnsi="Arial" w:cs="Arial"/>
          <w:b/>
          <w:bCs/>
          <w:color w:val="000000" w:themeColor="text1"/>
        </w:rPr>
        <w:fldChar w:fldCharType="end"/>
      </w:r>
      <w:r w:rsidRPr="00284254">
        <w:rPr>
          <w:rFonts w:ascii="Arial" w:hAnsi="Arial" w:cs="Arial"/>
          <w:b/>
          <w:bCs/>
          <w:color w:val="000000" w:themeColor="text1"/>
        </w:rPr>
        <w:t xml:space="preserve"> : </w:t>
      </w:r>
      <w:bookmarkEnd w:id="11"/>
      <w:bookmarkEnd w:id="12"/>
      <w:bookmarkEnd w:id="13"/>
      <w:r w:rsidRPr="00284254">
        <w:rPr>
          <w:rFonts w:ascii="Arial" w:hAnsi="Arial" w:cs="Arial"/>
          <w:b/>
          <w:bCs/>
          <w:color w:val="000000" w:themeColor="text1"/>
        </w:rPr>
        <w:t>Total nitrogen content of the different plots</w:t>
      </w:r>
    </w:p>
    <w:p w14:paraId="4683577C" w14:textId="77777777" w:rsidR="00284254" w:rsidRDefault="00284254" w:rsidP="00441B6F">
      <w:pPr>
        <w:pStyle w:val="Body"/>
        <w:spacing w:after="0"/>
        <w:rPr>
          <w:rFonts w:ascii="Arial" w:hAnsi="Arial" w:cs="Arial"/>
        </w:rPr>
      </w:pPr>
    </w:p>
    <w:p w14:paraId="4ABCB67E" w14:textId="1C81F506" w:rsidR="00B306DC" w:rsidRDefault="00284254" w:rsidP="00441B6F">
      <w:pPr>
        <w:pStyle w:val="Body"/>
        <w:spacing w:after="0"/>
        <w:rPr>
          <w:rFonts w:ascii="Arial" w:hAnsi="Arial" w:cs="Arial"/>
        </w:rPr>
      </w:pPr>
      <w:r w:rsidRPr="00B306DC">
        <w:rPr>
          <w:rFonts w:ascii="Arial" w:hAnsi="Arial" w:cs="Arial"/>
        </w:rPr>
        <w:t>The available phosphorus levels in the plots are generally low (Fig. 4). In the 0-10 cm layer, values of 0.04 mg g-1 were recorded for P1, 0.08 mg g-1 for P2 and 0.02 mg g-1 for P3. These values increase to 0.01 mg g-1 for P1, 0.03 mg g-1 for P2 and 0.01 mg g-1 for P3 in the 10-</w:t>
      </w:r>
      <w:r w:rsidRPr="00B306DC">
        <w:rPr>
          <w:rFonts w:ascii="Arial" w:hAnsi="Arial" w:cs="Arial"/>
        </w:rPr>
        <w:lastRenderedPageBreak/>
        <w:t>20 cm layer. There are also significant differences between P2 and the other treatments at the 5% threshold according to Tukey, regardless of the layer (Table 3).</w:t>
      </w:r>
    </w:p>
    <w:p w14:paraId="23FD974E" w14:textId="40F1DE3E" w:rsidR="00284254" w:rsidRDefault="0050791C" w:rsidP="00441B6F">
      <w:pPr>
        <w:pStyle w:val="Body"/>
        <w:spacing w:after="0"/>
        <w:rPr>
          <w:rFonts w:ascii="Arial" w:hAnsi="Arial" w:cs="Arial"/>
        </w:rPr>
      </w:pPr>
      <w:r>
        <w:rPr>
          <w:noProof/>
        </w:rPr>
        <w:object w:dxaOrig="9529" w:dyaOrig="6286" w14:anchorId="4B514FFD">
          <v:shape id="_x0000_i1026" type="#_x0000_t75" alt="" style="width:431.05pt;height:234.95pt;mso-width-percent:0;mso-height-percent:0;mso-width-percent:0;mso-height-percent:0" o:ole="">
            <v:imagedata r:id="rId18" o:title=""/>
          </v:shape>
          <o:OLEObject Type="Embed" ProgID="Excel.Sheet.8" ShapeID="_x0000_i1026" DrawAspect="Content" ObjectID="_1818922316" r:id="rId19"/>
        </w:object>
      </w:r>
    </w:p>
    <w:p w14:paraId="053E8E28" w14:textId="77777777" w:rsidR="00284254" w:rsidRPr="00284254" w:rsidRDefault="00284254" w:rsidP="00284254">
      <w:pPr>
        <w:jc w:val="center"/>
        <w:rPr>
          <w:rFonts w:ascii="Arial" w:hAnsi="Arial" w:cs="Arial"/>
          <w:b/>
          <w:bCs/>
          <w:color w:val="000000" w:themeColor="text1"/>
        </w:rPr>
      </w:pPr>
      <w:bookmarkStart w:id="14" w:name="_Toc497410773"/>
      <w:bookmarkStart w:id="15" w:name="_Toc513534579"/>
      <w:bookmarkStart w:id="16" w:name="_Toc526158706"/>
      <w:r w:rsidRPr="00284254">
        <w:rPr>
          <w:rFonts w:ascii="Arial" w:hAnsi="Arial" w:cs="Arial"/>
          <w:b/>
          <w:bCs/>
          <w:color w:val="000000" w:themeColor="text1"/>
        </w:rPr>
        <w:t xml:space="preserve">Figure </w:t>
      </w:r>
      <w:r w:rsidRPr="00284254">
        <w:rPr>
          <w:rFonts w:ascii="Arial" w:hAnsi="Arial" w:cs="Arial"/>
          <w:b/>
          <w:bCs/>
          <w:color w:val="000000" w:themeColor="text1"/>
        </w:rPr>
        <w:fldChar w:fldCharType="begin"/>
      </w:r>
      <w:r w:rsidRPr="00284254">
        <w:rPr>
          <w:rFonts w:ascii="Arial" w:hAnsi="Arial" w:cs="Arial"/>
          <w:b/>
          <w:bCs/>
          <w:color w:val="000000" w:themeColor="text1"/>
        </w:rPr>
        <w:instrText xml:space="preserve"> SEQ Figure \* ARABIC </w:instrText>
      </w:r>
      <w:r w:rsidRPr="00284254">
        <w:rPr>
          <w:rFonts w:ascii="Arial" w:hAnsi="Arial" w:cs="Arial"/>
          <w:b/>
          <w:bCs/>
          <w:color w:val="000000" w:themeColor="text1"/>
        </w:rPr>
        <w:fldChar w:fldCharType="separate"/>
      </w:r>
      <w:r w:rsidRPr="00284254">
        <w:rPr>
          <w:rFonts w:ascii="Arial" w:hAnsi="Arial" w:cs="Arial"/>
          <w:b/>
          <w:bCs/>
          <w:color w:val="000000" w:themeColor="text1"/>
        </w:rPr>
        <w:t>4</w:t>
      </w:r>
      <w:r w:rsidRPr="00284254">
        <w:rPr>
          <w:rFonts w:ascii="Arial" w:hAnsi="Arial" w:cs="Arial"/>
          <w:b/>
          <w:bCs/>
          <w:color w:val="000000" w:themeColor="text1"/>
        </w:rPr>
        <w:fldChar w:fldCharType="end"/>
      </w:r>
      <w:r w:rsidRPr="00284254">
        <w:rPr>
          <w:rFonts w:ascii="Arial" w:hAnsi="Arial" w:cs="Arial"/>
          <w:b/>
          <w:bCs/>
          <w:color w:val="000000" w:themeColor="text1"/>
        </w:rPr>
        <w:t xml:space="preserve"> : Content of assimilable </w:t>
      </w:r>
      <w:proofErr w:type="spellStart"/>
      <w:r w:rsidRPr="00284254">
        <w:rPr>
          <w:rFonts w:ascii="Arial" w:hAnsi="Arial" w:cs="Arial"/>
          <w:b/>
          <w:bCs/>
          <w:color w:val="000000" w:themeColor="text1"/>
        </w:rPr>
        <w:t>posphorus</w:t>
      </w:r>
      <w:proofErr w:type="spellEnd"/>
      <w:r w:rsidRPr="00284254">
        <w:rPr>
          <w:rFonts w:ascii="Arial" w:hAnsi="Arial" w:cs="Arial"/>
          <w:b/>
          <w:bCs/>
          <w:color w:val="000000" w:themeColor="text1"/>
        </w:rPr>
        <w:t xml:space="preserve"> </w:t>
      </w:r>
      <w:bookmarkEnd w:id="14"/>
      <w:bookmarkEnd w:id="15"/>
      <w:bookmarkEnd w:id="16"/>
      <w:r w:rsidRPr="00284254">
        <w:rPr>
          <w:rFonts w:ascii="Arial" w:hAnsi="Arial" w:cs="Arial"/>
          <w:b/>
          <w:bCs/>
          <w:color w:val="000000" w:themeColor="text1"/>
        </w:rPr>
        <w:t>of the different plots</w:t>
      </w:r>
    </w:p>
    <w:p w14:paraId="3F648128" w14:textId="77777777" w:rsidR="00E77ED3" w:rsidRDefault="00E77ED3" w:rsidP="00E77ED3">
      <w:pPr>
        <w:pStyle w:val="Caption"/>
        <w:rPr>
          <w:rFonts w:ascii="Times New Roman" w:hAnsi="Times New Roman" w:cs="Times New Roman"/>
          <w:color w:val="auto"/>
          <w:sz w:val="22"/>
          <w:szCs w:val="22"/>
          <w:lang w:val="en-US"/>
        </w:rPr>
      </w:pPr>
      <w:bookmarkStart w:id="17" w:name="_Toc513534100"/>
      <w:bookmarkStart w:id="18" w:name="_Toc526154767"/>
    </w:p>
    <w:p w14:paraId="16DC952C" w14:textId="77777777" w:rsidR="0000164D" w:rsidRDefault="0000164D" w:rsidP="00E77ED3">
      <w:pPr>
        <w:jc w:val="center"/>
        <w:rPr>
          <w:rFonts w:ascii="Arial" w:hAnsi="Arial" w:cs="Arial"/>
          <w:b/>
          <w:bCs/>
          <w:color w:val="000000" w:themeColor="text1"/>
        </w:rPr>
      </w:pPr>
    </w:p>
    <w:p w14:paraId="007D1E9E" w14:textId="77777777" w:rsidR="0000164D" w:rsidRDefault="0000164D" w:rsidP="00E77ED3">
      <w:pPr>
        <w:jc w:val="center"/>
        <w:rPr>
          <w:rFonts w:ascii="Arial" w:hAnsi="Arial" w:cs="Arial"/>
          <w:b/>
          <w:bCs/>
          <w:color w:val="000000" w:themeColor="text1"/>
        </w:rPr>
      </w:pPr>
    </w:p>
    <w:p w14:paraId="1CB6B052" w14:textId="77011B31" w:rsidR="00284254" w:rsidRDefault="00E77ED3" w:rsidP="00E77ED3">
      <w:pPr>
        <w:jc w:val="center"/>
        <w:rPr>
          <w:rFonts w:ascii="Arial" w:hAnsi="Arial" w:cs="Arial"/>
          <w:b/>
          <w:bCs/>
          <w:color w:val="000000" w:themeColor="text1"/>
        </w:rPr>
      </w:pPr>
      <w:r w:rsidRPr="00E77ED3">
        <w:rPr>
          <w:rFonts w:ascii="Arial" w:hAnsi="Arial" w:cs="Arial"/>
          <w:b/>
          <w:bCs/>
          <w:color w:val="000000" w:themeColor="text1"/>
        </w:rPr>
        <w:t xml:space="preserve">Table </w:t>
      </w:r>
      <w:r w:rsidRPr="00E77ED3">
        <w:rPr>
          <w:rFonts w:ascii="Arial" w:hAnsi="Arial" w:cs="Arial"/>
          <w:b/>
          <w:bCs/>
          <w:color w:val="000000" w:themeColor="text1"/>
        </w:rPr>
        <w:fldChar w:fldCharType="begin"/>
      </w:r>
      <w:r w:rsidRPr="00E77ED3">
        <w:rPr>
          <w:rFonts w:ascii="Arial" w:hAnsi="Arial" w:cs="Arial"/>
          <w:b/>
          <w:bCs/>
          <w:color w:val="000000" w:themeColor="text1"/>
        </w:rPr>
        <w:instrText xml:space="preserve"> SEQ Tableau \* ARABIC </w:instrText>
      </w:r>
      <w:r w:rsidRPr="00E77ED3">
        <w:rPr>
          <w:rFonts w:ascii="Arial" w:hAnsi="Arial" w:cs="Arial"/>
          <w:b/>
          <w:bCs/>
          <w:color w:val="000000" w:themeColor="text1"/>
        </w:rPr>
        <w:fldChar w:fldCharType="separate"/>
      </w:r>
      <w:r w:rsidRPr="00E77ED3">
        <w:rPr>
          <w:rFonts w:ascii="Arial" w:hAnsi="Arial" w:cs="Arial"/>
          <w:b/>
          <w:bCs/>
          <w:color w:val="000000" w:themeColor="text1"/>
        </w:rPr>
        <w:t>3</w:t>
      </w:r>
      <w:r w:rsidRPr="00E77ED3">
        <w:rPr>
          <w:rFonts w:ascii="Arial" w:hAnsi="Arial" w:cs="Arial"/>
          <w:b/>
          <w:bCs/>
          <w:color w:val="000000" w:themeColor="text1"/>
        </w:rPr>
        <w:fldChar w:fldCharType="end"/>
      </w:r>
      <w:r w:rsidRPr="00E77ED3">
        <w:rPr>
          <w:rFonts w:ascii="Arial" w:hAnsi="Arial" w:cs="Arial"/>
          <w:b/>
          <w:bCs/>
          <w:color w:val="000000" w:themeColor="text1"/>
        </w:rPr>
        <w:t xml:space="preserve">: </w:t>
      </w:r>
      <w:bookmarkEnd w:id="17"/>
      <w:bookmarkEnd w:id="18"/>
      <w:r w:rsidRPr="00E77ED3">
        <w:rPr>
          <w:rFonts w:ascii="Arial" w:hAnsi="Arial" w:cs="Arial"/>
          <w:b/>
          <w:bCs/>
          <w:color w:val="000000" w:themeColor="text1"/>
        </w:rPr>
        <w:t>Comparison of average C, N, and Pa contents</w:t>
      </w:r>
    </w:p>
    <w:p w14:paraId="222A7DE7" w14:textId="77777777" w:rsidR="00E77ED3" w:rsidRPr="00E77ED3" w:rsidRDefault="00E77ED3" w:rsidP="00E77ED3">
      <w:pPr>
        <w:rPr>
          <w:rFonts w:ascii="Arial" w:hAnsi="Arial" w:cs="Arial"/>
          <w:b/>
          <w:bCs/>
          <w:color w:val="000000" w:themeColor="text1"/>
        </w:rPr>
      </w:pPr>
    </w:p>
    <w:tbl>
      <w:tblPr>
        <w:tblW w:w="0" w:type="auto"/>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1408"/>
        <w:gridCol w:w="780"/>
        <w:gridCol w:w="1054"/>
        <w:gridCol w:w="885"/>
        <w:gridCol w:w="997"/>
        <w:gridCol w:w="885"/>
        <w:gridCol w:w="997"/>
      </w:tblGrid>
      <w:tr w:rsidR="00E77ED3" w:rsidRPr="00BF04E7" w14:paraId="103F5442" w14:textId="77777777" w:rsidTr="009A5BC4">
        <w:trPr>
          <w:trHeight w:val="300"/>
        </w:trPr>
        <w:tc>
          <w:tcPr>
            <w:tcW w:w="1408" w:type="dxa"/>
            <w:vMerge w:val="restart"/>
            <w:tcBorders>
              <w:top w:val="single" w:sz="12" w:space="0" w:color="auto"/>
              <w:bottom w:val="nil"/>
            </w:tcBorders>
            <w:noWrap/>
            <w:vAlign w:val="center"/>
            <w:hideMark/>
          </w:tcPr>
          <w:p w14:paraId="3E308EFA" w14:textId="77777777" w:rsidR="00E77ED3" w:rsidRPr="00BF04E7" w:rsidRDefault="00E77ED3" w:rsidP="009A5BC4">
            <w:pPr>
              <w:jc w:val="center"/>
              <w:rPr>
                <w:rFonts w:ascii="Arial" w:hAnsi="Arial" w:cs="Arial"/>
                <w:b/>
                <w:color w:val="000000"/>
              </w:rPr>
            </w:pPr>
            <w:r w:rsidRPr="00BF04E7">
              <w:rPr>
                <w:rFonts w:ascii="Arial" w:hAnsi="Arial" w:cs="Arial"/>
                <w:b/>
                <w:color w:val="000000"/>
              </w:rPr>
              <w:t>Plots</w:t>
            </w:r>
          </w:p>
        </w:tc>
        <w:tc>
          <w:tcPr>
            <w:tcW w:w="1834" w:type="dxa"/>
            <w:gridSpan w:val="2"/>
            <w:tcBorders>
              <w:top w:val="single" w:sz="12" w:space="0" w:color="auto"/>
              <w:bottom w:val="nil"/>
            </w:tcBorders>
            <w:noWrap/>
            <w:vAlign w:val="center"/>
            <w:hideMark/>
          </w:tcPr>
          <w:p w14:paraId="67E9DA98" w14:textId="77777777" w:rsidR="00E77ED3" w:rsidRPr="00BF04E7" w:rsidRDefault="00E77ED3" w:rsidP="009A5BC4">
            <w:pPr>
              <w:jc w:val="center"/>
              <w:rPr>
                <w:rFonts w:ascii="Arial" w:hAnsi="Arial" w:cs="Arial"/>
                <w:b/>
                <w:color w:val="000000"/>
              </w:rPr>
            </w:pPr>
            <w:r w:rsidRPr="00BF04E7">
              <w:rPr>
                <w:rFonts w:ascii="Arial" w:hAnsi="Arial" w:cs="Arial"/>
                <w:b/>
                <w:color w:val="000000"/>
              </w:rPr>
              <w:t>N (</w:t>
            </w:r>
            <w:proofErr w:type="gramStart"/>
            <w:r w:rsidRPr="00BF04E7">
              <w:rPr>
                <w:rFonts w:ascii="Arial" w:hAnsi="Arial" w:cs="Arial"/>
                <w:b/>
                <w:color w:val="000000"/>
              </w:rPr>
              <w:t>mg.g</w:t>
            </w:r>
            <w:proofErr w:type="gramEnd"/>
            <w:r w:rsidRPr="00BF04E7">
              <w:rPr>
                <w:rFonts w:ascii="Arial" w:hAnsi="Arial" w:cs="Arial"/>
                <w:b/>
                <w:color w:val="000000"/>
                <w:vertAlign w:val="superscript"/>
              </w:rPr>
              <w:t>-1</w:t>
            </w:r>
            <w:r w:rsidRPr="00BF04E7">
              <w:rPr>
                <w:rFonts w:ascii="Arial" w:hAnsi="Arial" w:cs="Arial"/>
                <w:b/>
                <w:color w:val="000000"/>
              </w:rPr>
              <w:t>)</w:t>
            </w:r>
          </w:p>
        </w:tc>
        <w:tc>
          <w:tcPr>
            <w:tcW w:w="0" w:type="auto"/>
            <w:gridSpan w:val="2"/>
            <w:tcBorders>
              <w:top w:val="single" w:sz="12" w:space="0" w:color="auto"/>
              <w:bottom w:val="nil"/>
            </w:tcBorders>
            <w:noWrap/>
            <w:vAlign w:val="center"/>
            <w:hideMark/>
          </w:tcPr>
          <w:p w14:paraId="1173E7E4" w14:textId="77777777" w:rsidR="00E77ED3" w:rsidRPr="00BF04E7" w:rsidRDefault="00E77ED3" w:rsidP="009A5BC4">
            <w:pPr>
              <w:jc w:val="center"/>
              <w:rPr>
                <w:rFonts w:ascii="Arial" w:hAnsi="Arial" w:cs="Arial"/>
                <w:b/>
                <w:color w:val="000000"/>
              </w:rPr>
            </w:pPr>
            <w:r w:rsidRPr="00BF04E7">
              <w:rPr>
                <w:rFonts w:ascii="Arial" w:hAnsi="Arial" w:cs="Arial"/>
                <w:b/>
                <w:color w:val="000000"/>
              </w:rPr>
              <w:t>C (</w:t>
            </w:r>
            <w:proofErr w:type="gramStart"/>
            <w:r w:rsidRPr="00BF04E7">
              <w:rPr>
                <w:rFonts w:ascii="Arial" w:hAnsi="Arial" w:cs="Arial"/>
                <w:b/>
                <w:color w:val="000000"/>
              </w:rPr>
              <w:t>mg.g</w:t>
            </w:r>
            <w:proofErr w:type="gramEnd"/>
            <w:r w:rsidRPr="00BF04E7">
              <w:rPr>
                <w:rFonts w:ascii="Arial" w:hAnsi="Arial" w:cs="Arial"/>
                <w:b/>
                <w:color w:val="000000"/>
                <w:vertAlign w:val="superscript"/>
              </w:rPr>
              <w:t>-1</w:t>
            </w:r>
            <w:r w:rsidRPr="00BF04E7">
              <w:rPr>
                <w:rFonts w:ascii="Arial" w:hAnsi="Arial" w:cs="Arial"/>
                <w:b/>
                <w:color w:val="000000"/>
              </w:rPr>
              <w:t>)</w:t>
            </w:r>
          </w:p>
        </w:tc>
        <w:tc>
          <w:tcPr>
            <w:tcW w:w="0" w:type="auto"/>
            <w:gridSpan w:val="2"/>
            <w:tcBorders>
              <w:top w:val="single" w:sz="12" w:space="0" w:color="auto"/>
              <w:bottom w:val="nil"/>
            </w:tcBorders>
            <w:noWrap/>
            <w:vAlign w:val="center"/>
            <w:hideMark/>
          </w:tcPr>
          <w:p w14:paraId="2693D42C" w14:textId="77777777" w:rsidR="00E77ED3" w:rsidRPr="00BF04E7" w:rsidRDefault="00E77ED3" w:rsidP="009A5BC4">
            <w:pPr>
              <w:jc w:val="center"/>
              <w:rPr>
                <w:rFonts w:ascii="Arial" w:hAnsi="Arial" w:cs="Arial"/>
                <w:b/>
                <w:color w:val="000000"/>
              </w:rPr>
            </w:pPr>
            <w:r w:rsidRPr="00BF04E7">
              <w:rPr>
                <w:rFonts w:ascii="Arial" w:hAnsi="Arial" w:cs="Arial"/>
                <w:b/>
                <w:color w:val="000000"/>
              </w:rPr>
              <w:t>Pa (</w:t>
            </w:r>
            <w:proofErr w:type="gramStart"/>
            <w:r w:rsidRPr="00BF04E7">
              <w:rPr>
                <w:rFonts w:ascii="Arial" w:hAnsi="Arial" w:cs="Arial"/>
                <w:b/>
                <w:color w:val="000000"/>
              </w:rPr>
              <w:t>mg.g</w:t>
            </w:r>
            <w:proofErr w:type="gramEnd"/>
            <w:r w:rsidRPr="00BF04E7">
              <w:rPr>
                <w:rFonts w:ascii="Arial" w:hAnsi="Arial" w:cs="Arial"/>
                <w:b/>
                <w:color w:val="000000"/>
                <w:vertAlign w:val="superscript"/>
              </w:rPr>
              <w:t>-1</w:t>
            </w:r>
            <w:r w:rsidRPr="00BF04E7">
              <w:rPr>
                <w:rFonts w:ascii="Arial" w:hAnsi="Arial" w:cs="Arial"/>
                <w:b/>
                <w:color w:val="000000"/>
              </w:rPr>
              <w:t>)</w:t>
            </w:r>
          </w:p>
        </w:tc>
      </w:tr>
      <w:tr w:rsidR="00E77ED3" w:rsidRPr="00BF04E7" w14:paraId="1578D0A5" w14:textId="77777777" w:rsidTr="009A5BC4">
        <w:trPr>
          <w:trHeight w:val="300"/>
        </w:trPr>
        <w:tc>
          <w:tcPr>
            <w:tcW w:w="1408" w:type="dxa"/>
            <w:vMerge/>
            <w:tcBorders>
              <w:top w:val="nil"/>
              <w:bottom w:val="single" w:sz="12" w:space="0" w:color="auto"/>
            </w:tcBorders>
            <w:vAlign w:val="center"/>
            <w:hideMark/>
          </w:tcPr>
          <w:p w14:paraId="68902B43" w14:textId="77777777" w:rsidR="00E77ED3" w:rsidRPr="00BF04E7" w:rsidRDefault="00E77ED3" w:rsidP="009A5BC4">
            <w:pPr>
              <w:jc w:val="center"/>
              <w:rPr>
                <w:rFonts w:ascii="Arial" w:hAnsi="Arial" w:cs="Arial"/>
                <w:b/>
                <w:color w:val="000000"/>
              </w:rPr>
            </w:pPr>
          </w:p>
        </w:tc>
        <w:tc>
          <w:tcPr>
            <w:tcW w:w="780" w:type="dxa"/>
            <w:tcBorders>
              <w:top w:val="nil"/>
              <w:bottom w:val="single" w:sz="12" w:space="0" w:color="auto"/>
            </w:tcBorders>
            <w:noWrap/>
            <w:vAlign w:val="center"/>
            <w:hideMark/>
          </w:tcPr>
          <w:p w14:paraId="7DD88785" w14:textId="77777777" w:rsidR="00E77ED3" w:rsidRPr="00BF04E7" w:rsidRDefault="00E77ED3" w:rsidP="009A5BC4">
            <w:pPr>
              <w:jc w:val="center"/>
              <w:rPr>
                <w:rFonts w:ascii="Arial" w:hAnsi="Arial" w:cs="Arial"/>
                <w:b/>
                <w:color w:val="000000"/>
              </w:rPr>
            </w:pPr>
            <w:r w:rsidRPr="00BF04E7">
              <w:rPr>
                <w:rFonts w:ascii="Arial" w:hAnsi="Arial" w:cs="Arial"/>
                <w:b/>
                <w:color w:val="000000"/>
              </w:rPr>
              <w:t>0-10 cm</w:t>
            </w:r>
          </w:p>
        </w:tc>
        <w:tc>
          <w:tcPr>
            <w:tcW w:w="0" w:type="auto"/>
            <w:tcBorders>
              <w:top w:val="nil"/>
              <w:bottom w:val="single" w:sz="12" w:space="0" w:color="auto"/>
            </w:tcBorders>
            <w:noWrap/>
            <w:vAlign w:val="center"/>
            <w:hideMark/>
          </w:tcPr>
          <w:p w14:paraId="76D405E1" w14:textId="77777777" w:rsidR="00E77ED3" w:rsidRPr="00BF04E7" w:rsidRDefault="00E77ED3" w:rsidP="009A5BC4">
            <w:pPr>
              <w:jc w:val="center"/>
              <w:rPr>
                <w:rFonts w:ascii="Arial" w:hAnsi="Arial" w:cs="Arial"/>
                <w:b/>
                <w:color w:val="000000"/>
              </w:rPr>
            </w:pPr>
            <w:r w:rsidRPr="00BF04E7">
              <w:rPr>
                <w:rFonts w:ascii="Arial" w:hAnsi="Arial" w:cs="Arial"/>
                <w:b/>
                <w:color w:val="000000"/>
              </w:rPr>
              <w:t>10-20 cm</w:t>
            </w:r>
          </w:p>
        </w:tc>
        <w:tc>
          <w:tcPr>
            <w:tcW w:w="0" w:type="auto"/>
            <w:tcBorders>
              <w:top w:val="nil"/>
              <w:bottom w:val="single" w:sz="12" w:space="0" w:color="auto"/>
            </w:tcBorders>
            <w:noWrap/>
            <w:vAlign w:val="center"/>
            <w:hideMark/>
          </w:tcPr>
          <w:p w14:paraId="3EF27FA6" w14:textId="77777777" w:rsidR="00E77ED3" w:rsidRPr="00BF04E7" w:rsidRDefault="00E77ED3" w:rsidP="009A5BC4">
            <w:pPr>
              <w:jc w:val="center"/>
              <w:rPr>
                <w:rFonts w:ascii="Arial" w:hAnsi="Arial" w:cs="Arial"/>
                <w:b/>
                <w:color w:val="000000"/>
              </w:rPr>
            </w:pPr>
            <w:r w:rsidRPr="00BF04E7">
              <w:rPr>
                <w:rFonts w:ascii="Arial" w:hAnsi="Arial" w:cs="Arial"/>
                <w:b/>
                <w:color w:val="000000"/>
              </w:rPr>
              <w:t>0-10 cm</w:t>
            </w:r>
          </w:p>
        </w:tc>
        <w:tc>
          <w:tcPr>
            <w:tcW w:w="0" w:type="auto"/>
            <w:tcBorders>
              <w:top w:val="nil"/>
              <w:bottom w:val="single" w:sz="12" w:space="0" w:color="auto"/>
            </w:tcBorders>
            <w:noWrap/>
            <w:vAlign w:val="center"/>
            <w:hideMark/>
          </w:tcPr>
          <w:p w14:paraId="7817E755" w14:textId="77777777" w:rsidR="00E77ED3" w:rsidRPr="00BF04E7" w:rsidRDefault="00E77ED3" w:rsidP="009A5BC4">
            <w:pPr>
              <w:jc w:val="center"/>
              <w:rPr>
                <w:rFonts w:ascii="Arial" w:hAnsi="Arial" w:cs="Arial"/>
                <w:b/>
                <w:color w:val="000000"/>
              </w:rPr>
            </w:pPr>
            <w:r w:rsidRPr="00BF04E7">
              <w:rPr>
                <w:rFonts w:ascii="Arial" w:hAnsi="Arial" w:cs="Arial"/>
                <w:b/>
                <w:color w:val="000000"/>
              </w:rPr>
              <w:t>10-20 cm</w:t>
            </w:r>
          </w:p>
        </w:tc>
        <w:tc>
          <w:tcPr>
            <w:tcW w:w="0" w:type="auto"/>
            <w:tcBorders>
              <w:top w:val="nil"/>
              <w:bottom w:val="single" w:sz="12" w:space="0" w:color="auto"/>
            </w:tcBorders>
            <w:noWrap/>
            <w:vAlign w:val="center"/>
            <w:hideMark/>
          </w:tcPr>
          <w:p w14:paraId="48129486" w14:textId="77777777" w:rsidR="00E77ED3" w:rsidRPr="00BF04E7" w:rsidRDefault="00E77ED3" w:rsidP="009A5BC4">
            <w:pPr>
              <w:jc w:val="center"/>
              <w:rPr>
                <w:rFonts w:ascii="Arial" w:hAnsi="Arial" w:cs="Arial"/>
                <w:b/>
                <w:color w:val="000000"/>
              </w:rPr>
            </w:pPr>
            <w:r w:rsidRPr="00BF04E7">
              <w:rPr>
                <w:rFonts w:ascii="Arial" w:hAnsi="Arial" w:cs="Arial"/>
                <w:b/>
                <w:color w:val="000000"/>
              </w:rPr>
              <w:t>0-10 cm</w:t>
            </w:r>
          </w:p>
        </w:tc>
        <w:tc>
          <w:tcPr>
            <w:tcW w:w="0" w:type="auto"/>
            <w:tcBorders>
              <w:top w:val="nil"/>
              <w:bottom w:val="single" w:sz="12" w:space="0" w:color="auto"/>
            </w:tcBorders>
            <w:noWrap/>
            <w:vAlign w:val="center"/>
            <w:hideMark/>
          </w:tcPr>
          <w:p w14:paraId="0BD8C135" w14:textId="77777777" w:rsidR="00E77ED3" w:rsidRPr="00BF04E7" w:rsidRDefault="00E77ED3" w:rsidP="009A5BC4">
            <w:pPr>
              <w:jc w:val="center"/>
              <w:rPr>
                <w:rFonts w:ascii="Arial" w:hAnsi="Arial" w:cs="Arial"/>
                <w:b/>
                <w:color w:val="000000"/>
              </w:rPr>
            </w:pPr>
            <w:r w:rsidRPr="00BF04E7">
              <w:rPr>
                <w:rFonts w:ascii="Arial" w:hAnsi="Arial" w:cs="Arial"/>
                <w:b/>
                <w:color w:val="000000"/>
              </w:rPr>
              <w:t>10-20 cm</w:t>
            </w:r>
          </w:p>
        </w:tc>
      </w:tr>
      <w:tr w:rsidR="00E77ED3" w:rsidRPr="00BF04E7" w14:paraId="451E7D18" w14:textId="77777777" w:rsidTr="009A5BC4">
        <w:trPr>
          <w:trHeight w:val="300"/>
        </w:trPr>
        <w:tc>
          <w:tcPr>
            <w:tcW w:w="1408" w:type="dxa"/>
            <w:tcBorders>
              <w:top w:val="single" w:sz="12" w:space="0" w:color="auto"/>
            </w:tcBorders>
            <w:noWrap/>
            <w:vAlign w:val="center"/>
            <w:hideMark/>
          </w:tcPr>
          <w:p w14:paraId="56E8FADE" w14:textId="77777777" w:rsidR="00E77ED3" w:rsidRPr="00BF04E7" w:rsidRDefault="00E77ED3" w:rsidP="009A5BC4">
            <w:pPr>
              <w:jc w:val="center"/>
              <w:rPr>
                <w:rFonts w:ascii="Arial" w:hAnsi="Arial" w:cs="Arial"/>
                <w:b/>
                <w:color w:val="000000"/>
              </w:rPr>
            </w:pPr>
            <w:r w:rsidRPr="00BF04E7">
              <w:rPr>
                <w:rFonts w:ascii="Arial" w:hAnsi="Arial" w:cs="Arial"/>
                <w:b/>
                <w:color w:val="000000"/>
              </w:rPr>
              <w:t>P1</w:t>
            </w:r>
          </w:p>
        </w:tc>
        <w:tc>
          <w:tcPr>
            <w:tcW w:w="780" w:type="dxa"/>
            <w:tcBorders>
              <w:top w:val="single" w:sz="12" w:space="0" w:color="auto"/>
            </w:tcBorders>
            <w:noWrap/>
            <w:vAlign w:val="center"/>
            <w:hideMark/>
          </w:tcPr>
          <w:p w14:paraId="42ED07F1" w14:textId="77777777" w:rsidR="00E77ED3" w:rsidRPr="00BF04E7" w:rsidRDefault="00E77ED3" w:rsidP="009A5BC4">
            <w:pPr>
              <w:jc w:val="center"/>
              <w:rPr>
                <w:rFonts w:ascii="Arial" w:hAnsi="Arial" w:cs="Arial"/>
                <w:color w:val="000000"/>
              </w:rPr>
            </w:pPr>
            <w:r w:rsidRPr="00BF04E7">
              <w:rPr>
                <w:rFonts w:ascii="Arial" w:hAnsi="Arial" w:cs="Arial"/>
                <w:color w:val="000000"/>
              </w:rPr>
              <w:t>0.56 a</w:t>
            </w:r>
          </w:p>
        </w:tc>
        <w:tc>
          <w:tcPr>
            <w:tcW w:w="0" w:type="auto"/>
            <w:tcBorders>
              <w:top w:val="single" w:sz="12" w:space="0" w:color="auto"/>
            </w:tcBorders>
            <w:noWrap/>
            <w:vAlign w:val="center"/>
            <w:hideMark/>
          </w:tcPr>
          <w:p w14:paraId="1A56749B" w14:textId="77777777" w:rsidR="00E77ED3" w:rsidRPr="00BF04E7" w:rsidRDefault="00E77ED3" w:rsidP="009A5BC4">
            <w:pPr>
              <w:jc w:val="center"/>
              <w:rPr>
                <w:rFonts w:ascii="Arial" w:hAnsi="Arial" w:cs="Arial"/>
                <w:color w:val="000000"/>
              </w:rPr>
            </w:pPr>
            <w:r w:rsidRPr="00BF04E7">
              <w:rPr>
                <w:rFonts w:ascii="Arial" w:hAnsi="Arial" w:cs="Arial"/>
                <w:color w:val="000000"/>
              </w:rPr>
              <w:t>0.49 a</w:t>
            </w:r>
          </w:p>
        </w:tc>
        <w:tc>
          <w:tcPr>
            <w:tcW w:w="0" w:type="auto"/>
            <w:tcBorders>
              <w:top w:val="single" w:sz="12" w:space="0" w:color="auto"/>
            </w:tcBorders>
            <w:noWrap/>
            <w:vAlign w:val="center"/>
            <w:hideMark/>
          </w:tcPr>
          <w:p w14:paraId="01C41FCD" w14:textId="77777777" w:rsidR="00E77ED3" w:rsidRPr="00BF04E7" w:rsidRDefault="00E77ED3" w:rsidP="009A5BC4">
            <w:pPr>
              <w:jc w:val="center"/>
              <w:rPr>
                <w:rFonts w:ascii="Arial" w:hAnsi="Arial" w:cs="Arial"/>
                <w:color w:val="000000"/>
              </w:rPr>
            </w:pPr>
            <w:r w:rsidRPr="00BF04E7">
              <w:rPr>
                <w:rFonts w:ascii="Arial" w:hAnsi="Arial" w:cs="Arial"/>
                <w:color w:val="000000"/>
              </w:rPr>
              <w:t>9.18 a</w:t>
            </w:r>
          </w:p>
        </w:tc>
        <w:tc>
          <w:tcPr>
            <w:tcW w:w="0" w:type="auto"/>
            <w:tcBorders>
              <w:top w:val="single" w:sz="12" w:space="0" w:color="auto"/>
            </w:tcBorders>
            <w:noWrap/>
            <w:vAlign w:val="center"/>
            <w:hideMark/>
          </w:tcPr>
          <w:p w14:paraId="5C04A582" w14:textId="77777777" w:rsidR="00E77ED3" w:rsidRPr="00BF04E7" w:rsidRDefault="00E77ED3" w:rsidP="009A5BC4">
            <w:pPr>
              <w:jc w:val="center"/>
              <w:rPr>
                <w:rFonts w:ascii="Arial" w:hAnsi="Arial" w:cs="Arial"/>
                <w:color w:val="000000"/>
              </w:rPr>
            </w:pPr>
            <w:r w:rsidRPr="00BF04E7">
              <w:rPr>
                <w:rFonts w:ascii="Arial" w:hAnsi="Arial" w:cs="Arial"/>
                <w:color w:val="000000"/>
              </w:rPr>
              <w:t>8.38 a</w:t>
            </w:r>
          </w:p>
        </w:tc>
        <w:tc>
          <w:tcPr>
            <w:tcW w:w="0" w:type="auto"/>
            <w:tcBorders>
              <w:top w:val="single" w:sz="12" w:space="0" w:color="auto"/>
            </w:tcBorders>
            <w:noWrap/>
            <w:vAlign w:val="center"/>
            <w:hideMark/>
          </w:tcPr>
          <w:p w14:paraId="394E423F" w14:textId="77777777" w:rsidR="00E77ED3" w:rsidRPr="00BF04E7" w:rsidRDefault="00E77ED3" w:rsidP="009A5BC4">
            <w:pPr>
              <w:jc w:val="center"/>
              <w:rPr>
                <w:rFonts w:ascii="Arial" w:hAnsi="Arial" w:cs="Arial"/>
                <w:color w:val="000000"/>
              </w:rPr>
            </w:pPr>
            <w:r w:rsidRPr="00BF04E7">
              <w:rPr>
                <w:rFonts w:ascii="Arial" w:hAnsi="Arial" w:cs="Arial"/>
                <w:color w:val="000000"/>
              </w:rPr>
              <w:t>0.04 ab</w:t>
            </w:r>
          </w:p>
        </w:tc>
        <w:tc>
          <w:tcPr>
            <w:tcW w:w="0" w:type="auto"/>
            <w:tcBorders>
              <w:top w:val="single" w:sz="12" w:space="0" w:color="auto"/>
            </w:tcBorders>
            <w:noWrap/>
            <w:vAlign w:val="center"/>
            <w:hideMark/>
          </w:tcPr>
          <w:p w14:paraId="0A504973" w14:textId="77777777" w:rsidR="00E77ED3" w:rsidRPr="00BF04E7" w:rsidRDefault="00E77ED3" w:rsidP="009A5BC4">
            <w:pPr>
              <w:jc w:val="center"/>
              <w:rPr>
                <w:rFonts w:ascii="Arial" w:hAnsi="Arial" w:cs="Arial"/>
                <w:color w:val="000000"/>
              </w:rPr>
            </w:pPr>
            <w:r w:rsidRPr="00BF04E7">
              <w:rPr>
                <w:rFonts w:ascii="Arial" w:hAnsi="Arial" w:cs="Arial"/>
                <w:color w:val="000000"/>
              </w:rPr>
              <w:t>0.01 b</w:t>
            </w:r>
          </w:p>
        </w:tc>
      </w:tr>
      <w:tr w:rsidR="00E77ED3" w:rsidRPr="00BF04E7" w14:paraId="29F55430" w14:textId="77777777" w:rsidTr="009A5BC4">
        <w:trPr>
          <w:trHeight w:val="300"/>
        </w:trPr>
        <w:tc>
          <w:tcPr>
            <w:tcW w:w="1408" w:type="dxa"/>
            <w:noWrap/>
            <w:vAlign w:val="center"/>
            <w:hideMark/>
          </w:tcPr>
          <w:p w14:paraId="3DB1E406" w14:textId="77777777" w:rsidR="00E77ED3" w:rsidRPr="00BF04E7" w:rsidRDefault="00E77ED3" w:rsidP="009A5BC4">
            <w:pPr>
              <w:jc w:val="center"/>
              <w:rPr>
                <w:rFonts w:ascii="Arial" w:hAnsi="Arial" w:cs="Arial"/>
                <w:b/>
                <w:color w:val="000000"/>
              </w:rPr>
            </w:pPr>
            <w:r w:rsidRPr="00BF04E7">
              <w:rPr>
                <w:rFonts w:ascii="Arial" w:hAnsi="Arial" w:cs="Arial"/>
                <w:b/>
                <w:color w:val="000000"/>
              </w:rPr>
              <w:t>P2</w:t>
            </w:r>
          </w:p>
        </w:tc>
        <w:tc>
          <w:tcPr>
            <w:tcW w:w="780" w:type="dxa"/>
            <w:noWrap/>
            <w:vAlign w:val="center"/>
            <w:hideMark/>
          </w:tcPr>
          <w:p w14:paraId="6C85A001" w14:textId="77777777" w:rsidR="00E77ED3" w:rsidRPr="00BF04E7" w:rsidRDefault="00E77ED3" w:rsidP="009A5BC4">
            <w:pPr>
              <w:jc w:val="center"/>
              <w:rPr>
                <w:rFonts w:ascii="Arial" w:hAnsi="Arial" w:cs="Arial"/>
                <w:color w:val="000000"/>
              </w:rPr>
            </w:pPr>
            <w:r w:rsidRPr="00BF04E7">
              <w:rPr>
                <w:rFonts w:ascii="Arial" w:hAnsi="Arial" w:cs="Arial"/>
                <w:color w:val="000000"/>
              </w:rPr>
              <w:t>0.54 a</w:t>
            </w:r>
          </w:p>
        </w:tc>
        <w:tc>
          <w:tcPr>
            <w:tcW w:w="0" w:type="auto"/>
            <w:noWrap/>
            <w:vAlign w:val="center"/>
            <w:hideMark/>
          </w:tcPr>
          <w:p w14:paraId="5D5840CB" w14:textId="77777777" w:rsidR="00E77ED3" w:rsidRPr="00BF04E7" w:rsidRDefault="00E77ED3" w:rsidP="009A5BC4">
            <w:pPr>
              <w:jc w:val="center"/>
              <w:rPr>
                <w:rFonts w:ascii="Arial" w:hAnsi="Arial" w:cs="Arial"/>
                <w:color w:val="000000"/>
              </w:rPr>
            </w:pPr>
            <w:r w:rsidRPr="00BF04E7">
              <w:rPr>
                <w:rFonts w:ascii="Arial" w:hAnsi="Arial" w:cs="Arial"/>
                <w:color w:val="000000"/>
              </w:rPr>
              <w:t>0.50 a</w:t>
            </w:r>
          </w:p>
        </w:tc>
        <w:tc>
          <w:tcPr>
            <w:tcW w:w="0" w:type="auto"/>
            <w:noWrap/>
            <w:vAlign w:val="center"/>
            <w:hideMark/>
          </w:tcPr>
          <w:p w14:paraId="1DBAA475" w14:textId="77777777" w:rsidR="00E77ED3" w:rsidRPr="00BF04E7" w:rsidRDefault="00E77ED3" w:rsidP="009A5BC4">
            <w:pPr>
              <w:jc w:val="center"/>
              <w:rPr>
                <w:rFonts w:ascii="Arial" w:hAnsi="Arial" w:cs="Arial"/>
                <w:color w:val="000000"/>
              </w:rPr>
            </w:pPr>
            <w:r w:rsidRPr="00BF04E7">
              <w:rPr>
                <w:rFonts w:ascii="Arial" w:hAnsi="Arial" w:cs="Arial"/>
                <w:color w:val="000000"/>
              </w:rPr>
              <w:t>8.28 a</w:t>
            </w:r>
          </w:p>
        </w:tc>
        <w:tc>
          <w:tcPr>
            <w:tcW w:w="0" w:type="auto"/>
            <w:noWrap/>
            <w:vAlign w:val="center"/>
            <w:hideMark/>
          </w:tcPr>
          <w:p w14:paraId="1C43E7E2" w14:textId="77777777" w:rsidR="00E77ED3" w:rsidRPr="00BF04E7" w:rsidRDefault="00E77ED3" w:rsidP="009A5BC4">
            <w:pPr>
              <w:jc w:val="center"/>
              <w:rPr>
                <w:rFonts w:ascii="Arial" w:hAnsi="Arial" w:cs="Arial"/>
                <w:color w:val="000000"/>
              </w:rPr>
            </w:pPr>
            <w:r w:rsidRPr="00BF04E7">
              <w:rPr>
                <w:rFonts w:ascii="Arial" w:hAnsi="Arial" w:cs="Arial"/>
                <w:color w:val="000000"/>
              </w:rPr>
              <w:t>6.82 a</w:t>
            </w:r>
          </w:p>
        </w:tc>
        <w:tc>
          <w:tcPr>
            <w:tcW w:w="0" w:type="auto"/>
            <w:noWrap/>
            <w:vAlign w:val="center"/>
            <w:hideMark/>
          </w:tcPr>
          <w:p w14:paraId="74239899" w14:textId="77777777" w:rsidR="00E77ED3" w:rsidRPr="00BF04E7" w:rsidRDefault="00E77ED3" w:rsidP="009A5BC4">
            <w:pPr>
              <w:jc w:val="center"/>
              <w:rPr>
                <w:rFonts w:ascii="Arial" w:hAnsi="Arial" w:cs="Arial"/>
                <w:color w:val="000000"/>
              </w:rPr>
            </w:pPr>
            <w:r w:rsidRPr="00BF04E7">
              <w:rPr>
                <w:rFonts w:ascii="Arial" w:hAnsi="Arial" w:cs="Arial"/>
                <w:color w:val="000000"/>
              </w:rPr>
              <w:t>0.08 a</w:t>
            </w:r>
          </w:p>
        </w:tc>
        <w:tc>
          <w:tcPr>
            <w:tcW w:w="0" w:type="auto"/>
            <w:noWrap/>
            <w:vAlign w:val="center"/>
            <w:hideMark/>
          </w:tcPr>
          <w:p w14:paraId="14A21B13" w14:textId="77777777" w:rsidR="00E77ED3" w:rsidRPr="00BF04E7" w:rsidRDefault="00E77ED3" w:rsidP="009A5BC4">
            <w:pPr>
              <w:jc w:val="center"/>
              <w:rPr>
                <w:rFonts w:ascii="Arial" w:hAnsi="Arial" w:cs="Arial"/>
                <w:color w:val="000000"/>
              </w:rPr>
            </w:pPr>
            <w:r w:rsidRPr="00BF04E7">
              <w:rPr>
                <w:rFonts w:ascii="Arial" w:hAnsi="Arial" w:cs="Arial"/>
                <w:color w:val="000000"/>
              </w:rPr>
              <w:t>0.03 a</w:t>
            </w:r>
          </w:p>
        </w:tc>
      </w:tr>
      <w:tr w:rsidR="00E77ED3" w:rsidRPr="00BF04E7" w14:paraId="3AA7F7C8" w14:textId="77777777" w:rsidTr="009A5BC4">
        <w:trPr>
          <w:trHeight w:val="300"/>
        </w:trPr>
        <w:tc>
          <w:tcPr>
            <w:tcW w:w="1408" w:type="dxa"/>
            <w:tcBorders>
              <w:bottom w:val="single" w:sz="12" w:space="0" w:color="auto"/>
            </w:tcBorders>
            <w:noWrap/>
            <w:vAlign w:val="center"/>
            <w:hideMark/>
          </w:tcPr>
          <w:p w14:paraId="43AB7653" w14:textId="77777777" w:rsidR="00E77ED3" w:rsidRPr="00BF04E7" w:rsidRDefault="00E77ED3" w:rsidP="009A5BC4">
            <w:pPr>
              <w:jc w:val="center"/>
              <w:rPr>
                <w:rFonts w:ascii="Arial" w:hAnsi="Arial" w:cs="Arial"/>
                <w:b/>
                <w:color w:val="000000"/>
              </w:rPr>
            </w:pPr>
            <w:r w:rsidRPr="00BF04E7">
              <w:rPr>
                <w:rFonts w:ascii="Arial" w:hAnsi="Arial" w:cs="Arial"/>
                <w:b/>
                <w:color w:val="000000"/>
              </w:rPr>
              <w:t>P3</w:t>
            </w:r>
          </w:p>
        </w:tc>
        <w:tc>
          <w:tcPr>
            <w:tcW w:w="780" w:type="dxa"/>
            <w:tcBorders>
              <w:bottom w:val="single" w:sz="12" w:space="0" w:color="auto"/>
            </w:tcBorders>
            <w:noWrap/>
            <w:vAlign w:val="center"/>
            <w:hideMark/>
          </w:tcPr>
          <w:p w14:paraId="23E73388" w14:textId="77777777" w:rsidR="00E77ED3" w:rsidRPr="00BF04E7" w:rsidRDefault="00E77ED3" w:rsidP="009A5BC4">
            <w:pPr>
              <w:jc w:val="center"/>
              <w:rPr>
                <w:rFonts w:ascii="Arial" w:hAnsi="Arial" w:cs="Arial"/>
                <w:color w:val="000000"/>
              </w:rPr>
            </w:pPr>
            <w:r w:rsidRPr="00BF04E7">
              <w:rPr>
                <w:rFonts w:ascii="Arial" w:hAnsi="Arial" w:cs="Arial"/>
                <w:color w:val="000000"/>
              </w:rPr>
              <w:t>0.48 b</w:t>
            </w:r>
          </w:p>
        </w:tc>
        <w:tc>
          <w:tcPr>
            <w:tcW w:w="0" w:type="auto"/>
            <w:tcBorders>
              <w:bottom w:val="single" w:sz="12" w:space="0" w:color="auto"/>
            </w:tcBorders>
            <w:noWrap/>
            <w:vAlign w:val="center"/>
            <w:hideMark/>
          </w:tcPr>
          <w:p w14:paraId="77B0B907" w14:textId="77777777" w:rsidR="00E77ED3" w:rsidRPr="00BF04E7" w:rsidRDefault="00E77ED3" w:rsidP="009A5BC4">
            <w:pPr>
              <w:jc w:val="center"/>
              <w:rPr>
                <w:rFonts w:ascii="Arial" w:hAnsi="Arial" w:cs="Arial"/>
                <w:color w:val="000000"/>
              </w:rPr>
            </w:pPr>
            <w:r w:rsidRPr="00BF04E7">
              <w:rPr>
                <w:rFonts w:ascii="Arial" w:hAnsi="Arial" w:cs="Arial"/>
                <w:color w:val="000000"/>
              </w:rPr>
              <w:t>0.18 b</w:t>
            </w:r>
          </w:p>
        </w:tc>
        <w:tc>
          <w:tcPr>
            <w:tcW w:w="0" w:type="auto"/>
            <w:tcBorders>
              <w:bottom w:val="single" w:sz="12" w:space="0" w:color="auto"/>
            </w:tcBorders>
            <w:noWrap/>
            <w:vAlign w:val="center"/>
            <w:hideMark/>
          </w:tcPr>
          <w:p w14:paraId="51B72C77" w14:textId="77777777" w:rsidR="00E77ED3" w:rsidRPr="00BF04E7" w:rsidRDefault="00E77ED3" w:rsidP="009A5BC4">
            <w:pPr>
              <w:jc w:val="center"/>
              <w:rPr>
                <w:rFonts w:ascii="Arial" w:hAnsi="Arial" w:cs="Arial"/>
                <w:color w:val="000000"/>
              </w:rPr>
            </w:pPr>
            <w:r w:rsidRPr="00BF04E7">
              <w:rPr>
                <w:rFonts w:ascii="Arial" w:hAnsi="Arial" w:cs="Arial"/>
                <w:color w:val="000000"/>
              </w:rPr>
              <w:t>4.23 b</w:t>
            </w:r>
          </w:p>
        </w:tc>
        <w:tc>
          <w:tcPr>
            <w:tcW w:w="0" w:type="auto"/>
            <w:tcBorders>
              <w:bottom w:val="single" w:sz="12" w:space="0" w:color="auto"/>
            </w:tcBorders>
            <w:noWrap/>
            <w:vAlign w:val="center"/>
            <w:hideMark/>
          </w:tcPr>
          <w:p w14:paraId="7B31B2DC" w14:textId="77777777" w:rsidR="00E77ED3" w:rsidRPr="00BF04E7" w:rsidRDefault="00E77ED3" w:rsidP="009A5BC4">
            <w:pPr>
              <w:jc w:val="center"/>
              <w:rPr>
                <w:rFonts w:ascii="Arial" w:hAnsi="Arial" w:cs="Arial"/>
                <w:color w:val="000000"/>
              </w:rPr>
            </w:pPr>
            <w:r w:rsidRPr="00BF04E7">
              <w:rPr>
                <w:rFonts w:ascii="Arial" w:hAnsi="Arial" w:cs="Arial"/>
                <w:color w:val="000000"/>
              </w:rPr>
              <w:t>4.10 b</w:t>
            </w:r>
          </w:p>
        </w:tc>
        <w:tc>
          <w:tcPr>
            <w:tcW w:w="0" w:type="auto"/>
            <w:tcBorders>
              <w:bottom w:val="single" w:sz="12" w:space="0" w:color="auto"/>
            </w:tcBorders>
            <w:noWrap/>
            <w:vAlign w:val="center"/>
            <w:hideMark/>
          </w:tcPr>
          <w:p w14:paraId="3CA795C3" w14:textId="77777777" w:rsidR="00E77ED3" w:rsidRPr="00BF04E7" w:rsidRDefault="00E77ED3" w:rsidP="009A5BC4">
            <w:pPr>
              <w:jc w:val="center"/>
              <w:rPr>
                <w:rFonts w:ascii="Arial" w:hAnsi="Arial" w:cs="Arial"/>
                <w:color w:val="000000"/>
              </w:rPr>
            </w:pPr>
            <w:r w:rsidRPr="00BF04E7">
              <w:rPr>
                <w:rFonts w:ascii="Arial" w:hAnsi="Arial" w:cs="Arial"/>
                <w:color w:val="000000"/>
              </w:rPr>
              <w:t>0.02 b</w:t>
            </w:r>
          </w:p>
        </w:tc>
        <w:tc>
          <w:tcPr>
            <w:tcW w:w="0" w:type="auto"/>
            <w:tcBorders>
              <w:bottom w:val="single" w:sz="12" w:space="0" w:color="auto"/>
            </w:tcBorders>
            <w:noWrap/>
            <w:vAlign w:val="center"/>
            <w:hideMark/>
          </w:tcPr>
          <w:p w14:paraId="04292CCA" w14:textId="77777777" w:rsidR="00E77ED3" w:rsidRPr="00BF04E7" w:rsidRDefault="00E77ED3" w:rsidP="009A5BC4">
            <w:pPr>
              <w:jc w:val="center"/>
              <w:rPr>
                <w:rFonts w:ascii="Arial" w:hAnsi="Arial" w:cs="Arial"/>
                <w:color w:val="000000"/>
              </w:rPr>
            </w:pPr>
            <w:r w:rsidRPr="00BF04E7">
              <w:rPr>
                <w:rFonts w:ascii="Arial" w:hAnsi="Arial" w:cs="Arial"/>
                <w:color w:val="000000"/>
              </w:rPr>
              <w:t>0.01 b</w:t>
            </w:r>
          </w:p>
        </w:tc>
      </w:tr>
    </w:tbl>
    <w:p w14:paraId="38F91E4B" w14:textId="7B0D7892" w:rsidR="00B306DC" w:rsidRDefault="00B306DC" w:rsidP="00441B6F">
      <w:pPr>
        <w:pStyle w:val="Body"/>
        <w:spacing w:after="0"/>
        <w:rPr>
          <w:rFonts w:ascii="Arial" w:hAnsi="Arial" w:cs="Arial"/>
        </w:rPr>
      </w:pPr>
    </w:p>
    <w:p w14:paraId="4ED774F8" w14:textId="0627338B" w:rsidR="00E77ED3" w:rsidRDefault="00E77ED3" w:rsidP="00441B6F">
      <w:pPr>
        <w:pStyle w:val="Body"/>
        <w:spacing w:after="0"/>
        <w:rPr>
          <w:rFonts w:ascii="Arial" w:hAnsi="Arial" w:cs="Arial"/>
        </w:rPr>
      </w:pPr>
    </w:p>
    <w:p w14:paraId="28F117F7" w14:textId="72F4B0EB" w:rsidR="00E77ED3" w:rsidRDefault="00E77ED3" w:rsidP="00E77ED3">
      <w:pPr>
        <w:pStyle w:val="Body"/>
        <w:rPr>
          <w:rFonts w:ascii="Arial" w:hAnsi="Arial" w:cs="Arial"/>
        </w:rPr>
      </w:pPr>
      <w:r w:rsidRPr="00E77ED3">
        <w:rPr>
          <w:rFonts w:ascii="Arial" w:hAnsi="Arial" w:cs="Arial"/>
        </w:rPr>
        <w:t>For Na+ and Mg2+, there were no significant differences between the plots regardless of the sampling layer (Table 4). For K+, there was a significant difference between P1 and the other plots at the 5% threshold for both sampling layers. For Ca2+, only plot P2 differed significantly from the other treatments.</w:t>
      </w:r>
      <w:r>
        <w:rPr>
          <w:rFonts w:ascii="Arial" w:hAnsi="Arial" w:cs="Arial"/>
        </w:rPr>
        <w:t xml:space="preserve"> </w:t>
      </w:r>
      <w:r w:rsidRPr="00E77ED3">
        <w:rPr>
          <w:rFonts w:ascii="Arial" w:hAnsi="Arial" w:cs="Arial"/>
        </w:rPr>
        <w:t>Regarding cation exchange capacity, in both layers, high values were noted for P1 and P2 compared to P3. Significant differences were recorded between P1, P2, and P3 in the 0-10 cm layer at the 5% threshold (Table 4). In the 10-20 cm layer, however, only treatment P2 was significantly different from treatment P3.</w:t>
      </w:r>
    </w:p>
    <w:p w14:paraId="3F2349EB" w14:textId="77777777" w:rsidR="00E77ED3" w:rsidRPr="00E77ED3" w:rsidRDefault="00E77ED3" w:rsidP="00E77ED3">
      <w:pPr>
        <w:jc w:val="center"/>
        <w:rPr>
          <w:rFonts w:ascii="Arial" w:hAnsi="Arial" w:cs="Arial"/>
          <w:b/>
          <w:bCs/>
          <w:color w:val="000000" w:themeColor="text1"/>
        </w:rPr>
      </w:pPr>
      <w:bookmarkStart w:id="19" w:name="_Toc513534101"/>
      <w:bookmarkStart w:id="20" w:name="_Toc526154768"/>
      <w:r w:rsidRPr="00E77ED3">
        <w:rPr>
          <w:rFonts w:ascii="Arial" w:hAnsi="Arial" w:cs="Arial"/>
          <w:b/>
          <w:bCs/>
          <w:color w:val="000000" w:themeColor="text1"/>
        </w:rPr>
        <w:t xml:space="preserve">Table </w:t>
      </w:r>
      <w:r w:rsidRPr="00E77ED3">
        <w:rPr>
          <w:rFonts w:ascii="Arial" w:hAnsi="Arial" w:cs="Arial"/>
          <w:b/>
          <w:bCs/>
          <w:color w:val="000000" w:themeColor="text1"/>
        </w:rPr>
        <w:fldChar w:fldCharType="begin"/>
      </w:r>
      <w:r w:rsidRPr="00E77ED3">
        <w:rPr>
          <w:rFonts w:ascii="Arial" w:hAnsi="Arial" w:cs="Arial"/>
          <w:b/>
          <w:bCs/>
          <w:color w:val="000000" w:themeColor="text1"/>
        </w:rPr>
        <w:instrText xml:space="preserve"> SEQ Tableau \* ARABIC </w:instrText>
      </w:r>
      <w:r w:rsidRPr="00E77ED3">
        <w:rPr>
          <w:rFonts w:ascii="Arial" w:hAnsi="Arial" w:cs="Arial"/>
          <w:b/>
          <w:bCs/>
          <w:color w:val="000000" w:themeColor="text1"/>
        </w:rPr>
        <w:fldChar w:fldCharType="separate"/>
      </w:r>
      <w:r w:rsidRPr="00E77ED3">
        <w:rPr>
          <w:rFonts w:ascii="Arial" w:hAnsi="Arial" w:cs="Arial"/>
          <w:b/>
          <w:bCs/>
          <w:color w:val="000000" w:themeColor="text1"/>
        </w:rPr>
        <w:t>4</w:t>
      </w:r>
      <w:r w:rsidRPr="00E77ED3">
        <w:rPr>
          <w:rFonts w:ascii="Arial" w:hAnsi="Arial" w:cs="Arial"/>
          <w:b/>
          <w:bCs/>
          <w:color w:val="000000" w:themeColor="text1"/>
        </w:rPr>
        <w:fldChar w:fldCharType="end"/>
      </w:r>
      <w:r w:rsidRPr="00E77ED3">
        <w:rPr>
          <w:rFonts w:ascii="Arial" w:hAnsi="Arial" w:cs="Arial"/>
          <w:b/>
          <w:bCs/>
          <w:color w:val="000000" w:themeColor="text1"/>
        </w:rPr>
        <w:t xml:space="preserve"> : </w:t>
      </w:r>
      <w:bookmarkEnd w:id="19"/>
      <w:bookmarkEnd w:id="20"/>
      <w:r w:rsidRPr="00E77ED3">
        <w:rPr>
          <w:rFonts w:ascii="Arial" w:hAnsi="Arial" w:cs="Arial"/>
          <w:b/>
          <w:bCs/>
          <w:color w:val="000000" w:themeColor="text1"/>
        </w:rPr>
        <w:t>Exchangeable cations and cation exchange capacity of different plots</w:t>
      </w:r>
    </w:p>
    <w:p w14:paraId="210CD69B" w14:textId="034AEBC7" w:rsidR="00E77ED3" w:rsidRDefault="00E77ED3" w:rsidP="00441B6F">
      <w:pPr>
        <w:pStyle w:val="Body"/>
        <w:spacing w:after="0"/>
        <w:rPr>
          <w:rFonts w:ascii="Arial" w:hAnsi="Arial" w:cs="Arial"/>
        </w:rPr>
      </w:pPr>
    </w:p>
    <w:tbl>
      <w:tblPr>
        <w:tblW w:w="5000" w:type="pct"/>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2241"/>
        <w:gridCol w:w="1640"/>
        <w:gridCol w:w="1244"/>
        <w:gridCol w:w="1111"/>
        <w:gridCol w:w="1972"/>
      </w:tblGrid>
      <w:tr w:rsidR="00E77ED3" w:rsidRPr="00BF04E7" w14:paraId="6099CA16" w14:textId="77777777" w:rsidTr="009A5BC4">
        <w:trPr>
          <w:trHeight w:val="300"/>
        </w:trPr>
        <w:tc>
          <w:tcPr>
            <w:tcW w:w="918" w:type="pct"/>
            <w:tcBorders>
              <w:top w:val="single" w:sz="12" w:space="0" w:color="auto"/>
              <w:bottom w:val="single" w:sz="12" w:space="0" w:color="auto"/>
            </w:tcBorders>
            <w:noWrap/>
            <w:vAlign w:val="center"/>
            <w:hideMark/>
          </w:tcPr>
          <w:p w14:paraId="37F2B83A" w14:textId="77777777" w:rsidR="00E77ED3" w:rsidRPr="00BF04E7" w:rsidRDefault="00E77ED3" w:rsidP="009A5BC4">
            <w:pPr>
              <w:jc w:val="center"/>
              <w:rPr>
                <w:rFonts w:ascii="Arial" w:hAnsi="Arial" w:cs="Arial"/>
                <w:b/>
                <w:color w:val="000000"/>
              </w:rPr>
            </w:pPr>
            <w:r w:rsidRPr="00BF04E7">
              <w:rPr>
                <w:rFonts w:ascii="Arial" w:hAnsi="Arial" w:cs="Arial"/>
                <w:b/>
                <w:color w:val="000000"/>
              </w:rPr>
              <w:t>Exchangeable cations</w:t>
            </w:r>
          </w:p>
        </w:tc>
        <w:tc>
          <w:tcPr>
            <w:tcW w:w="1019" w:type="pct"/>
            <w:tcBorders>
              <w:top w:val="single" w:sz="12" w:space="0" w:color="auto"/>
              <w:bottom w:val="single" w:sz="12" w:space="0" w:color="auto"/>
            </w:tcBorders>
            <w:noWrap/>
            <w:vAlign w:val="center"/>
            <w:hideMark/>
          </w:tcPr>
          <w:p w14:paraId="75925E1C" w14:textId="77777777" w:rsidR="00E77ED3" w:rsidRPr="00BF04E7" w:rsidRDefault="00E77ED3" w:rsidP="009A5BC4">
            <w:pPr>
              <w:jc w:val="center"/>
              <w:rPr>
                <w:rFonts w:ascii="Arial" w:hAnsi="Arial" w:cs="Arial"/>
                <w:b/>
                <w:color w:val="000000"/>
              </w:rPr>
            </w:pPr>
            <w:r w:rsidRPr="00BF04E7">
              <w:rPr>
                <w:rFonts w:ascii="Arial" w:hAnsi="Arial" w:cs="Arial"/>
                <w:b/>
                <w:color w:val="000000"/>
              </w:rPr>
              <w:t>Sampling depth</w:t>
            </w:r>
          </w:p>
        </w:tc>
        <w:tc>
          <w:tcPr>
            <w:tcW w:w="962" w:type="pct"/>
            <w:tcBorders>
              <w:top w:val="single" w:sz="12" w:space="0" w:color="auto"/>
              <w:bottom w:val="single" w:sz="12" w:space="0" w:color="auto"/>
            </w:tcBorders>
            <w:noWrap/>
            <w:vAlign w:val="center"/>
            <w:hideMark/>
          </w:tcPr>
          <w:p w14:paraId="0B315E99" w14:textId="77777777" w:rsidR="00E77ED3" w:rsidRPr="00BF04E7" w:rsidRDefault="00E77ED3" w:rsidP="009A5BC4">
            <w:pPr>
              <w:jc w:val="center"/>
              <w:rPr>
                <w:rFonts w:ascii="Arial" w:hAnsi="Arial" w:cs="Arial"/>
                <w:b/>
                <w:color w:val="000000"/>
              </w:rPr>
            </w:pPr>
            <w:r w:rsidRPr="00BF04E7">
              <w:rPr>
                <w:rFonts w:ascii="Arial" w:hAnsi="Arial" w:cs="Arial"/>
                <w:b/>
                <w:color w:val="000000"/>
              </w:rPr>
              <w:t>P1</w:t>
            </w:r>
          </w:p>
        </w:tc>
        <w:tc>
          <w:tcPr>
            <w:tcW w:w="788" w:type="pct"/>
            <w:tcBorders>
              <w:top w:val="single" w:sz="12" w:space="0" w:color="auto"/>
              <w:bottom w:val="single" w:sz="12" w:space="0" w:color="auto"/>
            </w:tcBorders>
            <w:noWrap/>
            <w:vAlign w:val="center"/>
            <w:hideMark/>
          </w:tcPr>
          <w:p w14:paraId="0006C1F8" w14:textId="77777777" w:rsidR="00E77ED3" w:rsidRPr="00BF04E7" w:rsidRDefault="00E77ED3" w:rsidP="009A5BC4">
            <w:pPr>
              <w:jc w:val="center"/>
              <w:rPr>
                <w:rFonts w:ascii="Arial" w:hAnsi="Arial" w:cs="Arial"/>
                <w:b/>
                <w:color w:val="000000"/>
              </w:rPr>
            </w:pPr>
            <w:r w:rsidRPr="00BF04E7">
              <w:rPr>
                <w:rFonts w:ascii="Arial" w:hAnsi="Arial" w:cs="Arial"/>
                <w:b/>
                <w:color w:val="000000"/>
              </w:rPr>
              <w:t>P2</w:t>
            </w:r>
          </w:p>
        </w:tc>
        <w:tc>
          <w:tcPr>
            <w:tcW w:w="1313" w:type="pct"/>
            <w:tcBorders>
              <w:top w:val="single" w:sz="12" w:space="0" w:color="auto"/>
              <w:bottom w:val="single" w:sz="12" w:space="0" w:color="auto"/>
            </w:tcBorders>
            <w:noWrap/>
            <w:vAlign w:val="center"/>
            <w:hideMark/>
          </w:tcPr>
          <w:p w14:paraId="1E4BE4EB" w14:textId="77777777" w:rsidR="00E77ED3" w:rsidRPr="00BF04E7" w:rsidRDefault="00E77ED3" w:rsidP="009A5BC4">
            <w:pPr>
              <w:jc w:val="center"/>
              <w:rPr>
                <w:rFonts w:ascii="Arial" w:hAnsi="Arial" w:cs="Arial"/>
                <w:b/>
                <w:color w:val="000000"/>
              </w:rPr>
            </w:pPr>
            <w:r w:rsidRPr="00BF04E7">
              <w:rPr>
                <w:rFonts w:ascii="Arial" w:hAnsi="Arial" w:cs="Arial"/>
                <w:b/>
                <w:color w:val="000000"/>
              </w:rPr>
              <w:t>P3</w:t>
            </w:r>
          </w:p>
        </w:tc>
      </w:tr>
      <w:tr w:rsidR="00E77ED3" w:rsidRPr="00BF04E7" w14:paraId="2F802394" w14:textId="77777777" w:rsidTr="009A5BC4">
        <w:trPr>
          <w:trHeight w:val="315"/>
        </w:trPr>
        <w:tc>
          <w:tcPr>
            <w:tcW w:w="918" w:type="pct"/>
            <w:vMerge w:val="restart"/>
            <w:tcBorders>
              <w:top w:val="single" w:sz="12" w:space="0" w:color="auto"/>
              <w:bottom w:val="single" w:sz="4" w:space="0" w:color="auto"/>
            </w:tcBorders>
            <w:vAlign w:val="center"/>
            <w:hideMark/>
          </w:tcPr>
          <w:p w14:paraId="06EA96BF" w14:textId="77777777" w:rsidR="00E77ED3" w:rsidRPr="00BF04E7" w:rsidRDefault="00E77ED3" w:rsidP="009A5BC4">
            <w:pPr>
              <w:jc w:val="center"/>
              <w:rPr>
                <w:rFonts w:ascii="Arial" w:hAnsi="Arial" w:cs="Arial"/>
                <w:b/>
                <w:bCs/>
                <w:i/>
                <w:iCs/>
              </w:rPr>
            </w:pPr>
            <w:r w:rsidRPr="00BF04E7">
              <w:rPr>
                <w:rFonts w:ascii="Arial" w:hAnsi="Arial" w:cs="Arial"/>
                <w:b/>
                <w:bCs/>
                <w:i/>
                <w:iCs/>
              </w:rPr>
              <w:t>Na</w:t>
            </w:r>
            <w:r w:rsidRPr="00BF04E7">
              <w:rPr>
                <w:rFonts w:ascii="Arial" w:hAnsi="Arial" w:cs="Arial"/>
                <w:b/>
                <w:bCs/>
                <w:i/>
                <w:iCs/>
                <w:vertAlign w:val="superscript"/>
              </w:rPr>
              <w:t xml:space="preserve">+ </w:t>
            </w:r>
            <w:r w:rsidRPr="00BF04E7">
              <w:rPr>
                <w:rFonts w:ascii="Arial" w:hAnsi="Arial" w:cs="Arial"/>
                <w:b/>
                <w:bCs/>
                <w:i/>
                <w:iCs/>
              </w:rPr>
              <w:t>(</w:t>
            </w:r>
            <w:proofErr w:type="spellStart"/>
            <w:r w:rsidRPr="00BF04E7">
              <w:rPr>
                <w:rFonts w:ascii="Arial" w:hAnsi="Arial" w:cs="Arial"/>
                <w:b/>
                <w:bCs/>
                <w:i/>
                <w:iCs/>
              </w:rPr>
              <w:t>meq</w:t>
            </w:r>
            <w:proofErr w:type="spellEnd"/>
            <w:r w:rsidRPr="00BF04E7">
              <w:rPr>
                <w:rFonts w:ascii="Arial" w:hAnsi="Arial" w:cs="Arial"/>
                <w:b/>
                <w:bCs/>
                <w:i/>
                <w:iCs/>
              </w:rPr>
              <w:t>/100g)</w:t>
            </w:r>
          </w:p>
        </w:tc>
        <w:tc>
          <w:tcPr>
            <w:tcW w:w="1019" w:type="pct"/>
            <w:tcBorders>
              <w:top w:val="single" w:sz="12" w:space="0" w:color="auto"/>
              <w:bottom w:val="single" w:sz="4" w:space="0" w:color="auto"/>
            </w:tcBorders>
            <w:noWrap/>
            <w:vAlign w:val="center"/>
            <w:hideMark/>
          </w:tcPr>
          <w:p w14:paraId="70A5CE50" w14:textId="77777777" w:rsidR="00E77ED3" w:rsidRPr="00BF04E7" w:rsidRDefault="00E77ED3" w:rsidP="009A5BC4">
            <w:pPr>
              <w:jc w:val="center"/>
              <w:rPr>
                <w:rFonts w:ascii="Arial" w:hAnsi="Arial" w:cs="Arial"/>
                <w:b/>
                <w:bCs/>
                <w:color w:val="000000"/>
              </w:rPr>
            </w:pPr>
            <w:r w:rsidRPr="00BF04E7">
              <w:rPr>
                <w:rFonts w:ascii="Arial" w:hAnsi="Arial" w:cs="Arial"/>
                <w:b/>
                <w:bCs/>
                <w:color w:val="000000"/>
              </w:rPr>
              <w:t>0-10 cm</w:t>
            </w:r>
          </w:p>
        </w:tc>
        <w:tc>
          <w:tcPr>
            <w:tcW w:w="962" w:type="pct"/>
            <w:tcBorders>
              <w:top w:val="single" w:sz="12" w:space="0" w:color="auto"/>
              <w:bottom w:val="single" w:sz="4" w:space="0" w:color="auto"/>
            </w:tcBorders>
            <w:noWrap/>
            <w:vAlign w:val="center"/>
            <w:hideMark/>
          </w:tcPr>
          <w:p w14:paraId="23E8C45B" w14:textId="77777777" w:rsidR="00E77ED3" w:rsidRPr="00BF04E7" w:rsidRDefault="00E77ED3" w:rsidP="009A5BC4">
            <w:pPr>
              <w:jc w:val="center"/>
              <w:rPr>
                <w:rFonts w:ascii="Arial" w:hAnsi="Arial" w:cs="Arial"/>
                <w:color w:val="000000"/>
              </w:rPr>
            </w:pPr>
            <w:r w:rsidRPr="00BF04E7">
              <w:rPr>
                <w:rFonts w:ascii="Arial" w:hAnsi="Arial" w:cs="Arial"/>
                <w:color w:val="000000"/>
              </w:rPr>
              <w:t>1.100 a</w:t>
            </w:r>
          </w:p>
        </w:tc>
        <w:tc>
          <w:tcPr>
            <w:tcW w:w="788" w:type="pct"/>
            <w:tcBorders>
              <w:top w:val="single" w:sz="12" w:space="0" w:color="auto"/>
              <w:bottom w:val="single" w:sz="4" w:space="0" w:color="auto"/>
            </w:tcBorders>
            <w:noWrap/>
            <w:vAlign w:val="center"/>
            <w:hideMark/>
          </w:tcPr>
          <w:p w14:paraId="33C1A31D" w14:textId="77777777" w:rsidR="00E77ED3" w:rsidRPr="00BF04E7" w:rsidRDefault="00E77ED3" w:rsidP="009A5BC4">
            <w:pPr>
              <w:jc w:val="center"/>
              <w:rPr>
                <w:rFonts w:ascii="Arial" w:hAnsi="Arial" w:cs="Arial"/>
                <w:color w:val="000000"/>
              </w:rPr>
            </w:pPr>
            <w:r w:rsidRPr="00BF04E7">
              <w:rPr>
                <w:rFonts w:ascii="Arial" w:hAnsi="Arial" w:cs="Arial"/>
                <w:color w:val="000000"/>
              </w:rPr>
              <w:t>0.296 a</w:t>
            </w:r>
          </w:p>
        </w:tc>
        <w:tc>
          <w:tcPr>
            <w:tcW w:w="1313" w:type="pct"/>
            <w:tcBorders>
              <w:top w:val="single" w:sz="12" w:space="0" w:color="auto"/>
              <w:bottom w:val="single" w:sz="4" w:space="0" w:color="auto"/>
            </w:tcBorders>
            <w:noWrap/>
            <w:vAlign w:val="center"/>
            <w:hideMark/>
          </w:tcPr>
          <w:p w14:paraId="269B5106" w14:textId="77777777" w:rsidR="00E77ED3" w:rsidRPr="00BF04E7" w:rsidRDefault="00E77ED3" w:rsidP="009A5BC4">
            <w:pPr>
              <w:jc w:val="center"/>
              <w:rPr>
                <w:rFonts w:ascii="Arial" w:hAnsi="Arial" w:cs="Arial"/>
                <w:color w:val="000000"/>
              </w:rPr>
            </w:pPr>
            <w:r w:rsidRPr="00BF04E7">
              <w:rPr>
                <w:rFonts w:ascii="Arial" w:hAnsi="Arial" w:cs="Arial"/>
                <w:color w:val="000000"/>
              </w:rPr>
              <w:t>0.751 a</w:t>
            </w:r>
          </w:p>
        </w:tc>
      </w:tr>
      <w:tr w:rsidR="00E77ED3" w:rsidRPr="00BF04E7" w14:paraId="3F4DEA46" w14:textId="77777777" w:rsidTr="009A5BC4">
        <w:trPr>
          <w:trHeight w:val="315"/>
        </w:trPr>
        <w:tc>
          <w:tcPr>
            <w:tcW w:w="918" w:type="pct"/>
            <w:vMerge/>
            <w:tcBorders>
              <w:top w:val="single" w:sz="4" w:space="0" w:color="auto"/>
              <w:bottom w:val="single" w:sz="4" w:space="0" w:color="auto"/>
            </w:tcBorders>
            <w:vAlign w:val="center"/>
            <w:hideMark/>
          </w:tcPr>
          <w:p w14:paraId="61E1BAC8" w14:textId="77777777" w:rsidR="00E77ED3" w:rsidRPr="00BF04E7" w:rsidRDefault="00E77ED3" w:rsidP="009A5BC4">
            <w:pPr>
              <w:jc w:val="center"/>
              <w:rPr>
                <w:rFonts w:ascii="Arial" w:hAnsi="Arial" w:cs="Arial"/>
                <w:b/>
                <w:bCs/>
                <w:i/>
                <w:iCs/>
              </w:rPr>
            </w:pPr>
          </w:p>
        </w:tc>
        <w:tc>
          <w:tcPr>
            <w:tcW w:w="1019" w:type="pct"/>
            <w:tcBorders>
              <w:top w:val="single" w:sz="4" w:space="0" w:color="auto"/>
              <w:bottom w:val="single" w:sz="4" w:space="0" w:color="auto"/>
            </w:tcBorders>
            <w:noWrap/>
            <w:vAlign w:val="center"/>
            <w:hideMark/>
          </w:tcPr>
          <w:p w14:paraId="2BC77894" w14:textId="77777777" w:rsidR="00E77ED3" w:rsidRPr="00BF04E7" w:rsidRDefault="00E77ED3" w:rsidP="009A5BC4">
            <w:pPr>
              <w:jc w:val="center"/>
              <w:rPr>
                <w:rFonts w:ascii="Arial" w:hAnsi="Arial" w:cs="Arial"/>
                <w:b/>
                <w:bCs/>
                <w:color w:val="000000"/>
              </w:rPr>
            </w:pPr>
            <w:r w:rsidRPr="00BF04E7">
              <w:rPr>
                <w:rFonts w:ascii="Arial" w:hAnsi="Arial" w:cs="Arial"/>
                <w:b/>
                <w:bCs/>
                <w:color w:val="000000"/>
              </w:rPr>
              <w:t>10-20 cm</w:t>
            </w:r>
          </w:p>
        </w:tc>
        <w:tc>
          <w:tcPr>
            <w:tcW w:w="962" w:type="pct"/>
            <w:tcBorders>
              <w:top w:val="single" w:sz="4" w:space="0" w:color="auto"/>
              <w:bottom w:val="single" w:sz="4" w:space="0" w:color="auto"/>
            </w:tcBorders>
            <w:noWrap/>
            <w:vAlign w:val="center"/>
            <w:hideMark/>
          </w:tcPr>
          <w:p w14:paraId="1E698B27" w14:textId="77777777" w:rsidR="00E77ED3" w:rsidRPr="00BF04E7" w:rsidRDefault="00E77ED3" w:rsidP="009A5BC4">
            <w:pPr>
              <w:jc w:val="center"/>
              <w:rPr>
                <w:rFonts w:ascii="Arial" w:hAnsi="Arial" w:cs="Arial"/>
                <w:color w:val="000000"/>
              </w:rPr>
            </w:pPr>
            <w:r w:rsidRPr="00BF04E7">
              <w:rPr>
                <w:rFonts w:ascii="Arial" w:hAnsi="Arial" w:cs="Arial"/>
                <w:color w:val="000000"/>
              </w:rPr>
              <w:t>0.313 a</w:t>
            </w:r>
          </w:p>
        </w:tc>
        <w:tc>
          <w:tcPr>
            <w:tcW w:w="788" w:type="pct"/>
            <w:tcBorders>
              <w:top w:val="single" w:sz="4" w:space="0" w:color="auto"/>
              <w:bottom w:val="single" w:sz="4" w:space="0" w:color="auto"/>
            </w:tcBorders>
            <w:noWrap/>
            <w:vAlign w:val="center"/>
            <w:hideMark/>
          </w:tcPr>
          <w:p w14:paraId="520C1249" w14:textId="77777777" w:rsidR="00E77ED3" w:rsidRPr="00BF04E7" w:rsidRDefault="00E77ED3" w:rsidP="009A5BC4">
            <w:pPr>
              <w:jc w:val="center"/>
              <w:rPr>
                <w:rFonts w:ascii="Arial" w:hAnsi="Arial" w:cs="Arial"/>
                <w:color w:val="000000"/>
              </w:rPr>
            </w:pPr>
            <w:r w:rsidRPr="00BF04E7">
              <w:rPr>
                <w:rFonts w:ascii="Arial" w:hAnsi="Arial" w:cs="Arial"/>
                <w:color w:val="000000"/>
              </w:rPr>
              <w:t>0.893 a</w:t>
            </w:r>
          </w:p>
        </w:tc>
        <w:tc>
          <w:tcPr>
            <w:tcW w:w="1313" w:type="pct"/>
            <w:tcBorders>
              <w:top w:val="single" w:sz="4" w:space="0" w:color="auto"/>
              <w:bottom w:val="single" w:sz="4" w:space="0" w:color="auto"/>
            </w:tcBorders>
            <w:noWrap/>
            <w:vAlign w:val="center"/>
            <w:hideMark/>
          </w:tcPr>
          <w:p w14:paraId="3426606C" w14:textId="77777777" w:rsidR="00E77ED3" w:rsidRPr="00BF04E7" w:rsidRDefault="00E77ED3" w:rsidP="009A5BC4">
            <w:pPr>
              <w:jc w:val="center"/>
              <w:rPr>
                <w:rFonts w:ascii="Arial" w:hAnsi="Arial" w:cs="Arial"/>
                <w:color w:val="000000"/>
              </w:rPr>
            </w:pPr>
            <w:r w:rsidRPr="00BF04E7">
              <w:rPr>
                <w:rFonts w:ascii="Arial" w:hAnsi="Arial" w:cs="Arial"/>
                <w:color w:val="000000"/>
              </w:rPr>
              <w:t>0.407 a</w:t>
            </w:r>
          </w:p>
        </w:tc>
      </w:tr>
      <w:tr w:rsidR="00E77ED3" w:rsidRPr="00BF04E7" w14:paraId="13F93D93" w14:textId="77777777" w:rsidTr="009A5BC4">
        <w:trPr>
          <w:trHeight w:val="315"/>
        </w:trPr>
        <w:tc>
          <w:tcPr>
            <w:tcW w:w="918" w:type="pct"/>
            <w:vMerge w:val="restart"/>
            <w:tcBorders>
              <w:top w:val="single" w:sz="4" w:space="0" w:color="auto"/>
              <w:bottom w:val="single" w:sz="4" w:space="0" w:color="auto"/>
            </w:tcBorders>
            <w:vAlign w:val="center"/>
            <w:hideMark/>
          </w:tcPr>
          <w:p w14:paraId="2B214D82" w14:textId="77777777" w:rsidR="00E77ED3" w:rsidRPr="00BF04E7" w:rsidRDefault="00E77ED3" w:rsidP="009A5BC4">
            <w:pPr>
              <w:jc w:val="center"/>
              <w:rPr>
                <w:rFonts w:ascii="Arial" w:hAnsi="Arial" w:cs="Arial"/>
                <w:b/>
                <w:bCs/>
                <w:i/>
                <w:iCs/>
              </w:rPr>
            </w:pPr>
            <w:r w:rsidRPr="00BF04E7">
              <w:rPr>
                <w:rFonts w:ascii="Arial" w:hAnsi="Arial" w:cs="Arial"/>
                <w:b/>
                <w:bCs/>
                <w:i/>
                <w:iCs/>
              </w:rPr>
              <w:lastRenderedPageBreak/>
              <w:t>Mg2+ (</w:t>
            </w:r>
            <w:proofErr w:type="spellStart"/>
            <w:r w:rsidRPr="00BF04E7">
              <w:rPr>
                <w:rFonts w:ascii="Arial" w:hAnsi="Arial" w:cs="Arial"/>
                <w:b/>
                <w:bCs/>
                <w:i/>
                <w:iCs/>
              </w:rPr>
              <w:t>meq</w:t>
            </w:r>
            <w:proofErr w:type="spellEnd"/>
            <w:r w:rsidRPr="00BF04E7">
              <w:rPr>
                <w:rFonts w:ascii="Arial" w:hAnsi="Arial" w:cs="Arial"/>
                <w:b/>
                <w:bCs/>
                <w:i/>
                <w:iCs/>
              </w:rPr>
              <w:t>/100g)</w:t>
            </w:r>
          </w:p>
        </w:tc>
        <w:tc>
          <w:tcPr>
            <w:tcW w:w="1019" w:type="pct"/>
            <w:tcBorders>
              <w:top w:val="single" w:sz="4" w:space="0" w:color="auto"/>
              <w:bottom w:val="single" w:sz="4" w:space="0" w:color="auto"/>
            </w:tcBorders>
            <w:noWrap/>
            <w:vAlign w:val="center"/>
            <w:hideMark/>
          </w:tcPr>
          <w:p w14:paraId="37A7320B" w14:textId="77777777" w:rsidR="00E77ED3" w:rsidRPr="00BF04E7" w:rsidRDefault="00E77ED3" w:rsidP="009A5BC4">
            <w:pPr>
              <w:jc w:val="center"/>
              <w:rPr>
                <w:rFonts w:ascii="Arial" w:hAnsi="Arial" w:cs="Arial"/>
                <w:b/>
                <w:bCs/>
                <w:color w:val="000000"/>
              </w:rPr>
            </w:pPr>
            <w:r w:rsidRPr="00BF04E7">
              <w:rPr>
                <w:rFonts w:ascii="Arial" w:hAnsi="Arial" w:cs="Arial"/>
                <w:b/>
                <w:bCs/>
                <w:color w:val="000000"/>
              </w:rPr>
              <w:t>0-10 cm</w:t>
            </w:r>
          </w:p>
        </w:tc>
        <w:tc>
          <w:tcPr>
            <w:tcW w:w="962" w:type="pct"/>
            <w:tcBorders>
              <w:top w:val="single" w:sz="4" w:space="0" w:color="auto"/>
              <w:bottom w:val="single" w:sz="4" w:space="0" w:color="auto"/>
            </w:tcBorders>
            <w:noWrap/>
            <w:vAlign w:val="center"/>
            <w:hideMark/>
          </w:tcPr>
          <w:p w14:paraId="2437A438" w14:textId="77777777" w:rsidR="00E77ED3" w:rsidRPr="00BF04E7" w:rsidRDefault="00E77ED3" w:rsidP="009A5BC4">
            <w:pPr>
              <w:jc w:val="center"/>
              <w:rPr>
                <w:rFonts w:ascii="Arial" w:hAnsi="Arial" w:cs="Arial"/>
                <w:color w:val="000000"/>
              </w:rPr>
            </w:pPr>
            <w:r w:rsidRPr="00BF04E7">
              <w:rPr>
                <w:rFonts w:ascii="Arial" w:hAnsi="Arial" w:cs="Arial"/>
                <w:color w:val="000000"/>
              </w:rPr>
              <w:t>3.000 a</w:t>
            </w:r>
          </w:p>
        </w:tc>
        <w:tc>
          <w:tcPr>
            <w:tcW w:w="788" w:type="pct"/>
            <w:tcBorders>
              <w:top w:val="single" w:sz="4" w:space="0" w:color="auto"/>
              <w:bottom w:val="single" w:sz="4" w:space="0" w:color="auto"/>
            </w:tcBorders>
            <w:noWrap/>
            <w:vAlign w:val="center"/>
            <w:hideMark/>
          </w:tcPr>
          <w:p w14:paraId="05A3B21E" w14:textId="77777777" w:rsidR="00E77ED3" w:rsidRPr="00BF04E7" w:rsidRDefault="00E77ED3" w:rsidP="009A5BC4">
            <w:pPr>
              <w:jc w:val="center"/>
              <w:rPr>
                <w:rFonts w:ascii="Arial" w:hAnsi="Arial" w:cs="Arial"/>
                <w:color w:val="000000"/>
              </w:rPr>
            </w:pPr>
            <w:r w:rsidRPr="00BF04E7">
              <w:rPr>
                <w:rFonts w:ascii="Arial" w:hAnsi="Arial" w:cs="Arial"/>
                <w:color w:val="000000"/>
              </w:rPr>
              <w:t>1.972 a</w:t>
            </w:r>
          </w:p>
        </w:tc>
        <w:tc>
          <w:tcPr>
            <w:tcW w:w="1313" w:type="pct"/>
            <w:tcBorders>
              <w:top w:val="single" w:sz="4" w:space="0" w:color="auto"/>
              <w:bottom w:val="single" w:sz="4" w:space="0" w:color="auto"/>
            </w:tcBorders>
            <w:noWrap/>
            <w:vAlign w:val="center"/>
            <w:hideMark/>
          </w:tcPr>
          <w:p w14:paraId="73F4DE18" w14:textId="77777777" w:rsidR="00E77ED3" w:rsidRPr="00BF04E7" w:rsidRDefault="00E77ED3" w:rsidP="009A5BC4">
            <w:pPr>
              <w:jc w:val="center"/>
              <w:rPr>
                <w:rFonts w:ascii="Arial" w:hAnsi="Arial" w:cs="Arial"/>
                <w:color w:val="000000"/>
              </w:rPr>
            </w:pPr>
            <w:r w:rsidRPr="00BF04E7">
              <w:rPr>
                <w:rFonts w:ascii="Arial" w:hAnsi="Arial" w:cs="Arial"/>
                <w:color w:val="000000"/>
              </w:rPr>
              <w:t>2.138 a</w:t>
            </w:r>
          </w:p>
        </w:tc>
      </w:tr>
      <w:tr w:rsidR="00E77ED3" w:rsidRPr="00BF04E7" w14:paraId="03D6AD6C" w14:textId="77777777" w:rsidTr="009A5BC4">
        <w:trPr>
          <w:trHeight w:val="315"/>
        </w:trPr>
        <w:tc>
          <w:tcPr>
            <w:tcW w:w="918" w:type="pct"/>
            <w:vMerge/>
            <w:tcBorders>
              <w:top w:val="single" w:sz="4" w:space="0" w:color="auto"/>
              <w:bottom w:val="single" w:sz="4" w:space="0" w:color="auto"/>
            </w:tcBorders>
            <w:vAlign w:val="center"/>
            <w:hideMark/>
          </w:tcPr>
          <w:p w14:paraId="5BBBF7CF" w14:textId="77777777" w:rsidR="00E77ED3" w:rsidRPr="00BF04E7" w:rsidRDefault="00E77ED3" w:rsidP="009A5BC4">
            <w:pPr>
              <w:jc w:val="center"/>
              <w:rPr>
                <w:rFonts w:ascii="Arial" w:hAnsi="Arial" w:cs="Arial"/>
                <w:b/>
                <w:bCs/>
                <w:i/>
                <w:iCs/>
              </w:rPr>
            </w:pPr>
          </w:p>
        </w:tc>
        <w:tc>
          <w:tcPr>
            <w:tcW w:w="1019" w:type="pct"/>
            <w:tcBorders>
              <w:top w:val="single" w:sz="4" w:space="0" w:color="auto"/>
              <w:bottom w:val="single" w:sz="4" w:space="0" w:color="auto"/>
            </w:tcBorders>
            <w:noWrap/>
            <w:vAlign w:val="center"/>
            <w:hideMark/>
          </w:tcPr>
          <w:p w14:paraId="551E9E02" w14:textId="77777777" w:rsidR="00E77ED3" w:rsidRPr="00BF04E7" w:rsidRDefault="00E77ED3" w:rsidP="009A5BC4">
            <w:pPr>
              <w:jc w:val="center"/>
              <w:rPr>
                <w:rFonts w:ascii="Arial" w:hAnsi="Arial" w:cs="Arial"/>
                <w:b/>
                <w:bCs/>
                <w:color w:val="000000"/>
              </w:rPr>
            </w:pPr>
            <w:r w:rsidRPr="00BF04E7">
              <w:rPr>
                <w:rFonts w:ascii="Arial" w:hAnsi="Arial" w:cs="Arial"/>
                <w:b/>
                <w:bCs/>
                <w:color w:val="000000"/>
              </w:rPr>
              <w:t>10-20 cm</w:t>
            </w:r>
          </w:p>
        </w:tc>
        <w:tc>
          <w:tcPr>
            <w:tcW w:w="962" w:type="pct"/>
            <w:tcBorders>
              <w:top w:val="single" w:sz="4" w:space="0" w:color="auto"/>
              <w:bottom w:val="single" w:sz="4" w:space="0" w:color="auto"/>
            </w:tcBorders>
            <w:noWrap/>
            <w:vAlign w:val="center"/>
            <w:hideMark/>
          </w:tcPr>
          <w:p w14:paraId="12A09C74" w14:textId="77777777" w:rsidR="00E77ED3" w:rsidRPr="00BF04E7" w:rsidRDefault="00E77ED3" w:rsidP="009A5BC4">
            <w:pPr>
              <w:jc w:val="center"/>
              <w:rPr>
                <w:rFonts w:ascii="Arial" w:hAnsi="Arial" w:cs="Arial"/>
                <w:color w:val="000000"/>
              </w:rPr>
            </w:pPr>
            <w:r w:rsidRPr="00BF04E7">
              <w:rPr>
                <w:rFonts w:ascii="Arial" w:hAnsi="Arial" w:cs="Arial"/>
                <w:color w:val="000000"/>
              </w:rPr>
              <w:t>3.740 a</w:t>
            </w:r>
          </w:p>
        </w:tc>
        <w:tc>
          <w:tcPr>
            <w:tcW w:w="788" w:type="pct"/>
            <w:tcBorders>
              <w:top w:val="single" w:sz="4" w:space="0" w:color="auto"/>
              <w:bottom w:val="single" w:sz="4" w:space="0" w:color="auto"/>
            </w:tcBorders>
            <w:noWrap/>
            <w:vAlign w:val="center"/>
            <w:hideMark/>
          </w:tcPr>
          <w:p w14:paraId="369ECCEE" w14:textId="77777777" w:rsidR="00E77ED3" w:rsidRPr="00BF04E7" w:rsidRDefault="00E77ED3" w:rsidP="009A5BC4">
            <w:pPr>
              <w:jc w:val="center"/>
              <w:rPr>
                <w:rFonts w:ascii="Arial" w:hAnsi="Arial" w:cs="Arial"/>
                <w:color w:val="000000"/>
              </w:rPr>
            </w:pPr>
            <w:r w:rsidRPr="00BF04E7">
              <w:rPr>
                <w:rFonts w:ascii="Arial" w:hAnsi="Arial" w:cs="Arial"/>
                <w:color w:val="000000"/>
              </w:rPr>
              <w:t>2.929 a</w:t>
            </w:r>
          </w:p>
        </w:tc>
        <w:tc>
          <w:tcPr>
            <w:tcW w:w="1313" w:type="pct"/>
            <w:tcBorders>
              <w:top w:val="single" w:sz="4" w:space="0" w:color="auto"/>
              <w:bottom w:val="single" w:sz="4" w:space="0" w:color="auto"/>
            </w:tcBorders>
            <w:noWrap/>
            <w:vAlign w:val="center"/>
            <w:hideMark/>
          </w:tcPr>
          <w:p w14:paraId="0528A88C" w14:textId="77777777" w:rsidR="00E77ED3" w:rsidRPr="00BF04E7" w:rsidRDefault="00E77ED3" w:rsidP="009A5BC4">
            <w:pPr>
              <w:jc w:val="center"/>
              <w:rPr>
                <w:rFonts w:ascii="Arial" w:hAnsi="Arial" w:cs="Arial"/>
                <w:color w:val="000000"/>
              </w:rPr>
            </w:pPr>
            <w:r w:rsidRPr="00BF04E7">
              <w:rPr>
                <w:rFonts w:ascii="Arial" w:hAnsi="Arial" w:cs="Arial"/>
                <w:color w:val="000000"/>
              </w:rPr>
              <w:t>2.783 a</w:t>
            </w:r>
          </w:p>
        </w:tc>
      </w:tr>
      <w:tr w:rsidR="00E77ED3" w:rsidRPr="00BF04E7" w14:paraId="0BF96444" w14:textId="77777777" w:rsidTr="009A5BC4">
        <w:trPr>
          <w:trHeight w:val="315"/>
        </w:trPr>
        <w:tc>
          <w:tcPr>
            <w:tcW w:w="918" w:type="pct"/>
            <w:vMerge w:val="restart"/>
            <w:tcBorders>
              <w:top w:val="single" w:sz="4" w:space="0" w:color="auto"/>
              <w:bottom w:val="single" w:sz="4" w:space="0" w:color="auto"/>
            </w:tcBorders>
            <w:vAlign w:val="center"/>
            <w:hideMark/>
          </w:tcPr>
          <w:p w14:paraId="5DC7C24D" w14:textId="77777777" w:rsidR="00E77ED3" w:rsidRPr="00BF04E7" w:rsidRDefault="00E77ED3" w:rsidP="009A5BC4">
            <w:pPr>
              <w:jc w:val="center"/>
              <w:rPr>
                <w:rFonts w:ascii="Arial" w:hAnsi="Arial" w:cs="Arial"/>
                <w:b/>
                <w:bCs/>
                <w:i/>
                <w:iCs/>
              </w:rPr>
            </w:pPr>
            <w:r w:rsidRPr="00BF04E7">
              <w:rPr>
                <w:rFonts w:ascii="Arial" w:hAnsi="Arial" w:cs="Arial"/>
                <w:b/>
                <w:bCs/>
                <w:i/>
                <w:iCs/>
              </w:rPr>
              <w:t>K+ (</w:t>
            </w:r>
            <w:proofErr w:type="spellStart"/>
            <w:r w:rsidRPr="00BF04E7">
              <w:rPr>
                <w:rFonts w:ascii="Arial" w:hAnsi="Arial" w:cs="Arial"/>
                <w:b/>
                <w:bCs/>
                <w:i/>
                <w:iCs/>
              </w:rPr>
              <w:t>meq</w:t>
            </w:r>
            <w:proofErr w:type="spellEnd"/>
            <w:r w:rsidRPr="00BF04E7">
              <w:rPr>
                <w:rFonts w:ascii="Arial" w:hAnsi="Arial" w:cs="Arial"/>
                <w:b/>
                <w:bCs/>
                <w:i/>
                <w:iCs/>
              </w:rPr>
              <w:t>/100g)</w:t>
            </w:r>
          </w:p>
        </w:tc>
        <w:tc>
          <w:tcPr>
            <w:tcW w:w="1019" w:type="pct"/>
            <w:tcBorders>
              <w:top w:val="single" w:sz="4" w:space="0" w:color="auto"/>
              <w:bottom w:val="single" w:sz="4" w:space="0" w:color="auto"/>
            </w:tcBorders>
            <w:noWrap/>
            <w:vAlign w:val="center"/>
            <w:hideMark/>
          </w:tcPr>
          <w:p w14:paraId="5375FB68" w14:textId="77777777" w:rsidR="00E77ED3" w:rsidRPr="00BF04E7" w:rsidRDefault="00E77ED3" w:rsidP="009A5BC4">
            <w:pPr>
              <w:jc w:val="center"/>
              <w:rPr>
                <w:rFonts w:ascii="Arial" w:hAnsi="Arial" w:cs="Arial"/>
                <w:b/>
                <w:bCs/>
                <w:color w:val="000000"/>
              </w:rPr>
            </w:pPr>
            <w:r w:rsidRPr="00BF04E7">
              <w:rPr>
                <w:rFonts w:ascii="Arial" w:hAnsi="Arial" w:cs="Arial"/>
                <w:b/>
                <w:bCs/>
                <w:color w:val="000000"/>
              </w:rPr>
              <w:t>0-10 cm</w:t>
            </w:r>
          </w:p>
        </w:tc>
        <w:tc>
          <w:tcPr>
            <w:tcW w:w="962" w:type="pct"/>
            <w:tcBorders>
              <w:top w:val="single" w:sz="4" w:space="0" w:color="auto"/>
              <w:bottom w:val="single" w:sz="4" w:space="0" w:color="auto"/>
            </w:tcBorders>
            <w:noWrap/>
            <w:vAlign w:val="center"/>
            <w:hideMark/>
          </w:tcPr>
          <w:p w14:paraId="703AB326" w14:textId="77777777" w:rsidR="00E77ED3" w:rsidRPr="00BF04E7" w:rsidRDefault="00E77ED3" w:rsidP="009A5BC4">
            <w:pPr>
              <w:jc w:val="center"/>
              <w:rPr>
                <w:rFonts w:ascii="Arial" w:hAnsi="Arial" w:cs="Arial"/>
                <w:color w:val="000000"/>
              </w:rPr>
            </w:pPr>
            <w:r w:rsidRPr="00BF04E7">
              <w:rPr>
                <w:rFonts w:ascii="Arial" w:hAnsi="Arial" w:cs="Arial"/>
                <w:color w:val="000000"/>
              </w:rPr>
              <w:t>1.860 a</w:t>
            </w:r>
          </w:p>
        </w:tc>
        <w:tc>
          <w:tcPr>
            <w:tcW w:w="788" w:type="pct"/>
            <w:tcBorders>
              <w:top w:val="single" w:sz="4" w:space="0" w:color="auto"/>
              <w:bottom w:val="single" w:sz="4" w:space="0" w:color="auto"/>
            </w:tcBorders>
            <w:noWrap/>
            <w:vAlign w:val="center"/>
            <w:hideMark/>
          </w:tcPr>
          <w:p w14:paraId="16F7A800" w14:textId="77777777" w:rsidR="00E77ED3" w:rsidRPr="00BF04E7" w:rsidRDefault="00E77ED3" w:rsidP="009A5BC4">
            <w:pPr>
              <w:jc w:val="center"/>
              <w:rPr>
                <w:rFonts w:ascii="Arial" w:hAnsi="Arial" w:cs="Arial"/>
                <w:color w:val="000000"/>
              </w:rPr>
            </w:pPr>
            <w:r w:rsidRPr="00BF04E7">
              <w:rPr>
                <w:rFonts w:ascii="Arial" w:hAnsi="Arial" w:cs="Arial"/>
                <w:color w:val="000000"/>
              </w:rPr>
              <w:t>0.879 b</w:t>
            </w:r>
          </w:p>
        </w:tc>
        <w:tc>
          <w:tcPr>
            <w:tcW w:w="1313" w:type="pct"/>
            <w:tcBorders>
              <w:top w:val="single" w:sz="4" w:space="0" w:color="auto"/>
              <w:bottom w:val="single" w:sz="4" w:space="0" w:color="auto"/>
            </w:tcBorders>
            <w:noWrap/>
            <w:vAlign w:val="center"/>
            <w:hideMark/>
          </w:tcPr>
          <w:p w14:paraId="35F4D0C2" w14:textId="77777777" w:rsidR="00E77ED3" w:rsidRPr="00BF04E7" w:rsidRDefault="00E77ED3" w:rsidP="009A5BC4">
            <w:pPr>
              <w:jc w:val="center"/>
              <w:rPr>
                <w:rFonts w:ascii="Arial" w:hAnsi="Arial" w:cs="Arial"/>
                <w:color w:val="000000"/>
              </w:rPr>
            </w:pPr>
            <w:r w:rsidRPr="00BF04E7">
              <w:rPr>
                <w:rFonts w:ascii="Arial" w:hAnsi="Arial" w:cs="Arial"/>
                <w:color w:val="000000"/>
              </w:rPr>
              <w:t>0.565 b</w:t>
            </w:r>
          </w:p>
        </w:tc>
      </w:tr>
      <w:tr w:rsidR="00E77ED3" w:rsidRPr="00BF04E7" w14:paraId="47887477" w14:textId="77777777" w:rsidTr="009A5BC4">
        <w:trPr>
          <w:trHeight w:val="315"/>
        </w:trPr>
        <w:tc>
          <w:tcPr>
            <w:tcW w:w="918" w:type="pct"/>
            <w:vMerge/>
            <w:tcBorders>
              <w:top w:val="single" w:sz="4" w:space="0" w:color="auto"/>
              <w:bottom w:val="single" w:sz="4" w:space="0" w:color="auto"/>
            </w:tcBorders>
            <w:vAlign w:val="center"/>
            <w:hideMark/>
          </w:tcPr>
          <w:p w14:paraId="79884A9C" w14:textId="77777777" w:rsidR="00E77ED3" w:rsidRPr="00BF04E7" w:rsidRDefault="00E77ED3" w:rsidP="009A5BC4">
            <w:pPr>
              <w:jc w:val="center"/>
              <w:rPr>
                <w:rFonts w:ascii="Arial" w:hAnsi="Arial" w:cs="Arial"/>
                <w:b/>
                <w:bCs/>
                <w:i/>
                <w:iCs/>
              </w:rPr>
            </w:pPr>
          </w:p>
        </w:tc>
        <w:tc>
          <w:tcPr>
            <w:tcW w:w="1019" w:type="pct"/>
            <w:tcBorders>
              <w:top w:val="single" w:sz="4" w:space="0" w:color="auto"/>
              <w:bottom w:val="single" w:sz="4" w:space="0" w:color="auto"/>
            </w:tcBorders>
            <w:noWrap/>
            <w:vAlign w:val="center"/>
            <w:hideMark/>
          </w:tcPr>
          <w:p w14:paraId="7CA32E91" w14:textId="77777777" w:rsidR="00E77ED3" w:rsidRPr="00BF04E7" w:rsidRDefault="00E77ED3" w:rsidP="009A5BC4">
            <w:pPr>
              <w:jc w:val="center"/>
              <w:rPr>
                <w:rFonts w:ascii="Arial" w:hAnsi="Arial" w:cs="Arial"/>
                <w:b/>
                <w:bCs/>
                <w:color w:val="000000"/>
              </w:rPr>
            </w:pPr>
            <w:r w:rsidRPr="00BF04E7">
              <w:rPr>
                <w:rFonts w:ascii="Arial" w:hAnsi="Arial" w:cs="Arial"/>
                <w:b/>
                <w:bCs/>
                <w:color w:val="000000"/>
              </w:rPr>
              <w:t>10-20 cm</w:t>
            </w:r>
          </w:p>
        </w:tc>
        <w:tc>
          <w:tcPr>
            <w:tcW w:w="962" w:type="pct"/>
            <w:tcBorders>
              <w:top w:val="single" w:sz="4" w:space="0" w:color="auto"/>
              <w:bottom w:val="single" w:sz="4" w:space="0" w:color="auto"/>
            </w:tcBorders>
            <w:noWrap/>
            <w:vAlign w:val="center"/>
            <w:hideMark/>
          </w:tcPr>
          <w:p w14:paraId="1B3E6019" w14:textId="77777777" w:rsidR="00E77ED3" w:rsidRPr="00BF04E7" w:rsidRDefault="00E77ED3" w:rsidP="009A5BC4">
            <w:pPr>
              <w:jc w:val="center"/>
              <w:rPr>
                <w:rFonts w:ascii="Arial" w:hAnsi="Arial" w:cs="Arial"/>
                <w:color w:val="000000"/>
              </w:rPr>
            </w:pPr>
            <w:r w:rsidRPr="00BF04E7">
              <w:rPr>
                <w:rFonts w:ascii="Arial" w:hAnsi="Arial" w:cs="Arial"/>
                <w:color w:val="000000"/>
              </w:rPr>
              <w:t>1.224 a</w:t>
            </w:r>
          </w:p>
        </w:tc>
        <w:tc>
          <w:tcPr>
            <w:tcW w:w="788" w:type="pct"/>
            <w:tcBorders>
              <w:top w:val="single" w:sz="4" w:space="0" w:color="auto"/>
              <w:bottom w:val="single" w:sz="4" w:space="0" w:color="auto"/>
            </w:tcBorders>
            <w:noWrap/>
            <w:vAlign w:val="center"/>
            <w:hideMark/>
          </w:tcPr>
          <w:p w14:paraId="42F95674" w14:textId="77777777" w:rsidR="00E77ED3" w:rsidRPr="00BF04E7" w:rsidRDefault="00E77ED3" w:rsidP="009A5BC4">
            <w:pPr>
              <w:jc w:val="center"/>
              <w:rPr>
                <w:rFonts w:ascii="Arial" w:hAnsi="Arial" w:cs="Arial"/>
                <w:color w:val="000000"/>
              </w:rPr>
            </w:pPr>
            <w:r w:rsidRPr="00BF04E7">
              <w:rPr>
                <w:rFonts w:ascii="Arial" w:hAnsi="Arial" w:cs="Arial"/>
                <w:color w:val="000000"/>
              </w:rPr>
              <w:t>0.627 b</w:t>
            </w:r>
          </w:p>
        </w:tc>
        <w:tc>
          <w:tcPr>
            <w:tcW w:w="1313" w:type="pct"/>
            <w:tcBorders>
              <w:top w:val="single" w:sz="4" w:space="0" w:color="auto"/>
              <w:bottom w:val="single" w:sz="4" w:space="0" w:color="auto"/>
            </w:tcBorders>
            <w:noWrap/>
            <w:vAlign w:val="center"/>
            <w:hideMark/>
          </w:tcPr>
          <w:p w14:paraId="727682E5" w14:textId="77777777" w:rsidR="00E77ED3" w:rsidRPr="00BF04E7" w:rsidRDefault="00E77ED3" w:rsidP="009A5BC4">
            <w:pPr>
              <w:jc w:val="center"/>
              <w:rPr>
                <w:rFonts w:ascii="Arial" w:hAnsi="Arial" w:cs="Arial"/>
                <w:color w:val="000000"/>
              </w:rPr>
            </w:pPr>
            <w:r w:rsidRPr="00BF04E7">
              <w:rPr>
                <w:rFonts w:ascii="Arial" w:hAnsi="Arial" w:cs="Arial"/>
                <w:color w:val="000000"/>
              </w:rPr>
              <w:t>0.279 b</w:t>
            </w:r>
          </w:p>
        </w:tc>
      </w:tr>
      <w:tr w:rsidR="00E77ED3" w:rsidRPr="00BF04E7" w14:paraId="18C2B2A5" w14:textId="77777777" w:rsidTr="009A5BC4">
        <w:trPr>
          <w:trHeight w:val="315"/>
        </w:trPr>
        <w:tc>
          <w:tcPr>
            <w:tcW w:w="918" w:type="pct"/>
            <w:vMerge w:val="restart"/>
            <w:tcBorders>
              <w:top w:val="single" w:sz="4" w:space="0" w:color="auto"/>
              <w:bottom w:val="single" w:sz="4" w:space="0" w:color="auto"/>
            </w:tcBorders>
            <w:vAlign w:val="center"/>
            <w:hideMark/>
          </w:tcPr>
          <w:p w14:paraId="58E8DB03" w14:textId="77777777" w:rsidR="00E77ED3" w:rsidRPr="00BF04E7" w:rsidRDefault="00E77ED3" w:rsidP="009A5BC4">
            <w:pPr>
              <w:jc w:val="center"/>
              <w:rPr>
                <w:rFonts w:ascii="Arial" w:hAnsi="Arial" w:cs="Arial"/>
                <w:b/>
                <w:bCs/>
                <w:i/>
                <w:iCs/>
              </w:rPr>
            </w:pPr>
            <w:r w:rsidRPr="00BF04E7">
              <w:rPr>
                <w:rFonts w:ascii="Arial" w:hAnsi="Arial" w:cs="Arial"/>
                <w:b/>
                <w:bCs/>
                <w:i/>
                <w:iCs/>
              </w:rPr>
              <w:t>Ca2+ (</w:t>
            </w:r>
            <w:proofErr w:type="spellStart"/>
            <w:r w:rsidRPr="00BF04E7">
              <w:rPr>
                <w:rFonts w:ascii="Arial" w:hAnsi="Arial" w:cs="Arial"/>
                <w:b/>
                <w:bCs/>
                <w:i/>
                <w:iCs/>
              </w:rPr>
              <w:t>meq</w:t>
            </w:r>
            <w:proofErr w:type="spellEnd"/>
            <w:r w:rsidRPr="00BF04E7">
              <w:rPr>
                <w:rFonts w:ascii="Arial" w:hAnsi="Arial" w:cs="Arial"/>
                <w:b/>
                <w:bCs/>
                <w:i/>
                <w:iCs/>
              </w:rPr>
              <w:t>/100g)</w:t>
            </w:r>
          </w:p>
        </w:tc>
        <w:tc>
          <w:tcPr>
            <w:tcW w:w="1019" w:type="pct"/>
            <w:tcBorders>
              <w:top w:val="single" w:sz="4" w:space="0" w:color="auto"/>
              <w:bottom w:val="single" w:sz="4" w:space="0" w:color="auto"/>
            </w:tcBorders>
            <w:noWrap/>
            <w:vAlign w:val="center"/>
            <w:hideMark/>
          </w:tcPr>
          <w:p w14:paraId="7826DD80" w14:textId="77777777" w:rsidR="00E77ED3" w:rsidRPr="00BF04E7" w:rsidRDefault="00E77ED3" w:rsidP="009A5BC4">
            <w:pPr>
              <w:jc w:val="center"/>
              <w:rPr>
                <w:rFonts w:ascii="Arial" w:hAnsi="Arial" w:cs="Arial"/>
                <w:b/>
                <w:bCs/>
                <w:color w:val="000000"/>
              </w:rPr>
            </w:pPr>
            <w:r w:rsidRPr="00BF04E7">
              <w:rPr>
                <w:rFonts w:ascii="Arial" w:hAnsi="Arial" w:cs="Arial"/>
                <w:b/>
                <w:bCs/>
                <w:color w:val="000000"/>
              </w:rPr>
              <w:t>0-10 cm</w:t>
            </w:r>
          </w:p>
        </w:tc>
        <w:tc>
          <w:tcPr>
            <w:tcW w:w="962" w:type="pct"/>
            <w:tcBorders>
              <w:top w:val="single" w:sz="4" w:space="0" w:color="auto"/>
              <w:bottom w:val="single" w:sz="4" w:space="0" w:color="auto"/>
            </w:tcBorders>
            <w:noWrap/>
            <w:vAlign w:val="center"/>
            <w:hideMark/>
          </w:tcPr>
          <w:p w14:paraId="060C686C" w14:textId="77777777" w:rsidR="00E77ED3" w:rsidRPr="00BF04E7" w:rsidRDefault="00E77ED3" w:rsidP="009A5BC4">
            <w:pPr>
              <w:jc w:val="center"/>
              <w:rPr>
                <w:rFonts w:ascii="Arial" w:hAnsi="Arial" w:cs="Arial"/>
                <w:color w:val="000000"/>
              </w:rPr>
            </w:pPr>
            <w:r w:rsidRPr="00BF04E7">
              <w:rPr>
                <w:rFonts w:ascii="Arial" w:hAnsi="Arial" w:cs="Arial"/>
                <w:color w:val="000000"/>
              </w:rPr>
              <w:t>17.226 b</w:t>
            </w:r>
          </w:p>
        </w:tc>
        <w:tc>
          <w:tcPr>
            <w:tcW w:w="788" w:type="pct"/>
            <w:tcBorders>
              <w:top w:val="single" w:sz="4" w:space="0" w:color="auto"/>
              <w:bottom w:val="single" w:sz="4" w:space="0" w:color="auto"/>
            </w:tcBorders>
            <w:noWrap/>
            <w:vAlign w:val="center"/>
            <w:hideMark/>
          </w:tcPr>
          <w:p w14:paraId="250EA086" w14:textId="77777777" w:rsidR="00E77ED3" w:rsidRPr="00BF04E7" w:rsidRDefault="00E77ED3" w:rsidP="009A5BC4">
            <w:pPr>
              <w:jc w:val="center"/>
              <w:rPr>
                <w:rFonts w:ascii="Arial" w:hAnsi="Arial" w:cs="Arial"/>
                <w:color w:val="000000"/>
              </w:rPr>
            </w:pPr>
            <w:r w:rsidRPr="00BF04E7">
              <w:rPr>
                <w:rFonts w:ascii="Arial" w:hAnsi="Arial" w:cs="Arial"/>
                <w:color w:val="000000"/>
              </w:rPr>
              <w:t>22.130 a</w:t>
            </w:r>
          </w:p>
        </w:tc>
        <w:tc>
          <w:tcPr>
            <w:tcW w:w="1313" w:type="pct"/>
            <w:tcBorders>
              <w:top w:val="single" w:sz="4" w:space="0" w:color="auto"/>
              <w:bottom w:val="single" w:sz="4" w:space="0" w:color="auto"/>
            </w:tcBorders>
            <w:noWrap/>
            <w:vAlign w:val="center"/>
            <w:hideMark/>
          </w:tcPr>
          <w:p w14:paraId="3D30EB61" w14:textId="77777777" w:rsidR="00E77ED3" w:rsidRPr="00BF04E7" w:rsidRDefault="00E77ED3" w:rsidP="009A5BC4">
            <w:pPr>
              <w:jc w:val="center"/>
              <w:rPr>
                <w:rFonts w:ascii="Arial" w:hAnsi="Arial" w:cs="Arial"/>
                <w:color w:val="000000"/>
              </w:rPr>
            </w:pPr>
            <w:r w:rsidRPr="00BF04E7">
              <w:rPr>
                <w:rFonts w:ascii="Arial" w:hAnsi="Arial" w:cs="Arial"/>
                <w:color w:val="000000"/>
              </w:rPr>
              <w:t>12.532 b</w:t>
            </w:r>
          </w:p>
        </w:tc>
      </w:tr>
      <w:tr w:rsidR="00E77ED3" w:rsidRPr="00BF04E7" w14:paraId="2E5D157A" w14:textId="77777777" w:rsidTr="009A5BC4">
        <w:trPr>
          <w:trHeight w:val="315"/>
        </w:trPr>
        <w:tc>
          <w:tcPr>
            <w:tcW w:w="918" w:type="pct"/>
            <w:vMerge/>
            <w:tcBorders>
              <w:top w:val="single" w:sz="4" w:space="0" w:color="auto"/>
              <w:bottom w:val="single" w:sz="4" w:space="0" w:color="auto"/>
            </w:tcBorders>
            <w:vAlign w:val="center"/>
            <w:hideMark/>
          </w:tcPr>
          <w:p w14:paraId="004C2595" w14:textId="77777777" w:rsidR="00E77ED3" w:rsidRPr="00BF04E7" w:rsidRDefault="00E77ED3" w:rsidP="009A5BC4">
            <w:pPr>
              <w:jc w:val="center"/>
              <w:rPr>
                <w:rFonts w:ascii="Arial" w:hAnsi="Arial" w:cs="Arial"/>
                <w:b/>
                <w:bCs/>
                <w:i/>
                <w:iCs/>
              </w:rPr>
            </w:pPr>
          </w:p>
        </w:tc>
        <w:tc>
          <w:tcPr>
            <w:tcW w:w="1019" w:type="pct"/>
            <w:tcBorders>
              <w:top w:val="single" w:sz="4" w:space="0" w:color="auto"/>
              <w:bottom w:val="single" w:sz="4" w:space="0" w:color="auto"/>
            </w:tcBorders>
            <w:noWrap/>
            <w:vAlign w:val="center"/>
            <w:hideMark/>
          </w:tcPr>
          <w:p w14:paraId="044A7D1B" w14:textId="77777777" w:rsidR="00E77ED3" w:rsidRPr="00BF04E7" w:rsidRDefault="00E77ED3" w:rsidP="009A5BC4">
            <w:pPr>
              <w:jc w:val="center"/>
              <w:rPr>
                <w:rFonts w:ascii="Arial" w:hAnsi="Arial" w:cs="Arial"/>
                <w:b/>
                <w:bCs/>
                <w:color w:val="000000"/>
              </w:rPr>
            </w:pPr>
            <w:r w:rsidRPr="00BF04E7">
              <w:rPr>
                <w:rFonts w:ascii="Arial" w:hAnsi="Arial" w:cs="Arial"/>
                <w:b/>
                <w:bCs/>
                <w:color w:val="000000"/>
              </w:rPr>
              <w:t>10-20 cm</w:t>
            </w:r>
          </w:p>
        </w:tc>
        <w:tc>
          <w:tcPr>
            <w:tcW w:w="962" w:type="pct"/>
            <w:tcBorders>
              <w:top w:val="single" w:sz="4" w:space="0" w:color="auto"/>
              <w:bottom w:val="single" w:sz="4" w:space="0" w:color="auto"/>
            </w:tcBorders>
            <w:noWrap/>
            <w:vAlign w:val="center"/>
            <w:hideMark/>
          </w:tcPr>
          <w:p w14:paraId="38AE1C39" w14:textId="77777777" w:rsidR="00E77ED3" w:rsidRPr="00BF04E7" w:rsidRDefault="00E77ED3" w:rsidP="009A5BC4">
            <w:pPr>
              <w:jc w:val="center"/>
              <w:rPr>
                <w:rFonts w:ascii="Arial" w:hAnsi="Arial" w:cs="Arial"/>
                <w:color w:val="000000"/>
              </w:rPr>
            </w:pPr>
            <w:r w:rsidRPr="00BF04E7">
              <w:rPr>
                <w:rFonts w:ascii="Arial" w:hAnsi="Arial" w:cs="Arial"/>
                <w:color w:val="000000"/>
              </w:rPr>
              <w:t>18.991 ab</w:t>
            </w:r>
          </w:p>
        </w:tc>
        <w:tc>
          <w:tcPr>
            <w:tcW w:w="788" w:type="pct"/>
            <w:tcBorders>
              <w:top w:val="single" w:sz="4" w:space="0" w:color="auto"/>
              <w:bottom w:val="single" w:sz="4" w:space="0" w:color="auto"/>
            </w:tcBorders>
            <w:noWrap/>
            <w:vAlign w:val="center"/>
            <w:hideMark/>
          </w:tcPr>
          <w:p w14:paraId="0A7D8D63" w14:textId="77777777" w:rsidR="00E77ED3" w:rsidRPr="00BF04E7" w:rsidRDefault="00E77ED3" w:rsidP="009A5BC4">
            <w:pPr>
              <w:jc w:val="center"/>
              <w:rPr>
                <w:rFonts w:ascii="Arial" w:hAnsi="Arial" w:cs="Arial"/>
                <w:color w:val="000000"/>
              </w:rPr>
            </w:pPr>
            <w:r w:rsidRPr="00BF04E7">
              <w:rPr>
                <w:rFonts w:ascii="Arial" w:hAnsi="Arial" w:cs="Arial"/>
                <w:color w:val="000000"/>
              </w:rPr>
              <w:t>29.784 a</w:t>
            </w:r>
          </w:p>
        </w:tc>
        <w:tc>
          <w:tcPr>
            <w:tcW w:w="1313" w:type="pct"/>
            <w:tcBorders>
              <w:top w:val="single" w:sz="4" w:space="0" w:color="auto"/>
              <w:bottom w:val="single" w:sz="4" w:space="0" w:color="auto"/>
            </w:tcBorders>
            <w:noWrap/>
            <w:vAlign w:val="center"/>
            <w:hideMark/>
          </w:tcPr>
          <w:p w14:paraId="0DA5D806" w14:textId="77777777" w:rsidR="00E77ED3" w:rsidRPr="00BF04E7" w:rsidRDefault="00E77ED3" w:rsidP="009A5BC4">
            <w:pPr>
              <w:jc w:val="center"/>
              <w:rPr>
                <w:rFonts w:ascii="Arial" w:hAnsi="Arial" w:cs="Arial"/>
                <w:color w:val="000000"/>
              </w:rPr>
            </w:pPr>
            <w:r w:rsidRPr="00BF04E7">
              <w:rPr>
                <w:rFonts w:ascii="Arial" w:hAnsi="Arial" w:cs="Arial"/>
                <w:color w:val="000000"/>
              </w:rPr>
              <w:t>18.054 b</w:t>
            </w:r>
          </w:p>
        </w:tc>
      </w:tr>
      <w:tr w:rsidR="00E77ED3" w:rsidRPr="00BF04E7" w14:paraId="62AC8987" w14:textId="77777777" w:rsidTr="009A5BC4">
        <w:trPr>
          <w:trHeight w:val="315"/>
        </w:trPr>
        <w:tc>
          <w:tcPr>
            <w:tcW w:w="918" w:type="pct"/>
            <w:vMerge w:val="restart"/>
            <w:tcBorders>
              <w:top w:val="single" w:sz="4" w:space="0" w:color="auto"/>
              <w:bottom w:val="single" w:sz="4" w:space="0" w:color="auto"/>
            </w:tcBorders>
            <w:vAlign w:val="center"/>
            <w:hideMark/>
          </w:tcPr>
          <w:p w14:paraId="440DC51C" w14:textId="77777777" w:rsidR="00E77ED3" w:rsidRPr="00BF04E7" w:rsidRDefault="00E77ED3" w:rsidP="009A5BC4">
            <w:pPr>
              <w:jc w:val="center"/>
              <w:rPr>
                <w:rFonts w:ascii="Arial" w:hAnsi="Arial" w:cs="Arial"/>
                <w:b/>
                <w:bCs/>
                <w:i/>
                <w:iCs/>
              </w:rPr>
            </w:pPr>
            <w:r w:rsidRPr="00BF04E7">
              <w:rPr>
                <w:rFonts w:ascii="Arial" w:hAnsi="Arial" w:cs="Arial"/>
                <w:b/>
                <w:bCs/>
                <w:i/>
                <w:iCs/>
              </w:rPr>
              <w:t>Sum des EC</w:t>
            </w:r>
          </w:p>
        </w:tc>
        <w:tc>
          <w:tcPr>
            <w:tcW w:w="1019" w:type="pct"/>
            <w:tcBorders>
              <w:top w:val="single" w:sz="4" w:space="0" w:color="auto"/>
              <w:bottom w:val="single" w:sz="4" w:space="0" w:color="auto"/>
            </w:tcBorders>
            <w:noWrap/>
            <w:vAlign w:val="center"/>
            <w:hideMark/>
          </w:tcPr>
          <w:p w14:paraId="5F4F8A34" w14:textId="77777777" w:rsidR="00E77ED3" w:rsidRPr="00BF04E7" w:rsidRDefault="00E77ED3" w:rsidP="009A5BC4">
            <w:pPr>
              <w:jc w:val="center"/>
              <w:rPr>
                <w:rFonts w:ascii="Arial" w:hAnsi="Arial" w:cs="Arial"/>
                <w:b/>
                <w:bCs/>
                <w:color w:val="000000"/>
              </w:rPr>
            </w:pPr>
            <w:r w:rsidRPr="00BF04E7">
              <w:rPr>
                <w:rFonts w:ascii="Arial" w:hAnsi="Arial" w:cs="Arial"/>
                <w:b/>
                <w:bCs/>
                <w:color w:val="000000"/>
              </w:rPr>
              <w:t>0-10 cm</w:t>
            </w:r>
          </w:p>
        </w:tc>
        <w:tc>
          <w:tcPr>
            <w:tcW w:w="962" w:type="pct"/>
            <w:tcBorders>
              <w:top w:val="single" w:sz="4" w:space="0" w:color="auto"/>
              <w:bottom w:val="single" w:sz="4" w:space="0" w:color="auto"/>
            </w:tcBorders>
            <w:noWrap/>
            <w:vAlign w:val="center"/>
            <w:hideMark/>
          </w:tcPr>
          <w:p w14:paraId="0975CE3A" w14:textId="77777777" w:rsidR="00E77ED3" w:rsidRPr="00BF04E7" w:rsidRDefault="00E77ED3" w:rsidP="009A5BC4">
            <w:pPr>
              <w:jc w:val="center"/>
              <w:rPr>
                <w:rFonts w:ascii="Arial" w:hAnsi="Arial" w:cs="Arial"/>
                <w:color w:val="000000"/>
              </w:rPr>
            </w:pPr>
            <w:r w:rsidRPr="00BF04E7">
              <w:rPr>
                <w:rFonts w:ascii="Arial" w:hAnsi="Arial" w:cs="Arial"/>
                <w:color w:val="000000"/>
              </w:rPr>
              <w:t>23.186 a</w:t>
            </w:r>
          </w:p>
        </w:tc>
        <w:tc>
          <w:tcPr>
            <w:tcW w:w="788" w:type="pct"/>
            <w:tcBorders>
              <w:top w:val="single" w:sz="4" w:space="0" w:color="auto"/>
              <w:bottom w:val="single" w:sz="4" w:space="0" w:color="auto"/>
            </w:tcBorders>
            <w:noWrap/>
            <w:vAlign w:val="center"/>
            <w:hideMark/>
          </w:tcPr>
          <w:p w14:paraId="077538AD" w14:textId="77777777" w:rsidR="00E77ED3" w:rsidRPr="00BF04E7" w:rsidRDefault="00E77ED3" w:rsidP="009A5BC4">
            <w:pPr>
              <w:jc w:val="center"/>
              <w:rPr>
                <w:rFonts w:ascii="Arial" w:hAnsi="Arial" w:cs="Arial"/>
                <w:color w:val="000000"/>
              </w:rPr>
            </w:pPr>
            <w:r w:rsidRPr="00BF04E7">
              <w:rPr>
                <w:rFonts w:ascii="Arial" w:hAnsi="Arial" w:cs="Arial"/>
                <w:color w:val="000000"/>
              </w:rPr>
              <w:t>25.277 a</w:t>
            </w:r>
          </w:p>
        </w:tc>
        <w:tc>
          <w:tcPr>
            <w:tcW w:w="1313" w:type="pct"/>
            <w:tcBorders>
              <w:top w:val="single" w:sz="4" w:space="0" w:color="auto"/>
              <w:bottom w:val="single" w:sz="4" w:space="0" w:color="auto"/>
            </w:tcBorders>
            <w:noWrap/>
            <w:vAlign w:val="center"/>
            <w:hideMark/>
          </w:tcPr>
          <w:p w14:paraId="370C01C4" w14:textId="77777777" w:rsidR="00E77ED3" w:rsidRPr="00BF04E7" w:rsidRDefault="00E77ED3" w:rsidP="009A5BC4">
            <w:pPr>
              <w:jc w:val="center"/>
              <w:rPr>
                <w:rFonts w:ascii="Arial" w:hAnsi="Arial" w:cs="Arial"/>
                <w:color w:val="000000"/>
              </w:rPr>
            </w:pPr>
            <w:r w:rsidRPr="00BF04E7">
              <w:rPr>
                <w:rFonts w:ascii="Arial" w:hAnsi="Arial" w:cs="Arial"/>
                <w:color w:val="000000"/>
              </w:rPr>
              <w:t>15.986 b</w:t>
            </w:r>
          </w:p>
        </w:tc>
      </w:tr>
      <w:tr w:rsidR="00E77ED3" w:rsidRPr="00BF04E7" w14:paraId="640AAF6A" w14:textId="77777777" w:rsidTr="009A5BC4">
        <w:trPr>
          <w:trHeight w:val="315"/>
        </w:trPr>
        <w:tc>
          <w:tcPr>
            <w:tcW w:w="918" w:type="pct"/>
            <w:vMerge/>
            <w:tcBorders>
              <w:top w:val="single" w:sz="4" w:space="0" w:color="auto"/>
              <w:bottom w:val="single" w:sz="4" w:space="0" w:color="auto"/>
            </w:tcBorders>
            <w:vAlign w:val="center"/>
            <w:hideMark/>
          </w:tcPr>
          <w:p w14:paraId="1024EB45" w14:textId="77777777" w:rsidR="00E77ED3" w:rsidRPr="00BF04E7" w:rsidRDefault="00E77ED3" w:rsidP="009A5BC4">
            <w:pPr>
              <w:jc w:val="center"/>
              <w:rPr>
                <w:rFonts w:ascii="Arial" w:hAnsi="Arial" w:cs="Arial"/>
                <w:b/>
                <w:bCs/>
                <w:i/>
                <w:iCs/>
              </w:rPr>
            </w:pPr>
          </w:p>
        </w:tc>
        <w:tc>
          <w:tcPr>
            <w:tcW w:w="1019" w:type="pct"/>
            <w:tcBorders>
              <w:top w:val="single" w:sz="4" w:space="0" w:color="auto"/>
              <w:bottom w:val="single" w:sz="4" w:space="0" w:color="auto"/>
            </w:tcBorders>
            <w:noWrap/>
            <w:vAlign w:val="center"/>
            <w:hideMark/>
          </w:tcPr>
          <w:p w14:paraId="736266C4" w14:textId="77777777" w:rsidR="00E77ED3" w:rsidRPr="00BF04E7" w:rsidRDefault="00E77ED3" w:rsidP="009A5BC4">
            <w:pPr>
              <w:jc w:val="center"/>
              <w:rPr>
                <w:rFonts w:ascii="Arial" w:hAnsi="Arial" w:cs="Arial"/>
                <w:b/>
                <w:bCs/>
                <w:color w:val="000000"/>
              </w:rPr>
            </w:pPr>
            <w:r w:rsidRPr="00BF04E7">
              <w:rPr>
                <w:rFonts w:ascii="Arial" w:hAnsi="Arial" w:cs="Arial"/>
                <w:b/>
                <w:bCs/>
                <w:color w:val="000000"/>
              </w:rPr>
              <w:t>10-20 cm</w:t>
            </w:r>
          </w:p>
        </w:tc>
        <w:tc>
          <w:tcPr>
            <w:tcW w:w="962" w:type="pct"/>
            <w:tcBorders>
              <w:top w:val="single" w:sz="4" w:space="0" w:color="auto"/>
              <w:bottom w:val="single" w:sz="4" w:space="0" w:color="auto"/>
            </w:tcBorders>
            <w:noWrap/>
            <w:vAlign w:val="center"/>
            <w:hideMark/>
          </w:tcPr>
          <w:p w14:paraId="210D6FF5" w14:textId="77777777" w:rsidR="00E77ED3" w:rsidRPr="00BF04E7" w:rsidRDefault="00E77ED3" w:rsidP="009A5BC4">
            <w:pPr>
              <w:jc w:val="center"/>
              <w:rPr>
                <w:rFonts w:ascii="Arial" w:hAnsi="Arial" w:cs="Arial"/>
                <w:color w:val="000000"/>
              </w:rPr>
            </w:pPr>
            <w:r w:rsidRPr="00BF04E7">
              <w:rPr>
                <w:rFonts w:ascii="Arial" w:hAnsi="Arial" w:cs="Arial"/>
                <w:color w:val="000000"/>
              </w:rPr>
              <w:t>24.268 ab</w:t>
            </w:r>
          </w:p>
        </w:tc>
        <w:tc>
          <w:tcPr>
            <w:tcW w:w="788" w:type="pct"/>
            <w:tcBorders>
              <w:top w:val="single" w:sz="4" w:space="0" w:color="auto"/>
              <w:bottom w:val="single" w:sz="4" w:space="0" w:color="auto"/>
            </w:tcBorders>
            <w:noWrap/>
            <w:vAlign w:val="center"/>
            <w:hideMark/>
          </w:tcPr>
          <w:p w14:paraId="1B8CBC22" w14:textId="77777777" w:rsidR="00E77ED3" w:rsidRPr="00BF04E7" w:rsidRDefault="00E77ED3" w:rsidP="009A5BC4">
            <w:pPr>
              <w:jc w:val="center"/>
              <w:rPr>
                <w:rFonts w:ascii="Arial" w:hAnsi="Arial" w:cs="Arial"/>
                <w:color w:val="000000"/>
              </w:rPr>
            </w:pPr>
            <w:r w:rsidRPr="00BF04E7">
              <w:rPr>
                <w:rFonts w:ascii="Arial" w:hAnsi="Arial" w:cs="Arial"/>
                <w:color w:val="000000"/>
              </w:rPr>
              <w:t>34.233 a</w:t>
            </w:r>
          </w:p>
        </w:tc>
        <w:tc>
          <w:tcPr>
            <w:tcW w:w="1313" w:type="pct"/>
            <w:tcBorders>
              <w:top w:val="single" w:sz="4" w:space="0" w:color="auto"/>
              <w:bottom w:val="single" w:sz="4" w:space="0" w:color="auto"/>
            </w:tcBorders>
            <w:noWrap/>
            <w:vAlign w:val="center"/>
            <w:hideMark/>
          </w:tcPr>
          <w:p w14:paraId="011A2BB0" w14:textId="77777777" w:rsidR="00E77ED3" w:rsidRPr="00BF04E7" w:rsidRDefault="00E77ED3" w:rsidP="009A5BC4">
            <w:pPr>
              <w:jc w:val="center"/>
              <w:rPr>
                <w:rFonts w:ascii="Arial" w:hAnsi="Arial" w:cs="Arial"/>
                <w:color w:val="000000"/>
              </w:rPr>
            </w:pPr>
            <w:r w:rsidRPr="00BF04E7">
              <w:rPr>
                <w:rFonts w:ascii="Arial" w:hAnsi="Arial" w:cs="Arial"/>
                <w:color w:val="000000"/>
              </w:rPr>
              <w:t>21.524 b</w:t>
            </w:r>
          </w:p>
        </w:tc>
      </w:tr>
      <w:tr w:rsidR="00E77ED3" w:rsidRPr="00BF04E7" w14:paraId="05C945F4" w14:textId="77777777" w:rsidTr="009A5BC4">
        <w:trPr>
          <w:trHeight w:val="315"/>
        </w:trPr>
        <w:tc>
          <w:tcPr>
            <w:tcW w:w="918" w:type="pct"/>
            <w:vMerge w:val="restart"/>
            <w:tcBorders>
              <w:top w:val="single" w:sz="4" w:space="0" w:color="auto"/>
              <w:bottom w:val="single" w:sz="4" w:space="0" w:color="auto"/>
            </w:tcBorders>
            <w:vAlign w:val="center"/>
            <w:hideMark/>
          </w:tcPr>
          <w:p w14:paraId="08F8635C" w14:textId="77777777" w:rsidR="00E77ED3" w:rsidRPr="00BF04E7" w:rsidRDefault="00E77ED3" w:rsidP="009A5BC4">
            <w:pPr>
              <w:jc w:val="center"/>
              <w:rPr>
                <w:rFonts w:ascii="Arial" w:hAnsi="Arial" w:cs="Arial"/>
                <w:b/>
                <w:bCs/>
                <w:i/>
                <w:iCs/>
              </w:rPr>
            </w:pPr>
            <w:r w:rsidRPr="00BF04E7">
              <w:rPr>
                <w:rFonts w:ascii="Arial" w:hAnsi="Arial" w:cs="Arial"/>
                <w:b/>
                <w:bCs/>
                <w:i/>
                <w:iCs/>
              </w:rPr>
              <w:t>CEC (</w:t>
            </w:r>
            <w:proofErr w:type="spellStart"/>
            <w:r w:rsidRPr="00BF04E7">
              <w:rPr>
                <w:rFonts w:ascii="Arial" w:hAnsi="Arial" w:cs="Arial"/>
                <w:b/>
                <w:bCs/>
                <w:i/>
                <w:iCs/>
              </w:rPr>
              <w:t>meq</w:t>
            </w:r>
            <w:proofErr w:type="spellEnd"/>
            <w:r w:rsidRPr="00BF04E7">
              <w:rPr>
                <w:rFonts w:ascii="Arial" w:hAnsi="Arial" w:cs="Arial"/>
                <w:b/>
                <w:bCs/>
                <w:i/>
                <w:iCs/>
              </w:rPr>
              <w:t>/100g))</w:t>
            </w:r>
          </w:p>
        </w:tc>
        <w:tc>
          <w:tcPr>
            <w:tcW w:w="1019" w:type="pct"/>
            <w:tcBorders>
              <w:top w:val="single" w:sz="4" w:space="0" w:color="auto"/>
              <w:bottom w:val="single" w:sz="4" w:space="0" w:color="auto"/>
            </w:tcBorders>
            <w:noWrap/>
            <w:vAlign w:val="center"/>
            <w:hideMark/>
          </w:tcPr>
          <w:p w14:paraId="3C0863F0" w14:textId="77777777" w:rsidR="00E77ED3" w:rsidRPr="00BF04E7" w:rsidRDefault="00E77ED3" w:rsidP="009A5BC4">
            <w:pPr>
              <w:jc w:val="center"/>
              <w:rPr>
                <w:rFonts w:ascii="Arial" w:hAnsi="Arial" w:cs="Arial"/>
                <w:b/>
                <w:bCs/>
                <w:color w:val="000000"/>
              </w:rPr>
            </w:pPr>
            <w:r w:rsidRPr="00BF04E7">
              <w:rPr>
                <w:rFonts w:ascii="Arial" w:hAnsi="Arial" w:cs="Arial"/>
                <w:b/>
                <w:bCs/>
                <w:color w:val="000000"/>
              </w:rPr>
              <w:t>0-10 cm</w:t>
            </w:r>
          </w:p>
        </w:tc>
        <w:tc>
          <w:tcPr>
            <w:tcW w:w="962" w:type="pct"/>
            <w:tcBorders>
              <w:top w:val="single" w:sz="4" w:space="0" w:color="auto"/>
              <w:bottom w:val="single" w:sz="4" w:space="0" w:color="auto"/>
            </w:tcBorders>
            <w:noWrap/>
            <w:vAlign w:val="center"/>
            <w:hideMark/>
          </w:tcPr>
          <w:p w14:paraId="28EECBC6" w14:textId="77777777" w:rsidR="00E77ED3" w:rsidRPr="00BF04E7" w:rsidRDefault="00E77ED3" w:rsidP="009A5BC4">
            <w:pPr>
              <w:jc w:val="center"/>
              <w:rPr>
                <w:rFonts w:ascii="Arial" w:hAnsi="Arial" w:cs="Arial"/>
                <w:color w:val="000000"/>
              </w:rPr>
            </w:pPr>
            <w:r w:rsidRPr="00BF04E7">
              <w:rPr>
                <w:rFonts w:ascii="Arial" w:hAnsi="Arial" w:cs="Arial"/>
                <w:color w:val="000000"/>
              </w:rPr>
              <w:t>15.450 a</w:t>
            </w:r>
          </w:p>
        </w:tc>
        <w:tc>
          <w:tcPr>
            <w:tcW w:w="788" w:type="pct"/>
            <w:tcBorders>
              <w:top w:val="single" w:sz="4" w:space="0" w:color="auto"/>
              <w:bottom w:val="single" w:sz="4" w:space="0" w:color="auto"/>
            </w:tcBorders>
            <w:noWrap/>
            <w:vAlign w:val="center"/>
            <w:hideMark/>
          </w:tcPr>
          <w:p w14:paraId="6C0C3FBF" w14:textId="77777777" w:rsidR="00E77ED3" w:rsidRPr="00BF04E7" w:rsidRDefault="00E77ED3" w:rsidP="009A5BC4">
            <w:pPr>
              <w:jc w:val="center"/>
              <w:rPr>
                <w:rFonts w:ascii="Arial" w:hAnsi="Arial" w:cs="Arial"/>
                <w:color w:val="000000"/>
              </w:rPr>
            </w:pPr>
            <w:r w:rsidRPr="00BF04E7">
              <w:rPr>
                <w:rFonts w:ascii="Arial" w:hAnsi="Arial" w:cs="Arial"/>
                <w:color w:val="000000"/>
              </w:rPr>
              <w:t>19.908 a</w:t>
            </w:r>
          </w:p>
        </w:tc>
        <w:tc>
          <w:tcPr>
            <w:tcW w:w="1313" w:type="pct"/>
            <w:tcBorders>
              <w:top w:val="single" w:sz="4" w:space="0" w:color="auto"/>
              <w:bottom w:val="single" w:sz="4" w:space="0" w:color="auto"/>
            </w:tcBorders>
            <w:noWrap/>
            <w:vAlign w:val="center"/>
            <w:hideMark/>
          </w:tcPr>
          <w:p w14:paraId="2CF673E8" w14:textId="77777777" w:rsidR="00E77ED3" w:rsidRPr="00BF04E7" w:rsidRDefault="00E77ED3" w:rsidP="009A5BC4">
            <w:pPr>
              <w:jc w:val="center"/>
              <w:rPr>
                <w:rFonts w:ascii="Arial" w:hAnsi="Arial" w:cs="Arial"/>
                <w:color w:val="000000"/>
              </w:rPr>
            </w:pPr>
            <w:r w:rsidRPr="00BF04E7">
              <w:rPr>
                <w:rFonts w:ascii="Arial" w:hAnsi="Arial" w:cs="Arial"/>
                <w:color w:val="000000"/>
              </w:rPr>
              <w:t>8.117 b</w:t>
            </w:r>
          </w:p>
        </w:tc>
      </w:tr>
      <w:tr w:rsidR="00E77ED3" w:rsidRPr="00BF04E7" w14:paraId="1A09D805" w14:textId="77777777" w:rsidTr="009A5BC4">
        <w:trPr>
          <w:trHeight w:val="315"/>
        </w:trPr>
        <w:tc>
          <w:tcPr>
            <w:tcW w:w="918" w:type="pct"/>
            <w:vMerge/>
            <w:tcBorders>
              <w:top w:val="single" w:sz="4" w:space="0" w:color="auto"/>
            </w:tcBorders>
            <w:vAlign w:val="center"/>
            <w:hideMark/>
          </w:tcPr>
          <w:p w14:paraId="158D5DBC" w14:textId="77777777" w:rsidR="00E77ED3" w:rsidRPr="00BF04E7" w:rsidRDefault="00E77ED3" w:rsidP="009A5BC4">
            <w:pPr>
              <w:jc w:val="center"/>
              <w:rPr>
                <w:rFonts w:ascii="Arial" w:hAnsi="Arial" w:cs="Arial"/>
                <w:b/>
                <w:bCs/>
                <w:i/>
                <w:iCs/>
              </w:rPr>
            </w:pPr>
          </w:p>
        </w:tc>
        <w:tc>
          <w:tcPr>
            <w:tcW w:w="1019" w:type="pct"/>
            <w:tcBorders>
              <w:top w:val="single" w:sz="4" w:space="0" w:color="auto"/>
            </w:tcBorders>
            <w:noWrap/>
            <w:vAlign w:val="center"/>
            <w:hideMark/>
          </w:tcPr>
          <w:p w14:paraId="6B51C2B2" w14:textId="77777777" w:rsidR="00E77ED3" w:rsidRPr="00BF04E7" w:rsidRDefault="00E77ED3" w:rsidP="009A5BC4">
            <w:pPr>
              <w:jc w:val="center"/>
              <w:rPr>
                <w:rFonts w:ascii="Arial" w:hAnsi="Arial" w:cs="Arial"/>
                <w:b/>
                <w:bCs/>
                <w:color w:val="000000"/>
              </w:rPr>
            </w:pPr>
            <w:r w:rsidRPr="00BF04E7">
              <w:rPr>
                <w:rFonts w:ascii="Arial" w:hAnsi="Arial" w:cs="Arial"/>
                <w:b/>
                <w:bCs/>
                <w:color w:val="000000"/>
              </w:rPr>
              <w:t>10-20 cm</w:t>
            </w:r>
          </w:p>
        </w:tc>
        <w:tc>
          <w:tcPr>
            <w:tcW w:w="962" w:type="pct"/>
            <w:tcBorders>
              <w:top w:val="single" w:sz="4" w:space="0" w:color="auto"/>
            </w:tcBorders>
            <w:noWrap/>
            <w:vAlign w:val="center"/>
            <w:hideMark/>
          </w:tcPr>
          <w:p w14:paraId="3AA718DB" w14:textId="77777777" w:rsidR="00E77ED3" w:rsidRPr="00BF04E7" w:rsidRDefault="00E77ED3" w:rsidP="009A5BC4">
            <w:pPr>
              <w:jc w:val="center"/>
              <w:rPr>
                <w:rFonts w:ascii="Arial" w:hAnsi="Arial" w:cs="Arial"/>
                <w:color w:val="000000"/>
              </w:rPr>
            </w:pPr>
            <w:r w:rsidRPr="00BF04E7">
              <w:rPr>
                <w:rFonts w:ascii="Arial" w:hAnsi="Arial" w:cs="Arial"/>
                <w:color w:val="000000"/>
              </w:rPr>
              <w:t>24.353 ab</w:t>
            </w:r>
          </w:p>
        </w:tc>
        <w:tc>
          <w:tcPr>
            <w:tcW w:w="788" w:type="pct"/>
            <w:tcBorders>
              <w:top w:val="single" w:sz="4" w:space="0" w:color="auto"/>
            </w:tcBorders>
            <w:noWrap/>
            <w:vAlign w:val="center"/>
            <w:hideMark/>
          </w:tcPr>
          <w:p w14:paraId="37715C81" w14:textId="77777777" w:rsidR="00E77ED3" w:rsidRPr="00BF04E7" w:rsidRDefault="00E77ED3" w:rsidP="009A5BC4">
            <w:pPr>
              <w:jc w:val="center"/>
              <w:rPr>
                <w:rFonts w:ascii="Arial" w:hAnsi="Arial" w:cs="Arial"/>
                <w:color w:val="000000"/>
              </w:rPr>
            </w:pPr>
            <w:r w:rsidRPr="00BF04E7">
              <w:rPr>
                <w:rFonts w:ascii="Arial" w:hAnsi="Arial" w:cs="Arial"/>
                <w:color w:val="000000"/>
              </w:rPr>
              <w:t>29.412 a</w:t>
            </w:r>
          </w:p>
        </w:tc>
        <w:tc>
          <w:tcPr>
            <w:tcW w:w="1313" w:type="pct"/>
            <w:tcBorders>
              <w:top w:val="single" w:sz="4" w:space="0" w:color="auto"/>
            </w:tcBorders>
            <w:noWrap/>
            <w:vAlign w:val="center"/>
            <w:hideMark/>
          </w:tcPr>
          <w:p w14:paraId="12F69DA1" w14:textId="77777777" w:rsidR="00E77ED3" w:rsidRPr="00BF04E7" w:rsidRDefault="00E77ED3" w:rsidP="009A5BC4">
            <w:pPr>
              <w:jc w:val="center"/>
              <w:rPr>
                <w:rFonts w:ascii="Arial" w:hAnsi="Arial" w:cs="Arial"/>
                <w:color w:val="000000"/>
              </w:rPr>
            </w:pPr>
            <w:r w:rsidRPr="00BF04E7">
              <w:rPr>
                <w:rFonts w:ascii="Arial" w:hAnsi="Arial" w:cs="Arial"/>
                <w:color w:val="000000"/>
              </w:rPr>
              <w:t>16.187 b</w:t>
            </w:r>
          </w:p>
        </w:tc>
      </w:tr>
    </w:tbl>
    <w:p w14:paraId="6C43F148" w14:textId="77777777" w:rsidR="00E77ED3" w:rsidRDefault="00E77ED3" w:rsidP="00441B6F">
      <w:pPr>
        <w:pStyle w:val="Body"/>
        <w:spacing w:after="0"/>
        <w:rPr>
          <w:rFonts w:ascii="Arial" w:hAnsi="Arial" w:cs="Arial"/>
        </w:rPr>
      </w:pPr>
    </w:p>
    <w:p w14:paraId="7E487573" w14:textId="164A05FE" w:rsidR="00B0426E" w:rsidRPr="00B0426E" w:rsidRDefault="00B0426E" w:rsidP="00B0426E">
      <w:pPr>
        <w:jc w:val="both"/>
        <w:rPr>
          <w:rFonts w:eastAsia="Arial Unicode MS"/>
          <w:b/>
          <w:bCs/>
        </w:rPr>
      </w:pPr>
      <w:r w:rsidRPr="00B0426E">
        <w:rPr>
          <w:rFonts w:ascii="Arial" w:hAnsi="Arial" w:cs="Arial"/>
          <w:b/>
          <w:bCs/>
          <w:color w:val="000000" w:themeColor="text1"/>
        </w:rPr>
        <w:t>3.1.</w:t>
      </w:r>
      <w:r w:rsidR="006320CA">
        <w:rPr>
          <w:rFonts w:ascii="Arial" w:hAnsi="Arial" w:cs="Arial"/>
          <w:b/>
          <w:bCs/>
          <w:color w:val="000000" w:themeColor="text1"/>
        </w:rPr>
        <w:t>2</w:t>
      </w:r>
      <w:r w:rsidRPr="00B0426E">
        <w:rPr>
          <w:rFonts w:ascii="Arial" w:hAnsi="Arial" w:cs="Arial"/>
          <w:b/>
          <w:bCs/>
          <w:color w:val="000000" w:themeColor="text1"/>
        </w:rPr>
        <w:t>. Effects of spacing between stone-row lines on soil microflora</w:t>
      </w:r>
    </w:p>
    <w:p w14:paraId="24A91F47" w14:textId="77777777" w:rsidR="00B0426E" w:rsidRDefault="00B0426E" w:rsidP="00441B6F">
      <w:pPr>
        <w:pStyle w:val="Body"/>
        <w:spacing w:after="0"/>
        <w:rPr>
          <w:rFonts w:ascii="Arial" w:hAnsi="Arial" w:cs="Arial"/>
        </w:rPr>
      </w:pPr>
    </w:p>
    <w:p w14:paraId="5A1A1EB8" w14:textId="3475FCF8" w:rsidR="00E77ED3" w:rsidRDefault="00E77ED3" w:rsidP="00441B6F">
      <w:pPr>
        <w:pStyle w:val="Body"/>
        <w:spacing w:after="0"/>
        <w:rPr>
          <w:rFonts w:ascii="Arial" w:hAnsi="Arial" w:cs="Arial"/>
        </w:rPr>
      </w:pPr>
      <w:r w:rsidRPr="00E77ED3">
        <w:rPr>
          <w:rFonts w:ascii="Arial" w:hAnsi="Arial" w:cs="Arial"/>
        </w:rPr>
        <w:t xml:space="preserve">For plots P1, P2 and P3, the Basal </w:t>
      </w:r>
      <w:r w:rsidR="00B0426E">
        <w:rPr>
          <w:rFonts w:ascii="Arial" w:hAnsi="Arial" w:cs="Arial"/>
        </w:rPr>
        <w:t>R</w:t>
      </w:r>
      <w:r w:rsidRPr="00E77ED3">
        <w:rPr>
          <w:rFonts w:ascii="Arial" w:hAnsi="Arial" w:cs="Arial"/>
        </w:rPr>
        <w:t>espiration (BR) values were 0.194µg C-CO</w:t>
      </w:r>
      <w:r w:rsidRPr="0000164D">
        <w:rPr>
          <w:rFonts w:ascii="Arial" w:hAnsi="Arial" w:cs="Arial"/>
          <w:vertAlign w:val="subscript"/>
        </w:rPr>
        <w:t>2</w:t>
      </w:r>
      <w:r w:rsidRPr="00E77ED3">
        <w:rPr>
          <w:rFonts w:ascii="Arial" w:hAnsi="Arial" w:cs="Arial"/>
        </w:rPr>
        <w:t xml:space="preserve"> g-1 h-1, 0.250µg C-CO</w:t>
      </w:r>
      <w:r w:rsidRPr="0000164D">
        <w:rPr>
          <w:rFonts w:ascii="Arial" w:hAnsi="Arial" w:cs="Arial"/>
          <w:vertAlign w:val="subscript"/>
        </w:rPr>
        <w:t>2</w:t>
      </w:r>
      <w:r w:rsidRPr="00E77ED3">
        <w:rPr>
          <w:rFonts w:ascii="Arial" w:hAnsi="Arial" w:cs="Arial"/>
        </w:rPr>
        <w:t xml:space="preserve"> g-1 h-1 and 0.122µg C-CO2 g-1 h-1 respectively. For microbial biomass (MB), a high value is noted for plot P2 (16.071 µg biomass-C g-1), which is higher than that of treatments P1 (5.595 µg biomass-C g-1) and P2 (6.324 µg biomass-C g-1). The metabolic quotient ranges from 0.031 µgC-CO</w:t>
      </w:r>
      <w:r w:rsidRPr="0000164D">
        <w:rPr>
          <w:rFonts w:ascii="Arial" w:hAnsi="Arial" w:cs="Arial"/>
          <w:vertAlign w:val="subscript"/>
        </w:rPr>
        <w:t>2</w:t>
      </w:r>
      <w:r w:rsidRPr="00E77ED3">
        <w:rPr>
          <w:rFonts w:ascii="Arial" w:hAnsi="Arial" w:cs="Arial"/>
        </w:rPr>
        <w:t>biomass-C g-1 h-1 for P3 to 0.071 µgC-CO</w:t>
      </w:r>
      <w:r w:rsidRPr="0000164D">
        <w:rPr>
          <w:rFonts w:ascii="Arial" w:hAnsi="Arial" w:cs="Arial"/>
          <w:vertAlign w:val="subscript"/>
        </w:rPr>
        <w:t>2</w:t>
      </w:r>
      <w:r w:rsidRPr="00E77ED3">
        <w:rPr>
          <w:rFonts w:ascii="Arial" w:hAnsi="Arial" w:cs="Arial"/>
        </w:rPr>
        <w:t>biomass-C g-1 h-1 for P1. For diversity index H', the lowest value is observed at plot P2 (2.144). Plots P1 and P3 have diversity indices of 2.362 and 2.196, respectively. However, statistical analysis does not reveal any significant difference between treatments at the 5% threshold according to the Tukey test. Similar to the diversity index H', the equitability index is highest in P1, then P3, and the lowest value is recorded in P2. However, despite the differences and improvements observed for all of these microflora parameters, statistical analysis shows that there is no difference between these treatments at the 5% threshold according to the Tukey test.</w:t>
      </w:r>
    </w:p>
    <w:p w14:paraId="09C5A115" w14:textId="5A24C8CE" w:rsidR="006320CA" w:rsidRDefault="006320CA" w:rsidP="00441B6F">
      <w:pPr>
        <w:pStyle w:val="Body"/>
        <w:spacing w:after="0"/>
        <w:rPr>
          <w:rFonts w:ascii="Arial" w:hAnsi="Arial" w:cs="Arial"/>
        </w:rPr>
      </w:pPr>
    </w:p>
    <w:p w14:paraId="43FBBFB3" w14:textId="70683698" w:rsidR="00B0426E" w:rsidRPr="006320CA" w:rsidRDefault="006320CA" w:rsidP="006320CA">
      <w:pPr>
        <w:jc w:val="both"/>
        <w:rPr>
          <w:rFonts w:ascii="Arial" w:hAnsi="Arial" w:cs="Arial"/>
          <w:b/>
          <w:bCs/>
          <w:color w:val="000000" w:themeColor="text1"/>
        </w:rPr>
      </w:pPr>
      <w:r w:rsidRPr="00B0426E">
        <w:rPr>
          <w:rFonts w:ascii="Arial" w:hAnsi="Arial" w:cs="Arial"/>
          <w:b/>
          <w:bCs/>
          <w:color w:val="000000" w:themeColor="text1"/>
        </w:rPr>
        <w:t>3.1.</w:t>
      </w:r>
      <w:r>
        <w:rPr>
          <w:rFonts w:ascii="Arial" w:hAnsi="Arial" w:cs="Arial"/>
          <w:b/>
          <w:bCs/>
          <w:color w:val="000000" w:themeColor="text1"/>
        </w:rPr>
        <w:t>3</w:t>
      </w:r>
      <w:r w:rsidRPr="00B0426E">
        <w:rPr>
          <w:rFonts w:ascii="Arial" w:hAnsi="Arial" w:cs="Arial"/>
          <w:b/>
          <w:bCs/>
          <w:color w:val="000000" w:themeColor="text1"/>
        </w:rPr>
        <w:t xml:space="preserve">. </w:t>
      </w:r>
      <w:r w:rsidR="00B0426E" w:rsidRPr="006320CA">
        <w:rPr>
          <w:rFonts w:ascii="Arial" w:hAnsi="Arial" w:cs="Arial"/>
          <w:b/>
          <w:bCs/>
          <w:color w:val="000000" w:themeColor="text1"/>
        </w:rPr>
        <w:t>Fertility Gradient with Slope</w:t>
      </w:r>
    </w:p>
    <w:p w14:paraId="448CBA89" w14:textId="47C31014" w:rsidR="00B0426E" w:rsidRDefault="00B0426E" w:rsidP="00441B6F">
      <w:pPr>
        <w:pStyle w:val="Body"/>
        <w:spacing w:after="0"/>
        <w:rPr>
          <w:rFonts w:ascii="Arial" w:hAnsi="Arial" w:cs="Arial"/>
        </w:rPr>
      </w:pPr>
    </w:p>
    <w:p w14:paraId="214CAB0E" w14:textId="2AE02312" w:rsidR="00B0426E" w:rsidRDefault="00637365" w:rsidP="00441B6F">
      <w:pPr>
        <w:pStyle w:val="Body"/>
        <w:spacing w:after="0"/>
        <w:rPr>
          <w:rFonts w:ascii="Arial" w:hAnsi="Arial" w:cs="Arial"/>
        </w:rPr>
      </w:pPr>
      <w:r w:rsidRPr="00637365">
        <w:rPr>
          <w:rFonts w:ascii="Arial" w:hAnsi="Arial" w:cs="Arial"/>
        </w:rPr>
        <w:t>Following the initial results on plot sizes, we deemed it important to verify whether there was a soil fertility gradient depending on the position within the plots. Tables 5 and 6 give the values of the various soil fertility parameters at the different sampling points. It should be noted that there is no order of magnitude depending on the distance from the stone bund lines.</w:t>
      </w:r>
    </w:p>
    <w:p w14:paraId="73AE2A59" w14:textId="77777777" w:rsidR="00637365" w:rsidRDefault="00637365" w:rsidP="00441B6F">
      <w:pPr>
        <w:pStyle w:val="Body"/>
        <w:spacing w:after="0"/>
        <w:rPr>
          <w:rFonts w:ascii="Arial" w:hAnsi="Arial" w:cs="Arial"/>
        </w:rPr>
      </w:pPr>
    </w:p>
    <w:p w14:paraId="1A8973FC" w14:textId="59ED57EF" w:rsidR="00E77ED3" w:rsidRDefault="00637365" w:rsidP="00637365">
      <w:pPr>
        <w:jc w:val="center"/>
        <w:rPr>
          <w:rFonts w:ascii="Arial" w:hAnsi="Arial" w:cs="Arial"/>
          <w:b/>
          <w:bCs/>
          <w:color w:val="000000" w:themeColor="text1"/>
        </w:rPr>
      </w:pPr>
      <w:bookmarkStart w:id="21" w:name="_Toc513534102"/>
      <w:bookmarkStart w:id="22" w:name="_Toc526154769"/>
      <w:r w:rsidRPr="00637365">
        <w:rPr>
          <w:rFonts w:ascii="Arial" w:hAnsi="Arial" w:cs="Arial"/>
          <w:b/>
          <w:bCs/>
          <w:color w:val="000000" w:themeColor="text1"/>
        </w:rPr>
        <w:t xml:space="preserve">Table </w:t>
      </w:r>
      <w:r w:rsidRPr="00637365">
        <w:rPr>
          <w:rFonts w:ascii="Arial" w:hAnsi="Arial" w:cs="Arial"/>
          <w:b/>
          <w:bCs/>
          <w:color w:val="000000" w:themeColor="text1"/>
        </w:rPr>
        <w:fldChar w:fldCharType="begin"/>
      </w:r>
      <w:r w:rsidRPr="00637365">
        <w:rPr>
          <w:rFonts w:ascii="Arial" w:hAnsi="Arial" w:cs="Arial"/>
          <w:b/>
          <w:bCs/>
          <w:color w:val="000000" w:themeColor="text1"/>
        </w:rPr>
        <w:instrText xml:space="preserve"> SEQ Tableau \* ARABIC </w:instrText>
      </w:r>
      <w:r w:rsidRPr="00637365">
        <w:rPr>
          <w:rFonts w:ascii="Arial" w:hAnsi="Arial" w:cs="Arial"/>
          <w:b/>
          <w:bCs/>
          <w:color w:val="000000" w:themeColor="text1"/>
        </w:rPr>
        <w:fldChar w:fldCharType="separate"/>
      </w:r>
      <w:r w:rsidRPr="00637365">
        <w:rPr>
          <w:rFonts w:ascii="Arial" w:hAnsi="Arial" w:cs="Arial"/>
          <w:b/>
          <w:bCs/>
          <w:color w:val="000000" w:themeColor="text1"/>
        </w:rPr>
        <w:t>5</w:t>
      </w:r>
      <w:r w:rsidRPr="00637365">
        <w:rPr>
          <w:rFonts w:ascii="Arial" w:hAnsi="Arial" w:cs="Arial"/>
          <w:b/>
          <w:bCs/>
          <w:color w:val="000000" w:themeColor="text1"/>
        </w:rPr>
        <w:fldChar w:fldCharType="end"/>
      </w:r>
      <w:r w:rsidRPr="00637365">
        <w:rPr>
          <w:rFonts w:ascii="Arial" w:hAnsi="Arial" w:cs="Arial"/>
          <w:b/>
          <w:bCs/>
          <w:color w:val="000000" w:themeColor="text1"/>
        </w:rPr>
        <w:t xml:space="preserve">: </w:t>
      </w:r>
      <w:bookmarkEnd w:id="21"/>
      <w:bookmarkEnd w:id="22"/>
      <w:r w:rsidRPr="00637365">
        <w:rPr>
          <w:rFonts w:ascii="Arial" w:hAnsi="Arial" w:cs="Arial"/>
          <w:b/>
          <w:bCs/>
          <w:color w:val="000000" w:themeColor="text1"/>
        </w:rPr>
        <w:t>pH and electrical conductivity</w:t>
      </w:r>
    </w:p>
    <w:p w14:paraId="015363B7" w14:textId="77777777" w:rsidR="00637365" w:rsidRPr="00637365" w:rsidRDefault="00637365" w:rsidP="00637365">
      <w:pPr>
        <w:rPr>
          <w:rFonts w:ascii="Arial" w:hAnsi="Arial" w:cs="Arial"/>
          <w:b/>
          <w:bCs/>
          <w:color w:val="000000" w:themeColor="text1"/>
        </w:rPr>
      </w:pPr>
    </w:p>
    <w:tbl>
      <w:tblPr>
        <w:tblW w:w="8860" w:type="dxa"/>
        <w:tblInd w:w="70" w:type="dxa"/>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1540"/>
        <w:gridCol w:w="1220"/>
        <w:gridCol w:w="1220"/>
        <w:gridCol w:w="1220"/>
        <w:gridCol w:w="1220"/>
        <w:gridCol w:w="1220"/>
        <w:gridCol w:w="1220"/>
      </w:tblGrid>
      <w:tr w:rsidR="00637365" w:rsidRPr="00BF04E7" w14:paraId="22B42471" w14:textId="77777777" w:rsidTr="007F176F">
        <w:trPr>
          <w:trHeight w:val="300"/>
        </w:trPr>
        <w:tc>
          <w:tcPr>
            <w:tcW w:w="1540" w:type="dxa"/>
            <w:vMerge w:val="restart"/>
            <w:tcBorders>
              <w:top w:val="single" w:sz="12" w:space="0" w:color="auto"/>
              <w:bottom w:val="nil"/>
            </w:tcBorders>
            <w:vAlign w:val="center"/>
            <w:hideMark/>
          </w:tcPr>
          <w:p w14:paraId="2824D8EE" w14:textId="77777777" w:rsidR="00637365" w:rsidRPr="00BF04E7" w:rsidRDefault="00637365" w:rsidP="007F176F">
            <w:pPr>
              <w:jc w:val="center"/>
              <w:rPr>
                <w:rFonts w:ascii="Arial" w:hAnsi="Arial" w:cs="Arial"/>
                <w:b/>
                <w:color w:val="000000"/>
              </w:rPr>
            </w:pPr>
            <w:r w:rsidRPr="00BF04E7">
              <w:rPr>
                <w:rFonts w:ascii="Arial" w:hAnsi="Arial" w:cs="Arial"/>
                <w:b/>
                <w:color w:val="000000"/>
              </w:rPr>
              <w:t>Distance to the stone-row line</w:t>
            </w:r>
          </w:p>
        </w:tc>
        <w:tc>
          <w:tcPr>
            <w:tcW w:w="2440" w:type="dxa"/>
            <w:gridSpan w:val="2"/>
            <w:tcBorders>
              <w:top w:val="single" w:sz="12" w:space="0" w:color="auto"/>
              <w:bottom w:val="nil"/>
            </w:tcBorders>
            <w:vAlign w:val="center"/>
            <w:hideMark/>
          </w:tcPr>
          <w:p w14:paraId="28A2DA0F"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pH</w:t>
            </w:r>
          </w:p>
        </w:tc>
        <w:tc>
          <w:tcPr>
            <w:tcW w:w="2440" w:type="dxa"/>
            <w:gridSpan w:val="2"/>
            <w:tcBorders>
              <w:top w:val="single" w:sz="12" w:space="0" w:color="auto"/>
              <w:bottom w:val="nil"/>
            </w:tcBorders>
            <w:vAlign w:val="center"/>
            <w:hideMark/>
          </w:tcPr>
          <w:p w14:paraId="0A9442C0" w14:textId="77777777" w:rsidR="00637365" w:rsidRPr="00BF04E7" w:rsidRDefault="00637365" w:rsidP="007F176F">
            <w:pPr>
              <w:jc w:val="center"/>
              <w:rPr>
                <w:rFonts w:ascii="Arial" w:hAnsi="Arial" w:cs="Arial"/>
                <w:b/>
                <w:bCs/>
                <w:color w:val="000000"/>
              </w:rPr>
            </w:pPr>
            <w:proofErr w:type="spellStart"/>
            <w:r w:rsidRPr="00BF04E7">
              <w:rPr>
                <w:rFonts w:ascii="Arial" w:hAnsi="Arial" w:cs="Arial"/>
                <w:b/>
                <w:bCs/>
                <w:color w:val="000000"/>
              </w:rPr>
              <w:t>pH</w:t>
            </w:r>
            <w:r w:rsidRPr="00BF04E7">
              <w:rPr>
                <w:rFonts w:ascii="Arial" w:hAnsi="Arial" w:cs="Arial"/>
                <w:b/>
                <w:bCs/>
                <w:color w:val="000000"/>
                <w:vertAlign w:val="subscript"/>
              </w:rPr>
              <w:t>KCl</w:t>
            </w:r>
            <w:proofErr w:type="spellEnd"/>
          </w:p>
        </w:tc>
        <w:tc>
          <w:tcPr>
            <w:tcW w:w="2440" w:type="dxa"/>
            <w:gridSpan w:val="2"/>
            <w:tcBorders>
              <w:top w:val="single" w:sz="12" w:space="0" w:color="auto"/>
              <w:bottom w:val="nil"/>
            </w:tcBorders>
            <w:vAlign w:val="center"/>
            <w:hideMark/>
          </w:tcPr>
          <w:p w14:paraId="74D1764B"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EC</w:t>
            </w:r>
          </w:p>
        </w:tc>
      </w:tr>
      <w:tr w:rsidR="00637365" w:rsidRPr="00BF04E7" w14:paraId="5B0C853E" w14:textId="77777777" w:rsidTr="007F176F">
        <w:trPr>
          <w:trHeight w:val="525"/>
        </w:trPr>
        <w:tc>
          <w:tcPr>
            <w:tcW w:w="1540" w:type="dxa"/>
            <w:vMerge/>
            <w:tcBorders>
              <w:top w:val="nil"/>
              <w:bottom w:val="single" w:sz="12" w:space="0" w:color="auto"/>
            </w:tcBorders>
            <w:vAlign w:val="center"/>
            <w:hideMark/>
          </w:tcPr>
          <w:p w14:paraId="73E6CD01" w14:textId="77777777" w:rsidR="00637365" w:rsidRPr="00BF04E7" w:rsidRDefault="00637365" w:rsidP="007F176F">
            <w:pPr>
              <w:jc w:val="center"/>
              <w:rPr>
                <w:rFonts w:ascii="Arial" w:hAnsi="Arial" w:cs="Arial"/>
                <w:color w:val="000000"/>
              </w:rPr>
            </w:pPr>
          </w:p>
        </w:tc>
        <w:tc>
          <w:tcPr>
            <w:tcW w:w="1220" w:type="dxa"/>
            <w:tcBorders>
              <w:top w:val="nil"/>
              <w:bottom w:val="single" w:sz="12" w:space="0" w:color="auto"/>
            </w:tcBorders>
            <w:vAlign w:val="center"/>
            <w:hideMark/>
          </w:tcPr>
          <w:p w14:paraId="785383EA"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0-10 cm</w:t>
            </w:r>
          </w:p>
        </w:tc>
        <w:tc>
          <w:tcPr>
            <w:tcW w:w="1220" w:type="dxa"/>
            <w:tcBorders>
              <w:top w:val="nil"/>
              <w:bottom w:val="single" w:sz="12" w:space="0" w:color="auto"/>
            </w:tcBorders>
            <w:vAlign w:val="center"/>
            <w:hideMark/>
          </w:tcPr>
          <w:p w14:paraId="36F89F38"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10-20 cm</w:t>
            </w:r>
          </w:p>
        </w:tc>
        <w:tc>
          <w:tcPr>
            <w:tcW w:w="1220" w:type="dxa"/>
            <w:tcBorders>
              <w:top w:val="nil"/>
              <w:bottom w:val="single" w:sz="12" w:space="0" w:color="auto"/>
            </w:tcBorders>
            <w:vAlign w:val="center"/>
            <w:hideMark/>
          </w:tcPr>
          <w:p w14:paraId="7B0100E1"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0-10 cm</w:t>
            </w:r>
          </w:p>
        </w:tc>
        <w:tc>
          <w:tcPr>
            <w:tcW w:w="1220" w:type="dxa"/>
            <w:tcBorders>
              <w:top w:val="nil"/>
              <w:bottom w:val="single" w:sz="12" w:space="0" w:color="auto"/>
            </w:tcBorders>
            <w:vAlign w:val="center"/>
            <w:hideMark/>
          </w:tcPr>
          <w:p w14:paraId="708BBA43"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10-20 cm</w:t>
            </w:r>
          </w:p>
        </w:tc>
        <w:tc>
          <w:tcPr>
            <w:tcW w:w="1220" w:type="dxa"/>
            <w:tcBorders>
              <w:top w:val="nil"/>
              <w:bottom w:val="single" w:sz="12" w:space="0" w:color="auto"/>
            </w:tcBorders>
            <w:vAlign w:val="center"/>
            <w:hideMark/>
          </w:tcPr>
          <w:p w14:paraId="3B75865D"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0-10 cm</w:t>
            </w:r>
          </w:p>
        </w:tc>
        <w:tc>
          <w:tcPr>
            <w:tcW w:w="1220" w:type="dxa"/>
            <w:tcBorders>
              <w:top w:val="nil"/>
              <w:bottom w:val="single" w:sz="12" w:space="0" w:color="auto"/>
            </w:tcBorders>
            <w:vAlign w:val="center"/>
            <w:hideMark/>
          </w:tcPr>
          <w:p w14:paraId="26B07886"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10-20 cm</w:t>
            </w:r>
          </w:p>
        </w:tc>
      </w:tr>
      <w:tr w:rsidR="00637365" w:rsidRPr="00BF04E7" w14:paraId="037D5396" w14:textId="77777777" w:rsidTr="007F176F">
        <w:trPr>
          <w:trHeight w:val="300"/>
        </w:trPr>
        <w:tc>
          <w:tcPr>
            <w:tcW w:w="1540" w:type="dxa"/>
            <w:tcBorders>
              <w:top w:val="single" w:sz="12" w:space="0" w:color="auto"/>
            </w:tcBorders>
            <w:noWrap/>
            <w:vAlign w:val="center"/>
            <w:hideMark/>
          </w:tcPr>
          <w:p w14:paraId="0A609031" w14:textId="77777777" w:rsidR="00637365" w:rsidRPr="00BF04E7" w:rsidRDefault="00637365" w:rsidP="007F176F">
            <w:pPr>
              <w:jc w:val="center"/>
              <w:rPr>
                <w:rFonts w:ascii="Arial" w:hAnsi="Arial" w:cs="Arial"/>
                <w:b/>
                <w:color w:val="000000"/>
              </w:rPr>
            </w:pPr>
            <w:r w:rsidRPr="00BF04E7">
              <w:rPr>
                <w:rFonts w:ascii="Arial" w:hAnsi="Arial" w:cs="Arial"/>
                <w:b/>
                <w:color w:val="000000"/>
              </w:rPr>
              <w:t>0</w:t>
            </w:r>
          </w:p>
        </w:tc>
        <w:tc>
          <w:tcPr>
            <w:tcW w:w="1220" w:type="dxa"/>
            <w:tcBorders>
              <w:top w:val="single" w:sz="12" w:space="0" w:color="auto"/>
            </w:tcBorders>
            <w:noWrap/>
            <w:vAlign w:val="center"/>
            <w:hideMark/>
          </w:tcPr>
          <w:p w14:paraId="35885429" w14:textId="77777777" w:rsidR="00637365" w:rsidRPr="00BF04E7" w:rsidRDefault="00637365" w:rsidP="007F176F">
            <w:pPr>
              <w:jc w:val="center"/>
              <w:rPr>
                <w:rFonts w:ascii="Arial" w:hAnsi="Arial" w:cs="Arial"/>
                <w:color w:val="000000"/>
              </w:rPr>
            </w:pPr>
            <w:r w:rsidRPr="00BF04E7">
              <w:rPr>
                <w:rFonts w:ascii="Arial" w:hAnsi="Arial" w:cs="Arial"/>
                <w:color w:val="000000"/>
              </w:rPr>
              <w:t>6.12</w:t>
            </w:r>
          </w:p>
        </w:tc>
        <w:tc>
          <w:tcPr>
            <w:tcW w:w="1220" w:type="dxa"/>
            <w:tcBorders>
              <w:top w:val="single" w:sz="12" w:space="0" w:color="auto"/>
            </w:tcBorders>
            <w:noWrap/>
            <w:vAlign w:val="center"/>
            <w:hideMark/>
          </w:tcPr>
          <w:p w14:paraId="4A1170C0" w14:textId="77777777" w:rsidR="00637365" w:rsidRPr="00BF04E7" w:rsidRDefault="00637365" w:rsidP="007F176F">
            <w:pPr>
              <w:jc w:val="center"/>
              <w:rPr>
                <w:rFonts w:ascii="Arial" w:hAnsi="Arial" w:cs="Arial"/>
                <w:color w:val="000000"/>
              </w:rPr>
            </w:pPr>
            <w:r w:rsidRPr="00BF04E7">
              <w:rPr>
                <w:rFonts w:ascii="Arial" w:hAnsi="Arial" w:cs="Arial"/>
                <w:color w:val="000000"/>
              </w:rPr>
              <w:t>5.68</w:t>
            </w:r>
          </w:p>
        </w:tc>
        <w:tc>
          <w:tcPr>
            <w:tcW w:w="1220" w:type="dxa"/>
            <w:tcBorders>
              <w:top w:val="single" w:sz="12" w:space="0" w:color="auto"/>
            </w:tcBorders>
            <w:noWrap/>
            <w:vAlign w:val="center"/>
            <w:hideMark/>
          </w:tcPr>
          <w:p w14:paraId="1A1F5702" w14:textId="77777777" w:rsidR="00637365" w:rsidRPr="00BF04E7" w:rsidRDefault="00637365" w:rsidP="007F176F">
            <w:pPr>
              <w:jc w:val="center"/>
              <w:rPr>
                <w:rFonts w:ascii="Arial" w:hAnsi="Arial" w:cs="Arial"/>
                <w:color w:val="000000"/>
              </w:rPr>
            </w:pPr>
            <w:r w:rsidRPr="00BF04E7">
              <w:rPr>
                <w:rFonts w:ascii="Arial" w:hAnsi="Arial" w:cs="Arial"/>
                <w:color w:val="000000"/>
              </w:rPr>
              <w:t>5.63</w:t>
            </w:r>
          </w:p>
        </w:tc>
        <w:tc>
          <w:tcPr>
            <w:tcW w:w="1220" w:type="dxa"/>
            <w:tcBorders>
              <w:top w:val="single" w:sz="12" w:space="0" w:color="auto"/>
            </w:tcBorders>
            <w:noWrap/>
            <w:vAlign w:val="center"/>
            <w:hideMark/>
          </w:tcPr>
          <w:p w14:paraId="3F59B8B9" w14:textId="77777777" w:rsidR="00637365" w:rsidRPr="00BF04E7" w:rsidRDefault="00637365" w:rsidP="007F176F">
            <w:pPr>
              <w:jc w:val="center"/>
              <w:rPr>
                <w:rFonts w:ascii="Arial" w:hAnsi="Arial" w:cs="Arial"/>
                <w:color w:val="000000"/>
              </w:rPr>
            </w:pPr>
            <w:r w:rsidRPr="00BF04E7">
              <w:rPr>
                <w:rFonts w:ascii="Arial" w:hAnsi="Arial" w:cs="Arial"/>
                <w:color w:val="000000"/>
              </w:rPr>
              <w:t>5.04</w:t>
            </w:r>
          </w:p>
        </w:tc>
        <w:tc>
          <w:tcPr>
            <w:tcW w:w="1220" w:type="dxa"/>
            <w:tcBorders>
              <w:top w:val="single" w:sz="12" w:space="0" w:color="auto"/>
            </w:tcBorders>
            <w:noWrap/>
            <w:vAlign w:val="center"/>
            <w:hideMark/>
          </w:tcPr>
          <w:p w14:paraId="7010789B" w14:textId="77777777" w:rsidR="00637365" w:rsidRPr="00BF04E7" w:rsidRDefault="00637365" w:rsidP="007F176F">
            <w:pPr>
              <w:jc w:val="center"/>
              <w:rPr>
                <w:rFonts w:ascii="Arial" w:hAnsi="Arial" w:cs="Arial"/>
                <w:color w:val="000000"/>
              </w:rPr>
            </w:pPr>
            <w:r w:rsidRPr="00BF04E7">
              <w:rPr>
                <w:rFonts w:ascii="Arial" w:hAnsi="Arial" w:cs="Arial"/>
                <w:color w:val="000000"/>
              </w:rPr>
              <w:t>276.77</w:t>
            </w:r>
          </w:p>
        </w:tc>
        <w:tc>
          <w:tcPr>
            <w:tcW w:w="1220" w:type="dxa"/>
            <w:tcBorders>
              <w:top w:val="single" w:sz="12" w:space="0" w:color="auto"/>
            </w:tcBorders>
            <w:noWrap/>
            <w:vAlign w:val="center"/>
            <w:hideMark/>
          </w:tcPr>
          <w:p w14:paraId="42EFC5A0" w14:textId="77777777" w:rsidR="00637365" w:rsidRPr="00BF04E7" w:rsidRDefault="00637365" w:rsidP="007F176F">
            <w:pPr>
              <w:jc w:val="center"/>
              <w:rPr>
                <w:rFonts w:ascii="Arial" w:hAnsi="Arial" w:cs="Arial"/>
                <w:color w:val="000000"/>
              </w:rPr>
            </w:pPr>
            <w:r w:rsidRPr="00BF04E7">
              <w:rPr>
                <w:rFonts w:ascii="Arial" w:hAnsi="Arial" w:cs="Arial"/>
                <w:color w:val="000000"/>
              </w:rPr>
              <w:t>92.33</w:t>
            </w:r>
          </w:p>
        </w:tc>
      </w:tr>
      <w:tr w:rsidR="00637365" w:rsidRPr="00BF04E7" w14:paraId="242CAD94" w14:textId="77777777" w:rsidTr="007F176F">
        <w:trPr>
          <w:trHeight w:val="300"/>
        </w:trPr>
        <w:tc>
          <w:tcPr>
            <w:tcW w:w="1540" w:type="dxa"/>
            <w:noWrap/>
            <w:vAlign w:val="center"/>
            <w:hideMark/>
          </w:tcPr>
          <w:p w14:paraId="79FC4767" w14:textId="77777777" w:rsidR="00637365" w:rsidRPr="00BF04E7" w:rsidRDefault="00637365" w:rsidP="007F176F">
            <w:pPr>
              <w:jc w:val="center"/>
              <w:rPr>
                <w:rFonts w:ascii="Arial" w:hAnsi="Arial" w:cs="Arial"/>
                <w:b/>
                <w:color w:val="000000"/>
              </w:rPr>
            </w:pPr>
            <w:r w:rsidRPr="00BF04E7">
              <w:rPr>
                <w:rFonts w:ascii="Arial" w:hAnsi="Arial" w:cs="Arial"/>
                <w:b/>
                <w:color w:val="000000"/>
              </w:rPr>
              <w:t>0.5</w:t>
            </w:r>
          </w:p>
        </w:tc>
        <w:tc>
          <w:tcPr>
            <w:tcW w:w="1220" w:type="dxa"/>
            <w:noWrap/>
            <w:vAlign w:val="center"/>
            <w:hideMark/>
          </w:tcPr>
          <w:p w14:paraId="5E4C372C" w14:textId="77777777" w:rsidR="00637365" w:rsidRPr="00BF04E7" w:rsidRDefault="00637365" w:rsidP="007F176F">
            <w:pPr>
              <w:jc w:val="center"/>
              <w:rPr>
                <w:rFonts w:ascii="Arial" w:hAnsi="Arial" w:cs="Arial"/>
                <w:color w:val="000000"/>
              </w:rPr>
            </w:pPr>
            <w:r w:rsidRPr="00BF04E7">
              <w:rPr>
                <w:rFonts w:ascii="Arial" w:hAnsi="Arial" w:cs="Arial"/>
                <w:color w:val="000000"/>
              </w:rPr>
              <w:t>6.64</w:t>
            </w:r>
          </w:p>
        </w:tc>
        <w:tc>
          <w:tcPr>
            <w:tcW w:w="1220" w:type="dxa"/>
            <w:noWrap/>
            <w:vAlign w:val="center"/>
            <w:hideMark/>
          </w:tcPr>
          <w:p w14:paraId="2CED7D75" w14:textId="77777777" w:rsidR="00637365" w:rsidRPr="00BF04E7" w:rsidRDefault="00637365" w:rsidP="007F176F">
            <w:pPr>
              <w:jc w:val="center"/>
              <w:rPr>
                <w:rFonts w:ascii="Arial" w:hAnsi="Arial" w:cs="Arial"/>
                <w:color w:val="000000"/>
              </w:rPr>
            </w:pPr>
            <w:r w:rsidRPr="00BF04E7">
              <w:rPr>
                <w:rFonts w:ascii="Arial" w:hAnsi="Arial" w:cs="Arial"/>
                <w:color w:val="000000"/>
              </w:rPr>
              <w:t>5.99</w:t>
            </w:r>
          </w:p>
        </w:tc>
        <w:tc>
          <w:tcPr>
            <w:tcW w:w="1220" w:type="dxa"/>
            <w:noWrap/>
            <w:vAlign w:val="center"/>
            <w:hideMark/>
          </w:tcPr>
          <w:p w14:paraId="2DF2CF9E" w14:textId="77777777" w:rsidR="00637365" w:rsidRPr="00BF04E7" w:rsidRDefault="00637365" w:rsidP="007F176F">
            <w:pPr>
              <w:jc w:val="center"/>
              <w:rPr>
                <w:rFonts w:ascii="Arial" w:hAnsi="Arial" w:cs="Arial"/>
                <w:color w:val="000000"/>
              </w:rPr>
            </w:pPr>
            <w:r w:rsidRPr="00BF04E7">
              <w:rPr>
                <w:rFonts w:ascii="Arial" w:hAnsi="Arial" w:cs="Arial"/>
                <w:color w:val="000000"/>
              </w:rPr>
              <w:t>5.74</w:t>
            </w:r>
          </w:p>
        </w:tc>
        <w:tc>
          <w:tcPr>
            <w:tcW w:w="1220" w:type="dxa"/>
            <w:noWrap/>
            <w:vAlign w:val="center"/>
            <w:hideMark/>
          </w:tcPr>
          <w:p w14:paraId="57139945" w14:textId="77777777" w:rsidR="00637365" w:rsidRPr="00BF04E7" w:rsidRDefault="00637365" w:rsidP="007F176F">
            <w:pPr>
              <w:jc w:val="center"/>
              <w:rPr>
                <w:rFonts w:ascii="Arial" w:hAnsi="Arial" w:cs="Arial"/>
                <w:color w:val="000000"/>
              </w:rPr>
            </w:pPr>
            <w:r w:rsidRPr="00BF04E7">
              <w:rPr>
                <w:rFonts w:ascii="Arial" w:hAnsi="Arial" w:cs="Arial"/>
                <w:color w:val="000000"/>
              </w:rPr>
              <w:t>6.05</w:t>
            </w:r>
          </w:p>
        </w:tc>
        <w:tc>
          <w:tcPr>
            <w:tcW w:w="1220" w:type="dxa"/>
            <w:noWrap/>
            <w:vAlign w:val="center"/>
            <w:hideMark/>
          </w:tcPr>
          <w:p w14:paraId="25EBC0BD" w14:textId="77777777" w:rsidR="00637365" w:rsidRPr="00BF04E7" w:rsidRDefault="00637365" w:rsidP="007F176F">
            <w:pPr>
              <w:jc w:val="center"/>
              <w:rPr>
                <w:rFonts w:ascii="Arial" w:hAnsi="Arial" w:cs="Arial"/>
                <w:color w:val="000000"/>
              </w:rPr>
            </w:pPr>
            <w:r w:rsidRPr="00BF04E7">
              <w:rPr>
                <w:rFonts w:ascii="Arial" w:hAnsi="Arial" w:cs="Arial"/>
                <w:color w:val="000000"/>
              </w:rPr>
              <w:t>188.06</w:t>
            </w:r>
          </w:p>
        </w:tc>
        <w:tc>
          <w:tcPr>
            <w:tcW w:w="1220" w:type="dxa"/>
            <w:noWrap/>
            <w:vAlign w:val="center"/>
            <w:hideMark/>
          </w:tcPr>
          <w:p w14:paraId="604DCFE0" w14:textId="77777777" w:rsidR="00637365" w:rsidRPr="00BF04E7" w:rsidRDefault="00637365" w:rsidP="007F176F">
            <w:pPr>
              <w:jc w:val="center"/>
              <w:rPr>
                <w:rFonts w:ascii="Arial" w:hAnsi="Arial" w:cs="Arial"/>
                <w:color w:val="000000"/>
              </w:rPr>
            </w:pPr>
            <w:r w:rsidRPr="00BF04E7">
              <w:rPr>
                <w:rFonts w:ascii="Arial" w:hAnsi="Arial" w:cs="Arial"/>
                <w:color w:val="000000"/>
              </w:rPr>
              <w:t>143.38</w:t>
            </w:r>
          </w:p>
        </w:tc>
      </w:tr>
      <w:tr w:rsidR="00637365" w:rsidRPr="00BF04E7" w14:paraId="6E621B75" w14:textId="77777777" w:rsidTr="007F176F">
        <w:trPr>
          <w:trHeight w:val="300"/>
        </w:trPr>
        <w:tc>
          <w:tcPr>
            <w:tcW w:w="1540" w:type="dxa"/>
            <w:noWrap/>
            <w:vAlign w:val="center"/>
            <w:hideMark/>
          </w:tcPr>
          <w:p w14:paraId="610BBB24" w14:textId="77777777" w:rsidR="00637365" w:rsidRPr="00BF04E7" w:rsidRDefault="00637365" w:rsidP="007F176F">
            <w:pPr>
              <w:jc w:val="center"/>
              <w:rPr>
                <w:rFonts w:ascii="Arial" w:hAnsi="Arial" w:cs="Arial"/>
                <w:b/>
                <w:color w:val="000000"/>
              </w:rPr>
            </w:pPr>
            <w:r w:rsidRPr="00BF04E7">
              <w:rPr>
                <w:rFonts w:ascii="Arial" w:hAnsi="Arial" w:cs="Arial"/>
                <w:b/>
                <w:color w:val="000000"/>
              </w:rPr>
              <w:t>1</w:t>
            </w:r>
          </w:p>
        </w:tc>
        <w:tc>
          <w:tcPr>
            <w:tcW w:w="1220" w:type="dxa"/>
            <w:noWrap/>
            <w:vAlign w:val="center"/>
            <w:hideMark/>
          </w:tcPr>
          <w:p w14:paraId="1A172CA5" w14:textId="77777777" w:rsidR="00637365" w:rsidRPr="00BF04E7" w:rsidRDefault="00637365" w:rsidP="007F176F">
            <w:pPr>
              <w:jc w:val="center"/>
              <w:rPr>
                <w:rFonts w:ascii="Arial" w:hAnsi="Arial" w:cs="Arial"/>
                <w:color w:val="000000"/>
              </w:rPr>
            </w:pPr>
            <w:r w:rsidRPr="00BF04E7">
              <w:rPr>
                <w:rFonts w:ascii="Arial" w:hAnsi="Arial" w:cs="Arial"/>
                <w:color w:val="000000"/>
              </w:rPr>
              <w:t>6.47</w:t>
            </w:r>
          </w:p>
        </w:tc>
        <w:tc>
          <w:tcPr>
            <w:tcW w:w="1220" w:type="dxa"/>
            <w:noWrap/>
            <w:vAlign w:val="center"/>
            <w:hideMark/>
          </w:tcPr>
          <w:p w14:paraId="0618843F" w14:textId="77777777" w:rsidR="00637365" w:rsidRPr="00BF04E7" w:rsidRDefault="00637365" w:rsidP="007F176F">
            <w:pPr>
              <w:jc w:val="center"/>
              <w:rPr>
                <w:rFonts w:ascii="Arial" w:hAnsi="Arial" w:cs="Arial"/>
                <w:color w:val="000000"/>
              </w:rPr>
            </w:pPr>
            <w:r w:rsidRPr="00BF04E7">
              <w:rPr>
                <w:rFonts w:ascii="Arial" w:hAnsi="Arial" w:cs="Arial"/>
                <w:color w:val="000000"/>
              </w:rPr>
              <w:t>5.60</w:t>
            </w:r>
          </w:p>
        </w:tc>
        <w:tc>
          <w:tcPr>
            <w:tcW w:w="1220" w:type="dxa"/>
            <w:noWrap/>
            <w:vAlign w:val="center"/>
            <w:hideMark/>
          </w:tcPr>
          <w:p w14:paraId="7596113E" w14:textId="77777777" w:rsidR="00637365" w:rsidRPr="00BF04E7" w:rsidRDefault="00637365" w:rsidP="007F176F">
            <w:pPr>
              <w:jc w:val="center"/>
              <w:rPr>
                <w:rFonts w:ascii="Arial" w:hAnsi="Arial" w:cs="Arial"/>
                <w:color w:val="000000"/>
              </w:rPr>
            </w:pPr>
            <w:r w:rsidRPr="00BF04E7">
              <w:rPr>
                <w:rFonts w:ascii="Arial" w:hAnsi="Arial" w:cs="Arial"/>
                <w:color w:val="000000"/>
              </w:rPr>
              <w:t>5.49</w:t>
            </w:r>
          </w:p>
        </w:tc>
        <w:tc>
          <w:tcPr>
            <w:tcW w:w="1220" w:type="dxa"/>
            <w:noWrap/>
            <w:vAlign w:val="center"/>
            <w:hideMark/>
          </w:tcPr>
          <w:p w14:paraId="192065BF" w14:textId="77777777" w:rsidR="00637365" w:rsidRPr="00BF04E7" w:rsidRDefault="00637365" w:rsidP="007F176F">
            <w:pPr>
              <w:jc w:val="center"/>
              <w:rPr>
                <w:rFonts w:ascii="Arial" w:hAnsi="Arial" w:cs="Arial"/>
                <w:color w:val="000000"/>
              </w:rPr>
            </w:pPr>
            <w:r w:rsidRPr="00BF04E7">
              <w:rPr>
                <w:rFonts w:ascii="Arial" w:hAnsi="Arial" w:cs="Arial"/>
                <w:color w:val="000000"/>
              </w:rPr>
              <w:t>5.38</w:t>
            </w:r>
          </w:p>
        </w:tc>
        <w:tc>
          <w:tcPr>
            <w:tcW w:w="1220" w:type="dxa"/>
            <w:noWrap/>
            <w:vAlign w:val="center"/>
            <w:hideMark/>
          </w:tcPr>
          <w:p w14:paraId="0AEC0B5C" w14:textId="77777777" w:rsidR="00637365" w:rsidRPr="00BF04E7" w:rsidRDefault="00637365" w:rsidP="007F176F">
            <w:pPr>
              <w:jc w:val="center"/>
              <w:rPr>
                <w:rFonts w:ascii="Arial" w:hAnsi="Arial" w:cs="Arial"/>
                <w:color w:val="000000"/>
              </w:rPr>
            </w:pPr>
            <w:r w:rsidRPr="00BF04E7">
              <w:rPr>
                <w:rFonts w:ascii="Arial" w:hAnsi="Arial" w:cs="Arial"/>
                <w:color w:val="000000"/>
              </w:rPr>
              <w:t>225.94</w:t>
            </w:r>
          </w:p>
        </w:tc>
        <w:tc>
          <w:tcPr>
            <w:tcW w:w="1220" w:type="dxa"/>
            <w:noWrap/>
            <w:vAlign w:val="center"/>
            <w:hideMark/>
          </w:tcPr>
          <w:p w14:paraId="1C7C7A07" w14:textId="77777777" w:rsidR="00637365" w:rsidRPr="00BF04E7" w:rsidRDefault="00637365" w:rsidP="007F176F">
            <w:pPr>
              <w:jc w:val="center"/>
              <w:rPr>
                <w:rFonts w:ascii="Arial" w:hAnsi="Arial" w:cs="Arial"/>
                <w:color w:val="000000"/>
              </w:rPr>
            </w:pPr>
            <w:r w:rsidRPr="00BF04E7">
              <w:rPr>
                <w:rFonts w:ascii="Arial" w:hAnsi="Arial" w:cs="Arial"/>
                <w:color w:val="000000"/>
              </w:rPr>
              <w:t>132.97</w:t>
            </w:r>
          </w:p>
        </w:tc>
      </w:tr>
      <w:tr w:rsidR="00637365" w:rsidRPr="00BF04E7" w14:paraId="75626C18" w14:textId="77777777" w:rsidTr="007F176F">
        <w:trPr>
          <w:trHeight w:val="300"/>
        </w:trPr>
        <w:tc>
          <w:tcPr>
            <w:tcW w:w="1540" w:type="dxa"/>
            <w:noWrap/>
            <w:vAlign w:val="center"/>
            <w:hideMark/>
          </w:tcPr>
          <w:p w14:paraId="44C44B31" w14:textId="77777777" w:rsidR="00637365" w:rsidRPr="00BF04E7" w:rsidRDefault="00637365" w:rsidP="007F176F">
            <w:pPr>
              <w:jc w:val="center"/>
              <w:rPr>
                <w:rFonts w:ascii="Arial" w:hAnsi="Arial" w:cs="Arial"/>
                <w:b/>
                <w:color w:val="000000"/>
              </w:rPr>
            </w:pPr>
            <w:r w:rsidRPr="00BF04E7">
              <w:rPr>
                <w:rFonts w:ascii="Arial" w:hAnsi="Arial" w:cs="Arial"/>
                <w:b/>
                <w:color w:val="000000"/>
              </w:rPr>
              <w:t>2</w:t>
            </w:r>
          </w:p>
        </w:tc>
        <w:tc>
          <w:tcPr>
            <w:tcW w:w="1220" w:type="dxa"/>
            <w:noWrap/>
            <w:vAlign w:val="center"/>
            <w:hideMark/>
          </w:tcPr>
          <w:p w14:paraId="39858206" w14:textId="77777777" w:rsidR="00637365" w:rsidRPr="00BF04E7" w:rsidRDefault="00637365" w:rsidP="007F176F">
            <w:pPr>
              <w:jc w:val="center"/>
              <w:rPr>
                <w:rFonts w:ascii="Arial" w:hAnsi="Arial" w:cs="Arial"/>
                <w:color w:val="000000"/>
              </w:rPr>
            </w:pPr>
            <w:r w:rsidRPr="00BF04E7">
              <w:rPr>
                <w:rFonts w:ascii="Arial" w:hAnsi="Arial" w:cs="Arial"/>
                <w:color w:val="000000"/>
              </w:rPr>
              <w:t>6.68</w:t>
            </w:r>
          </w:p>
        </w:tc>
        <w:tc>
          <w:tcPr>
            <w:tcW w:w="1220" w:type="dxa"/>
            <w:noWrap/>
            <w:vAlign w:val="center"/>
            <w:hideMark/>
          </w:tcPr>
          <w:p w14:paraId="51D9F73F" w14:textId="77777777" w:rsidR="00637365" w:rsidRPr="00BF04E7" w:rsidRDefault="00637365" w:rsidP="007F176F">
            <w:pPr>
              <w:jc w:val="center"/>
              <w:rPr>
                <w:rFonts w:ascii="Arial" w:hAnsi="Arial" w:cs="Arial"/>
                <w:color w:val="000000"/>
              </w:rPr>
            </w:pPr>
            <w:r w:rsidRPr="00BF04E7">
              <w:rPr>
                <w:rFonts w:ascii="Arial" w:hAnsi="Arial" w:cs="Arial"/>
                <w:color w:val="000000"/>
              </w:rPr>
              <w:t>6.04</w:t>
            </w:r>
          </w:p>
        </w:tc>
        <w:tc>
          <w:tcPr>
            <w:tcW w:w="1220" w:type="dxa"/>
            <w:noWrap/>
            <w:vAlign w:val="center"/>
            <w:hideMark/>
          </w:tcPr>
          <w:p w14:paraId="31EF0846" w14:textId="77777777" w:rsidR="00637365" w:rsidRPr="00BF04E7" w:rsidRDefault="00637365" w:rsidP="007F176F">
            <w:pPr>
              <w:jc w:val="center"/>
              <w:rPr>
                <w:rFonts w:ascii="Arial" w:hAnsi="Arial" w:cs="Arial"/>
                <w:color w:val="000000"/>
              </w:rPr>
            </w:pPr>
            <w:r w:rsidRPr="00BF04E7">
              <w:rPr>
                <w:rFonts w:ascii="Arial" w:hAnsi="Arial" w:cs="Arial"/>
                <w:color w:val="000000"/>
              </w:rPr>
              <w:t>5.65</w:t>
            </w:r>
          </w:p>
        </w:tc>
        <w:tc>
          <w:tcPr>
            <w:tcW w:w="1220" w:type="dxa"/>
            <w:noWrap/>
            <w:vAlign w:val="center"/>
            <w:hideMark/>
          </w:tcPr>
          <w:p w14:paraId="3A1D3DD9" w14:textId="77777777" w:rsidR="00637365" w:rsidRPr="00BF04E7" w:rsidRDefault="00637365" w:rsidP="007F176F">
            <w:pPr>
              <w:jc w:val="center"/>
              <w:rPr>
                <w:rFonts w:ascii="Arial" w:hAnsi="Arial" w:cs="Arial"/>
                <w:color w:val="000000"/>
              </w:rPr>
            </w:pPr>
            <w:r w:rsidRPr="00BF04E7">
              <w:rPr>
                <w:rFonts w:ascii="Arial" w:hAnsi="Arial" w:cs="Arial"/>
                <w:color w:val="000000"/>
              </w:rPr>
              <w:t>5.59</w:t>
            </w:r>
          </w:p>
        </w:tc>
        <w:tc>
          <w:tcPr>
            <w:tcW w:w="1220" w:type="dxa"/>
            <w:noWrap/>
            <w:vAlign w:val="center"/>
            <w:hideMark/>
          </w:tcPr>
          <w:p w14:paraId="0EDA6E33" w14:textId="77777777" w:rsidR="00637365" w:rsidRPr="00BF04E7" w:rsidRDefault="00637365" w:rsidP="007F176F">
            <w:pPr>
              <w:jc w:val="center"/>
              <w:rPr>
                <w:rFonts w:ascii="Arial" w:hAnsi="Arial" w:cs="Arial"/>
                <w:color w:val="000000"/>
              </w:rPr>
            </w:pPr>
            <w:r w:rsidRPr="00BF04E7">
              <w:rPr>
                <w:rFonts w:ascii="Arial" w:hAnsi="Arial" w:cs="Arial"/>
                <w:color w:val="000000"/>
              </w:rPr>
              <w:t>186.70</w:t>
            </w:r>
          </w:p>
        </w:tc>
        <w:tc>
          <w:tcPr>
            <w:tcW w:w="1220" w:type="dxa"/>
            <w:noWrap/>
            <w:vAlign w:val="center"/>
            <w:hideMark/>
          </w:tcPr>
          <w:p w14:paraId="6CC24F20" w14:textId="77777777" w:rsidR="00637365" w:rsidRPr="00BF04E7" w:rsidRDefault="00637365" w:rsidP="007F176F">
            <w:pPr>
              <w:jc w:val="center"/>
              <w:rPr>
                <w:rFonts w:ascii="Arial" w:hAnsi="Arial" w:cs="Arial"/>
                <w:color w:val="000000"/>
              </w:rPr>
            </w:pPr>
            <w:r w:rsidRPr="00BF04E7">
              <w:rPr>
                <w:rFonts w:ascii="Arial" w:hAnsi="Arial" w:cs="Arial"/>
                <w:color w:val="000000"/>
              </w:rPr>
              <w:t>131.09</w:t>
            </w:r>
          </w:p>
        </w:tc>
      </w:tr>
      <w:tr w:rsidR="00637365" w:rsidRPr="00BF04E7" w14:paraId="1B1F6B60" w14:textId="77777777" w:rsidTr="007F176F">
        <w:trPr>
          <w:trHeight w:val="300"/>
        </w:trPr>
        <w:tc>
          <w:tcPr>
            <w:tcW w:w="1540" w:type="dxa"/>
            <w:noWrap/>
            <w:vAlign w:val="center"/>
            <w:hideMark/>
          </w:tcPr>
          <w:p w14:paraId="5BD9BD18" w14:textId="77777777" w:rsidR="00637365" w:rsidRPr="00BF04E7" w:rsidRDefault="00637365" w:rsidP="007F176F">
            <w:pPr>
              <w:jc w:val="center"/>
              <w:rPr>
                <w:rFonts w:ascii="Arial" w:hAnsi="Arial" w:cs="Arial"/>
                <w:b/>
                <w:color w:val="000000"/>
              </w:rPr>
            </w:pPr>
            <w:r w:rsidRPr="00BF04E7">
              <w:rPr>
                <w:rFonts w:ascii="Arial" w:hAnsi="Arial" w:cs="Arial"/>
                <w:b/>
                <w:color w:val="000000"/>
              </w:rPr>
              <w:t>5</w:t>
            </w:r>
          </w:p>
        </w:tc>
        <w:tc>
          <w:tcPr>
            <w:tcW w:w="1220" w:type="dxa"/>
            <w:noWrap/>
            <w:vAlign w:val="center"/>
            <w:hideMark/>
          </w:tcPr>
          <w:p w14:paraId="4B381C9B" w14:textId="77777777" w:rsidR="00637365" w:rsidRPr="00BF04E7" w:rsidRDefault="00637365" w:rsidP="007F176F">
            <w:pPr>
              <w:jc w:val="center"/>
              <w:rPr>
                <w:rFonts w:ascii="Arial" w:hAnsi="Arial" w:cs="Arial"/>
                <w:color w:val="000000"/>
              </w:rPr>
            </w:pPr>
            <w:r w:rsidRPr="00BF04E7">
              <w:rPr>
                <w:rFonts w:ascii="Arial" w:hAnsi="Arial" w:cs="Arial"/>
                <w:color w:val="000000"/>
              </w:rPr>
              <w:t>6.65</w:t>
            </w:r>
          </w:p>
        </w:tc>
        <w:tc>
          <w:tcPr>
            <w:tcW w:w="1220" w:type="dxa"/>
            <w:noWrap/>
            <w:vAlign w:val="center"/>
            <w:hideMark/>
          </w:tcPr>
          <w:p w14:paraId="42AE4CD0" w14:textId="77777777" w:rsidR="00637365" w:rsidRPr="00BF04E7" w:rsidRDefault="00637365" w:rsidP="007F176F">
            <w:pPr>
              <w:jc w:val="center"/>
              <w:rPr>
                <w:rFonts w:ascii="Arial" w:hAnsi="Arial" w:cs="Arial"/>
                <w:color w:val="000000"/>
              </w:rPr>
            </w:pPr>
            <w:r w:rsidRPr="00BF04E7">
              <w:rPr>
                <w:rFonts w:ascii="Arial" w:hAnsi="Arial" w:cs="Arial"/>
                <w:color w:val="000000"/>
              </w:rPr>
              <w:t>5.51</w:t>
            </w:r>
          </w:p>
        </w:tc>
        <w:tc>
          <w:tcPr>
            <w:tcW w:w="1220" w:type="dxa"/>
            <w:noWrap/>
            <w:vAlign w:val="center"/>
            <w:hideMark/>
          </w:tcPr>
          <w:p w14:paraId="33C58D9F" w14:textId="77777777" w:rsidR="00637365" w:rsidRPr="00BF04E7" w:rsidRDefault="00637365" w:rsidP="007F176F">
            <w:pPr>
              <w:jc w:val="center"/>
              <w:rPr>
                <w:rFonts w:ascii="Arial" w:hAnsi="Arial" w:cs="Arial"/>
                <w:color w:val="000000"/>
              </w:rPr>
            </w:pPr>
            <w:r w:rsidRPr="00BF04E7">
              <w:rPr>
                <w:rFonts w:ascii="Arial" w:hAnsi="Arial" w:cs="Arial"/>
                <w:color w:val="000000"/>
              </w:rPr>
              <w:t>5.93</w:t>
            </w:r>
          </w:p>
        </w:tc>
        <w:tc>
          <w:tcPr>
            <w:tcW w:w="1220" w:type="dxa"/>
            <w:noWrap/>
            <w:vAlign w:val="center"/>
            <w:hideMark/>
          </w:tcPr>
          <w:p w14:paraId="3CD6E03B" w14:textId="77777777" w:rsidR="00637365" w:rsidRPr="00BF04E7" w:rsidRDefault="00637365" w:rsidP="007F176F">
            <w:pPr>
              <w:jc w:val="center"/>
              <w:rPr>
                <w:rFonts w:ascii="Arial" w:hAnsi="Arial" w:cs="Arial"/>
                <w:color w:val="000000"/>
              </w:rPr>
            </w:pPr>
            <w:r w:rsidRPr="00BF04E7">
              <w:rPr>
                <w:rFonts w:ascii="Arial" w:hAnsi="Arial" w:cs="Arial"/>
                <w:color w:val="000000"/>
              </w:rPr>
              <w:t>4.90</w:t>
            </w:r>
          </w:p>
        </w:tc>
        <w:tc>
          <w:tcPr>
            <w:tcW w:w="1220" w:type="dxa"/>
            <w:noWrap/>
            <w:vAlign w:val="center"/>
            <w:hideMark/>
          </w:tcPr>
          <w:p w14:paraId="1A651E9D" w14:textId="77777777" w:rsidR="00637365" w:rsidRPr="00BF04E7" w:rsidRDefault="00637365" w:rsidP="007F176F">
            <w:pPr>
              <w:jc w:val="center"/>
              <w:rPr>
                <w:rFonts w:ascii="Arial" w:hAnsi="Arial" w:cs="Arial"/>
                <w:color w:val="000000"/>
              </w:rPr>
            </w:pPr>
            <w:r w:rsidRPr="00BF04E7">
              <w:rPr>
                <w:rFonts w:ascii="Arial" w:hAnsi="Arial" w:cs="Arial"/>
                <w:color w:val="000000"/>
              </w:rPr>
              <w:t>134.45</w:t>
            </w:r>
          </w:p>
        </w:tc>
        <w:tc>
          <w:tcPr>
            <w:tcW w:w="1220" w:type="dxa"/>
            <w:noWrap/>
            <w:vAlign w:val="center"/>
            <w:hideMark/>
          </w:tcPr>
          <w:p w14:paraId="34542515" w14:textId="77777777" w:rsidR="00637365" w:rsidRPr="00BF04E7" w:rsidRDefault="00637365" w:rsidP="007F176F">
            <w:pPr>
              <w:jc w:val="center"/>
              <w:rPr>
                <w:rFonts w:ascii="Arial" w:hAnsi="Arial" w:cs="Arial"/>
                <w:color w:val="000000"/>
              </w:rPr>
            </w:pPr>
            <w:r w:rsidRPr="00BF04E7">
              <w:rPr>
                <w:rFonts w:ascii="Arial" w:hAnsi="Arial" w:cs="Arial"/>
                <w:color w:val="000000"/>
              </w:rPr>
              <w:t>58.50</w:t>
            </w:r>
          </w:p>
        </w:tc>
      </w:tr>
      <w:tr w:rsidR="00637365" w:rsidRPr="00BF04E7" w14:paraId="2CC0B5A4" w14:textId="77777777" w:rsidTr="007F176F">
        <w:trPr>
          <w:trHeight w:val="300"/>
        </w:trPr>
        <w:tc>
          <w:tcPr>
            <w:tcW w:w="1540" w:type="dxa"/>
            <w:noWrap/>
            <w:vAlign w:val="center"/>
            <w:hideMark/>
          </w:tcPr>
          <w:p w14:paraId="1F670610" w14:textId="77777777" w:rsidR="00637365" w:rsidRPr="00BF04E7" w:rsidRDefault="00637365" w:rsidP="007F176F">
            <w:pPr>
              <w:jc w:val="center"/>
              <w:rPr>
                <w:rFonts w:ascii="Arial" w:hAnsi="Arial" w:cs="Arial"/>
                <w:b/>
                <w:color w:val="000000"/>
              </w:rPr>
            </w:pPr>
            <w:r w:rsidRPr="00BF04E7">
              <w:rPr>
                <w:rFonts w:ascii="Arial" w:hAnsi="Arial" w:cs="Arial"/>
                <w:b/>
                <w:color w:val="000000"/>
              </w:rPr>
              <w:t>15</w:t>
            </w:r>
          </w:p>
        </w:tc>
        <w:tc>
          <w:tcPr>
            <w:tcW w:w="1220" w:type="dxa"/>
            <w:noWrap/>
            <w:vAlign w:val="center"/>
            <w:hideMark/>
          </w:tcPr>
          <w:p w14:paraId="4E605287" w14:textId="77777777" w:rsidR="00637365" w:rsidRPr="00BF04E7" w:rsidRDefault="00637365" w:rsidP="007F176F">
            <w:pPr>
              <w:jc w:val="center"/>
              <w:rPr>
                <w:rFonts w:ascii="Arial" w:hAnsi="Arial" w:cs="Arial"/>
                <w:color w:val="000000"/>
              </w:rPr>
            </w:pPr>
            <w:r w:rsidRPr="00BF04E7">
              <w:rPr>
                <w:rFonts w:ascii="Arial" w:hAnsi="Arial" w:cs="Arial"/>
                <w:color w:val="000000"/>
              </w:rPr>
              <w:t>6.49</w:t>
            </w:r>
          </w:p>
        </w:tc>
        <w:tc>
          <w:tcPr>
            <w:tcW w:w="1220" w:type="dxa"/>
            <w:noWrap/>
            <w:vAlign w:val="center"/>
            <w:hideMark/>
          </w:tcPr>
          <w:p w14:paraId="604AE027" w14:textId="77777777" w:rsidR="00637365" w:rsidRPr="00BF04E7" w:rsidRDefault="00637365" w:rsidP="007F176F">
            <w:pPr>
              <w:jc w:val="center"/>
              <w:rPr>
                <w:rFonts w:ascii="Arial" w:hAnsi="Arial" w:cs="Arial"/>
                <w:color w:val="000000"/>
              </w:rPr>
            </w:pPr>
            <w:r w:rsidRPr="00BF04E7">
              <w:rPr>
                <w:rFonts w:ascii="Arial" w:hAnsi="Arial" w:cs="Arial"/>
                <w:color w:val="000000"/>
              </w:rPr>
              <w:t>5.66</w:t>
            </w:r>
          </w:p>
        </w:tc>
        <w:tc>
          <w:tcPr>
            <w:tcW w:w="1220" w:type="dxa"/>
            <w:noWrap/>
            <w:vAlign w:val="center"/>
            <w:hideMark/>
          </w:tcPr>
          <w:p w14:paraId="33863393" w14:textId="77777777" w:rsidR="00637365" w:rsidRPr="00BF04E7" w:rsidRDefault="00637365" w:rsidP="007F176F">
            <w:pPr>
              <w:jc w:val="center"/>
              <w:rPr>
                <w:rFonts w:ascii="Arial" w:hAnsi="Arial" w:cs="Arial"/>
                <w:color w:val="000000"/>
              </w:rPr>
            </w:pPr>
            <w:r w:rsidRPr="00BF04E7">
              <w:rPr>
                <w:rFonts w:ascii="Arial" w:hAnsi="Arial" w:cs="Arial"/>
                <w:color w:val="000000"/>
              </w:rPr>
              <w:t>5.81</w:t>
            </w:r>
          </w:p>
        </w:tc>
        <w:tc>
          <w:tcPr>
            <w:tcW w:w="1220" w:type="dxa"/>
            <w:noWrap/>
            <w:vAlign w:val="center"/>
            <w:hideMark/>
          </w:tcPr>
          <w:p w14:paraId="3E756E76" w14:textId="77777777" w:rsidR="00637365" w:rsidRPr="00BF04E7" w:rsidRDefault="00637365" w:rsidP="007F176F">
            <w:pPr>
              <w:jc w:val="center"/>
              <w:rPr>
                <w:rFonts w:ascii="Arial" w:hAnsi="Arial" w:cs="Arial"/>
                <w:color w:val="000000"/>
              </w:rPr>
            </w:pPr>
            <w:r w:rsidRPr="00BF04E7">
              <w:rPr>
                <w:rFonts w:ascii="Arial" w:hAnsi="Arial" w:cs="Arial"/>
                <w:color w:val="000000"/>
              </w:rPr>
              <w:t>5.18</w:t>
            </w:r>
          </w:p>
        </w:tc>
        <w:tc>
          <w:tcPr>
            <w:tcW w:w="1220" w:type="dxa"/>
            <w:noWrap/>
            <w:vAlign w:val="center"/>
            <w:hideMark/>
          </w:tcPr>
          <w:p w14:paraId="3A1B7976" w14:textId="77777777" w:rsidR="00637365" w:rsidRPr="00BF04E7" w:rsidRDefault="00637365" w:rsidP="007F176F">
            <w:pPr>
              <w:jc w:val="center"/>
              <w:rPr>
                <w:rFonts w:ascii="Arial" w:hAnsi="Arial" w:cs="Arial"/>
                <w:color w:val="000000"/>
              </w:rPr>
            </w:pPr>
            <w:r w:rsidRPr="00BF04E7">
              <w:rPr>
                <w:rFonts w:ascii="Arial" w:hAnsi="Arial" w:cs="Arial"/>
                <w:color w:val="000000"/>
              </w:rPr>
              <w:t>161.90</w:t>
            </w:r>
          </w:p>
        </w:tc>
        <w:tc>
          <w:tcPr>
            <w:tcW w:w="1220" w:type="dxa"/>
            <w:noWrap/>
            <w:vAlign w:val="center"/>
            <w:hideMark/>
          </w:tcPr>
          <w:p w14:paraId="4B0F807A" w14:textId="77777777" w:rsidR="00637365" w:rsidRPr="00BF04E7" w:rsidRDefault="00637365" w:rsidP="007F176F">
            <w:pPr>
              <w:jc w:val="center"/>
              <w:rPr>
                <w:rFonts w:ascii="Arial" w:hAnsi="Arial" w:cs="Arial"/>
                <w:color w:val="000000"/>
              </w:rPr>
            </w:pPr>
            <w:r w:rsidRPr="00BF04E7">
              <w:rPr>
                <w:rFonts w:ascii="Arial" w:hAnsi="Arial" w:cs="Arial"/>
                <w:color w:val="000000"/>
              </w:rPr>
              <w:t>65.15</w:t>
            </w:r>
          </w:p>
        </w:tc>
      </w:tr>
    </w:tbl>
    <w:p w14:paraId="11372CB5" w14:textId="75F945B7" w:rsidR="00637365" w:rsidRDefault="00637365" w:rsidP="00441B6F">
      <w:pPr>
        <w:pStyle w:val="Body"/>
        <w:spacing w:after="0"/>
        <w:rPr>
          <w:rFonts w:ascii="Arial" w:hAnsi="Arial" w:cs="Arial"/>
        </w:rPr>
      </w:pPr>
    </w:p>
    <w:p w14:paraId="76F472BD" w14:textId="49EC19A7" w:rsidR="00637365" w:rsidRDefault="00637365" w:rsidP="00441B6F">
      <w:pPr>
        <w:pStyle w:val="Body"/>
        <w:spacing w:after="0"/>
        <w:rPr>
          <w:rFonts w:ascii="Arial" w:hAnsi="Arial" w:cs="Arial"/>
        </w:rPr>
      </w:pPr>
    </w:p>
    <w:p w14:paraId="01A0EF24" w14:textId="4AD76118" w:rsidR="00637365" w:rsidRDefault="00637365" w:rsidP="00441B6F">
      <w:pPr>
        <w:pStyle w:val="Body"/>
        <w:spacing w:after="0"/>
        <w:rPr>
          <w:rFonts w:ascii="Arial" w:hAnsi="Arial" w:cs="Arial"/>
        </w:rPr>
      </w:pPr>
    </w:p>
    <w:p w14:paraId="7CBBC1DB" w14:textId="52237B26" w:rsidR="00637365" w:rsidRPr="0000164D" w:rsidRDefault="00637365" w:rsidP="00637365">
      <w:pPr>
        <w:jc w:val="center"/>
        <w:rPr>
          <w:rFonts w:ascii="Arial" w:hAnsi="Arial" w:cs="Arial"/>
          <w:b/>
          <w:bCs/>
          <w:color w:val="000000" w:themeColor="text1"/>
          <w:lang w:val="fr-FR"/>
        </w:rPr>
      </w:pPr>
      <w:bookmarkStart w:id="23" w:name="_Toc513534103"/>
      <w:bookmarkStart w:id="24" w:name="_Toc526154770"/>
      <w:r w:rsidRPr="0000164D">
        <w:rPr>
          <w:rFonts w:ascii="Arial" w:hAnsi="Arial" w:cs="Arial"/>
          <w:b/>
          <w:bCs/>
          <w:color w:val="000000" w:themeColor="text1"/>
          <w:lang w:val="fr-FR"/>
        </w:rPr>
        <w:t xml:space="preserve">Table </w:t>
      </w:r>
      <w:r w:rsidRPr="00637365">
        <w:rPr>
          <w:rFonts w:ascii="Arial" w:hAnsi="Arial" w:cs="Arial"/>
          <w:b/>
          <w:bCs/>
          <w:color w:val="000000" w:themeColor="text1"/>
        </w:rPr>
        <w:fldChar w:fldCharType="begin"/>
      </w:r>
      <w:r w:rsidRPr="0000164D">
        <w:rPr>
          <w:rFonts w:ascii="Arial" w:hAnsi="Arial" w:cs="Arial"/>
          <w:b/>
          <w:bCs/>
          <w:color w:val="000000" w:themeColor="text1"/>
          <w:lang w:val="fr-FR"/>
        </w:rPr>
        <w:instrText xml:space="preserve"> SEQ Tableau \* ARABIC </w:instrText>
      </w:r>
      <w:r w:rsidRPr="00637365">
        <w:rPr>
          <w:rFonts w:ascii="Arial" w:hAnsi="Arial" w:cs="Arial"/>
          <w:b/>
          <w:bCs/>
          <w:color w:val="000000" w:themeColor="text1"/>
        </w:rPr>
        <w:fldChar w:fldCharType="separate"/>
      </w:r>
      <w:r w:rsidRPr="0000164D">
        <w:rPr>
          <w:rFonts w:ascii="Arial" w:hAnsi="Arial" w:cs="Arial"/>
          <w:b/>
          <w:bCs/>
          <w:color w:val="000000" w:themeColor="text1"/>
          <w:lang w:val="fr-FR"/>
        </w:rPr>
        <w:t>6</w:t>
      </w:r>
      <w:r w:rsidRPr="00637365">
        <w:rPr>
          <w:rFonts w:ascii="Arial" w:hAnsi="Arial" w:cs="Arial"/>
          <w:b/>
          <w:bCs/>
          <w:color w:val="000000" w:themeColor="text1"/>
        </w:rPr>
        <w:fldChar w:fldCharType="end"/>
      </w:r>
      <w:r w:rsidRPr="0000164D">
        <w:rPr>
          <w:rFonts w:ascii="Arial" w:hAnsi="Arial" w:cs="Arial"/>
          <w:b/>
          <w:bCs/>
          <w:color w:val="000000" w:themeColor="text1"/>
          <w:lang w:val="fr-FR"/>
        </w:rPr>
        <w:t xml:space="preserve"> : </w:t>
      </w:r>
      <w:bookmarkEnd w:id="23"/>
      <w:bookmarkEnd w:id="24"/>
      <w:r w:rsidRPr="0000164D">
        <w:rPr>
          <w:rFonts w:ascii="Arial" w:hAnsi="Arial" w:cs="Arial"/>
          <w:b/>
          <w:bCs/>
          <w:color w:val="000000" w:themeColor="text1"/>
          <w:lang w:val="fr-FR"/>
        </w:rPr>
        <w:t>C</w:t>
      </w:r>
      <w:r w:rsidR="0000164D" w:rsidRPr="0000164D">
        <w:rPr>
          <w:rFonts w:ascii="Arial" w:hAnsi="Arial" w:cs="Arial"/>
          <w:b/>
          <w:bCs/>
          <w:color w:val="000000" w:themeColor="text1"/>
          <w:lang w:val="fr-FR"/>
        </w:rPr>
        <w:t>arbon</w:t>
      </w:r>
      <w:r w:rsidRPr="0000164D">
        <w:rPr>
          <w:rFonts w:ascii="Arial" w:hAnsi="Arial" w:cs="Arial"/>
          <w:b/>
          <w:bCs/>
          <w:color w:val="000000" w:themeColor="text1"/>
          <w:lang w:val="fr-FR"/>
        </w:rPr>
        <w:t xml:space="preserve">, </w:t>
      </w:r>
      <w:proofErr w:type="spellStart"/>
      <w:r w:rsidR="0000164D">
        <w:rPr>
          <w:rFonts w:ascii="Arial" w:hAnsi="Arial" w:cs="Arial"/>
          <w:b/>
          <w:bCs/>
          <w:color w:val="000000" w:themeColor="text1"/>
          <w:lang w:val="fr-FR"/>
        </w:rPr>
        <w:t>n</w:t>
      </w:r>
      <w:r w:rsidR="0000164D" w:rsidRPr="0000164D">
        <w:rPr>
          <w:rFonts w:ascii="Arial" w:hAnsi="Arial" w:cs="Arial"/>
          <w:b/>
          <w:bCs/>
          <w:color w:val="000000" w:themeColor="text1"/>
          <w:lang w:val="fr-FR"/>
        </w:rPr>
        <w:t>itrogen</w:t>
      </w:r>
      <w:proofErr w:type="spellEnd"/>
      <w:r w:rsidR="0000164D">
        <w:rPr>
          <w:rFonts w:ascii="Arial" w:hAnsi="Arial" w:cs="Arial"/>
          <w:b/>
          <w:bCs/>
          <w:color w:val="000000" w:themeColor="text1"/>
          <w:lang w:val="fr-FR"/>
        </w:rPr>
        <w:t xml:space="preserve"> and</w:t>
      </w:r>
      <w:r w:rsidRPr="0000164D">
        <w:rPr>
          <w:rFonts w:ascii="Arial" w:hAnsi="Arial" w:cs="Arial"/>
          <w:b/>
          <w:bCs/>
          <w:color w:val="000000" w:themeColor="text1"/>
          <w:lang w:val="fr-FR"/>
        </w:rPr>
        <w:t xml:space="preserve"> </w:t>
      </w:r>
      <w:proofErr w:type="spellStart"/>
      <w:r w:rsidR="0000164D">
        <w:rPr>
          <w:rFonts w:ascii="Arial" w:hAnsi="Arial" w:cs="Arial"/>
          <w:b/>
          <w:bCs/>
          <w:color w:val="000000" w:themeColor="text1"/>
          <w:lang w:val="fr-FR"/>
        </w:rPr>
        <w:t>avalaible</w:t>
      </w:r>
      <w:proofErr w:type="spellEnd"/>
      <w:r w:rsidR="0000164D">
        <w:rPr>
          <w:rFonts w:ascii="Arial" w:hAnsi="Arial" w:cs="Arial"/>
          <w:b/>
          <w:bCs/>
          <w:color w:val="000000" w:themeColor="text1"/>
          <w:lang w:val="fr-FR"/>
        </w:rPr>
        <w:t xml:space="preserve"> </w:t>
      </w:r>
      <w:proofErr w:type="spellStart"/>
      <w:r w:rsidR="0000164D">
        <w:rPr>
          <w:rFonts w:ascii="Arial" w:hAnsi="Arial" w:cs="Arial"/>
          <w:b/>
          <w:bCs/>
          <w:color w:val="000000" w:themeColor="text1"/>
          <w:lang w:val="fr-FR"/>
        </w:rPr>
        <w:t>phosphorus</w:t>
      </w:r>
      <w:proofErr w:type="spellEnd"/>
      <w:r w:rsidRPr="0000164D">
        <w:rPr>
          <w:rFonts w:ascii="Arial" w:hAnsi="Arial" w:cs="Arial"/>
          <w:b/>
          <w:bCs/>
          <w:color w:val="000000" w:themeColor="text1"/>
          <w:lang w:val="fr-FR"/>
        </w:rPr>
        <w:t xml:space="preserve"> content </w:t>
      </w:r>
    </w:p>
    <w:p w14:paraId="43B4B1E1" w14:textId="77777777" w:rsidR="00637365" w:rsidRPr="0000164D" w:rsidRDefault="00637365" w:rsidP="00441B6F">
      <w:pPr>
        <w:pStyle w:val="Body"/>
        <w:spacing w:after="0"/>
        <w:rPr>
          <w:rFonts w:ascii="Arial" w:hAnsi="Arial" w:cs="Arial"/>
          <w:lang w:val="fr-FR"/>
        </w:rPr>
      </w:pPr>
    </w:p>
    <w:tbl>
      <w:tblPr>
        <w:tblW w:w="5000" w:type="pct"/>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1861"/>
        <w:gridCol w:w="985"/>
        <w:gridCol w:w="1133"/>
        <w:gridCol w:w="985"/>
        <w:gridCol w:w="1133"/>
        <w:gridCol w:w="985"/>
        <w:gridCol w:w="1126"/>
      </w:tblGrid>
      <w:tr w:rsidR="00637365" w:rsidRPr="00BF04E7" w14:paraId="0E042EB7" w14:textId="77777777" w:rsidTr="00BF04E7">
        <w:trPr>
          <w:trHeight w:val="300"/>
        </w:trPr>
        <w:tc>
          <w:tcPr>
            <w:tcW w:w="1134" w:type="pct"/>
            <w:vMerge w:val="restart"/>
            <w:tcBorders>
              <w:top w:val="single" w:sz="12" w:space="0" w:color="auto"/>
            </w:tcBorders>
            <w:noWrap/>
            <w:vAlign w:val="center"/>
            <w:hideMark/>
          </w:tcPr>
          <w:p w14:paraId="74279010" w14:textId="77777777" w:rsidR="00637365" w:rsidRPr="00BF04E7" w:rsidRDefault="00637365" w:rsidP="007F176F">
            <w:pPr>
              <w:jc w:val="center"/>
              <w:rPr>
                <w:rFonts w:ascii="Arial" w:hAnsi="Arial" w:cs="Arial"/>
                <w:b/>
                <w:color w:val="000000"/>
              </w:rPr>
            </w:pPr>
            <w:r w:rsidRPr="00BF04E7">
              <w:rPr>
                <w:rFonts w:ascii="Arial" w:hAnsi="Arial" w:cs="Arial"/>
                <w:b/>
                <w:color w:val="000000"/>
              </w:rPr>
              <w:t xml:space="preserve">Distance to the </w:t>
            </w:r>
          </w:p>
          <w:p w14:paraId="2CCEB797" w14:textId="77777777" w:rsidR="00637365" w:rsidRPr="00BF04E7" w:rsidRDefault="00637365" w:rsidP="007F176F">
            <w:pPr>
              <w:jc w:val="center"/>
              <w:rPr>
                <w:rFonts w:ascii="Arial" w:hAnsi="Arial" w:cs="Arial"/>
                <w:b/>
                <w:color w:val="000000"/>
              </w:rPr>
            </w:pPr>
            <w:r w:rsidRPr="00BF04E7">
              <w:rPr>
                <w:rFonts w:ascii="Arial" w:hAnsi="Arial" w:cs="Arial"/>
                <w:b/>
                <w:color w:val="000000"/>
              </w:rPr>
              <w:t>stone-row line</w:t>
            </w:r>
          </w:p>
        </w:tc>
        <w:tc>
          <w:tcPr>
            <w:tcW w:w="1289" w:type="pct"/>
            <w:gridSpan w:val="2"/>
            <w:tcBorders>
              <w:top w:val="single" w:sz="12" w:space="0" w:color="auto"/>
              <w:bottom w:val="nil"/>
            </w:tcBorders>
            <w:noWrap/>
            <w:vAlign w:val="center"/>
            <w:hideMark/>
          </w:tcPr>
          <w:p w14:paraId="1165E66A" w14:textId="77777777" w:rsidR="00637365" w:rsidRPr="00BF04E7" w:rsidRDefault="00637365" w:rsidP="007F176F">
            <w:pPr>
              <w:jc w:val="center"/>
              <w:rPr>
                <w:rFonts w:ascii="Arial" w:hAnsi="Arial" w:cs="Arial"/>
                <w:b/>
                <w:color w:val="000000"/>
              </w:rPr>
            </w:pPr>
            <w:r w:rsidRPr="00BF04E7">
              <w:rPr>
                <w:rFonts w:ascii="Arial" w:hAnsi="Arial" w:cs="Arial"/>
                <w:b/>
                <w:color w:val="000000"/>
              </w:rPr>
              <w:t>N (</w:t>
            </w:r>
            <w:proofErr w:type="gramStart"/>
            <w:r w:rsidRPr="00BF04E7">
              <w:rPr>
                <w:rFonts w:ascii="Arial" w:hAnsi="Arial" w:cs="Arial"/>
                <w:b/>
                <w:color w:val="000000"/>
              </w:rPr>
              <w:t>mg.g</w:t>
            </w:r>
            <w:proofErr w:type="gramEnd"/>
            <w:r w:rsidRPr="00BF04E7">
              <w:rPr>
                <w:rFonts w:ascii="Arial" w:hAnsi="Arial" w:cs="Arial"/>
                <w:b/>
                <w:color w:val="000000"/>
                <w:vertAlign w:val="superscript"/>
              </w:rPr>
              <w:t>-1</w:t>
            </w:r>
            <w:r w:rsidRPr="00BF04E7">
              <w:rPr>
                <w:rFonts w:ascii="Arial" w:hAnsi="Arial" w:cs="Arial"/>
                <w:b/>
                <w:color w:val="000000"/>
              </w:rPr>
              <w:t>)</w:t>
            </w:r>
          </w:p>
        </w:tc>
        <w:tc>
          <w:tcPr>
            <w:tcW w:w="1289" w:type="pct"/>
            <w:gridSpan w:val="2"/>
            <w:tcBorders>
              <w:top w:val="single" w:sz="12" w:space="0" w:color="auto"/>
              <w:bottom w:val="nil"/>
            </w:tcBorders>
            <w:noWrap/>
            <w:vAlign w:val="center"/>
            <w:hideMark/>
          </w:tcPr>
          <w:p w14:paraId="0D4519B9" w14:textId="77777777" w:rsidR="00637365" w:rsidRPr="00BF04E7" w:rsidRDefault="00637365" w:rsidP="007F176F">
            <w:pPr>
              <w:jc w:val="center"/>
              <w:rPr>
                <w:rFonts w:ascii="Arial" w:hAnsi="Arial" w:cs="Arial"/>
                <w:b/>
                <w:color w:val="000000"/>
              </w:rPr>
            </w:pPr>
            <w:r w:rsidRPr="00BF04E7">
              <w:rPr>
                <w:rFonts w:ascii="Arial" w:hAnsi="Arial" w:cs="Arial"/>
                <w:b/>
                <w:color w:val="000000"/>
              </w:rPr>
              <w:t>C(</w:t>
            </w:r>
            <w:proofErr w:type="gramStart"/>
            <w:r w:rsidRPr="00BF04E7">
              <w:rPr>
                <w:rFonts w:ascii="Arial" w:hAnsi="Arial" w:cs="Arial"/>
                <w:b/>
                <w:color w:val="000000"/>
              </w:rPr>
              <w:t>mg.g</w:t>
            </w:r>
            <w:proofErr w:type="gramEnd"/>
            <w:r w:rsidRPr="00BF04E7">
              <w:rPr>
                <w:rFonts w:ascii="Arial" w:hAnsi="Arial" w:cs="Arial"/>
                <w:b/>
                <w:color w:val="000000"/>
                <w:vertAlign w:val="superscript"/>
              </w:rPr>
              <w:t>-1</w:t>
            </w:r>
            <w:r w:rsidRPr="00BF04E7">
              <w:rPr>
                <w:rFonts w:ascii="Arial" w:hAnsi="Arial" w:cs="Arial"/>
                <w:b/>
                <w:color w:val="000000"/>
              </w:rPr>
              <w:t>)</w:t>
            </w:r>
          </w:p>
        </w:tc>
        <w:tc>
          <w:tcPr>
            <w:tcW w:w="1288" w:type="pct"/>
            <w:gridSpan w:val="2"/>
            <w:tcBorders>
              <w:top w:val="single" w:sz="12" w:space="0" w:color="auto"/>
              <w:bottom w:val="nil"/>
            </w:tcBorders>
            <w:noWrap/>
            <w:vAlign w:val="center"/>
            <w:hideMark/>
          </w:tcPr>
          <w:p w14:paraId="2EF87DF0" w14:textId="77777777" w:rsidR="00637365" w:rsidRPr="00BF04E7" w:rsidRDefault="00637365" w:rsidP="007F176F">
            <w:pPr>
              <w:jc w:val="center"/>
              <w:rPr>
                <w:rFonts w:ascii="Arial" w:hAnsi="Arial" w:cs="Arial"/>
                <w:b/>
                <w:color w:val="000000"/>
              </w:rPr>
            </w:pPr>
            <w:r w:rsidRPr="00BF04E7">
              <w:rPr>
                <w:rFonts w:ascii="Arial" w:hAnsi="Arial" w:cs="Arial"/>
                <w:b/>
                <w:color w:val="000000"/>
              </w:rPr>
              <w:t>Pa (</w:t>
            </w:r>
            <w:proofErr w:type="gramStart"/>
            <w:r w:rsidRPr="00BF04E7">
              <w:rPr>
                <w:rFonts w:ascii="Arial" w:hAnsi="Arial" w:cs="Arial"/>
                <w:b/>
                <w:color w:val="000000"/>
              </w:rPr>
              <w:t>mg.g</w:t>
            </w:r>
            <w:proofErr w:type="gramEnd"/>
            <w:r w:rsidRPr="00BF04E7">
              <w:rPr>
                <w:rFonts w:ascii="Arial" w:hAnsi="Arial" w:cs="Arial"/>
                <w:b/>
                <w:color w:val="000000"/>
                <w:vertAlign w:val="superscript"/>
              </w:rPr>
              <w:t>-1</w:t>
            </w:r>
            <w:r w:rsidRPr="00BF04E7">
              <w:rPr>
                <w:rFonts w:ascii="Arial" w:hAnsi="Arial" w:cs="Arial"/>
                <w:b/>
                <w:color w:val="000000"/>
              </w:rPr>
              <w:t>)</w:t>
            </w:r>
          </w:p>
        </w:tc>
      </w:tr>
      <w:tr w:rsidR="00637365" w:rsidRPr="00BF04E7" w14:paraId="76525F18" w14:textId="77777777" w:rsidTr="00BF04E7">
        <w:trPr>
          <w:trHeight w:val="300"/>
        </w:trPr>
        <w:tc>
          <w:tcPr>
            <w:tcW w:w="1134" w:type="pct"/>
            <w:vMerge/>
            <w:tcBorders>
              <w:bottom w:val="single" w:sz="12" w:space="0" w:color="auto"/>
            </w:tcBorders>
            <w:noWrap/>
            <w:vAlign w:val="center"/>
            <w:hideMark/>
          </w:tcPr>
          <w:p w14:paraId="5180E3BE" w14:textId="77777777" w:rsidR="00637365" w:rsidRPr="00BF04E7" w:rsidRDefault="00637365" w:rsidP="007F176F">
            <w:pPr>
              <w:jc w:val="center"/>
              <w:rPr>
                <w:rFonts w:ascii="Arial" w:hAnsi="Arial" w:cs="Arial"/>
                <w:b/>
                <w:color w:val="000000"/>
              </w:rPr>
            </w:pPr>
          </w:p>
        </w:tc>
        <w:tc>
          <w:tcPr>
            <w:tcW w:w="600" w:type="pct"/>
            <w:tcBorders>
              <w:top w:val="nil"/>
              <w:bottom w:val="single" w:sz="12" w:space="0" w:color="auto"/>
            </w:tcBorders>
            <w:vAlign w:val="center"/>
            <w:hideMark/>
          </w:tcPr>
          <w:p w14:paraId="58ADD1E1"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0-10 cm</w:t>
            </w:r>
          </w:p>
        </w:tc>
        <w:tc>
          <w:tcPr>
            <w:tcW w:w="690" w:type="pct"/>
            <w:tcBorders>
              <w:top w:val="nil"/>
              <w:bottom w:val="single" w:sz="12" w:space="0" w:color="auto"/>
            </w:tcBorders>
            <w:vAlign w:val="center"/>
            <w:hideMark/>
          </w:tcPr>
          <w:p w14:paraId="1F59871F"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10-20 cm</w:t>
            </w:r>
          </w:p>
        </w:tc>
        <w:tc>
          <w:tcPr>
            <w:tcW w:w="600" w:type="pct"/>
            <w:tcBorders>
              <w:top w:val="nil"/>
              <w:bottom w:val="single" w:sz="12" w:space="0" w:color="auto"/>
            </w:tcBorders>
            <w:vAlign w:val="center"/>
            <w:hideMark/>
          </w:tcPr>
          <w:p w14:paraId="48A176B2"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0-10 cm</w:t>
            </w:r>
          </w:p>
        </w:tc>
        <w:tc>
          <w:tcPr>
            <w:tcW w:w="690" w:type="pct"/>
            <w:tcBorders>
              <w:top w:val="nil"/>
              <w:bottom w:val="single" w:sz="12" w:space="0" w:color="auto"/>
            </w:tcBorders>
            <w:vAlign w:val="center"/>
            <w:hideMark/>
          </w:tcPr>
          <w:p w14:paraId="75535A9C"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10-20 cm</w:t>
            </w:r>
          </w:p>
        </w:tc>
        <w:tc>
          <w:tcPr>
            <w:tcW w:w="600" w:type="pct"/>
            <w:tcBorders>
              <w:top w:val="nil"/>
              <w:bottom w:val="single" w:sz="12" w:space="0" w:color="auto"/>
            </w:tcBorders>
            <w:vAlign w:val="center"/>
            <w:hideMark/>
          </w:tcPr>
          <w:p w14:paraId="19C80B9C"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0-10 cm</w:t>
            </w:r>
          </w:p>
        </w:tc>
        <w:tc>
          <w:tcPr>
            <w:tcW w:w="688" w:type="pct"/>
            <w:tcBorders>
              <w:top w:val="nil"/>
              <w:bottom w:val="single" w:sz="12" w:space="0" w:color="auto"/>
            </w:tcBorders>
            <w:vAlign w:val="center"/>
            <w:hideMark/>
          </w:tcPr>
          <w:p w14:paraId="2A7219BE" w14:textId="77777777" w:rsidR="00637365" w:rsidRPr="00BF04E7" w:rsidRDefault="00637365" w:rsidP="007F176F">
            <w:pPr>
              <w:jc w:val="center"/>
              <w:rPr>
                <w:rFonts w:ascii="Arial" w:hAnsi="Arial" w:cs="Arial"/>
                <w:b/>
                <w:bCs/>
                <w:color w:val="000000"/>
              </w:rPr>
            </w:pPr>
            <w:r w:rsidRPr="00BF04E7">
              <w:rPr>
                <w:rFonts w:ascii="Arial" w:hAnsi="Arial" w:cs="Arial"/>
                <w:b/>
                <w:bCs/>
                <w:color w:val="000000"/>
              </w:rPr>
              <w:t>10-20 cm</w:t>
            </w:r>
          </w:p>
        </w:tc>
      </w:tr>
      <w:tr w:rsidR="00637365" w:rsidRPr="00BF04E7" w14:paraId="1A41986D" w14:textId="77777777" w:rsidTr="00BF04E7">
        <w:trPr>
          <w:trHeight w:val="300"/>
        </w:trPr>
        <w:tc>
          <w:tcPr>
            <w:tcW w:w="1134" w:type="pct"/>
            <w:tcBorders>
              <w:top w:val="single" w:sz="12" w:space="0" w:color="auto"/>
            </w:tcBorders>
            <w:noWrap/>
            <w:vAlign w:val="center"/>
            <w:hideMark/>
          </w:tcPr>
          <w:p w14:paraId="51170A16" w14:textId="77777777" w:rsidR="00637365" w:rsidRPr="00BF04E7" w:rsidRDefault="00637365" w:rsidP="007F176F">
            <w:pPr>
              <w:jc w:val="center"/>
              <w:rPr>
                <w:rFonts w:ascii="Arial" w:hAnsi="Arial" w:cs="Arial"/>
                <w:color w:val="000000"/>
              </w:rPr>
            </w:pPr>
            <w:r w:rsidRPr="00BF04E7">
              <w:rPr>
                <w:rFonts w:ascii="Arial" w:hAnsi="Arial" w:cs="Arial"/>
                <w:color w:val="000000"/>
              </w:rPr>
              <w:t>0</w:t>
            </w:r>
          </w:p>
        </w:tc>
        <w:tc>
          <w:tcPr>
            <w:tcW w:w="600" w:type="pct"/>
            <w:tcBorders>
              <w:top w:val="single" w:sz="12" w:space="0" w:color="auto"/>
            </w:tcBorders>
            <w:noWrap/>
            <w:vAlign w:val="center"/>
            <w:hideMark/>
          </w:tcPr>
          <w:p w14:paraId="7BEADD42" w14:textId="77777777" w:rsidR="00637365" w:rsidRPr="00BF04E7" w:rsidRDefault="00637365" w:rsidP="007F176F">
            <w:pPr>
              <w:jc w:val="center"/>
              <w:rPr>
                <w:rFonts w:ascii="Arial" w:hAnsi="Arial" w:cs="Arial"/>
                <w:color w:val="000000"/>
              </w:rPr>
            </w:pPr>
            <w:r w:rsidRPr="00BF04E7">
              <w:rPr>
                <w:rFonts w:ascii="Arial" w:hAnsi="Arial" w:cs="Arial"/>
                <w:color w:val="000000"/>
              </w:rPr>
              <w:t>0,505</w:t>
            </w:r>
          </w:p>
        </w:tc>
        <w:tc>
          <w:tcPr>
            <w:tcW w:w="690" w:type="pct"/>
            <w:tcBorders>
              <w:top w:val="single" w:sz="12" w:space="0" w:color="auto"/>
            </w:tcBorders>
            <w:noWrap/>
            <w:vAlign w:val="center"/>
            <w:hideMark/>
          </w:tcPr>
          <w:p w14:paraId="7C37230F" w14:textId="77777777" w:rsidR="00637365" w:rsidRPr="00BF04E7" w:rsidRDefault="00637365" w:rsidP="007F176F">
            <w:pPr>
              <w:jc w:val="center"/>
              <w:rPr>
                <w:rFonts w:ascii="Arial" w:hAnsi="Arial" w:cs="Arial"/>
                <w:color w:val="000000"/>
              </w:rPr>
            </w:pPr>
            <w:r w:rsidRPr="00BF04E7">
              <w:rPr>
                <w:rFonts w:ascii="Arial" w:hAnsi="Arial" w:cs="Arial"/>
                <w:color w:val="000000"/>
              </w:rPr>
              <w:t>0,384</w:t>
            </w:r>
          </w:p>
        </w:tc>
        <w:tc>
          <w:tcPr>
            <w:tcW w:w="600" w:type="pct"/>
            <w:tcBorders>
              <w:top w:val="single" w:sz="12" w:space="0" w:color="auto"/>
            </w:tcBorders>
            <w:noWrap/>
            <w:vAlign w:val="center"/>
            <w:hideMark/>
          </w:tcPr>
          <w:p w14:paraId="6A4900D7" w14:textId="77777777" w:rsidR="00637365" w:rsidRPr="00BF04E7" w:rsidRDefault="00637365" w:rsidP="007F176F">
            <w:pPr>
              <w:jc w:val="center"/>
              <w:rPr>
                <w:rFonts w:ascii="Arial" w:hAnsi="Arial" w:cs="Arial"/>
                <w:color w:val="000000"/>
              </w:rPr>
            </w:pPr>
            <w:r w:rsidRPr="00BF04E7">
              <w:rPr>
                <w:rFonts w:ascii="Arial" w:hAnsi="Arial" w:cs="Arial"/>
                <w:color w:val="000000"/>
              </w:rPr>
              <w:t>7,67</w:t>
            </w:r>
          </w:p>
        </w:tc>
        <w:tc>
          <w:tcPr>
            <w:tcW w:w="690" w:type="pct"/>
            <w:tcBorders>
              <w:top w:val="single" w:sz="12" w:space="0" w:color="auto"/>
            </w:tcBorders>
            <w:noWrap/>
            <w:vAlign w:val="center"/>
            <w:hideMark/>
          </w:tcPr>
          <w:p w14:paraId="0DB224D4" w14:textId="77777777" w:rsidR="00637365" w:rsidRPr="00BF04E7" w:rsidRDefault="00637365" w:rsidP="007F176F">
            <w:pPr>
              <w:jc w:val="center"/>
              <w:rPr>
                <w:rFonts w:ascii="Arial" w:hAnsi="Arial" w:cs="Arial"/>
                <w:color w:val="000000"/>
              </w:rPr>
            </w:pPr>
            <w:r w:rsidRPr="00BF04E7">
              <w:rPr>
                <w:rFonts w:ascii="Arial" w:hAnsi="Arial" w:cs="Arial"/>
                <w:color w:val="000000"/>
              </w:rPr>
              <w:t>5,83</w:t>
            </w:r>
          </w:p>
        </w:tc>
        <w:tc>
          <w:tcPr>
            <w:tcW w:w="600" w:type="pct"/>
            <w:tcBorders>
              <w:top w:val="single" w:sz="12" w:space="0" w:color="auto"/>
            </w:tcBorders>
            <w:noWrap/>
            <w:vAlign w:val="center"/>
            <w:hideMark/>
          </w:tcPr>
          <w:p w14:paraId="063BA200" w14:textId="77777777" w:rsidR="00637365" w:rsidRPr="00BF04E7" w:rsidRDefault="00637365" w:rsidP="007F176F">
            <w:pPr>
              <w:jc w:val="center"/>
              <w:rPr>
                <w:rFonts w:ascii="Arial" w:hAnsi="Arial" w:cs="Arial"/>
                <w:color w:val="000000"/>
              </w:rPr>
            </w:pPr>
            <w:r w:rsidRPr="00BF04E7">
              <w:rPr>
                <w:rFonts w:ascii="Arial" w:hAnsi="Arial" w:cs="Arial"/>
                <w:color w:val="000000"/>
              </w:rPr>
              <w:t>0,034</w:t>
            </w:r>
          </w:p>
        </w:tc>
        <w:tc>
          <w:tcPr>
            <w:tcW w:w="688" w:type="pct"/>
            <w:tcBorders>
              <w:top w:val="single" w:sz="12" w:space="0" w:color="auto"/>
            </w:tcBorders>
            <w:noWrap/>
            <w:vAlign w:val="center"/>
            <w:hideMark/>
          </w:tcPr>
          <w:p w14:paraId="38C28A54" w14:textId="77777777" w:rsidR="00637365" w:rsidRPr="00BF04E7" w:rsidRDefault="00637365" w:rsidP="007F176F">
            <w:pPr>
              <w:jc w:val="center"/>
              <w:rPr>
                <w:rFonts w:ascii="Arial" w:hAnsi="Arial" w:cs="Arial"/>
                <w:color w:val="000000"/>
              </w:rPr>
            </w:pPr>
            <w:r w:rsidRPr="00BF04E7">
              <w:rPr>
                <w:rFonts w:ascii="Arial" w:hAnsi="Arial" w:cs="Arial"/>
                <w:color w:val="000000"/>
              </w:rPr>
              <w:t>0,017</w:t>
            </w:r>
          </w:p>
        </w:tc>
      </w:tr>
      <w:tr w:rsidR="00637365" w:rsidRPr="00BF04E7" w14:paraId="60CC4D48" w14:textId="77777777" w:rsidTr="00BF04E7">
        <w:trPr>
          <w:trHeight w:val="300"/>
        </w:trPr>
        <w:tc>
          <w:tcPr>
            <w:tcW w:w="1134" w:type="pct"/>
            <w:noWrap/>
            <w:vAlign w:val="center"/>
            <w:hideMark/>
          </w:tcPr>
          <w:p w14:paraId="61815441" w14:textId="77777777" w:rsidR="00637365" w:rsidRPr="00BF04E7" w:rsidRDefault="00637365" w:rsidP="007F176F">
            <w:pPr>
              <w:jc w:val="center"/>
              <w:rPr>
                <w:rFonts w:ascii="Arial" w:hAnsi="Arial" w:cs="Arial"/>
                <w:color w:val="000000"/>
              </w:rPr>
            </w:pPr>
            <w:r w:rsidRPr="00BF04E7">
              <w:rPr>
                <w:rFonts w:ascii="Arial" w:hAnsi="Arial" w:cs="Arial"/>
                <w:color w:val="000000"/>
              </w:rPr>
              <w:t>0.5</w:t>
            </w:r>
          </w:p>
        </w:tc>
        <w:tc>
          <w:tcPr>
            <w:tcW w:w="600" w:type="pct"/>
            <w:noWrap/>
            <w:vAlign w:val="center"/>
            <w:hideMark/>
          </w:tcPr>
          <w:p w14:paraId="398A2678" w14:textId="77777777" w:rsidR="00637365" w:rsidRPr="00BF04E7" w:rsidRDefault="00637365" w:rsidP="007F176F">
            <w:pPr>
              <w:jc w:val="center"/>
              <w:rPr>
                <w:rFonts w:ascii="Arial" w:hAnsi="Arial" w:cs="Arial"/>
                <w:color w:val="000000"/>
              </w:rPr>
            </w:pPr>
            <w:r w:rsidRPr="00BF04E7">
              <w:rPr>
                <w:rFonts w:ascii="Arial" w:hAnsi="Arial" w:cs="Arial"/>
                <w:color w:val="000000"/>
              </w:rPr>
              <w:t>0,523</w:t>
            </w:r>
          </w:p>
        </w:tc>
        <w:tc>
          <w:tcPr>
            <w:tcW w:w="690" w:type="pct"/>
            <w:noWrap/>
            <w:vAlign w:val="center"/>
            <w:hideMark/>
          </w:tcPr>
          <w:p w14:paraId="03F28FCE" w14:textId="77777777" w:rsidR="00637365" w:rsidRPr="00BF04E7" w:rsidRDefault="00637365" w:rsidP="007F176F">
            <w:pPr>
              <w:jc w:val="center"/>
              <w:rPr>
                <w:rFonts w:ascii="Arial" w:hAnsi="Arial" w:cs="Arial"/>
                <w:color w:val="000000"/>
              </w:rPr>
            </w:pPr>
            <w:r w:rsidRPr="00BF04E7">
              <w:rPr>
                <w:rFonts w:ascii="Arial" w:hAnsi="Arial" w:cs="Arial"/>
                <w:color w:val="000000"/>
              </w:rPr>
              <w:t>0,400</w:t>
            </w:r>
          </w:p>
        </w:tc>
        <w:tc>
          <w:tcPr>
            <w:tcW w:w="600" w:type="pct"/>
            <w:noWrap/>
            <w:vAlign w:val="center"/>
            <w:hideMark/>
          </w:tcPr>
          <w:p w14:paraId="0B838CE2" w14:textId="77777777" w:rsidR="00637365" w:rsidRPr="00BF04E7" w:rsidRDefault="00637365" w:rsidP="007F176F">
            <w:pPr>
              <w:jc w:val="center"/>
              <w:rPr>
                <w:rFonts w:ascii="Arial" w:hAnsi="Arial" w:cs="Arial"/>
                <w:color w:val="000000"/>
              </w:rPr>
            </w:pPr>
            <w:r w:rsidRPr="00BF04E7">
              <w:rPr>
                <w:rFonts w:ascii="Arial" w:hAnsi="Arial" w:cs="Arial"/>
                <w:color w:val="000000"/>
              </w:rPr>
              <w:t>6,83</w:t>
            </w:r>
          </w:p>
        </w:tc>
        <w:tc>
          <w:tcPr>
            <w:tcW w:w="690" w:type="pct"/>
            <w:noWrap/>
            <w:vAlign w:val="center"/>
            <w:hideMark/>
          </w:tcPr>
          <w:p w14:paraId="50C072AC" w14:textId="77777777" w:rsidR="00637365" w:rsidRPr="00BF04E7" w:rsidRDefault="00637365" w:rsidP="007F176F">
            <w:pPr>
              <w:jc w:val="center"/>
              <w:rPr>
                <w:rFonts w:ascii="Arial" w:hAnsi="Arial" w:cs="Arial"/>
                <w:color w:val="000000"/>
              </w:rPr>
            </w:pPr>
            <w:r w:rsidRPr="00BF04E7">
              <w:rPr>
                <w:rFonts w:ascii="Arial" w:hAnsi="Arial" w:cs="Arial"/>
                <w:color w:val="000000"/>
              </w:rPr>
              <w:t>7,17</w:t>
            </w:r>
          </w:p>
        </w:tc>
        <w:tc>
          <w:tcPr>
            <w:tcW w:w="600" w:type="pct"/>
            <w:noWrap/>
            <w:vAlign w:val="center"/>
            <w:hideMark/>
          </w:tcPr>
          <w:p w14:paraId="01FC0FA6" w14:textId="77777777" w:rsidR="00637365" w:rsidRPr="00BF04E7" w:rsidRDefault="00637365" w:rsidP="007F176F">
            <w:pPr>
              <w:jc w:val="center"/>
              <w:rPr>
                <w:rFonts w:ascii="Arial" w:hAnsi="Arial" w:cs="Arial"/>
                <w:color w:val="000000"/>
              </w:rPr>
            </w:pPr>
            <w:r w:rsidRPr="00BF04E7">
              <w:rPr>
                <w:rFonts w:ascii="Arial" w:hAnsi="Arial" w:cs="Arial"/>
                <w:color w:val="000000"/>
              </w:rPr>
              <w:t>0,055</w:t>
            </w:r>
          </w:p>
        </w:tc>
        <w:tc>
          <w:tcPr>
            <w:tcW w:w="688" w:type="pct"/>
            <w:noWrap/>
            <w:vAlign w:val="center"/>
            <w:hideMark/>
          </w:tcPr>
          <w:p w14:paraId="3DF0FAA4" w14:textId="77777777" w:rsidR="00637365" w:rsidRPr="00BF04E7" w:rsidRDefault="00637365" w:rsidP="007F176F">
            <w:pPr>
              <w:jc w:val="center"/>
              <w:rPr>
                <w:rFonts w:ascii="Arial" w:hAnsi="Arial" w:cs="Arial"/>
                <w:color w:val="000000"/>
              </w:rPr>
            </w:pPr>
            <w:r w:rsidRPr="00BF04E7">
              <w:rPr>
                <w:rFonts w:ascii="Arial" w:hAnsi="Arial" w:cs="Arial"/>
                <w:color w:val="000000"/>
              </w:rPr>
              <w:t>0,015</w:t>
            </w:r>
          </w:p>
        </w:tc>
      </w:tr>
      <w:tr w:rsidR="00637365" w:rsidRPr="00BF04E7" w14:paraId="44225EB5" w14:textId="77777777" w:rsidTr="00BF04E7">
        <w:trPr>
          <w:trHeight w:val="300"/>
        </w:trPr>
        <w:tc>
          <w:tcPr>
            <w:tcW w:w="1134" w:type="pct"/>
            <w:noWrap/>
            <w:vAlign w:val="center"/>
            <w:hideMark/>
          </w:tcPr>
          <w:p w14:paraId="18BD9CA0" w14:textId="77777777" w:rsidR="00637365" w:rsidRPr="00BF04E7" w:rsidRDefault="00637365" w:rsidP="007F176F">
            <w:pPr>
              <w:jc w:val="center"/>
              <w:rPr>
                <w:rFonts w:ascii="Arial" w:hAnsi="Arial" w:cs="Arial"/>
                <w:color w:val="000000"/>
              </w:rPr>
            </w:pPr>
            <w:r w:rsidRPr="00BF04E7">
              <w:rPr>
                <w:rFonts w:ascii="Arial" w:hAnsi="Arial" w:cs="Arial"/>
                <w:color w:val="000000"/>
              </w:rPr>
              <w:t>1</w:t>
            </w:r>
          </w:p>
        </w:tc>
        <w:tc>
          <w:tcPr>
            <w:tcW w:w="600" w:type="pct"/>
            <w:noWrap/>
            <w:vAlign w:val="center"/>
            <w:hideMark/>
          </w:tcPr>
          <w:p w14:paraId="3D2E54F5" w14:textId="77777777" w:rsidR="00637365" w:rsidRPr="00BF04E7" w:rsidRDefault="00637365" w:rsidP="007F176F">
            <w:pPr>
              <w:jc w:val="center"/>
              <w:rPr>
                <w:rFonts w:ascii="Arial" w:hAnsi="Arial" w:cs="Arial"/>
                <w:color w:val="000000"/>
              </w:rPr>
            </w:pPr>
            <w:r w:rsidRPr="00BF04E7">
              <w:rPr>
                <w:rFonts w:ascii="Arial" w:hAnsi="Arial" w:cs="Arial"/>
                <w:color w:val="000000"/>
              </w:rPr>
              <w:t>0,557</w:t>
            </w:r>
          </w:p>
        </w:tc>
        <w:tc>
          <w:tcPr>
            <w:tcW w:w="690" w:type="pct"/>
            <w:noWrap/>
            <w:vAlign w:val="center"/>
            <w:hideMark/>
          </w:tcPr>
          <w:p w14:paraId="357E02A3" w14:textId="77777777" w:rsidR="00637365" w:rsidRPr="00BF04E7" w:rsidRDefault="00637365" w:rsidP="007F176F">
            <w:pPr>
              <w:jc w:val="center"/>
              <w:rPr>
                <w:rFonts w:ascii="Arial" w:hAnsi="Arial" w:cs="Arial"/>
                <w:color w:val="000000"/>
              </w:rPr>
            </w:pPr>
            <w:r w:rsidRPr="00BF04E7">
              <w:rPr>
                <w:rFonts w:ascii="Arial" w:hAnsi="Arial" w:cs="Arial"/>
                <w:color w:val="000000"/>
              </w:rPr>
              <w:t>0,377</w:t>
            </w:r>
          </w:p>
        </w:tc>
        <w:tc>
          <w:tcPr>
            <w:tcW w:w="600" w:type="pct"/>
            <w:noWrap/>
            <w:vAlign w:val="center"/>
            <w:hideMark/>
          </w:tcPr>
          <w:p w14:paraId="3E37F391" w14:textId="77777777" w:rsidR="00637365" w:rsidRPr="00BF04E7" w:rsidRDefault="00637365" w:rsidP="007F176F">
            <w:pPr>
              <w:jc w:val="center"/>
              <w:rPr>
                <w:rFonts w:ascii="Arial" w:hAnsi="Arial" w:cs="Arial"/>
                <w:color w:val="000000"/>
              </w:rPr>
            </w:pPr>
            <w:r w:rsidRPr="00BF04E7">
              <w:rPr>
                <w:rFonts w:ascii="Arial" w:hAnsi="Arial" w:cs="Arial"/>
                <w:color w:val="000000"/>
              </w:rPr>
              <w:t>7,37</w:t>
            </w:r>
          </w:p>
        </w:tc>
        <w:tc>
          <w:tcPr>
            <w:tcW w:w="690" w:type="pct"/>
            <w:noWrap/>
            <w:vAlign w:val="center"/>
            <w:hideMark/>
          </w:tcPr>
          <w:p w14:paraId="0387DF0A" w14:textId="77777777" w:rsidR="00637365" w:rsidRPr="00BF04E7" w:rsidRDefault="00637365" w:rsidP="007F176F">
            <w:pPr>
              <w:jc w:val="center"/>
              <w:rPr>
                <w:rFonts w:ascii="Arial" w:hAnsi="Arial" w:cs="Arial"/>
                <w:color w:val="000000"/>
              </w:rPr>
            </w:pPr>
            <w:r w:rsidRPr="00BF04E7">
              <w:rPr>
                <w:rFonts w:ascii="Arial" w:hAnsi="Arial" w:cs="Arial"/>
                <w:color w:val="000000"/>
              </w:rPr>
              <w:t>6,90</w:t>
            </w:r>
          </w:p>
        </w:tc>
        <w:tc>
          <w:tcPr>
            <w:tcW w:w="600" w:type="pct"/>
            <w:noWrap/>
            <w:vAlign w:val="center"/>
            <w:hideMark/>
          </w:tcPr>
          <w:p w14:paraId="0E84428D" w14:textId="77777777" w:rsidR="00637365" w:rsidRPr="00BF04E7" w:rsidRDefault="00637365" w:rsidP="007F176F">
            <w:pPr>
              <w:jc w:val="center"/>
              <w:rPr>
                <w:rFonts w:ascii="Arial" w:hAnsi="Arial" w:cs="Arial"/>
                <w:color w:val="000000"/>
              </w:rPr>
            </w:pPr>
            <w:r w:rsidRPr="00BF04E7">
              <w:rPr>
                <w:rFonts w:ascii="Arial" w:hAnsi="Arial" w:cs="Arial"/>
                <w:color w:val="000000"/>
              </w:rPr>
              <w:t>0,051</w:t>
            </w:r>
          </w:p>
        </w:tc>
        <w:tc>
          <w:tcPr>
            <w:tcW w:w="688" w:type="pct"/>
            <w:noWrap/>
            <w:vAlign w:val="center"/>
            <w:hideMark/>
          </w:tcPr>
          <w:p w14:paraId="02F9CC61" w14:textId="77777777" w:rsidR="00637365" w:rsidRPr="00BF04E7" w:rsidRDefault="00637365" w:rsidP="007F176F">
            <w:pPr>
              <w:jc w:val="center"/>
              <w:rPr>
                <w:rFonts w:ascii="Arial" w:hAnsi="Arial" w:cs="Arial"/>
                <w:color w:val="000000"/>
              </w:rPr>
            </w:pPr>
            <w:r w:rsidRPr="00BF04E7">
              <w:rPr>
                <w:rFonts w:ascii="Arial" w:hAnsi="Arial" w:cs="Arial"/>
                <w:color w:val="000000"/>
              </w:rPr>
              <w:t>0,030</w:t>
            </w:r>
          </w:p>
        </w:tc>
      </w:tr>
      <w:tr w:rsidR="00637365" w:rsidRPr="00BF04E7" w14:paraId="684EB7A6" w14:textId="77777777" w:rsidTr="00BF04E7">
        <w:trPr>
          <w:trHeight w:val="300"/>
        </w:trPr>
        <w:tc>
          <w:tcPr>
            <w:tcW w:w="1134" w:type="pct"/>
            <w:noWrap/>
            <w:vAlign w:val="center"/>
            <w:hideMark/>
          </w:tcPr>
          <w:p w14:paraId="75982BCE" w14:textId="77777777" w:rsidR="00637365" w:rsidRPr="00BF04E7" w:rsidRDefault="00637365" w:rsidP="007F176F">
            <w:pPr>
              <w:jc w:val="center"/>
              <w:rPr>
                <w:rFonts w:ascii="Arial" w:hAnsi="Arial" w:cs="Arial"/>
                <w:color w:val="000000"/>
              </w:rPr>
            </w:pPr>
            <w:r w:rsidRPr="00BF04E7">
              <w:rPr>
                <w:rFonts w:ascii="Arial" w:hAnsi="Arial" w:cs="Arial"/>
                <w:color w:val="000000"/>
              </w:rPr>
              <w:t>2</w:t>
            </w:r>
          </w:p>
        </w:tc>
        <w:tc>
          <w:tcPr>
            <w:tcW w:w="600" w:type="pct"/>
            <w:noWrap/>
            <w:vAlign w:val="center"/>
            <w:hideMark/>
          </w:tcPr>
          <w:p w14:paraId="69D57DD0" w14:textId="77777777" w:rsidR="00637365" w:rsidRPr="00BF04E7" w:rsidRDefault="00637365" w:rsidP="007F176F">
            <w:pPr>
              <w:jc w:val="center"/>
              <w:rPr>
                <w:rFonts w:ascii="Arial" w:hAnsi="Arial" w:cs="Arial"/>
                <w:color w:val="000000"/>
              </w:rPr>
            </w:pPr>
            <w:r w:rsidRPr="00BF04E7">
              <w:rPr>
                <w:rFonts w:ascii="Arial" w:hAnsi="Arial" w:cs="Arial"/>
                <w:color w:val="000000"/>
              </w:rPr>
              <w:t>0,552</w:t>
            </w:r>
          </w:p>
        </w:tc>
        <w:tc>
          <w:tcPr>
            <w:tcW w:w="690" w:type="pct"/>
            <w:noWrap/>
            <w:vAlign w:val="center"/>
            <w:hideMark/>
          </w:tcPr>
          <w:p w14:paraId="3E4877B1" w14:textId="77777777" w:rsidR="00637365" w:rsidRPr="00BF04E7" w:rsidRDefault="00637365" w:rsidP="007F176F">
            <w:pPr>
              <w:jc w:val="center"/>
              <w:rPr>
                <w:rFonts w:ascii="Arial" w:hAnsi="Arial" w:cs="Arial"/>
                <w:color w:val="000000"/>
              </w:rPr>
            </w:pPr>
            <w:r w:rsidRPr="00BF04E7">
              <w:rPr>
                <w:rFonts w:ascii="Arial" w:hAnsi="Arial" w:cs="Arial"/>
                <w:color w:val="000000"/>
              </w:rPr>
              <w:t>0,383</w:t>
            </w:r>
          </w:p>
        </w:tc>
        <w:tc>
          <w:tcPr>
            <w:tcW w:w="600" w:type="pct"/>
            <w:noWrap/>
            <w:vAlign w:val="center"/>
            <w:hideMark/>
          </w:tcPr>
          <w:p w14:paraId="7D24A70D" w14:textId="77777777" w:rsidR="00637365" w:rsidRPr="00BF04E7" w:rsidRDefault="00637365" w:rsidP="007F176F">
            <w:pPr>
              <w:jc w:val="center"/>
              <w:rPr>
                <w:rFonts w:ascii="Arial" w:hAnsi="Arial" w:cs="Arial"/>
                <w:color w:val="000000"/>
              </w:rPr>
            </w:pPr>
            <w:r w:rsidRPr="00BF04E7">
              <w:rPr>
                <w:rFonts w:ascii="Arial" w:hAnsi="Arial" w:cs="Arial"/>
                <w:color w:val="000000"/>
              </w:rPr>
              <w:t>7,03</w:t>
            </w:r>
          </w:p>
        </w:tc>
        <w:tc>
          <w:tcPr>
            <w:tcW w:w="690" w:type="pct"/>
            <w:noWrap/>
            <w:vAlign w:val="center"/>
            <w:hideMark/>
          </w:tcPr>
          <w:p w14:paraId="02299131" w14:textId="77777777" w:rsidR="00637365" w:rsidRPr="00BF04E7" w:rsidRDefault="00637365" w:rsidP="007F176F">
            <w:pPr>
              <w:jc w:val="center"/>
              <w:rPr>
                <w:rFonts w:ascii="Arial" w:hAnsi="Arial" w:cs="Arial"/>
                <w:color w:val="000000"/>
              </w:rPr>
            </w:pPr>
            <w:r w:rsidRPr="00BF04E7">
              <w:rPr>
                <w:rFonts w:ascii="Arial" w:hAnsi="Arial" w:cs="Arial"/>
                <w:color w:val="000000"/>
              </w:rPr>
              <w:t>5,87</w:t>
            </w:r>
          </w:p>
        </w:tc>
        <w:tc>
          <w:tcPr>
            <w:tcW w:w="600" w:type="pct"/>
            <w:noWrap/>
            <w:vAlign w:val="center"/>
            <w:hideMark/>
          </w:tcPr>
          <w:p w14:paraId="0FB3B4D5" w14:textId="77777777" w:rsidR="00637365" w:rsidRPr="00BF04E7" w:rsidRDefault="00637365" w:rsidP="007F176F">
            <w:pPr>
              <w:jc w:val="center"/>
              <w:rPr>
                <w:rFonts w:ascii="Arial" w:hAnsi="Arial" w:cs="Arial"/>
                <w:color w:val="000000"/>
              </w:rPr>
            </w:pPr>
            <w:r w:rsidRPr="00BF04E7">
              <w:rPr>
                <w:rFonts w:ascii="Arial" w:hAnsi="Arial" w:cs="Arial"/>
                <w:color w:val="000000"/>
              </w:rPr>
              <w:t>0,052</w:t>
            </w:r>
          </w:p>
        </w:tc>
        <w:tc>
          <w:tcPr>
            <w:tcW w:w="688" w:type="pct"/>
            <w:noWrap/>
            <w:vAlign w:val="center"/>
            <w:hideMark/>
          </w:tcPr>
          <w:p w14:paraId="7C2D136A" w14:textId="77777777" w:rsidR="00637365" w:rsidRPr="00BF04E7" w:rsidRDefault="00637365" w:rsidP="007F176F">
            <w:pPr>
              <w:jc w:val="center"/>
              <w:rPr>
                <w:rFonts w:ascii="Arial" w:hAnsi="Arial" w:cs="Arial"/>
                <w:color w:val="000000"/>
              </w:rPr>
            </w:pPr>
            <w:r w:rsidRPr="00BF04E7">
              <w:rPr>
                <w:rFonts w:ascii="Arial" w:hAnsi="Arial" w:cs="Arial"/>
                <w:color w:val="000000"/>
              </w:rPr>
              <w:t>0,019</w:t>
            </w:r>
          </w:p>
        </w:tc>
      </w:tr>
      <w:tr w:rsidR="00637365" w:rsidRPr="00BF04E7" w14:paraId="52BFF432" w14:textId="77777777" w:rsidTr="00BF04E7">
        <w:trPr>
          <w:trHeight w:val="300"/>
        </w:trPr>
        <w:tc>
          <w:tcPr>
            <w:tcW w:w="1134" w:type="pct"/>
            <w:noWrap/>
            <w:vAlign w:val="center"/>
            <w:hideMark/>
          </w:tcPr>
          <w:p w14:paraId="2EE85C1C" w14:textId="77777777" w:rsidR="00637365" w:rsidRPr="00BF04E7" w:rsidRDefault="00637365" w:rsidP="007F176F">
            <w:pPr>
              <w:jc w:val="center"/>
              <w:rPr>
                <w:rFonts w:ascii="Arial" w:hAnsi="Arial" w:cs="Arial"/>
                <w:color w:val="000000"/>
              </w:rPr>
            </w:pPr>
            <w:r w:rsidRPr="00BF04E7">
              <w:rPr>
                <w:rFonts w:ascii="Arial" w:hAnsi="Arial" w:cs="Arial"/>
                <w:color w:val="000000"/>
              </w:rPr>
              <w:t>5</w:t>
            </w:r>
          </w:p>
        </w:tc>
        <w:tc>
          <w:tcPr>
            <w:tcW w:w="600" w:type="pct"/>
            <w:noWrap/>
            <w:vAlign w:val="center"/>
            <w:hideMark/>
          </w:tcPr>
          <w:p w14:paraId="23225ADE" w14:textId="77777777" w:rsidR="00637365" w:rsidRPr="00BF04E7" w:rsidRDefault="00637365" w:rsidP="007F176F">
            <w:pPr>
              <w:jc w:val="center"/>
              <w:rPr>
                <w:rFonts w:ascii="Arial" w:hAnsi="Arial" w:cs="Arial"/>
                <w:color w:val="000000"/>
              </w:rPr>
            </w:pPr>
            <w:r w:rsidRPr="00BF04E7">
              <w:rPr>
                <w:rFonts w:ascii="Arial" w:hAnsi="Arial" w:cs="Arial"/>
                <w:color w:val="000000"/>
              </w:rPr>
              <w:t>0,515</w:t>
            </w:r>
          </w:p>
        </w:tc>
        <w:tc>
          <w:tcPr>
            <w:tcW w:w="690" w:type="pct"/>
            <w:noWrap/>
            <w:vAlign w:val="center"/>
            <w:hideMark/>
          </w:tcPr>
          <w:p w14:paraId="7804AF11" w14:textId="77777777" w:rsidR="00637365" w:rsidRPr="00BF04E7" w:rsidRDefault="00637365" w:rsidP="007F176F">
            <w:pPr>
              <w:jc w:val="center"/>
              <w:rPr>
                <w:rFonts w:ascii="Arial" w:hAnsi="Arial" w:cs="Arial"/>
                <w:color w:val="000000"/>
              </w:rPr>
            </w:pPr>
            <w:r w:rsidRPr="00BF04E7">
              <w:rPr>
                <w:rFonts w:ascii="Arial" w:hAnsi="Arial" w:cs="Arial"/>
                <w:color w:val="000000"/>
              </w:rPr>
              <w:t>0,386</w:t>
            </w:r>
          </w:p>
        </w:tc>
        <w:tc>
          <w:tcPr>
            <w:tcW w:w="600" w:type="pct"/>
            <w:noWrap/>
            <w:vAlign w:val="center"/>
            <w:hideMark/>
          </w:tcPr>
          <w:p w14:paraId="66BD16C2" w14:textId="77777777" w:rsidR="00637365" w:rsidRPr="00BF04E7" w:rsidRDefault="00637365" w:rsidP="007F176F">
            <w:pPr>
              <w:jc w:val="center"/>
              <w:rPr>
                <w:rFonts w:ascii="Arial" w:hAnsi="Arial" w:cs="Arial"/>
                <w:color w:val="000000"/>
              </w:rPr>
            </w:pPr>
            <w:r w:rsidRPr="00BF04E7">
              <w:rPr>
                <w:rFonts w:ascii="Arial" w:hAnsi="Arial" w:cs="Arial"/>
                <w:color w:val="000000"/>
              </w:rPr>
              <w:t>7,40</w:t>
            </w:r>
          </w:p>
        </w:tc>
        <w:tc>
          <w:tcPr>
            <w:tcW w:w="690" w:type="pct"/>
            <w:noWrap/>
            <w:vAlign w:val="center"/>
            <w:hideMark/>
          </w:tcPr>
          <w:p w14:paraId="7F1F0CC7" w14:textId="77777777" w:rsidR="00637365" w:rsidRPr="00BF04E7" w:rsidRDefault="00637365" w:rsidP="007F176F">
            <w:pPr>
              <w:jc w:val="center"/>
              <w:rPr>
                <w:rFonts w:ascii="Arial" w:hAnsi="Arial" w:cs="Arial"/>
                <w:color w:val="000000"/>
              </w:rPr>
            </w:pPr>
            <w:r w:rsidRPr="00BF04E7">
              <w:rPr>
                <w:rFonts w:ascii="Arial" w:hAnsi="Arial" w:cs="Arial"/>
                <w:color w:val="000000"/>
              </w:rPr>
              <w:t>6,67</w:t>
            </w:r>
          </w:p>
        </w:tc>
        <w:tc>
          <w:tcPr>
            <w:tcW w:w="600" w:type="pct"/>
            <w:noWrap/>
            <w:vAlign w:val="center"/>
            <w:hideMark/>
          </w:tcPr>
          <w:p w14:paraId="653A3B9B" w14:textId="77777777" w:rsidR="00637365" w:rsidRPr="00BF04E7" w:rsidRDefault="00637365" w:rsidP="007F176F">
            <w:pPr>
              <w:jc w:val="center"/>
              <w:rPr>
                <w:rFonts w:ascii="Arial" w:hAnsi="Arial" w:cs="Arial"/>
                <w:color w:val="000000"/>
              </w:rPr>
            </w:pPr>
            <w:r w:rsidRPr="00BF04E7">
              <w:rPr>
                <w:rFonts w:ascii="Arial" w:hAnsi="Arial" w:cs="Arial"/>
                <w:color w:val="000000"/>
              </w:rPr>
              <w:t>0,025</w:t>
            </w:r>
          </w:p>
        </w:tc>
        <w:tc>
          <w:tcPr>
            <w:tcW w:w="688" w:type="pct"/>
            <w:noWrap/>
            <w:vAlign w:val="center"/>
            <w:hideMark/>
          </w:tcPr>
          <w:p w14:paraId="060D9955" w14:textId="77777777" w:rsidR="00637365" w:rsidRPr="00BF04E7" w:rsidRDefault="00637365" w:rsidP="007F176F">
            <w:pPr>
              <w:jc w:val="center"/>
              <w:rPr>
                <w:rFonts w:ascii="Arial" w:hAnsi="Arial" w:cs="Arial"/>
                <w:color w:val="000000"/>
              </w:rPr>
            </w:pPr>
            <w:r w:rsidRPr="00BF04E7">
              <w:rPr>
                <w:rFonts w:ascii="Arial" w:hAnsi="Arial" w:cs="Arial"/>
                <w:color w:val="000000"/>
              </w:rPr>
              <w:t>0,010</w:t>
            </w:r>
          </w:p>
        </w:tc>
      </w:tr>
      <w:tr w:rsidR="00637365" w:rsidRPr="00BF04E7" w14:paraId="13DC5B08" w14:textId="77777777" w:rsidTr="00BF04E7">
        <w:trPr>
          <w:trHeight w:val="300"/>
        </w:trPr>
        <w:tc>
          <w:tcPr>
            <w:tcW w:w="1134" w:type="pct"/>
            <w:noWrap/>
            <w:vAlign w:val="center"/>
            <w:hideMark/>
          </w:tcPr>
          <w:p w14:paraId="29080359" w14:textId="77777777" w:rsidR="00637365" w:rsidRPr="00BF04E7" w:rsidRDefault="00637365" w:rsidP="007F176F">
            <w:pPr>
              <w:jc w:val="center"/>
              <w:rPr>
                <w:rFonts w:ascii="Arial" w:hAnsi="Arial" w:cs="Arial"/>
                <w:color w:val="000000"/>
              </w:rPr>
            </w:pPr>
            <w:r w:rsidRPr="00BF04E7">
              <w:rPr>
                <w:rFonts w:ascii="Arial" w:hAnsi="Arial" w:cs="Arial"/>
                <w:color w:val="000000"/>
              </w:rPr>
              <w:t>15</w:t>
            </w:r>
          </w:p>
        </w:tc>
        <w:tc>
          <w:tcPr>
            <w:tcW w:w="600" w:type="pct"/>
            <w:noWrap/>
            <w:vAlign w:val="center"/>
            <w:hideMark/>
          </w:tcPr>
          <w:p w14:paraId="3375375D" w14:textId="77777777" w:rsidR="00637365" w:rsidRPr="00BF04E7" w:rsidRDefault="00637365" w:rsidP="007F176F">
            <w:pPr>
              <w:jc w:val="center"/>
              <w:rPr>
                <w:rFonts w:ascii="Arial" w:hAnsi="Arial" w:cs="Arial"/>
                <w:color w:val="000000"/>
              </w:rPr>
            </w:pPr>
            <w:r w:rsidRPr="00BF04E7">
              <w:rPr>
                <w:rFonts w:ascii="Arial" w:hAnsi="Arial" w:cs="Arial"/>
                <w:color w:val="000000"/>
              </w:rPr>
              <w:t>0,535</w:t>
            </w:r>
          </w:p>
        </w:tc>
        <w:tc>
          <w:tcPr>
            <w:tcW w:w="690" w:type="pct"/>
            <w:noWrap/>
            <w:vAlign w:val="center"/>
            <w:hideMark/>
          </w:tcPr>
          <w:p w14:paraId="32D9AFF2" w14:textId="77777777" w:rsidR="00637365" w:rsidRPr="00BF04E7" w:rsidRDefault="00637365" w:rsidP="007F176F">
            <w:pPr>
              <w:jc w:val="center"/>
              <w:rPr>
                <w:rFonts w:ascii="Arial" w:hAnsi="Arial" w:cs="Arial"/>
                <w:color w:val="000000"/>
              </w:rPr>
            </w:pPr>
            <w:r w:rsidRPr="00BF04E7">
              <w:rPr>
                <w:rFonts w:ascii="Arial" w:hAnsi="Arial" w:cs="Arial"/>
                <w:color w:val="000000"/>
              </w:rPr>
              <w:t>0,415</w:t>
            </w:r>
          </w:p>
        </w:tc>
        <w:tc>
          <w:tcPr>
            <w:tcW w:w="600" w:type="pct"/>
            <w:noWrap/>
            <w:vAlign w:val="center"/>
            <w:hideMark/>
          </w:tcPr>
          <w:p w14:paraId="643FA37D" w14:textId="77777777" w:rsidR="00637365" w:rsidRPr="00BF04E7" w:rsidRDefault="00637365" w:rsidP="007F176F">
            <w:pPr>
              <w:jc w:val="center"/>
              <w:rPr>
                <w:rFonts w:ascii="Arial" w:hAnsi="Arial" w:cs="Arial"/>
                <w:color w:val="000000"/>
              </w:rPr>
            </w:pPr>
            <w:r w:rsidRPr="00BF04E7">
              <w:rPr>
                <w:rFonts w:ascii="Arial" w:hAnsi="Arial" w:cs="Arial"/>
                <w:color w:val="000000"/>
              </w:rPr>
              <w:t>7,10</w:t>
            </w:r>
          </w:p>
        </w:tc>
        <w:tc>
          <w:tcPr>
            <w:tcW w:w="690" w:type="pct"/>
            <w:noWrap/>
            <w:vAlign w:val="center"/>
            <w:hideMark/>
          </w:tcPr>
          <w:p w14:paraId="786FE4AC" w14:textId="77777777" w:rsidR="00637365" w:rsidRPr="00BF04E7" w:rsidRDefault="00637365" w:rsidP="007F176F">
            <w:pPr>
              <w:jc w:val="center"/>
              <w:rPr>
                <w:rFonts w:ascii="Arial" w:hAnsi="Arial" w:cs="Arial"/>
                <w:color w:val="000000"/>
              </w:rPr>
            </w:pPr>
            <w:r w:rsidRPr="00BF04E7">
              <w:rPr>
                <w:rFonts w:ascii="Arial" w:hAnsi="Arial" w:cs="Arial"/>
                <w:color w:val="000000"/>
              </w:rPr>
              <w:t>6,17</w:t>
            </w:r>
          </w:p>
        </w:tc>
        <w:tc>
          <w:tcPr>
            <w:tcW w:w="600" w:type="pct"/>
            <w:noWrap/>
            <w:vAlign w:val="center"/>
            <w:hideMark/>
          </w:tcPr>
          <w:p w14:paraId="77A49AC2" w14:textId="77777777" w:rsidR="00637365" w:rsidRPr="00BF04E7" w:rsidRDefault="00637365" w:rsidP="007F176F">
            <w:pPr>
              <w:jc w:val="center"/>
              <w:rPr>
                <w:rFonts w:ascii="Arial" w:hAnsi="Arial" w:cs="Arial"/>
                <w:color w:val="000000"/>
              </w:rPr>
            </w:pPr>
            <w:r w:rsidRPr="00BF04E7">
              <w:rPr>
                <w:rFonts w:ascii="Arial" w:hAnsi="Arial" w:cs="Arial"/>
                <w:color w:val="000000"/>
              </w:rPr>
              <w:t>0,045</w:t>
            </w:r>
          </w:p>
        </w:tc>
        <w:tc>
          <w:tcPr>
            <w:tcW w:w="688" w:type="pct"/>
            <w:noWrap/>
            <w:vAlign w:val="center"/>
            <w:hideMark/>
          </w:tcPr>
          <w:p w14:paraId="00D2037C" w14:textId="77777777" w:rsidR="00637365" w:rsidRPr="00BF04E7" w:rsidRDefault="00637365" w:rsidP="007F176F">
            <w:pPr>
              <w:jc w:val="center"/>
              <w:rPr>
                <w:rFonts w:ascii="Arial" w:hAnsi="Arial" w:cs="Arial"/>
                <w:color w:val="000000"/>
              </w:rPr>
            </w:pPr>
            <w:r w:rsidRPr="00BF04E7">
              <w:rPr>
                <w:rFonts w:ascii="Arial" w:hAnsi="Arial" w:cs="Arial"/>
                <w:color w:val="000000"/>
              </w:rPr>
              <w:t>0,010</w:t>
            </w:r>
          </w:p>
        </w:tc>
      </w:tr>
    </w:tbl>
    <w:p w14:paraId="1D35760F" w14:textId="77777777" w:rsidR="00637365" w:rsidRDefault="00637365" w:rsidP="00441B6F">
      <w:pPr>
        <w:pStyle w:val="Body"/>
        <w:spacing w:after="0"/>
        <w:rPr>
          <w:rFonts w:ascii="Arial" w:hAnsi="Arial" w:cs="Arial"/>
        </w:rPr>
      </w:pPr>
    </w:p>
    <w:p w14:paraId="36E770B1" w14:textId="321DA891" w:rsidR="00637365" w:rsidRPr="00F42E2A" w:rsidRDefault="00637365" w:rsidP="00637365">
      <w:pPr>
        <w:spacing w:before="240"/>
        <w:jc w:val="both"/>
        <w:rPr>
          <w:rFonts w:ascii="Times New Roman" w:hAnsi="Times New Roman"/>
          <w:sz w:val="24"/>
        </w:rPr>
      </w:pPr>
      <w:r w:rsidRPr="00F42E2A">
        <w:rPr>
          <w:rFonts w:ascii="Times New Roman" w:hAnsi="Times New Roman"/>
          <w:sz w:val="24"/>
        </w:rPr>
        <w:t xml:space="preserve">Furthermore, </w:t>
      </w:r>
      <w:r>
        <w:rPr>
          <w:rFonts w:ascii="Times New Roman" w:hAnsi="Times New Roman"/>
          <w:sz w:val="24"/>
        </w:rPr>
        <w:t xml:space="preserve">like </w:t>
      </w:r>
      <w:r w:rsidRPr="00694878">
        <w:rPr>
          <w:rFonts w:ascii="Times New Roman" w:hAnsi="Times New Roman"/>
          <w:sz w:val="24"/>
        </w:rPr>
        <w:t>figure 5 for</w:t>
      </w:r>
      <w:r>
        <w:rPr>
          <w:rFonts w:ascii="Times New Roman" w:hAnsi="Times New Roman"/>
          <w:sz w:val="24"/>
        </w:rPr>
        <w:t xml:space="preserve"> pH, le results </w:t>
      </w:r>
      <w:r w:rsidRPr="00F42E2A">
        <w:rPr>
          <w:rFonts w:ascii="Times New Roman" w:hAnsi="Times New Roman"/>
          <w:sz w:val="24"/>
        </w:rPr>
        <w:t>show that there is no strong correlation between carbon, nitrogen, Pa contents and sampling distances regardless of the sampling layer.</w:t>
      </w:r>
    </w:p>
    <w:p w14:paraId="00DF8933" w14:textId="77777777" w:rsidR="00637365" w:rsidRDefault="00637365" w:rsidP="00441B6F">
      <w:pPr>
        <w:pStyle w:val="Body"/>
        <w:spacing w:after="0"/>
        <w:rPr>
          <w:rFonts w:ascii="Arial" w:hAnsi="Arial" w:cs="Arial"/>
        </w:rPr>
      </w:pPr>
    </w:p>
    <w:p w14:paraId="103F72A4" w14:textId="551AA583" w:rsidR="00637365" w:rsidRDefault="0050791C" w:rsidP="00441B6F">
      <w:pPr>
        <w:pStyle w:val="Body"/>
        <w:spacing w:after="0"/>
        <w:rPr>
          <w:rFonts w:ascii="Arial" w:hAnsi="Arial" w:cs="Arial"/>
        </w:rPr>
      </w:pPr>
      <w:r w:rsidRPr="00706F97">
        <w:rPr>
          <w:noProof/>
          <w:sz w:val="36"/>
          <w:szCs w:val="36"/>
        </w:rPr>
        <w:object w:dxaOrig="9525" w:dyaOrig="6285" w14:anchorId="7AFCA301">
          <v:shape id="_x0000_i1027" type="#_x0000_t75" alt="" style="width:340.55pt;height:173.2pt;mso-width-percent:0;mso-height-percent:0;mso-width-percent:0;mso-height-percent:0" o:ole="">
            <v:imagedata r:id="rId20" o:title=""/>
          </v:shape>
          <o:OLEObject Type="Embed" ProgID="Excel.Sheet.8" ShapeID="_x0000_i1027" DrawAspect="Content" ObjectID="_1818922317" r:id="rId21"/>
        </w:object>
      </w:r>
    </w:p>
    <w:p w14:paraId="1062D0D6" w14:textId="77777777" w:rsidR="00A97EE6" w:rsidRPr="00A97EE6" w:rsidRDefault="00A97EE6" w:rsidP="00A97EE6">
      <w:pPr>
        <w:jc w:val="center"/>
        <w:rPr>
          <w:rFonts w:ascii="Arial" w:hAnsi="Arial" w:cs="Arial"/>
          <w:b/>
          <w:bCs/>
          <w:color w:val="000000" w:themeColor="text1"/>
        </w:rPr>
      </w:pPr>
      <w:bookmarkStart w:id="25" w:name="_Toc497410782"/>
      <w:bookmarkStart w:id="26" w:name="_Toc513534588"/>
      <w:bookmarkStart w:id="27" w:name="_Toc526158715"/>
      <w:r w:rsidRPr="00A97EE6">
        <w:rPr>
          <w:rFonts w:ascii="Arial" w:hAnsi="Arial" w:cs="Arial"/>
          <w:b/>
          <w:bCs/>
          <w:color w:val="000000" w:themeColor="text1"/>
        </w:rPr>
        <w:t xml:space="preserve">Figure </w:t>
      </w:r>
      <w:r w:rsidRPr="00A97EE6">
        <w:rPr>
          <w:rFonts w:ascii="Arial" w:hAnsi="Arial" w:cs="Arial"/>
          <w:b/>
          <w:bCs/>
          <w:color w:val="000000" w:themeColor="text1"/>
        </w:rPr>
        <w:fldChar w:fldCharType="begin"/>
      </w:r>
      <w:r w:rsidRPr="00A97EE6">
        <w:rPr>
          <w:rFonts w:ascii="Arial" w:hAnsi="Arial" w:cs="Arial"/>
          <w:b/>
          <w:bCs/>
          <w:color w:val="000000" w:themeColor="text1"/>
        </w:rPr>
        <w:instrText xml:space="preserve"> SEQ Figure \* ARABIC </w:instrText>
      </w:r>
      <w:r w:rsidRPr="00A97EE6">
        <w:rPr>
          <w:rFonts w:ascii="Arial" w:hAnsi="Arial" w:cs="Arial"/>
          <w:b/>
          <w:bCs/>
          <w:color w:val="000000" w:themeColor="text1"/>
        </w:rPr>
        <w:fldChar w:fldCharType="separate"/>
      </w:r>
      <w:r w:rsidRPr="00A97EE6">
        <w:rPr>
          <w:rFonts w:ascii="Arial" w:hAnsi="Arial" w:cs="Arial"/>
          <w:b/>
          <w:bCs/>
          <w:color w:val="000000" w:themeColor="text1"/>
        </w:rPr>
        <w:t>5</w:t>
      </w:r>
      <w:r w:rsidRPr="00A97EE6">
        <w:rPr>
          <w:rFonts w:ascii="Arial" w:hAnsi="Arial" w:cs="Arial"/>
          <w:b/>
          <w:bCs/>
          <w:color w:val="000000" w:themeColor="text1"/>
        </w:rPr>
        <w:fldChar w:fldCharType="end"/>
      </w:r>
      <w:r w:rsidRPr="00A97EE6">
        <w:rPr>
          <w:rFonts w:ascii="Arial" w:hAnsi="Arial" w:cs="Arial"/>
          <w:b/>
          <w:bCs/>
          <w:color w:val="000000" w:themeColor="text1"/>
        </w:rPr>
        <w:t xml:space="preserve">: Relationship between sampling distance and soil pH </w:t>
      </w:r>
      <w:bookmarkEnd w:id="25"/>
      <w:bookmarkEnd w:id="26"/>
      <w:bookmarkEnd w:id="27"/>
    </w:p>
    <w:p w14:paraId="46F90681" w14:textId="77777777" w:rsidR="00637365" w:rsidRDefault="00637365" w:rsidP="00441B6F">
      <w:pPr>
        <w:pStyle w:val="Body"/>
        <w:spacing w:after="0"/>
        <w:rPr>
          <w:rFonts w:ascii="Arial" w:hAnsi="Arial" w:cs="Arial"/>
        </w:rPr>
      </w:pPr>
    </w:p>
    <w:p w14:paraId="3BE406AC" w14:textId="1432D483" w:rsidR="00637365" w:rsidRDefault="00A1373F" w:rsidP="00441B6F">
      <w:pPr>
        <w:pStyle w:val="Body"/>
        <w:spacing w:after="0"/>
        <w:rPr>
          <w:rFonts w:ascii="Arial" w:hAnsi="Arial" w:cs="Arial"/>
        </w:rPr>
      </w:pPr>
      <w:r w:rsidRPr="00A1373F">
        <w:rPr>
          <w:rFonts w:ascii="Arial" w:hAnsi="Arial" w:cs="Arial"/>
        </w:rPr>
        <w:t>The biological parameters measured were basal respiration, microbial biomass, metabolic quotient, H' diversity and E equitability indices. These biological parameters show a large variability depending on the sampling distances. This is valid for all the measured parameters; if we consider, for example, microbial biomass, we note an increase from 0 to 1 m; then a decrease for 2 m and then a considerable increase for 5 m and a drastic decrease for 15 m. It is therefore not clearly established that there is a fertility gradient depending on the soil sampling distance.</w:t>
      </w:r>
    </w:p>
    <w:p w14:paraId="136B81BD" w14:textId="77777777" w:rsidR="00863BD3" w:rsidRPr="00FB3A86" w:rsidRDefault="00863BD3" w:rsidP="00441B6F">
      <w:pPr>
        <w:pStyle w:val="Body"/>
        <w:spacing w:after="0"/>
        <w:rPr>
          <w:rFonts w:ascii="Arial" w:hAnsi="Arial" w:cs="Arial"/>
        </w:rPr>
      </w:pPr>
    </w:p>
    <w:p w14:paraId="1B3F6EA3" w14:textId="0046BB62" w:rsidR="00A1373F" w:rsidRPr="00F023AE" w:rsidRDefault="00F023AE" w:rsidP="00F023AE">
      <w:pPr>
        <w:pStyle w:val="Head1"/>
        <w:spacing w:after="0"/>
        <w:jc w:val="both"/>
        <w:rPr>
          <w:rFonts w:eastAsia="Arial Unicode MS"/>
          <w:caps w:val="0"/>
        </w:rPr>
      </w:pPr>
      <w:r w:rsidRPr="00F023AE">
        <w:rPr>
          <w:rFonts w:ascii="Arial" w:hAnsi="Arial" w:cs="Arial"/>
          <w:caps w:val="0"/>
        </w:rPr>
        <w:t>3.</w:t>
      </w:r>
      <w:r>
        <w:rPr>
          <w:rFonts w:ascii="Arial" w:hAnsi="Arial" w:cs="Arial"/>
          <w:caps w:val="0"/>
        </w:rPr>
        <w:t>2</w:t>
      </w:r>
      <w:r w:rsidRPr="00F023AE">
        <w:rPr>
          <w:rFonts w:ascii="Arial" w:hAnsi="Arial" w:cs="Arial"/>
          <w:caps w:val="0"/>
        </w:rPr>
        <w:t xml:space="preserve"> </w:t>
      </w:r>
      <w:r>
        <w:rPr>
          <w:rFonts w:ascii="Arial" w:hAnsi="Arial" w:cs="Arial"/>
          <w:caps w:val="0"/>
        </w:rPr>
        <w:t>D</w:t>
      </w:r>
      <w:r w:rsidRPr="00F023AE">
        <w:rPr>
          <w:rFonts w:ascii="Arial" w:hAnsi="Arial" w:cs="Arial"/>
          <w:caps w:val="0"/>
        </w:rPr>
        <w:t>iscussion</w:t>
      </w:r>
    </w:p>
    <w:p w14:paraId="7C9AEF41" w14:textId="3814C8B3" w:rsidR="00A1373F" w:rsidRDefault="00A1373F" w:rsidP="00441B6F">
      <w:pPr>
        <w:pStyle w:val="Body"/>
        <w:spacing w:after="0"/>
        <w:rPr>
          <w:rFonts w:ascii="Arial" w:hAnsi="Arial" w:cs="Arial"/>
        </w:rPr>
      </w:pPr>
    </w:p>
    <w:p w14:paraId="2A717A3A" w14:textId="116DC2E9" w:rsidR="00E053D0" w:rsidRDefault="00F023AE" w:rsidP="00441B6F">
      <w:pPr>
        <w:pStyle w:val="Body"/>
        <w:spacing w:after="0"/>
        <w:rPr>
          <w:rFonts w:ascii="Arial" w:hAnsi="Arial" w:cs="Arial"/>
        </w:rPr>
      </w:pPr>
      <w:r w:rsidRPr="00F023AE">
        <w:rPr>
          <w:rFonts w:ascii="Arial" w:hAnsi="Arial" w:cs="Arial"/>
        </w:rPr>
        <w:t xml:space="preserve">Although very little work has been done exclusively on the effects of spacing between stone bunds, contrary to our expectations, we were unable to establish a soil fertility gradient from the top to the bottom of the plots in the direction of the slope, regardless of the parameters measured. This could be explained by the non-uniform distribution of organic matter inputs on these plots. </w:t>
      </w:r>
      <w:proofErr w:type="spellStart"/>
      <w:r w:rsidRPr="00F023AE">
        <w:rPr>
          <w:rFonts w:ascii="Arial" w:hAnsi="Arial" w:cs="Arial"/>
        </w:rPr>
        <w:t>Zougmoré</w:t>
      </w:r>
      <w:proofErr w:type="spellEnd"/>
      <w:r w:rsidRPr="00F023AE">
        <w:rPr>
          <w:rFonts w:ascii="Arial" w:hAnsi="Arial" w:cs="Arial"/>
        </w:rPr>
        <w:t xml:space="preserve"> et al. (2004) had effectively proven the role of organic matter in the </w:t>
      </w:r>
      <w:r w:rsidRPr="00F023AE">
        <w:rPr>
          <w:rFonts w:ascii="Arial" w:hAnsi="Arial" w:cs="Arial"/>
        </w:rPr>
        <w:lastRenderedPageBreak/>
        <w:t xml:space="preserve">success of CES-DRS techniques. Indeed, the mature compost is first deposited in piles in the fields before being spread and buried by surface plowing. This process may explain the differences observed within the same plot. This is all the </w:t>
      </w:r>
      <w:proofErr w:type="gramStart"/>
      <w:r w:rsidRPr="00F023AE">
        <w:rPr>
          <w:rFonts w:ascii="Arial" w:hAnsi="Arial" w:cs="Arial"/>
        </w:rPr>
        <w:t>more true</w:t>
      </w:r>
      <w:proofErr w:type="gramEnd"/>
      <w:r w:rsidRPr="00F023AE">
        <w:rPr>
          <w:rFonts w:ascii="Arial" w:hAnsi="Arial" w:cs="Arial"/>
        </w:rPr>
        <w:t xml:space="preserve"> since, at the scale of individual plots, we note differences between treatments P1, P2 and P3 for physical and chemical parameters. We note a clear improvement in the effect of inputs on plots P1 and P2 compared to plot P3, which is larger. We could therefore say that the smaller the plot, the more controlled the inputs are and the more the effects are felt on the soil characteristics. But the fact that there is no significant difference between P1 and P2 shows that there is a reasonable threshold (profitability threshold of approximately 18.5 meters) beyond which the induced effect is no longer significant. But for the biological parameters there is no difference between plots P1, P2 and P3. In other circumstances Ballo et al., (1994) already drew the attention of agronomists to the dimensions to be given to agricultural plots. Contrary to our results Kima et al., (2012) had shown that the positive effect induced by stone barriers is observable over a distance of 20 m. Similar studies have shown the beneficial effect of reducing the distance between stone bund lines on runoff and agricultural production (</w:t>
      </w:r>
      <w:proofErr w:type="spellStart"/>
      <w:r w:rsidRPr="00F023AE">
        <w:rPr>
          <w:rFonts w:ascii="Arial" w:hAnsi="Arial" w:cs="Arial"/>
        </w:rPr>
        <w:t>Zougmoré</w:t>
      </w:r>
      <w:proofErr w:type="spellEnd"/>
      <w:r w:rsidRPr="00F023AE">
        <w:rPr>
          <w:rFonts w:ascii="Arial" w:hAnsi="Arial" w:cs="Arial"/>
        </w:rPr>
        <w:t xml:space="preserve"> et al., 2000) and on the physical, chemical and biological characteristics of soils (</w:t>
      </w:r>
      <w:proofErr w:type="spellStart"/>
      <w:r w:rsidRPr="00F023AE">
        <w:rPr>
          <w:rFonts w:ascii="Arial" w:hAnsi="Arial" w:cs="Arial"/>
        </w:rPr>
        <w:t>Zougmoré</w:t>
      </w:r>
      <w:proofErr w:type="spellEnd"/>
      <w:r w:rsidRPr="00F023AE">
        <w:rPr>
          <w:rFonts w:ascii="Arial" w:hAnsi="Arial" w:cs="Arial"/>
        </w:rPr>
        <w:t xml:space="preserve"> et al., 2002). Like </w:t>
      </w:r>
      <w:proofErr w:type="spellStart"/>
      <w:r w:rsidRPr="00F023AE">
        <w:rPr>
          <w:rFonts w:ascii="Arial" w:hAnsi="Arial" w:cs="Arial"/>
        </w:rPr>
        <w:t>Zougmoré</w:t>
      </w:r>
      <w:proofErr w:type="spellEnd"/>
      <w:r w:rsidRPr="00F023AE">
        <w:rPr>
          <w:rFonts w:ascii="Arial" w:hAnsi="Arial" w:cs="Arial"/>
        </w:rPr>
        <w:t xml:space="preserve"> et al. (2000), Sanou in 2014 worked on spacings of 33 m and showed clear improvements in soil characteristics thanks to stone-row</w:t>
      </w:r>
      <w:r w:rsidR="00C36CA3">
        <w:rPr>
          <w:rFonts w:ascii="Arial" w:hAnsi="Arial" w:cs="Arial"/>
        </w:rPr>
        <w:t>s</w:t>
      </w:r>
      <w:r w:rsidRPr="00F023AE">
        <w:rPr>
          <w:rFonts w:ascii="Arial" w:hAnsi="Arial" w:cs="Arial"/>
        </w:rPr>
        <w:t>.</w:t>
      </w:r>
    </w:p>
    <w:p w14:paraId="3ADB1B0B" w14:textId="78EDC2B6" w:rsidR="00C36CA3" w:rsidRDefault="00C36CA3" w:rsidP="00441B6F">
      <w:pPr>
        <w:pStyle w:val="Body"/>
        <w:spacing w:after="0"/>
        <w:rPr>
          <w:rFonts w:ascii="Arial" w:hAnsi="Arial" w:cs="Arial"/>
        </w:rPr>
      </w:pPr>
      <w:r w:rsidRPr="00C36CA3">
        <w:rPr>
          <w:rFonts w:ascii="Arial" w:hAnsi="Arial" w:cs="Arial"/>
        </w:rPr>
        <w:t>As for the second part of this work, it should be noted that no prior work has been conducted on the subject. But like the internal work on the spacing of stone lines, it can be said that fertility is uniform in the space between the lines of stones.</w:t>
      </w:r>
    </w:p>
    <w:p w14:paraId="5E6ADD82" w14:textId="77777777" w:rsidR="00790ADA" w:rsidRPr="00FB3A86" w:rsidRDefault="00790ADA" w:rsidP="00441B6F">
      <w:pPr>
        <w:pStyle w:val="Body"/>
        <w:spacing w:after="0"/>
        <w:rPr>
          <w:rFonts w:ascii="Arial" w:hAnsi="Arial" w:cs="Arial"/>
        </w:rPr>
      </w:pPr>
    </w:p>
    <w:p w14:paraId="44C0A748" w14:textId="77777777" w:rsidR="00B01FCD" w:rsidRDefault="00000F8F" w:rsidP="00C36CA3">
      <w:pPr>
        <w:pStyle w:val="Head1"/>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54715C6" w14:textId="61AF344A" w:rsidR="00B01FCD" w:rsidRDefault="00CD7D9D" w:rsidP="00441B6F">
      <w:pPr>
        <w:pStyle w:val="Body"/>
        <w:spacing w:after="0"/>
        <w:rPr>
          <w:rFonts w:ascii="Arial" w:hAnsi="Arial" w:cs="Arial"/>
        </w:rPr>
      </w:pPr>
      <w:r>
        <w:rPr>
          <w:rFonts w:ascii="Arial" w:hAnsi="Arial" w:cs="Arial"/>
        </w:rPr>
        <w:t>W</w:t>
      </w:r>
      <w:r w:rsidR="00F023AE" w:rsidRPr="00F023AE">
        <w:rPr>
          <w:rFonts w:ascii="Arial" w:hAnsi="Arial" w:cs="Arial"/>
        </w:rPr>
        <w:t>e can note that very little research has been devoted exclusively to investigating the effect of spacing between stone bunds on soil fertility parameters. However, our results have shown that the smaller the distance between rows, the more significant the effect on soil chemical parameters up to a spacing of 18.5 m between rows. This leads us to believe that this distance is the reasonable threshold for their implementation in this area. Also, the results of the fertility gradient test confirm this view. Conversely, this is not the case for microbiological parameters, hence the need to further explore this work in this direction.</w:t>
      </w:r>
    </w:p>
    <w:p w14:paraId="15DED421" w14:textId="77777777" w:rsidR="00C338E6" w:rsidRPr="00FB3A86" w:rsidRDefault="00C338E6" w:rsidP="00441B6F">
      <w:pPr>
        <w:pStyle w:val="Body"/>
        <w:spacing w:after="0"/>
        <w:rPr>
          <w:rFonts w:ascii="Arial" w:hAnsi="Arial" w:cs="Arial"/>
        </w:rPr>
      </w:pPr>
    </w:p>
    <w:p w14:paraId="45E17DD9" w14:textId="77777777" w:rsidR="00513F57" w:rsidRDefault="00513F57" w:rsidP="00441B6F">
      <w:pPr>
        <w:pStyle w:val="ReferHead"/>
        <w:spacing w:after="0"/>
        <w:jc w:val="both"/>
        <w:rPr>
          <w:rFonts w:ascii="Arial" w:hAnsi="Arial" w:cs="Arial"/>
          <w:b w:val="0"/>
          <w:caps w:val="0"/>
          <w:sz w:val="20"/>
        </w:rPr>
      </w:pPr>
    </w:p>
    <w:p w14:paraId="379E6058" w14:textId="77777777" w:rsidR="00513F57" w:rsidRPr="00513F57" w:rsidRDefault="00513F57" w:rsidP="00513F57">
      <w:pPr>
        <w:pStyle w:val="ReferHead"/>
        <w:jc w:val="both"/>
        <w:rPr>
          <w:rFonts w:ascii="Arial" w:hAnsi="Arial" w:cs="Arial"/>
          <w:b w:val="0"/>
          <w:caps w:val="0"/>
          <w:sz w:val="20"/>
        </w:rPr>
      </w:pPr>
      <w:r w:rsidRPr="00513F57">
        <w:rPr>
          <w:rFonts w:ascii="Arial" w:hAnsi="Arial" w:cs="Arial"/>
          <w:b w:val="0"/>
          <w:caps w:val="0"/>
          <w:sz w:val="20"/>
        </w:rPr>
        <w:t>COMPETING INTERESTS DISCLAIMER:</w:t>
      </w:r>
    </w:p>
    <w:p w14:paraId="154832CF" w14:textId="51E2D953" w:rsidR="00513F57" w:rsidRPr="00D44A55" w:rsidRDefault="00513F57" w:rsidP="00513F57">
      <w:pPr>
        <w:pStyle w:val="ReferHead"/>
        <w:spacing w:after="0"/>
        <w:jc w:val="both"/>
        <w:rPr>
          <w:rFonts w:ascii="Arial" w:hAnsi="Arial" w:cs="Arial"/>
          <w:b w:val="0"/>
          <w:caps w:val="0"/>
          <w:sz w:val="20"/>
        </w:rPr>
      </w:pPr>
      <w:r w:rsidRPr="00513F57">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4307CFE8" w14:textId="77777777" w:rsidR="002B685A" w:rsidRDefault="002B685A" w:rsidP="00441B6F">
      <w:pPr>
        <w:pStyle w:val="ReferHead"/>
        <w:spacing w:after="0"/>
        <w:jc w:val="both"/>
        <w:rPr>
          <w:rFonts w:ascii="Arial" w:hAnsi="Arial" w:cs="Arial"/>
          <w:b w:val="0"/>
          <w:caps w:val="0"/>
          <w:sz w:val="20"/>
        </w:rPr>
      </w:pPr>
    </w:p>
    <w:p w14:paraId="53D66B0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FED63CD" w14:textId="77777777" w:rsidR="008B459E" w:rsidRPr="00BF04E7" w:rsidRDefault="008B459E" w:rsidP="00441B6F">
      <w:pPr>
        <w:pStyle w:val="Body"/>
        <w:spacing w:after="0"/>
        <w:rPr>
          <w:rFonts w:ascii="Arial" w:hAnsi="Arial" w:cs="Arial"/>
        </w:rPr>
      </w:pPr>
    </w:p>
    <w:p w14:paraId="3D32CF21" w14:textId="77777777" w:rsidR="00D16123" w:rsidRPr="00D16123" w:rsidRDefault="00D16123" w:rsidP="00D16123">
      <w:pPr>
        <w:pStyle w:val="Body"/>
        <w:rPr>
          <w:rFonts w:ascii="Arial" w:hAnsi="Arial" w:cs="Arial"/>
        </w:rPr>
      </w:pPr>
      <w:r w:rsidRPr="00D16123">
        <w:rPr>
          <w:rFonts w:ascii="Arial" w:hAnsi="Arial" w:cs="Arial"/>
        </w:rPr>
        <w:t>Altieri, M. A., (2002). Agroecology: The science of natural resource management for poor farmers in marginal environments. Agriculture, Ecosystems and Environment, 93, 1-24.</w:t>
      </w:r>
    </w:p>
    <w:p w14:paraId="6140EA5F" w14:textId="77777777" w:rsidR="00D16123" w:rsidRPr="00D16123" w:rsidRDefault="00D16123" w:rsidP="00D16123">
      <w:pPr>
        <w:pStyle w:val="Body"/>
        <w:rPr>
          <w:rFonts w:ascii="Arial" w:hAnsi="Arial" w:cs="Arial"/>
        </w:rPr>
      </w:pPr>
      <w:r w:rsidRPr="00D16123">
        <w:rPr>
          <w:rFonts w:ascii="Arial" w:hAnsi="Arial" w:cs="Arial"/>
        </w:rPr>
        <w:t xml:space="preserve">Anderson, T.H., &amp; </w:t>
      </w:r>
      <w:proofErr w:type="spellStart"/>
      <w:r w:rsidRPr="00D16123">
        <w:rPr>
          <w:rFonts w:ascii="Arial" w:hAnsi="Arial" w:cs="Arial"/>
        </w:rPr>
        <w:t>Domsch</w:t>
      </w:r>
      <w:proofErr w:type="spellEnd"/>
      <w:r w:rsidRPr="00D16123">
        <w:rPr>
          <w:rFonts w:ascii="Arial" w:hAnsi="Arial" w:cs="Arial"/>
        </w:rPr>
        <w:t xml:space="preserve">, K.H., (1993). The metabolic quotient for CO2 (qCO2) as a specific activity parameter to assess the effects of environmental conditions, such as pH, on the microbial biomass of forest soils. Soil Biol. &amp; </w:t>
      </w:r>
      <w:proofErr w:type="spellStart"/>
      <w:r w:rsidRPr="00D16123">
        <w:rPr>
          <w:rFonts w:ascii="Arial" w:hAnsi="Arial" w:cs="Arial"/>
        </w:rPr>
        <w:t>Biochemi</w:t>
      </w:r>
      <w:proofErr w:type="spellEnd"/>
      <w:r w:rsidRPr="00D16123">
        <w:rPr>
          <w:rFonts w:ascii="Arial" w:hAnsi="Arial" w:cs="Arial"/>
        </w:rPr>
        <w:t>., 25, 393-395.</w:t>
      </w:r>
    </w:p>
    <w:p w14:paraId="126C2E62" w14:textId="77777777" w:rsidR="00D16123" w:rsidRPr="00D16123" w:rsidRDefault="00D16123" w:rsidP="00D16123">
      <w:pPr>
        <w:pStyle w:val="Body"/>
        <w:rPr>
          <w:rFonts w:ascii="Arial" w:hAnsi="Arial" w:cs="Arial"/>
        </w:rPr>
      </w:pPr>
      <w:r w:rsidRPr="00D16123">
        <w:rPr>
          <w:rFonts w:ascii="Arial" w:hAnsi="Arial" w:cs="Arial"/>
        </w:rPr>
        <w:t xml:space="preserve">Ballo, K., </w:t>
      </w:r>
      <w:proofErr w:type="spellStart"/>
      <w:r w:rsidRPr="00D16123">
        <w:rPr>
          <w:rFonts w:ascii="Arial" w:hAnsi="Arial" w:cs="Arial"/>
        </w:rPr>
        <w:t>Quencez</w:t>
      </w:r>
      <w:proofErr w:type="spellEnd"/>
      <w:r w:rsidRPr="00D16123">
        <w:rPr>
          <w:rFonts w:ascii="Arial" w:hAnsi="Arial" w:cs="Arial"/>
        </w:rPr>
        <w:t xml:space="preserve">, P., Ouattara, S., </w:t>
      </w:r>
      <w:proofErr w:type="spellStart"/>
      <w:r w:rsidRPr="00D16123">
        <w:rPr>
          <w:rFonts w:ascii="Arial" w:hAnsi="Arial" w:cs="Arial"/>
        </w:rPr>
        <w:t>Tailliez</w:t>
      </w:r>
      <w:proofErr w:type="spellEnd"/>
      <w:r w:rsidRPr="00D16123">
        <w:rPr>
          <w:rFonts w:ascii="Arial" w:hAnsi="Arial" w:cs="Arial"/>
        </w:rPr>
        <w:t xml:space="preserve">, B., &amp; Rey, H., (1994). Edge effects in a control plot of a potassium fertilization trial on depleted soils in Côte d'Ivoire. </w:t>
      </w:r>
      <w:proofErr w:type="spellStart"/>
      <w:r w:rsidRPr="00D16123">
        <w:rPr>
          <w:rFonts w:ascii="Arial" w:hAnsi="Arial" w:cs="Arial"/>
        </w:rPr>
        <w:t>Oléagineux</w:t>
      </w:r>
      <w:proofErr w:type="spellEnd"/>
      <w:r w:rsidRPr="00D16123">
        <w:rPr>
          <w:rFonts w:ascii="Arial" w:hAnsi="Arial" w:cs="Arial"/>
        </w:rPr>
        <w:t>, 49(4), 137-143.</w:t>
      </w:r>
    </w:p>
    <w:p w14:paraId="5B3C2058" w14:textId="77777777" w:rsidR="00D16123" w:rsidRPr="00D16123" w:rsidRDefault="00D16123" w:rsidP="00D16123">
      <w:pPr>
        <w:pStyle w:val="Body"/>
        <w:rPr>
          <w:rFonts w:ascii="Arial" w:hAnsi="Arial" w:cs="Arial"/>
        </w:rPr>
      </w:pPr>
      <w:r w:rsidRPr="00D16123">
        <w:rPr>
          <w:rFonts w:ascii="Arial" w:hAnsi="Arial" w:cs="Arial"/>
        </w:rPr>
        <w:t>National Soil Office (</w:t>
      </w:r>
      <w:proofErr w:type="spellStart"/>
      <w:r w:rsidRPr="00D16123">
        <w:rPr>
          <w:rFonts w:ascii="Arial" w:hAnsi="Arial" w:cs="Arial"/>
        </w:rPr>
        <w:t>Bunasols</w:t>
      </w:r>
      <w:proofErr w:type="spellEnd"/>
      <w:r w:rsidRPr="00D16123">
        <w:rPr>
          <w:rFonts w:ascii="Arial" w:hAnsi="Arial" w:cs="Arial"/>
        </w:rPr>
        <w:t xml:space="preserve">). (2008). </w:t>
      </w:r>
      <w:proofErr w:type="spellStart"/>
      <w:r w:rsidRPr="00D16123">
        <w:rPr>
          <w:rFonts w:ascii="Arial" w:hAnsi="Arial" w:cs="Arial"/>
        </w:rPr>
        <w:t>Morphopedological</w:t>
      </w:r>
      <w:proofErr w:type="spellEnd"/>
      <w:r w:rsidRPr="00D16123">
        <w:rPr>
          <w:rFonts w:ascii="Arial" w:hAnsi="Arial" w:cs="Arial"/>
        </w:rPr>
        <w:t xml:space="preserve"> study of the province of </w:t>
      </w:r>
      <w:proofErr w:type="spellStart"/>
      <w:r w:rsidRPr="00D16123">
        <w:rPr>
          <w:rFonts w:ascii="Arial" w:hAnsi="Arial" w:cs="Arial"/>
        </w:rPr>
        <w:t>Tapao</w:t>
      </w:r>
      <w:proofErr w:type="spellEnd"/>
      <w:r w:rsidRPr="00D16123">
        <w:rPr>
          <w:rFonts w:ascii="Arial" w:hAnsi="Arial" w:cs="Arial"/>
        </w:rPr>
        <w:t xml:space="preserve">. </w:t>
      </w:r>
      <w:proofErr w:type="spellStart"/>
      <w:r w:rsidRPr="00D16123">
        <w:rPr>
          <w:rFonts w:ascii="Arial" w:hAnsi="Arial" w:cs="Arial"/>
        </w:rPr>
        <w:t>Bunasols</w:t>
      </w:r>
      <w:proofErr w:type="spellEnd"/>
      <w:r w:rsidRPr="00D16123">
        <w:rPr>
          <w:rFonts w:ascii="Arial" w:hAnsi="Arial" w:cs="Arial"/>
        </w:rPr>
        <w:t>, technical report n°143, 119 p.</w:t>
      </w:r>
    </w:p>
    <w:p w14:paraId="2CB1B965" w14:textId="77777777" w:rsidR="00D16123" w:rsidRPr="00D16123" w:rsidRDefault="00D16123" w:rsidP="00D16123">
      <w:pPr>
        <w:pStyle w:val="Body"/>
        <w:rPr>
          <w:rFonts w:ascii="Arial" w:hAnsi="Arial" w:cs="Arial"/>
        </w:rPr>
      </w:pPr>
      <w:r w:rsidRPr="00D16123">
        <w:rPr>
          <w:rFonts w:ascii="Arial" w:hAnsi="Arial" w:cs="Arial"/>
        </w:rPr>
        <w:lastRenderedPageBreak/>
        <w:t>Campbell, C. D., Chapman, S. J., Cameron, C. M., Davidson, M. S., &amp; Potts, J. M., (2003). A rapid microtiter plate method to measure carbon dioxide evolved from carbon substrate amendments so as to determine the physiological profiles of soil microbial communities by using whole soil. Appl, and Environ, Microbiol, 69, 3593-3599.</w:t>
      </w:r>
    </w:p>
    <w:p w14:paraId="392220F9" w14:textId="77777777" w:rsidR="00D16123" w:rsidRPr="00D16123" w:rsidRDefault="00D16123" w:rsidP="00D16123">
      <w:pPr>
        <w:pStyle w:val="Body"/>
        <w:rPr>
          <w:rFonts w:ascii="Arial" w:hAnsi="Arial" w:cs="Arial"/>
        </w:rPr>
      </w:pPr>
      <w:r w:rsidRPr="00D16123">
        <w:rPr>
          <w:rFonts w:ascii="Arial" w:hAnsi="Arial" w:cs="Arial"/>
        </w:rPr>
        <w:t xml:space="preserve">Coulibaly, A., Hien, E., </w:t>
      </w:r>
      <w:proofErr w:type="spellStart"/>
      <w:r w:rsidRPr="00D16123">
        <w:rPr>
          <w:rFonts w:ascii="Arial" w:hAnsi="Arial" w:cs="Arial"/>
        </w:rPr>
        <w:t>Motelica-Heino</w:t>
      </w:r>
      <w:proofErr w:type="spellEnd"/>
      <w:r w:rsidRPr="00D16123">
        <w:rPr>
          <w:rFonts w:ascii="Arial" w:hAnsi="Arial" w:cs="Arial"/>
        </w:rPr>
        <w:t xml:space="preserve">, M., &amp; </w:t>
      </w:r>
      <w:proofErr w:type="spellStart"/>
      <w:r w:rsidRPr="00D16123">
        <w:rPr>
          <w:rFonts w:ascii="Arial" w:hAnsi="Arial" w:cs="Arial"/>
        </w:rPr>
        <w:t>Bourgerie</w:t>
      </w:r>
      <w:proofErr w:type="spellEnd"/>
      <w:r w:rsidRPr="00D16123">
        <w:rPr>
          <w:rFonts w:ascii="Arial" w:hAnsi="Arial" w:cs="Arial"/>
        </w:rPr>
        <w:t xml:space="preserve">, S., (2018). Effect of agroecological practices on cultivated </w:t>
      </w:r>
      <w:proofErr w:type="spellStart"/>
      <w:r w:rsidRPr="00D16123">
        <w:rPr>
          <w:rFonts w:ascii="Arial" w:hAnsi="Arial" w:cs="Arial"/>
        </w:rPr>
        <w:t>lixisol</w:t>
      </w:r>
      <w:proofErr w:type="spellEnd"/>
      <w:r w:rsidRPr="00D16123">
        <w:rPr>
          <w:rFonts w:ascii="Arial" w:hAnsi="Arial" w:cs="Arial"/>
        </w:rPr>
        <w:t xml:space="preserve"> fertility in Eastern Burkina Faso. International Journal of Biological and Chemical Sciences, 12 (5), 1976-1992. https://dx.doi.org/10.4314/ijbcs.v12i5.2</w:t>
      </w:r>
    </w:p>
    <w:p w14:paraId="6D57BCA8" w14:textId="77777777" w:rsidR="00D16123" w:rsidRPr="00D16123" w:rsidRDefault="00D16123" w:rsidP="00D16123">
      <w:pPr>
        <w:pStyle w:val="Body"/>
        <w:rPr>
          <w:rFonts w:ascii="Arial" w:hAnsi="Arial" w:cs="Arial"/>
        </w:rPr>
      </w:pPr>
      <w:r w:rsidRPr="00D16123">
        <w:rPr>
          <w:rFonts w:ascii="Arial" w:hAnsi="Arial" w:cs="Arial"/>
        </w:rPr>
        <w:t xml:space="preserve">Coulibaly, A., </w:t>
      </w:r>
      <w:proofErr w:type="spellStart"/>
      <w:r w:rsidRPr="00D16123">
        <w:rPr>
          <w:rFonts w:ascii="Arial" w:hAnsi="Arial" w:cs="Arial"/>
        </w:rPr>
        <w:t>Motelica-Heino</w:t>
      </w:r>
      <w:proofErr w:type="spellEnd"/>
      <w:r w:rsidRPr="00D16123">
        <w:rPr>
          <w:rFonts w:ascii="Arial" w:hAnsi="Arial" w:cs="Arial"/>
        </w:rPr>
        <w:t>, M. &amp; Hien, E. (2019). Determinants of Agroecological Practices Adoption in the Sudano-Sahelian Zone. Journal of Environmental Protection, 10, 900-918. https://doi.org/10.4236/jep.2019.107053</w:t>
      </w:r>
    </w:p>
    <w:p w14:paraId="59ED6ED1" w14:textId="77777777" w:rsidR="00D16123" w:rsidRPr="00D16123" w:rsidRDefault="00D16123" w:rsidP="00D16123">
      <w:pPr>
        <w:pStyle w:val="Body"/>
        <w:rPr>
          <w:rFonts w:ascii="Arial" w:hAnsi="Arial" w:cs="Arial"/>
        </w:rPr>
      </w:pPr>
      <w:r w:rsidRPr="00D16123">
        <w:rPr>
          <w:rFonts w:ascii="Arial" w:hAnsi="Arial" w:cs="Arial"/>
        </w:rPr>
        <w:t>DE SCHUTTER, O. (2011). Agroecology and the Right to Food. Report presented at the 16th Session of the UN Human Rights Council. New York, USA, UN, 23 pp.</w:t>
      </w:r>
    </w:p>
    <w:p w14:paraId="04C13673" w14:textId="77777777" w:rsidR="00D16123" w:rsidRPr="00D16123" w:rsidRDefault="00D16123" w:rsidP="00D16123">
      <w:pPr>
        <w:pStyle w:val="Body"/>
        <w:rPr>
          <w:rFonts w:ascii="Arial" w:hAnsi="Arial" w:cs="Arial"/>
        </w:rPr>
      </w:pPr>
      <w:r w:rsidRPr="00D16123">
        <w:rPr>
          <w:rFonts w:ascii="Arial" w:hAnsi="Arial" w:cs="Arial"/>
        </w:rPr>
        <w:t xml:space="preserve">Dembele, Y., &amp; </w:t>
      </w:r>
      <w:proofErr w:type="spellStart"/>
      <w:r w:rsidRPr="00D16123">
        <w:rPr>
          <w:rFonts w:ascii="Arial" w:hAnsi="Arial" w:cs="Arial"/>
        </w:rPr>
        <w:t>Somé</w:t>
      </w:r>
      <w:proofErr w:type="spellEnd"/>
      <w:r w:rsidRPr="00D16123">
        <w:rPr>
          <w:rFonts w:ascii="Arial" w:hAnsi="Arial" w:cs="Arial"/>
        </w:rPr>
        <w:t xml:space="preserve">, L. (1991). Hydrodynamic Properties of the Main Soil Types of Burkina Faso. Soil Water Balance. In Vie </w:t>
      </w:r>
      <w:proofErr w:type="spellStart"/>
      <w:r w:rsidRPr="00D16123">
        <w:rPr>
          <w:rFonts w:ascii="Arial" w:hAnsi="Arial" w:cs="Arial"/>
        </w:rPr>
        <w:t>Sudano-Sahdian</w:t>
      </w:r>
      <w:proofErr w:type="spellEnd"/>
      <w:r w:rsidRPr="00D16123">
        <w:rPr>
          <w:rFonts w:ascii="Arial" w:hAnsi="Arial" w:cs="Arial"/>
        </w:rPr>
        <w:t xml:space="preserve"> Zone (Proceedings of the Niamey Workshop, February 1991), IAHS </w:t>
      </w:r>
      <w:proofErr w:type="spellStart"/>
      <w:r w:rsidRPr="00D16123">
        <w:rPr>
          <w:rFonts w:ascii="Arial" w:hAnsi="Arial" w:cs="Arial"/>
        </w:rPr>
        <w:t>Publ</w:t>
      </w:r>
      <w:proofErr w:type="spellEnd"/>
      <w:r w:rsidRPr="00D16123">
        <w:rPr>
          <w:rFonts w:ascii="Arial" w:hAnsi="Arial" w:cs="Arial"/>
        </w:rPr>
        <w:t>, 199, 217-227.</w:t>
      </w:r>
    </w:p>
    <w:p w14:paraId="03528A2F" w14:textId="77777777" w:rsidR="00D16123" w:rsidRPr="00D16123" w:rsidRDefault="00D16123" w:rsidP="00D16123">
      <w:pPr>
        <w:pStyle w:val="Body"/>
        <w:rPr>
          <w:rFonts w:ascii="Arial" w:hAnsi="Arial" w:cs="Arial"/>
        </w:rPr>
      </w:pPr>
      <w:proofErr w:type="spellStart"/>
      <w:r w:rsidRPr="00D16123">
        <w:rPr>
          <w:rFonts w:ascii="Arial" w:hAnsi="Arial" w:cs="Arial"/>
        </w:rPr>
        <w:t>Disnar</w:t>
      </w:r>
      <w:proofErr w:type="spellEnd"/>
      <w:r w:rsidRPr="00D16123">
        <w:rPr>
          <w:rFonts w:ascii="Arial" w:hAnsi="Arial" w:cs="Arial"/>
        </w:rPr>
        <w:t xml:space="preserve">, J.-R., Guillet, B., </w:t>
      </w:r>
      <w:proofErr w:type="spellStart"/>
      <w:r w:rsidRPr="00D16123">
        <w:rPr>
          <w:rFonts w:ascii="Arial" w:hAnsi="Arial" w:cs="Arial"/>
        </w:rPr>
        <w:t>Keravis</w:t>
      </w:r>
      <w:proofErr w:type="spellEnd"/>
      <w:r w:rsidRPr="00D16123">
        <w:rPr>
          <w:rFonts w:ascii="Arial" w:hAnsi="Arial" w:cs="Arial"/>
        </w:rPr>
        <w:t>, D., Di-Giovanni, C., &amp; Sebag, D., (2003). Soil organic matter (SOM) characterization by rock eval pyrolysis: scope and limitations. Org. Geochem., 34, 327-343.</w:t>
      </w:r>
    </w:p>
    <w:p w14:paraId="108BED97" w14:textId="77777777" w:rsidR="00D16123" w:rsidRPr="00D16123" w:rsidRDefault="00D16123" w:rsidP="00D16123">
      <w:pPr>
        <w:pStyle w:val="Body"/>
        <w:rPr>
          <w:rFonts w:ascii="Arial" w:hAnsi="Arial" w:cs="Arial"/>
        </w:rPr>
      </w:pPr>
      <w:r w:rsidRPr="00D16123">
        <w:rPr>
          <w:rFonts w:ascii="Arial" w:hAnsi="Arial" w:cs="Arial"/>
        </w:rPr>
        <w:t>Doamba, S.M.F., Nacro, H. B., Sanon, A., &amp; Sedogo, M., (2011). Effect of stone bunds on the biological activity of a leached tropical ferruginous soil (</w:t>
      </w:r>
      <w:proofErr w:type="spellStart"/>
      <w:r w:rsidRPr="00D16123">
        <w:rPr>
          <w:rFonts w:ascii="Arial" w:hAnsi="Arial" w:cs="Arial"/>
        </w:rPr>
        <w:t>Kouritenga</w:t>
      </w:r>
      <w:proofErr w:type="spellEnd"/>
      <w:r w:rsidRPr="00D16123">
        <w:rPr>
          <w:rFonts w:ascii="Arial" w:hAnsi="Arial" w:cs="Arial"/>
        </w:rPr>
        <w:t xml:space="preserve"> Province, Burkina Faso). International Journal of Biological and Chemical Sciences, 5, 304-313.</w:t>
      </w:r>
    </w:p>
    <w:p w14:paraId="63267C64" w14:textId="77777777" w:rsidR="00D16123" w:rsidRPr="00D16123" w:rsidRDefault="00D16123" w:rsidP="00D16123">
      <w:pPr>
        <w:pStyle w:val="Body"/>
        <w:rPr>
          <w:rFonts w:ascii="Arial" w:hAnsi="Arial" w:cs="Arial"/>
        </w:rPr>
      </w:pPr>
      <w:r w:rsidRPr="00D16123">
        <w:rPr>
          <w:rFonts w:ascii="Arial" w:hAnsi="Arial" w:cs="Arial"/>
        </w:rPr>
        <w:t>Dufumier, M., (2010). AGROECOLOGY AND SUSTAINABLE DEVELOPMENT. Emilie COUDEL, Hubert DEVAUTOUR, Christophe-Toussaint SOULARD, Bernard HUBERT. ISDA 2010, June 2010, Montpellier, France. CIRAD-INRA-</w:t>
      </w:r>
      <w:proofErr w:type="spellStart"/>
      <w:r w:rsidRPr="00D16123">
        <w:rPr>
          <w:rFonts w:ascii="Arial" w:hAnsi="Arial" w:cs="Arial"/>
        </w:rPr>
        <w:t>SupAgro</w:t>
      </w:r>
      <w:proofErr w:type="spellEnd"/>
      <w:r w:rsidRPr="00D16123">
        <w:rPr>
          <w:rFonts w:ascii="Arial" w:hAnsi="Arial" w:cs="Arial"/>
        </w:rPr>
        <w:t>, 20 p. &lt;hal-00521817&gt;</w:t>
      </w:r>
    </w:p>
    <w:p w14:paraId="567F048F" w14:textId="77777777" w:rsidR="00D16123" w:rsidRPr="00D16123" w:rsidRDefault="00D16123" w:rsidP="00D16123">
      <w:pPr>
        <w:pStyle w:val="Body"/>
        <w:rPr>
          <w:rFonts w:ascii="Arial" w:hAnsi="Arial" w:cs="Arial"/>
        </w:rPr>
      </w:pPr>
      <w:r w:rsidRPr="00D16123">
        <w:rPr>
          <w:rFonts w:ascii="Arial" w:hAnsi="Arial" w:cs="Arial"/>
        </w:rPr>
        <w:t xml:space="preserve">Francis, C., Lieblein, G., </w:t>
      </w:r>
      <w:proofErr w:type="spellStart"/>
      <w:r w:rsidRPr="00D16123">
        <w:rPr>
          <w:rFonts w:ascii="Arial" w:hAnsi="Arial" w:cs="Arial"/>
        </w:rPr>
        <w:t>Gliessman</w:t>
      </w:r>
      <w:proofErr w:type="spellEnd"/>
      <w:r w:rsidRPr="00D16123">
        <w:rPr>
          <w:rFonts w:ascii="Arial" w:hAnsi="Arial" w:cs="Arial"/>
        </w:rPr>
        <w:t>, S., Breland, T. A., Creamer, N., Harwood, R., et al. (2003). Agroecology: The Ecology of Food Systems. Journal of Sustainable Agriculture, 22(3), 99-118. http://dx.doi.org/10.1300/J064v22n03_10.</w:t>
      </w:r>
    </w:p>
    <w:p w14:paraId="61DEC1EE" w14:textId="77777777" w:rsidR="00D16123" w:rsidRPr="00D16123" w:rsidRDefault="00D16123" w:rsidP="00D16123">
      <w:pPr>
        <w:pStyle w:val="Body"/>
        <w:rPr>
          <w:rFonts w:ascii="Arial" w:hAnsi="Arial" w:cs="Arial"/>
        </w:rPr>
      </w:pPr>
      <w:proofErr w:type="spellStart"/>
      <w:r w:rsidRPr="00D16123">
        <w:rPr>
          <w:rFonts w:ascii="Arial" w:hAnsi="Arial" w:cs="Arial"/>
        </w:rPr>
        <w:t>Goita</w:t>
      </w:r>
      <w:proofErr w:type="spellEnd"/>
      <w:r w:rsidRPr="00D16123">
        <w:rPr>
          <w:rFonts w:ascii="Arial" w:hAnsi="Arial" w:cs="Arial"/>
        </w:rPr>
        <w:t>, M., (2014). The Challenges of Agricultural Development in Africa and the Choice of Model: Green Revolution or Agroecology? SOS FAIM, No. 10, 39p.</w:t>
      </w:r>
    </w:p>
    <w:p w14:paraId="39C2BB73" w14:textId="77777777" w:rsidR="00D16123" w:rsidRPr="00D16123" w:rsidRDefault="00D16123" w:rsidP="00D16123">
      <w:pPr>
        <w:pStyle w:val="Body"/>
        <w:rPr>
          <w:rFonts w:ascii="Arial" w:hAnsi="Arial" w:cs="Arial"/>
        </w:rPr>
      </w:pPr>
      <w:r w:rsidRPr="00D16123">
        <w:rPr>
          <w:rFonts w:ascii="Arial" w:hAnsi="Arial" w:cs="Arial"/>
        </w:rPr>
        <w:t>Gomiero, T., Pimentel, D., &amp; Paoletti, M. G., (2011). Is There a Need for a More Sustainable Agriculture? Critical Reviews in Plant Sciences, 30(1-2), 6-23.</w:t>
      </w:r>
    </w:p>
    <w:p w14:paraId="7E9E0B82" w14:textId="77777777" w:rsidR="00D16123" w:rsidRPr="00D16123" w:rsidRDefault="00D16123" w:rsidP="00D16123">
      <w:pPr>
        <w:pStyle w:val="Body"/>
        <w:rPr>
          <w:rFonts w:ascii="Arial" w:hAnsi="Arial" w:cs="Arial"/>
        </w:rPr>
      </w:pPr>
      <w:proofErr w:type="spellStart"/>
      <w:r w:rsidRPr="00D16123">
        <w:rPr>
          <w:rFonts w:ascii="Arial" w:hAnsi="Arial" w:cs="Arial"/>
        </w:rPr>
        <w:t>Gomgnimbou</w:t>
      </w:r>
      <w:proofErr w:type="spellEnd"/>
      <w:r w:rsidRPr="00D16123">
        <w:rPr>
          <w:rFonts w:ascii="Arial" w:hAnsi="Arial" w:cs="Arial"/>
        </w:rPr>
        <w:t xml:space="preserve">, A. P.K., Savadogo, P. W., </w:t>
      </w:r>
      <w:proofErr w:type="spellStart"/>
      <w:r w:rsidRPr="00D16123">
        <w:rPr>
          <w:rFonts w:ascii="Arial" w:hAnsi="Arial" w:cs="Arial"/>
        </w:rPr>
        <w:t>Nianogo</w:t>
      </w:r>
      <w:proofErr w:type="spellEnd"/>
      <w:r w:rsidRPr="00D16123">
        <w:rPr>
          <w:rFonts w:ascii="Arial" w:hAnsi="Arial" w:cs="Arial"/>
        </w:rPr>
        <w:t xml:space="preserve">, A. J., &amp; </w:t>
      </w:r>
      <w:proofErr w:type="spellStart"/>
      <w:r w:rsidRPr="00D16123">
        <w:rPr>
          <w:rFonts w:ascii="Arial" w:hAnsi="Arial" w:cs="Arial"/>
        </w:rPr>
        <w:t>Millogo-Rasolodimby</w:t>
      </w:r>
      <w:proofErr w:type="spellEnd"/>
      <w:r w:rsidRPr="00D16123">
        <w:rPr>
          <w:rFonts w:ascii="Arial" w:hAnsi="Arial" w:cs="Arial"/>
        </w:rPr>
        <w:t xml:space="preserve">, J., (2010). Agricultural Practices and Farmer Perceptions of the Environmental Impacts of Cotton Farming in </w:t>
      </w:r>
      <w:proofErr w:type="spellStart"/>
      <w:r w:rsidRPr="00D16123">
        <w:rPr>
          <w:rFonts w:ascii="Arial" w:hAnsi="Arial" w:cs="Arial"/>
        </w:rPr>
        <w:t>Kompienga</w:t>
      </w:r>
      <w:proofErr w:type="spellEnd"/>
      <w:r w:rsidRPr="00D16123">
        <w:rPr>
          <w:rFonts w:ascii="Arial" w:hAnsi="Arial" w:cs="Arial"/>
        </w:rPr>
        <w:t xml:space="preserve"> Province (Burkina Faso). Sciences &amp; Nature 7(2), 165–175.</w:t>
      </w:r>
    </w:p>
    <w:p w14:paraId="672FC55B" w14:textId="77777777" w:rsidR="00D16123" w:rsidRDefault="00D16123" w:rsidP="00D16123">
      <w:pPr>
        <w:pStyle w:val="Body"/>
        <w:rPr>
          <w:rFonts w:ascii="Arial" w:hAnsi="Arial" w:cs="Arial"/>
        </w:rPr>
      </w:pPr>
      <w:r w:rsidRPr="00D16123">
        <w:rPr>
          <w:rFonts w:ascii="Arial" w:hAnsi="Arial" w:cs="Arial"/>
        </w:rPr>
        <w:t xml:space="preserve">Hien, E., (2004). Carbon dynamics in a ferric </w:t>
      </w:r>
      <w:proofErr w:type="spellStart"/>
      <w:r w:rsidRPr="00D16123">
        <w:rPr>
          <w:rFonts w:ascii="Arial" w:hAnsi="Arial" w:cs="Arial"/>
        </w:rPr>
        <w:t>acrisol</w:t>
      </w:r>
      <w:proofErr w:type="spellEnd"/>
      <w:r w:rsidRPr="00D16123">
        <w:rPr>
          <w:rFonts w:ascii="Arial" w:hAnsi="Arial" w:cs="Arial"/>
        </w:rPr>
        <w:t xml:space="preserve"> from central-western Burkina Faso: influence of cultural practices on the stock and quality of organic matter. Doctoral thesis from the Ecole </w:t>
      </w:r>
      <w:proofErr w:type="spellStart"/>
      <w:r w:rsidRPr="00D16123">
        <w:rPr>
          <w:rFonts w:ascii="Arial" w:hAnsi="Arial" w:cs="Arial"/>
        </w:rPr>
        <w:t>Nationale</w:t>
      </w:r>
      <w:proofErr w:type="spellEnd"/>
      <w:r w:rsidRPr="00D16123">
        <w:rPr>
          <w:rFonts w:ascii="Arial" w:hAnsi="Arial" w:cs="Arial"/>
        </w:rPr>
        <w:t xml:space="preserve"> </w:t>
      </w:r>
      <w:proofErr w:type="spellStart"/>
      <w:r w:rsidRPr="00D16123">
        <w:rPr>
          <w:rFonts w:ascii="Arial" w:hAnsi="Arial" w:cs="Arial"/>
        </w:rPr>
        <w:t>Supérieure</w:t>
      </w:r>
      <w:proofErr w:type="spellEnd"/>
      <w:r w:rsidRPr="00D16123">
        <w:rPr>
          <w:rFonts w:ascii="Arial" w:hAnsi="Arial" w:cs="Arial"/>
        </w:rPr>
        <w:t xml:space="preserve"> </w:t>
      </w:r>
      <w:proofErr w:type="spellStart"/>
      <w:r w:rsidRPr="00D16123">
        <w:rPr>
          <w:rFonts w:ascii="Arial" w:hAnsi="Arial" w:cs="Arial"/>
        </w:rPr>
        <w:t>Agronomique</w:t>
      </w:r>
      <w:proofErr w:type="spellEnd"/>
      <w:r w:rsidRPr="00D16123">
        <w:rPr>
          <w:rFonts w:ascii="Arial" w:hAnsi="Arial" w:cs="Arial"/>
        </w:rPr>
        <w:t xml:space="preserve"> de </w:t>
      </w:r>
      <w:proofErr w:type="spellStart"/>
      <w:r w:rsidRPr="00D16123">
        <w:rPr>
          <w:rFonts w:ascii="Arial" w:hAnsi="Arial" w:cs="Arial"/>
        </w:rPr>
        <w:t>Mompellier</w:t>
      </w:r>
      <w:proofErr w:type="spellEnd"/>
      <w:r w:rsidRPr="00D16123">
        <w:rPr>
          <w:rFonts w:ascii="Arial" w:hAnsi="Arial" w:cs="Arial"/>
        </w:rPr>
        <w:t>, France 138p.</w:t>
      </w:r>
    </w:p>
    <w:p w14:paraId="348C9BE0" w14:textId="77777777" w:rsidR="00D16123" w:rsidRPr="00D16123" w:rsidRDefault="00D16123" w:rsidP="00D16123">
      <w:pPr>
        <w:pStyle w:val="Body"/>
        <w:rPr>
          <w:rFonts w:ascii="Arial" w:hAnsi="Arial" w:cs="Arial"/>
          <w:lang w:val="fr-FR"/>
        </w:rPr>
      </w:pPr>
      <w:r w:rsidRPr="00D16123">
        <w:rPr>
          <w:rFonts w:ascii="Arial" w:hAnsi="Arial" w:cs="Arial"/>
          <w:lang w:val="fr-FR"/>
        </w:rPr>
        <w:t xml:space="preserve">INERA. (2010). Component </w:t>
      </w:r>
      <w:proofErr w:type="gramStart"/>
      <w:r w:rsidRPr="00D16123">
        <w:rPr>
          <w:rFonts w:ascii="Arial" w:hAnsi="Arial" w:cs="Arial"/>
          <w:lang w:val="fr-FR"/>
        </w:rPr>
        <w:t>2:</w:t>
      </w:r>
      <w:proofErr w:type="gramEnd"/>
      <w:r w:rsidRPr="00D16123">
        <w:rPr>
          <w:rFonts w:ascii="Arial" w:hAnsi="Arial" w:cs="Arial"/>
          <w:lang w:val="fr-FR"/>
        </w:rPr>
        <w:t xml:space="preserve"> </w:t>
      </w:r>
      <w:proofErr w:type="spellStart"/>
      <w:r w:rsidRPr="00D16123">
        <w:rPr>
          <w:rFonts w:ascii="Arial" w:hAnsi="Arial" w:cs="Arial"/>
          <w:lang w:val="fr-FR"/>
        </w:rPr>
        <w:t>Literature</w:t>
      </w:r>
      <w:proofErr w:type="spellEnd"/>
      <w:r w:rsidRPr="00D16123">
        <w:rPr>
          <w:rFonts w:ascii="Arial" w:hAnsi="Arial" w:cs="Arial"/>
          <w:lang w:val="fr-FR"/>
        </w:rPr>
        <w:t xml:space="preserve"> </w:t>
      </w:r>
      <w:proofErr w:type="spellStart"/>
      <w:r w:rsidRPr="00D16123">
        <w:rPr>
          <w:rFonts w:ascii="Arial" w:hAnsi="Arial" w:cs="Arial"/>
          <w:lang w:val="fr-FR"/>
        </w:rPr>
        <w:t>Review</w:t>
      </w:r>
      <w:proofErr w:type="spellEnd"/>
      <w:r w:rsidRPr="00D16123">
        <w:rPr>
          <w:rFonts w:ascii="Arial" w:hAnsi="Arial" w:cs="Arial"/>
          <w:lang w:val="fr-FR"/>
        </w:rPr>
        <w:t xml:space="preserve"> on Land Use in the </w:t>
      </w:r>
      <w:proofErr w:type="spellStart"/>
      <w:r w:rsidRPr="00D16123">
        <w:rPr>
          <w:rFonts w:ascii="Arial" w:hAnsi="Arial" w:cs="Arial"/>
          <w:lang w:val="fr-FR"/>
        </w:rPr>
        <w:t>Burkinabe</w:t>
      </w:r>
      <w:proofErr w:type="spellEnd"/>
      <w:r w:rsidRPr="00D16123">
        <w:rPr>
          <w:rFonts w:ascii="Arial" w:hAnsi="Arial" w:cs="Arial"/>
          <w:lang w:val="fr-FR"/>
        </w:rPr>
        <w:t xml:space="preserve"> Sahel. </w:t>
      </w:r>
      <w:proofErr w:type="spellStart"/>
      <w:r w:rsidRPr="00D16123">
        <w:rPr>
          <w:rFonts w:ascii="Arial" w:hAnsi="Arial" w:cs="Arial"/>
          <w:lang w:val="fr-FR"/>
        </w:rPr>
        <w:t>LaSyRe</w:t>
      </w:r>
      <w:proofErr w:type="spellEnd"/>
      <w:r w:rsidRPr="00D16123">
        <w:rPr>
          <w:rFonts w:ascii="Arial" w:hAnsi="Arial" w:cs="Arial"/>
          <w:lang w:val="fr-FR"/>
        </w:rPr>
        <w:t>-Sahel Project. Report, 198 pages.</w:t>
      </w:r>
    </w:p>
    <w:p w14:paraId="1144BF50" w14:textId="77777777" w:rsidR="00D16123" w:rsidRPr="00D16123" w:rsidRDefault="00D16123" w:rsidP="00D16123">
      <w:pPr>
        <w:pStyle w:val="Body"/>
        <w:rPr>
          <w:rFonts w:ascii="Arial" w:hAnsi="Arial" w:cs="Arial"/>
          <w:lang w:val="fr-FR"/>
        </w:rPr>
      </w:pPr>
      <w:r w:rsidRPr="00D16123">
        <w:rPr>
          <w:rFonts w:ascii="Arial" w:hAnsi="Arial" w:cs="Arial"/>
          <w:lang w:val="fr-FR"/>
        </w:rPr>
        <w:lastRenderedPageBreak/>
        <w:t xml:space="preserve">Jauffret, S., </w:t>
      </w:r>
      <w:proofErr w:type="spellStart"/>
      <w:r w:rsidRPr="00D16123">
        <w:rPr>
          <w:rFonts w:ascii="Arial" w:hAnsi="Arial" w:cs="Arial"/>
          <w:lang w:val="fr-FR"/>
        </w:rPr>
        <w:t>Briki</w:t>
      </w:r>
      <w:proofErr w:type="spellEnd"/>
      <w:r w:rsidRPr="00D16123">
        <w:rPr>
          <w:rFonts w:ascii="Arial" w:hAnsi="Arial" w:cs="Arial"/>
          <w:lang w:val="fr-FR"/>
        </w:rPr>
        <w:t xml:space="preserve">, M., </w:t>
      </w:r>
      <w:proofErr w:type="spellStart"/>
      <w:r w:rsidRPr="00D16123">
        <w:rPr>
          <w:rFonts w:ascii="Arial" w:hAnsi="Arial" w:cs="Arial"/>
          <w:lang w:val="fr-FR"/>
        </w:rPr>
        <w:t>Dorsouma</w:t>
      </w:r>
      <w:proofErr w:type="spellEnd"/>
      <w:r w:rsidRPr="00D16123">
        <w:rPr>
          <w:rFonts w:ascii="Arial" w:hAnsi="Arial" w:cs="Arial"/>
          <w:lang w:val="fr-FR"/>
        </w:rPr>
        <w:t xml:space="preserve">, Al H., Khatra, N. B., </w:t>
      </w:r>
      <w:proofErr w:type="spellStart"/>
      <w:r w:rsidRPr="00D16123">
        <w:rPr>
          <w:rFonts w:ascii="Arial" w:hAnsi="Arial" w:cs="Arial"/>
          <w:lang w:val="fr-FR"/>
        </w:rPr>
        <w:t>Baubion</w:t>
      </w:r>
      <w:proofErr w:type="spellEnd"/>
      <w:r w:rsidRPr="00D16123">
        <w:rPr>
          <w:rFonts w:ascii="Arial" w:hAnsi="Arial" w:cs="Arial"/>
          <w:lang w:val="fr-FR"/>
        </w:rPr>
        <w:t xml:space="preserve">, C., &amp; Issa A., (2009). </w:t>
      </w:r>
      <w:proofErr w:type="spellStart"/>
      <w:r w:rsidRPr="00D16123">
        <w:rPr>
          <w:rFonts w:ascii="Arial" w:hAnsi="Arial" w:cs="Arial"/>
          <w:lang w:val="fr-FR"/>
        </w:rPr>
        <w:t>Ecological</w:t>
      </w:r>
      <w:proofErr w:type="spellEnd"/>
      <w:r w:rsidRPr="00D16123">
        <w:rPr>
          <w:rFonts w:ascii="Arial" w:hAnsi="Arial" w:cs="Arial"/>
          <w:lang w:val="fr-FR"/>
        </w:rPr>
        <w:t xml:space="preserve"> </w:t>
      </w:r>
      <w:proofErr w:type="spellStart"/>
      <w:r w:rsidRPr="00D16123">
        <w:rPr>
          <w:rFonts w:ascii="Arial" w:hAnsi="Arial" w:cs="Arial"/>
          <w:lang w:val="fr-FR"/>
        </w:rPr>
        <w:t>Indicators</w:t>
      </w:r>
      <w:proofErr w:type="spellEnd"/>
      <w:r w:rsidRPr="00D16123">
        <w:rPr>
          <w:rFonts w:ascii="Arial" w:hAnsi="Arial" w:cs="Arial"/>
          <w:lang w:val="fr-FR"/>
        </w:rPr>
        <w:t xml:space="preserve"> of </w:t>
      </w:r>
      <w:proofErr w:type="spellStart"/>
      <w:r w:rsidRPr="00D16123">
        <w:rPr>
          <w:rFonts w:ascii="Arial" w:hAnsi="Arial" w:cs="Arial"/>
          <w:lang w:val="fr-FR"/>
        </w:rPr>
        <w:t>Roselt</w:t>
      </w:r>
      <w:proofErr w:type="spellEnd"/>
      <w:r w:rsidRPr="00D16123">
        <w:rPr>
          <w:rFonts w:ascii="Arial" w:hAnsi="Arial" w:cs="Arial"/>
          <w:lang w:val="fr-FR"/>
        </w:rPr>
        <w:t xml:space="preserve">/OSS, </w:t>
      </w:r>
      <w:proofErr w:type="spellStart"/>
      <w:r w:rsidRPr="00D16123">
        <w:rPr>
          <w:rFonts w:ascii="Arial" w:hAnsi="Arial" w:cs="Arial"/>
          <w:lang w:val="fr-FR"/>
        </w:rPr>
        <w:t>Desertification</w:t>
      </w:r>
      <w:proofErr w:type="spellEnd"/>
      <w:r w:rsidRPr="00D16123">
        <w:rPr>
          <w:rFonts w:ascii="Arial" w:hAnsi="Arial" w:cs="Arial"/>
          <w:lang w:val="fr-FR"/>
        </w:rPr>
        <w:t xml:space="preserve"> and </w:t>
      </w:r>
      <w:proofErr w:type="spellStart"/>
      <w:r w:rsidRPr="00D16123">
        <w:rPr>
          <w:rFonts w:ascii="Arial" w:hAnsi="Arial" w:cs="Arial"/>
          <w:lang w:val="fr-FR"/>
        </w:rPr>
        <w:t>Biodiversity</w:t>
      </w:r>
      <w:proofErr w:type="spellEnd"/>
      <w:r w:rsidRPr="00D16123">
        <w:rPr>
          <w:rFonts w:ascii="Arial" w:hAnsi="Arial" w:cs="Arial"/>
          <w:lang w:val="fr-FR"/>
        </w:rPr>
        <w:t xml:space="preserve"> of </w:t>
      </w:r>
      <w:proofErr w:type="spellStart"/>
      <w:r w:rsidRPr="00D16123">
        <w:rPr>
          <w:rFonts w:ascii="Arial" w:hAnsi="Arial" w:cs="Arial"/>
          <w:lang w:val="fr-FR"/>
        </w:rPr>
        <w:t>Circum-Saharan</w:t>
      </w:r>
      <w:proofErr w:type="spellEnd"/>
      <w:r w:rsidRPr="00D16123">
        <w:rPr>
          <w:rFonts w:ascii="Arial" w:hAnsi="Arial" w:cs="Arial"/>
          <w:lang w:val="fr-FR"/>
        </w:rPr>
        <w:t xml:space="preserve"> </w:t>
      </w:r>
      <w:proofErr w:type="spellStart"/>
      <w:r w:rsidRPr="00D16123">
        <w:rPr>
          <w:rFonts w:ascii="Arial" w:hAnsi="Arial" w:cs="Arial"/>
          <w:lang w:val="fr-FR"/>
        </w:rPr>
        <w:t>Ecosystems</w:t>
      </w:r>
      <w:proofErr w:type="spellEnd"/>
      <w:r w:rsidRPr="00D16123">
        <w:rPr>
          <w:rFonts w:ascii="Arial" w:hAnsi="Arial" w:cs="Arial"/>
          <w:lang w:val="fr-FR"/>
        </w:rPr>
        <w:t xml:space="preserve">. </w:t>
      </w:r>
      <w:proofErr w:type="spellStart"/>
      <w:r w:rsidRPr="00D16123">
        <w:rPr>
          <w:rFonts w:ascii="Arial" w:hAnsi="Arial" w:cs="Arial"/>
          <w:lang w:val="fr-FR"/>
        </w:rPr>
        <w:t>Introductory</w:t>
      </w:r>
      <w:proofErr w:type="spellEnd"/>
      <w:r w:rsidRPr="00D16123">
        <w:rPr>
          <w:rFonts w:ascii="Arial" w:hAnsi="Arial" w:cs="Arial"/>
          <w:lang w:val="fr-FR"/>
        </w:rPr>
        <w:t xml:space="preserve"> Note No. 4, 52 p.</w:t>
      </w:r>
    </w:p>
    <w:p w14:paraId="156C18DC" w14:textId="77777777" w:rsidR="00D16123" w:rsidRPr="00D16123" w:rsidRDefault="00D16123" w:rsidP="00D16123">
      <w:pPr>
        <w:pStyle w:val="Body"/>
        <w:rPr>
          <w:rFonts w:ascii="Arial" w:hAnsi="Arial" w:cs="Arial"/>
          <w:lang w:val="fr-FR"/>
        </w:rPr>
      </w:pPr>
      <w:proofErr w:type="spellStart"/>
      <w:r w:rsidRPr="00D16123">
        <w:rPr>
          <w:rFonts w:ascii="Arial" w:hAnsi="Arial" w:cs="Arial"/>
          <w:lang w:val="fr-FR"/>
        </w:rPr>
        <w:t>Kiema</w:t>
      </w:r>
      <w:proofErr w:type="spellEnd"/>
      <w:r w:rsidRPr="00D16123">
        <w:rPr>
          <w:rFonts w:ascii="Arial" w:hAnsi="Arial" w:cs="Arial"/>
          <w:lang w:val="fr-FR"/>
        </w:rPr>
        <w:t xml:space="preserve">, A., </w:t>
      </w:r>
      <w:proofErr w:type="spellStart"/>
      <w:r w:rsidRPr="00D16123">
        <w:rPr>
          <w:rFonts w:ascii="Arial" w:hAnsi="Arial" w:cs="Arial"/>
          <w:lang w:val="fr-FR"/>
        </w:rPr>
        <w:t>Nacro</w:t>
      </w:r>
      <w:proofErr w:type="spellEnd"/>
      <w:r w:rsidRPr="00D16123">
        <w:rPr>
          <w:rFonts w:ascii="Arial" w:hAnsi="Arial" w:cs="Arial"/>
          <w:lang w:val="fr-FR"/>
        </w:rPr>
        <w:t xml:space="preserve">, H. B., &amp; </w:t>
      </w:r>
      <w:proofErr w:type="spellStart"/>
      <w:r w:rsidRPr="00D16123">
        <w:rPr>
          <w:rFonts w:ascii="Arial" w:hAnsi="Arial" w:cs="Arial"/>
          <w:lang w:val="fr-FR"/>
        </w:rPr>
        <w:t>Nianogo</w:t>
      </w:r>
      <w:proofErr w:type="spellEnd"/>
      <w:r w:rsidRPr="00D16123">
        <w:rPr>
          <w:rFonts w:ascii="Arial" w:hAnsi="Arial" w:cs="Arial"/>
          <w:lang w:val="fr-FR"/>
        </w:rPr>
        <w:t xml:space="preserve"> A.J., (2012). </w:t>
      </w:r>
      <w:proofErr w:type="spellStart"/>
      <w:r w:rsidRPr="00D16123">
        <w:rPr>
          <w:rFonts w:ascii="Arial" w:hAnsi="Arial" w:cs="Arial"/>
          <w:lang w:val="fr-FR"/>
        </w:rPr>
        <w:t>Effects</w:t>
      </w:r>
      <w:proofErr w:type="spellEnd"/>
      <w:r w:rsidRPr="00D16123">
        <w:rPr>
          <w:rFonts w:ascii="Arial" w:hAnsi="Arial" w:cs="Arial"/>
          <w:lang w:val="fr-FR"/>
        </w:rPr>
        <w:t xml:space="preserve"> of Stone Lines and Scarification on the Physical and Chemical </w:t>
      </w:r>
      <w:proofErr w:type="spellStart"/>
      <w:r w:rsidRPr="00D16123">
        <w:rPr>
          <w:rFonts w:ascii="Arial" w:hAnsi="Arial" w:cs="Arial"/>
          <w:lang w:val="fr-FR"/>
        </w:rPr>
        <w:t>Characteristics</w:t>
      </w:r>
      <w:proofErr w:type="spellEnd"/>
      <w:r w:rsidRPr="00D16123">
        <w:rPr>
          <w:rFonts w:ascii="Arial" w:hAnsi="Arial" w:cs="Arial"/>
          <w:lang w:val="fr-FR"/>
        </w:rPr>
        <w:t xml:space="preserve"> of the </w:t>
      </w:r>
      <w:proofErr w:type="spellStart"/>
      <w:r w:rsidRPr="00D16123">
        <w:rPr>
          <w:rFonts w:ascii="Arial" w:hAnsi="Arial" w:cs="Arial"/>
          <w:lang w:val="fr-FR"/>
        </w:rPr>
        <w:t>Soil</w:t>
      </w:r>
      <w:proofErr w:type="spellEnd"/>
      <w:r w:rsidRPr="00D16123">
        <w:rPr>
          <w:rFonts w:ascii="Arial" w:hAnsi="Arial" w:cs="Arial"/>
          <w:lang w:val="fr-FR"/>
        </w:rPr>
        <w:t xml:space="preserve"> of a Glacis Pasture in Burkina Faso. </w:t>
      </w:r>
      <w:proofErr w:type="spellStart"/>
      <w:r w:rsidRPr="00D16123">
        <w:rPr>
          <w:rFonts w:ascii="Arial" w:hAnsi="Arial" w:cs="Arial"/>
          <w:lang w:val="fr-FR"/>
        </w:rPr>
        <w:t>Rev</w:t>
      </w:r>
      <w:proofErr w:type="spellEnd"/>
      <w:r w:rsidRPr="00D16123">
        <w:rPr>
          <w:rFonts w:ascii="Arial" w:hAnsi="Arial" w:cs="Arial"/>
          <w:lang w:val="fr-FR"/>
        </w:rPr>
        <w:t>. CAMES-</w:t>
      </w:r>
      <w:proofErr w:type="spellStart"/>
      <w:r w:rsidRPr="00D16123">
        <w:rPr>
          <w:rFonts w:ascii="Arial" w:hAnsi="Arial" w:cs="Arial"/>
          <w:lang w:val="fr-FR"/>
        </w:rPr>
        <w:t>Series</w:t>
      </w:r>
      <w:proofErr w:type="spellEnd"/>
      <w:r w:rsidRPr="00D16123">
        <w:rPr>
          <w:rFonts w:ascii="Arial" w:hAnsi="Arial" w:cs="Arial"/>
          <w:lang w:val="fr-FR"/>
        </w:rPr>
        <w:t xml:space="preserve"> A, 13 (</w:t>
      </w:r>
      <w:proofErr w:type="spellStart"/>
      <w:r w:rsidRPr="00D16123">
        <w:rPr>
          <w:rFonts w:ascii="Arial" w:hAnsi="Arial" w:cs="Arial"/>
          <w:lang w:val="fr-FR"/>
        </w:rPr>
        <w:t>Suppl</w:t>
      </w:r>
      <w:proofErr w:type="spellEnd"/>
      <w:r w:rsidRPr="00D16123">
        <w:rPr>
          <w:rFonts w:ascii="Arial" w:hAnsi="Arial" w:cs="Arial"/>
          <w:lang w:val="fr-FR"/>
        </w:rPr>
        <w:t xml:space="preserve"> 2), 94-97.</w:t>
      </w:r>
    </w:p>
    <w:p w14:paraId="6F027D9F" w14:textId="77777777" w:rsidR="00D16123" w:rsidRPr="00D16123" w:rsidRDefault="00D16123" w:rsidP="00D16123">
      <w:pPr>
        <w:pStyle w:val="Body"/>
        <w:rPr>
          <w:rFonts w:ascii="Arial" w:hAnsi="Arial" w:cs="Arial"/>
          <w:lang w:val="fr-FR"/>
        </w:rPr>
      </w:pPr>
      <w:r w:rsidRPr="00D16123">
        <w:rPr>
          <w:rFonts w:ascii="Arial" w:hAnsi="Arial" w:cs="Arial"/>
          <w:lang w:val="fr-FR"/>
        </w:rPr>
        <w:t xml:space="preserve">Mazoyer, M. &amp; </w:t>
      </w:r>
      <w:proofErr w:type="spellStart"/>
      <w:r w:rsidRPr="00D16123">
        <w:rPr>
          <w:rFonts w:ascii="Arial" w:hAnsi="Arial" w:cs="Arial"/>
          <w:lang w:val="fr-FR"/>
        </w:rPr>
        <w:t>Roudart</w:t>
      </w:r>
      <w:proofErr w:type="spellEnd"/>
      <w:r w:rsidRPr="00D16123">
        <w:rPr>
          <w:rFonts w:ascii="Arial" w:hAnsi="Arial" w:cs="Arial"/>
          <w:lang w:val="fr-FR"/>
        </w:rPr>
        <w:t xml:space="preserve">, L. (2002). </w:t>
      </w:r>
      <w:proofErr w:type="spellStart"/>
      <w:r w:rsidRPr="00D16123">
        <w:rPr>
          <w:rFonts w:ascii="Arial" w:hAnsi="Arial" w:cs="Arial"/>
          <w:lang w:val="fr-FR"/>
        </w:rPr>
        <w:t>History</w:t>
      </w:r>
      <w:proofErr w:type="spellEnd"/>
      <w:r w:rsidRPr="00D16123">
        <w:rPr>
          <w:rFonts w:ascii="Arial" w:hAnsi="Arial" w:cs="Arial"/>
          <w:lang w:val="fr-FR"/>
        </w:rPr>
        <w:t xml:space="preserve"> of World </w:t>
      </w:r>
      <w:proofErr w:type="gramStart"/>
      <w:r w:rsidRPr="00D16123">
        <w:rPr>
          <w:rFonts w:ascii="Arial" w:hAnsi="Arial" w:cs="Arial"/>
          <w:lang w:val="fr-FR"/>
        </w:rPr>
        <w:t>Agriculture:</w:t>
      </w:r>
      <w:proofErr w:type="gramEnd"/>
      <w:r w:rsidRPr="00D16123">
        <w:rPr>
          <w:rFonts w:ascii="Arial" w:hAnsi="Arial" w:cs="Arial"/>
          <w:lang w:val="fr-FR"/>
        </w:rPr>
        <w:t xml:space="preserve"> </w:t>
      </w:r>
      <w:proofErr w:type="spellStart"/>
      <w:r w:rsidRPr="00D16123">
        <w:rPr>
          <w:rFonts w:ascii="Arial" w:hAnsi="Arial" w:cs="Arial"/>
          <w:lang w:val="fr-FR"/>
        </w:rPr>
        <w:t>From</w:t>
      </w:r>
      <w:proofErr w:type="spellEnd"/>
      <w:r w:rsidRPr="00D16123">
        <w:rPr>
          <w:rFonts w:ascii="Arial" w:hAnsi="Arial" w:cs="Arial"/>
          <w:lang w:val="fr-FR"/>
        </w:rPr>
        <w:t xml:space="preserve"> the </w:t>
      </w:r>
      <w:proofErr w:type="spellStart"/>
      <w:r w:rsidRPr="00D16123">
        <w:rPr>
          <w:rFonts w:ascii="Arial" w:hAnsi="Arial" w:cs="Arial"/>
          <w:lang w:val="fr-FR"/>
        </w:rPr>
        <w:t>Neolithic</w:t>
      </w:r>
      <w:proofErr w:type="spellEnd"/>
      <w:r w:rsidRPr="00D16123">
        <w:rPr>
          <w:rFonts w:ascii="Arial" w:hAnsi="Arial" w:cs="Arial"/>
          <w:lang w:val="fr-FR"/>
        </w:rPr>
        <w:t xml:space="preserve"> to the </w:t>
      </w:r>
      <w:proofErr w:type="spellStart"/>
      <w:r w:rsidRPr="00D16123">
        <w:rPr>
          <w:rFonts w:ascii="Arial" w:hAnsi="Arial" w:cs="Arial"/>
          <w:lang w:val="fr-FR"/>
        </w:rPr>
        <w:t>Contemporary</w:t>
      </w:r>
      <w:proofErr w:type="spellEnd"/>
      <w:r w:rsidRPr="00D16123">
        <w:rPr>
          <w:rFonts w:ascii="Arial" w:hAnsi="Arial" w:cs="Arial"/>
          <w:lang w:val="fr-FR"/>
        </w:rPr>
        <w:t xml:space="preserve"> Crisis. Paris, Éd. </w:t>
      </w:r>
      <w:proofErr w:type="gramStart"/>
      <w:r w:rsidRPr="00D16123">
        <w:rPr>
          <w:rFonts w:ascii="Arial" w:hAnsi="Arial" w:cs="Arial"/>
          <w:lang w:val="fr-FR"/>
        </w:rPr>
        <w:t>du</w:t>
      </w:r>
      <w:proofErr w:type="gramEnd"/>
      <w:r w:rsidRPr="00D16123">
        <w:rPr>
          <w:rFonts w:ascii="Arial" w:hAnsi="Arial" w:cs="Arial"/>
          <w:lang w:val="fr-FR"/>
        </w:rPr>
        <w:t xml:space="preserve"> Seuil. 705 p.</w:t>
      </w:r>
    </w:p>
    <w:p w14:paraId="4D9A2476" w14:textId="77777777" w:rsidR="00D16123" w:rsidRPr="00D16123" w:rsidRDefault="00D16123" w:rsidP="00D16123">
      <w:pPr>
        <w:pStyle w:val="Body"/>
        <w:rPr>
          <w:rFonts w:ascii="Arial" w:hAnsi="Arial" w:cs="Arial"/>
          <w:lang w:val="fr-FR"/>
        </w:rPr>
      </w:pPr>
      <w:r w:rsidRPr="00D16123">
        <w:rPr>
          <w:rFonts w:ascii="Arial" w:hAnsi="Arial" w:cs="Arial"/>
          <w:lang w:val="fr-FR"/>
        </w:rPr>
        <w:t xml:space="preserve">Ouédraogo, B., Kaboré, O., &amp; Kaboré, M. (2019). Quantitative Mapping of </w:t>
      </w:r>
      <w:proofErr w:type="spellStart"/>
      <w:r w:rsidRPr="00D16123">
        <w:rPr>
          <w:rFonts w:ascii="Arial" w:hAnsi="Arial" w:cs="Arial"/>
          <w:lang w:val="fr-FR"/>
        </w:rPr>
        <w:t>Soil</w:t>
      </w:r>
      <w:proofErr w:type="spellEnd"/>
      <w:r w:rsidRPr="00D16123">
        <w:rPr>
          <w:rFonts w:ascii="Arial" w:hAnsi="Arial" w:cs="Arial"/>
          <w:lang w:val="fr-FR"/>
        </w:rPr>
        <w:t xml:space="preserve"> Erosion </w:t>
      </w:r>
      <w:proofErr w:type="spellStart"/>
      <w:r w:rsidRPr="00D16123">
        <w:rPr>
          <w:rFonts w:ascii="Arial" w:hAnsi="Arial" w:cs="Arial"/>
          <w:lang w:val="fr-FR"/>
        </w:rPr>
        <w:t>Using</w:t>
      </w:r>
      <w:proofErr w:type="spellEnd"/>
      <w:r w:rsidRPr="00D16123">
        <w:rPr>
          <w:rFonts w:ascii="Arial" w:hAnsi="Arial" w:cs="Arial"/>
          <w:lang w:val="fr-FR"/>
        </w:rPr>
        <w:t xml:space="preserve"> a GIS/RUSLE </w:t>
      </w:r>
      <w:proofErr w:type="spellStart"/>
      <w:r w:rsidRPr="00D16123">
        <w:rPr>
          <w:rFonts w:ascii="Arial" w:hAnsi="Arial" w:cs="Arial"/>
          <w:lang w:val="fr-FR"/>
        </w:rPr>
        <w:t>Approach</w:t>
      </w:r>
      <w:proofErr w:type="spellEnd"/>
      <w:r w:rsidRPr="00D16123">
        <w:rPr>
          <w:rFonts w:ascii="Arial" w:hAnsi="Arial" w:cs="Arial"/>
          <w:lang w:val="fr-FR"/>
        </w:rPr>
        <w:t xml:space="preserve"> in the </w:t>
      </w:r>
      <w:proofErr w:type="spellStart"/>
      <w:r w:rsidRPr="00D16123">
        <w:rPr>
          <w:rFonts w:ascii="Arial" w:hAnsi="Arial" w:cs="Arial"/>
          <w:lang w:val="fr-FR"/>
        </w:rPr>
        <w:t>Municipality</w:t>
      </w:r>
      <w:proofErr w:type="spellEnd"/>
      <w:r w:rsidRPr="00D16123">
        <w:rPr>
          <w:rFonts w:ascii="Arial" w:hAnsi="Arial" w:cs="Arial"/>
          <w:lang w:val="fr-FR"/>
        </w:rPr>
        <w:t xml:space="preserve"> of </w:t>
      </w:r>
      <w:proofErr w:type="spellStart"/>
      <w:r w:rsidRPr="00D16123">
        <w:rPr>
          <w:rFonts w:ascii="Arial" w:hAnsi="Arial" w:cs="Arial"/>
          <w:lang w:val="fr-FR"/>
        </w:rPr>
        <w:t>Karangasso</w:t>
      </w:r>
      <w:proofErr w:type="spellEnd"/>
      <w:r w:rsidRPr="00D16123">
        <w:rPr>
          <w:rFonts w:ascii="Arial" w:hAnsi="Arial" w:cs="Arial"/>
          <w:lang w:val="fr-FR"/>
        </w:rPr>
        <w:t xml:space="preserve"> </w:t>
      </w:r>
      <w:proofErr w:type="spellStart"/>
      <w:r w:rsidRPr="00D16123">
        <w:rPr>
          <w:rFonts w:ascii="Arial" w:hAnsi="Arial" w:cs="Arial"/>
          <w:lang w:val="fr-FR"/>
        </w:rPr>
        <w:t>Vigué</w:t>
      </w:r>
      <w:proofErr w:type="spellEnd"/>
      <w:r w:rsidRPr="00D16123">
        <w:rPr>
          <w:rFonts w:ascii="Arial" w:hAnsi="Arial" w:cs="Arial"/>
          <w:lang w:val="fr-FR"/>
        </w:rPr>
        <w:t xml:space="preserve"> (Burkina Faso). International Journal of </w:t>
      </w:r>
      <w:proofErr w:type="spellStart"/>
      <w:r w:rsidRPr="00D16123">
        <w:rPr>
          <w:rFonts w:ascii="Arial" w:hAnsi="Arial" w:cs="Arial"/>
          <w:lang w:val="fr-FR"/>
        </w:rPr>
        <w:t>Biological</w:t>
      </w:r>
      <w:proofErr w:type="spellEnd"/>
      <w:r w:rsidRPr="00D16123">
        <w:rPr>
          <w:rFonts w:ascii="Arial" w:hAnsi="Arial" w:cs="Arial"/>
          <w:lang w:val="fr-FR"/>
        </w:rPr>
        <w:t xml:space="preserve"> and Chemical Sciences, 13(3), 1638-1653. </w:t>
      </w:r>
      <w:proofErr w:type="gramStart"/>
      <w:r w:rsidRPr="00D16123">
        <w:rPr>
          <w:rFonts w:ascii="Arial" w:hAnsi="Arial" w:cs="Arial"/>
          <w:lang w:val="fr-FR"/>
        </w:rPr>
        <w:t>DOI:</w:t>
      </w:r>
      <w:proofErr w:type="gramEnd"/>
      <w:r w:rsidRPr="00D16123">
        <w:rPr>
          <w:rFonts w:ascii="Arial" w:hAnsi="Arial" w:cs="Arial"/>
          <w:lang w:val="fr-FR"/>
        </w:rPr>
        <w:t xml:space="preserve"> https://dx.doi.org/10.4314/ijbcs.v13i3.35</w:t>
      </w:r>
    </w:p>
    <w:p w14:paraId="2D75ABB1" w14:textId="77777777" w:rsidR="00D16123" w:rsidRPr="00D16123" w:rsidRDefault="00D16123" w:rsidP="00D16123">
      <w:pPr>
        <w:pStyle w:val="Body"/>
        <w:rPr>
          <w:rFonts w:ascii="Arial" w:hAnsi="Arial" w:cs="Arial"/>
          <w:lang w:val="fr-FR"/>
        </w:rPr>
      </w:pPr>
      <w:r w:rsidRPr="00D16123">
        <w:rPr>
          <w:rFonts w:ascii="Arial" w:hAnsi="Arial" w:cs="Arial"/>
          <w:lang w:val="fr-FR"/>
        </w:rPr>
        <w:t xml:space="preserve">Pieri, C. (1989). </w:t>
      </w:r>
      <w:proofErr w:type="spellStart"/>
      <w:r w:rsidRPr="00D16123">
        <w:rPr>
          <w:rFonts w:ascii="Arial" w:hAnsi="Arial" w:cs="Arial"/>
          <w:lang w:val="fr-FR"/>
        </w:rPr>
        <w:t>Fertility</w:t>
      </w:r>
      <w:proofErr w:type="spellEnd"/>
      <w:r w:rsidRPr="00D16123">
        <w:rPr>
          <w:rFonts w:ascii="Arial" w:hAnsi="Arial" w:cs="Arial"/>
          <w:lang w:val="fr-FR"/>
        </w:rPr>
        <w:t xml:space="preserve"> of Savannah </w:t>
      </w:r>
      <w:proofErr w:type="gramStart"/>
      <w:r w:rsidRPr="00D16123">
        <w:rPr>
          <w:rFonts w:ascii="Arial" w:hAnsi="Arial" w:cs="Arial"/>
          <w:lang w:val="fr-FR"/>
        </w:rPr>
        <w:t>Lands:</w:t>
      </w:r>
      <w:proofErr w:type="gramEnd"/>
      <w:r w:rsidRPr="00D16123">
        <w:rPr>
          <w:rFonts w:ascii="Arial" w:hAnsi="Arial" w:cs="Arial"/>
          <w:lang w:val="fr-FR"/>
        </w:rPr>
        <w:t xml:space="preserve"> A </w:t>
      </w:r>
      <w:proofErr w:type="spellStart"/>
      <w:r w:rsidRPr="00D16123">
        <w:rPr>
          <w:rFonts w:ascii="Arial" w:hAnsi="Arial" w:cs="Arial"/>
          <w:lang w:val="fr-FR"/>
        </w:rPr>
        <w:t>Review</w:t>
      </w:r>
      <w:proofErr w:type="spellEnd"/>
      <w:r w:rsidRPr="00D16123">
        <w:rPr>
          <w:rFonts w:ascii="Arial" w:hAnsi="Arial" w:cs="Arial"/>
          <w:lang w:val="fr-FR"/>
        </w:rPr>
        <w:t xml:space="preserve"> of </w:t>
      </w:r>
      <w:proofErr w:type="spellStart"/>
      <w:r w:rsidRPr="00D16123">
        <w:rPr>
          <w:rFonts w:ascii="Arial" w:hAnsi="Arial" w:cs="Arial"/>
          <w:lang w:val="fr-FR"/>
        </w:rPr>
        <w:t>Thirty</w:t>
      </w:r>
      <w:proofErr w:type="spellEnd"/>
      <w:r w:rsidRPr="00D16123">
        <w:rPr>
          <w:rFonts w:ascii="Arial" w:hAnsi="Arial" w:cs="Arial"/>
          <w:lang w:val="fr-FR"/>
        </w:rPr>
        <w:t xml:space="preserve"> </w:t>
      </w:r>
      <w:proofErr w:type="spellStart"/>
      <w:r w:rsidRPr="00D16123">
        <w:rPr>
          <w:rFonts w:ascii="Arial" w:hAnsi="Arial" w:cs="Arial"/>
          <w:lang w:val="fr-FR"/>
        </w:rPr>
        <w:t>Years</w:t>
      </w:r>
      <w:proofErr w:type="spellEnd"/>
      <w:r w:rsidRPr="00D16123">
        <w:rPr>
          <w:rFonts w:ascii="Arial" w:hAnsi="Arial" w:cs="Arial"/>
          <w:lang w:val="fr-FR"/>
        </w:rPr>
        <w:t xml:space="preserve"> of Agricultural </w:t>
      </w:r>
      <w:proofErr w:type="spellStart"/>
      <w:r w:rsidRPr="00D16123">
        <w:rPr>
          <w:rFonts w:ascii="Arial" w:hAnsi="Arial" w:cs="Arial"/>
          <w:lang w:val="fr-FR"/>
        </w:rPr>
        <w:t>Research</w:t>
      </w:r>
      <w:proofErr w:type="spellEnd"/>
      <w:r w:rsidRPr="00D16123">
        <w:rPr>
          <w:rFonts w:ascii="Arial" w:hAnsi="Arial" w:cs="Arial"/>
          <w:lang w:val="fr-FR"/>
        </w:rPr>
        <w:t xml:space="preserve"> and </w:t>
      </w:r>
      <w:proofErr w:type="spellStart"/>
      <w:r w:rsidRPr="00D16123">
        <w:rPr>
          <w:rFonts w:ascii="Arial" w:hAnsi="Arial" w:cs="Arial"/>
          <w:lang w:val="fr-FR"/>
        </w:rPr>
        <w:t>Development</w:t>
      </w:r>
      <w:proofErr w:type="spellEnd"/>
      <w:r w:rsidRPr="00D16123">
        <w:rPr>
          <w:rFonts w:ascii="Arial" w:hAnsi="Arial" w:cs="Arial"/>
          <w:lang w:val="fr-FR"/>
        </w:rPr>
        <w:t xml:space="preserve"> South of the Sahara. Ministry of </w:t>
      </w:r>
      <w:proofErr w:type="spellStart"/>
      <w:r w:rsidRPr="00D16123">
        <w:rPr>
          <w:rFonts w:ascii="Arial" w:hAnsi="Arial" w:cs="Arial"/>
          <w:lang w:val="fr-FR"/>
        </w:rPr>
        <w:t>Cooperation</w:t>
      </w:r>
      <w:proofErr w:type="spellEnd"/>
      <w:r w:rsidRPr="00D16123">
        <w:rPr>
          <w:rFonts w:ascii="Arial" w:hAnsi="Arial" w:cs="Arial"/>
          <w:lang w:val="fr-FR"/>
        </w:rPr>
        <w:t>, France, 444 p.</w:t>
      </w:r>
    </w:p>
    <w:p w14:paraId="16488390" w14:textId="77777777" w:rsidR="00D16123" w:rsidRPr="00D16123" w:rsidRDefault="00D16123" w:rsidP="00D16123">
      <w:pPr>
        <w:pStyle w:val="Body"/>
        <w:rPr>
          <w:rFonts w:ascii="Arial" w:hAnsi="Arial" w:cs="Arial"/>
          <w:lang w:val="fr-FR"/>
        </w:rPr>
      </w:pPr>
      <w:proofErr w:type="spellStart"/>
      <w:r w:rsidRPr="00D16123">
        <w:rPr>
          <w:rFonts w:ascii="Arial" w:hAnsi="Arial" w:cs="Arial"/>
          <w:lang w:val="fr-FR"/>
        </w:rPr>
        <w:t>Sainju</w:t>
      </w:r>
      <w:proofErr w:type="spellEnd"/>
      <w:r w:rsidRPr="00D16123">
        <w:rPr>
          <w:rFonts w:ascii="Arial" w:hAnsi="Arial" w:cs="Arial"/>
          <w:lang w:val="fr-FR"/>
        </w:rPr>
        <w:t xml:space="preserve">, U.M., </w:t>
      </w:r>
      <w:proofErr w:type="spellStart"/>
      <w:r w:rsidRPr="00D16123">
        <w:rPr>
          <w:rFonts w:ascii="Arial" w:hAnsi="Arial" w:cs="Arial"/>
          <w:lang w:val="fr-FR"/>
        </w:rPr>
        <w:t>Terrill</w:t>
      </w:r>
      <w:proofErr w:type="spellEnd"/>
      <w:r w:rsidRPr="00D16123">
        <w:rPr>
          <w:rFonts w:ascii="Arial" w:hAnsi="Arial" w:cs="Arial"/>
          <w:lang w:val="fr-FR"/>
        </w:rPr>
        <w:t xml:space="preserve">, T.H., </w:t>
      </w:r>
      <w:proofErr w:type="spellStart"/>
      <w:r w:rsidRPr="00D16123">
        <w:rPr>
          <w:rFonts w:ascii="Arial" w:hAnsi="Arial" w:cs="Arial"/>
          <w:lang w:val="fr-FR"/>
        </w:rPr>
        <w:t>Gelaye</w:t>
      </w:r>
      <w:proofErr w:type="spellEnd"/>
      <w:r w:rsidRPr="00D16123">
        <w:rPr>
          <w:rFonts w:ascii="Arial" w:hAnsi="Arial" w:cs="Arial"/>
          <w:lang w:val="fr-FR"/>
        </w:rPr>
        <w:t xml:space="preserve">, S., &amp; Singh B.P., (2003). </w:t>
      </w:r>
      <w:proofErr w:type="spellStart"/>
      <w:r w:rsidRPr="00D16123">
        <w:rPr>
          <w:rFonts w:ascii="Arial" w:hAnsi="Arial" w:cs="Arial"/>
          <w:lang w:val="fr-FR"/>
        </w:rPr>
        <w:t>Soil</w:t>
      </w:r>
      <w:proofErr w:type="spellEnd"/>
      <w:r w:rsidRPr="00D16123">
        <w:rPr>
          <w:rFonts w:ascii="Arial" w:hAnsi="Arial" w:cs="Arial"/>
          <w:lang w:val="fr-FR"/>
        </w:rPr>
        <w:t xml:space="preserve"> </w:t>
      </w:r>
      <w:proofErr w:type="spellStart"/>
      <w:r w:rsidRPr="00D16123">
        <w:rPr>
          <w:rFonts w:ascii="Arial" w:hAnsi="Arial" w:cs="Arial"/>
          <w:lang w:val="fr-FR"/>
        </w:rPr>
        <w:t>aggregation</w:t>
      </w:r>
      <w:proofErr w:type="spellEnd"/>
      <w:r w:rsidRPr="00D16123">
        <w:rPr>
          <w:rFonts w:ascii="Arial" w:hAnsi="Arial" w:cs="Arial"/>
          <w:lang w:val="fr-FR"/>
        </w:rPr>
        <w:t xml:space="preserve"> and </w:t>
      </w:r>
      <w:proofErr w:type="spellStart"/>
      <w:r w:rsidRPr="00D16123">
        <w:rPr>
          <w:rFonts w:ascii="Arial" w:hAnsi="Arial" w:cs="Arial"/>
          <w:lang w:val="fr-FR"/>
        </w:rPr>
        <w:t>carbon</w:t>
      </w:r>
      <w:proofErr w:type="spellEnd"/>
      <w:r w:rsidRPr="00D16123">
        <w:rPr>
          <w:rFonts w:ascii="Arial" w:hAnsi="Arial" w:cs="Arial"/>
          <w:lang w:val="fr-FR"/>
        </w:rPr>
        <w:t xml:space="preserve"> and </w:t>
      </w:r>
      <w:proofErr w:type="spellStart"/>
      <w:r w:rsidRPr="00D16123">
        <w:rPr>
          <w:rFonts w:ascii="Arial" w:hAnsi="Arial" w:cs="Arial"/>
          <w:lang w:val="fr-FR"/>
        </w:rPr>
        <w:t>nitrogen</w:t>
      </w:r>
      <w:proofErr w:type="spellEnd"/>
      <w:r w:rsidRPr="00D16123">
        <w:rPr>
          <w:rFonts w:ascii="Arial" w:hAnsi="Arial" w:cs="Arial"/>
          <w:lang w:val="fr-FR"/>
        </w:rPr>
        <w:t xml:space="preserve"> pools </w:t>
      </w:r>
      <w:proofErr w:type="spellStart"/>
      <w:r w:rsidRPr="00D16123">
        <w:rPr>
          <w:rFonts w:ascii="Arial" w:hAnsi="Arial" w:cs="Arial"/>
          <w:lang w:val="fr-FR"/>
        </w:rPr>
        <w:t>under</w:t>
      </w:r>
      <w:proofErr w:type="spellEnd"/>
      <w:r w:rsidRPr="00D16123">
        <w:rPr>
          <w:rFonts w:ascii="Arial" w:hAnsi="Arial" w:cs="Arial"/>
          <w:lang w:val="fr-FR"/>
        </w:rPr>
        <w:t xml:space="preserve"> </w:t>
      </w:r>
      <w:proofErr w:type="spellStart"/>
      <w:r w:rsidRPr="00D16123">
        <w:rPr>
          <w:rFonts w:ascii="Arial" w:hAnsi="Arial" w:cs="Arial"/>
          <w:lang w:val="fr-FR"/>
        </w:rPr>
        <w:t>peanut</w:t>
      </w:r>
      <w:proofErr w:type="spellEnd"/>
      <w:r w:rsidRPr="00D16123">
        <w:rPr>
          <w:rFonts w:ascii="Arial" w:hAnsi="Arial" w:cs="Arial"/>
          <w:lang w:val="fr-FR"/>
        </w:rPr>
        <w:t xml:space="preserve"> </w:t>
      </w:r>
      <w:proofErr w:type="spellStart"/>
      <w:r w:rsidRPr="00D16123">
        <w:rPr>
          <w:rFonts w:ascii="Arial" w:hAnsi="Arial" w:cs="Arial"/>
          <w:lang w:val="fr-FR"/>
        </w:rPr>
        <w:t>rhizoma</w:t>
      </w:r>
      <w:proofErr w:type="spellEnd"/>
      <w:r w:rsidRPr="00D16123">
        <w:rPr>
          <w:rFonts w:ascii="Arial" w:hAnsi="Arial" w:cs="Arial"/>
          <w:lang w:val="fr-FR"/>
        </w:rPr>
        <w:t xml:space="preserve"> and </w:t>
      </w:r>
      <w:proofErr w:type="spellStart"/>
      <w:r w:rsidRPr="00D16123">
        <w:rPr>
          <w:rFonts w:ascii="Arial" w:hAnsi="Arial" w:cs="Arial"/>
          <w:lang w:val="fr-FR"/>
        </w:rPr>
        <w:t>perennial</w:t>
      </w:r>
      <w:proofErr w:type="spellEnd"/>
      <w:r w:rsidRPr="00D16123">
        <w:rPr>
          <w:rFonts w:ascii="Arial" w:hAnsi="Arial" w:cs="Arial"/>
          <w:lang w:val="fr-FR"/>
        </w:rPr>
        <w:t xml:space="preserve"> </w:t>
      </w:r>
      <w:proofErr w:type="spellStart"/>
      <w:r w:rsidRPr="00D16123">
        <w:rPr>
          <w:rFonts w:ascii="Arial" w:hAnsi="Arial" w:cs="Arial"/>
          <w:lang w:val="fr-FR"/>
        </w:rPr>
        <w:t>weeds</w:t>
      </w:r>
      <w:proofErr w:type="spellEnd"/>
      <w:r w:rsidRPr="00D16123">
        <w:rPr>
          <w:rFonts w:ascii="Arial" w:hAnsi="Arial" w:cs="Arial"/>
          <w:lang w:val="fr-FR"/>
        </w:rPr>
        <w:t xml:space="preserve">. </w:t>
      </w:r>
      <w:proofErr w:type="spellStart"/>
      <w:r w:rsidRPr="00D16123">
        <w:rPr>
          <w:rFonts w:ascii="Arial" w:hAnsi="Arial" w:cs="Arial"/>
          <w:lang w:val="fr-FR"/>
        </w:rPr>
        <w:t>Soil</w:t>
      </w:r>
      <w:proofErr w:type="spellEnd"/>
      <w:r w:rsidRPr="00D16123">
        <w:rPr>
          <w:rFonts w:ascii="Arial" w:hAnsi="Arial" w:cs="Arial"/>
          <w:lang w:val="fr-FR"/>
        </w:rPr>
        <w:t xml:space="preserve"> Science Society of America Journal, 67, 146–155.</w:t>
      </w:r>
    </w:p>
    <w:p w14:paraId="76EBF21E" w14:textId="77777777" w:rsidR="00D16123" w:rsidRPr="00D16123" w:rsidRDefault="00D16123" w:rsidP="00D16123">
      <w:pPr>
        <w:pStyle w:val="Body"/>
        <w:rPr>
          <w:rFonts w:ascii="Arial" w:hAnsi="Arial" w:cs="Arial"/>
          <w:lang w:val="fr-FR"/>
        </w:rPr>
      </w:pPr>
      <w:proofErr w:type="spellStart"/>
      <w:r w:rsidRPr="00D16123">
        <w:rPr>
          <w:rFonts w:ascii="Arial" w:hAnsi="Arial" w:cs="Arial"/>
          <w:lang w:val="fr-FR"/>
        </w:rPr>
        <w:t>Sanou</w:t>
      </w:r>
      <w:proofErr w:type="spellEnd"/>
      <w:r w:rsidRPr="00D16123">
        <w:rPr>
          <w:rFonts w:ascii="Arial" w:hAnsi="Arial" w:cs="Arial"/>
          <w:lang w:val="fr-FR"/>
        </w:rPr>
        <w:t xml:space="preserve">, B.C., </w:t>
      </w:r>
      <w:proofErr w:type="spellStart"/>
      <w:r w:rsidRPr="00D16123">
        <w:rPr>
          <w:rFonts w:ascii="Arial" w:hAnsi="Arial" w:cs="Arial"/>
          <w:lang w:val="fr-FR"/>
        </w:rPr>
        <w:t>Guébré</w:t>
      </w:r>
      <w:proofErr w:type="spellEnd"/>
      <w:r w:rsidRPr="00D16123">
        <w:rPr>
          <w:rFonts w:ascii="Arial" w:hAnsi="Arial" w:cs="Arial"/>
          <w:lang w:val="fr-FR"/>
        </w:rPr>
        <w:t xml:space="preserve">, D. &amp; Hien, E. (2025). </w:t>
      </w:r>
      <w:proofErr w:type="spellStart"/>
      <w:r w:rsidRPr="00D16123">
        <w:rPr>
          <w:rFonts w:ascii="Arial" w:hAnsi="Arial" w:cs="Arial"/>
          <w:lang w:val="fr-FR"/>
        </w:rPr>
        <w:t>Effects</w:t>
      </w:r>
      <w:proofErr w:type="spellEnd"/>
      <w:r w:rsidRPr="00D16123">
        <w:rPr>
          <w:rFonts w:ascii="Arial" w:hAnsi="Arial" w:cs="Arial"/>
          <w:lang w:val="fr-FR"/>
        </w:rPr>
        <w:t xml:space="preserve"> of </w:t>
      </w:r>
      <w:proofErr w:type="spellStart"/>
      <w:r w:rsidRPr="00D16123">
        <w:rPr>
          <w:rFonts w:ascii="Arial" w:hAnsi="Arial" w:cs="Arial"/>
          <w:lang w:val="fr-FR"/>
        </w:rPr>
        <w:t>soil</w:t>
      </w:r>
      <w:proofErr w:type="spellEnd"/>
      <w:r w:rsidRPr="00D16123">
        <w:rPr>
          <w:rFonts w:ascii="Arial" w:hAnsi="Arial" w:cs="Arial"/>
          <w:lang w:val="fr-FR"/>
        </w:rPr>
        <w:t xml:space="preserve"> </w:t>
      </w:r>
      <w:proofErr w:type="spellStart"/>
      <w:r w:rsidRPr="00D16123">
        <w:rPr>
          <w:rFonts w:ascii="Arial" w:hAnsi="Arial" w:cs="Arial"/>
          <w:lang w:val="fr-FR"/>
        </w:rPr>
        <w:t>diversity</w:t>
      </w:r>
      <w:proofErr w:type="spellEnd"/>
      <w:r w:rsidRPr="00D16123">
        <w:rPr>
          <w:rFonts w:ascii="Arial" w:hAnsi="Arial" w:cs="Arial"/>
          <w:lang w:val="fr-FR"/>
        </w:rPr>
        <w:t xml:space="preserve"> and </w:t>
      </w:r>
      <w:proofErr w:type="spellStart"/>
      <w:r w:rsidRPr="00D16123">
        <w:rPr>
          <w:rFonts w:ascii="Arial" w:hAnsi="Arial" w:cs="Arial"/>
          <w:lang w:val="fr-FR"/>
        </w:rPr>
        <w:t>topographic</w:t>
      </w:r>
      <w:proofErr w:type="spellEnd"/>
      <w:r w:rsidRPr="00D16123">
        <w:rPr>
          <w:rFonts w:ascii="Arial" w:hAnsi="Arial" w:cs="Arial"/>
          <w:lang w:val="fr-FR"/>
        </w:rPr>
        <w:t xml:space="preserve"> </w:t>
      </w:r>
      <w:proofErr w:type="spellStart"/>
      <w:r w:rsidRPr="00D16123">
        <w:rPr>
          <w:rFonts w:ascii="Arial" w:hAnsi="Arial" w:cs="Arial"/>
          <w:lang w:val="fr-FR"/>
        </w:rPr>
        <w:t>level</w:t>
      </w:r>
      <w:proofErr w:type="spellEnd"/>
      <w:r w:rsidRPr="00D16123">
        <w:rPr>
          <w:rFonts w:ascii="Arial" w:hAnsi="Arial" w:cs="Arial"/>
          <w:lang w:val="fr-FR"/>
        </w:rPr>
        <w:t xml:space="preserve"> on </w:t>
      </w:r>
      <w:proofErr w:type="spellStart"/>
      <w:r w:rsidRPr="00D16123">
        <w:rPr>
          <w:rFonts w:ascii="Arial" w:hAnsi="Arial" w:cs="Arial"/>
          <w:lang w:val="fr-FR"/>
        </w:rPr>
        <w:t>microbial</w:t>
      </w:r>
      <w:proofErr w:type="spellEnd"/>
      <w:r w:rsidRPr="00D16123">
        <w:rPr>
          <w:rFonts w:ascii="Arial" w:hAnsi="Arial" w:cs="Arial"/>
          <w:lang w:val="fr-FR"/>
        </w:rPr>
        <w:t xml:space="preserve"> </w:t>
      </w:r>
      <w:proofErr w:type="spellStart"/>
      <w:r w:rsidRPr="00D16123">
        <w:rPr>
          <w:rFonts w:ascii="Arial" w:hAnsi="Arial" w:cs="Arial"/>
          <w:lang w:val="fr-FR"/>
        </w:rPr>
        <w:t>activity</w:t>
      </w:r>
      <w:proofErr w:type="spellEnd"/>
      <w:r w:rsidRPr="00D16123">
        <w:rPr>
          <w:rFonts w:ascii="Arial" w:hAnsi="Arial" w:cs="Arial"/>
          <w:lang w:val="fr-FR"/>
        </w:rPr>
        <w:t xml:space="preserve"> and </w:t>
      </w:r>
      <w:proofErr w:type="spellStart"/>
      <w:r w:rsidRPr="00D16123">
        <w:rPr>
          <w:rFonts w:ascii="Arial" w:hAnsi="Arial" w:cs="Arial"/>
          <w:lang w:val="fr-FR"/>
        </w:rPr>
        <w:t>carbon</w:t>
      </w:r>
      <w:proofErr w:type="spellEnd"/>
      <w:r w:rsidRPr="00D16123">
        <w:rPr>
          <w:rFonts w:ascii="Arial" w:hAnsi="Arial" w:cs="Arial"/>
          <w:lang w:val="fr-FR"/>
        </w:rPr>
        <w:t xml:space="preserve"> </w:t>
      </w:r>
      <w:proofErr w:type="spellStart"/>
      <w:r w:rsidRPr="00D16123">
        <w:rPr>
          <w:rFonts w:ascii="Arial" w:hAnsi="Arial" w:cs="Arial"/>
          <w:lang w:val="fr-FR"/>
        </w:rPr>
        <w:t>cycling</w:t>
      </w:r>
      <w:proofErr w:type="spellEnd"/>
      <w:r w:rsidRPr="00D16123">
        <w:rPr>
          <w:rFonts w:ascii="Arial" w:hAnsi="Arial" w:cs="Arial"/>
          <w:lang w:val="fr-FR"/>
        </w:rPr>
        <w:t xml:space="preserve"> in the South </w:t>
      </w:r>
      <w:proofErr w:type="spellStart"/>
      <w:r w:rsidRPr="00D16123">
        <w:rPr>
          <w:rFonts w:ascii="Arial" w:hAnsi="Arial" w:cs="Arial"/>
          <w:lang w:val="fr-FR"/>
        </w:rPr>
        <w:t>Sudanese</w:t>
      </w:r>
      <w:proofErr w:type="spellEnd"/>
      <w:r w:rsidRPr="00D16123">
        <w:rPr>
          <w:rFonts w:ascii="Arial" w:hAnsi="Arial" w:cs="Arial"/>
          <w:lang w:val="fr-FR"/>
        </w:rPr>
        <w:t xml:space="preserve"> </w:t>
      </w:r>
      <w:proofErr w:type="spellStart"/>
      <w:r w:rsidRPr="00D16123">
        <w:rPr>
          <w:rFonts w:ascii="Arial" w:hAnsi="Arial" w:cs="Arial"/>
          <w:lang w:val="fr-FR"/>
        </w:rPr>
        <w:t>lowlands</w:t>
      </w:r>
      <w:proofErr w:type="spellEnd"/>
      <w:r w:rsidRPr="00D16123">
        <w:rPr>
          <w:rFonts w:ascii="Arial" w:hAnsi="Arial" w:cs="Arial"/>
          <w:lang w:val="fr-FR"/>
        </w:rPr>
        <w:t xml:space="preserve"> of Burkina Faso. </w:t>
      </w:r>
      <w:proofErr w:type="spellStart"/>
      <w:r w:rsidRPr="00D16123">
        <w:rPr>
          <w:rFonts w:ascii="Arial" w:hAnsi="Arial" w:cs="Arial"/>
          <w:lang w:val="fr-FR"/>
        </w:rPr>
        <w:t>European</w:t>
      </w:r>
      <w:proofErr w:type="spellEnd"/>
      <w:r w:rsidRPr="00D16123">
        <w:rPr>
          <w:rFonts w:ascii="Arial" w:hAnsi="Arial" w:cs="Arial"/>
          <w:lang w:val="fr-FR"/>
        </w:rPr>
        <w:t xml:space="preserve"> Scientific Journal, ESJ, 21 (21), 153. https://doi.org/10.19044/esj.2025.v21n21p153</w:t>
      </w:r>
    </w:p>
    <w:p w14:paraId="54B45BB0" w14:textId="77777777" w:rsidR="00D16123" w:rsidRPr="00D16123" w:rsidRDefault="00D16123" w:rsidP="00D16123">
      <w:pPr>
        <w:pStyle w:val="Body"/>
        <w:rPr>
          <w:rFonts w:ascii="Arial" w:hAnsi="Arial" w:cs="Arial"/>
          <w:lang w:val="fr-FR"/>
        </w:rPr>
      </w:pPr>
      <w:proofErr w:type="spellStart"/>
      <w:r w:rsidRPr="00D16123">
        <w:rPr>
          <w:rFonts w:ascii="Arial" w:hAnsi="Arial" w:cs="Arial"/>
          <w:lang w:val="fr-FR"/>
        </w:rPr>
        <w:t>Sattran</w:t>
      </w:r>
      <w:proofErr w:type="spellEnd"/>
      <w:r w:rsidRPr="00D16123">
        <w:rPr>
          <w:rFonts w:ascii="Arial" w:hAnsi="Arial" w:cs="Arial"/>
          <w:lang w:val="fr-FR"/>
        </w:rPr>
        <w:t xml:space="preserve">, V., </w:t>
      </w:r>
      <w:proofErr w:type="spellStart"/>
      <w:r w:rsidRPr="00D16123">
        <w:rPr>
          <w:rFonts w:ascii="Arial" w:hAnsi="Arial" w:cs="Arial"/>
          <w:lang w:val="fr-FR"/>
        </w:rPr>
        <w:t>Wenmenga</w:t>
      </w:r>
      <w:proofErr w:type="spellEnd"/>
      <w:r w:rsidRPr="00D16123">
        <w:rPr>
          <w:rFonts w:ascii="Arial" w:hAnsi="Arial" w:cs="Arial"/>
          <w:lang w:val="fr-FR"/>
        </w:rPr>
        <w:t xml:space="preserve">, U., (2002). </w:t>
      </w:r>
      <w:proofErr w:type="spellStart"/>
      <w:r w:rsidRPr="00D16123">
        <w:rPr>
          <w:rFonts w:ascii="Arial" w:hAnsi="Arial" w:cs="Arial"/>
          <w:lang w:val="fr-FR"/>
        </w:rPr>
        <w:t>Geology</w:t>
      </w:r>
      <w:proofErr w:type="spellEnd"/>
      <w:r w:rsidRPr="00D16123">
        <w:rPr>
          <w:rFonts w:ascii="Arial" w:hAnsi="Arial" w:cs="Arial"/>
          <w:lang w:val="fr-FR"/>
        </w:rPr>
        <w:t xml:space="preserve"> of Burkina Faso. </w:t>
      </w:r>
      <w:proofErr w:type="spellStart"/>
      <w:r w:rsidRPr="00D16123">
        <w:rPr>
          <w:rFonts w:ascii="Arial" w:hAnsi="Arial" w:cs="Arial"/>
          <w:lang w:val="fr-FR"/>
        </w:rPr>
        <w:t>Czech</w:t>
      </w:r>
      <w:proofErr w:type="spellEnd"/>
      <w:r w:rsidRPr="00D16123">
        <w:rPr>
          <w:rFonts w:ascii="Arial" w:hAnsi="Arial" w:cs="Arial"/>
          <w:lang w:val="fr-FR"/>
        </w:rPr>
        <w:t xml:space="preserve"> </w:t>
      </w:r>
      <w:proofErr w:type="spellStart"/>
      <w:r w:rsidRPr="00D16123">
        <w:rPr>
          <w:rFonts w:ascii="Arial" w:hAnsi="Arial" w:cs="Arial"/>
          <w:lang w:val="fr-FR"/>
        </w:rPr>
        <w:t>Geological</w:t>
      </w:r>
      <w:proofErr w:type="spellEnd"/>
      <w:r w:rsidRPr="00D16123">
        <w:rPr>
          <w:rFonts w:ascii="Arial" w:hAnsi="Arial" w:cs="Arial"/>
          <w:lang w:val="fr-FR"/>
        </w:rPr>
        <w:t xml:space="preserve"> Survey.</w:t>
      </w:r>
    </w:p>
    <w:p w14:paraId="262E5345" w14:textId="77777777" w:rsidR="00D16123" w:rsidRPr="00D16123" w:rsidRDefault="00D16123" w:rsidP="00D16123">
      <w:pPr>
        <w:pStyle w:val="Body"/>
        <w:rPr>
          <w:rFonts w:ascii="Arial" w:hAnsi="Arial" w:cs="Arial"/>
          <w:lang w:val="fr-FR"/>
        </w:rPr>
      </w:pPr>
      <w:r w:rsidRPr="00D16123">
        <w:rPr>
          <w:rFonts w:ascii="Arial" w:hAnsi="Arial" w:cs="Arial"/>
          <w:lang w:val="fr-FR"/>
        </w:rPr>
        <w:t xml:space="preserve">Sawadogo, H., Bock L., Lacroix D. &amp; </w:t>
      </w:r>
      <w:proofErr w:type="spellStart"/>
      <w:r w:rsidRPr="00D16123">
        <w:rPr>
          <w:rFonts w:ascii="Arial" w:hAnsi="Arial" w:cs="Arial"/>
          <w:lang w:val="fr-FR"/>
        </w:rPr>
        <w:t>Zombré</w:t>
      </w:r>
      <w:proofErr w:type="spellEnd"/>
      <w:r w:rsidRPr="00D16123">
        <w:rPr>
          <w:rFonts w:ascii="Arial" w:hAnsi="Arial" w:cs="Arial"/>
          <w:lang w:val="fr-FR"/>
        </w:rPr>
        <w:t xml:space="preserve"> N. P., (2008). </w:t>
      </w:r>
      <w:proofErr w:type="spellStart"/>
      <w:r w:rsidRPr="00D16123">
        <w:rPr>
          <w:rFonts w:ascii="Arial" w:hAnsi="Arial" w:cs="Arial"/>
          <w:lang w:val="fr-FR"/>
        </w:rPr>
        <w:t>Restoring</w:t>
      </w:r>
      <w:proofErr w:type="spellEnd"/>
      <w:r w:rsidRPr="00D16123">
        <w:rPr>
          <w:rFonts w:ascii="Arial" w:hAnsi="Arial" w:cs="Arial"/>
          <w:lang w:val="fr-FR"/>
        </w:rPr>
        <w:t xml:space="preserve"> the </w:t>
      </w:r>
      <w:proofErr w:type="spellStart"/>
      <w:r w:rsidRPr="00D16123">
        <w:rPr>
          <w:rFonts w:ascii="Arial" w:hAnsi="Arial" w:cs="Arial"/>
          <w:lang w:val="fr-FR"/>
        </w:rPr>
        <w:t>Potential</w:t>
      </w:r>
      <w:proofErr w:type="spellEnd"/>
      <w:r w:rsidRPr="00D16123">
        <w:rPr>
          <w:rFonts w:ascii="Arial" w:hAnsi="Arial" w:cs="Arial"/>
          <w:lang w:val="fr-FR"/>
        </w:rPr>
        <w:t xml:space="preserve"> of </w:t>
      </w:r>
      <w:proofErr w:type="spellStart"/>
      <w:r w:rsidRPr="00D16123">
        <w:rPr>
          <w:rFonts w:ascii="Arial" w:hAnsi="Arial" w:cs="Arial"/>
          <w:lang w:val="fr-FR"/>
        </w:rPr>
        <w:t>Degraded</w:t>
      </w:r>
      <w:proofErr w:type="spellEnd"/>
      <w:r w:rsidRPr="00D16123">
        <w:rPr>
          <w:rFonts w:ascii="Arial" w:hAnsi="Arial" w:cs="Arial"/>
          <w:lang w:val="fr-FR"/>
        </w:rPr>
        <w:t xml:space="preserve"> </w:t>
      </w:r>
      <w:proofErr w:type="spellStart"/>
      <w:r w:rsidRPr="00D16123">
        <w:rPr>
          <w:rFonts w:ascii="Arial" w:hAnsi="Arial" w:cs="Arial"/>
          <w:lang w:val="fr-FR"/>
        </w:rPr>
        <w:t>Soils</w:t>
      </w:r>
      <w:proofErr w:type="spellEnd"/>
      <w:r w:rsidRPr="00D16123">
        <w:rPr>
          <w:rFonts w:ascii="Arial" w:hAnsi="Arial" w:cs="Arial"/>
          <w:lang w:val="fr-FR"/>
        </w:rPr>
        <w:t xml:space="preserve"> </w:t>
      </w:r>
      <w:proofErr w:type="spellStart"/>
      <w:r w:rsidRPr="00D16123">
        <w:rPr>
          <w:rFonts w:ascii="Arial" w:hAnsi="Arial" w:cs="Arial"/>
          <w:lang w:val="fr-FR"/>
        </w:rPr>
        <w:t>Using</w:t>
      </w:r>
      <w:proofErr w:type="spellEnd"/>
      <w:r w:rsidRPr="00D16123">
        <w:rPr>
          <w:rFonts w:ascii="Arial" w:hAnsi="Arial" w:cs="Arial"/>
          <w:lang w:val="fr-FR"/>
        </w:rPr>
        <w:t xml:space="preserve"> </w:t>
      </w:r>
      <w:proofErr w:type="spellStart"/>
      <w:r w:rsidRPr="00D16123">
        <w:rPr>
          <w:rFonts w:ascii="Arial" w:hAnsi="Arial" w:cs="Arial"/>
          <w:lang w:val="fr-FR"/>
        </w:rPr>
        <w:t>Zaï</w:t>
      </w:r>
      <w:proofErr w:type="spellEnd"/>
      <w:r w:rsidRPr="00D16123">
        <w:rPr>
          <w:rFonts w:ascii="Arial" w:hAnsi="Arial" w:cs="Arial"/>
          <w:lang w:val="fr-FR"/>
        </w:rPr>
        <w:t xml:space="preserve"> and Compost in Yatenga (Burkina Faso). </w:t>
      </w:r>
      <w:proofErr w:type="spellStart"/>
      <w:r w:rsidRPr="00D16123">
        <w:rPr>
          <w:rFonts w:ascii="Arial" w:hAnsi="Arial" w:cs="Arial"/>
          <w:lang w:val="fr-FR"/>
        </w:rPr>
        <w:t>Biotechnol</w:t>
      </w:r>
      <w:proofErr w:type="spellEnd"/>
      <w:r w:rsidRPr="00D16123">
        <w:rPr>
          <w:rFonts w:ascii="Arial" w:hAnsi="Arial" w:cs="Arial"/>
          <w:lang w:val="fr-FR"/>
        </w:rPr>
        <w:t xml:space="preserve">. </w:t>
      </w:r>
      <w:proofErr w:type="spellStart"/>
      <w:r w:rsidRPr="00D16123">
        <w:rPr>
          <w:rFonts w:ascii="Arial" w:hAnsi="Arial" w:cs="Arial"/>
          <w:lang w:val="fr-FR"/>
        </w:rPr>
        <w:t>Agron</w:t>
      </w:r>
      <w:proofErr w:type="spellEnd"/>
      <w:r w:rsidRPr="00D16123">
        <w:rPr>
          <w:rFonts w:ascii="Arial" w:hAnsi="Arial" w:cs="Arial"/>
          <w:lang w:val="fr-FR"/>
        </w:rPr>
        <w:t>. Soc. Environ., 12(3), 279-290.</w:t>
      </w:r>
    </w:p>
    <w:p w14:paraId="5A3D39DC" w14:textId="77777777" w:rsidR="00D16123" w:rsidRPr="00D16123" w:rsidRDefault="00D16123" w:rsidP="00D16123">
      <w:pPr>
        <w:pStyle w:val="Body"/>
        <w:rPr>
          <w:rFonts w:ascii="Arial" w:hAnsi="Arial" w:cs="Arial"/>
          <w:lang w:val="fr-FR"/>
        </w:rPr>
      </w:pPr>
      <w:r w:rsidRPr="00D16123">
        <w:rPr>
          <w:rFonts w:ascii="Arial" w:hAnsi="Arial" w:cs="Arial"/>
          <w:lang w:val="fr-FR"/>
        </w:rPr>
        <w:t xml:space="preserve">Sanon, A., (2014). Impacts of </w:t>
      </w:r>
      <w:proofErr w:type="spellStart"/>
      <w:r w:rsidRPr="00D16123">
        <w:rPr>
          <w:rFonts w:ascii="Arial" w:hAnsi="Arial" w:cs="Arial"/>
          <w:lang w:val="fr-FR"/>
        </w:rPr>
        <w:t>Vegetated</w:t>
      </w:r>
      <w:proofErr w:type="spellEnd"/>
      <w:r w:rsidRPr="00D16123">
        <w:rPr>
          <w:rFonts w:ascii="Arial" w:hAnsi="Arial" w:cs="Arial"/>
          <w:lang w:val="fr-FR"/>
        </w:rPr>
        <w:t xml:space="preserve"> Stone </w:t>
      </w:r>
      <w:proofErr w:type="spellStart"/>
      <w:r w:rsidRPr="00D16123">
        <w:rPr>
          <w:rFonts w:ascii="Arial" w:hAnsi="Arial" w:cs="Arial"/>
          <w:lang w:val="fr-FR"/>
        </w:rPr>
        <w:t>Barrier</w:t>
      </w:r>
      <w:proofErr w:type="spellEnd"/>
      <w:r w:rsidRPr="00D16123">
        <w:rPr>
          <w:rFonts w:ascii="Arial" w:hAnsi="Arial" w:cs="Arial"/>
          <w:lang w:val="fr-FR"/>
        </w:rPr>
        <w:t xml:space="preserve"> on </w:t>
      </w:r>
      <w:proofErr w:type="spellStart"/>
      <w:r w:rsidRPr="00D16123">
        <w:rPr>
          <w:rFonts w:ascii="Arial" w:hAnsi="Arial" w:cs="Arial"/>
          <w:lang w:val="fr-FR"/>
        </w:rPr>
        <w:t>Vegetation</w:t>
      </w:r>
      <w:proofErr w:type="spellEnd"/>
      <w:r w:rsidRPr="00D16123">
        <w:rPr>
          <w:rFonts w:ascii="Arial" w:hAnsi="Arial" w:cs="Arial"/>
          <w:lang w:val="fr-FR"/>
        </w:rPr>
        <w:t xml:space="preserve"> and </w:t>
      </w:r>
      <w:proofErr w:type="spellStart"/>
      <w:r w:rsidRPr="00D16123">
        <w:rPr>
          <w:rFonts w:ascii="Arial" w:hAnsi="Arial" w:cs="Arial"/>
          <w:lang w:val="fr-FR"/>
        </w:rPr>
        <w:t>Soil</w:t>
      </w:r>
      <w:proofErr w:type="spellEnd"/>
      <w:r w:rsidRPr="00D16123">
        <w:rPr>
          <w:rFonts w:ascii="Arial" w:hAnsi="Arial" w:cs="Arial"/>
          <w:lang w:val="fr-FR"/>
        </w:rPr>
        <w:t xml:space="preserve"> </w:t>
      </w:r>
      <w:proofErr w:type="spellStart"/>
      <w:r w:rsidRPr="00D16123">
        <w:rPr>
          <w:rFonts w:ascii="Arial" w:hAnsi="Arial" w:cs="Arial"/>
          <w:lang w:val="fr-FR"/>
        </w:rPr>
        <w:t>Physicochemical</w:t>
      </w:r>
      <w:proofErr w:type="spellEnd"/>
      <w:r w:rsidRPr="00D16123">
        <w:rPr>
          <w:rFonts w:ascii="Arial" w:hAnsi="Arial" w:cs="Arial"/>
          <w:lang w:val="fr-FR"/>
        </w:rPr>
        <w:t xml:space="preserve"> </w:t>
      </w:r>
      <w:proofErr w:type="spellStart"/>
      <w:r w:rsidRPr="00D16123">
        <w:rPr>
          <w:rFonts w:ascii="Arial" w:hAnsi="Arial" w:cs="Arial"/>
          <w:lang w:val="fr-FR"/>
        </w:rPr>
        <w:t>Properties</w:t>
      </w:r>
      <w:proofErr w:type="spellEnd"/>
      <w:r w:rsidRPr="00D16123">
        <w:rPr>
          <w:rFonts w:ascii="Arial" w:hAnsi="Arial" w:cs="Arial"/>
          <w:lang w:val="fr-FR"/>
        </w:rPr>
        <w:t xml:space="preserve">. MASTER'S THESIS, Institute of Rural </w:t>
      </w:r>
      <w:proofErr w:type="spellStart"/>
      <w:r w:rsidRPr="00D16123">
        <w:rPr>
          <w:rFonts w:ascii="Arial" w:hAnsi="Arial" w:cs="Arial"/>
          <w:lang w:val="fr-FR"/>
        </w:rPr>
        <w:t>Development</w:t>
      </w:r>
      <w:proofErr w:type="spellEnd"/>
      <w:r w:rsidRPr="00D16123">
        <w:rPr>
          <w:rFonts w:ascii="Arial" w:hAnsi="Arial" w:cs="Arial"/>
          <w:lang w:val="fr-FR"/>
        </w:rPr>
        <w:t>/</w:t>
      </w:r>
      <w:proofErr w:type="spellStart"/>
      <w:r w:rsidRPr="00D16123">
        <w:rPr>
          <w:rFonts w:ascii="Arial" w:hAnsi="Arial" w:cs="Arial"/>
          <w:lang w:val="fr-FR"/>
        </w:rPr>
        <w:t>Polytechnic</w:t>
      </w:r>
      <w:proofErr w:type="spellEnd"/>
      <w:r w:rsidRPr="00D16123">
        <w:rPr>
          <w:rFonts w:ascii="Arial" w:hAnsi="Arial" w:cs="Arial"/>
          <w:lang w:val="fr-FR"/>
        </w:rPr>
        <w:t xml:space="preserve"> </w:t>
      </w:r>
      <w:proofErr w:type="spellStart"/>
      <w:r w:rsidRPr="00D16123">
        <w:rPr>
          <w:rFonts w:ascii="Arial" w:hAnsi="Arial" w:cs="Arial"/>
          <w:lang w:val="fr-FR"/>
        </w:rPr>
        <w:t>University</w:t>
      </w:r>
      <w:proofErr w:type="spellEnd"/>
      <w:r w:rsidRPr="00D16123">
        <w:rPr>
          <w:rFonts w:ascii="Arial" w:hAnsi="Arial" w:cs="Arial"/>
          <w:lang w:val="fr-FR"/>
        </w:rPr>
        <w:t xml:space="preserve"> of </w:t>
      </w:r>
      <w:proofErr w:type="spellStart"/>
      <w:r w:rsidRPr="00D16123">
        <w:rPr>
          <w:rFonts w:ascii="Arial" w:hAnsi="Arial" w:cs="Arial"/>
          <w:lang w:val="fr-FR"/>
        </w:rPr>
        <w:t>Bobob</w:t>
      </w:r>
      <w:proofErr w:type="spellEnd"/>
      <w:r w:rsidRPr="00D16123">
        <w:rPr>
          <w:rFonts w:ascii="Arial" w:hAnsi="Arial" w:cs="Arial"/>
          <w:lang w:val="fr-FR"/>
        </w:rPr>
        <w:t xml:space="preserve"> Dioulasso, Burkina Faso. 58 p.</w:t>
      </w:r>
    </w:p>
    <w:p w14:paraId="79E184CF" w14:textId="77777777" w:rsidR="00D16123" w:rsidRPr="00D16123" w:rsidRDefault="00D16123" w:rsidP="00D16123">
      <w:pPr>
        <w:pStyle w:val="Body"/>
        <w:rPr>
          <w:rFonts w:ascii="Arial" w:hAnsi="Arial" w:cs="Arial"/>
          <w:lang w:val="fr-FR"/>
        </w:rPr>
      </w:pPr>
      <w:r w:rsidRPr="00D16123">
        <w:rPr>
          <w:rFonts w:ascii="Arial" w:hAnsi="Arial" w:cs="Arial"/>
          <w:lang w:val="fr-FR"/>
        </w:rPr>
        <w:t xml:space="preserve">Soule, B. G. &amp; </w:t>
      </w:r>
      <w:proofErr w:type="spellStart"/>
      <w:r w:rsidRPr="00D16123">
        <w:rPr>
          <w:rFonts w:ascii="Arial" w:hAnsi="Arial" w:cs="Arial"/>
          <w:lang w:val="fr-FR"/>
        </w:rPr>
        <w:t>Gansari</w:t>
      </w:r>
      <w:proofErr w:type="spellEnd"/>
      <w:r w:rsidRPr="00D16123">
        <w:rPr>
          <w:rFonts w:ascii="Arial" w:hAnsi="Arial" w:cs="Arial"/>
          <w:lang w:val="fr-FR"/>
        </w:rPr>
        <w:t xml:space="preserve"> S., (2010). The Dynamics of </w:t>
      </w:r>
      <w:proofErr w:type="spellStart"/>
      <w:r w:rsidRPr="00D16123">
        <w:rPr>
          <w:rFonts w:ascii="Arial" w:hAnsi="Arial" w:cs="Arial"/>
          <w:lang w:val="fr-FR"/>
        </w:rPr>
        <w:t>Regional</w:t>
      </w:r>
      <w:proofErr w:type="spellEnd"/>
      <w:r w:rsidRPr="00D16123">
        <w:rPr>
          <w:rFonts w:ascii="Arial" w:hAnsi="Arial" w:cs="Arial"/>
          <w:lang w:val="fr-FR"/>
        </w:rPr>
        <w:t xml:space="preserve"> </w:t>
      </w:r>
      <w:proofErr w:type="spellStart"/>
      <w:r w:rsidRPr="00D16123">
        <w:rPr>
          <w:rFonts w:ascii="Arial" w:hAnsi="Arial" w:cs="Arial"/>
          <w:lang w:val="fr-FR"/>
        </w:rPr>
        <w:t>Cereal</w:t>
      </w:r>
      <w:proofErr w:type="spellEnd"/>
      <w:r w:rsidRPr="00D16123">
        <w:rPr>
          <w:rFonts w:ascii="Arial" w:hAnsi="Arial" w:cs="Arial"/>
          <w:lang w:val="fr-FR"/>
        </w:rPr>
        <w:t xml:space="preserve"> Trade in West </w:t>
      </w:r>
      <w:proofErr w:type="spellStart"/>
      <w:r w:rsidRPr="00D16123">
        <w:rPr>
          <w:rFonts w:ascii="Arial" w:hAnsi="Arial" w:cs="Arial"/>
          <w:lang w:val="fr-FR"/>
        </w:rPr>
        <w:t>Africa</w:t>
      </w:r>
      <w:proofErr w:type="spellEnd"/>
      <w:r w:rsidRPr="00D16123">
        <w:rPr>
          <w:rFonts w:ascii="Arial" w:hAnsi="Arial" w:cs="Arial"/>
          <w:lang w:val="fr-FR"/>
        </w:rPr>
        <w:t xml:space="preserve">. </w:t>
      </w:r>
      <w:proofErr w:type="spellStart"/>
      <w:r w:rsidRPr="00D16123">
        <w:rPr>
          <w:rFonts w:ascii="Arial" w:hAnsi="Arial" w:cs="Arial"/>
          <w:lang w:val="fr-FR"/>
        </w:rPr>
        <w:t>Study</w:t>
      </w:r>
      <w:proofErr w:type="spellEnd"/>
      <w:r w:rsidRPr="00D16123">
        <w:rPr>
          <w:rFonts w:ascii="Arial" w:hAnsi="Arial" w:cs="Arial"/>
          <w:lang w:val="fr-FR"/>
        </w:rPr>
        <w:t xml:space="preserve"> Report 2010, 111 p.</w:t>
      </w:r>
    </w:p>
    <w:p w14:paraId="5BB0FBDF" w14:textId="77777777" w:rsidR="00D16123" w:rsidRPr="00D16123" w:rsidRDefault="00D16123" w:rsidP="00D16123">
      <w:pPr>
        <w:pStyle w:val="Body"/>
        <w:rPr>
          <w:rFonts w:ascii="Arial" w:hAnsi="Arial" w:cs="Arial"/>
          <w:lang w:val="fr-FR"/>
        </w:rPr>
      </w:pPr>
      <w:r w:rsidRPr="00D16123">
        <w:rPr>
          <w:rFonts w:ascii="Arial" w:hAnsi="Arial" w:cs="Arial"/>
          <w:lang w:val="fr-FR"/>
        </w:rPr>
        <w:t xml:space="preserve">USAID, (2012). Building </w:t>
      </w:r>
      <w:proofErr w:type="spellStart"/>
      <w:r w:rsidRPr="00D16123">
        <w:rPr>
          <w:rFonts w:ascii="Arial" w:hAnsi="Arial" w:cs="Arial"/>
          <w:lang w:val="fr-FR"/>
        </w:rPr>
        <w:t>resilience</w:t>
      </w:r>
      <w:proofErr w:type="spellEnd"/>
      <w:r w:rsidRPr="00D16123">
        <w:rPr>
          <w:rFonts w:ascii="Arial" w:hAnsi="Arial" w:cs="Arial"/>
          <w:lang w:val="fr-FR"/>
        </w:rPr>
        <w:t xml:space="preserve"> to </w:t>
      </w:r>
      <w:proofErr w:type="spellStart"/>
      <w:r w:rsidRPr="00D16123">
        <w:rPr>
          <w:rFonts w:ascii="Arial" w:hAnsi="Arial" w:cs="Arial"/>
          <w:lang w:val="fr-FR"/>
        </w:rPr>
        <w:t>recurrent</w:t>
      </w:r>
      <w:proofErr w:type="spellEnd"/>
      <w:r w:rsidRPr="00D16123">
        <w:rPr>
          <w:rFonts w:ascii="Arial" w:hAnsi="Arial" w:cs="Arial"/>
          <w:lang w:val="fr-FR"/>
        </w:rPr>
        <w:t xml:space="preserve"> </w:t>
      </w:r>
      <w:proofErr w:type="gramStart"/>
      <w:r w:rsidRPr="00D16123">
        <w:rPr>
          <w:rFonts w:ascii="Arial" w:hAnsi="Arial" w:cs="Arial"/>
          <w:lang w:val="fr-FR"/>
        </w:rPr>
        <w:t>crises:</w:t>
      </w:r>
      <w:proofErr w:type="gramEnd"/>
      <w:r w:rsidRPr="00D16123">
        <w:rPr>
          <w:rFonts w:ascii="Arial" w:hAnsi="Arial" w:cs="Arial"/>
          <w:lang w:val="fr-FR"/>
        </w:rPr>
        <w:t xml:space="preserve"> USAID </w:t>
      </w:r>
      <w:proofErr w:type="spellStart"/>
      <w:r w:rsidRPr="00D16123">
        <w:rPr>
          <w:rFonts w:ascii="Arial" w:hAnsi="Arial" w:cs="Arial"/>
          <w:lang w:val="fr-FR"/>
        </w:rPr>
        <w:t>policy</w:t>
      </w:r>
      <w:proofErr w:type="spellEnd"/>
      <w:r w:rsidRPr="00D16123">
        <w:rPr>
          <w:rFonts w:ascii="Arial" w:hAnsi="Arial" w:cs="Arial"/>
          <w:lang w:val="fr-FR"/>
        </w:rPr>
        <w:t xml:space="preserve"> and program guidance, Washington DC: U.S. Agency for International </w:t>
      </w:r>
      <w:proofErr w:type="spellStart"/>
      <w:r w:rsidRPr="00D16123">
        <w:rPr>
          <w:rFonts w:ascii="Arial" w:hAnsi="Arial" w:cs="Arial"/>
          <w:lang w:val="fr-FR"/>
        </w:rPr>
        <w:t>Development</w:t>
      </w:r>
      <w:proofErr w:type="spellEnd"/>
      <w:r w:rsidRPr="00D16123">
        <w:rPr>
          <w:rFonts w:ascii="Arial" w:hAnsi="Arial" w:cs="Arial"/>
          <w:lang w:val="fr-FR"/>
        </w:rPr>
        <w:t>, 25 p.</w:t>
      </w:r>
    </w:p>
    <w:p w14:paraId="2FBB91D3" w14:textId="77777777" w:rsidR="00D16123" w:rsidRPr="00D16123" w:rsidRDefault="00D16123" w:rsidP="00D16123">
      <w:pPr>
        <w:pStyle w:val="Body"/>
        <w:rPr>
          <w:rFonts w:ascii="Arial" w:hAnsi="Arial" w:cs="Arial"/>
          <w:lang w:val="fr-FR"/>
        </w:rPr>
      </w:pPr>
      <w:r w:rsidRPr="00D16123">
        <w:rPr>
          <w:rFonts w:ascii="Arial" w:hAnsi="Arial" w:cs="Arial"/>
          <w:lang w:val="fr-FR"/>
        </w:rPr>
        <w:t xml:space="preserve">Van </w:t>
      </w:r>
      <w:proofErr w:type="spellStart"/>
      <w:r w:rsidRPr="00D16123">
        <w:rPr>
          <w:rFonts w:ascii="Arial" w:hAnsi="Arial" w:cs="Arial"/>
          <w:lang w:val="fr-FR"/>
        </w:rPr>
        <w:t>Walsum</w:t>
      </w:r>
      <w:proofErr w:type="spellEnd"/>
      <w:r w:rsidRPr="00D16123">
        <w:rPr>
          <w:rFonts w:ascii="Arial" w:hAnsi="Arial" w:cs="Arial"/>
          <w:lang w:val="fr-FR"/>
        </w:rPr>
        <w:t xml:space="preserve">, E., van den Berg, L., </w:t>
      </w:r>
      <w:proofErr w:type="spellStart"/>
      <w:r w:rsidRPr="00D16123">
        <w:rPr>
          <w:rFonts w:ascii="Arial" w:hAnsi="Arial" w:cs="Arial"/>
          <w:lang w:val="fr-FR"/>
        </w:rPr>
        <w:t>Bruil</w:t>
      </w:r>
      <w:proofErr w:type="spellEnd"/>
      <w:r w:rsidRPr="00D16123">
        <w:rPr>
          <w:rFonts w:ascii="Arial" w:hAnsi="Arial" w:cs="Arial"/>
          <w:lang w:val="fr-FR"/>
        </w:rPr>
        <w:t xml:space="preserve"> J., and Gubbels, P. (2014). </w:t>
      </w:r>
      <w:proofErr w:type="spellStart"/>
      <w:r w:rsidRPr="00D16123">
        <w:rPr>
          <w:rFonts w:ascii="Arial" w:hAnsi="Arial" w:cs="Arial"/>
          <w:lang w:val="fr-FR"/>
        </w:rPr>
        <w:t>From</w:t>
      </w:r>
      <w:proofErr w:type="spellEnd"/>
      <w:r w:rsidRPr="00D16123">
        <w:rPr>
          <w:rFonts w:ascii="Arial" w:hAnsi="Arial" w:cs="Arial"/>
          <w:lang w:val="fr-FR"/>
        </w:rPr>
        <w:t xml:space="preserve"> </w:t>
      </w:r>
      <w:proofErr w:type="spellStart"/>
      <w:r w:rsidRPr="00D16123">
        <w:rPr>
          <w:rFonts w:ascii="Arial" w:hAnsi="Arial" w:cs="Arial"/>
          <w:lang w:val="fr-FR"/>
        </w:rPr>
        <w:t>vulnerability</w:t>
      </w:r>
      <w:proofErr w:type="spellEnd"/>
      <w:r w:rsidRPr="00D16123">
        <w:rPr>
          <w:rFonts w:ascii="Arial" w:hAnsi="Arial" w:cs="Arial"/>
          <w:lang w:val="fr-FR"/>
        </w:rPr>
        <w:t xml:space="preserve"> to </w:t>
      </w:r>
      <w:proofErr w:type="spellStart"/>
      <w:proofErr w:type="gramStart"/>
      <w:r w:rsidRPr="00D16123">
        <w:rPr>
          <w:rFonts w:ascii="Arial" w:hAnsi="Arial" w:cs="Arial"/>
          <w:lang w:val="fr-FR"/>
        </w:rPr>
        <w:t>resilience</w:t>
      </w:r>
      <w:proofErr w:type="spellEnd"/>
      <w:r w:rsidRPr="00D16123">
        <w:rPr>
          <w:rFonts w:ascii="Arial" w:hAnsi="Arial" w:cs="Arial"/>
          <w:lang w:val="fr-FR"/>
        </w:rPr>
        <w:t>:</w:t>
      </w:r>
      <w:proofErr w:type="gramEnd"/>
      <w:r w:rsidRPr="00D16123">
        <w:rPr>
          <w:rFonts w:ascii="Arial" w:hAnsi="Arial" w:cs="Arial"/>
          <w:lang w:val="fr-FR"/>
        </w:rPr>
        <w:t xml:space="preserve"> </w:t>
      </w:r>
      <w:proofErr w:type="spellStart"/>
      <w:r w:rsidRPr="00D16123">
        <w:rPr>
          <w:rFonts w:ascii="Arial" w:hAnsi="Arial" w:cs="Arial"/>
          <w:lang w:val="fr-FR"/>
        </w:rPr>
        <w:t>agroecology</w:t>
      </w:r>
      <w:proofErr w:type="spellEnd"/>
      <w:r w:rsidRPr="00D16123">
        <w:rPr>
          <w:rFonts w:ascii="Arial" w:hAnsi="Arial" w:cs="Arial"/>
          <w:lang w:val="fr-FR"/>
        </w:rPr>
        <w:t xml:space="preserve"> for </w:t>
      </w:r>
      <w:proofErr w:type="spellStart"/>
      <w:r w:rsidRPr="00D16123">
        <w:rPr>
          <w:rFonts w:ascii="Arial" w:hAnsi="Arial" w:cs="Arial"/>
          <w:lang w:val="fr-FR"/>
        </w:rPr>
        <w:t>sustainable</w:t>
      </w:r>
      <w:proofErr w:type="spellEnd"/>
      <w:r w:rsidRPr="00D16123">
        <w:rPr>
          <w:rFonts w:ascii="Arial" w:hAnsi="Arial" w:cs="Arial"/>
          <w:lang w:val="fr-FR"/>
        </w:rPr>
        <w:t xml:space="preserve"> </w:t>
      </w:r>
      <w:proofErr w:type="spellStart"/>
      <w:r w:rsidRPr="00D16123">
        <w:rPr>
          <w:rFonts w:ascii="Arial" w:hAnsi="Arial" w:cs="Arial"/>
          <w:lang w:val="fr-FR"/>
        </w:rPr>
        <w:t>dryland</w:t>
      </w:r>
      <w:proofErr w:type="spellEnd"/>
      <w:r w:rsidRPr="00D16123">
        <w:rPr>
          <w:rFonts w:ascii="Arial" w:hAnsi="Arial" w:cs="Arial"/>
          <w:lang w:val="fr-FR"/>
        </w:rPr>
        <w:t xml:space="preserve"> management. </w:t>
      </w:r>
      <w:proofErr w:type="gramStart"/>
      <w:r w:rsidRPr="00D16123">
        <w:rPr>
          <w:rFonts w:ascii="Arial" w:hAnsi="Arial" w:cs="Arial"/>
          <w:lang w:val="fr-FR"/>
        </w:rPr>
        <w:t>In:</w:t>
      </w:r>
      <w:proofErr w:type="gramEnd"/>
      <w:r w:rsidRPr="00D16123">
        <w:rPr>
          <w:rFonts w:ascii="Arial" w:hAnsi="Arial" w:cs="Arial"/>
          <w:lang w:val="fr-FR"/>
        </w:rPr>
        <w:t xml:space="preserve"> </w:t>
      </w:r>
      <w:proofErr w:type="spellStart"/>
      <w:r w:rsidRPr="00D16123">
        <w:rPr>
          <w:rFonts w:ascii="Arial" w:hAnsi="Arial" w:cs="Arial"/>
          <w:lang w:val="fr-FR"/>
        </w:rPr>
        <w:t>PlanetRisk</w:t>
      </w:r>
      <w:proofErr w:type="spellEnd"/>
      <w:r w:rsidRPr="00D16123">
        <w:rPr>
          <w:rFonts w:ascii="Arial" w:hAnsi="Arial" w:cs="Arial"/>
          <w:lang w:val="fr-FR"/>
        </w:rPr>
        <w:t xml:space="preserve">, 2(1), </w:t>
      </w:r>
      <w:proofErr w:type="spellStart"/>
      <w:r w:rsidRPr="00D16123">
        <w:rPr>
          <w:rFonts w:ascii="Arial" w:hAnsi="Arial" w:cs="Arial"/>
          <w:lang w:val="fr-FR"/>
        </w:rPr>
        <w:t>Special</w:t>
      </w:r>
      <w:proofErr w:type="spellEnd"/>
      <w:r w:rsidRPr="00D16123">
        <w:rPr>
          <w:rFonts w:ascii="Arial" w:hAnsi="Arial" w:cs="Arial"/>
          <w:lang w:val="fr-FR"/>
        </w:rPr>
        <w:t xml:space="preserve"> Issue on </w:t>
      </w:r>
      <w:proofErr w:type="spellStart"/>
      <w:r w:rsidRPr="00D16123">
        <w:rPr>
          <w:rFonts w:ascii="Arial" w:hAnsi="Arial" w:cs="Arial"/>
          <w:lang w:val="fr-FR"/>
        </w:rPr>
        <w:t>Desertification</w:t>
      </w:r>
      <w:proofErr w:type="spellEnd"/>
      <w:r w:rsidRPr="00D16123">
        <w:rPr>
          <w:rFonts w:ascii="Arial" w:hAnsi="Arial" w:cs="Arial"/>
          <w:lang w:val="fr-FR"/>
        </w:rPr>
        <w:t>: 62-69, Davos: Global Risk Forum GRF Davos.</w:t>
      </w:r>
    </w:p>
    <w:p w14:paraId="49D61023" w14:textId="77777777" w:rsidR="00D16123" w:rsidRPr="00D16123" w:rsidRDefault="00D16123" w:rsidP="00D16123">
      <w:pPr>
        <w:pStyle w:val="Body"/>
        <w:rPr>
          <w:rFonts w:ascii="Arial" w:hAnsi="Arial" w:cs="Arial"/>
          <w:lang w:val="fr-FR"/>
        </w:rPr>
      </w:pPr>
      <w:r w:rsidRPr="00D16123">
        <w:rPr>
          <w:rFonts w:ascii="Arial" w:hAnsi="Arial" w:cs="Arial"/>
          <w:lang w:val="fr-FR"/>
        </w:rPr>
        <w:t xml:space="preserve">WRB, (2015). World </w:t>
      </w:r>
      <w:proofErr w:type="spellStart"/>
      <w:r w:rsidRPr="00D16123">
        <w:rPr>
          <w:rFonts w:ascii="Arial" w:hAnsi="Arial" w:cs="Arial"/>
          <w:lang w:val="fr-FR"/>
        </w:rPr>
        <w:t>reference</w:t>
      </w:r>
      <w:proofErr w:type="spellEnd"/>
      <w:r w:rsidRPr="00D16123">
        <w:rPr>
          <w:rFonts w:ascii="Arial" w:hAnsi="Arial" w:cs="Arial"/>
          <w:lang w:val="fr-FR"/>
        </w:rPr>
        <w:t xml:space="preserve"> base for </w:t>
      </w:r>
      <w:proofErr w:type="spellStart"/>
      <w:r w:rsidRPr="00D16123">
        <w:rPr>
          <w:rFonts w:ascii="Arial" w:hAnsi="Arial" w:cs="Arial"/>
          <w:lang w:val="fr-FR"/>
        </w:rPr>
        <w:t>soil</w:t>
      </w:r>
      <w:proofErr w:type="spellEnd"/>
      <w:r w:rsidRPr="00D16123">
        <w:rPr>
          <w:rFonts w:ascii="Arial" w:hAnsi="Arial" w:cs="Arial"/>
          <w:lang w:val="fr-FR"/>
        </w:rPr>
        <w:t xml:space="preserve"> </w:t>
      </w:r>
      <w:proofErr w:type="spellStart"/>
      <w:r w:rsidRPr="00D16123">
        <w:rPr>
          <w:rFonts w:ascii="Arial" w:hAnsi="Arial" w:cs="Arial"/>
          <w:lang w:val="fr-FR"/>
        </w:rPr>
        <w:t>resources</w:t>
      </w:r>
      <w:proofErr w:type="spellEnd"/>
      <w:r w:rsidRPr="00D16123">
        <w:rPr>
          <w:rFonts w:ascii="Arial" w:hAnsi="Arial" w:cs="Arial"/>
          <w:lang w:val="fr-FR"/>
        </w:rPr>
        <w:t xml:space="preserve"> 2014. World </w:t>
      </w:r>
      <w:proofErr w:type="spellStart"/>
      <w:r w:rsidRPr="00D16123">
        <w:rPr>
          <w:rFonts w:ascii="Arial" w:hAnsi="Arial" w:cs="Arial"/>
          <w:lang w:val="fr-FR"/>
        </w:rPr>
        <w:t>Soil</w:t>
      </w:r>
      <w:proofErr w:type="spellEnd"/>
      <w:r w:rsidRPr="00D16123">
        <w:rPr>
          <w:rFonts w:ascii="Arial" w:hAnsi="Arial" w:cs="Arial"/>
          <w:lang w:val="fr-FR"/>
        </w:rPr>
        <w:t xml:space="preserve"> </w:t>
      </w:r>
      <w:proofErr w:type="spellStart"/>
      <w:r w:rsidRPr="00D16123">
        <w:rPr>
          <w:rFonts w:ascii="Arial" w:hAnsi="Arial" w:cs="Arial"/>
          <w:lang w:val="fr-FR"/>
        </w:rPr>
        <w:t>Resources</w:t>
      </w:r>
      <w:proofErr w:type="spellEnd"/>
      <w:r w:rsidRPr="00D16123">
        <w:rPr>
          <w:rFonts w:ascii="Arial" w:hAnsi="Arial" w:cs="Arial"/>
          <w:lang w:val="fr-FR"/>
        </w:rPr>
        <w:t xml:space="preserve"> Reports No. 106, FAO, Rome.</w:t>
      </w:r>
    </w:p>
    <w:p w14:paraId="3435E94E" w14:textId="77777777" w:rsidR="00D16123" w:rsidRPr="00D16123" w:rsidRDefault="00D16123" w:rsidP="00D16123">
      <w:pPr>
        <w:pStyle w:val="Body"/>
        <w:rPr>
          <w:rFonts w:ascii="Arial" w:hAnsi="Arial" w:cs="Arial"/>
          <w:lang w:val="fr-FR"/>
        </w:rPr>
      </w:pPr>
      <w:proofErr w:type="spellStart"/>
      <w:r w:rsidRPr="00D16123">
        <w:rPr>
          <w:rFonts w:ascii="Arial" w:hAnsi="Arial" w:cs="Arial"/>
          <w:lang w:val="fr-FR"/>
        </w:rPr>
        <w:t>Yaméogo</w:t>
      </w:r>
      <w:proofErr w:type="spellEnd"/>
      <w:r w:rsidRPr="00D16123">
        <w:rPr>
          <w:rFonts w:ascii="Arial" w:hAnsi="Arial" w:cs="Arial"/>
          <w:lang w:val="fr-FR"/>
        </w:rPr>
        <w:t xml:space="preserve">, J.T., </w:t>
      </w:r>
      <w:proofErr w:type="spellStart"/>
      <w:r w:rsidRPr="00D16123">
        <w:rPr>
          <w:rFonts w:ascii="Arial" w:hAnsi="Arial" w:cs="Arial"/>
          <w:lang w:val="fr-FR"/>
        </w:rPr>
        <w:t>Somé</w:t>
      </w:r>
      <w:proofErr w:type="spellEnd"/>
      <w:r w:rsidRPr="00D16123">
        <w:rPr>
          <w:rFonts w:ascii="Arial" w:hAnsi="Arial" w:cs="Arial"/>
          <w:lang w:val="fr-FR"/>
        </w:rPr>
        <w:t xml:space="preserve">, A.N., Mette </w:t>
      </w:r>
      <w:proofErr w:type="spellStart"/>
      <w:r w:rsidRPr="00D16123">
        <w:rPr>
          <w:rFonts w:ascii="Arial" w:hAnsi="Arial" w:cs="Arial"/>
          <w:lang w:val="fr-FR"/>
        </w:rPr>
        <w:t>Lykke</w:t>
      </w:r>
      <w:proofErr w:type="spellEnd"/>
      <w:r w:rsidRPr="00D16123">
        <w:rPr>
          <w:rFonts w:ascii="Arial" w:hAnsi="Arial" w:cs="Arial"/>
          <w:lang w:val="fr-FR"/>
        </w:rPr>
        <w:t xml:space="preserve">, A., Hien, M., &amp; </w:t>
      </w:r>
      <w:proofErr w:type="spellStart"/>
      <w:r w:rsidRPr="00D16123">
        <w:rPr>
          <w:rFonts w:ascii="Arial" w:hAnsi="Arial" w:cs="Arial"/>
          <w:lang w:val="fr-FR"/>
        </w:rPr>
        <w:t>Nacro</w:t>
      </w:r>
      <w:proofErr w:type="spellEnd"/>
      <w:r w:rsidRPr="00D16123">
        <w:rPr>
          <w:rFonts w:ascii="Arial" w:hAnsi="Arial" w:cs="Arial"/>
          <w:lang w:val="fr-FR"/>
        </w:rPr>
        <w:t xml:space="preserve">, H.B. (2013). </w:t>
      </w:r>
      <w:proofErr w:type="spellStart"/>
      <w:r w:rsidRPr="00D16123">
        <w:rPr>
          <w:rFonts w:ascii="Arial" w:hAnsi="Arial" w:cs="Arial"/>
          <w:lang w:val="fr-FR"/>
        </w:rPr>
        <w:t>Restoring</w:t>
      </w:r>
      <w:proofErr w:type="spellEnd"/>
      <w:r w:rsidRPr="00D16123">
        <w:rPr>
          <w:rFonts w:ascii="Arial" w:hAnsi="Arial" w:cs="Arial"/>
          <w:lang w:val="fr-FR"/>
        </w:rPr>
        <w:t xml:space="preserve"> the </w:t>
      </w:r>
      <w:proofErr w:type="spellStart"/>
      <w:r w:rsidRPr="00D16123">
        <w:rPr>
          <w:rFonts w:ascii="Arial" w:hAnsi="Arial" w:cs="Arial"/>
          <w:lang w:val="fr-FR"/>
        </w:rPr>
        <w:t>potential</w:t>
      </w:r>
      <w:proofErr w:type="spellEnd"/>
      <w:r w:rsidRPr="00D16123">
        <w:rPr>
          <w:rFonts w:ascii="Arial" w:hAnsi="Arial" w:cs="Arial"/>
          <w:lang w:val="fr-FR"/>
        </w:rPr>
        <w:t xml:space="preserve"> of </w:t>
      </w:r>
      <w:proofErr w:type="spellStart"/>
      <w:r w:rsidRPr="00D16123">
        <w:rPr>
          <w:rFonts w:ascii="Arial" w:hAnsi="Arial" w:cs="Arial"/>
          <w:lang w:val="fr-FR"/>
        </w:rPr>
        <w:t>degraded</w:t>
      </w:r>
      <w:proofErr w:type="spellEnd"/>
      <w:r w:rsidRPr="00D16123">
        <w:rPr>
          <w:rFonts w:ascii="Arial" w:hAnsi="Arial" w:cs="Arial"/>
          <w:lang w:val="fr-FR"/>
        </w:rPr>
        <w:t xml:space="preserve"> </w:t>
      </w:r>
      <w:proofErr w:type="spellStart"/>
      <w:r w:rsidRPr="00D16123">
        <w:rPr>
          <w:rFonts w:ascii="Arial" w:hAnsi="Arial" w:cs="Arial"/>
          <w:lang w:val="fr-FR"/>
        </w:rPr>
        <w:t>soils</w:t>
      </w:r>
      <w:proofErr w:type="spellEnd"/>
      <w:r w:rsidRPr="00D16123">
        <w:rPr>
          <w:rFonts w:ascii="Arial" w:hAnsi="Arial" w:cs="Arial"/>
          <w:lang w:val="fr-FR"/>
        </w:rPr>
        <w:t xml:space="preserve"> </w:t>
      </w:r>
      <w:proofErr w:type="spellStart"/>
      <w:r w:rsidRPr="00D16123">
        <w:rPr>
          <w:rFonts w:ascii="Arial" w:hAnsi="Arial" w:cs="Arial"/>
          <w:lang w:val="fr-FR"/>
        </w:rPr>
        <w:t>using</w:t>
      </w:r>
      <w:proofErr w:type="spellEnd"/>
      <w:r w:rsidRPr="00D16123">
        <w:rPr>
          <w:rFonts w:ascii="Arial" w:hAnsi="Arial" w:cs="Arial"/>
          <w:lang w:val="fr-FR"/>
        </w:rPr>
        <w:t xml:space="preserve"> </w:t>
      </w:r>
      <w:proofErr w:type="spellStart"/>
      <w:r w:rsidRPr="00D16123">
        <w:rPr>
          <w:rFonts w:ascii="Arial" w:hAnsi="Arial" w:cs="Arial"/>
          <w:lang w:val="fr-FR"/>
        </w:rPr>
        <w:t>zaï</w:t>
      </w:r>
      <w:proofErr w:type="spellEnd"/>
      <w:r w:rsidRPr="00D16123">
        <w:rPr>
          <w:rFonts w:ascii="Arial" w:hAnsi="Arial" w:cs="Arial"/>
          <w:lang w:val="fr-FR"/>
        </w:rPr>
        <w:t xml:space="preserve"> and stone </w:t>
      </w:r>
      <w:proofErr w:type="spellStart"/>
      <w:r w:rsidRPr="00D16123">
        <w:rPr>
          <w:rFonts w:ascii="Arial" w:hAnsi="Arial" w:cs="Arial"/>
          <w:lang w:val="fr-FR"/>
        </w:rPr>
        <w:t>barriers</w:t>
      </w:r>
      <w:proofErr w:type="spellEnd"/>
      <w:r w:rsidRPr="00D16123">
        <w:rPr>
          <w:rFonts w:ascii="Arial" w:hAnsi="Arial" w:cs="Arial"/>
          <w:lang w:val="fr-FR"/>
        </w:rPr>
        <w:t xml:space="preserve"> in western Burkina Faso. TROPICULTURA, 31 (4), 224-230.</w:t>
      </w:r>
    </w:p>
    <w:p w14:paraId="13441FF8" w14:textId="77777777" w:rsidR="00D16123" w:rsidRPr="00D16123" w:rsidRDefault="00D16123" w:rsidP="00D16123">
      <w:pPr>
        <w:pStyle w:val="Body"/>
        <w:rPr>
          <w:rFonts w:ascii="Arial" w:hAnsi="Arial" w:cs="Arial"/>
          <w:lang w:val="fr-FR"/>
        </w:rPr>
      </w:pPr>
      <w:r w:rsidRPr="00D16123">
        <w:rPr>
          <w:rFonts w:ascii="Arial" w:hAnsi="Arial" w:cs="Arial"/>
          <w:lang w:val="fr-FR"/>
        </w:rPr>
        <w:lastRenderedPageBreak/>
        <w:t xml:space="preserve">Zak, J.C., </w:t>
      </w:r>
      <w:proofErr w:type="spellStart"/>
      <w:r w:rsidRPr="00D16123">
        <w:rPr>
          <w:rFonts w:ascii="Arial" w:hAnsi="Arial" w:cs="Arial"/>
          <w:lang w:val="fr-FR"/>
        </w:rPr>
        <w:t>Willig</w:t>
      </w:r>
      <w:proofErr w:type="spellEnd"/>
      <w:r w:rsidRPr="00D16123">
        <w:rPr>
          <w:rFonts w:ascii="Arial" w:hAnsi="Arial" w:cs="Arial"/>
          <w:lang w:val="fr-FR"/>
        </w:rPr>
        <w:t xml:space="preserve">, M.R., Moorhead, D.L., &amp; </w:t>
      </w:r>
      <w:proofErr w:type="spellStart"/>
      <w:r w:rsidRPr="00D16123">
        <w:rPr>
          <w:rFonts w:ascii="Arial" w:hAnsi="Arial" w:cs="Arial"/>
          <w:lang w:val="fr-FR"/>
        </w:rPr>
        <w:t>Wildman</w:t>
      </w:r>
      <w:proofErr w:type="spellEnd"/>
      <w:r w:rsidRPr="00D16123">
        <w:rPr>
          <w:rFonts w:ascii="Arial" w:hAnsi="Arial" w:cs="Arial"/>
          <w:lang w:val="fr-FR"/>
        </w:rPr>
        <w:t xml:space="preserve">, H.G., (1994). </w:t>
      </w:r>
      <w:proofErr w:type="spellStart"/>
      <w:r w:rsidRPr="00D16123">
        <w:rPr>
          <w:rFonts w:ascii="Arial" w:hAnsi="Arial" w:cs="Arial"/>
          <w:lang w:val="fr-FR"/>
        </w:rPr>
        <w:t>Functional</w:t>
      </w:r>
      <w:proofErr w:type="spellEnd"/>
      <w:r w:rsidRPr="00D16123">
        <w:rPr>
          <w:rFonts w:ascii="Arial" w:hAnsi="Arial" w:cs="Arial"/>
          <w:lang w:val="fr-FR"/>
        </w:rPr>
        <w:t xml:space="preserve"> </w:t>
      </w:r>
      <w:proofErr w:type="spellStart"/>
      <w:r w:rsidRPr="00D16123">
        <w:rPr>
          <w:rFonts w:ascii="Arial" w:hAnsi="Arial" w:cs="Arial"/>
          <w:lang w:val="fr-FR"/>
        </w:rPr>
        <w:t>diversity</w:t>
      </w:r>
      <w:proofErr w:type="spellEnd"/>
      <w:r w:rsidRPr="00D16123">
        <w:rPr>
          <w:rFonts w:ascii="Arial" w:hAnsi="Arial" w:cs="Arial"/>
          <w:lang w:val="fr-FR"/>
        </w:rPr>
        <w:t xml:space="preserve"> of </w:t>
      </w:r>
      <w:proofErr w:type="spellStart"/>
      <w:r w:rsidRPr="00D16123">
        <w:rPr>
          <w:rFonts w:ascii="Arial" w:hAnsi="Arial" w:cs="Arial"/>
          <w:lang w:val="fr-FR"/>
        </w:rPr>
        <w:t>microbial</w:t>
      </w:r>
      <w:proofErr w:type="spellEnd"/>
      <w:r w:rsidRPr="00D16123">
        <w:rPr>
          <w:rFonts w:ascii="Arial" w:hAnsi="Arial" w:cs="Arial"/>
          <w:lang w:val="fr-FR"/>
        </w:rPr>
        <w:t xml:space="preserve"> </w:t>
      </w:r>
      <w:proofErr w:type="spellStart"/>
      <w:proofErr w:type="gramStart"/>
      <w:r w:rsidRPr="00D16123">
        <w:rPr>
          <w:rFonts w:ascii="Arial" w:hAnsi="Arial" w:cs="Arial"/>
          <w:lang w:val="fr-FR"/>
        </w:rPr>
        <w:t>communities</w:t>
      </w:r>
      <w:proofErr w:type="spellEnd"/>
      <w:r w:rsidRPr="00D16123">
        <w:rPr>
          <w:rFonts w:ascii="Arial" w:hAnsi="Arial" w:cs="Arial"/>
          <w:lang w:val="fr-FR"/>
        </w:rPr>
        <w:t>:</w:t>
      </w:r>
      <w:proofErr w:type="gramEnd"/>
      <w:r w:rsidRPr="00D16123">
        <w:rPr>
          <w:rFonts w:ascii="Arial" w:hAnsi="Arial" w:cs="Arial"/>
          <w:lang w:val="fr-FR"/>
        </w:rPr>
        <w:t xml:space="preserve"> </w:t>
      </w:r>
      <w:proofErr w:type="spellStart"/>
      <w:r w:rsidRPr="00D16123">
        <w:rPr>
          <w:rFonts w:ascii="Arial" w:hAnsi="Arial" w:cs="Arial"/>
          <w:lang w:val="fr-FR"/>
        </w:rPr>
        <w:t>a</w:t>
      </w:r>
      <w:proofErr w:type="spellEnd"/>
      <w:r w:rsidRPr="00D16123">
        <w:rPr>
          <w:rFonts w:ascii="Arial" w:hAnsi="Arial" w:cs="Arial"/>
          <w:lang w:val="fr-FR"/>
        </w:rPr>
        <w:t xml:space="preserve"> quantitative </w:t>
      </w:r>
      <w:proofErr w:type="spellStart"/>
      <w:r w:rsidRPr="00D16123">
        <w:rPr>
          <w:rFonts w:ascii="Arial" w:hAnsi="Arial" w:cs="Arial"/>
          <w:lang w:val="fr-FR"/>
        </w:rPr>
        <w:t>approach</w:t>
      </w:r>
      <w:proofErr w:type="spellEnd"/>
      <w:r w:rsidRPr="00D16123">
        <w:rPr>
          <w:rFonts w:ascii="Arial" w:hAnsi="Arial" w:cs="Arial"/>
          <w:lang w:val="fr-FR"/>
        </w:rPr>
        <w:t xml:space="preserve">. </w:t>
      </w:r>
      <w:proofErr w:type="spellStart"/>
      <w:r w:rsidRPr="00D16123">
        <w:rPr>
          <w:rFonts w:ascii="Arial" w:hAnsi="Arial" w:cs="Arial"/>
          <w:lang w:val="fr-FR"/>
        </w:rPr>
        <w:t>Soil</w:t>
      </w:r>
      <w:proofErr w:type="spellEnd"/>
      <w:r w:rsidRPr="00D16123">
        <w:rPr>
          <w:rFonts w:ascii="Arial" w:hAnsi="Arial" w:cs="Arial"/>
          <w:lang w:val="fr-FR"/>
        </w:rPr>
        <w:t xml:space="preserve">. Biol. </w:t>
      </w:r>
      <w:proofErr w:type="spellStart"/>
      <w:r w:rsidRPr="00D16123">
        <w:rPr>
          <w:rFonts w:ascii="Arial" w:hAnsi="Arial" w:cs="Arial"/>
          <w:lang w:val="fr-FR"/>
        </w:rPr>
        <w:t>Biochem</w:t>
      </w:r>
      <w:proofErr w:type="spellEnd"/>
      <w:r w:rsidRPr="00D16123">
        <w:rPr>
          <w:rFonts w:ascii="Arial" w:hAnsi="Arial" w:cs="Arial"/>
          <w:lang w:val="fr-FR"/>
        </w:rPr>
        <w:t>., 26, 1101–1108.</w:t>
      </w:r>
    </w:p>
    <w:p w14:paraId="378B1D46" w14:textId="77777777" w:rsidR="00D16123" w:rsidRPr="00D16123" w:rsidRDefault="00D16123" w:rsidP="00D16123">
      <w:pPr>
        <w:pStyle w:val="Body"/>
        <w:rPr>
          <w:rFonts w:ascii="Arial" w:hAnsi="Arial" w:cs="Arial"/>
          <w:lang w:val="fr-FR"/>
        </w:rPr>
      </w:pPr>
      <w:r w:rsidRPr="00D16123">
        <w:rPr>
          <w:rFonts w:ascii="Arial" w:hAnsi="Arial" w:cs="Arial"/>
          <w:lang w:val="fr-FR"/>
        </w:rPr>
        <w:t xml:space="preserve">Zhou, X., Wu, H., </w:t>
      </w:r>
      <w:proofErr w:type="spellStart"/>
      <w:r w:rsidRPr="00D16123">
        <w:rPr>
          <w:rFonts w:ascii="Arial" w:hAnsi="Arial" w:cs="Arial"/>
          <w:lang w:val="fr-FR"/>
        </w:rPr>
        <w:t>Koetz</w:t>
      </w:r>
      <w:proofErr w:type="spellEnd"/>
      <w:r w:rsidRPr="00D16123">
        <w:rPr>
          <w:rFonts w:ascii="Arial" w:hAnsi="Arial" w:cs="Arial"/>
          <w:lang w:val="fr-FR"/>
        </w:rPr>
        <w:t xml:space="preserve">, E., Xu, Z. &amp; Chen, C., (2012). </w:t>
      </w:r>
      <w:proofErr w:type="spellStart"/>
      <w:r w:rsidRPr="00D16123">
        <w:rPr>
          <w:rFonts w:ascii="Arial" w:hAnsi="Arial" w:cs="Arial"/>
          <w:lang w:val="fr-FR"/>
        </w:rPr>
        <w:t>Soil</w:t>
      </w:r>
      <w:proofErr w:type="spellEnd"/>
      <w:r w:rsidRPr="00D16123">
        <w:rPr>
          <w:rFonts w:ascii="Arial" w:hAnsi="Arial" w:cs="Arial"/>
          <w:lang w:val="fr-FR"/>
        </w:rPr>
        <w:t xml:space="preserve"> labile </w:t>
      </w:r>
      <w:proofErr w:type="spellStart"/>
      <w:r w:rsidRPr="00D16123">
        <w:rPr>
          <w:rFonts w:ascii="Arial" w:hAnsi="Arial" w:cs="Arial"/>
          <w:lang w:val="fr-FR"/>
        </w:rPr>
        <w:t>carbon</w:t>
      </w:r>
      <w:proofErr w:type="spellEnd"/>
      <w:r w:rsidRPr="00D16123">
        <w:rPr>
          <w:rFonts w:ascii="Arial" w:hAnsi="Arial" w:cs="Arial"/>
          <w:lang w:val="fr-FR"/>
        </w:rPr>
        <w:t xml:space="preserve"> and </w:t>
      </w:r>
      <w:proofErr w:type="spellStart"/>
      <w:r w:rsidRPr="00D16123">
        <w:rPr>
          <w:rFonts w:ascii="Arial" w:hAnsi="Arial" w:cs="Arial"/>
          <w:lang w:val="fr-FR"/>
        </w:rPr>
        <w:t>nitrogen</w:t>
      </w:r>
      <w:proofErr w:type="spellEnd"/>
      <w:r w:rsidRPr="00D16123">
        <w:rPr>
          <w:rFonts w:ascii="Arial" w:hAnsi="Arial" w:cs="Arial"/>
          <w:lang w:val="fr-FR"/>
        </w:rPr>
        <w:t xml:space="preserve"> pools and </w:t>
      </w:r>
      <w:proofErr w:type="spellStart"/>
      <w:r w:rsidRPr="00D16123">
        <w:rPr>
          <w:rFonts w:ascii="Arial" w:hAnsi="Arial" w:cs="Arial"/>
          <w:lang w:val="fr-FR"/>
        </w:rPr>
        <w:t>microbial</w:t>
      </w:r>
      <w:proofErr w:type="spellEnd"/>
      <w:r w:rsidRPr="00D16123">
        <w:rPr>
          <w:rFonts w:ascii="Arial" w:hAnsi="Arial" w:cs="Arial"/>
          <w:lang w:val="fr-FR"/>
        </w:rPr>
        <w:t xml:space="preserve"> </w:t>
      </w:r>
      <w:proofErr w:type="spellStart"/>
      <w:r w:rsidRPr="00D16123">
        <w:rPr>
          <w:rFonts w:ascii="Arial" w:hAnsi="Arial" w:cs="Arial"/>
          <w:lang w:val="fr-FR"/>
        </w:rPr>
        <w:t>metabolic</w:t>
      </w:r>
      <w:proofErr w:type="spellEnd"/>
      <w:r w:rsidRPr="00D16123">
        <w:rPr>
          <w:rFonts w:ascii="Arial" w:hAnsi="Arial" w:cs="Arial"/>
          <w:lang w:val="fr-FR"/>
        </w:rPr>
        <w:t xml:space="preserve"> </w:t>
      </w:r>
      <w:proofErr w:type="spellStart"/>
      <w:r w:rsidRPr="00D16123">
        <w:rPr>
          <w:rFonts w:ascii="Arial" w:hAnsi="Arial" w:cs="Arial"/>
          <w:lang w:val="fr-FR"/>
        </w:rPr>
        <w:t>diversity</w:t>
      </w:r>
      <w:proofErr w:type="spellEnd"/>
      <w:r w:rsidRPr="00D16123">
        <w:rPr>
          <w:rFonts w:ascii="Arial" w:hAnsi="Arial" w:cs="Arial"/>
          <w:lang w:val="fr-FR"/>
        </w:rPr>
        <w:t xml:space="preserve"> </w:t>
      </w:r>
      <w:proofErr w:type="spellStart"/>
      <w:r w:rsidRPr="00D16123">
        <w:rPr>
          <w:rFonts w:ascii="Arial" w:hAnsi="Arial" w:cs="Arial"/>
          <w:lang w:val="fr-FR"/>
        </w:rPr>
        <w:t>under</w:t>
      </w:r>
      <w:proofErr w:type="spellEnd"/>
      <w:r w:rsidRPr="00D16123">
        <w:rPr>
          <w:rFonts w:ascii="Arial" w:hAnsi="Arial" w:cs="Arial"/>
          <w:lang w:val="fr-FR"/>
        </w:rPr>
        <w:t xml:space="preserve"> </w:t>
      </w:r>
      <w:proofErr w:type="spellStart"/>
      <w:r w:rsidRPr="00D16123">
        <w:rPr>
          <w:rFonts w:ascii="Arial" w:hAnsi="Arial" w:cs="Arial"/>
          <w:lang w:val="fr-FR"/>
        </w:rPr>
        <w:t>winter</w:t>
      </w:r>
      <w:proofErr w:type="spellEnd"/>
      <w:r w:rsidRPr="00D16123">
        <w:rPr>
          <w:rFonts w:ascii="Arial" w:hAnsi="Arial" w:cs="Arial"/>
          <w:lang w:val="fr-FR"/>
        </w:rPr>
        <w:t xml:space="preserve"> </w:t>
      </w:r>
      <w:proofErr w:type="spellStart"/>
      <w:r w:rsidRPr="00D16123">
        <w:rPr>
          <w:rFonts w:ascii="Arial" w:hAnsi="Arial" w:cs="Arial"/>
          <w:lang w:val="fr-FR"/>
        </w:rPr>
        <w:t>crops</w:t>
      </w:r>
      <w:proofErr w:type="spellEnd"/>
      <w:r w:rsidRPr="00D16123">
        <w:rPr>
          <w:rFonts w:ascii="Arial" w:hAnsi="Arial" w:cs="Arial"/>
          <w:lang w:val="fr-FR"/>
        </w:rPr>
        <w:t xml:space="preserve"> in an </w:t>
      </w:r>
      <w:proofErr w:type="spellStart"/>
      <w:r w:rsidRPr="00D16123">
        <w:rPr>
          <w:rFonts w:ascii="Arial" w:hAnsi="Arial" w:cs="Arial"/>
          <w:lang w:val="fr-FR"/>
        </w:rPr>
        <w:t>arid</w:t>
      </w:r>
      <w:proofErr w:type="spellEnd"/>
      <w:r w:rsidRPr="00D16123">
        <w:rPr>
          <w:rFonts w:ascii="Arial" w:hAnsi="Arial" w:cs="Arial"/>
          <w:lang w:val="fr-FR"/>
        </w:rPr>
        <w:t xml:space="preserve"> </w:t>
      </w:r>
      <w:proofErr w:type="spellStart"/>
      <w:r w:rsidRPr="00D16123">
        <w:rPr>
          <w:rFonts w:ascii="Arial" w:hAnsi="Arial" w:cs="Arial"/>
          <w:lang w:val="fr-FR"/>
        </w:rPr>
        <w:t>environment</w:t>
      </w:r>
      <w:proofErr w:type="spellEnd"/>
      <w:r w:rsidRPr="00D16123">
        <w:rPr>
          <w:rFonts w:ascii="Arial" w:hAnsi="Arial" w:cs="Arial"/>
          <w:lang w:val="fr-FR"/>
        </w:rPr>
        <w:t xml:space="preserve">. </w:t>
      </w:r>
      <w:proofErr w:type="spellStart"/>
      <w:r w:rsidRPr="00D16123">
        <w:rPr>
          <w:rFonts w:ascii="Arial" w:hAnsi="Arial" w:cs="Arial"/>
          <w:lang w:val="fr-FR"/>
        </w:rPr>
        <w:t>Appl</w:t>
      </w:r>
      <w:proofErr w:type="spellEnd"/>
      <w:r w:rsidRPr="00D16123">
        <w:rPr>
          <w:rFonts w:ascii="Arial" w:hAnsi="Arial" w:cs="Arial"/>
          <w:lang w:val="fr-FR"/>
        </w:rPr>
        <w:t xml:space="preserve">. </w:t>
      </w:r>
      <w:proofErr w:type="spellStart"/>
      <w:r w:rsidRPr="00D16123">
        <w:rPr>
          <w:rFonts w:ascii="Arial" w:hAnsi="Arial" w:cs="Arial"/>
          <w:lang w:val="fr-FR"/>
        </w:rPr>
        <w:t>Soil</w:t>
      </w:r>
      <w:proofErr w:type="spellEnd"/>
      <w:r w:rsidRPr="00D16123">
        <w:rPr>
          <w:rFonts w:ascii="Arial" w:hAnsi="Arial" w:cs="Arial"/>
          <w:lang w:val="fr-FR"/>
        </w:rPr>
        <w:t xml:space="preserve">. </w:t>
      </w:r>
      <w:proofErr w:type="spellStart"/>
      <w:r w:rsidRPr="00D16123">
        <w:rPr>
          <w:rFonts w:ascii="Arial" w:hAnsi="Arial" w:cs="Arial"/>
          <w:lang w:val="fr-FR"/>
        </w:rPr>
        <w:t>Ecol</w:t>
      </w:r>
      <w:proofErr w:type="spellEnd"/>
      <w:r w:rsidRPr="00D16123">
        <w:rPr>
          <w:rFonts w:ascii="Arial" w:hAnsi="Arial" w:cs="Arial"/>
          <w:lang w:val="fr-FR"/>
        </w:rPr>
        <w:t>., 53, 49-55.</w:t>
      </w:r>
    </w:p>
    <w:p w14:paraId="6EEED866" w14:textId="77777777" w:rsidR="00D16123" w:rsidRPr="00D16123" w:rsidRDefault="00D16123" w:rsidP="00D16123">
      <w:pPr>
        <w:pStyle w:val="Body"/>
        <w:rPr>
          <w:rFonts w:ascii="Arial" w:hAnsi="Arial" w:cs="Arial"/>
          <w:lang w:val="fr-FR"/>
        </w:rPr>
      </w:pPr>
      <w:proofErr w:type="spellStart"/>
      <w:r w:rsidRPr="00D16123">
        <w:rPr>
          <w:rFonts w:ascii="Arial" w:hAnsi="Arial" w:cs="Arial"/>
          <w:lang w:val="fr-FR"/>
        </w:rPr>
        <w:t>Zougmore</w:t>
      </w:r>
      <w:proofErr w:type="spellEnd"/>
      <w:r w:rsidRPr="00D16123">
        <w:rPr>
          <w:rFonts w:ascii="Arial" w:hAnsi="Arial" w:cs="Arial"/>
          <w:lang w:val="fr-FR"/>
        </w:rPr>
        <w:t xml:space="preserve">, R., </w:t>
      </w:r>
      <w:proofErr w:type="spellStart"/>
      <w:r w:rsidRPr="00D16123">
        <w:rPr>
          <w:rFonts w:ascii="Arial" w:hAnsi="Arial" w:cs="Arial"/>
          <w:lang w:val="fr-FR"/>
        </w:rPr>
        <w:t>Guillobez</w:t>
      </w:r>
      <w:proofErr w:type="spellEnd"/>
      <w:r w:rsidRPr="00D16123">
        <w:rPr>
          <w:rFonts w:ascii="Arial" w:hAnsi="Arial" w:cs="Arial"/>
          <w:lang w:val="fr-FR"/>
        </w:rPr>
        <w:t xml:space="preserve">, S., </w:t>
      </w:r>
      <w:proofErr w:type="spellStart"/>
      <w:r w:rsidRPr="00D16123">
        <w:rPr>
          <w:rFonts w:ascii="Arial" w:hAnsi="Arial" w:cs="Arial"/>
          <w:lang w:val="fr-FR"/>
        </w:rPr>
        <w:t>Kambou</w:t>
      </w:r>
      <w:proofErr w:type="spellEnd"/>
      <w:r w:rsidRPr="00D16123">
        <w:rPr>
          <w:rFonts w:ascii="Arial" w:hAnsi="Arial" w:cs="Arial"/>
          <w:lang w:val="fr-FR"/>
        </w:rPr>
        <w:t xml:space="preserve">, N.F., &amp; Son, G., (2000). </w:t>
      </w:r>
      <w:proofErr w:type="spellStart"/>
      <w:r w:rsidRPr="00D16123">
        <w:rPr>
          <w:rFonts w:ascii="Arial" w:hAnsi="Arial" w:cs="Arial"/>
          <w:lang w:val="fr-FR"/>
        </w:rPr>
        <w:t>Runoff</w:t>
      </w:r>
      <w:proofErr w:type="spellEnd"/>
      <w:r w:rsidRPr="00D16123">
        <w:rPr>
          <w:rFonts w:ascii="Arial" w:hAnsi="Arial" w:cs="Arial"/>
          <w:lang w:val="fr-FR"/>
        </w:rPr>
        <w:t xml:space="preserve"> and </w:t>
      </w:r>
      <w:proofErr w:type="spellStart"/>
      <w:r w:rsidRPr="00D16123">
        <w:rPr>
          <w:rFonts w:ascii="Arial" w:hAnsi="Arial" w:cs="Arial"/>
          <w:lang w:val="fr-FR"/>
        </w:rPr>
        <w:t>sorghum</w:t>
      </w:r>
      <w:proofErr w:type="spellEnd"/>
      <w:r w:rsidRPr="00D16123">
        <w:rPr>
          <w:rFonts w:ascii="Arial" w:hAnsi="Arial" w:cs="Arial"/>
          <w:lang w:val="fr-FR"/>
        </w:rPr>
        <w:t xml:space="preserve"> performance as </w:t>
      </w:r>
      <w:proofErr w:type="spellStart"/>
      <w:r w:rsidRPr="00D16123">
        <w:rPr>
          <w:rFonts w:ascii="Arial" w:hAnsi="Arial" w:cs="Arial"/>
          <w:lang w:val="fr-FR"/>
        </w:rPr>
        <w:t>affected</w:t>
      </w:r>
      <w:proofErr w:type="spellEnd"/>
      <w:r w:rsidRPr="00D16123">
        <w:rPr>
          <w:rFonts w:ascii="Arial" w:hAnsi="Arial" w:cs="Arial"/>
          <w:lang w:val="fr-FR"/>
        </w:rPr>
        <w:t xml:space="preserve"> by the </w:t>
      </w:r>
      <w:proofErr w:type="spellStart"/>
      <w:r w:rsidRPr="00D16123">
        <w:rPr>
          <w:rFonts w:ascii="Arial" w:hAnsi="Arial" w:cs="Arial"/>
          <w:lang w:val="fr-FR"/>
        </w:rPr>
        <w:t>spacing</w:t>
      </w:r>
      <w:proofErr w:type="spellEnd"/>
      <w:r w:rsidRPr="00D16123">
        <w:rPr>
          <w:rFonts w:ascii="Arial" w:hAnsi="Arial" w:cs="Arial"/>
          <w:lang w:val="fr-FR"/>
        </w:rPr>
        <w:t xml:space="preserve"> of stone </w:t>
      </w:r>
      <w:proofErr w:type="spellStart"/>
      <w:r w:rsidRPr="00D16123">
        <w:rPr>
          <w:rFonts w:ascii="Arial" w:hAnsi="Arial" w:cs="Arial"/>
          <w:lang w:val="fr-FR"/>
        </w:rPr>
        <w:t>lines</w:t>
      </w:r>
      <w:proofErr w:type="spellEnd"/>
      <w:r w:rsidRPr="00D16123">
        <w:rPr>
          <w:rFonts w:ascii="Arial" w:hAnsi="Arial" w:cs="Arial"/>
          <w:lang w:val="fr-FR"/>
        </w:rPr>
        <w:t xml:space="preserve"> in the </w:t>
      </w:r>
      <w:proofErr w:type="spellStart"/>
      <w:r w:rsidRPr="00D16123">
        <w:rPr>
          <w:rFonts w:ascii="Arial" w:hAnsi="Arial" w:cs="Arial"/>
          <w:lang w:val="fr-FR"/>
        </w:rPr>
        <w:t>semiarid</w:t>
      </w:r>
      <w:proofErr w:type="spellEnd"/>
      <w:r w:rsidRPr="00D16123">
        <w:rPr>
          <w:rFonts w:ascii="Arial" w:hAnsi="Arial" w:cs="Arial"/>
          <w:lang w:val="fr-FR"/>
        </w:rPr>
        <w:t xml:space="preserve"> </w:t>
      </w:r>
      <w:proofErr w:type="spellStart"/>
      <w:r w:rsidRPr="00D16123">
        <w:rPr>
          <w:rFonts w:ascii="Arial" w:hAnsi="Arial" w:cs="Arial"/>
          <w:lang w:val="fr-FR"/>
        </w:rPr>
        <w:t>Sahelian</w:t>
      </w:r>
      <w:proofErr w:type="spellEnd"/>
      <w:r w:rsidRPr="00D16123">
        <w:rPr>
          <w:rFonts w:ascii="Arial" w:hAnsi="Arial" w:cs="Arial"/>
          <w:lang w:val="fr-FR"/>
        </w:rPr>
        <w:t xml:space="preserve"> zone, </w:t>
      </w:r>
      <w:proofErr w:type="spellStart"/>
      <w:r w:rsidRPr="00D16123">
        <w:rPr>
          <w:rFonts w:ascii="Arial" w:hAnsi="Arial" w:cs="Arial"/>
          <w:lang w:val="fr-FR"/>
        </w:rPr>
        <w:t>Soil</w:t>
      </w:r>
      <w:proofErr w:type="spellEnd"/>
      <w:r w:rsidRPr="00D16123">
        <w:rPr>
          <w:rFonts w:ascii="Arial" w:hAnsi="Arial" w:cs="Arial"/>
          <w:lang w:val="fr-FR"/>
        </w:rPr>
        <w:t xml:space="preserve"> &amp; Tillage </w:t>
      </w:r>
      <w:proofErr w:type="spellStart"/>
      <w:r w:rsidRPr="00D16123">
        <w:rPr>
          <w:rFonts w:ascii="Arial" w:hAnsi="Arial" w:cs="Arial"/>
          <w:lang w:val="fr-FR"/>
        </w:rPr>
        <w:t>Research</w:t>
      </w:r>
      <w:proofErr w:type="spellEnd"/>
      <w:r w:rsidRPr="00D16123">
        <w:rPr>
          <w:rFonts w:ascii="Arial" w:hAnsi="Arial" w:cs="Arial"/>
          <w:lang w:val="fr-FR"/>
        </w:rPr>
        <w:t>, 56, 175-183.</w:t>
      </w:r>
    </w:p>
    <w:p w14:paraId="5BF0B651" w14:textId="77777777" w:rsidR="00D16123" w:rsidRPr="00D16123" w:rsidRDefault="00D16123" w:rsidP="00D16123">
      <w:pPr>
        <w:pStyle w:val="Body"/>
        <w:rPr>
          <w:rFonts w:ascii="Arial" w:hAnsi="Arial" w:cs="Arial"/>
          <w:lang w:val="fr-FR"/>
        </w:rPr>
      </w:pPr>
      <w:proofErr w:type="spellStart"/>
      <w:r w:rsidRPr="00D16123">
        <w:rPr>
          <w:rFonts w:ascii="Arial" w:hAnsi="Arial" w:cs="Arial"/>
          <w:lang w:val="fr-FR"/>
        </w:rPr>
        <w:t>Zougmore</w:t>
      </w:r>
      <w:proofErr w:type="spellEnd"/>
      <w:r w:rsidRPr="00D16123">
        <w:rPr>
          <w:rFonts w:ascii="Arial" w:hAnsi="Arial" w:cs="Arial"/>
          <w:lang w:val="fr-FR"/>
        </w:rPr>
        <w:t xml:space="preserve">, R., </w:t>
      </w:r>
      <w:proofErr w:type="spellStart"/>
      <w:r w:rsidRPr="00D16123">
        <w:rPr>
          <w:rFonts w:ascii="Arial" w:hAnsi="Arial" w:cs="Arial"/>
          <w:lang w:val="fr-FR"/>
        </w:rPr>
        <w:t>Gankambary</w:t>
      </w:r>
      <w:proofErr w:type="spellEnd"/>
      <w:r w:rsidRPr="00D16123">
        <w:rPr>
          <w:rFonts w:ascii="Arial" w:hAnsi="Arial" w:cs="Arial"/>
          <w:lang w:val="fr-FR"/>
        </w:rPr>
        <w:t xml:space="preserve">, Z., </w:t>
      </w:r>
      <w:proofErr w:type="spellStart"/>
      <w:r w:rsidRPr="00D16123">
        <w:rPr>
          <w:rFonts w:ascii="Arial" w:hAnsi="Arial" w:cs="Arial"/>
          <w:lang w:val="fr-FR"/>
        </w:rPr>
        <w:t>Guillobez</w:t>
      </w:r>
      <w:proofErr w:type="spellEnd"/>
      <w:r w:rsidRPr="00D16123">
        <w:rPr>
          <w:rFonts w:ascii="Arial" w:hAnsi="Arial" w:cs="Arial"/>
          <w:lang w:val="fr-FR"/>
        </w:rPr>
        <w:t xml:space="preserve">, S., </w:t>
      </w:r>
      <w:proofErr w:type="spellStart"/>
      <w:r w:rsidRPr="00D16123">
        <w:rPr>
          <w:rFonts w:ascii="Arial" w:hAnsi="Arial" w:cs="Arial"/>
          <w:lang w:val="fr-FR"/>
        </w:rPr>
        <w:t>Stroosnijder</w:t>
      </w:r>
      <w:proofErr w:type="spellEnd"/>
      <w:r w:rsidRPr="00D16123">
        <w:rPr>
          <w:rFonts w:ascii="Arial" w:hAnsi="Arial" w:cs="Arial"/>
          <w:lang w:val="fr-FR"/>
        </w:rPr>
        <w:t xml:space="preserve">, L., (2002). </w:t>
      </w:r>
      <w:proofErr w:type="spellStart"/>
      <w:r w:rsidRPr="00D16123">
        <w:rPr>
          <w:rFonts w:ascii="Arial" w:hAnsi="Arial" w:cs="Arial"/>
          <w:lang w:val="fr-FR"/>
        </w:rPr>
        <w:t>Effect</w:t>
      </w:r>
      <w:proofErr w:type="spellEnd"/>
      <w:r w:rsidRPr="00D16123">
        <w:rPr>
          <w:rFonts w:ascii="Arial" w:hAnsi="Arial" w:cs="Arial"/>
          <w:lang w:val="fr-FR"/>
        </w:rPr>
        <w:t xml:space="preserve"> of stone </w:t>
      </w:r>
      <w:proofErr w:type="spellStart"/>
      <w:r w:rsidRPr="00D16123">
        <w:rPr>
          <w:rFonts w:ascii="Arial" w:hAnsi="Arial" w:cs="Arial"/>
          <w:lang w:val="fr-FR"/>
        </w:rPr>
        <w:t>lines</w:t>
      </w:r>
      <w:proofErr w:type="spellEnd"/>
      <w:r w:rsidRPr="00D16123">
        <w:rPr>
          <w:rFonts w:ascii="Arial" w:hAnsi="Arial" w:cs="Arial"/>
          <w:lang w:val="fr-FR"/>
        </w:rPr>
        <w:t xml:space="preserve"> on </w:t>
      </w:r>
      <w:proofErr w:type="spellStart"/>
      <w:r w:rsidRPr="00D16123">
        <w:rPr>
          <w:rFonts w:ascii="Arial" w:hAnsi="Arial" w:cs="Arial"/>
          <w:lang w:val="fr-FR"/>
        </w:rPr>
        <w:t>chemical</w:t>
      </w:r>
      <w:proofErr w:type="spellEnd"/>
      <w:r w:rsidRPr="00D16123">
        <w:rPr>
          <w:rFonts w:ascii="Arial" w:hAnsi="Arial" w:cs="Arial"/>
          <w:lang w:val="fr-FR"/>
        </w:rPr>
        <w:t xml:space="preserve"> </w:t>
      </w:r>
      <w:proofErr w:type="spellStart"/>
      <w:r w:rsidRPr="00D16123">
        <w:rPr>
          <w:rFonts w:ascii="Arial" w:hAnsi="Arial" w:cs="Arial"/>
          <w:lang w:val="fr-FR"/>
        </w:rPr>
        <w:t>characteristics</w:t>
      </w:r>
      <w:proofErr w:type="spellEnd"/>
      <w:r w:rsidRPr="00D16123">
        <w:rPr>
          <w:rFonts w:ascii="Arial" w:hAnsi="Arial" w:cs="Arial"/>
          <w:lang w:val="fr-FR"/>
        </w:rPr>
        <w:t xml:space="preserve"> </w:t>
      </w:r>
      <w:proofErr w:type="spellStart"/>
      <w:r w:rsidRPr="00D16123">
        <w:rPr>
          <w:rFonts w:ascii="Arial" w:hAnsi="Arial" w:cs="Arial"/>
          <w:lang w:val="fr-FR"/>
        </w:rPr>
        <w:t>under</w:t>
      </w:r>
      <w:proofErr w:type="spellEnd"/>
      <w:r w:rsidRPr="00D16123">
        <w:rPr>
          <w:rFonts w:ascii="Arial" w:hAnsi="Arial" w:cs="Arial"/>
          <w:lang w:val="fr-FR"/>
        </w:rPr>
        <w:t xml:space="preserve"> </w:t>
      </w:r>
      <w:proofErr w:type="spellStart"/>
      <w:r w:rsidRPr="00D16123">
        <w:rPr>
          <w:rFonts w:ascii="Arial" w:hAnsi="Arial" w:cs="Arial"/>
          <w:lang w:val="fr-FR"/>
        </w:rPr>
        <w:t>continuous</w:t>
      </w:r>
      <w:proofErr w:type="spellEnd"/>
      <w:r w:rsidRPr="00D16123">
        <w:rPr>
          <w:rFonts w:ascii="Arial" w:hAnsi="Arial" w:cs="Arial"/>
          <w:lang w:val="fr-FR"/>
        </w:rPr>
        <w:t xml:space="preserve"> </w:t>
      </w:r>
      <w:proofErr w:type="spellStart"/>
      <w:r w:rsidRPr="00D16123">
        <w:rPr>
          <w:rFonts w:ascii="Arial" w:hAnsi="Arial" w:cs="Arial"/>
          <w:lang w:val="fr-FR"/>
        </w:rPr>
        <w:t>sorghum</w:t>
      </w:r>
      <w:proofErr w:type="spellEnd"/>
      <w:r w:rsidRPr="00D16123">
        <w:rPr>
          <w:rFonts w:ascii="Arial" w:hAnsi="Arial" w:cs="Arial"/>
          <w:lang w:val="fr-FR"/>
        </w:rPr>
        <w:t xml:space="preserve"> </w:t>
      </w:r>
      <w:proofErr w:type="spellStart"/>
      <w:r w:rsidRPr="00D16123">
        <w:rPr>
          <w:rFonts w:ascii="Arial" w:hAnsi="Arial" w:cs="Arial"/>
          <w:lang w:val="fr-FR"/>
        </w:rPr>
        <w:t>cropping</w:t>
      </w:r>
      <w:proofErr w:type="spellEnd"/>
      <w:r w:rsidRPr="00D16123">
        <w:rPr>
          <w:rFonts w:ascii="Arial" w:hAnsi="Arial" w:cs="Arial"/>
          <w:lang w:val="fr-FR"/>
        </w:rPr>
        <w:t xml:space="preserve"> in </w:t>
      </w:r>
      <w:proofErr w:type="spellStart"/>
      <w:r w:rsidRPr="00D16123">
        <w:rPr>
          <w:rFonts w:ascii="Arial" w:hAnsi="Arial" w:cs="Arial"/>
          <w:lang w:val="fr-FR"/>
        </w:rPr>
        <w:t>semiarid</w:t>
      </w:r>
      <w:proofErr w:type="spellEnd"/>
      <w:r w:rsidRPr="00D16123">
        <w:rPr>
          <w:rFonts w:ascii="Arial" w:hAnsi="Arial" w:cs="Arial"/>
          <w:lang w:val="fr-FR"/>
        </w:rPr>
        <w:t xml:space="preserve"> Burkina Faso, </w:t>
      </w:r>
      <w:proofErr w:type="spellStart"/>
      <w:r w:rsidRPr="00D16123">
        <w:rPr>
          <w:rFonts w:ascii="Arial" w:hAnsi="Arial" w:cs="Arial"/>
          <w:lang w:val="fr-FR"/>
        </w:rPr>
        <w:t>Soil</w:t>
      </w:r>
      <w:proofErr w:type="spellEnd"/>
      <w:r w:rsidRPr="00D16123">
        <w:rPr>
          <w:rFonts w:ascii="Arial" w:hAnsi="Arial" w:cs="Arial"/>
          <w:lang w:val="fr-FR"/>
        </w:rPr>
        <w:t xml:space="preserve"> &amp; Tillage </w:t>
      </w:r>
      <w:proofErr w:type="spellStart"/>
      <w:r w:rsidRPr="00D16123">
        <w:rPr>
          <w:rFonts w:ascii="Arial" w:hAnsi="Arial" w:cs="Arial"/>
          <w:lang w:val="fr-FR"/>
        </w:rPr>
        <w:t>Research</w:t>
      </w:r>
      <w:proofErr w:type="spellEnd"/>
      <w:r w:rsidRPr="00D16123">
        <w:rPr>
          <w:rFonts w:ascii="Arial" w:hAnsi="Arial" w:cs="Arial"/>
          <w:lang w:val="fr-FR"/>
        </w:rPr>
        <w:t>, 66, 47-53.</w:t>
      </w:r>
    </w:p>
    <w:p w14:paraId="1A515DB2" w14:textId="3C8F259B" w:rsidR="00B01FCD" w:rsidRPr="00FB3A86" w:rsidRDefault="00D16123" w:rsidP="00D16123">
      <w:pPr>
        <w:pStyle w:val="Body"/>
        <w:rPr>
          <w:rFonts w:ascii="Arial" w:hAnsi="Arial" w:cs="Arial"/>
          <w:b/>
        </w:rPr>
      </w:pPr>
      <w:proofErr w:type="spellStart"/>
      <w:r w:rsidRPr="00D16123">
        <w:rPr>
          <w:rFonts w:ascii="Arial" w:hAnsi="Arial" w:cs="Arial"/>
          <w:lang w:val="fr-FR"/>
        </w:rPr>
        <w:t>Zougmoré</w:t>
      </w:r>
      <w:proofErr w:type="spellEnd"/>
      <w:r w:rsidRPr="00D16123">
        <w:rPr>
          <w:rFonts w:ascii="Arial" w:hAnsi="Arial" w:cs="Arial"/>
          <w:lang w:val="fr-FR"/>
        </w:rPr>
        <w:t xml:space="preserve">, R., Ouattara, K., </w:t>
      </w:r>
      <w:proofErr w:type="spellStart"/>
      <w:r w:rsidRPr="00D16123">
        <w:rPr>
          <w:rFonts w:ascii="Arial" w:hAnsi="Arial" w:cs="Arial"/>
          <w:lang w:val="fr-FR"/>
        </w:rPr>
        <w:t>Mando</w:t>
      </w:r>
      <w:proofErr w:type="spellEnd"/>
      <w:r w:rsidRPr="00D16123">
        <w:rPr>
          <w:rFonts w:ascii="Arial" w:hAnsi="Arial" w:cs="Arial"/>
          <w:lang w:val="fr-FR"/>
        </w:rPr>
        <w:t xml:space="preserve">, A., &amp; Ouattara, B., (2004). </w:t>
      </w:r>
      <w:proofErr w:type="spellStart"/>
      <w:r w:rsidRPr="00D16123">
        <w:rPr>
          <w:rFonts w:ascii="Arial" w:hAnsi="Arial" w:cs="Arial"/>
          <w:lang w:val="fr-FR"/>
        </w:rPr>
        <w:t>Role</w:t>
      </w:r>
      <w:proofErr w:type="spellEnd"/>
      <w:r w:rsidRPr="00D16123">
        <w:rPr>
          <w:rFonts w:ascii="Arial" w:hAnsi="Arial" w:cs="Arial"/>
          <w:lang w:val="fr-FR"/>
        </w:rPr>
        <w:t xml:space="preserve"> of </w:t>
      </w:r>
      <w:proofErr w:type="spellStart"/>
      <w:r w:rsidRPr="00D16123">
        <w:rPr>
          <w:rFonts w:ascii="Arial" w:hAnsi="Arial" w:cs="Arial"/>
          <w:lang w:val="fr-FR"/>
        </w:rPr>
        <w:t>nutrients</w:t>
      </w:r>
      <w:proofErr w:type="spellEnd"/>
      <w:r w:rsidRPr="00D16123">
        <w:rPr>
          <w:rFonts w:ascii="Arial" w:hAnsi="Arial" w:cs="Arial"/>
          <w:lang w:val="fr-FR"/>
        </w:rPr>
        <w:t xml:space="preserve"> in the </w:t>
      </w:r>
      <w:proofErr w:type="spellStart"/>
      <w:r w:rsidRPr="00D16123">
        <w:rPr>
          <w:rFonts w:ascii="Arial" w:hAnsi="Arial" w:cs="Arial"/>
          <w:lang w:val="fr-FR"/>
        </w:rPr>
        <w:t>success</w:t>
      </w:r>
      <w:proofErr w:type="spellEnd"/>
      <w:r w:rsidRPr="00D16123">
        <w:rPr>
          <w:rFonts w:ascii="Arial" w:hAnsi="Arial" w:cs="Arial"/>
          <w:lang w:val="fr-FR"/>
        </w:rPr>
        <w:t xml:space="preserve"> of water and </w:t>
      </w:r>
      <w:proofErr w:type="spellStart"/>
      <w:r w:rsidRPr="00D16123">
        <w:rPr>
          <w:rFonts w:ascii="Arial" w:hAnsi="Arial" w:cs="Arial"/>
          <w:lang w:val="fr-FR"/>
        </w:rPr>
        <w:t>soil</w:t>
      </w:r>
      <w:proofErr w:type="spellEnd"/>
      <w:r w:rsidRPr="00D16123">
        <w:rPr>
          <w:rFonts w:ascii="Arial" w:hAnsi="Arial" w:cs="Arial"/>
          <w:lang w:val="fr-FR"/>
        </w:rPr>
        <w:t xml:space="preserve"> conservation techniques (stone </w:t>
      </w:r>
      <w:proofErr w:type="spellStart"/>
      <w:r w:rsidRPr="00D16123">
        <w:rPr>
          <w:rFonts w:ascii="Arial" w:hAnsi="Arial" w:cs="Arial"/>
          <w:lang w:val="fr-FR"/>
        </w:rPr>
        <w:t>bunds</w:t>
      </w:r>
      <w:proofErr w:type="spellEnd"/>
      <w:r w:rsidRPr="00D16123">
        <w:rPr>
          <w:rFonts w:ascii="Arial" w:hAnsi="Arial" w:cs="Arial"/>
          <w:lang w:val="fr-FR"/>
        </w:rPr>
        <w:t xml:space="preserve">, </w:t>
      </w:r>
      <w:proofErr w:type="spellStart"/>
      <w:r w:rsidRPr="00D16123">
        <w:rPr>
          <w:rFonts w:ascii="Arial" w:hAnsi="Arial" w:cs="Arial"/>
          <w:lang w:val="fr-FR"/>
        </w:rPr>
        <w:t>grass</w:t>
      </w:r>
      <w:proofErr w:type="spellEnd"/>
      <w:r w:rsidRPr="00D16123">
        <w:rPr>
          <w:rFonts w:ascii="Arial" w:hAnsi="Arial" w:cs="Arial"/>
          <w:lang w:val="fr-FR"/>
        </w:rPr>
        <w:t xml:space="preserve"> </w:t>
      </w:r>
      <w:proofErr w:type="spellStart"/>
      <w:r w:rsidRPr="00D16123">
        <w:rPr>
          <w:rFonts w:ascii="Arial" w:hAnsi="Arial" w:cs="Arial"/>
          <w:lang w:val="fr-FR"/>
        </w:rPr>
        <w:t>strips</w:t>
      </w:r>
      <w:proofErr w:type="spellEnd"/>
      <w:r w:rsidRPr="00D16123">
        <w:rPr>
          <w:rFonts w:ascii="Arial" w:hAnsi="Arial" w:cs="Arial"/>
          <w:lang w:val="fr-FR"/>
        </w:rPr>
        <w:t xml:space="preserve">, </w:t>
      </w:r>
      <w:proofErr w:type="spellStart"/>
      <w:r w:rsidRPr="00D16123">
        <w:rPr>
          <w:rFonts w:ascii="Arial" w:hAnsi="Arial" w:cs="Arial"/>
          <w:lang w:val="fr-FR"/>
        </w:rPr>
        <w:t>zaï</w:t>
      </w:r>
      <w:proofErr w:type="spellEnd"/>
      <w:r w:rsidRPr="00D16123">
        <w:rPr>
          <w:rFonts w:ascii="Arial" w:hAnsi="Arial" w:cs="Arial"/>
          <w:lang w:val="fr-FR"/>
        </w:rPr>
        <w:t xml:space="preserve"> and </w:t>
      </w:r>
      <w:proofErr w:type="spellStart"/>
      <w:r w:rsidRPr="00D16123">
        <w:rPr>
          <w:rFonts w:ascii="Arial" w:hAnsi="Arial" w:cs="Arial"/>
          <w:lang w:val="fr-FR"/>
        </w:rPr>
        <w:t>half-moons</w:t>
      </w:r>
      <w:proofErr w:type="spellEnd"/>
      <w:r w:rsidRPr="00D16123">
        <w:rPr>
          <w:rFonts w:ascii="Arial" w:hAnsi="Arial" w:cs="Arial"/>
          <w:lang w:val="fr-FR"/>
        </w:rPr>
        <w:t xml:space="preserve">) in Burkina Faso. </w:t>
      </w:r>
      <w:proofErr w:type="spellStart"/>
      <w:r w:rsidRPr="00D16123">
        <w:rPr>
          <w:rFonts w:ascii="Arial" w:hAnsi="Arial" w:cs="Arial"/>
          <w:lang w:val="fr-FR"/>
        </w:rPr>
        <w:t>Secher</w:t>
      </w:r>
      <w:proofErr w:type="spellEnd"/>
      <w:r w:rsidRPr="00D16123">
        <w:rPr>
          <w:rFonts w:ascii="Arial" w:hAnsi="Arial" w:cs="Arial"/>
          <w:lang w:val="fr-FR"/>
        </w:rPr>
        <w:t>., 15, 41-48.</w:t>
      </w:r>
    </w:p>
    <w:sectPr w:rsidR="00B01FCD" w:rsidRPr="00FB3A86" w:rsidSect="00BE09AD">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CBAB8" w14:textId="77777777" w:rsidR="004C0CA5" w:rsidRDefault="004C0CA5" w:rsidP="00C37E61">
      <w:r>
        <w:separator/>
      </w:r>
    </w:p>
  </w:endnote>
  <w:endnote w:type="continuationSeparator" w:id="0">
    <w:p w14:paraId="33D0E480" w14:textId="77777777" w:rsidR="004C0CA5" w:rsidRDefault="004C0CA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5622" w14:textId="77777777" w:rsidR="00BE09AD" w:rsidRDefault="00BE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C4DF" w14:textId="77777777" w:rsidR="00BE09AD" w:rsidRDefault="00BE0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836A" w14:textId="3B459D16" w:rsidR="00754C9A" w:rsidRPr="00BE09AD" w:rsidRDefault="00754C9A" w:rsidP="00BE09A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FBDE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632A9" w14:textId="77777777" w:rsidR="004C0CA5" w:rsidRDefault="004C0CA5" w:rsidP="00C37E61">
      <w:r>
        <w:separator/>
      </w:r>
    </w:p>
  </w:footnote>
  <w:footnote w:type="continuationSeparator" w:id="0">
    <w:p w14:paraId="1F54A37D" w14:textId="77777777" w:rsidR="004C0CA5" w:rsidRDefault="004C0CA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50632" w14:textId="4644EA1D" w:rsidR="00BE09AD" w:rsidRDefault="00BE09AD">
    <w:pPr>
      <w:pStyle w:val="Header"/>
    </w:pPr>
    <w:r>
      <w:rPr>
        <w:noProof/>
      </w:rPr>
      <w:pict w14:anchorId="7D411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65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27685" w14:textId="09FF91E6" w:rsidR="00BE09AD" w:rsidRDefault="00BE09AD">
    <w:pPr>
      <w:pStyle w:val="Header"/>
    </w:pPr>
    <w:r>
      <w:rPr>
        <w:noProof/>
      </w:rPr>
      <w:pict w14:anchorId="244F1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65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8C72" w14:textId="011502E6" w:rsidR="00296529" w:rsidRPr="00296529" w:rsidRDefault="00BE09AD" w:rsidP="00296529">
    <w:pPr>
      <w:ind w:left="2160"/>
      <w:jc w:val="center"/>
      <w:rPr>
        <w:rFonts w:ascii="Times New Roman" w:eastAsia="Calibri" w:hAnsi="Times New Roman"/>
        <w:i/>
        <w:sz w:val="18"/>
        <w:szCs w:val="22"/>
      </w:rPr>
    </w:pPr>
    <w:r>
      <w:rPr>
        <w:noProof/>
      </w:rPr>
      <w:pict w14:anchorId="4DC10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65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49CD2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F50A1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45E6D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B6A05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325E0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4E41B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01F3" w14:textId="41D9D206" w:rsidR="00BE09AD" w:rsidRDefault="00BE09AD">
    <w:pPr>
      <w:pStyle w:val="Header"/>
    </w:pPr>
    <w:r>
      <w:rPr>
        <w:noProof/>
      </w:rPr>
      <w:pict w14:anchorId="0075C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652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1C2A2" w14:textId="26AA4BAC" w:rsidR="00BE09AD" w:rsidRDefault="00BE09AD">
    <w:pPr>
      <w:pStyle w:val="Header"/>
    </w:pPr>
    <w:r>
      <w:rPr>
        <w:noProof/>
      </w:rPr>
      <w:pict w14:anchorId="21A08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652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AFB07" w14:textId="53CE2649" w:rsidR="00BE09AD" w:rsidRDefault="00BE09AD">
    <w:pPr>
      <w:pStyle w:val="Header"/>
    </w:pPr>
    <w:r>
      <w:rPr>
        <w:noProof/>
      </w:rPr>
      <w:pict w14:anchorId="00082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652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4E4EDC"/>
    <w:multiLevelType w:val="multilevel"/>
    <w:tmpl w:val="BD8E880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64D"/>
    <w:rsid w:val="00030174"/>
    <w:rsid w:val="0004579C"/>
    <w:rsid w:val="00054138"/>
    <w:rsid w:val="0006519C"/>
    <w:rsid w:val="000A47FA"/>
    <w:rsid w:val="000A65D3"/>
    <w:rsid w:val="000B1E33"/>
    <w:rsid w:val="000D689F"/>
    <w:rsid w:val="000D71D5"/>
    <w:rsid w:val="000E7B7B"/>
    <w:rsid w:val="000E7D62"/>
    <w:rsid w:val="000F1037"/>
    <w:rsid w:val="00103357"/>
    <w:rsid w:val="00112C26"/>
    <w:rsid w:val="00123C9F"/>
    <w:rsid w:val="00126190"/>
    <w:rsid w:val="00130F17"/>
    <w:rsid w:val="001320BF"/>
    <w:rsid w:val="001530EE"/>
    <w:rsid w:val="00163BC4"/>
    <w:rsid w:val="00191062"/>
    <w:rsid w:val="00192B72"/>
    <w:rsid w:val="001A29D8"/>
    <w:rsid w:val="001A5CAA"/>
    <w:rsid w:val="001B0427"/>
    <w:rsid w:val="001B08F8"/>
    <w:rsid w:val="001B27A6"/>
    <w:rsid w:val="001D3A51"/>
    <w:rsid w:val="001E10D2"/>
    <w:rsid w:val="001E25B4"/>
    <w:rsid w:val="001E44FE"/>
    <w:rsid w:val="00200595"/>
    <w:rsid w:val="00204835"/>
    <w:rsid w:val="002065E9"/>
    <w:rsid w:val="0022326D"/>
    <w:rsid w:val="00231920"/>
    <w:rsid w:val="0023195C"/>
    <w:rsid w:val="0024282C"/>
    <w:rsid w:val="002460DC"/>
    <w:rsid w:val="00250985"/>
    <w:rsid w:val="002556F6"/>
    <w:rsid w:val="00283105"/>
    <w:rsid w:val="00284254"/>
    <w:rsid w:val="00284C4C"/>
    <w:rsid w:val="00287E68"/>
    <w:rsid w:val="00296529"/>
    <w:rsid w:val="002B27FB"/>
    <w:rsid w:val="002B685A"/>
    <w:rsid w:val="002C57D2"/>
    <w:rsid w:val="002E0D56"/>
    <w:rsid w:val="002F0227"/>
    <w:rsid w:val="00315186"/>
    <w:rsid w:val="00324FD1"/>
    <w:rsid w:val="0033343E"/>
    <w:rsid w:val="003512C2"/>
    <w:rsid w:val="00371FB6"/>
    <w:rsid w:val="003763C1"/>
    <w:rsid w:val="00376BBE"/>
    <w:rsid w:val="0038655F"/>
    <w:rsid w:val="0039224F"/>
    <w:rsid w:val="00394AE3"/>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1594"/>
    <w:rsid w:val="004A20D3"/>
    <w:rsid w:val="004C0CA5"/>
    <w:rsid w:val="004D305E"/>
    <w:rsid w:val="004D4277"/>
    <w:rsid w:val="004F1A74"/>
    <w:rsid w:val="00502516"/>
    <w:rsid w:val="00505F06"/>
    <w:rsid w:val="00506828"/>
    <w:rsid w:val="0050791C"/>
    <w:rsid w:val="00513F57"/>
    <w:rsid w:val="0053056E"/>
    <w:rsid w:val="00554FDA"/>
    <w:rsid w:val="005C784C"/>
    <w:rsid w:val="005D17F6"/>
    <w:rsid w:val="005E5539"/>
    <w:rsid w:val="00602BF5"/>
    <w:rsid w:val="0060790B"/>
    <w:rsid w:val="00617FDD"/>
    <w:rsid w:val="006320CA"/>
    <w:rsid w:val="00633614"/>
    <w:rsid w:val="00633F68"/>
    <w:rsid w:val="00636EB2"/>
    <w:rsid w:val="00637365"/>
    <w:rsid w:val="006375B8"/>
    <w:rsid w:val="0066510A"/>
    <w:rsid w:val="00673F9F"/>
    <w:rsid w:val="00682466"/>
    <w:rsid w:val="00686953"/>
    <w:rsid w:val="00687BE3"/>
    <w:rsid w:val="00687DEA"/>
    <w:rsid w:val="00687E67"/>
    <w:rsid w:val="006967F7"/>
    <w:rsid w:val="006A250C"/>
    <w:rsid w:val="006B21D3"/>
    <w:rsid w:val="006B2EAD"/>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1455"/>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1C1B"/>
    <w:rsid w:val="00A1373F"/>
    <w:rsid w:val="00A13833"/>
    <w:rsid w:val="00A24E7E"/>
    <w:rsid w:val="00A258C3"/>
    <w:rsid w:val="00A341E6"/>
    <w:rsid w:val="00A347C0"/>
    <w:rsid w:val="00A51431"/>
    <w:rsid w:val="00A539AD"/>
    <w:rsid w:val="00A94063"/>
    <w:rsid w:val="00A97EE6"/>
    <w:rsid w:val="00AA6219"/>
    <w:rsid w:val="00AA74E0"/>
    <w:rsid w:val="00AB3D59"/>
    <w:rsid w:val="00AB703F"/>
    <w:rsid w:val="00AC6BB8"/>
    <w:rsid w:val="00AE008F"/>
    <w:rsid w:val="00B01BC3"/>
    <w:rsid w:val="00B01FCD"/>
    <w:rsid w:val="00B0426E"/>
    <w:rsid w:val="00B1776C"/>
    <w:rsid w:val="00B235C0"/>
    <w:rsid w:val="00B306DC"/>
    <w:rsid w:val="00B36605"/>
    <w:rsid w:val="00B52583"/>
    <w:rsid w:val="00B52896"/>
    <w:rsid w:val="00B7179B"/>
    <w:rsid w:val="00B727AD"/>
    <w:rsid w:val="00B95236"/>
    <w:rsid w:val="00B96BD9"/>
    <w:rsid w:val="00BA1B01"/>
    <w:rsid w:val="00BA2641"/>
    <w:rsid w:val="00BB37AA"/>
    <w:rsid w:val="00BC1C98"/>
    <w:rsid w:val="00BC53A0"/>
    <w:rsid w:val="00BE09AD"/>
    <w:rsid w:val="00BE62AD"/>
    <w:rsid w:val="00BF04E7"/>
    <w:rsid w:val="00BF121F"/>
    <w:rsid w:val="00BF1F80"/>
    <w:rsid w:val="00C05B80"/>
    <w:rsid w:val="00C166EF"/>
    <w:rsid w:val="00C17EB0"/>
    <w:rsid w:val="00C27F5F"/>
    <w:rsid w:val="00C30A0F"/>
    <w:rsid w:val="00C338E6"/>
    <w:rsid w:val="00C36CA3"/>
    <w:rsid w:val="00C37E61"/>
    <w:rsid w:val="00C70F1B"/>
    <w:rsid w:val="00C71A47"/>
    <w:rsid w:val="00C7464C"/>
    <w:rsid w:val="00C85588"/>
    <w:rsid w:val="00CD2742"/>
    <w:rsid w:val="00CD6755"/>
    <w:rsid w:val="00CD6856"/>
    <w:rsid w:val="00CD7D9D"/>
    <w:rsid w:val="00CE0089"/>
    <w:rsid w:val="00CE793C"/>
    <w:rsid w:val="00CF193C"/>
    <w:rsid w:val="00CF46F4"/>
    <w:rsid w:val="00D16123"/>
    <w:rsid w:val="00D16D89"/>
    <w:rsid w:val="00D173F1"/>
    <w:rsid w:val="00D17EED"/>
    <w:rsid w:val="00D235EF"/>
    <w:rsid w:val="00D3624F"/>
    <w:rsid w:val="00D44A55"/>
    <w:rsid w:val="00D74CB0"/>
    <w:rsid w:val="00D8295D"/>
    <w:rsid w:val="00D85009"/>
    <w:rsid w:val="00DC2A65"/>
    <w:rsid w:val="00DE15F0"/>
    <w:rsid w:val="00DE5663"/>
    <w:rsid w:val="00DE78AA"/>
    <w:rsid w:val="00E053D0"/>
    <w:rsid w:val="00E15994"/>
    <w:rsid w:val="00E3114E"/>
    <w:rsid w:val="00E31A70"/>
    <w:rsid w:val="00E35B02"/>
    <w:rsid w:val="00E51395"/>
    <w:rsid w:val="00E66496"/>
    <w:rsid w:val="00E66B35"/>
    <w:rsid w:val="00E66E10"/>
    <w:rsid w:val="00E769F6"/>
    <w:rsid w:val="00E77ED3"/>
    <w:rsid w:val="00E8407C"/>
    <w:rsid w:val="00E84F3C"/>
    <w:rsid w:val="00EA012C"/>
    <w:rsid w:val="00EC6A55"/>
    <w:rsid w:val="00ED0288"/>
    <w:rsid w:val="00EE52CB"/>
    <w:rsid w:val="00EF581D"/>
    <w:rsid w:val="00EF7FD8"/>
    <w:rsid w:val="00F023AE"/>
    <w:rsid w:val="00F06F59"/>
    <w:rsid w:val="00F17988"/>
    <w:rsid w:val="00F469F0"/>
    <w:rsid w:val="00F53273"/>
    <w:rsid w:val="00F72B33"/>
    <w:rsid w:val="00F755E4"/>
    <w:rsid w:val="00F77D02"/>
    <w:rsid w:val="00FA655D"/>
    <w:rsid w:val="00FB3A86"/>
    <w:rsid w:val="00FC40B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3A8BC5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Aucun">
    <w:name w:val="Aucun"/>
    <w:rsid w:val="00D3624F"/>
  </w:style>
  <w:style w:type="paragraph" w:customStyle="1" w:styleId="p1">
    <w:name w:val="p1"/>
    <w:basedOn w:val="Normal"/>
    <w:rsid w:val="00687BE3"/>
    <w:rPr>
      <w:rFonts w:ascii="Times New Roman" w:hAnsi="Times New Roman"/>
      <w:color w:val="1A1718"/>
      <w:sz w:val="15"/>
      <w:szCs w:val="15"/>
      <w:lang w:eastAsia="fr-FR"/>
    </w:rPr>
  </w:style>
  <w:style w:type="paragraph" w:customStyle="1" w:styleId="Corps">
    <w:name w:val="Corps"/>
    <w:rsid w:val="00687BE3"/>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fr-FR"/>
    </w:rPr>
  </w:style>
  <w:style w:type="paragraph" w:customStyle="1" w:styleId="AuthorWSC2015">
    <w:name w:val="Author WSC 2015"/>
    <w:rsid w:val="00687BE3"/>
    <w:pPr>
      <w:pBdr>
        <w:top w:val="nil"/>
        <w:left w:val="nil"/>
        <w:bottom w:val="nil"/>
        <w:right w:val="nil"/>
        <w:between w:val="nil"/>
        <w:bar w:val="nil"/>
      </w:pBdr>
      <w:jc w:val="center"/>
    </w:pPr>
    <w:rPr>
      <w:rFonts w:ascii="Verdana" w:eastAsia="Arial Unicode MS" w:hAnsi="Verdana" w:cs="Arial Unicode MS"/>
      <w:caps/>
      <w:color w:val="000000"/>
      <w:u w:color="000000"/>
      <w:bdr w:val="nil"/>
      <w:lang w:eastAsia="fr-FR"/>
    </w:rPr>
  </w:style>
  <w:style w:type="paragraph" w:customStyle="1" w:styleId="AffiliationWSC2015">
    <w:name w:val="Affiliation WSC 2015"/>
    <w:rsid w:val="00687BE3"/>
    <w:pPr>
      <w:pBdr>
        <w:top w:val="nil"/>
        <w:left w:val="nil"/>
        <w:bottom w:val="nil"/>
        <w:right w:val="nil"/>
        <w:between w:val="nil"/>
        <w:bar w:val="nil"/>
      </w:pBdr>
      <w:jc w:val="center"/>
    </w:pPr>
    <w:rPr>
      <w:rFonts w:ascii="Verdana" w:eastAsia="Arial Unicode MS" w:hAnsi="Verdana" w:cs="Arial Unicode MS"/>
      <w:color w:val="000000"/>
      <w:u w:color="000000"/>
      <w:bdr w:val="nil"/>
      <w:lang w:eastAsia="fr-FR"/>
    </w:rPr>
  </w:style>
  <w:style w:type="character" w:customStyle="1" w:styleId="Lien">
    <w:name w:val="Lien"/>
    <w:rsid w:val="00687BE3"/>
    <w:rPr>
      <w:outline w:val="0"/>
      <w:color w:val="0563C1"/>
      <w:u w:val="single" w:color="0563C1"/>
    </w:rPr>
  </w:style>
  <w:style w:type="character" w:customStyle="1" w:styleId="Hyperlink0">
    <w:name w:val="Hyperlink.0"/>
    <w:basedOn w:val="Lien"/>
    <w:rsid w:val="00687BE3"/>
    <w:rPr>
      <w:rFonts w:ascii="Garamond" w:eastAsia="Garamond" w:hAnsi="Garamond" w:cs="Garamond"/>
      <w:outline w:val="0"/>
      <w:color w:val="0563C1"/>
      <w:u w:val="single" w:color="0563C1"/>
      <w:lang w:val="en-US"/>
    </w:rPr>
  </w:style>
  <w:style w:type="paragraph" w:styleId="Caption">
    <w:name w:val="caption"/>
    <w:basedOn w:val="Normal"/>
    <w:next w:val="Normal"/>
    <w:uiPriority w:val="35"/>
    <w:unhideWhenUsed/>
    <w:qFormat/>
    <w:rsid w:val="00324FD1"/>
    <w:pPr>
      <w:spacing w:after="200"/>
    </w:pPr>
    <w:rPr>
      <w:rFonts w:asciiTheme="minorHAnsi" w:eastAsiaTheme="minorEastAsia" w:hAnsiTheme="minorHAnsi" w:cstheme="minorBidi"/>
      <w:b/>
      <w:bCs/>
      <w:color w:val="4F81BD" w:themeColor="accent1"/>
      <w:sz w:val="18"/>
      <w:szCs w:val="18"/>
      <w:lang w:val="fr-FR" w:eastAsia="fr-FR"/>
    </w:rPr>
  </w:style>
  <w:style w:type="paragraph" w:styleId="ListParagraph">
    <w:name w:val="List Paragraph"/>
    <w:aliases w:val="Paragraphe 2,Titre1,Bullets,References,Numbered List Paragraph,ReferencesCxSpLast,Paragraphe de liste1,Paragraphe de liste11,L_4,Paragraphe de liste4,Glossaire,liste de tableaux,Grand titre,Puces,Tiitre 8,texte,figure"/>
    <w:basedOn w:val="Normal"/>
    <w:link w:val="ListParagraphChar"/>
    <w:qFormat/>
    <w:rsid w:val="000D71D5"/>
    <w:pPr>
      <w:spacing w:after="200" w:line="276" w:lineRule="auto"/>
      <w:ind w:left="720"/>
      <w:contextualSpacing/>
    </w:pPr>
    <w:rPr>
      <w:rFonts w:asciiTheme="minorHAnsi" w:eastAsiaTheme="minorEastAsia" w:hAnsiTheme="minorHAnsi" w:cstheme="minorBidi"/>
      <w:sz w:val="22"/>
      <w:szCs w:val="22"/>
      <w:lang w:val="fr-FR" w:eastAsia="fr-FR"/>
    </w:rPr>
  </w:style>
  <w:style w:type="character" w:customStyle="1" w:styleId="ListParagraphChar">
    <w:name w:val="List Paragraph Char"/>
    <w:aliases w:val="Paragraphe 2 Char,Titre1 Char,Bullets Char,References Char,Numbered List Paragraph Char,ReferencesCxSpLast Char,Paragraphe de liste1 Char,Paragraphe de liste11 Char,L_4 Char,Paragraphe de liste4 Char,Glossaire Char,Grand titre Char"/>
    <w:link w:val="ListParagraph"/>
    <w:uiPriority w:val="34"/>
    <w:qFormat/>
    <w:locked/>
    <w:rsid w:val="000D71D5"/>
    <w:rPr>
      <w:rFonts w:asciiTheme="minorHAnsi" w:eastAsiaTheme="minorEastAsia" w:hAnsiTheme="minorHAnsi" w:cstheme="minorBid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91849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122103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Excel_97-2003_Worksheet2.xls"/><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Microsoft_Excel_97-2003_Worksheet.xls"/><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c\Desktop\Th&#232;se%20COULIBALY\Th&#232;se%20COULIBALY\collecte%20de%20donn&#233;es\Donn&#233;es%20sols\Essai%20cordons%20piereux\donn&#233;es\Donn&#233;es%20-le%20bon%20utilis&#23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Recap!$R$52</c:f>
              <c:strCache>
                <c:ptCount val="1"/>
                <c:pt idx="0">
                  <c:v>P1</c:v>
                </c:pt>
              </c:strCache>
            </c:strRef>
          </c:tx>
          <c:invertIfNegative val="0"/>
          <c:errBars>
            <c:errBarType val="plus"/>
            <c:errValType val="cust"/>
            <c:noEndCap val="0"/>
            <c:plus>
              <c:numRef>
                <c:f>Recap!$S$59:$T$59</c:f>
                <c:numCache>
                  <c:formatCode>General</c:formatCode>
                  <c:ptCount val="2"/>
                  <c:pt idx="0">
                    <c:v>1.0127520262466889</c:v>
                  </c:pt>
                  <c:pt idx="1">
                    <c:v>1.4552204873030425</c:v>
                  </c:pt>
                </c:numCache>
              </c:numRef>
            </c:plus>
            <c:minus>
              <c:numLit>
                <c:formatCode>General</c:formatCode>
                <c:ptCount val="1"/>
                <c:pt idx="0">
                  <c:v>1</c:v>
                </c:pt>
              </c:numLit>
            </c:minus>
          </c:errBars>
          <c:cat>
            <c:strRef>
              <c:f>Recap!$S$51:$T$51</c:f>
              <c:strCache>
                <c:ptCount val="2"/>
                <c:pt idx="0">
                  <c:v>0-10 cm</c:v>
                </c:pt>
                <c:pt idx="1">
                  <c:v>10-20 cm</c:v>
                </c:pt>
              </c:strCache>
            </c:strRef>
          </c:cat>
          <c:val>
            <c:numRef>
              <c:f>Recap!$S$52:$T$52</c:f>
              <c:numCache>
                <c:formatCode>General</c:formatCode>
                <c:ptCount val="2"/>
                <c:pt idx="0">
                  <c:v>9.1833333333333336</c:v>
                </c:pt>
                <c:pt idx="1">
                  <c:v>8.3833333333333346</c:v>
                </c:pt>
              </c:numCache>
            </c:numRef>
          </c:val>
          <c:extLst>
            <c:ext xmlns:c16="http://schemas.microsoft.com/office/drawing/2014/chart" uri="{C3380CC4-5D6E-409C-BE32-E72D297353CC}">
              <c16:uniqueId val="{00000000-1E19-A947-9945-6D325C92A7A8}"/>
            </c:ext>
          </c:extLst>
        </c:ser>
        <c:ser>
          <c:idx val="1"/>
          <c:order val="1"/>
          <c:tx>
            <c:strRef>
              <c:f>Recap!$R$53</c:f>
              <c:strCache>
                <c:ptCount val="1"/>
                <c:pt idx="0">
                  <c:v>P2</c:v>
                </c:pt>
              </c:strCache>
            </c:strRef>
          </c:tx>
          <c:invertIfNegative val="0"/>
          <c:errBars>
            <c:errBarType val="plus"/>
            <c:errValType val="cust"/>
            <c:noEndCap val="0"/>
            <c:plus>
              <c:numRef>
                <c:f>Recap!$S$60:$T$60</c:f>
                <c:numCache>
                  <c:formatCode>General</c:formatCode>
                  <c:ptCount val="2"/>
                  <c:pt idx="0">
                    <c:v>0.85420528367992365</c:v>
                  </c:pt>
                  <c:pt idx="1">
                    <c:v>0.92826002104292182</c:v>
                  </c:pt>
                </c:numCache>
              </c:numRef>
            </c:plus>
            <c:minus>
              <c:numLit>
                <c:formatCode>General</c:formatCode>
                <c:ptCount val="1"/>
                <c:pt idx="0">
                  <c:v>1</c:v>
                </c:pt>
              </c:numLit>
            </c:minus>
          </c:errBars>
          <c:cat>
            <c:strRef>
              <c:f>Recap!$S$51:$T$51</c:f>
              <c:strCache>
                <c:ptCount val="2"/>
                <c:pt idx="0">
                  <c:v>0-10 cm</c:v>
                </c:pt>
                <c:pt idx="1">
                  <c:v>10-20 cm</c:v>
                </c:pt>
              </c:strCache>
            </c:strRef>
          </c:cat>
          <c:val>
            <c:numRef>
              <c:f>Recap!$S$53:$T$53</c:f>
              <c:numCache>
                <c:formatCode>General</c:formatCode>
                <c:ptCount val="2"/>
                <c:pt idx="0">
                  <c:v>8.2833333333333332</c:v>
                </c:pt>
                <c:pt idx="1">
                  <c:v>6.8166666666666664</c:v>
                </c:pt>
              </c:numCache>
            </c:numRef>
          </c:val>
          <c:extLst>
            <c:ext xmlns:c16="http://schemas.microsoft.com/office/drawing/2014/chart" uri="{C3380CC4-5D6E-409C-BE32-E72D297353CC}">
              <c16:uniqueId val="{00000001-1E19-A947-9945-6D325C92A7A8}"/>
            </c:ext>
          </c:extLst>
        </c:ser>
        <c:ser>
          <c:idx val="2"/>
          <c:order val="2"/>
          <c:tx>
            <c:strRef>
              <c:f>Recap!$R$54</c:f>
              <c:strCache>
                <c:ptCount val="1"/>
                <c:pt idx="0">
                  <c:v>P3</c:v>
                </c:pt>
              </c:strCache>
            </c:strRef>
          </c:tx>
          <c:invertIfNegative val="0"/>
          <c:errBars>
            <c:errBarType val="plus"/>
            <c:errValType val="cust"/>
            <c:noEndCap val="0"/>
            <c:plus>
              <c:numRef>
                <c:f>Recap!$S$61:$T$61</c:f>
                <c:numCache>
                  <c:formatCode>General</c:formatCode>
                  <c:ptCount val="2"/>
                  <c:pt idx="0">
                    <c:v>0.50464508980734657</c:v>
                  </c:pt>
                  <c:pt idx="1">
                    <c:v>0.55497747702046285</c:v>
                  </c:pt>
                </c:numCache>
              </c:numRef>
            </c:plus>
            <c:minus>
              <c:numLit>
                <c:formatCode>General</c:formatCode>
                <c:ptCount val="1"/>
                <c:pt idx="0">
                  <c:v>1</c:v>
                </c:pt>
              </c:numLit>
            </c:minus>
          </c:errBars>
          <c:cat>
            <c:strRef>
              <c:f>Recap!$S$51:$T$51</c:f>
              <c:strCache>
                <c:ptCount val="2"/>
                <c:pt idx="0">
                  <c:v>0-10 cm</c:v>
                </c:pt>
                <c:pt idx="1">
                  <c:v>10-20 cm</c:v>
                </c:pt>
              </c:strCache>
            </c:strRef>
          </c:cat>
          <c:val>
            <c:numRef>
              <c:f>Recap!$S$54:$T$54</c:f>
              <c:numCache>
                <c:formatCode>General</c:formatCode>
                <c:ptCount val="2"/>
                <c:pt idx="0">
                  <c:v>4.2333333333334124</c:v>
                </c:pt>
                <c:pt idx="1">
                  <c:v>4.1000000000000005</c:v>
                </c:pt>
              </c:numCache>
            </c:numRef>
          </c:val>
          <c:extLst>
            <c:ext xmlns:c16="http://schemas.microsoft.com/office/drawing/2014/chart" uri="{C3380CC4-5D6E-409C-BE32-E72D297353CC}">
              <c16:uniqueId val="{00000002-1E19-A947-9945-6D325C92A7A8}"/>
            </c:ext>
          </c:extLst>
        </c:ser>
        <c:dLbls>
          <c:showLegendKey val="0"/>
          <c:showVal val="0"/>
          <c:showCatName val="0"/>
          <c:showSerName val="0"/>
          <c:showPercent val="0"/>
          <c:showBubbleSize val="0"/>
        </c:dLbls>
        <c:gapWidth val="150"/>
        <c:axId val="252986496"/>
        <c:axId val="252988416"/>
      </c:barChart>
      <c:catAx>
        <c:axId val="252986496"/>
        <c:scaling>
          <c:orientation val="minMax"/>
        </c:scaling>
        <c:delete val="0"/>
        <c:axPos val="b"/>
        <c:title>
          <c:tx>
            <c:rich>
              <a:bodyPr/>
              <a:lstStyle/>
              <a:p>
                <a:pPr>
                  <a:defRPr lang="fr-FR"/>
                </a:pPr>
                <a:r>
                  <a:rPr lang="en-US"/>
                  <a:t>Sampling horizons ( cm)</a:t>
                </a:r>
              </a:p>
            </c:rich>
          </c:tx>
          <c:overlay val="0"/>
        </c:title>
        <c:numFmt formatCode="General" sourceLinked="0"/>
        <c:majorTickMark val="out"/>
        <c:minorTickMark val="none"/>
        <c:tickLblPos val="nextTo"/>
        <c:txPr>
          <a:bodyPr/>
          <a:lstStyle/>
          <a:p>
            <a:pPr>
              <a:defRPr lang="fr-FR"/>
            </a:pPr>
            <a:endParaRPr lang="en-US"/>
          </a:p>
        </c:txPr>
        <c:crossAx val="252988416"/>
        <c:crosses val="autoZero"/>
        <c:auto val="1"/>
        <c:lblAlgn val="ctr"/>
        <c:lblOffset val="100"/>
        <c:noMultiLvlLbl val="0"/>
      </c:catAx>
      <c:valAx>
        <c:axId val="252988416"/>
        <c:scaling>
          <c:orientation val="minMax"/>
        </c:scaling>
        <c:delete val="0"/>
        <c:axPos val="l"/>
        <c:title>
          <c:tx>
            <c:rich>
              <a:bodyPr rot="-5400000" vert="horz"/>
              <a:lstStyle/>
              <a:p>
                <a:pPr>
                  <a:defRPr lang="fr-FR"/>
                </a:pPr>
                <a:r>
                  <a:rPr lang="en-US"/>
                  <a:t>Carbon content (mg g-1)</a:t>
                </a:r>
              </a:p>
            </c:rich>
          </c:tx>
          <c:layout>
            <c:manualLayout>
              <c:xMode val="edge"/>
              <c:yMode val="edge"/>
              <c:x val="3.0555555555555582E-2"/>
              <c:y val="0.13497849227180536"/>
            </c:manualLayout>
          </c:layout>
          <c:overlay val="0"/>
        </c:title>
        <c:numFmt formatCode="General" sourceLinked="1"/>
        <c:majorTickMark val="out"/>
        <c:minorTickMark val="none"/>
        <c:tickLblPos val="nextTo"/>
        <c:txPr>
          <a:bodyPr/>
          <a:lstStyle/>
          <a:p>
            <a:pPr>
              <a:defRPr lang="fr-FR"/>
            </a:pPr>
            <a:endParaRPr lang="en-US"/>
          </a:p>
        </c:txPr>
        <c:crossAx val="252986496"/>
        <c:crosses val="autoZero"/>
        <c:crossBetween val="between"/>
      </c:valAx>
    </c:plotArea>
    <c:legend>
      <c:legendPos val="r"/>
      <c:layout>
        <c:manualLayout>
          <c:xMode val="edge"/>
          <c:yMode val="edge"/>
          <c:x val="0.32826988028570842"/>
          <c:y val="4.0536599591717831E-3"/>
          <c:w val="0.4073776159223414"/>
          <c:h val="0.12615157480314179"/>
        </c:manualLayout>
      </c:layout>
      <c:overlay val="0"/>
      <c:txPr>
        <a:bodyPr/>
        <a:lstStyle/>
        <a:p>
          <a:pPr>
            <a:defRPr lang="fr-F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40BC8-E2E9-429C-955B-EBCA360D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175</TotalTime>
  <Pages>13</Pages>
  <Words>5140</Words>
  <Characters>29298</Characters>
  <Application>Microsoft Office Word</Application>
  <DocSecurity>0</DocSecurity>
  <Lines>244</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34370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30</cp:revision>
  <cp:lastPrinted>1999-07-06T11:00:00Z</cp:lastPrinted>
  <dcterms:created xsi:type="dcterms:W3CDTF">2025-08-18T14:22:00Z</dcterms:created>
  <dcterms:modified xsi:type="dcterms:W3CDTF">2025-09-09T05:55:00Z</dcterms:modified>
</cp:coreProperties>
</file>