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A2F7" w14:textId="77777777" w:rsidR="00042BE4" w:rsidRDefault="000E4256">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rPr>
      </w:pPr>
      <w:bookmarkStart w:id="0" w:name="_z2pxe469zgo8" w:colFirst="0" w:colLast="0"/>
      <w:bookmarkEnd w:id="0"/>
      <w:r>
        <w:rPr>
          <w:rFonts w:ascii="Times New Roman" w:eastAsia="Times New Roman" w:hAnsi="Times New Roman" w:cs="Times New Roman"/>
          <w:b/>
          <w:color w:val="000000"/>
          <w:sz w:val="36"/>
          <w:szCs w:val="36"/>
        </w:rPr>
        <w:t>Baseline Study of Soil Radioactivity and Gamma Radiation in Historical Monument of </w:t>
      </w:r>
      <w:proofErr w:type="spellStart"/>
      <w:r>
        <w:rPr>
          <w:rFonts w:ascii="Times New Roman" w:eastAsia="Times New Roman" w:hAnsi="Times New Roman" w:cs="Times New Roman"/>
          <w:b/>
          <w:color w:val="000000"/>
          <w:sz w:val="36"/>
          <w:szCs w:val="36"/>
        </w:rPr>
        <w:t>Narnaul</w:t>
      </w:r>
      <w:proofErr w:type="spellEnd"/>
      <w:r>
        <w:rPr>
          <w:rFonts w:ascii="Times New Roman" w:eastAsia="Times New Roman" w:hAnsi="Times New Roman" w:cs="Times New Roman"/>
          <w:b/>
          <w:color w:val="000000"/>
          <w:sz w:val="36"/>
          <w:szCs w:val="36"/>
        </w:rPr>
        <w:t>, Haryana, India.</w:t>
      </w:r>
    </w:p>
    <w:p w14:paraId="25B11862" w14:textId="6651912C" w:rsidR="00042BE4" w:rsidRDefault="00042BE4">
      <w:pPr>
        <w:jc w:val="both"/>
        <w:rPr>
          <w:rFonts w:ascii="Times New Roman" w:eastAsia="Times New Roman" w:hAnsi="Times New Roman" w:cs="Times New Roman"/>
          <w:sz w:val="24"/>
          <w:szCs w:val="24"/>
        </w:rPr>
      </w:pPr>
    </w:p>
    <w:p w14:paraId="623B2424" w14:textId="77777777" w:rsidR="007F4035" w:rsidRDefault="007F4035">
      <w:pPr>
        <w:jc w:val="both"/>
        <w:rPr>
          <w:rFonts w:ascii="Times New Roman" w:eastAsia="Times New Roman" w:hAnsi="Times New Roman" w:cs="Times New Roman"/>
          <w:sz w:val="24"/>
          <w:szCs w:val="24"/>
        </w:rPr>
      </w:pPr>
    </w:p>
    <w:p w14:paraId="16013575"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14:paraId="476C7DEB"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 systematic study of the radioactivity concentration in building materials from two historical monuments located in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xml:space="preserve">, Haryana, </w:t>
      </w:r>
      <w:proofErr w:type="spellStart"/>
      <w:r>
        <w:rPr>
          <w:rFonts w:ascii="Times New Roman" w:eastAsia="Times New Roman" w:hAnsi="Times New Roman" w:cs="Times New Roman"/>
          <w:sz w:val="24"/>
          <w:szCs w:val="24"/>
        </w:rPr>
        <w:t>India.The</w:t>
      </w:r>
      <w:proofErr w:type="spellEnd"/>
      <w:r>
        <w:rPr>
          <w:rFonts w:ascii="Times New Roman" w:eastAsia="Times New Roman" w:hAnsi="Times New Roman" w:cs="Times New Roman"/>
          <w:sz w:val="24"/>
          <w:szCs w:val="24"/>
        </w:rPr>
        <w:t xml:space="preserve"> survey initiated in April 2024, aimed to establish reliable baseline data on soil radiation level of the </w:t>
      </w:r>
      <w:r>
        <w:rPr>
          <w:rFonts w:ascii="Times New Roman" w:eastAsia="Times New Roman" w:hAnsi="Times New Roman" w:cs="Times New Roman"/>
          <w:sz w:val="24"/>
          <w:szCs w:val="24"/>
        </w:rPr>
        <w:t>region. Countrywide, many areas have been found with elevated background gamma radiation, leading to several types of disorders in human beings effecting human health. Therefore, this study was undertaken as a precautionary measure to highlights the import</w:t>
      </w:r>
      <w:r>
        <w:rPr>
          <w:rFonts w:ascii="Times New Roman" w:eastAsia="Times New Roman" w:hAnsi="Times New Roman" w:cs="Times New Roman"/>
          <w:sz w:val="24"/>
          <w:szCs w:val="24"/>
        </w:rPr>
        <w:t xml:space="preserve">ance of radiation monitoring even in non-industrial areas where hidden health hazards may exist. </w:t>
      </w:r>
    </w:p>
    <w:p w14:paraId="2827693E" w14:textId="77777777" w:rsidR="00042BE4" w:rsidRDefault="000E4256">
      <w:pPr>
        <w:jc w:val="both"/>
      </w:pPr>
      <w:r>
        <w:rPr>
          <w:rFonts w:ascii="Times New Roman" w:eastAsia="Times New Roman" w:hAnsi="Times New Roman" w:cs="Times New Roman"/>
          <w:sz w:val="24"/>
          <w:szCs w:val="24"/>
        </w:rPr>
        <w:t xml:space="preserve"> In present study a radiation survey meter (</w:t>
      </w:r>
      <w:proofErr w:type="spell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 xml:space="preserve">) was employed to measure gamma radiation levels both indoors and outdoors.  All dose rate peaks were recorded </w:t>
      </w:r>
      <w:r>
        <w:rPr>
          <w:rFonts w:ascii="Times New Roman" w:eastAsia="Times New Roman" w:hAnsi="Times New Roman" w:cs="Times New Roman"/>
          <w:sz w:val="24"/>
          <w:szCs w:val="24"/>
        </w:rPr>
        <w:t xml:space="preserve">and from these the activity concentration was calculated of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 xml:space="preserve"> Ra,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w:t>
      </w:r>
      <w:r>
        <w:rPr>
          <w:rFonts w:ascii="Times New Roman" w:eastAsia="Times New Roman" w:hAnsi="Times New Roman" w:cs="Times New Roman"/>
          <w:color w:val="222222"/>
          <w:sz w:val="24"/>
          <w:szCs w:val="24"/>
          <w:highlight w:val="white"/>
        </w:rPr>
        <w:t xml:space="preserve">Average of total activity concentration </w:t>
      </w:r>
      <w:proofErr w:type="gramStart"/>
      <w:r>
        <w:rPr>
          <w:rFonts w:ascii="Times New Roman" w:eastAsia="Times New Roman" w:hAnsi="Times New Roman" w:cs="Times New Roman"/>
          <w:color w:val="222222"/>
          <w:sz w:val="24"/>
          <w:szCs w:val="24"/>
          <w:highlight w:val="white"/>
        </w:rPr>
        <w:t>( for</w:t>
      </w:r>
      <w:proofErr w:type="gramEnd"/>
      <w:r>
        <w:rPr>
          <w:rFonts w:ascii="Times New Roman" w:eastAsia="Times New Roman" w:hAnsi="Times New Roman" w:cs="Times New Roman"/>
          <w:color w:val="222222"/>
          <w:sz w:val="24"/>
          <w:szCs w:val="24"/>
          <w:highlight w:val="white"/>
        </w:rPr>
        <w:t xml:space="preserve"> Jal Mahal is 518.08 Bq/kg, and for </w:t>
      </w:r>
      <w:proofErr w:type="spellStart"/>
      <w:r>
        <w:rPr>
          <w:rFonts w:ascii="Times New Roman" w:eastAsia="Times New Roman" w:hAnsi="Times New Roman" w:cs="Times New Roman"/>
          <w:color w:val="222222"/>
          <w:sz w:val="24"/>
          <w:szCs w:val="24"/>
          <w:highlight w:val="white"/>
        </w:rPr>
        <w:t>Chor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Ghumbad</w:t>
      </w:r>
      <w:proofErr w:type="spellEnd"/>
      <w:r>
        <w:rPr>
          <w:rFonts w:ascii="Times New Roman" w:eastAsia="Times New Roman" w:hAnsi="Times New Roman" w:cs="Times New Roman"/>
          <w:color w:val="222222"/>
          <w:sz w:val="24"/>
          <w:szCs w:val="24"/>
          <w:highlight w:val="white"/>
        </w:rPr>
        <w:t xml:space="preserve"> 632.9993 </w:t>
      </w:r>
      <w:proofErr w:type="spellStart"/>
      <w:r>
        <w:rPr>
          <w:rFonts w:ascii="Times New Roman" w:eastAsia="Times New Roman" w:hAnsi="Times New Roman" w:cs="Times New Roman"/>
          <w:color w:val="222222"/>
          <w:sz w:val="24"/>
          <w:szCs w:val="24"/>
          <w:highlight w:val="white"/>
        </w:rPr>
        <w:t>Bq</w:t>
      </w:r>
      <w:proofErr w:type="spellEnd"/>
      <w:r>
        <w:rPr>
          <w:rFonts w:ascii="Times New Roman" w:eastAsia="Times New Roman" w:hAnsi="Times New Roman" w:cs="Times New Roman"/>
          <w:color w:val="222222"/>
          <w:sz w:val="24"/>
          <w:szCs w:val="24"/>
          <w:highlight w:val="white"/>
        </w:rPr>
        <w:t>/kg ) expressed as sum of </w:t>
      </w:r>
      <w:r>
        <w:rPr>
          <w:rFonts w:ascii="Times New Roman" w:eastAsia="Times New Roman" w:hAnsi="Times New Roman" w:cs="Times New Roman"/>
          <w:color w:val="222222"/>
          <w:sz w:val="24"/>
          <w:szCs w:val="24"/>
          <w:highlight w:val="white"/>
          <w:vertAlign w:val="superscript"/>
        </w:rPr>
        <w:t>226</w:t>
      </w:r>
      <w:r>
        <w:rPr>
          <w:rFonts w:ascii="Times New Roman" w:eastAsia="Times New Roman" w:hAnsi="Times New Roman" w:cs="Times New Roman"/>
          <w:color w:val="222222"/>
          <w:sz w:val="24"/>
          <w:szCs w:val="24"/>
          <w:highlight w:val="white"/>
        </w:rPr>
        <w:t>Ra and </w:t>
      </w:r>
      <w:r>
        <w:rPr>
          <w:rFonts w:ascii="Times New Roman" w:eastAsia="Times New Roman" w:hAnsi="Times New Roman" w:cs="Times New Roman"/>
          <w:color w:val="222222"/>
          <w:sz w:val="24"/>
          <w:szCs w:val="24"/>
          <w:highlight w:val="white"/>
          <w:vertAlign w:val="superscript"/>
        </w:rPr>
        <w:t>232</w:t>
      </w:r>
      <w:r>
        <w:rPr>
          <w:rFonts w:ascii="Times New Roman" w:eastAsia="Times New Roman" w:hAnsi="Times New Roman" w:cs="Times New Roman"/>
          <w:color w:val="222222"/>
          <w:sz w:val="24"/>
          <w:szCs w:val="24"/>
          <w:highlight w:val="white"/>
        </w:rPr>
        <w:t>Th and </w:t>
      </w:r>
      <w:r>
        <w:rPr>
          <w:rFonts w:ascii="Times New Roman" w:eastAsia="Times New Roman" w:hAnsi="Times New Roman" w:cs="Times New Roman"/>
          <w:color w:val="222222"/>
          <w:sz w:val="24"/>
          <w:szCs w:val="24"/>
          <w:highlight w:val="white"/>
          <w:vertAlign w:val="superscript"/>
        </w:rPr>
        <w:t>40</w:t>
      </w:r>
      <w:r>
        <w:rPr>
          <w:rFonts w:ascii="Times New Roman" w:eastAsia="Times New Roman" w:hAnsi="Times New Roman" w:cs="Times New Roman"/>
          <w:color w:val="222222"/>
          <w:sz w:val="24"/>
          <w:szCs w:val="24"/>
          <w:highlight w:val="white"/>
        </w:rPr>
        <w:t>K concentrations is hig</w:t>
      </w:r>
      <w:r>
        <w:rPr>
          <w:rFonts w:ascii="Times New Roman" w:eastAsia="Times New Roman" w:hAnsi="Times New Roman" w:cs="Times New Roman"/>
          <w:color w:val="222222"/>
          <w:sz w:val="24"/>
          <w:szCs w:val="24"/>
          <w:highlight w:val="white"/>
        </w:rPr>
        <w:t xml:space="preserve">her than the world average of total activity concentration of these radionuclides in building material samples (420 Bq/kg). The average value of </w:t>
      </w:r>
      <w:proofErr w:type="spellStart"/>
      <w:r>
        <w:rPr>
          <w:rFonts w:ascii="Times New Roman" w:eastAsia="Times New Roman" w:hAnsi="Times New Roman" w:cs="Times New Roman"/>
          <w:color w:val="222222"/>
          <w:sz w:val="24"/>
          <w:szCs w:val="24"/>
          <w:highlight w:val="white"/>
        </w:rPr>
        <w:t>Req</w:t>
      </w:r>
      <w:proofErr w:type="spellEnd"/>
      <w:r>
        <w:rPr>
          <w:rFonts w:ascii="Times New Roman" w:eastAsia="Times New Roman" w:hAnsi="Times New Roman" w:cs="Times New Roman"/>
          <w:color w:val="222222"/>
          <w:sz w:val="24"/>
          <w:szCs w:val="24"/>
          <w:highlight w:val="white"/>
        </w:rPr>
        <w:t xml:space="preserve"> for Jal Mahal is </w:t>
      </w:r>
      <w:r>
        <w:rPr>
          <w:rFonts w:ascii="Times New Roman" w:eastAsia="Times New Roman" w:hAnsi="Times New Roman" w:cs="Times New Roman"/>
          <w:sz w:val="24"/>
          <w:szCs w:val="24"/>
        </w:rPr>
        <w:t>130.775833</w:t>
      </w:r>
      <w:r>
        <w:rPr>
          <w:rFonts w:ascii="Times New Roman" w:eastAsia="Times New Roman" w:hAnsi="Times New Roman" w:cs="Times New Roman"/>
          <w:color w:val="222222"/>
          <w:sz w:val="24"/>
          <w:szCs w:val="24"/>
          <w:highlight w:val="white"/>
        </w:rPr>
        <w:t xml:space="preserve"> Bq/kg and for </w:t>
      </w:r>
      <w:proofErr w:type="spellStart"/>
      <w:r>
        <w:rPr>
          <w:rFonts w:ascii="Times New Roman" w:eastAsia="Times New Roman" w:hAnsi="Times New Roman" w:cs="Times New Roman"/>
          <w:color w:val="222222"/>
          <w:sz w:val="24"/>
          <w:szCs w:val="24"/>
          <w:highlight w:val="white"/>
        </w:rPr>
        <w:t>Chor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Ghumbad</w:t>
      </w:r>
      <w:proofErr w:type="spellEnd"/>
      <w:r>
        <w:rPr>
          <w:rFonts w:ascii="Times New Roman" w:eastAsia="Times New Roman" w:hAnsi="Times New Roman" w:cs="Times New Roman"/>
          <w:color w:val="222222"/>
          <w:sz w:val="24"/>
          <w:szCs w:val="24"/>
          <w:highlight w:val="white"/>
        </w:rPr>
        <w:t xml:space="preserve"> is </w:t>
      </w:r>
      <w:r>
        <w:rPr>
          <w:rFonts w:ascii="Times New Roman" w:eastAsia="Times New Roman" w:hAnsi="Times New Roman" w:cs="Times New Roman"/>
          <w:sz w:val="24"/>
          <w:szCs w:val="24"/>
        </w:rPr>
        <w:t>149.86944</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Bq</w:t>
      </w:r>
      <w:proofErr w:type="spellEnd"/>
      <w:r>
        <w:rPr>
          <w:rFonts w:ascii="Times New Roman" w:eastAsia="Times New Roman" w:hAnsi="Times New Roman" w:cs="Times New Roman"/>
          <w:color w:val="222222"/>
          <w:sz w:val="24"/>
          <w:szCs w:val="24"/>
          <w:highlight w:val="white"/>
        </w:rPr>
        <w:t>/kg. It has been inferred that the ra</w:t>
      </w:r>
      <w:r>
        <w:rPr>
          <w:rFonts w:ascii="Times New Roman" w:eastAsia="Times New Roman" w:hAnsi="Times New Roman" w:cs="Times New Roman"/>
          <w:color w:val="222222"/>
          <w:sz w:val="24"/>
          <w:szCs w:val="24"/>
          <w:highlight w:val="white"/>
        </w:rPr>
        <w:t>dium equivalent activity (Ra</w:t>
      </w:r>
      <w:r>
        <w:rPr>
          <w:rFonts w:ascii="Times New Roman" w:eastAsia="Times New Roman" w:hAnsi="Times New Roman" w:cs="Times New Roman"/>
          <w:color w:val="222222"/>
          <w:sz w:val="24"/>
          <w:szCs w:val="24"/>
          <w:highlight w:val="white"/>
          <w:vertAlign w:val="subscript"/>
        </w:rPr>
        <w:t>eq</w:t>
      </w:r>
      <w:r>
        <w:rPr>
          <w:rFonts w:ascii="Times New Roman" w:eastAsia="Times New Roman" w:hAnsi="Times New Roman" w:cs="Times New Roman"/>
          <w:color w:val="222222"/>
          <w:sz w:val="24"/>
          <w:szCs w:val="24"/>
          <w:highlight w:val="white"/>
        </w:rPr>
        <w:t xml:space="preserve">) lies in the permissible limit of 370 Bq/kg set by United Nations Scientific Committee on the Effects of Atomic Radiation. </w:t>
      </w:r>
      <w:proofErr w:type="gramStart"/>
      <w:r>
        <w:rPr>
          <w:rFonts w:ascii="Times New Roman" w:eastAsia="Times New Roman" w:hAnsi="Times New Roman" w:cs="Times New Roman"/>
          <w:color w:val="222222"/>
          <w:sz w:val="24"/>
          <w:szCs w:val="24"/>
          <w:highlight w:val="white"/>
        </w:rPr>
        <w:t xml:space="preserve">Average </w:t>
      </w:r>
      <w:r>
        <w:rPr>
          <w:rFonts w:ascii="Arial" w:eastAsia="Arial" w:hAnsi="Arial" w:cs="Arial"/>
          <w:color w:val="222222"/>
          <w:sz w:val="20"/>
          <w:szCs w:val="20"/>
          <w:highlight w:val="white"/>
        </w:rPr>
        <w:t> </w:t>
      </w:r>
      <w:r>
        <w:rPr>
          <w:rFonts w:ascii="Times New Roman" w:eastAsia="Times New Roman" w:hAnsi="Times New Roman" w:cs="Times New Roman"/>
          <w:color w:val="222222"/>
          <w:sz w:val="24"/>
          <w:szCs w:val="24"/>
          <w:highlight w:val="white"/>
        </w:rPr>
        <w:t>Absorbed</w:t>
      </w:r>
      <w:proofErr w:type="gramEnd"/>
      <w:r>
        <w:rPr>
          <w:rFonts w:ascii="Times New Roman" w:eastAsia="Times New Roman" w:hAnsi="Times New Roman" w:cs="Times New Roman"/>
          <w:color w:val="222222"/>
          <w:sz w:val="24"/>
          <w:szCs w:val="24"/>
          <w:highlight w:val="white"/>
        </w:rPr>
        <w:t xml:space="preserve"> dose rate (ADR) for Jal Mahal</w:t>
      </w:r>
      <w:r>
        <w:rPr>
          <w:rFonts w:ascii="Times New Roman" w:eastAsia="Times New Roman" w:hAnsi="Times New Roman" w:cs="Times New Roman"/>
          <w:sz w:val="24"/>
          <w:szCs w:val="24"/>
        </w:rPr>
        <w:t xml:space="preserve">  value is 60.635</w:t>
      </w:r>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222222"/>
          <w:sz w:val="24"/>
          <w:szCs w:val="24"/>
          <w:highlight w:val="white"/>
        </w:rPr>
        <w:t>nGy</w:t>
      </w:r>
      <w:proofErr w:type="spellEnd"/>
      <w:r>
        <w:rPr>
          <w:rFonts w:ascii="Times New Roman" w:eastAsia="Times New Roman" w:hAnsi="Times New Roman" w:cs="Times New Roman"/>
          <w:color w:val="222222"/>
          <w:sz w:val="24"/>
          <w:szCs w:val="24"/>
          <w:highlight w:val="white"/>
        </w:rPr>
        <w:t xml:space="preserve">/h and for </w:t>
      </w:r>
      <w:proofErr w:type="spellStart"/>
      <w:r>
        <w:rPr>
          <w:rFonts w:ascii="Times New Roman" w:eastAsia="Times New Roman" w:hAnsi="Times New Roman" w:cs="Times New Roman"/>
          <w:color w:val="222222"/>
          <w:sz w:val="24"/>
          <w:szCs w:val="24"/>
          <w:highlight w:val="white"/>
        </w:rPr>
        <w:t>Chor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Ghumbad</w:t>
      </w:r>
      <w:proofErr w:type="spellEnd"/>
      <w:r>
        <w:rPr>
          <w:rFonts w:ascii="Times New Roman" w:eastAsia="Times New Roman" w:hAnsi="Times New Roman" w:cs="Times New Roman"/>
          <w:color w:val="222222"/>
          <w:sz w:val="24"/>
          <w:szCs w:val="24"/>
          <w:highlight w:val="white"/>
        </w:rPr>
        <w:t xml:space="preserve"> is</w:t>
      </w:r>
      <w:r>
        <w:rPr>
          <w:rFonts w:ascii="Times New Roman" w:eastAsia="Times New Roman" w:hAnsi="Times New Roman" w:cs="Times New Roman"/>
          <w:sz w:val="24"/>
          <w:szCs w:val="24"/>
        </w:rPr>
        <w:t xml:space="preserve"> 69.5706</w:t>
      </w:r>
      <w:r>
        <w:rPr>
          <w:rFonts w:ascii="Times New Roman" w:eastAsia="Times New Roman" w:hAnsi="Times New Roman" w:cs="Times New Roman"/>
          <w:sz w:val="24"/>
          <w:szCs w:val="24"/>
        </w:rPr>
        <w:t>11</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nGy</w:t>
      </w:r>
      <w:proofErr w:type="spellEnd"/>
      <w:r>
        <w:rPr>
          <w:rFonts w:ascii="Times New Roman" w:eastAsia="Times New Roman" w:hAnsi="Times New Roman" w:cs="Times New Roman"/>
          <w:color w:val="222222"/>
          <w:sz w:val="24"/>
          <w:szCs w:val="24"/>
          <w:highlight w:val="white"/>
        </w:rPr>
        <w:t xml:space="preserve">/h. . “The values were found to be higher than the world average of 59 </w:t>
      </w:r>
      <w:proofErr w:type="spellStart"/>
      <w:r>
        <w:rPr>
          <w:rFonts w:ascii="Times New Roman" w:eastAsia="Times New Roman" w:hAnsi="Times New Roman" w:cs="Times New Roman"/>
          <w:color w:val="222222"/>
          <w:sz w:val="24"/>
          <w:szCs w:val="24"/>
          <w:highlight w:val="white"/>
        </w:rPr>
        <w:t>nGy</w:t>
      </w:r>
      <w:proofErr w:type="spellEnd"/>
      <w:r>
        <w:rPr>
          <w:rFonts w:ascii="Times New Roman" w:eastAsia="Times New Roman" w:hAnsi="Times New Roman" w:cs="Times New Roman"/>
          <w:color w:val="222222"/>
          <w:sz w:val="24"/>
          <w:szCs w:val="24"/>
          <w:highlight w:val="white"/>
        </w:rPr>
        <w:t>/h</w:t>
      </w:r>
      <w:r>
        <w:rPr>
          <w:rFonts w:ascii="Times New Roman" w:eastAsia="Times New Roman" w:hAnsi="Times New Roman" w:cs="Times New Roman"/>
          <w:color w:val="222222"/>
          <w:sz w:val="24"/>
          <w:szCs w:val="24"/>
        </w:rPr>
        <w:t>.”</w:t>
      </w:r>
      <w:r>
        <w:t xml:space="preserve"> </w:t>
      </w:r>
    </w:p>
    <w:p w14:paraId="0AFD289F" w14:textId="77777777"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radiological evaluation of Jal Mahal and </w:t>
      </w:r>
      <w:proofErr w:type="spellStart"/>
      <w:r>
        <w:rPr>
          <w:rFonts w:ascii="Times New Roman" w:eastAsia="Times New Roman" w:hAnsi="Times New Roman" w:cs="Times New Roman"/>
          <w:color w:val="222222"/>
          <w:sz w:val="24"/>
          <w:szCs w:val="24"/>
        </w:rPr>
        <w:t>Chor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Ghumbad</w:t>
      </w:r>
      <w:proofErr w:type="spellEnd"/>
      <w:r>
        <w:rPr>
          <w:rFonts w:ascii="Times New Roman" w:eastAsia="Times New Roman" w:hAnsi="Times New Roman" w:cs="Times New Roman"/>
          <w:color w:val="222222"/>
          <w:sz w:val="24"/>
          <w:szCs w:val="24"/>
        </w:rPr>
        <w:t xml:space="preserve"> indicates that AED, ELCR, Dorgan, AUI, </w:t>
      </w:r>
      <w:proofErr w:type="spellStart"/>
      <w:r>
        <w:rPr>
          <w:rFonts w:ascii="Times New Roman" w:eastAsia="Times New Roman" w:hAnsi="Times New Roman" w:cs="Times New Roman"/>
          <w:color w:val="222222"/>
          <w:sz w:val="24"/>
          <w:szCs w:val="24"/>
        </w:rPr>
        <w:t>Iγ</w:t>
      </w:r>
      <w:proofErr w:type="spellEnd"/>
      <w:r>
        <w:rPr>
          <w:rFonts w:ascii="Times New Roman" w:eastAsia="Times New Roman" w:hAnsi="Times New Roman" w:cs="Times New Roman"/>
          <w:color w:val="222222"/>
          <w:sz w:val="24"/>
          <w:szCs w:val="24"/>
        </w:rPr>
        <w:t xml:space="preserve">, and AGDE values remain well below international safety thresholds, with only a few samples approaching permissible limits. These findings demonstrate minimal radiological risk. </w:t>
      </w:r>
    </w:p>
    <w:p w14:paraId="2D0C1EF9" w14:textId="77777777" w:rsidR="00042BE4" w:rsidRDefault="00042BE4">
      <w:pPr>
        <w:jc w:val="both"/>
        <w:rPr>
          <w:rFonts w:ascii="Times New Roman" w:eastAsia="Times New Roman" w:hAnsi="Times New Roman" w:cs="Times New Roman"/>
          <w:sz w:val="24"/>
          <w:szCs w:val="24"/>
        </w:rPr>
      </w:pPr>
    </w:p>
    <w:p w14:paraId="450D0DAC"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14:paraId="20D269CF"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background radiation is a pervasive aspect of our envi</w:t>
      </w:r>
      <w:r>
        <w:rPr>
          <w:rFonts w:ascii="Times New Roman" w:eastAsia="Times New Roman" w:hAnsi="Times New Roman" w:cs="Times New Roman"/>
          <w:sz w:val="24"/>
          <w:szCs w:val="24"/>
        </w:rPr>
        <w:t>ronment, arising from sources like the Earth’s crust, cosmic rays, and atmospheric radioactive isotopes. This radiation is crucial for health studies, radiation protection, and risk assessment (</w:t>
      </w:r>
      <w:proofErr w:type="spellStart"/>
      <w:r>
        <w:rPr>
          <w:rFonts w:ascii="Times New Roman" w:eastAsia="Times New Roman" w:hAnsi="Times New Roman" w:cs="Times New Roman"/>
          <w:sz w:val="24"/>
          <w:szCs w:val="24"/>
        </w:rPr>
        <w:t>Rühm</w:t>
      </w:r>
      <w:proofErr w:type="spellEnd"/>
      <w:r>
        <w:rPr>
          <w:rFonts w:ascii="Times New Roman" w:eastAsia="Times New Roman" w:hAnsi="Times New Roman" w:cs="Times New Roman"/>
          <w:sz w:val="24"/>
          <w:szCs w:val="24"/>
        </w:rPr>
        <w:t xml:space="preserve"> et al., 2018). It serves as a baseline exposure that cons</w:t>
      </w:r>
      <w:r>
        <w:rPr>
          <w:rFonts w:ascii="Times New Roman" w:eastAsia="Times New Roman" w:hAnsi="Times New Roman" w:cs="Times New Roman"/>
          <w:sz w:val="24"/>
          <w:szCs w:val="24"/>
        </w:rPr>
        <w:t>tantly affects human health, aiding in understanding the risks associated with additional radiation sources and establishing safety standards. This knowledge helps in formulating guidelines and setting protection measures for various occupational and envir</w:t>
      </w:r>
      <w:r>
        <w:rPr>
          <w:rFonts w:ascii="Times New Roman" w:eastAsia="Times New Roman" w:hAnsi="Times New Roman" w:cs="Times New Roman"/>
          <w:sz w:val="24"/>
          <w:szCs w:val="24"/>
        </w:rPr>
        <w:t xml:space="preserve">onmental settings. Studies have explored the potential health effects linked to high natural </w:t>
      </w:r>
      <w:r>
        <w:rPr>
          <w:rFonts w:ascii="Times New Roman" w:eastAsia="Times New Roman" w:hAnsi="Times New Roman" w:cs="Times New Roman"/>
          <w:sz w:val="24"/>
          <w:szCs w:val="24"/>
        </w:rPr>
        <w:lastRenderedPageBreak/>
        <w:t>background radiation areas, emphasizing the need for comprehensive epidemiological studies (</w:t>
      </w:r>
      <w:proofErr w:type="spellStart"/>
      <w:r>
        <w:rPr>
          <w:rFonts w:ascii="Times New Roman" w:eastAsia="Times New Roman" w:hAnsi="Times New Roman" w:cs="Times New Roman"/>
          <w:sz w:val="24"/>
          <w:szCs w:val="24"/>
        </w:rPr>
        <w:t>Shankramma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Nagaraja</w:t>
      </w:r>
      <w:proofErr w:type="spellEnd"/>
      <w:r>
        <w:rPr>
          <w:rFonts w:ascii="Times New Roman" w:eastAsia="Times New Roman" w:hAnsi="Times New Roman" w:cs="Times New Roman"/>
          <w:sz w:val="24"/>
          <w:szCs w:val="24"/>
        </w:rPr>
        <w:t>, Sathish, &amp; Kumar, 2022).</w:t>
      </w:r>
    </w:p>
    <w:p w14:paraId="4331FA5F"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contri</w:t>
      </w:r>
      <w:r>
        <w:rPr>
          <w:rFonts w:ascii="Times New Roman" w:eastAsia="Times New Roman" w:hAnsi="Times New Roman" w:cs="Times New Roman"/>
          <w:sz w:val="24"/>
          <w:szCs w:val="24"/>
        </w:rPr>
        <w:t>bution of natural background radiation is important in assessing the overall radiological risk for the population within different geographical regions. This knowledge is vital for resource allocation and priority setting in radiation protection. Educating</w:t>
      </w:r>
      <w:r>
        <w:rPr>
          <w:rFonts w:ascii="Times New Roman" w:eastAsia="Times New Roman" w:hAnsi="Times New Roman" w:cs="Times New Roman"/>
          <w:sz w:val="24"/>
          <w:szCs w:val="24"/>
        </w:rPr>
        <w:t xml:space="preserve"> the public about the relative risks of various radiation sources is essential to ensure informed decision making, especially in regions with high variability in Naturally Occurring Radioactive Material (NORM) (</w:t>
      </w:r>
      <w:proofErr w:type="spellStart"/>
      <w:r>
        <w:rPr>
          <w:rFonts w:ascii="Times New Roman" w:eastAsia="Times New Roman" w:hAnsi="Times New Roman" w:cs="Times New Roman"/>
          <w:sz w:val="24"/>
          <w:szCs w:val="24"/>
        </w:rPr>
        <w:t>Egidi</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Bossew</w:t>
      </w:r>
      <w:proofErr w:type="spellEnd"/>
      <w:r>
        <w:rPr>
          <w:rFonts w:ascii="Times New Roman" w:eastAsia="Times New Roman" w:hAnsi="Times New Roman" w:cs="Times New Roman"/>
          <w:sz w:val="24"/>
          <w:szCs w:val="24"/>
        </w:rPr>
        <w:t xml:space="preserve"> &amp; Cinelli 2017) and other</w:t>
      </w:r>
      <w:r>
        <w:rPr>
          <w:rFonts w:ascii="Times New Roman" w:eastAsia="Times New Roman" w:hAnsi="Times New Roman" w:cs="Times New Roman"/>
          <w:sz w:val="24"/>
          <w:szCs w:val="24"/>
        </w:rPr>
        <w:t xml:space="preserve"> potential exposure instances (Al-</w:t>
      </w:r>
      <w:proofErr w:type="spellStart"/>
      <w:r>
        <w:rPr>
          <w:rFonts w:ascii="Times New Roman" w:eastAsia="Times New Roman" w:hAnsi="Times New Roman" w:cs="Times New Roman"/>
          <w:sz w:val="24"/>
          <w:szCs w:val="24"/>
        </w:rPr>
        <w:t>khawlany</w:t>
      </w:r>
      <w:proofErr w:type="spellEnd"/>
      <w:r>
        <w:rPr>
          <w:rFonts w:ascii="Times New Roman" w:eastAsia="Times New Roman" w:hAnsi="Times New Roman" w:cs="Times New Roman"/>
          <w:sz w:val="24"/>
          <w:szCs w:val="24"/>
        </w:rPr>
        <w:t xml:space="preserve"> et al., 2020). Although natural radiation exposure generally poses low health risks, it contributes to setting safety standards and guidelines for radiation use in various applications. Additionally, there is a ne</w:t>
      </w:r>
      <w:r>
        <w:rPr>
          <w:rFonts w:ascii="Times New Roman" w:eastAsia="Times New Roman" w:hAnsi="Times New Roman" w:cs="Times New Roman"/>
          <w:sz w:val="24"/>
          <w:szCs w:val="24"/>
        </w:rPr>
        <w:t>ed for a regulatory framework to mitigate radiological risks. It is essential to account for potential accidents, involving radioactive substances in various sectors, including medical, civil, and military fields, and the potential risks associated with nu</w:t>
      </w:r>
      <w:r>
        <w:rPr>
          <w:rFonts w:ascii="Times New Roman" w:eastAsia="Times New Roman" w:hAnsi="Times New Roman" w:cs="Times New Roman"/>
          <w:sz w:val="24"/>
          <w:szCs w:val="24"/>
        </w:rPr>
        <w:t>clear energy use and nuclear waste management</w:t>
      </w:r>
      <w:r>
        <w:t xml:space="preserve"> (</w:t>
      </w:r>
      <w:proofErr w:type="spellStart"/>
      <w:r>
        <w:rPr>
          <w:rFonts w:ascii="Times New Roman" w:eastAsia="Times New Roman" w:hAnsi="Times New Roman" w:cs="Times New Roman"/>
          <w:sz w:val="24"/>
          <w:szCs w:val="24"/>
        </w:rPr>
        <w:t>Alwaeli</w:t>
      </w:r>
      <w:proofErr w:type="spellEnd"/>
      <w:r>
        <w:rPr>
          <w:rFonts w:ascii="Times New Roman" w:eastAsia="Times New Roman" w:hAnsi="Times New Roman" w:cs="Times New Roman"/>
          <w:sz w:val="24"/>
          <w:szCs w:val="24"/>
        </w:rPr>
        <w:t xml:space="preserve"> &amp; Mannheim, 2022; Johansson &amp; Steen, 2022; Khan &amp; </w:t>
      </w:r>
      <w:proofErr w:type="spellStart"/>
      <w:r>
        <w:rPr>
          <w:rFonts w:ascii="Times New Roman" w:eastAsia="Times New Roman" w:hAnsi="Times New Roman" w:cs="Times New Roman"/>
          <w:sz w:val="24"/>
          <w:szCs w:val="24"/>
        </w:rPr>
        <w:t>Alshukri</w:t>
      </w:r>
      <w:proofErr w:type="spellEnd"/>
      <w:r>
        <w:rPr>
          <w:rFonts w:ascii="Times New Roman" w:eastAsia="Times New Roman" w:hAnsi="Times New Roman" w:cs="Times New Roman"/>
          <w:sz w:val="24"/>
          <w:szCs w:val="24"/>
        </w:rPr>
        <w:t>, 2020; Menon &amp; Kumar, 2019; Sahoo &amp; Joseph, 2021).</w:t>
      </w:r>
    </w:p>
    <w:p w14:paraId="6F5EF5FC"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spatial distribution of natural radioactivity in various countries is a topic of intere</w:t>
      </w:r>
      <w:r>
        <w:rPr>
          <w:rFonts w:ascii="Times New Roman" w:eastAsia="Times New Roman" w:hAnsi="Times New Roman" w:cs="Times New Roman"/>
          <w:sz w:val="24"/>
          <w:szCs w:val="24"/>
        </w:rPr>
        <w:t xml:space="preserve">st in environmental science and radiation protection. Natural radioactivity primarily arises from the presence of primordial radioactive elements such as </w:t>
      </w:r>
      <w:r>
        <w:rPr>
          <w:rFonts w:ascii="Times New Roman" w:eastAsia="Times New Roman" w:hAnsi="Times New Roman" w:cs="Times New Roman"/>
          <w:sz w:val="24"/>
          <w:szCs w:val="24"/>
          <w:vertAlign w:val="superscript"/>
        </w:rPr>
        <w:t>238</w:t>
      </w:r>
      <w:r>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in the Earth’s crust (Kant &amp; Gupta 2015; </w:t>
      </w:r>
      <w:proofErr w:type="spellStart"/>
      <w:r>
        <w:rPr>
          <w:rFonts w:ascii="Times New Roman" w:eastAsia="Times New Roman" w:hAnsi="Times New Roman" w:cs="Times New Roman"/>
          <w:sz w:val="24"/>
          <w:szCs w:val="24"/>
        </w:rPr>
        <w:t>Kovler</w:t>
      </w:r>
      <w:proofErr w:type="spellEnd"/>
      <w:r>
        <w:rPr>
          <w:rFonts w:ascii="Times New Roman" w:eastAsia="Times New Roman" w:hAnsi="Times New Roman" w:cs="Times New Roman"/>
          <w:sz w:val="24"/>
          <w:szCs w:val="24"/>
        </w:rPr>
        <w:t xml:space="preserve"> &amp; Friedmann 2017; </w:t>
      </w:r>
      <w:proofErr w:type="spellStart"/>
      <w:r>
        <w:rPr>
          <w:rFonts w:ascii="Times New Roman" w:eastAsia="Times New Roman" w:hAnsi="Times New Roman" w:cs="Times New Roman"/>
          <w:sz w:val="24"/>
          <w:szCs w:val="24"/>
        </w:rPr>
        <w:t>Lolila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Mazung</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2023; Rene &amp; </w:t>
      </w:r>
      <w:proofErr w:type="spellStart"/>
      <w:r>
        <w:rPr>
          <w:rFonts w:ascii="Times New Roman" w:eastAsia="Times New Roman" w:hAnsi="Times New Roman" w:cs="Times New Roman"/>
          <w:sz w:val="24"/>
          <w:szCs w:val="24"/>
        </w:rPr>
        <w:t>Akitsu</w:t>
      </w:r>
      <w:proofErr w:type="spellEnd"/>
      <w:r>
        <w:rPr>
          <w:rFonts w:ascii="Times New Roman" w:eastAsia="Times New Roman" w:hAnsi="Times New Roman" w:cs="Times New Roman"/>
          <w:sz w:val="24"/>
          <w:szCs w:val="24"/>
        </w:rPr>
        <w:t xml:space="preserve"> 2017). The distribution of these elements can vary significantly from one region to another and depends on the geological composition of a specific region. Certain rocks, soils, and minerals contain these radioactive elements (Abbasi </w:t>
      </w:r>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Turhan</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Malikova</w:t>
      </w:r>
      <w:proofErr w:type="spellEnd"/>
      <w:r>
        <w:rPr>
          <w:rFonts w:ascii="Times New Roman" w:eastAsia="Times New Roman" w:hAnsi="Times New Roman" w:cs="Times New Roman"/>
          <w:sz w:val="24"/>
          <w:szCs w:val="24"/>
        </w:rPr>
        <w:t xml:space="preserve"> &amp;</w:t>
      </w:r>
      <w:proofErr w:type="spellStart"/>
      <w:r>
        <w:rPr>
          <w:rFonts w:ascii="Times New Roman" w:eastAsia="Times New Roman" w:hAnsi="Times New Roman" w:cs="Times New Roman"/>
          <w:sz w:val="24"/>
          <w:szCs w:val="24"/>
        </w:rPr>
        <w:t>Strakhovenko</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Missimer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Teaf</w:t>
      </w:r>
      <w:proofErr w:type="spellEnd"/>
      <w:r>
        <w:rPr>
          <w:rFonts w:ascii="Times New Roman" w:eastAsia="Times New Roman" w:hAnsi="Times New Roman" w:cs="Times New Roman"/>
          <w:sz w:val="24"/>
          <w:szCs w:val="24"/>
        </w:rPr>
        <w:t xml:space="preserve"> 2019; Patel &amp;Sharma 2023; </w:t>
      </w:r>
      <w:proofErr w:type="spellStart"/>
      <w:r>
        <w:rPr>
          <w:rFonts w:ascii="Times New Roman" w:eastAsia="Times New Roman" w:hAnsi="Times New Roman" w:cs="Times New Roman"/>
          <w:sz w:val="24"/>
          <w:szCs w:val="24"/>
        </w:rPr>
        <w:t>Zanin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Zamirailova</w:t>
      </w:r>
      <w:proofErr w:type="spellEnd"/>
      <w:r>
        <w:rPr>
          <w:rFonts w:ascii="Times New Roman" w:eastAsia="Times New Roman" w:hAnsi="Times New Roman" w:cs="Times New Roman"/>
          <w:sz w:val="24"/>
          <w:szCs w:val="24"/>
        </w:rPr>
        <w:t xml:space="preserve"> 2016). Areas with higher concentrations of these elements tend to exhibit higher natural background radiation levels. Radionuclides from the </w:t>
      </w:r>
      <w:r>
        <w:rPr>
          <w:rFonts w:ascii="Times New Roman" w:eastAsia="Times New Roman" w:hAnsi="Times New Roman" w:cs="Times New Roman"/>
          <w:sz w:val="24"/>
          <w:szCs w:val="24"/>
          <w:vertAlign w:val="superscript"/>
        </w:rPr>
        <w:t>238</w:t>
      </w:r>
      <w:r>
        <w:rPr>
          <w:rFonts w:ascii="Times New Roman" w:eastAsia="Times New Roman" w:hAnsi="Times New Roman" w:cs="Times New Roman"/>
          <w:sz w:val="24"/>
          <w:szCs w:val="24"/>
        </w:rPr>
        <w:t xml:space="preserve">U and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decay series in the Earth’s </w:t>
      </w:r>
      <w:r>
        <w:rPr>
          <w:rFonts w:ascii="Times New Roman" w:eastAsia="Times New Roman" w:hAnsi="Times New Roman" w:cs="Times New Roman"/>
          <w:sz w:val="24"/>
          <w:szCs w:val="24"/>
          <w:vertAlign w:val="superscript"/>
        </w:rPr>
        <w:t>crust</w:t>
      </w:r>
      <w:r>
        <w:rPr>
          <w:rFonts w:ascii="Times New Roman" w:eastAsia="Times New Roman" w:hAnsi="Times New Roman" w:cs="Times New Roman"/>
          <w:sz w:val="24"/>
          <w:szCs w:val="24"/>
        </w:rPr>
        <w:t xml:space="preserve"> undergo beta or alpha decay and may leave the residual nucleus in an excited state. In such instances, the nucleus can emit one or more gamma rays to transition to the ground state. These gamma rays contribute to bac</w:t>
      </w:r>
      <w:r>
        <w:rPr>
          <w:rFonts w:ascii="Times New Roman" w:eastAsia="Times New Roman" w:hAnsi="Times New Roman" w:cs="Times New Roman"/>
          <w:sz w:val="24"/>
          <w:szCs w:val="24"/>
        </w:rPr>
        <w:t xml:space="preserve">kground radiation. For instance, gamma rays emitted by radon and its decay products, along with those from </w:t>
      </w:r>
      <w:r>
        <w:rPr>
          <w:rFonts w:ascii="Times New Roman" w:eastAsia="Times New Roman" w:hAnsi="Times New Roman" w:cs="Times New Roman"/>
          <w:sz w:val="24"/>
          <w:szCs w:val="24"/>
          <w:vertAlign w:val="superscript"/>
        </w:rPr>
        <w:t>238</w:t>
      </w:r>
      <w:r>
        <w:rPr>
          <w:rFonts w:ascii="Times New Roman" w:eastAsia="Times New Roman" w:hAnsi="Times New Roman" w:cs="Times New Roman"/>
          <w:sz w:val="24"/>
          <w:szCs w:val="24"/>
        </w:rPr>
        <w:t xml:space="preserve">U and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Th decay chain, contribute significantly to natural background radiation. The actual exposure to gamma rays can vary widely based on geog</w:t>
      </w:r>
      <w:r>
        <w:rPr>
          <w:rFonts w:ascii="Times New Roman" w:eastAsia="Times New Roman" w:hAnsi="Times New Roman" w:cs="Times New Roman"/>
          <w:sz w:val="24"/>
          <w:szCs w:val="24"/>
        </w:rPr>
        <w:t>raphical location. Some regions have higher natural background radiation due to geological factors, while others have lower levels (Al-</w:t>
      </w:r>
      <w:proofErr w:type="spellStart"/>
      <w:r>
        <w:rPr>
          <w:rFonts w:ascii="Times New Roman" w:eastAsia="Times New Roman" w:hAnsi="Times New Roman" w:cs="Times New Roman"/>
          <w:sz w:val="24"/>
          <w:szCs w:val="24"/>
        </w:rPr>
        <w:t>khawlany</w:t>
      </w:r>
      <w:proofErr w:type="spellEnd"/>
      <w:r>
        <w:rPr>
          <w:rFonts w:ascii="Times New Roman" w:eastAsia="Times New Roman" w:hAnsi="Times New Roman" w:cs="Times New Roman"/>
          <w:sz w:val="24"/>
          <w:szCs w:val="24"/>
        </w:rPr>
        <w:t xml:space="preserve"> et al., 2018). Certain human activities can also influence local radiation levels. Mining, construction material</w:t>
      </w:r>
      <w:r>
        <w:rPr>
          <w:rFonts w:ascii="Times New Roman" w:eastAsia="Times New Roman" w:hAnsi="Times New Roman" w:cs="Times New Roman"/>
          <w:sz w:val="24"/>
          <w:szCs w:val="24"/>
        </w:rPr>
        <w:t>s sourced from specific geological formation, or areas with higher levels of radioactive minerals can elevate background radiation. Radiation exposure is measured in units called sieverts (</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The millisievert (mSv) is a smaller unit used to express doses</w:t>
      </w:r>
      <w:r>
        <w:rPr>
          <w:rFonts w:ascii="Times New Roman" w:eastAsia="Times New Roman" w:hAnsi="Times New Roman" w:cs="Times New Roman"/>
          <w:sz w:val="24"/>
          <w:szCs w:val="24"/>
        </w:rPr>
        <w:t xml:space="preserve"> from natural sources, medical procedures, or occupational exposures. The annual average dose from natural background radiation varies globally, but it typically falls within the range of 1 to 10 mSv per year. Therefore, populations could be exposed to an </w:t>
      </w:r>
      <w:r>
        <w:rPr>
          <w:rFonts w:ascii="Times New Roman" w:eastAsia="Times New Roman" w:hAnsi="Times New Roman" w:cs="Times New Roman"/>
          <w:sz w:val="24"/>
          <w:szCs w:val="24"/>
        </w:rPr>
        <w:t xml:space="preserve">annual effective dose reaching a maximum of 10 mSv per year, this maximum is equivalent to a dose rate of 1.14 </w:t>
      </w:r>
      <w:proofErr w:type="spellStart"/>
      <w:r>
        <w:rPr>
          <w:rFonts w:ascii="Times New Roman" w:eastAsia="Times New Roman" w:hAnsi="Times New Roman" w:cs="Times New Roman"/>
          <w:sz w:val="24"/>
          <w:szCs w:val="24"/>
        </w:rPr>
        <w:t>μ</w:t>
      </w:r>
      <w:r>
        <w:rPr>
          <w:rFonts w:ascii="Gungsuh" w:eastAsia="Gungsuh" w:hAnsi="Gungsuh" w:cs="Gungsuh"/>
          <w:sz w:val="24"/>
          <w:szCs w:val="24"/>
        </w:rPr>
        <w:t>Sv·h</w:t>
      </w:r>
      <w:proofErr w:type="spellEnd"/>
      <w:r>
        <w:rPr>
          <w:rFonts w:ascii="Gungsuh" w:eastAsia="Gungsuh" w:hAnsi="Gungsuh" w:cs="Gungsuh"/>
          <w:sz w:val="24"/>
          <w:szCs w:val="24"/>
        </w:rPr>
        <w:t xml:space="preserve"> −1. Assuming an annual effective dose of let us say 2.4 mSv per year for a person life time of 70 years is </w:t>
      </w:r>
      <w:r>
        <w:rPr>
          <w:rFonts w:ascii="Gungsuh" w:eastAsia="Gungsuh" w:hAnsi="Gungsuh" w:cs="Gungsuh"/>
          <w:sz w:val="24"/>
          <w:szCs w:val="24"/>
        </w:rPr>
        <w:lastRenderedPageBreak/>
        <w:t>around 168 mSv (UNSCEAR 2020.) T</w:t>
      </w:r>
      <w:r>
        <w:rPr>
          <w:rFonts w:ascii="Gungsuh" w:eastAsia="Gungsuh" w:hAnsi="Gungsuh" w:cs="Gungsuh"/>
          <w:sz w:val="24"/>
          <w:szCs w:val="24"/>
        </w:rPr>
        <w:t>he latter is only an estimate since measurements have revealed a larger interval of values, i.e., 70–800 mSv, which is a justification supporting the present study (Till et al., 2008).</w:t>
      </w:r>
    </w:p>
    <w:p w14:paraId="290FBED5"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radiation studies are carried out by monitors, nuclear sp</w:t>
      </w:r>
      <w:r>
        <w:rPr>
          <w:rFonts w:ascii="Times New Roman" w:eastAsia="Times New Roman" w:hAnsi="Times New Roman" w:cs="Times New Roman"/>
          <w:sz w:val="24"/>
          <w:szCs w:val="24"/>
        </w:rPr>
        <w:t>ectroscopy, radon measurements, and geological surveys to quantify the levels of natural radiation levels (Al-</w:t>
      </w:r>
      <w:proofErr w:type="spellStart"/>
      <w:r>
        <w:rPr>
          <w:rFonts w:ascii="Times New Roman" w:eastAsia="Times New Roman" w:hAnsi="Times New Roman" w:cs="Times New Roman"/>
          <w:sz w:val="24"/>
          <w:szCs w:val="24"/>
        </w:rPr>
        <w:t>khawlany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Tye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Milodowski</w:t>
      </w:r>
      <w:proofErr w:type="spellEnd"/>
      <w:r>
        <w:rPr>
          <w:rFonts w:ascii="Times New Roman" w:eastAsia="Times New Roman" w:hAnsi="Times New Roman" w:cs="Times New Roman"/>
          <w:sz w:val="24"/>
          <w:szCs w:val="24"/>
        </w:rPr>
        <w:t xml:space="preserve"> 2017; Marques &amp; Vale 2021; Musa 2019; Omori 2016). The information obtained from these studies often is r</w:t>
      </w:r>
      <w:r>
        <w:rPr>
          <w:rFonts w:ascii="Times New Roman" w:eastAsia="Times New Roman" w:hAnsi="Times New Roman" w:cs="Times New Roman"/>
          <w:sz w:val="24"/>
          <w:szCs w:val="24"/>
        </w:rPr>
        <w:t>eported as maps; the values of the radiation levels and dose gradients are crucial for assessing potential health risks, establishing radiation protection guidelines, and developing strategies for managing areas with elevated natural radioactivity (Delacro</w:t>
      </w:r>
      <w:r>
        <w:rPr>
          <w:rFonts w:ascii="Times New Roman" w:eastAsia="Times New Roman" w:hAnsi="Times New Roman" w:cs="Times New Roman"/>
          <w:sz w:val="24"/>
          <w:szCs w:val="24"/>
        </w:rPr>
        <w:t>ix et al., 2002; Martin 2006; Shapiro 2002).</w:t>
      </w:r>
    </w:p>
    <w:p w14:paraId="5C18B5A3" w14:textId="77777777" w:rsidR="00042BE4" w:rsidRDefault="000E4256">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Human population is exposed by radiation comes from diverse sources, some sources are </w:t>
      </w:r>
      <w:proofErr w:type="gramStart"/>
      <w:r>
        <w:rPr>
          <w:rFonts w:ascii="Times New Roman" w:eastAsia="Times New Roman" w:hAnsi="Times New Roman" w:cs="Times New Roman"/>
          <w:sz w:val="24"/>
          <w:szCs w:val="24"/>
        </w:rPr>
        <w:t>natural ;</w:t>
      </w:r>
      <w:proofErr w:type="gramEnd"/>
      <w:r>
        <w:rPr>
          <w:rFonts w:ascii="Times New Roman" w:eastAsia="Times New Roman" w:hAnsi="Times New Roman" w:cs="Times New Roman"/>
          <w:sz w:val="24"/>
          <w:szCs w:val="24"/>
        </w:rPr>
        <w:t xml:space="preserve"> others are the consequences / Product of human activities. It means living things are continually and inevitably ex</w:t>
      </w:r>
      <w:r>
        <w:rPr>
          <w:rFonts w:ascii="Times New Roman" w:eastAsia="Times New Roman" w:hAnsi="Times New Roman" w:cs="Times New Roman"/>
          <w:sz w:val="24"/>
          <w:szCs w:val="24"/>
        </w:rPr>
        <w:t xml:space="preserve">posed to varying levels of ionizing radiation on a daily basis. Natural sources of radiation include cosmic radiation, external radiation originating from radionuclides present in the Earth's crust, and internal radiation resulting from radionuclides that </w:t>
      </w:r>
      <w:r>
        <w:rPr>
          <w:rFonts w:ascii="Times New Roman" w:eastAsia="Times New Roman" w:hAnsi="Times New Roman" w:cs="Times New Roman"/>
          <w:sz w:val="24"/>
          <w:szCs w:val="24"/>
        </w:rPr>
        <w:t>are inhaled, ingested, and retained within the body.  Potency of natural exposure depends on the geographical location and on human activity. There are two natural sources of ionizing gamma radiation cosmic (solar or galactic) &amp; terrestrial radiation. Isot</w:t>
      </w:r>
      <w:r>
        <w:rPr>
          <w:rFonts w:ascii="Times New Roman" w:eastAsia="Times New Roman" w:hAnsi="Times New Roman" w:cs="Times New Roman"/>
          <w:sz w:val="24"/>
          <w:szCs w:val="24"/>
        </w:rPr>
        <w:t>opes of heavy elements &amp; their decay products present in the earth’s crust are the major sources of terrestrial radiation.</w:t>
      </w:r>
    </w:p>
    <w:p w14:paraId="3AFD1A43"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context, the present research was conducted in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Haryana to evaluate radioactivity in ancient building materials and t</w:t>
      </w:r>
      <w:r>
        <w:rPr>
          <w:rFonts w:ascii="Times New Roman" w:eastAsia="Times New Roman" w:hAnsi="Times New Roman" w:cs="Times New Roman"/>
          <w:sz w:val="24"/>
          <w:szCs w:val="24"/>
        </w:rPr>
        <w:t>o measure gamma dose rates in translating from activity concentrations in Becquerels (Bq/kg) In summary, this study underscores the ubiquitous presence of natural radioactivity in the environment, its diverse sources, and the importance of assessing radiat</w:t>
      </w:r>
      <w:r>
        <w:rPr>
          <w:rFonts w:ascii="Times New Roman" w:eastAsia="Times New Roman" w:hAnsi="Times New Roman" w:cs="Times New Roman"/>
          <w:sz w:val="24"/>
          <w:szCs w:val="24"/>
        </w:rPr>
        <w:t>ion levels to ensure safety and mitigate potential health risks. It supports the development of public health guides for safe access and ancient building usage.</w:t>
      </w:r>
    </w:p>
    <w:p w14:paraId="1AE55356" w14:textId="77777777" w:rsidR="00042BE4" w:rsidRDefault="00042BE4">
      <w:pPr>
        <w:jc w:val="both"/>
        <w:rPr>
          <w:rFonts w:ascii="Times New Roman" w:eastAsia="Times New Roman" w:hAnsi="Times New Roman" w:cs="Times New Roman"/>
          <w:sz w:val="24"/>
          <w:szCs w:val="24"/>
        </w:rPr>
      </w:pPr>
    </w:p>
    <w:p w14:paraId="6ABAB94B"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MATERIAL AND METHOD </w:t>
      </w:r>
    </w:p>
    <w:p w14:paraId="18637526"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aim of this study was to determine indoor and outdoor backgr</w:t>
      </w:r>
      <w:r>
        <w:rPr>
          <w:rFonts w:ascii="Times New Roman" w:eastAsia="Times New Roman" w:hAnsi="Times New Roman" w:cs="Times New Roman"/>
          <w:sz w:val="24"/>
          <w:szCs w:val="24"/>
        </w:rPr>
        <w:t>ound radiation dose rates and to estimate the Radium Equivalent Activity (Raeq), Absorbed Dose Rate (ADR), Annual Effective Dose (AED), Activity Utilization Index (AUI), Gamma Index, Excess Cancer Risk, Effective Dose Rate (ELCR) to whole body organ, Annua</w:t>
      </w:r>
      <w:r>
        <w:rPr>
          <w:rFonts w:ascii="Times New Roman" w:eastAsia="Times New Roman" w:hAnsi="Times New Roman" w:cs="Times New Roman"/>
          <w:sz w:val="24"/>
          <w:szCs w:val="24"/>
        </w:rPr>
        <w:t xml:space="preserve">l gonadal dose </w:t>
      </w:r>
      <w:proofErr w:type="gramStart"/>
      <w:r>
        <w:rPr>
          <w:rFonts w:ascii="Times New Roman" w:eastAsia="Times New Roman" w:hAnsi="Times New Roman" w:cs="Times New Roman"/>
          <w:sz w:val="24"/>
          <w:szCs w:val="24"/>
        </w:rPr>
        <w:t>equivalent  to</w:t>
      </w:r>
      <w:proofErr w:type="gramEnd"/>
      <w:r>
        <w:rPr>
          <w:rFonts w:ascii="Times New Roman" w:eastAsia="Times New Roman" w:hAnsi="Times New Roman" w:cs="Times New Roman"/>
          <w:sz w:val="24"/>
          <w:szCs w:val="24"/>
        </w:rPr>
        <w:t xml:space="preserve"> the residents of  their nearby area in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w:t>
      </w:r>
    </w:p>
    <w:p w14:paraId="3A91F2CB"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STUDY AREA</w:t>
      </w:r>
    </w:p>
    <w:p w14:paraId="0C1C343C" w14:textId="77777777" w:rsidR="00042BE4" w:rsidRDefault="000E4256">
      <w:pPr>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Haryana located in north-western region of India (27°39′–30°35′N latitude and 74°28′–77°28′ longitude</w:t>
      </w:r>
      <w:proofErr w:type="gramStart"/>
      <w:r>
        <w:rPr>
          <w:rFonts w:ascii="Times New Roman" w:eastAsia="Times New Roman" w:hAnsi="Times New Roman" w:cs="Times New Roman"/>
          <w:sz w:val="24"/>
          <w:szCs w:val="24"/>
        </w:rPr>
        <w:t>),served</w:t>
      </w:r>
      <w:proofErr w:type="gramEnd"/>
      <w:r>
        <w:rPr>
          <w:rFonts w:ascii="Times New Roman" w:eastAsia="Times New Roman" w:hAnsi="Times New Roman" w:cs="Times New Roman"/>
          <w:sz w:val="24"/>
          <w:szCs w:val="24"/>
        </w:rPr>
        <w:t xml:space="preserve"> as the study site.  Two ancient monuments, Jal Mahal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were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selected from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xml:space="preserve">  (28.1920 °N, 76.6191°E).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histrocially</w:t>
      </w:r>
      <w:proofErr w:type="spellEnd"/>
      <w:r>
        <w:rPr>
          <w:rFonts w:ascii="Times New Roman" w:eastAsia="Times New Roman" w:hAnsi="Times New Roman" w:cs="Times New Roman"/>
          <w:sz w:val="24"/>
          <w:szCs w:val="24"/>
        </w:rPr>
        <w:t xml:space="preserve"> significant town, established during the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situated near the Aravalli mountain range. The region is characterized by a hot, dry climate and sandy plain</w:t>
      </w:r>
      <w:r>
        <w:rPr>
          <w:rFonts w:ascii="Times New Roman" w:eastAsia="Times New Roman" w:hAnsi="Times New Roman" w:cs="Times New Roman"/>
          <w:sz w:val="24"/>
          <w:szCs w:val="24"/>
        </w:rPr>
        <w:t xml:space="preserve">s with numerous dunes. Local construction materials traditionally include stone, bricks, lime and wood. </w:t>
      </w:r>
    </w:p>
    <w:p w14:paraId="310C9726"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MEASUREMENT TECHNIQUE </w:t>
      </w:r>
    </w:p>
    <w:p w14:paraId="4B0F4CDE"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radiation measurement, samples from ancient buildings were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using a </w:t>
      </w:r>
      <w:proofErr w:type="spell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 xml:space="preserve"> (sodium iodide) gamma-ray spectrometer. The detector was specifically chosen to assess the health impacts of ancient building material decay radiation. </w:t>
      </w:r>
    </w:p>
    <w:p w14:paraId="43490F8A" w14:textId="79FD8F7E" w:rsidR="00886466" w:rsidRDefault="008864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1. </w:t>
      </w:r>
    </w:p>
    <w:p w14:paraId="2504C61A" w14:textId="77777777" w:rsidR="00042BE4" w:rsidRDefault="00042BE4">
      <w:pPr>
        <w:jc w:val="both"/>
        <w:rPr>
          <w:rFonts w:ascii="Times New Roman" w:eastAsia="Times New Roman" w:hAnsi="Times New Roman" w:cs="Times New Roman"/>
          <w:sz w:val="24"/>
          <w:szCs w:val="24"/>
        </w:rPr>
      </w:pPr>
    </w:p>
    <w:p w14:paraId="4330AB09" w14:textId="77777777" w:rsidR="00042BE4" w:rsidRDefault="00042BE4">
      <w:pPr>
        <w:jc w:val="both"/>
        <w:rPr>
          <w:rFonts w:ascii="Times New Roman" w:eastAsia="Times New Roman" w:hAnsi="Times New Roman" w:cs="Times New Roman"/>
          <w:sz w:val="24"/>
          <w:szCs w:val="24"/>
        </w:rPr>
      </w:pPr>
    </w:p>
    <w:p w14:paraId="3D1E5F12" w14:textId="77777777" w:rsidR="00042BE4" w:rsidRDefault="00042BE4">
      <w:pPr>
        <w:jc w:val="both"/>
        <w:rPr>
          <w:rFonts w:ascii="Times New Roman" w:eastAsia="Times New Roman" w:hAnsi="Times New Roman" w:cs="Times New Roman"/>
          <w:sz w:val="24"/>
          <w:szCs w:val="24"/>
        </w:rPr>
      </w:pPr>
    </w:p>
    <w:p w14:paraId="51321778" w14:textId="77777777" w:rsidR="00042BE4" w:rsidRDefault="000E4256">
      <w:pPr>
        <w:tabs>
          <w:tab w:val="left" w:pos="13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58240" behindDoc="0" locked="0" layoutInCell="1" hidden="0" allowOverlap="1" wp14:anchorId="7BC780F5" wp14:editId="2FAB2FCA">
                <wp:simplePos x="0" y="0"/>
                <wp:positionH relativeFrom="column">
                  <wp:posOffset>1428750</wp:posOffset>
                </wp:positionH>
                <wp:positionV relativeFrom="paragraph">
                  <wp:posOffset>43180</wp:posOffset>
                </wp:positionV>
                <wp:extent cx="1367155" cy="304800"/>
                <wp:effectExtent l="0" t="0" r="23495" b="19050"/>
                <wp:wrapNone/>
                <wp:docPr id="9" name="Rectangle 9"/>
                <wp:cNvGraphicFramePr/>
                <a:graphic xmlns:a="http://schemas.openxmlformats.org/drawingml/2006/main">
                  <a:graphicData uri="http://schemas.microsoft.com/office/word/2010/wordprocessingShape">
                    <wps:wsp>
                      <wps:cNvSpPr/>
                      <wps:spPr>
                        <a:xfrm>
                          <a:off x="0" y="0"/>
                          <a:ext cx="1367155" cy="304800"/>
                        </a:xfrm>
                        <a:prstGeom prst="rect">
                          <a:avLst/>
                        </a:prstGeom>
                        <a:ln>
                          <a:headEnd type="none" w="sm" len="sm"/>
                          <a:tailEnd type="none" w="sm" len="sm"/>
                        </a:ln>
                      </wps:spPr>
                      <wps:style>
                        <a:lnRef idx="2">
                          <a:schemeClr val="accent3">
                            <a:shade val="50000"/>
                          </a:schemeClr>
                        </a:lnRef>
                        <a:fillRef idx="1">
                          <a:schemeClr val="accent3"/>
                        </a:fillRef>
                        <a:effectRef idx="0">
                          <a:schemeClr val="accent3"/>
                        </a:effectRef>
                        <a:fontRef idx="minor">
                          <a:schemeClr val="lt1"/>
                        </a:fontRef>
                      </wps:style>
                      <wps:txbx>
                        <w:txbxContent>
                          <w:p w14:paraId="2DC744F6" w14:textId="77777777" w:rsidR="00F337B5" w:rsidRDefault="000E4256">
                            <w:pPr>
                              <w:spacing w:line="270" w:lineRule="auto"/>
                              <w:textDirection w:val="btLr"/>
                            </w:pPr>
                            <w:r>
                              <w:rPr>
                                <w:rFonts w:ascii="Times New Roman" w:eastAsia="Times New Roman" w:hAnsi="Times New Roman" w:cs="Times New Roman"/>
                                <w:color w:val="000000"/>
                                <w:sz w:val="24"/>
                              </w:rPr>
                              <w:t xml:space="preserve">     Sampling</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C780F5" id="Rectangle 9" o:spid="_x0000_s1026" style="position:absolute;left:0;text-align:left;margin-left:112.5pt;margin-top:3.4pt;width:107.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" fillcolor="#9bbb59 [3206]" strokecolor="#4e6128 [1606]" strokeweight="2pt">
                <v:stroke startarrowwidth="narrow" startarrowlength="short" endarrowwidth="narrow" endarrowlength="short"/>
                <v:textbox inset="7pt,3pt,7pt,3pt">
                  <w:txbxContent>
                    <w:p w14:paraId="2DC744F6" w14:textId="77777777" w:rsidR="00000000" w:rsidRDefault="00000000">
                      <w:pPr>
                        <w:spacing w:line="270" w:lineRule="auto"/>
                        <w:textDirection w:val="btLr"/>
                      </w:pPr>
                      <w:r>
                        <w:rPr>
                          <w:rFonts w:ascii="Times New Roman" w:eastAsia="Times New Roman" w:hAnsi="Times New Roman" w:cs="Times New Roman"/>
                          <w:color w:val="000000"/>
                          <w:sz w:val="24"/>
                        </w:rPr>
                        <w:t xml:space="preserve">     Sampling</w:t>
                      </w:r>
                    </w:p>
                  </w:txbxContent>
                </v:textbox>
              </v:rect>
            </w:pict>
          </mc:Fallback>
        </mc:AlternateContent>
      </w:r>
    </w:p>
    <w:p w14:paraId="09BB3FF2" w14:textId="77777777" w:rsidR="00042BE4" w:rsidRDefault="000E4256">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14:anchorId="55552ABA" wp14:editId="3F551350">
                <wp:simplePos x="0" y="0"/>
                <wp:positionH relativeFrom="column">
                  <wp:posOffset>2103120</wp:posOffset>
                </wp:positionH>
                <wp:positionV relativeFrom="paragraph">
                  <wp:posOffset>167640</wp:posOffset>
                </wp:positionV>
                <wp:extent cx="103505" cy="222250"/>
                <wp:effectExtent l="19050" t="0" r="29845" b="25400"/>
                <wp:wrapNone/>
                <wp:docPr id="11" name="Freeform: Shape 11"/>
                <wp:cNvGraphicFramePr/>
                <a:graphic xmlns:a="http://schemas.openxmlformats.org/drawingml/2006/main">
                  <a:graphicData uri="http://schemas.microsoft.com/office/word/2010/wordprocessingShape">
                    <wps:wsp>
                      <wps:cNvSpPr/>
                      <wps:spPr>
                        <a:xfrm>
                          <a:off x="0" y="0"/>
                          <a:ext cx="103505" cy="222250"/>
                        </a:xfrm>
                        <a:custGeom>
                          <a:avLst/>
                          <a:gdLst/>
                          <a:ahLst/>
                          <a:cxnLst/>
                          <a:rect l="l" t="t" r="r" b="b"/>
                          <a:pathLst>
                            <a:path w="90805" h="209550" extrusionOk="0">
                              <a:moveTo>
                                <a:pt x="0" y="157162"/>
                              </a:moveTo>
                              <a:lnTo>
                                <a:pt x="22701" y="157162"/>
                              </a:lnTo>
                              <a:lnTo>
                                <a:pt x="22701" y="0"/>
                              </a:lnTo>
                              <a:lnTo>
                                <a:pt x="68103" y="0"/>
                              </a:lnTo>
                              <a:lnTo>
                                <a:pt x="68103" y="157162"/>
                              </a:lnTo>
                              <a:lnTo>
                                <a:pt x="90805" y="157162"/>
                              </a:lnTo>
                              <a:lnTo>
                                <a:pt x="45402" y="20955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73EAA34" w14:textId="77777777" w:rsidR="00F337B5" w:rsidRDefault="00F337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552ABA" id="Freeform: Shape 11" o:spid="_x0000_s1027" style="position:absolute;left:0;text-align:left;margin-left:165.6pt;margin-top:13.2pt;width:8.1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080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" adj="-11796480,,5400" path="m,157162r22701,l22701,,68103,r,157162l90805,157162,45402,209550,,157162xe" strokeweight="1pt">
                <v:stroke startarrowwidth="narrow" startarrowlength="short" endarrowwidth="narrow" endarrowlength="short" miterlimit="5243f" joinstyle="miter"/>
                <v:formulas/>
                <v:path arrowok="t" o:extrusionok="f" o:connecttype="custom" textboxrect="0,0,90805,209550"/>
                <v:textbox inset="2.53958mm,2.53958mm,2.53958mm,2.53958mm">
                  <w:txbxContent>
                    <w:p w14:paraId="273EAA34" w14:textId="77777777" w:rsidR="00000000" w:rsidRDefault="00000000">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3DD2B390" wp14:editId="573F6A70">
                <wp:simplePos x="0" y="0"/>
                <wp:positionH relativeFrom="column">
                  <wp:posOffset>3971925</wp:posOffset>
                </wp:positionH>
                <wp:positionV relativeFrom="paragraph">
                  <wp:posOffset>22860</wp:posOffset>
                </wp:positionV>
                <wp:extent cx="1714500" cy="1327150"/>
                <wp:effectExtent l="57150" t="38100" r="76200" b="120650"/>
                <wp:wrapNone/>
                <wp:docPr id="10" name="Rectangle 10"/>
                <wp:cNvGraphicFramePr/>
                <a:graphic xmlns:a="http://schemas.openxmlformats.org/drawingml/2006/main">
                  <a:graphicData uri="http://schemas.microsoft.com/office/word/2010/wordprocessingShape">
                    <wps:wsp>
                      <wps:cNvSpPr/>
                      <wps:spPr>
                        <a:xfrm>
                          <a:off x="0" y="0"/>
                          <a:ext cx="1714500" cy="1327150"/>
                        </a:xfrm>
                        <a:prstGeom prst="rect">
                          <a:avLst/>
                        </a:prstGeom>
                        <a:ln>
                          <a:headEnd type="none" w="sm" len="sm"/>
                          <a:tailEnd type="none" w="sm" len="sm"/>
                        </a:ln>
                      </wps:spPr>
                      <wps:style>
                        <a:lnRef idx="0">
                          <a:schemeClr val="accent5"/>
                        </a:lnRef>
                        <a:fillRef idx="3">
                          <a:schemeClr val="accent5"/>
                        </a:fillRef>
                        <a:effectRef idx="3">
                          <a:schemeClr val="accent5"/>
                        </a:effectRef>
                        <a:fontRef idx="minor">
                          <a:schemeClr val="lt1"/>
                        </a:fontRef>
                      </wps:style>
                      <wps:txbx>
                        <w:txbxContent>
                          <w:p w14:paraId="6AECAEA8" w14:textId="77777777" w:rsidR="00F337B5" w:rsidRDefault="000E4256">
                            <w:pPr>
                              <w:spacing w:line="270" w:lineRule="auto"/>
                              <w:ind w:left="720" w:firstLine="360"/>
                              <w:textDirection w:val="btLr"/>
                            </w:pPr>
                            <w:r>
                              <w:rPr>
                                <w:rFonts w:ascii="Times New Roman" w:eastAsia="Times New Roman" w:hAnsi="Times New Roman" w:cs="Times New Roman"/>
                                <w:color w:val="000000"/>
                                <w:sz w:val="24"/>
                              </w:rPr>
                              <w:t>Collection</w:t>
                            </w:r>
                          </w:p>
                          <w:p w14:paraId="14F5505B" w14:textId="77777777" w:rsidR="00F337B5" w:rsidRDefault="000E4256">
                            <w:pPr>
                              <w:spacing w:line="270" w:lineRule="auto"/>
                              <w:ind w:left="720" w:firstLine="360"/>
                              <w:textDirection w:val="btLr"/>
                            </w:pPr>
                            <w:r>
                              <w:rPr>
                                <w:rFonts w:ascii="Times New Roman" w:eastAsia="Times New Roman" w:hAnsi="Times New Roman" w:cs="Times New Roman"/>
                                <w:color w:val="000000"/>
                                <w:sz w:val="24"/>
                              </w:rPr>
                              <w:t>Grinding</w:t>
                            </w:r>
                          </w:p>
                          <w:p w14:paraId="22186723" w14:textId="77777777" w:rsidR="00F337B5" w:rsidRDefault="000E4256">
                            <w:pPr>
                              <w:spacing w:line="270" w:lineRule="auto"/>
                              <w:ind w:left="720" w:firstLine="360"/>
                              <w:textDirection w:val="btLr"/>
                            </w:pPr>
                            <w:r>
                              <w:rPr>
                                <w:rFonts w:ascii="Times New Roman" w:eastAsia="Times New Roman" w:hAnsi="Times New Roman" w:cs="Times New Roman"/>
                                <w:color w:val="000000"/>
                                <w:sz w:val="24"/>
                              </w:rPr>
                              <w:t>Powdering</w:t>
                            </w:r>
                          </w:p>
                          <w:p w14:paraId="1D396669" w14:textId="77777777" w:rsidR="00F337B5" w:rsidRDefault="000E4256">
                            <w:pPr>
                              <w:spacing w:line="270" w:lineRule="auto"/>
                              <w:ind w:left="720" w:firstLine="360"/>
                              <w:textDirection w:val="btLr"/>
                            </w:pPr>
                            <w:r>
                              <w:rPr>
                                <w:rFonts w:ascii="Times New Roman" w:eastAsia="Times New Roman" w:hAnsi="Times New Roman" w:cs="Times New Roman"/>
                                <w:color w:val="000000"/>
                                <w:sz w:val="24"/>
                              </w:rPr>
                              <w:t>Drying</w:t>
                            </w:r>
                          </w:p>
                          <w:p w14:paraId="3E1A8291" w14:textId="77777777" w:rsidR="00F337B5" w:rsidRDefault="000E4256">
                            <w:pPr>
                              <w:spacing w:line="270" w:lineRule="auto"/>
                              <w:ind w:left="720" w:firstLine="360"/>
                              <w:textDirection w:val="btLr"/>
                            </w:pPr>
                            <w:r>
                              <w:rPr>
                                <w:rFonts w:ascii="Times New Roman" w:eastAsia="Times New Roman" w:hAnsi="Times New Roman" w:cs="Times New Roman"/>
                                <w:color w:val="000000"/>
                                <w:sz w:val="24"/>
                              </w:rPr>
                              <w:t>Homogenization</w:t>
                            </w:r>
                          </w:p>
                          <w:p w14:paraId="1A0FC5E7" w14:textId="77777777" w:rsidR="00F337B5" w:rsidRDefault="00F337B5">
                            <w:pPr>
                              <w:spacing w:line="270" w:lineRule="auto"/>
                              <w:ind w:left="720" w:firstLine="360"/>
                              <w:textDirection w:val="btLr"/>
                            </w:pP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D2B390" id="Rectangle 10" o:spid="_x0000_s1028" style="position:absolute;left:0;text-align:left;margin-left:312.75pt;margin-top:1.8pt;width:135pt;height:1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" fillcolor="#4bacc6 [3208]" stroked="f">
                <v:fill color2="#a5d5e2 [1624]" rotate="t" angle="180" focus="100%" type="gradient">
                  <o:fill v:ext="view" type="gradientUnscaled"/>
                </v:fill>
                <v:stroke startarrowwidth="narrow" startarrowlength="short" endarrowwidth="narrow" endarrowlength="short"/>
                <v:shadow on="t" color="black" opacity="22937f" origin=",.5" offset="0,.63889mm"/>
                <v:textbox inset="7pt,3pt,7pt,3pt">
                  <w:txbxContent>
                    <w:p w14:paraId="6AECAEA8" w14:textId="77777777" w:rsidR="00000000" w:rsidRDefault="00000000">
                      <w:pPr>
                        <w:spacing w:line="270" w:lineRule="auto"/>
                        <w:ind w:left="720" w:firstLine="360"/>
                        <w:textDirection w:val="btLr"/>
                      </w:pPr>
                      <w:r>
                        <w:rPr>
                          <w:rFonts w:ascii="Times New Roman" w:eastAsia="Times New Roman" w:hAnsi="Times New Roman" w:cs="Times New Roman"/>
                          <w:color w:val="000000"/>
                          <w:sz w:val="24"/>
                        </w:rPr>
                        <w:t>Collection</w:t>
                      </w:r>
                    </w:p>
                    <w:p w14:paraId="14F5505B" w14:textId="77777777" w:rsidR="00000000" w:rsidRDefault="00000000">
                      <w:pPr>
                        <w:spacing w:line="270" w:lineRule="auto"/>
                        <w:ind w:left="720" w:firstLine="360"/>
                        <w:textDirection w:val="btLr"/>
                      </w:pPr>
                      <w:r>
                        <w:rPr>
                          <w:rFonts w:ascii="Times New Roman" w:eastAsia="Times New Roman" w:hAnsi="Times New Roman" w:cs="Times New Roman"/>
                          <w:color w:val="000000"/>
                          <w:sz w:val="24"/>
                        </w:rPr>
                        <w:t>Grinding</w:t>
                      </w:r>
                    </w:p>
                    <w:p w14:paraId="22186723" w14:textId="77777777" w:rsidR="00000000" w:rsidRDefault="00000000">
                      <w:pPr>
                        <w:spacing w:line="270" w:lineRule="auto"/>
                        <w:ind w:left="720" w:firstLine="360"/>
                        <w:textDirection w:val="btLr"/>
                      </w:pPr>
                      <w:r>
                        <w:rPr>
                          <w:rFonts w:ascii="Times New Roman" w:eastAsia="Times New Roman" w:hAnsi="Times New Roman" w:cs="Times New Roman"/>
                          <w:color w:val="000000"/>
                          <w:sz w:val="24"/>
                        </w:rPr>
                        <w:t>Powdering</w:t>
                      </w:r>
                    </w:p>
                    <w:p w14:paraId="1D396669" w14:textId="77777777" w:rsidR="00000000" w:rsidRDefault="00000000">
                      <w:pPr>
                        <w:spacing w:line="270" w:lineRule="auto"/>
                        <w:ind w:left="720" w:firstLine="360"/>
                        <w:textDirection w:val="btLr"/>
                      </w:pPr>
                      <w:r>
                        <w:rPr>
                          <w:rFonts w:ascii="Times New Roman" w:eastAsia="Times New Roman" w:hAnsi="Times New Roman" w:cs="Times New Roman"/>
                          <w:color w:val="000000"/>
                          <w:sz w:val="24"/>
                        </w:rPr>
                        <w:t>Drying</w:t>
                      </w:r>
                    </w:p>
                    <w:p w14:paraId="3E1A8291" w14:textId="77777777" w:rsidR="00000000" w:rsidRDefault="00000000">
                      <w:pPr>
                        <w:spacing w:line="270" w:lineRule="auto"/>
                        <w:ind w:left="720" w:firstLine="360"/>
                        <w:textDirection w:val="btLr"/>
                      </w:pPr>
                      <w:r>
                        <w:rPr>
                          <w:rFonts w:ascii="Times New Roman" w:eastAsia="Times New Roman" w:hAnsi="Times New Roman" w:cs="Times New Roman"/>
                          <w:color w:val="000000"/>
                          <w:sz w:val="24"/>
                        </w:rPr>
                        <w:t>Homogenization</w:t>
                      </w:r>
                    </w:p>
                    <w:p w14:paraId="1A0FC5E7" w14:textId="77777777" w:rsidR="00000000" w:rsidRDefault="00000000">
                      <w:pPr>
                        <w:spacing w:line="270" w:lineRule="auto"/>
                        <w:ind w:left="720" w:firstLine="360"/>
                        <w:textDirection w:val="btLr"/>
                      </w:pPr>
                    </w:p>
                  </w:txbxContent>
                </v:textbox>
              </v:rect>
            </w:pict>
          </mc:Fallback>
        </mc:AlternateContent>
      </w:r>
    </w:p>
    <w:p w14:paraId="6F90E939" w14:textId="77777777" w:rsidR="00042BE4" w:rsidRDefault="000E4256">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hidden="0" allowOverlap="1" wp14:anchorId="36E31D56" wp14:editId="41E92D21">
                <wp:simplePos x="0" y="0"/>
                <wp:positionH relativeFrom="column">
                  <wp:posOffset>1002030</wp:posOffset>
                </wp:positionH>
                <wp:positionV relativeFrom="paragraph">
                  <wp:posOffset>102870</wp:posOffset>
                </wp:positionV>
                <wp:extent cx="2308225" cy="307975"/>
                <wp:effectExtent l="57150" t="19050" r="73025" b="92075"/>
                <wp:wrapNone/>
                <wp:docPr id="6" name="Rectangle: Rounded Corners 6"/>
                <wp:cNvGraphicFramePr/>
                <a:graphic xmlns:a="http://schemas.openxmlformats.org/drawingml/2006/main">
                  <a:graphicData uri="http://schemas.microsoft.com/office/word/2010/wordprocessingShape">
                    <wps:wsp>
                      <wps:cNvSpPr/>
                      <wps:spPr>
                        <a:xfrm>
                          <a:off x="0" y="0"/>
                          <a:ext cx="2308225" cy="307975"/>
                        </a:xfrm>
                        <a:prstGeom prst="roundRect">
                          <a:avLst>
                            <a:gd name="adj" fmla="val 16667"/>
                          </a:avLst>
                        </a:prstGeom>
                        <a:ln>
                          <a:headEnd type="none" w="sm" len="sm"/>
                          <a:tailEnd type="none" w="sm" len="sm"/>
                        </a:ln>
                      </wps:spPr>
                      <wps:style>
                        <a:lnRef idx="1">
                          <a:schemeClr val="accent1"/>
                        </a:lnRef>
                        <a:fillRef idx="3">
                          <a:schemeClr val="accent1"/>
                        </a:fillRef>
                        <a:effectRef idx="2">
                          <a:schemeClr val="accent1"/>
                        </a:effectRef>
                        <a:fontRef idx="minor">
                          <a:schemeClr val="lt1"/>
                        </a:fontRef>
                      </wps:style>
                      <wps:txbx>
                        <w:txbxContent>
                          <w:p w14:paraId="168F9517" w14:textId="77777777" w:rsidR="00F337B5" w:rsidRDefault="000E4256">
                            <w:pPr>
                              <w:spacing w:line="270" w:lineRule="auto"/>
                              <w:textDirection w:val="btLr"/>
                            </w:pPr>
                            <w:r>
                              <w:rPr>
                                <w:rFonts w:ascii="Times New Roman" w:eastAsia="Times New Roman" w:hAnsi="Times New Roman" w:cs="Times New Roman"/>
                                <w:color w:val="000000"/>
                                <w:sz w:val="24"/>
                              </w:rPr>
                              <w:t>Sample</w:t>
                            </w:r>
                            <w:r>
                              <w:rPr>
                                <w:rFonts w:ascii="Times New Roman" w:eastAsia="Times New Roman" w:hAnsi="Times New Roman" w:cs="Times New Roman"/>
                                <w:color w:val="000000"/>
                                <w:sz w:val="24"/>
                              </w:rPr>
                              <w:t xml:space="preserve"> preparation for analysis</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6E31D56" id="Rectangle: Rounded Corners 6" o:spid="_x0000_s1029" style="position:absolute;left:0;text-align:left;margin-left:78.9pt;margin-top:8.1pt;width:181.75pt;height:24.2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" fillcolor="#4f81bd [3204]" strokecolor="#4579b8 [3044]">
                <v:fill color2="#a7bfde [1620]" rotate="t" angle="180" focus="100%" type="gradient">
                  <o:fill v:ext="view" type="gradientUnscaled"/>
                </v:fill>
                <v:stroke startarrowwidth="narrow" startarrowlength="short" endarrowwidth="narrow" endarrowlength="short"/>
                <v:shadow on="t" color="black" opacity="22937f" origin=",.5" offset="0,.63889mm"/>
                <v:textbox inset="7pt,3pt,7pt,3pt">
                  <w:txbxContent>
                    <w:p w14:paraId="168F9517" w14:textId="77777777" w:rsidR="00000000" w:rsidRDefault="00000000">
                      <w:pPr>
                        <w:spacing w:line="270" w:lineRule="auto"/>
                        <w:textDirection w:val="btLr"/>
                      </w:pPr>
                      <w:r>
                        <w:rPr>
                          <w:rFonts w:ascii="Times New Roman" w:eastAsia="Times New Roman" w:hAnsi="Times New Roman" w:cs="Times New Roman"/>
                          <w:color w:val="000000"/>
                          <w:sz w:val="24"/>
                        </w:rPr>
                        <w:t>Sample preparation for analysis</w:t>
                      </w:r>
                    </w:p>
                  </w:txbxContent>
                </v:textbox>
              </v:roundrect>
            </w:pict>
          </mc:Fallback>
        </mc:AlternateContent>
      </w:r>
      <w:r>
        <w:rPr>
          <w:noProof/>
        </w:rPr>
        <mc:AlternateContent>
          <mc:Choice Requires="wps">
            <w:drawing>
              <wp:anchor distT="0" distB="0" distL="114300" distR="114300" simplePos="0" relativeHeight="251662336" behindDoc="0" locked="0" layoutInCell="1" hidden="0" allowOverlap="1" wp14:anchorId="2975305E" wp14:editId="0FCD56C6">
                <wp:simplePos x="0" y="0"/>
                <wp:positionH relativeFrom="column">
                  <wp:posOffset>3365500</wp:posOffset>
                </wp:positionH>
                <wp:positionV relativeFrom="paragraph">
                  <wp:posOffset>210820</wp:posOffset>
                </wp:positionV>
                <wp:extent cx="174625" cy="103505"/>
                <wp:effectExtent l="0" t="19050" r="15875" b="29845"/>
                <wp:wrapNone/>
                <wp:docPr id="5" name="Freeform: Shape 5"/>
                <wp:cNvGraphicFramePr/>
                <a:graphic xmlns:a="http://schemas.openxmlformats.org/drawingml/2006/main">
                  <a:graphicData uri="http://schemas.microsoft.com/office/word/2010/wordprocessingShape">
                    <wps:wsp>
                      <wps:cNvSpPr/>
                      <wps:spPr>
                        <a:xfrm>
                          <a:off x="0" y="0"/>
                          <a:ext cx="174625" cy="103505"/>
                        </a:xfrm>
                        <a:custGeom>
                          <a:avLst/>
                          <a:gdLst/>
                          <a:ahLst/>
                          <a:cxnLst/>
                          <a:rect l="l" t="t" r="r" b="b"/>
                          <a:pathLst>
                            <a:path w="161925" h="90805" extrusionOk="0">
                              <a:moveTo>
                                <a:pt x="121443" y="0"/>
                              </a:moveTo>
                              <a:lnTo>
                                <a:pt x="121443" y="22701"/>
                              </a:lnTo>
                              <a:lnTo>
                                <a:pt x="0" y="22701"/>
                              </a:lnTo>
                              <a:lnTo>
                                <a:pt x="0" y="68103"/>
                              </a:lnTo>
                              <a:lnTo>
                                <a:pt x="121443" y="68103"/>
                              </a:lnTo>
                              <a:lnTo>
                                <a:pt x="121443" y="90805"/>
                              </a:lnTo>
                              <a:lnTo>
                                <a:pt x="161925" y="454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3365500</wp:posOffset>
                </wp:positionH>
                <wp:positionV relativeFrom="paragraph">
                  <wp:posOffset>210820</wp:posOffset>
                </wp:positionV>
                <wp:extent cx="190500" cy="152400"/>
                <wp:effectExtent b="0" l="0" r="0" t="0"/>
                <wp:wrapNone/>
                <wp:docPr id="5"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190500" cy="152400"/>
                        </a:xfrm>
                        <a:prstGeom prst="rect"/>
                        <a:ln/>
                      </pic:spPr>
                    </pic:pic>
                  </a:graphicData>
                </a:graphic>
              </wp:anchor>
            </w:drawing>
          </mc:Fallback>
        </mc:AlternateContent>
      </w:r>
    </w:p>
    <w:p w14:paraId="25502665" w14:textId="77777777" w:rsidR="00042BE4" w:rsidRDefault="000E4256">
      <w:pPr>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1" hidden="0" allowOverlap="1" wp14:anchorId="5386AE7D" wp14:editId="70E0D2F7">
                <wp:simplePos x="0" y="0"/>
                <wp:positionH relativeFrom="column">
                  <wp:posOffset>3857625</wp:posOffset>
                </wp:positionH>
                <wp:positionV relativeFrom="paragraph">
                  <wp:posOffset>1209675</wp:posOffset>
                </wp:positionV>
                <wp:extent cx="2076450" cy="628650"/>
                <wp:effectExtent l="57150" t="19050" r="76200" b="95250"/>
                <wp:wrapNone/>
                <wp:docPr id="4" name="Rectangle: Rounded Corners 4"/>
                <wp:cNvGraphicFramePr/>
                <a:graphic xmlns:a="http://schemas.openxmlformats.org/drawingml/2006/main">
                  <a:graphicData uri="http://schemas.microsoft.com/office/word/2010/wordprocessingShape">
                    <wps:wsp>
                      <wps:cNvSpPr/>
                      <wps:spPr>
                        <a:xfrm>
                          <a:off x="0" y="0"/>
                          <a:ext cx="2076450" cy="628650"/>
                        </a:xfrm>
                        <a:prstGeom prst="roundRect">
                          <a:avLst>
                            <a:gd name="adj" fmla="val 16667"/>
                          </a:avLst>
                        </a:prstGeom>
                        <a:ln>
                          <a:headEnd type="none" w="sm" len="sm"/>
                          <a:tailEnd type="none" w="sm" len="sm"/>
                        </a:ln>
                      </wps:spPr>
                      <wps:style>
                        <a:lnRef idx="1">
                          <a:schemeClr val="accent6"/>
                        </a:lnRef>
                        <a:fillRef idx="3">
                          <a:schemeClr val="accent6"/>
                        </a:fillRef>
                        <a:effectRef idx="2">
                          <a:schemeClr val="accent6"/>
                        </a:effectRef>
                        <a:fontRef idx="minor">
                          <a:schemeClr val="lt1"/>
                        </a:fontRef>
                      </wps:style>
                      <wps:txbx>
                        <w:txbxContent>
                          <w:p w14:paraId="3B924508" w14:textId="77777777" w:rsidR="00F337B5" w:rsidRDefault="000E4256">
                            <w:pPr>
                              <w:spacing w:line="270" w:lineRule="auto"/>
                              <w:textDirection w:val="btLr"/>
                            </w:pPr>
                            <w:r>
                              <w:rPr>
                                <w:rFonts w:ascii="Times New Roman" w:eastAsia="Times New Roman" w:hAnsi="Times New Roman" w:cs="Times New Roman"/>
                                <w:color w:val="000000"/>
                                <w:sz w:val="24"/>
                              </w:rPr>
                              <w:t>Calculation of Radiological indices and doses</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386AE7D" id="Rectangle: Rounded Corners 4" o:spid="_x0000_s1030" style="position:absolute;left:0;text-align:left;margin-left:303.75pt;margin-top:95.25pt;width:163.5pt;height:49.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" fillcolor="#f79646 [3209]" strokecolor="#f68c36 [3049]">
                <v:fill color2="#fbcaa2 [1625]" rotate="t" angle="180" focus="100%" type="gradient">
                  <o:fill v:ext="view" type="gradientUnscaled"/>
                </v:fill>
                <v:stroke startarrowwidth="narrow" startarrowlength="short" endarrowwidth="narrow" endarrowlength="short"/>
                <v:shadow on="t" color="black" opacity="22937f" origin=",.5" offset="0,.63889mm"/>
                <v:textbox inset="7pt,3pt,7pt,3pt">
                  <w:txbxContent>
                    <w:p w14:paraId="3B924508" w14:textId="77777777" w:rsidR="00000000" w:rsidRDefault="00000000">
                      <w:pPr>
                        <w:spacing w:line="270" w:lineRule="auto"/>
                        <w:textDirection w:val="btLr"/>
                      </w:pPr>
                      <w:r>
                        <w:rPr>
                          <w:rFonts w:ascii="Times New Roman" w:eastAsia="Times New Roman" w:hAnsi="Times New Roman" w:cs="Times New Roman"/>
                          <w:color w:val="000000"/>
                          <w:sz w:val="24"/>
                        </w:rPr>
                        <w:t>Calculation of Radiological indices and doses</w:t>
                      </w:r>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14:anchorId="7C0A3A99" wp14:editId="2F76FCF0">
                <wp:simplePos x="0" y="0"/>
                <wp:positionH relativeFrom="column">
                  <wp:posOffset>2057400</wp:posOffset>
                </wp:positionH>
                <wp:positionV relativeFrom="paragraph">
                  <wp:posOffset>182880</wp:posOffset>
                </wp:positionV>
                <wp:extent cx="103505" cy="189230"/>
                <wp:effectExtent l="19050" t="0" r="29845" b="20320"/>
                <wp:wrapNone/>
                <wp:docPr id="8" name="Freeform: Shape 8"/>
                <wp:cNvGraphicFramePr/>
                <a:graphic xmlns:a="http://schemas.openxmlformats.org/drawingml/2006/main">
                  <a:graphicData uri="http://schemas.microsoft.com/office/word/2010/wordprocessingShape">
                    <wps:wsp>
                      <wps:cNvSpPr/>
                      <wps:spPr>
                        <a:xfrm>
                          <a:off x="0" y="0"/>
                          <a:ext cx="103505" cy="189230"/>
                        </a:xfrm>
                        <a:custGeom>
                          <a:avLst/>
                          <a:gdLst/>
                          <a:ahLst/>
                          <a:cxnLst/>
                          <a:rect l="l" t="t" r="r" b="b"/>
                          <a:pathLst>
                            <a:path w="90805" h="176530" extrusionOk="0">
                              <a:moveTo>
                                <a:pt x="0" y="132397"/>
                              </a:moveTo>
                              <a:lnTo>
                                <a:pt x="22701" y="132397"/>
                              </a:lnTo>
                              <a:lnTo>
                                <a:pt x="22701" y="0"/>
                              </a:lnTo>
                              <a:lnTo>
                                <a:pt x="68103" y="0"/>
                              </a:lnTo>
                              <a:lnTo>
                                <a:pt x="68103" y="132397"/>
                              </a:lnTo>
                              <a:lnTo>
                                <a:pt x="90805" y="132397"/>
                              </a:lnTo>
                              <a:lnTo>
                                <a:pt x="45402" y="17653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F6B2160" w14:textId="77777777" w:rsidR="00F337B5" w:rsidRDefault="00F337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0A3A99" id="Freeform: Shape 8" o:spid="_x0000_s1031" style="position:absolute;left:0;text-align:left;margin-left:162pt;margin-top:14.4pt;width:8.15pt;height:14.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0805,176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" adj="-11796480,,5400" path="m,132397r22701,l22701,,68103,r,132397l90805,132397,45402,176530,,132397xe" strokeweight="1pt">
                <v:stroke startarrowwidth="narrow" startarrowlength="short" endarrowwidth="narrow" endarrowlength="short" miterlimit="5243f" joinstyle="miter"/>
                <v:formulas/>
                <v:path arrowok="t" o:extrusionok="f" o:connecttype="custom" textboxrect="0,0,90805,176530"/>
                <v:textbox inset="2.53958mm,2.53958mm,2.53958mm,2.53958mm">
                  <w:txbxContent>
                    <w:p w14:paraId="3F6B2160" w14:textId="77777777" w:rsidR="00000000" w:rsidRDefault="00000000">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5408" behindDoc="0" locked="0" layoutInCell="1" hidden="0" allowOverlap="1" wp14:anchorId="02D258AF" wp14:editId="5AA0EEB7">
                <wp:simplePos x="0" y="0"/>
                <wp:positionH relativeFrom="column">
                  <wp:posOffset>913130</wp:posOffset>
                </wp:positionH>
                <wp:positionV relativeFrom="paragraph">
                  <wp:posOffset>466725</wp:posOffset>
                </wp:positionV>
                <wp:extent cx="2308225" cy="307975"/>
                <wp:effectExtent l="76200" t="38100" r="92075" b="111125"/>
                <wp:wrapNone/>
                <wp:docPr id="7" name="Rectangle: Rounded Corners 7"/>
                <wp:cNvGraphicFramePr/>
                <a:graphic xmlns:a="http://schemas.openxmlformats.org/drawingml/2006/main">
                  <a:graphicData uri="http://schemas.microsoft.com/office/word/2010/wordprocessingShape">
                    <wps:wsp>
                      <wps:cNvSpPr/>
                      <wps:spPr>
                        <a:xfrm>
                          <a:off x="0" y="0"/>
                          <a:ext cx="2308225" cy="307975"/>
                        </a:xfrm>
                        <a:prstGeom prst="roundRect">
                          <a:avLst>
                            <a:gd name="adj" fmla="val 16667"/>
                          </a:avLst>
                        </a:prstGeom>
                        <a:ln>
                          <a:headEnd type="none" w="sm" len="sm"/>
                          <a:tailEnd type="none" w="sm" len="sm"/>
                        </a:ln>
                      </wps:spPr>
                      <wps:style>
                        <a:lnRef idx="0">
                          <a:schemeClr val="accent2"/>
                        </a:lnRef>
                        <a:fillRef idx="3">
                          <a:schemeClr val="accent2"/>
                        </a:fillRef>
                        <a:effectRef idx="3">
                          <a:schemeClr val="accent2"/>
                        </a:effectRef>
                        <a:fontRef idx="minor">
                          <a:schemeClr val="lt1"/>
                        </a:fontRef>
                      </wps:style>
                      <wps:txbx>
                        <w:txbxContent>
                          <w:p w14:paraId="7E698A6D" w14:textId="77777777" w:rsidR="00F337B5" w:rsidRDefault="000E4256">
                            <w:pPr>
                              <w:spacing w:line="270" w:lineRule="auto"/>
                              <w:textDirection w:val="btLr"/>
                            </w:pPr>
                            <w:r>
                              <w:rPr>
                                <w:rFonts w:ascii="Times New Roman" w:eastAsia="Times New Roman" w:hAnsi="Times New Roman" w:cs="Times New Roman"/>
                                <w:color w:val="000000"/>
                                <w:sz w:val="24"/>
                              </w:rPr>
                              <w:t xml:space="preserve">     NaI Gamma ray Spectrometry</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2D258AF" id="Rectangle: Rounded Corners 7" o:spid="_x0000_s1032" style="position:absolute;left:0;text-align:left;margin-left:71.9pt;margin-top:36.75pt;width:181.75pt;height:24.2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" fillcolor="#c0504d [3205]" stroked="f">
                <v:fill color2="#dfa7a6 [1621]" rotate="t" angle="180" focus="100%" type="gradient">
                  <o:fill v:ext="view" type="gradientUnscaled"/>
                </v:fill>
                <v:stroke startarrowwidth="narrow" startarrowlength="short" endarrowwidth="narrow" endarrowlength="short"/>
                <v:shadow on="t" color="black" opacity="22937f" origin=",.5" offset="0,.63889mm"/>
                <v:textbox inset="7pt,3pt,7pt,3pt">
                  <w:txbxContent>
                    <w:p w14:paraId="7E698A6D" w14:textId="77777777" w:rsidR="00000000" w:rsidRDefault="00000000">
                      <w:pPr>
                        <w:spacing w:line="270" w:lineRule="auto"/>
                        <w:textDirection w:val="btLr"/>
                      </w:pPr>
                      <w:r>
                        <w:rPr>
                          <w:rFonts w:ascii="Times New Roman" w:eastAsia="Times New Roman" w:hAnsi="Times New Roman" w:cs="Times New Roman"/>
                          <w:color w:val="000000"/>
                          <w:sz w:val="24"/>
                        </w:rPr>
                        <w:t xml:space="preserve">     NaI Gamma ray Spectrometry</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14:anchorId="6AF2C4B6" wp14:editId="7E716FFA">
                <wp:simplePos x="0" y="0"/>
                <wp:positionH relativeFrom="column">
                  <wp:posOffset>2009776</wp:posOffset>
                </wp:positionH>
                <wp:positionV relativeFrom="paragraph">
                  <wp:posOffset>887730</wp:posOffset>
                </wp:positionV>
                <wp:extent cx="152400" cy="323850"/>
                <wp:effectExtent l="19050" t="0" r="19050" b="19050"/>
                <wp:wrapNone/>
                <wp:docPr id="2" name="Freeform: Shape 2"/>
                <wp:cNvGraphicFramePr/>
                <a:graphic xmlns:a="http://schemas.openxmlformats.org/drawingml/2006/main">
                  <a:graphicData uri="http://schemas.microsoft.com/office/word/2010/wordprocessingShape">
                    <wps:wsp>
                      <wps:cNvSpPr/>
                      <wps:spPr>
                        <a:xfrm>
                          <a:off x="0" y="0"/>
                          <a:ext cx="152400" cy="323850"/>
                        </a:xfrm>
                        <a:custGeom>
                          <a:avLst/>
                          <a:gdLst/>
                          <a:ahLst/>
                          <a:cxnLst/>
                          <a:rect l="l" t="t" r="r" b="b"/>
                          <a:pathLst>
                            <a:path w="90805" h="228600" extrusionOk="0">
                              <a:moveTo>
                                <a:pt x="0" y="171450"/>
                              </a:moveTo>
                              <a:lnTo>
                                <a:pt x="22701" y="171450"/>
                              </a:lnTo>
                              <a:lnTo>
                                <a:pt x="22701" y="0"/>
                              </a:lnTo>
                              <a:lnTo>
                                <a:pt x="68103" y="0"/>
                              </a:lnTo>
                              <a:lnTo>
                                <a:pt x="68103" y="171450"/>
                              </a:lnTo>
                              <a:lnTo>
                                <a:pt x="90805" y="171450"/>
                              </a:lnTo>
                              <a:lnTo>
                                <a:pt x="45402" y="22860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30DEFC0" w14:textId="77777777" w:rsidR="00F337B5" w:rsidRDefault="00F337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F2C4B6" id="Freeform: Shape 2" o:spid="_x0000_s1033" style="position:absolute;left:0;text-align:left;margin-left:158.25pt;margin-top:69.9pt;width:12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9080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" adj="-11796480,,5400" path="m,171450r22701,l22701,,68103,r,171450l90805,171450,45402,228600,,171450xe" strokeweight="1pt">
                <v:stroke startarrowwidth="narrow" startarrowlength="short" endarrowwidth="narrow" endarrowlength="short" miterlimit="5243f" joinstyle="miter"/>
                <v:formulas/>
                <v:path arrowok="t" o:extrusionok="f" o:connecttype="custom" textboxrect="0,0,90805,228600"/>
                <v:textbox inset="2.53958mm,2.53958mm,2.53958mm,2.53958mm">
                  <w:txbxContent>
                    <w:p w14:paraId="730DEFC0" w14:textId="77777777" w:rsidR="00000000" w:rsidRDefault="00000000">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14:anchorId="60E1BF62" wp14:editId="4F77EC4A">
                <wp:simplePos x="0" y="0"/>
                <wp:positionH relativeFrom="column">
                  <wp:posOffset>971550</wp:posOffset>
                </wp:positionH>
                <wp:positionV relativeFrom="paragraph">
                  <wp:posOffset>1289685</wp:posOffset>
                </wp:positionV>
                <wp:extent cx="2308225" cy="550545"/>
                <wp:effectExtent l="0" t="0" r="15875" b="20955"/>
                <wp:wrapNone/>
                <wp:docPr id="1" name="Rectangle: Rounded Corners 1"/>
                <wp:cNvGraphicFramePr/>
                <a:graphic xmlns:a="http://schemas.openxmlformats.org/drawingml/2006/main">
                  <a:graphicData uri="http://schemas.microsoft.com/office/word/2010/wordprocessingShape">
                    <wps:wsp>
                      <wps:cNvSpPr/>
                      <wps:spPr>
                        <a:xfrm>
                          <a:off x="0" y="0"/>
                          <a:ext cx="2308225" cy="550545"/>
                        </a:xfrm>
                        <a:prstGeom prst="roundRect">
                          <a:avLst>
                            <a:gd name="adj" fmla="val 16667"/>
                          </a:avLst>
                        </a:prstGeom>
                        <a:ln>
                          <a:headEnd type="none" w="sm" len="sm"/>
                          <a:tailEnd type="none" w="sm" len="sm"/>
                        </a:ln>
                      </wps:spPr>
                      <wps:style>
                        <a:lnRef idx="2">
                          <a:schemeClr val="accent6">
                            <a:shade val="50000"/>
                          </a:schemeClr>
                        </a:lnRef>
                        <a:fillRef idx="1">
                          <a:schemeClr val="accent6"/>
                        </a:fillRef>
                        <a:effectRef idx="0">
                          <a:schemeClr val="accent6"/>
                        </a:effectRef>
                        <a:fontRef idx="minor">
                          <a:schemeClr val="lt1"/>
                        </a:fontRef>
                      </wps:style>
                      <wps:txbx>
                        <w:txbxContent>
                          <w:p w14:paraId="19312628" w14:textId="77777777" w:rsidR="00F337B5" w:rsidRDefault="000E4256">
                            <w:pPr>
                              <w:spacing w:line="270" w:lineRule="auto"/>
                              <w:textDirection w:val="btLr"/>
                            </w:pPr>
                            <w:r>
                              <w:rPr>
                                <w:rFonts w:ascii="Times New Roman" w:eastAsia="Times New Roman" w:hAnsi="Times New Roman" w:cs="Times New Roman"/>
                                <w:color w:val="000000"/>
                                <w:sz w:val="24"/>
                              </w:rPr>
                              <w:t>Measurement of activity concentrations of radionuclides</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0E1BF62" id="Rectangle: Rounded Corners 1" o:spid="_x0000_s1034" style="position:absolute;left:0;text-align:left;margin-left:76.5pt;margin-top:101.55pt;width:181.75pt;height:43.3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" fillcolor="#f79646 [3209]" strokecolor="#974706 [1609]" strokeweight="2pt">
                <v:stroke startarrowwidth="narrow" startarrowlength="short" endarrowwidth="narrow" endarrowlength="short"/>
                <v:textbox inset="7pt,3pt,7pt,3pt">
                  <w:txbxContent>
                    <w:p w14:paraId="19312628" w14:textId="77777777" w:rsidR="00000000" w:rsidRDefault="00000000">
                      <w:pPr>
                        <w:spacing w:line="270" w:lineRule="auto"/>
                        <w:textDirection w:val="btLr"/>
                      </w:pPr>
                      <w:r>
                        <w:rPr>
                          <w:rFonts w:ascii="Times New Roman" w:eastAsia="Times New Roman" w:hAnsi="Times New Roman" w:cs="Times New Roman"/>
                          <w:color w:val="000000"/>
                          <w:sz w:val="24"/>
                        </w:rPr>
                        <w:t>Measurement of activity concentrations of radionuclides</w:t>
                      </w:r>
                    </w:p>
                  </w:txbxContent>
                </v:textbox>
              </v:roundrect>
            </w:pict>
          </mc:Fallback>
        </mc:AlternateContent>
      </w:r>
      <w:r>
        <w:rPr>
          <w:noProof/>
        </w:rPr>
        <mc:AlternateContent>
          <mc:Choice Requires="wps">
            <w:drawing>
              <wp:anchor distT="0" distB="0" distL="114300" distR="114300" simplePos="0" relativeHeight="251668480" behindDoc="0" locked="0" layoutInCell="1" hidden="0" allowOverlap="1" wp14:anchorId="46B0BCFB" wp14:editId="054ECAD2">
                <wp:simplePos x="0" y="0"/>
                <wp:positionH relativeFrom="column">
                  <wp:posOffset>3444875</wp:posOffset>
                </wp:positionH>
                <wp:positionV relativeFrom="paragraph">
                  <wp:posOffset>1498600</wp:posOffset>
                </wp:positionV>
                <wp:extent cx="327025" cy="103505"/>
                <wp:effectExtent l="0" t="19050" r="15875" b="29845"/>
                <wp:wrapNone/>
                <wp:docPr id="3" name="Freeform: Shape 3"/>
                <wp:cNvGraphicFramePr/>
                <a:graphic xmlns:a="http://schemas.openxmlformats.org/drawingml/2006/main">
                  <a:graphicData uri="http://schemas.microsoft.com/office/word/2010/wordprocessingShape">
                    <wps:wsp>
                      <wps:cNvSpPr/>
                      <wps:spPr>
                        <a:xfrm>
                          <a:off x="0" y="0"/>
                          <a:ext cx="327025" cy="103505"/>
                        </a:xfrm>
                        <a:custGeom>
                          <a:avLst/>
                          <a:gdLst/>
                          <a:ahLst/>
                          <a:cxnLst/>
                          <a:rect l="l" t="t" r="r" b="b"/>
                          <a:pathLst>
                            <a:path w="314325" h="90805" extrusionOk="0">
                              <a:moveTo>
                                <a:pt x="235743" y="0"/>
                              </a:moveTo>
                              <a:lnTo>
                                <a:pt x="235743" y="22701"/>
                              </a:lnTo>
                              <a:lnTo>
                                <a:pt x="0" y="22701"/>
                              </a:lnTo>
                              <a:lnTo>
                                <a:pt x="0" y="68103"/>
                              </a:lnTo>
                              <a:lnTo>
                                <a:pt x="235743" y="68103"/>
                              </a:lnTo>
                              <a:lnTo>
                                <a:pt x="235743" y="90805"/>
                              </a:lnTo>
                              <a:lnTo>
                                <a:pt x="314325" y="454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3444875</wp:posOffset>
                </wp:positionH>
                <wp:positionV relativeFrom="paragraph">
                  <wp:posOffset>1498600</wp:posOffset>
                </wp:positionV>
                <wp:extent cx="342900" cy="152400"/>
                <wp:effectExtent b="0" l="0" r="0" t="0"/>
                <wp:wrapNone/>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342900" cy="152400"/>
                        </a:xfrm>
                        <a:prstGeom prst="rect"/>
                        <a:ln/>
                      </pic:spPr>
                    </pic:pic>
                  </a:graphicData>
                </a:graphic>
              </wp:anchor>
            </w:drawing>
          </mc:Fallback>
        </mc:AlternateContent>
      </w:r>
    </w:p>
    <w:p w14:paraId="0EDDBFBE" w14:textId="77777777" w:rsidR="00042BE4" w:rsidRDefault="00042BE4">
      <w:pPr>
        <w:jc w:val="both"/>
        <w:rPr>
          <w:rFonts w:ascii="Times New Roman" w:eastAsia="Times New Roman" w:hAnsi="Times New Roman" w:cs="Times New Roman"/>
          <w:sz w:val="28"/>
          <w:szCs w:val="28"/>
        </w:rPr>
      </w:pPr>
    </w:p>
    <w:p w14:paraId="6C11A7B3" w14:textId="77777777" w:rsidR="00042BE4" w:rsidRDefault="00042BE4">
      <w:pPr>
        <w:jc w:val="both"/>
        <w:rPr>
          <w:rFonts w:ascii="Times New Roman" w:eastAsia="Times New Roman" w:hAnsi="Times New Roman" w:cs="Times New Roman"/>
          <w:sz w:val="28"/>
          <w:szCs w:val="28"/>
        </w:rPr>
      </w:pPr>
    </w:p>
    <w:p w14:paraId="7C5B6965" w14:textId="77777777" w:rsidR="00042BE4" w:rsidRDefault="00042BE4">
      <w:pPr>
        <w:jc w:val="both"/>
        <w:rPr>
          <w:rFonts w:ascii="Times New Roman" w:eastAsia="Times New Roman" w:hAnsi="Times New Roman" w:cs="Times New Roman"/>
          <w:sz w:val="28"/>
          <w:szCs w:val="28"/>
        </w:rPr>
      </w:pPr>
    </w:p>
    <w:p w14:paraId="59E75322" w14:textId="77777777" w:rsidR="00042BE4" w:rsidRDefault="00042BE4">
      <w:pPr>
        <w:jc w:val="both"/>
        <w:rPr>
          <w:rFonts w:ascii="Times New Roman" w:eastAsia="Times New Roman" w:hAnsi="Times New Roman" w:cs="Times New Roman"/>
          <w:sz w:val="28"/>
          <w:szCs w:val="28"/>
        </w:rPr>
      </w:pPr>
    </w:p>
    <w:p w14:paraId="1A6D1A8B" w14:textId="77777777" w:rsidR="00042BE4" w:rsidRDefault="00042BE4">
      <w:pPr>
        <w:jc w:val="both"/>
        <w:rPr>
          <w:rFonts w:ascii="Times New Roman" w:eastAsia="Times New Roman" w:hAnsi="Times New Roman" w:cs="Times New Roman"/>
          <w:sz w:val="28"/>
          <w:szCs w:val="28"/>
        </w:rPr>
      </w:pPr>
    </w:p>
    <w:p w14:paraId="669FFC25" w14:textId="77777777" w:rsidR="00042BE4" w:rsidRDefault="00042BE4">
      <w:pPr>
        <w:jc w:val="both"/>
        <w:rPr>
          <w:rFonts w:ascii="Times New Roman" w:eastAsia="Times New Roman" w:hAnsi="Times New Roman" w:cs="Times New Roman"/>
          <w:sz w:val="28"/>
          <w:szCs w:val="28"/>
        </w:rPr>
      </w:pPr>
    </w:p>
    <w:p w14:paraId="2298F361" w14:textId="77777777" w:rsidR="00042BE4" w:rsidRDefault="000E4256">
      <w:pPr>
        <w:jc w:val="both"/>
        <w:rPr>
          <w:rFonts w:ascii="Times New Roman" w:eastAsia="Times New Roman" w:hAnsi="Times New Roman" w:cs="Times New Roman"/>
          <w:sz w:val="28"/>
          <w:szCs w:val="28"/>
        </w:rPr>
      </w:pPr>
      <w:r>
        <w:rPr>
          <w:noProof/>
        </w:rPr>
        <w:lastRenderedPageBreak/>
        <w:drawing>
          <wp:inline distT="0" distB="0" distL="0" distR="0" wp14:anchorId="3AC78167" wp14:editId="12BC1F38">
            <wp:extent cx="2733675" cy="2505075"/>
            <wp:effectExtent l="0" t="0" r="0" b="0"/>
            <wp:docPr id="21" name="image19.png" descr="C:\Users\Dell\AppData\Local\Temp\ksohtml6156\wps1.jpg"/>
            <wp:cNvGraphicFramePr/>
            <a:graphic xmlns:a="http://schemas.openxmlformats.org/drawingml/2006/main">
              <a:graphicData uri="http://schemas.openxmlformats.org/drawingml/2006/picture">
                <pic:pic xmlns:pic="http://schemas.openxmlformats.org/drawingml/2006/picture">
                  <pic:nvPicPr>
                    <pic:cNvPr id="0" name="image19.png" descr="C:\Users\Dell\AppData\Local\Temp\ksohtml6156\wps1.jpg"/>
                    <pic:cNvPicPr preferRelativeResize="0"/>
                  </pic:nvPicPr>
                  <pic:blipFill>
                    <a:blip r:embed="rId17"/>
                    <a:srcRect/>
                    <a:stretch>
                      <a:fillRect/>
                    </a:stretch>
                  </pic:blipFill>
                  <pic:spPr>
                    <a:xfrm>
                      <a:off x="0" y="0"/>
                      <a:ext cx="2733675" cy="2505075"/>
                    </a:xfrm>
                    <a:prstGeom prst="rect">
                      <a:avLst/>
                    </a:prstGeom>
                    <a:ln/>
                  </pic:spPr>
                </pic:pic>
              </a:graphicData>
            </a:graphic>
          </wp:inline>
        </w:drawing>
      </w:r>
      <w:r>
        <w:rPr>
          <w:noProof/>
        </w:rPr>
        <w:drawing>
          <wp:inline distT="0" distB="0" distL="0" distR="0" wp14:anchorId="56064FCE" wp14:editId="4B306EF9">
            <wp:extent cx="2505075" cy="2514600"/>
            <wp:effectExtent l="0" t="0" r="0" b="0"/>
            <wp:docPr id="22" name="image20.png" descr="C:\Users\Dell\AppData\Local\Temp\ksohtml6156\wps2.png"/>
            <wp:cNvGraphicFramePr/>
            <a:graphic xmlns:a="http://schemas.openxmlformats.org/drawingml/2006/main">
              <a:graphicData uri="http://schemas.openxmlformats.org/drawingml/2006/picture">
                <pic:pic xmlns:pic="http://schemas.openxmlformats.org/drawingml/2006/picture">
                  <pic:nvPicPr>
                    <pic:cNvPr id="0" name="image20.png" descr="C:\Users\Dell\AppData\Local\Temp\ksohtml6156\wps2.png"/>
                    <pic:cNvPicPr preferRelativeResize="0"/>
                  </pic:nvPicPr>
                  <pic:blipFill>
                    <a:blip r:embed="rId18"/>
                    <a:srcRect/>
                    <a:stretch>
                      <a:fillRect/>
                    </a:stretch>
                  </pic:blipFill>
                  <pic:spPr>
                    <a:xfrm>
                      <a:off x="0" y="0"/>
                      <a:ext cx="2505075" cy="2514600"/>
                    </a:xfrm>
                    <a:prstGeom prst="rect">
                      <a:avLst/>
                    </a:prstGeom>
                    <a:ln/>
                  </pic:spPr>
                </pic:pic>
              </a:graphicData>
            </a:graphic>
          </wp:inline>
        </w:drawing>
      </w:r>
    </w:p>
    <w:p w14:paraId="60BDA535"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Representing the </w:t>
      </w:r>
      <w:proofErr w:type="spell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 xml:space="preserve"> Gamma Ray Spectrometer.</w:t>
      </w:r>
    </w:p>
    <w:p w14:paraId="6677BB57" w14:textId="77777777"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Major Specification of </w:t>
      </w:r>
      <w:proofErr w:type="spellStart"/>
      <w:r>
        <w:rPr>
          <w:rFonts w:ascii="Times New Roman" w:eastAsia="Times New Roman" w:hAnsi="Times New Roman" w:cs="Times New Roman"/>
          <w:color w:val="000000"/>
          <w:sz w:val="24"/>
          <w:szCs w:val="24"/>
        </w:rPr>
        <w:t>NaI</w:t>
      </w:r>
      <w:proofErr w:type="spellEnd"/>
      <w:r>
        <w:rPr>
          <w:rFonts w:ascii="Times New Roman" w:eastAsia="Times New Roman" w:hAnsi="Times New Roman" w:cs="Times New Roman"/>
          <w:color w:val="000000"/>
          <w:sz w:val="24"/>
          <w:szCs w:val="24"/>
        </w:rPr>
        <w:t xml:space="preserve"> detector used for these materials are-  </w:t>
      </w:r>
    </w:p>
    <w:p w14:paraId="1A5AF7B0" w14:textId="77777777"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333333"/>
          <w:sz w:val="24"/>
          <w:szCs w:val="24"/>
        </w:rPr>
        <w:t>detector size (63mm×63mm), offered an efficiency of &lt;20%, resolution 7% for </w:t>
      </w:r>
      <w:r>
        <w:rPr>
          <w:rFonts w:ascii="Times New Roman" w:eastAsia="Times New Roman" w:hAnsi="Times New Roman" w:cs="Times New Roman"/>
          <w:color w:val="333333"/>
          <w:sz w:val="24"/>
          <w:szCs w:val="24"/>
          <w:vertAlign w:val="superscript"/>
        </w:rPr>
        <w:t>137</w:t>
      </w:r>
      <w:r>
        <w:rPr>
          <w:rFonts w:ascii="Times New Roman" w:eastAsia="Times New Roman" w:hAnsi="Times New Roman" w:cs="Times New Roman"/>
          <w:color w:val="333333"/>
          <w:sz w:val="24"/>
          <w:szCs w:val="24"/>
        </w:rPr>
        <w:t xml:space="preserve">Cs at 661keV </w:t>
      </w:r>
      <w:proofErr w:type="gramStart"/>
      <w:r>
        <w:rPr>
          <w:rFonts w:ascii="Times New Roman" w:eastAsia="Times New Roman" w:hAnsi="Times New Roman" w:cs="Times New Roman"/>
          <w:color w:val="333333"/>
          <w:sz w:val="24"/>
          <w:szCs w:val="24"/>
        </w:rPr>
        <w:t>( 9</w:t>
      </w:r>
      <w:proofErr w:type="gramEnd"/>
      <w:r>
        <w:rPr>
          <w:rFonts w:ascii="Times New Roman" w:eastAsia="Times New Roman" w:hAnsi="Times New Roman" w:cs="Times New Roman"/>
          <w:color w:val="333333"/>
          <w:sz w:val="24"/>
          <w:szCs w:val="24"/>
        </w:rPr>
        <w:t xml:space="preserve">kBq activity), and an Energy detection 50keV – 3MeV. The minimum detectable </w:t>
      </w:r>
      <w:r>
        <w:rPr>
          <w:rFonts w:ascii="Times New Roman" w:eastAsia="Times New Roman" w:hAnsi="Times New Roman" w:cs="Times New Roman"/>
          <w:color w:val="333333"/>
          <w:sz w:val="24"/>
          <w:szCs w:val="24"/>
        </w:rPr>
        <w:t xml:space="preserve">activity </w:t>
      </w:r>
      <w:proofErr w:type="gramStart"/>
      <w:r>
        <w:rPr>
          <w:rFonts w:ascii="Times New Roman" w:eastAsia="Times New Roman" w:hAnsi="Times New Roman" w:cs="Times New Roman"/>
          <w:color w:val="333333"/>
          <w:sz w:val="24"/>
          <w:szCs w:val="24"/>
        </w:rPr>
        <w:t>of  </w:t>
      </w:r>
      <w:r>
        <w:rPr>
          <w:rFonts w:ascii="Times New Roman" w:eastAsia="Times New Roman" w:hAnsi="Times New Roman" w:cs="Times New Roman"/>
          <w:color w:val="333333"/>
          <w:sz w:val="24"/>
          <w:szCs w:val="24"/>
          <w:vertAlign w:val="superscript"/>
        </w:rPr>
        <w:t>226</w:t>
      </w:r>
      <w:proofErr w:type="gramEnd"/>
      <w:r>
        <w:rPr>
          <w:rFonts w:ascii="Times New Roman" w:eastAsia="Times New Roman" w:hAnsi="Times New Roman" w:cs="Times New Roman"/>
          <w:color w:val="333333"/>
          <w:sz w:val="24"/>
          <w:szCs w:val="24"/>
        </w:rPr>
        <w:t>Ra, </w:t>
      </w:r>
      <w:r>
        <w:rPr>
          <w:rFonts w:ascii="Times New Roman" w:eastAsia="Times New Roman" w:hAnsi="Times New Roman" w:cs="Times New Roman"/>
          <w:color w:val="333333"/>
          <w:sz w:val="24"/>
          <w:szCs w:val="24"/>
          <w:vertAlign w:val="superscript"/>
        </w:rPr>
        <w:t>232</w:t>
      </w:r>
      <w:r>
        <w:rPr>
          <w:rFonts w:ascii="Times New Roman" w:eastAsia="Times New Roman" w:hAnsi="Times New Roman" w:cs="Times New Roman"/>
          <w:color w:val="333333"/>
          <w:sz w:val="24"/>
          <w:szCs w:val="24"/>
        </w:rPr>
        <w:t>Th, </w:t>
      </w:r>
      <w:r>
        <w:rPr>
          <w:rFonts w:ascii="Times New Roman" w:eastAsia="Times New Roman" w:hAnsi="Times New Roman" w:cs="Times New Roman"/>
          <w:color w:val="333333"/>
          <w:sz w:val="24"/>
          <w:szCs w:val="24"/>
          <w:vertAlign w:val="superscript"/>
        </w:rPr>
        <w:t>40</w:t>
      </w:r>
      <w:r>
        <w:rPr>
          <w:rFonts w:ascii="Times New Roman" w:eastAsia="Times New Roman" w:hAnsi="Times New Roman" w:cs="Times New Roman"/>
          <w:color w:val="333333"/>
          <w:sz w:val="24"/>
          <w:szCs w:val="24"/>
        </w:rPr>
        <w:t xml:space="preserve">K: 3, 3, 30 Bq/kg  </w:t>
      </w:r>
      <w:r>
        <w:rPr>
          <w:rFonts w:ascii="Times New Roman" w:eastAsia="Times New Roman" w:hAnsi="Times New Roman" w:cs="Times New Roman"/>
          <w:color w:val="333333"/>
          <w:sz w:val="24"/>
          <w:szCs w:val="24"/>
          <w:vertAlign w:val="superscript"/>
        </w:rPr>
        <w:t> </w:t>
      </w:r>
      <w:r>
        <w:rPr>
          <w:rFonts w:ascii="Times New Roman" w:eastAsia="Times New Roman" w:hAnsi="Times New Roman" w:cs="Times New Roman"/>
          <w:color w:val="333333"/>
          <w:sz w:val="24"/>
          <w:szCs w:val="24"/>
        </w:rPr>
        <w:t xml:space="preserve">respectively. Each measurement was performed for 10,800 seconds using S/W SPTR-ATC (AT-1315) spectral analysis software. </w:t>
      </w:r>
    </w:p>
    <w:p w14:paraId="2EDCD0D0" w14:textId="77777777"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SAMPLE PREPARATION </w:t>
      </w:r>
    </w:p>
    <w:p w14:paraId="6843860A" w14:textId="77777777"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Samples of different construction materials- white marble, soapst</w:t>
      </w:r>
      <w:r>
        <w:rPr>
          <w:rFonts w:ascii="Times New Roman" w:eastAsia="Times New Roman" w:hAnsi="Times New Roman" w:cs="Times New Roman"/>
          <w:color w:val="333333"/>
          <w:sz w:val="24"/>
          <w:szCs w:val="24"/>
        </w:rPr>
        <w:t xml:space="preserve">one, brick and lime were collected, ground, powdered, dried and homogenized before measurement. Each sample was then placed in sealed containers for gamma spectrometry analysis. </w:t>
      </w:r>
    </w:p>
    <w:p w14:paraId="017A1C9B" w14:textId="77777777"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Research potential of </w:t>
      </w:r>
      <w:proofErr w:type="spellStart"/>
      <w:r>
        <w:rPr>
          <w:rFonts w:ascii="Times New Roman" w:eastAsia="Times New Roman" w:hAnsi="Times New Roman" w:cs="Times New Roman"/>
          <w:color w:val="333333"/>
          <w:sz w:val="24"/>
          <w:szCs w:val="24"/>
        </w:rPr>
        <w:t>NaI</w:t>
      </w:r>
      <w:proofErr w:type="spellEnd"/>
      <w:r>
        <w:rPr>
          <w:rFonts w:ascii="Times New Roman" w:eastAsia="Times New Roman" w:hAnsi="Times New Roman" w:cs="Times New Roman"/>
          <w:color w:val="333333"/>
          <w:sz w:val="24"/>
          <w:szCs w:val="24"/>
        </w:rPr>
        <w:t xml:space="preserve"> Detector are as follows- </w:t>
      </w:r>
    </w:p>
    <w:p w14:paraId="44A81A29" w14:textId="77777777"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Regulatory Bodies – E</w:t>
      </w:r>
      <w:r>
        <w:rPr>
          <w:rFonts w:ascii="Times New Roman" w:eastAsia="Times New Roman" w:hAnsi="Times New Roman" w:cs="Times New Roman"/>
          <w:color w:val="333333"/>
          <w:sz w:val="24"/>
          <w:szCs w:val="24"/>
        </w:rPr>
        <w:t>valuation of radionuclide concentrations (</w:t>
      </w:r>
      <w:r>
        <w:rPr>
          <w:rFonts w:ascii="Times New Roman" w:eastAsia="Times New Roman" w:hAnsi="Times New Roman" w:cs="Times New Roman"/>
          <w:color w:val="333333"/>
          <w:sz w:val="24"/>
          <w:szCs w:val="24"/>
          <w:vertAlign w:val="superscript"/>
        </w:rPr>
        <w:t>226</w:t>
      </w:r>
      <w:r>
        <w:rPr>
          <w:rFonts w:ascii="Times New Roman" w:eastAsia="Times New Roman" w:hAnsi="Times New Roman" w:cs="Times New Roman"/>
          <w:color w:val="333333"/>
          <w:sz w:val="24"/>
          <w:szCs w:val="24"/>
        </w:rPr>
        <w:t>Ra, </w:t>
      </w:r>
      <w:r>
        <w:rPr>
          <w:rFonts w:ascii="Times New Roman" w:eastAsia="Times New Roman" w:hAnsi="Times New Roman" w:cs="Times New Roman"/>
          <w:color w:val="333333"/>
          <w:sz w:val="24"/>
          <w:szCs w:val="24"/>
          <w:vertAlign w:val="superscript"/>
        </w:rPr>
        <w:t>232</w:t>
      </w:r>
      <w:r>
        <w:rPr>
          <w:rFonts w:ascii="Times New Roman" w:eastAsia="Times New Roman" w:hAnsi="Times New Roman" w:cs="Times New Roman"/>
          <w:color w:val="333333"/>
          <w:sz w:val="24"/>
          <w:szCs w:val="24"/>
        </w:rPr>
        <w:t>Th, </w:t>
      </w:r>
      <w:r>
        <w:rPr>
          <w:rFonts w:ascii="Times New Roman" w:eastAsia="Times New Roman" w:hAnsi="Times New Roman" w:cs="Times New Roman"/>
          <w:color w:val="333333"/>
          <w:sz w:val="24"/>
          <w:szCs w:val="24"/>
          <w:vertAlign w:val="superscript"/>
        </w:rPr>
        <w:t>40</w:t>
      </w:r>
      <w:r>
        <w:rPr>
          <w:rFonts w:ascii="Times New Roman" w:eastAsia="Times New Roman" w:hAnsi="Times New Roman" w:cs="Times New Roman"/>
          <w:color w:val="333333"/>
          <w:sz w:val="24"/>
          <w:szCs w:val="24"/>
        </w:rPr>
        <w:t>K) in soils and corresponding construction material.</w:t>
      </w:r>
    </w:p>
    <w:p w14:paraId="0000650D" w14:textId="77777777" w:rsidR="00042BE4" w:rsidRDefault="000E4256">
      <w:pPr>
        <w:pBdr>
          <w:top w:val="nil"/>
          <w:left w:val="nil"/>
          <w:bottom w:val="nil"/>
          <w:right w:val="nil"/>
          <w:between w:val="nil"/>
        </w:pBdr>
        <w:shd w:val="clear" w:color="auto" w:fill="FFFFFF"/>
        <w:spacing w:after="150" w:line="240" w:lineRule="auto"/>
        <w:ind w:left="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Cement Industry – Assessment of fly ash addition in cement.</w:t>
      </w:r>
    </w:p>
    <w:p w14:paraId="2A314D9C" w14:textId="77777777" w:rsidR="00042BE4" w:rsidRDefault="000E4256">
      <w:pPr>
        <w:pBdr>
          <w:top w:val="nil"/>
          <w:left w:val="nil"/>
          <w:bottom w:val="nil"/>
          <w:right w:val="nil"/>
          <w:between w:val="nil"/>
        </w:pBdr>
        <w:shd w:val="clear" w:color="auto" w:fill="FFFFFF"/>
        <w:spacing w:after="150" w:line="240" w:lineRule="auto"/>
        <w:ind w:left="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 Food Industry – Measurement of natural radionuclides in dry, powdered food prod</w:t>
      </w:r>
      <w:r>
        <w:rPr>
          <w:rFonts w:ascii="Times New Roman" w:eastAsia="Times New Roman" w:hAnsi="Times New Roman" w:cs="Times New Roman"/>
          <w:color w:val="333333"/>
          <w:sz w:val="24"/>
          <w:szCs w:val="24"/>
        </w:rPr>
        <w:t>ucts.</w:t>
      </w:r>
    </w:p>
    <w:p w14:paraId="407B21C1"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dose rates were recorded from detector display and used to calculate activity concentration. </w:t>
      </w:r>
    </w:p>
    <w:p w14:paraId="4ECAC6B3"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Radium Equivalent Dose (Raeq) of background radiation was estimated as</w:t>
      </w:r>
    </w:p>
    <w:p w14:paraId="543595D8" w14:textId="77777777" w:rsidR="00042BE4" w:rsidRDefault="000E4256">
      <w:pPr>
        <w:jc w:val="both"/>
        <w:rPr>
          <w:rFonts w:ascii="Times New Roman" w:eastAsia="Times New Roman" w:hAnsi="Times New Roman" w:cs="Times New Roman"/>
          <w:sz w:val="24"/>
          <w:szCs w:val="24"/>
        </w:rPr>
      </w:pPr>
      <m:oMath>
        <m:r>
          <w:rPr>
            <w:rFonts w:ascii="Cambria Math" w:eastAsia="Cambria Math" w:hAnsi="Cambria Math" w:cs="Cambria Math"/>
            <w:sz w:val="24"/>
            <w:szCs w:val="24"/>
          </w:rPr>
          <m:t>Raeq</m:t>
        </m:r>
        <m:r>
          <w:rPr>
            <w:rFonts w:ascii="Cambria Math" w:eastAsia="Cambria Math" w:hAnsi="Cambria Math" w:cs="Cambria Math"/>
            <w:sz w:val="24"/>
            <w:szCs w:val="24"/>
          </w:rPr>
          <m:t>=0.077</m:t>
        </m:r>
        <m:r>
          <w:rPr>
            <w:rFonts w:ascii="Cambria Math" w:eastAsia="Cambria Math" w:hAnsi="Cambria Math" w:cs="Cambria Math"/>
            <w:sz w:val="24"/>
            <w:szCs w:val="24"/>
          </w:rPr>
          <m:t>Ak</m:t>
        </m:r>
        <m:r>
          <w:rPr>
            <w:rFonts w:ascii="Cambria Math" w:eastAsia="Cambria Math" w:hAnsi="Cambria Math" w:cs="Cambria Math"/>
            <w:sz w:val="24"/>
            <w:szCs w:val="24"/>
          </w:rPr>
          <m:t>+</m:t>
        </m:r>
        <m:r>
          <w:rPr>
            <w:rFonts w:ascii="Cambria Math" w:eastAsia="Cambria Math" w:hAnsi="Cambria Math" w:cs="Cambria Math"/>
            <w:sz w:val="24"/>
            <w:szCs w:val="24"/>
          </w:rPr>
          <m:t>ARa</m:t>
        </m:r>
        <m:r>
          <w:rPr>
            <w:rFonts w:ascii="Cambria Math" w:eastAsia="Cambria Math" w:hAnsi="Cambria Math" w:cs="Cambria Math"/>
            <w:sz w:val="24"/>
            <w:szCs w:val="24"/>
          </w:rPr>
          <m:t>+1.43</m:t>
        </m:r>
        <m:r>
          <w:rPr>
            <w:rFonts w:ascii="Cambria Math" w:eastAsia="Cambria Math" w:hAnsi="Cambria Math" w:cs="Cambria Math"/>
            <w:sz w:val="24"/>
            <w:szCs w:val="24"/>
          </w:rPr>
          <m:t>AT</m:t>
        </m:r>
        <m:r>
          <w:rPr>
            <w:rFonts w:ascii="Times New Roman" w:eastAsia="Times New Roman" w:hAnsi="Times New Roman" w:cs="Times New Roman"/>
            <w:sz w:val="24"/>
            <w:szCs w:val="24"/>
          </w:rPr>
          <m:t>h</m:t>
        </m:r>
      </m:oMath>
      <w:r>
        <w:rPr>
          <w:rFonts w:ascii="Times New Roman" w:eastAsia="Times New Roman" w:hAnsi="Times New Roman" w:cs="Times New Roman"/>
          <w:sz w:val="24"/>
          <w:szCs w:val="24"/>
        </w:rPr>
        <w:t xml:space="preserve">  (Bq/kg)</w:t>
      </w:r>
    </w:p>
    <w:p w14:paraId="26C270F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Absorbed Dose Rate (AD</w:t>
      </w:r>
      <w:r>
        <w:rPr>
          <w:rFonts w:ascii="Times New Roman" w:eastAsia="Times New Roman" w:hAnsi="Times New Roman" w:cs="Times New Roman"/>
          <w:sz w:val="24"/>
          <w:szCs w:val="24"/>
        </w:rPr>
        <w:t>R) was estimated as</w:t>
      </w:r>
    </w:p>
    <w:p w14:paraId="0C755482"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 = 0.0417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0.462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+ 0.604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w:t>
      </w:r>
    </w:p>
    <w:p w14:paraId="0C37B45B"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Here, Ra</w:t>
      </w:r>
      <w:r>
        <w:rPr>
          <w:rFonts w:ascii="Times New Roman" w:eastAsia="Times New Roman" w:hAnsi="Times New Roman" w:cs="Times New Roman"/>
          <w:sz w:val="24"/>
          <w:szCs w:val="24"/>
          <w:vertAlign w:val="subscript"/>
        </w:rPr>
        <w:t>eq</w:t>
      </w:r>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Bq/kg) is expression of the specific activities of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by a single quantity ,which  takes into account the radiation hazards associated with radon and its progeny. The ADR is total Absorbed Dose Rate calculations are expressed in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per 1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kg ,</w:t>
      </w:r>
      <w:proofErr w:type="gram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is </w:t>
      </w:r>
    </w:p>
    <w:p w14:paraId="500EB237"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activity </w:t>
      </w:r>
      <w:proofErr w:type="gramStart"/>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vertAlign w:val="superscript"/>
        </w:rPr>
        <w:t xml:space="preserve"> 40</w:t>
      </w:r>
      <w:proofErr w:type="gramEnd"/>
      <w:r>
        <w:rPr>
          <w:rFonts w:ascii="Times New Roman" w:eastAsia="Times New Roman" w:hAnsi="Times New Roman" w:cs="Times New Roman"/>
          <w:sz w:val="24"/>
          <w:szCs w:val="24"/>
        </w:rPr>
        <w:t xml:space="preserve">K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w:t>
      </w:r>
      <w:r>
        <w:rPr>
          <w:rFonts w:ascii="Times New Roman" w:eastAsia="Times New Roman" w:hAnsi="Times New Roman" w:cs="Times New Roman"/>
          <w:sz w:val="24"/>
          <w:szCs w:val="24"/>
        </w:rPr>
        <w:t xml:space="preserve">asured as the number of spontaneous nuclear transformations of the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radionuclide per sec. 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radionuclide per sec.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radionuclide per sec.</w:t>
      </w:r>
    </w:p>
    <w:p w14:paraId="5ED7D9CC"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Effective dose (AED) was estimated by using the formula </w:t>
      </w:r>
    </w:p>
    <w:p w14:paraId="19CB3D94"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AED (mSv/y) = ADR×8760×10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.2×0.7 (svGy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14:paraId="250621C5" w14:textId="6B510E0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effective dose equivalent is used to estimate the health risk associated with exposure of an individual. To calculate the AED the conversion factor (0.7) and occupancy factor has been used to convert absorbed dose rate to h</w:t>
      </w:r>
      <w:r>
        <w:rPr>
          <w:rFonts w:ascii="Times New Roman" w:eastAsia="Times New Roman" w:hAnsi="Times New Roman" w:cs="Times New Roman"/>
          <w:sz w:val="24"/>
          <w:szCs w:val="24"/>
        </w:rPr>
        <w:t>uman effective dose equivalent with an occupancy of 20 %. The calculated Radium Equivalent Dose (Raeq</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total Absorbed Dose Rate (ADR), and annual effective dose rate for all the samples (both historic places) are given in table 2 ,3 with their mean value</w:t>
      </w:r>
      <w:r>
        <w:rPr>
          <w:rFonts w:ascii="Times New Roman" w:eastAsia="Times New Roman" w:hAnsi="Times New Roman" w:cs="Times New Roman"/>
          <w:sz w:val="24"/>
          <w:szCs w:val="24"/>
        </w:rPr>
        <w:t xml:space="preserve">s. </w:t>
      </w:r>
      <w:r>
        <w:rPr>
          <w:rFonts w:ascii="Times New Roman" w:eastAsia="Times New Roman" w:hAnsi="Times New Roman" w:cs="Times New Roman"/>
          <w:b/>
          <w:sz w:val="24"/>
          <w:szCs w:val="24"/>
        </w:rPr>
        <w:t>The world average value of ADR is 84nGy/h and the world average value of AED is 0.52mSv/y</w:t>
      </w:r>
      <w:r>
        <w:rPr>
          <w:rFonts w:ascii="Times New Roman" w:eastAsia="Times New Roman" w:hAnsi="Times New Roman" w:cs="Times New Roman"/>
          <w:sz w:val="24"/>
          <w:szCs w:val="24"/>
        </w:rPr>
        <w:t>. The International Commission on Radiological Protection (ICRP) has recommended the annual effective dose equivalent limit of 1 mSv/yr for the individual members o</w:t>
      </w:r>
      <w:r>
        <w:rPr>
          <w:rFonts w:ascii="Times New Roman" w:eastAsia="Times New Roman" w:hAnsi="Times New Roman" w:cs="Times New Roman"/>
          <w:sz w:val="24"/>
          <w:szCs w:val="24"/>
        </w:rPr>
        <w:t>f the public and 20 mSv/yr for radiation workers [International Commission on Radiological Protection (ICRP</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1993].</w:t>
      </w:r>
    </w:p>
    <w:p w14:paraId="774A5595" w14:textId="77777777" w:rsidR="00042BE4" w:rsidRDefault="00042BE4">
      <w:pPr>
        <w:jc w:val="both"/>
        <w:rPr>
          <w:rFonts w:ascii="Times New Roman" w:eastAsia="Times New Roman" w:hAnsi="Times New Roman" w:cs="Times New Roman"/>
          <w:sz w:val="24"/>
          <w:szCs w:val="24"/>
        </w:rPr>
      </w:pPr>
    </w:p>
    <w:tbl>
      <w:tblPr>
        <w:tblStyle w:val="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150"/>
        <w:gridCol w:w="2250"/>
        <w:gridCol w:w="2430"/>
      </w:tblGrid>
      <w:tr w:rsidR="00042BE4" w14:paraId="54F8D2E4" w14:textId="77777777">
        <w:trPr>
          <w:trHeight w:val="446"/>
        </w:trPr>
        <w:tc>
          <w:tcPr>
            <w:tcW w:w="1440" w:type="dxa"/>
          </w:tcPr>
          <w:p w14:paraId="79C23F38" w14:textId="77777777"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Sr.no</w:t>
            </w:r>
          </w:p>
        </w:tc>
        <w:tc>
          <w:tcPr>
            <w:tcW w:w="3150" w:type="dxa"/>
          </w:tcPr>
          <w:p w14:paraId="2C003E8E" w14:textId="77777777"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Name of sample</w:t>
            </w:r>
          </w:p>
        </w:tc>
        <w:tc>
          <w:tcPr>
            <w:tcW w:w="2250" w:type="dxa"/>
          </w:tcPr>
          <w:p w14:paraId="206CA721" w14:textId="77777777"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Types of sample</w:t>
            </w:r>
          </w:p>
        </w:tc>
        <w:tc>
          <w:tcPr>
            <w:tcW w:w="2430" w:type="dxa"/>
          </w:tcPr>
          <w:p w14:paraId="035452CA" w14:textId="77777777" w:rsidR="00042BE4" w:rsidRDefault="000E4256">
            <w:pPr>
              <w:spacing w:after="0"/>
              <w:jc w:val="center"/>
              <w:rPr>
                <w:rFonts w:ascii="Times New Roman" w:eastAsia="Times New Roman" w:hAnsi="Times New Roman" w:cs="Times New Roman"/>
                <w:color w:val="366091"/>
                <w:sz w:val="24"/>
                <w:szCs w:val="24"/>
              </w:rPr>
            </w:pPr>
            <w:proofErr w:type="gramStart"/>
            <w:r>
              <w:rPr>
                <w:rFonts w:ascii="Times New Roman" w:eastAsia="Times New Roman" w:hAnsi="Times New Roman" w:cs="Times New Roman"/>
                <w:color w:val="366091"/>
                <w:sz w:val="24"/>
                <w:szCs w:val="24"/>
              </w:rPr>
              <w:t>Initialization  of</w:t>
            </w:r>
            <w:proofErr w:type="gramEnd"/>
            <w:r>
              <w:rPr>
                <w:rFonts w:ascii="Times New Roman" w:eastAsia="Times New Roman" w:hAnsi="Times New Roman" w:cs="Times New Roman"/>
                <w:color w:val="366091"/>
                <w:sz w:val="24"/>
                <w:szCs w:val="24"/>
              </w:rPr>
              <w:t xml:space="preserve"> samples</w:t>
            </w:r>
          </w:p>
        </w:tc>
      </w:tr>
      <w:tr w:rsidR="00042BE4" w14:paraId="7E4A06E7" w14:textId="77777777">
        <w:trPr>
          <w:trHeight w:val="422"/>
        </w:trPr>
        <w:tc>
          <w:tcPr>
            <w:tcW w:w="1440" w:type="dxa"/>
          </w:tcPr>
          <w:p w14:paraId="68BF67EB"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1</w:t>
            </w:r>
          </w:p>
        </w:tc>
        <w:tc>
          <w:tcPr>
            <w:tcW w:w="3150" w:type="dxa"/>
          </w:tcPr>
          <w:p w14:paraId="12029337"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-1</w:t>
            </w:r>
          </w:p>
        </w:tc>
        <w:tc>
          <w:tcPr>
            <w:tcW w:w="2250" w:type="dxa"/>
          </w:tcPr>
          <w:p w14:paraId="07D66D97"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White Marble</w:t>
            </w:r>
          </w:p>
        </w:tc>
        <w:tc>
          <w:tcPr>
            <w:tcW w:w="2430" w:type="dxa"/>
          </w:tcPr>
          <w:p w14:paraId="4836EDB5"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JMN-1</w:t>
            </w:r>
          </w:p>
        </w:tc>
      </w:tr>
      <w:tr w:rsidR="00042BE4" w14:paraId="3F75109D" w14:textId="77777777">
        <w:trPr>
          <w:trHeight w:val="422"/>
        </w:trPr>
        <w:tc>
          <w:tcPr>
            <w:tcW w:w="1440" w:type="dxa"/>
          </w:tcPr>
          <w:p w14:paraId="78F7B710"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2</w:t>
            </w:r>
          </w:p>
        </w:tc>
        <w:tc>
          <w:tcPr>
            <w:tcW w:w="3150" w:type="dxa"/>
          </w:tcPr>
          <w:p w14:paraId="5236D76C"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-2</w:t>
            </w:r>
          </w:p>
        </w:tc>
        <w:tc>
          <w:tcPr>
            <w:tcW w:w="2250" w:type="dxa"/>
          </w:tcPr>
          <w:p w14:paraId="1CF338C2"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Soap Stone</w:t>
            </w:r>
          </w:p>
        </w:tc>
        <w:tc>
          <w:tcPr>
            <w:tcW w:w="2430" w:type="dxa"/>
          </w:tcPr>
          <w:p w14:paraId="39D51AE2"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JMN-2</w:t>
            </w:r>
          </w:p>
        </w:tc>
      </w:tr>
      <w:tr w:rsidR="00042BE4" w14:paraId="436A6EBE" w14:textId="77777777">
        <w:trPr>
          <w:trHeight w:val="446"/>
        </w:trPr>
        <w:tc>
          <w:tcPr>
            <w:tcW w:w="1440" w:type="dxa"/>
          </w:tcPr>
          <w:p w14:paraId="090B3FF0"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3</w:t>
            </w:r>
          </w:p>
        </w:tc>
        <w:tc>
          <w:tcPr>
            <w:tcW w:w="3150" w:type="dxa"/>
          </w:tcPr>
          <w:p w14:paraId="0FA0990E"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-3</w:t>
            </w:r>
          </w:p>
        </w:tc>
        <w:tc>
          <w:tcPr>
            <w:tcW w:w="2250" w:type="dxa"/>
          </w:tcPr>
          <w:p w14:paraId="1F1C70C6"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Brick</w:t>
            </w:r>
          </w:p>
        </w:tc>
        <w:tc>
          <w:tcPr>
            <w:tcW w:w="2430" w:type="dxa"/>
          </w:tcPr>
          <w:p w14:paraId="211F28BC"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JMN-3</w:t>
            </w:r>
          </w:p>
        </w:tc>
      </w:tr>
      <w:tr w:rsidR="00042BE4" w14:paraId="06CDBD9D" w14:textId="77777777">
        <w:trPr>
          <w:trHeight w:val="446"/>
        </w:trPr>
        <w:tc>
          <w:tcPr>
            <w:tcW w:w="1440" w:type="dxa"/>
          </w:tcPr>
          <w:p w14:paraId="65273C93"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4</w:t>
            </w:r>
          </w:p>
        </w:tc>
        <w:tc>
          <w:tcPr>
            <w:tcW w:w="3150" w:type="dxa"/>
          </w:tcPr>
          <w:p w14:paraId="2D4BAD2B"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-4</w:t>
            </w:r>
          </w:p>
        </w:tc>
        <w:tc>
          <w:tcPr>
            <w:tcW w:w="2250" w:type="dxa"/>
          </w:tcPr>
          <w:p w14:paraId="4B3F1553"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Lime</w:t>
            </w:r>
          </w:p>
        </w:tc>
        <w:tc>
          <w:tcPr>
            <w:tcW w:w="2430" w:type="dxa"/>
          </w:tcPr>
          <w:p w14:paraId="4E21EEAA"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JMN-4</w:t>
            </w:r>
          </w:p>
        </w:tc>
      </w:tr>
      <w:tr w:rsidR="00042BE4" w14:paraId="6900229E" w14:textId="77777777">
        <w:trPr>
          <w:trHeight w:val="446"/>
        </w:trPr>
        <w:tc>
          <w:tcPr>
            <w:tcW w:w="1440" w:type="dxa"/>
          </w:tcPr>
          <w:p w14:paraId="1DEFD8F3"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5</w:t>
            </w:r>
          </w:p>
        </w:tc>
        <w:tc>
          <w:tcPr>
            <w:tcW w:w="3150" w:type="dxa"/>
          </w:tcPr>
          <w:p w14:paraId="15629C80"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Chor Ghumbad-5</w:t>
            </w:r>
          </w:p>
        </w:tc>
        <w:tc>
          <w:tcPr>
            <w:tcW w:w="2250" w:type="dxa"/>
          </w:tcPr>
          <w:p w14:paraId="031A9326"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Lime</w:t>
            </w:r>
          </w:p>
        </w:tc>
        <w:tc>
          <w:tcPr>
            <w:tcW w:w="2430" w:type="dxa"/>
          </w:tcPr>
          <w:p w14:paraId="2D8BD892"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CGN-5</w:t>
            </w:r>
          </w:p>
        </w:tc>
      </w:tr>
      <w:tr w:rsidR="00042BE4" w14:paraId="0209DAF8" w14:textId="77777777">
        <w:trPr>
          <w:trHeight w:val="446"/>
        </w:trPr>
        <w:tc>
          <w:tcPr>
            <w:tcW w:w="1440" w:type="dxa"/>
          </w:tcPr>
          <w:p w14:paraId="453D067A"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6</w:t>
            </w:r>
          </w:p>
        </w:tc>
        <w:tc>
          <w:tcPr>
            <w:tcW w:w="3150" w:type="dxa"/>
          </w:tcPr>
          <w:p w14:paraId="512E528E"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Chor Ghumbad-6</w:t>
            </w:r>
          </w:p>
        </w:tc>
        <w:tc>
          <w:tcPr>
            <w:tcW w:w="2250" w:type="dxa"/>
          </w:tcPr>
          <w:p w14:paraId="7922026D"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White stone</w:t>
            </w:r>
          </w:p>
        </w:tc>
        <w:tc>
          <w:tcPr>
            <w:tcW w:w="2430" w:type="dxa"/>
          </w:tcPr>
          <w:p w14:paraId="28C3FE91"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CGN-6</w:t>
            </w:r>
          </w:p>
        </w:tc>
      </w:tr>
      <w:tr w:rsidR="00042BE4" w14:paraId="7782BF14" w14:textId="77777777">
        <w:trPr>
          <w:trHeight w:val="460"/>
        </w:trPr>
        <w:tc>
          <w:tcPr>
            <w:tcW w:w="1440" w:type="dxa"/>
          </w:tcPr>
          <w:p w14:paraId="4F220AD9"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7</w:t>
            </w:r>
          </w:p>
        </w:tc>
        <w:tc>
          <w:tcPr>
            <w:tcW w:w="3150" w:type="dxa"/>
          </w:tcPr>
          <w:p w14:paraId="68070DDC"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Chor Ghumbad-7</w:t>
            </w:r>
          </w:p>
        </w:tc>
        <w:tc>
          <w:tcPr>
            <w:tcW w:w="2250" w:type="dxa"/>
          </w:tcPr>
          <w:p w14:paraId="71AB9865"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Brick</w:t>
            </w:r>
          </w:p>
        </w:tc>
        <w:tc>
          <w:tcPr>
            <w:tcW w:w="2430" w:type="dxa"/>
          </w:tcPr>
          <w:p w14:paraId="5F0254F9" w14:textId="77777777"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CGN-7</w:t>
            </w:r>
          </w:p>
        </w:tc>
      </w:tr>
    </w:tbl>
    <w:p w14:paraId="6DE94E4F"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6E2A35"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Introduction of Types of Samples. </w:t>
      </w:r>
      <w:r>
        <w:br w:type="page"/>
      </w:r>
    </w:p>
    <w:p w14:paraId="5F55F052" w14:textId="77777777" w:rsidR="00042BE4" w:rsidRDefault="00042BE4">
      <w:pPr>
        <w:rPr>
          <w:rFonts w:ascii="Times New Roman" w:eastAsia="Times New Roman" w:hAnsi="Times New Roman" w:cs="Times New Roman"/>
          <w:sz w:val="24"/>
          <w:szCs w:val="24"/>
        </w:rPr>
      </w:pPr>
    </w:p>
    <w:tbl>
      <w:tblPr>
        <w:tblStyle w:val="a0"/>
        <w:tblpPr w:leftFromText="180" w:rightFromText="180" w:vertAnchor="page" w:horzAnchor="page" w:tblpX="1483" w:tblpY="843"/>
        <w:tblW w:w="95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1008"/>
        <w:gridCol w:w="1620"/>
        <w:gridCol w:w="1350"/>
        <w:gridCol w:w="1710"/>
        <w:gridCol w:w="1440"/>
        <w:gridCol w:w="1440"/>
      </w:tblGrid>
      <w:tr w:rsidR="00042BE4" w14:paraId="309AD10F" w14:textId="77777777">
        <w:trPr>
          <w:trHeight w:val="1055"/>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7EF1550C"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1008" w:type="dxa"/>
            <w:tcBorders>
              <w:top w:val="single" w:sz="4" w:space="0" w:color="000000"/>
              <w:left w:val="single" w:sz="4" w:space="0" w:color="000000"/>
              <w:bottom w:val="single" w:sz="4" w:space="0" w:color="000000"/>
              <w:right w:val="nil"/>
            </w:tcBorders>
            <w:shd w:val="clear" w:color="auto" w:fill="C2D69B"/>
          </w:tcPr>
          <w:p w14:paraId="0B58B6B5" w14:textId="77777777" w:rsidR="00042BE4" w:rsidRDefault="00042BE4">
            <w:pPr>
              <w:spacing w:after="0" w:line="240" w:lineRule="auto"/>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shd w:val="clear" w:color="auto" w:fill="C2D69B"/>
          </w:tcPr>
          <w:p w14:paraId="6565EF48"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Concentration (Bq/</w:t>
            </w:r>
            <w:proofErr w:type="gramStart"/>
            <w:r>
              <w:rPr>
                <w:rFonts w:ascii="Times New Roman" w:eastAsia="Times New Roman" w:hAnsi="Times New Roman" w:cs="Times New Roman"/>
                <w:sz w:val="24"/>
                <w:szCs w:val="24"/>
              </w:rPr>
              <w:t xml:space="preserve">Kg)   </w:t>
            </w:r>
            <w:proofErr w:type="gramEnd"/>
            <w:r>
              <w:rPr>
                <w:rFonts w:ascii="Times New Roman" w:eastAsia="Times New Roman" w:hAnsi="Times New Roman" w:cs="Times New Roman"/>
                <w:sz w:val="24"/>
                <w:szCs w:val="24"/>
              </w:rPr>
              <w:t xml:space="preserve"> </w:t>
            </w:r>
          </w:p>
        </w:tc>
        <w:tc>
          <w:tcPr>
            <w:tcW w:w="1350" w:type="dxa"/>
            <w:tcBorders>
              <w:top w:val="single" w:sz="4" w:space="0" w:color="000000"/>
              <w:left w:val="nil"/>
              <w:bottom w:val="single" w:sz="4" w:space="0" w:color="000000"/>
              <w:right w:val="single" w:sz="4" w:space="0" w:color="000000"/>
            </w:tcBorders>
            <w:shd w:val="clear" w:color="auto" w:fill="C2D69B"/>
          </w:tcPr>
          <w:p w14:paraId="12997979" w14:textId="77777777" w:rsidR="00042BE4" w:rsidRDefault="00042BE4">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BFBFBF"/>
              <w:right w:val="single" w:sz="4" w:space="0" w:color="000000"/>
            </w:tcBorders>
            <w:shd w:val="clear" w:color="auto" w:fill="C2D69B"/>
          </w:tcPr>
          <w:p w14:paraId="24D5C20B"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Radium equivalent activity (</w:t>
            </w:r>
            <w:proofErr w:type="spellStart"/>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eq</w:t>
            </w:r>
            <w:proofErr w:type="spellEnd"/>
            <w:r>
              <w:rPr>
                <w:rFonts w:ascii="Times New Roman" w:eastAsia="Times New Roman" w:hAnsi="Times New Roman" w:cs="Times New Roman"/>
                <w:sz w:val="24"/>
                <w:szCs w:val="24"/>
              </w:rPr>
              <w:t>)</w:t>
            </w:r>
          </w:p>
        </w:tc>
        <w:tc>
          <w:tcPr>
            <w:tcW w:w="1440" w:type="dxa"/>
            <w:tcBorders>
              <w:top w:val="single" w:sz="4" w:space="0" w:color="000000"/>
              <w:left w:val="single" w:sz="4" w:space="0" w:color="000000"/>
              <w:bottom w:val="single" w:sz="4" w:space="0" w:color="BFBFBF"/>
              <w:right w:val="single" w:sz="4" w:space="0" w:color="000000"/>
            </w:tcBorders>
            <w:shd w:val="clear" w:color="auto" w:fill="C2D69B"/>
          </w:tcPr>
          <w:p w14:paraId="3781E47B"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Absorbed Dose Rate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ADR)</w:t>
            </w:r>
          </w:p>
        </w:tc>
        <w:tc>
          <w:tcPr>
            <w:tcW w:w="1440" w:type="dxa"/>
            <w:tcBorders>
              <w:top w:val="single" w:sz="4" w:space="0" w:color="000000"/>
              <w:left w:val="single" w:sz="4" w:space="0" w:color="000000"/>
              <w:right w:val="single" w:sz="4" w:space="0" w:color="000000"/>
            </w:tcBorders>
            <w:shd w:val="clear" w:color="auto" w:fill="C2D69B"/>
          </w:tcPr>
          <w:p w14:paraId="0D271D46" w14:textId="77777777" w:rsidR="00042BE4" w:rsidRDefault="000E4256">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p>
        </w:tc>
      </w:tr>
      <w:tr w:rsidR="00042BE4" w14:paraId="278F9FA2"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3E5302FE"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C2D69B"/>
          </w:tcPr>
          <w:p w14:paraId="11A69C40"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w:t>
            </w:r>
          </w:p>
        </w:tc>
        <w:tc>
          <w:tcPr>
            <w:tcW w:w="1620" w:type="dxa"/>
            <w:tcBorders>
              <w:top w:val="single" w:sz="4" w:space="0" w:color="000000"/>
              <w:left w:val="single" w:sz="4" w:space="0" w:color="000000"/>
              <w:bottom w:val="single" w:sz="4" w:space="0" w:color="000000"/>
              <w:right w:val="single" w:sz="4" w:space="0" w:color="000000"/>
            </w:tcBorders>
            <w:shd w:val="clear" w:color="auto" w:fill="C2D69B"/>
          </w:tcPr>
          <w:p w14:paraId="3FC4EBC9" w14:textId="77777777" w:rsidR="00042BE4" w:rsidRDefault="000E4256">
            <w:pPr>
              <w:spacing w:after="0" w:line="240"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        Th</w:t>
            </w:r>
          </w:p>
        </w:tc>
        <w:tc>
          <w:tcPr>
            <w:tcW w:w="1350" w:type="dxa"/>
            <w:tcBorders>
              <w:top w:val="single" w:sz="4" w:space="0" w:color="000000"/>
              <w:left w:val="single" w:sz="4" w:space="0" w:color="000000"/>
              <w:bottom w:val="single" w:sz="4" w:space="0" w:color="000000"/>
              <w:right w:val="single" w:sz="4" w:space="0" w:color="000000"/>
            </w:tcBorders>
            <w:shd w:val="clear" w:color="auto" w:fill="C2D69B"/>
          </w:tcPr>
          <w:p w14:paraId="00966221"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p>
        </w:tc>
        <w:tc>
          <w:tcPr>
            <w:tcW w:w="4590" w:type="dxa"/>
            <w:gridSpan w:val="3"/>
            <w:tcBorders>
              <w:left w:val="single" w:sz="4" w:space="0" w:color="000000"/>
              <w:bottom w:val="single" w:sz="4" w:space="0" w:color="000000"/>
              <w:right w:val="single" w:sz="4" w:space="0" w:color="000000"/>
            </w:tcBorders>
            <w:shd w:val="clear" w:color="auto" w:fill="C2D69B"/>
          </w:tcPr>
          <w:p w14:paraId="243F32E1" w14:textId="77777777" w:rsidR="00042BE4" w:rsidRDefault="00042BE4">
            <w:pPr>
              <w:spacing w:after="0" w:line="240" w:lineRule="auto"/>
              <w:rPr>
                <w:rFonts w:ascii="Times New Roman" w:eastAsia="Times New Roman" w:hAnsi="Times New Roman" w:cs="Times New Roman"/>
                <w:sz w:val="24"/>
                <w:szCs w:val="24"/>
              </w:rPr>
            </w:pPr>
          </w:p>
        </w:tc>
      </w:tr>
      <w:tr w:rsidR="00042BE4" w14:paraId="330DABF0"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4BEBCA2D"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right w:val="single" w:sz="4" w:space="0" w:color="000000"/>
            </w:tcBorders>
            <w:shd w:val="clear" w:color="auto" w:fill="C2D69B"/>
          </w:tcPr>
          <w:p w14:paraId="2FB80B02"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20" w:type="dxa"/>
            <w:tcBorders>
              <w:top w:val="single" w:sz="4" w:space="0" w:color="000000"/>
              <w:left w:val="single" w:sz="4" w:space="0" w:color="000000"/>
              <w:right w:val="single" w:sz="4" w:space="0" w:color="000000"/>
            </w:tcBorders>
            <w:shd w:val="clear" w:color="auto" w:fill="C2D69B"/>
          </w:tcPr>
          <w:p w14:paraId="428B280A"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50" w:type="dxa"/>
            <w:tcBorders>
              <w:top w:val="single" w:sz="4" w:space="0" w:color="000000"/>
              <w:left w:val="single" w:sz="4" w:space="0" w:color="000000"/>
              <w:right w:val="single" w:sz="4" w:space="0" w:color="000000"/>
            </w:tcBorders>
            <w:shd w:val="clear" w:color="auto" w:fill="C2D69B"/>
          </w:tcPr>
          <w:p w14:paraId="6F8BD91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710" w:type="dxa"/>
            <w:tcBorders>
              <w:top w:val="single" w:sz="4" w:space="0" w:color="000000"/>
              <w:left w:val="single" w:sz="4" w:space="0" w:color="000000"/>
              <w:right w:val="single" w:sz="4" w:space="0" w:color="000000"/>
            </w:tcBorders>
            <w:shd w:val="clear" w:color="auto" w:fill="C2D69B"/>
          </w:tcPr>
          <w:p w14:paraId="6313BF1D"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80.055</w:t>
            </w:r>
          </w:p>
        </w:tc>
        <w:tc>
          <w:tcPr>
            <w:tcW w:w="1440" w:type="dxa"/>
            <w:tcBorders>
              <w:top w:val="single" w:sz="4" w:space="0" w:color="000000"/>
              <w:left w:val="single" w:sz="4" w:space="0" w:color="000000"/>
              <w:right w:val="single" w:sz="4" w:space="0" w:color="000000"/>
            </w:tcBorders>
            <w:shd w:val="clear" w:color="auto" w:fill="C2D69B"/>
          </w:tcPr>
          <w:p w14:paraId="07979647"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37.7865</w:t>
            </w:r>
          </w:p>
        </w:tc>
        <w:tc>
          <w:tcPr>
            <w:tcW w:w="1440" w:type="dxa"/>
            <w:tcBorders>
              <w:top w:val="single" w:sz="4" w:space="0" w:color="000000"/>
              <w:left w:val="single" w:sz="4" w:space="0" w:color="000000"/>
              <w:right w:val="single" w:sz="4" w:space="0" w:color="000000"/>
            </w:tcBorders>
            <w:shd w:val="clear" w:color="auto" w:fill="C2D69B"/>
          </w:tcPr>
          <w:p w14:paraId="5D6CD3FE"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46341.3636</w:t>
            </w:r>
          </w:p>
        </w:tc>
      </w:tr>
      <w:tr w:rsidR="00042BE4" w14:paraId="3DFAF059" w14:textId="77777777">
        <w:trPr>
          <w:trHeight w:val="290"/>
        </w:trPr>
        <w:tc>
          <w:tcPr>
            <w:tcW w:w="990" w:type="dxa"/>
            <w:tcBorders>
              <w:top w:val="nil"/>
              <w:left w:val="single" w:sz="4" w:space="0" w:color="000000"/>
              <w:bottom w:val="single" w:sz="4" w:space="0" w:color="000000"/>
              <w:right w:val="single" w:sz="4" w:space="0" w:color="000000"/>
            </w:tcBorders>
            <w:shd w:val="clear" w:color="auto" w:fill="C2D69B"/>
          </w:tcPr>
          <w:p w14:paraId="2E89E8E9"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JMN-1</w:t>
            </w:r>
          </w:p>
        </w:tc>
        <w:tc>
          <w:tcPr>
            <w:tcW w:w="1008" w:type="dxa"/>
            <w:tcBorders>
              <w:left w:val="single" w:sz="4" w:space="0" w:color="000000"/>
              <w:right w:val="single" w:sz="4" w:space="0" w:color="000000"/>
            </w:tcBorders>
            <w:shd w:val="clear" w:color="auto" w:fill="C2D69B"/>
          </w:tcPr>
          <w:p w14:paraId="7BB8FA7F"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20" w:type="dxa"/>
            <w:tcBorders>
              <w:left w:val="single" w:sz="4" w:space="0" w:color="000000"/>
              <w:right w:val="single" w:sz="4" w:space="0" w:color="000000"/>
            </w:tcBorders>
            <w:shd w:val="clear" w:color="auto" w:fill="C2D69B"/>
          </w:tcPr>
          <w:p w14:paraId="026EE1C3"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50" w:type="dxa"/>
            <w:tcBorders>
              <w:left w:val="single" w:sz="4" w:space="0" w:color="000000"/>
              <w:right w:val="single" w:sz="4" w:space="0" w:color="000000"/>
            </w:tcBorders>
            <w:shd w:val="clear" w:color="auto" w:fill="C2D69B"/>
          </w:tcPr>
          <w:p w14:paraId="72D7A09F"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1710" w:type="dxa"/>
            <w:tcBorders>
              <w:left w:val="single" w:sz="4" w:space="0" w:color="000000"/>
              <w:right w:val="single" w:sz="4" w:space="0" w:color="000000"/>
            </w:tcBorders>
            <w:shd w:val="clear" w:color="auto" w:fill="C2D69B"/>
          </w:tcPr>
          <w:p w14:paraId="5539E91A"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87.653</w:t>
            </w:r>
          </w:p>
        </w:tc>
        <w:tc>
          <w:tcPr>
            <w:tcW w:w="1440" w:type="dxa"/>
            <w:tcBorders>
              <w:left w:val="single" w:sz="4" w:space="0" w:color="000000"/>
              <w:right w:val="single" w:sz="4" w:space="0" w:color="000000"/>
            </w:tcBorders>
            <w:shd w:val="clear" w:color="auto" w:fill="C2D69B"/>
          </w:tcPr>
          <w:p w14:paraId="29B0663C"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41.1513</w:t>
            </w:r>
          </w:p>
        </w:tc>
        <w:tc>
          <w:tcPr>
            <w:tcW w:w="1440" w:type="dxa"/>
            <w:tcBorders>
              <w:left w:val="single" w:sz="4" w:space="0" w:color="000000"/>
              <w:right w:val="single" w:sz="4" w:space="0" w:color="000000"/>
            </w:tcBorders>
            <w:shd w:val="clear" w:color="auto" w:fill="C2D69B"/>
          </w:tcPr>
          <w:p w14:paraId="6F4ED2D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50467.9543</w:t>
            </w:r>
          </w:p>
        </w:tc>
      </w:tr>
      <w:tr w:rsidR="00042BE4" w14:paraId="65CC6EEF"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5EE35E5F"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14:paraId="53A84CC2"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20" w:type="dxa"/>
            <w:tcBorders>
              <w:left w:val="single" w:sz="4" w:space="0" w:color="000000"/>
              <w:bottom w:val="single" w:sz="4" w:space="0" w:color="000000"/>
              <w:right w:val="single" w:sz="4" w:space="0" w:color="000000"/>
            </w:tcBorders>
            <w:shd w:val="clear" w:color="auto" w:fill="C2D69B"/>
          </w:tcPr>
          <w:p w14:paraId="7A959E0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50" w:type="dxa"/>
            <w:tcBorders>
              <w:left w:val="single" w:sz="4" w:space="0" w:color="000000"/>
              <w:bottom w:val="single" w:sz="4" w:space="0" w:color="000000"/>
              <w:right w:val="single" w:sz="4" w:space="0" w:color="000000"/>
            </w:tcBorders>
            <w:shd w:val="clear" w:color="auto" w:fill="C2D69B"/>
          </w:tcPr>
          <w:p w14:paraId="58DCF798"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1710" w:type="dxa"/>
            <w:tcBorders>
              <w:left w:val="single" w:sz="4" w:space="0" w:color="000000"/>
              <w:bottom w:val="single" w:sz="4" w:space="0" w:color="000000"/>
              <w:right w:val="single" w:sz="4" w:space="0" w:color="000000"/>
            </w:tcBorders>
            <w:shd w:val="clear" w:color="auto" w:fill="C2D69B"/>
          </w:tcPr>
          <w:p w14:paraId="301355C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96.174</w:t>
            </w:r>
          </w:p>
        </w:tc>
        <w:tc>
          <w:tcPr>
            <w:tcW w:w="1440" w:type="dxa"/>
            <w:tcBorders>
              <w:left w:val="single" w:sz="4" w:space="0" w:color="000000"/>
              <w:bottom w:val="single" w:sz="4" w:space="0" w:color="000000"/>
              <w:right w:val="single" w:sz="4" w:space="0" w:color="000000"/>
            </w:tcBorders>
            <w:shd w:val="clear" w:color="auto" w:fill="C2D69B"/>
          </w:tcPr>
          <w:p w14:paraId="70CE07F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44.9364</w:t>
            </w:r>
          </w:p>
        </w:tc>
        <w:tc>
          <w:tcPr>
            <w:tcW w:w="1440" w:type="dxa"/>
            <w:tcBorders>
              <w:left w:val="single" w:sz="4" w:space="0" w:color="000000"/>
              <w:bottom w:val="single" w:sz="4" w:space="0" w:color="000000"/>
              <w:right w:val="single" w:sz="4" w:space="0" w:color="000000"/>
            </w:tcBorders>
            <w:shd w:val="clear" w:color="auto" w:fill="C2D69B"/>
          </w:tcPr>
          <w:p w14:paraId="2B1528D6"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55110.001</w:t>
            </w:r>
          </w:p>
        </w:tc>
      </w:tr>
      <w:tr w:rsidR="00042BE4" w14:paraId="301146D4"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6EC8B4D1"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right w:val="single" w:sz="4" w:space="0" w:color="000000"/>
            </w:tcBorders>
            <w:shd w:val="clear" w:color="auto" w:fill="C2D69B"/>
          </w:tcPr>
          <w:p w14:paraId="24CDA8A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top w:val="single" w:sz="4" w:space="0" w:color="000000"/>
              <w:left w:val="single" w:sz="4" w:space="0" w:color="000000"/>
              <w:right w:val="single" w:sz="4" w:space="0" w:color="000000"/>
            </w:tcBorders>
            <w:shd w:val="clear" w:color="auto" w:fill="C2D69B"/>
          </w:tcPr>
          <w:p w14:paraId="00CB790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50" w:type="dxa"/>
            <w:tcBorders>
              <w:top w:val="single" w:sz="4" w:space="0" w:color="000000"/>
              <w:left w:val="single" w:sz="4" w:space="0" w:color="000000"/>
              <w:right w:val="single" w:sz="4" w:space="0" w:color="000000"/>
            </w:tcBorders>
            <w:shd w:val="clear" w:color="auto" w:fill="C2D69B"/>
          </w:tcPr>
          <w:p w14:paraId="18EE5557"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c>
          <w:tcPr>
            <w:tcW w:w="1710" w:type="dxa"/>
            <w:tcBorders>
              <w:top w:val="single" w:sz="4" w:space="0" w:color="000000"/>
              <w:left w:val="single" w:sz="4" w:space="0" w:color="000000"/>
              <w:right w:val="single" w:sz="4" w:space="0" w:color="000000"/>
            </w:tcBorders>
            <w:shd w:val="clear" w:color="auto" w:fill="C2D69B"/>
          </w:tcPr>
          <w:p w14:paraId="0A4C97A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174.386</w:t>
            </w:r>
          </w:p>
        </w:tc>
        <w:tc>
          <w:tcPr>
            <w:tcW w:w="1440" w:type="dxa"/>
            <w:tcBorders>
              <w:top w:val="single" w:sz="4" w:space="0" w:color="000000"/>
              <w:left w:val="single" w:sz="4" w:space="0" w:color="000000"/>
              <w:right w:val="single" w:sz="4" w:space="0" w:color="000000"/>
            </w:tcBorders>
            <w:shd w:val="clear" w:color="auto" w:fill="C2D69B"/>
          </w:tcPr>
          <w:p w14:paraId="376233ED"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82.1686</w:t>
            </w:r>
          </w:p>
        </w:tc>
        <w:tc>
          <w:tcPr>
            <w:tcW w:w="1440" w:type="dxa"/>
            <w:tcBorders>
              <w:top w:val="single" w:sz="4" w:space="0" w:color="000000"/>
              <w:left w:val="single" w:sz="4" w:space="0" w:color="000000"/>
              <w:right w:val="single" w:sz="4" w:space="0" w:color="000000"/>
            </w:tcBorders>
            <w:shd w:val="clear" w:color="auto" w:fill="C2D69B"/>
          </w:tcPr>
          <w:p w14:paraId="4D6ED5EA"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100771.571</w:t>
            </w:r>
          </w:p>
        </w:tc>
      </w:tr>
      <w:tr w:rsidR="00042BE4" w14:paraId="060B6B72"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21D6FE2C"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JMN-2</w:t>
            </w:r>
          </w:p>
        </w:tc>
        <w:tc>
          <w:tcPr>
            <w:tcW w:w="1008" w:type="dxa"/>
            <w:tcBorders>
              <w:left w:val="single" w:sz="4" w:space="0" w:color="000000"/>
              <w:right w:val="single" w:sz="4" w:space="0" w:color="000000"/>
            </w:tcBorders>
            <w:shd w:val="clear" w:color="auto" w:fill="C2D69B"/>
          </w:tcPr>
          <w:p w14:paraId="4FE1989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20" w:type="dxa"/>
            <w:tcBorders>
              <w:left w:val="single" w:sz="4" w:space="0" w:color="000000"/>
              <w:right w:val="single" w:sz="4" w:space="0" w:color="000000"/>
            </w:tcBorders>
            <w:shd w:val="clear" w:color="auto" w:fill="C2D69B"/>
          </w:tcPr>
          <w:p w14:paraId="1CA74141"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350" w:type="dxa"/>
            <w:tcBorders>
              <w:left w:val="single" w:sz="4" w:space="0" w:color="000000"/>
              <w:right w:val="single" w:sz="4" w:space="0" w:color="000000"/>
            </w:tcBorders>
            <w:shd w:val="clear" w:color="auto" w:fill="C2D69B"/>
          </w:tcPr>
          <w:p w14:paraId="577F2C22"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1710" w:type="dxa"/>
            <w:tcBorders>
              <w:left w:val="single" w:sz="4" w:space="0" w:color="000000"/>
              <w:right w:val="single" w:sz="4" w:space="0" w:color="000000"/>
            </w:tcBorders>
            <w:shd w:val="clear" w:color="auto" w:fill="C2D69B"/>
          </w:tcPr>
          <w:p w14:paraId="44CD062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181.907</w:t>
            </w:r>
          </w:p>
        </w:tc>
        <w:tc>
          <w:tcPr>
            <w:tcW w:w="1440" w:type="dxa"/>
            <w:tcBorders>
              <w:left w:val="single" w:sz="4" w:space="0" w:color="000000"/>
              <w:right w:val="single" w:sz="4" w:space="0" w:color="000000"/>
            </w:tcBorders>
            <w:shd w:val="clear" w:color="auto" w:fill="C2D69B"/>
          </w:tcPr>
          <w:p w14:paraId="08727618"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85.4917</w:t>
            </w:r>
          </w:p>
        </w:tc>
        <w:tc>
          <w:tcPr>
            <w:tcW w:w="1440" w:type="dxa"/>
            <w:tcBorders>
              <w:left w:val="single" w:sz="4" w:space="0" w:color="000000"/>
              <w:right w:val="single" w:sz="4" w:space="0" w:color="000000"/>
            </w:tcBorders>
            <w:shd w:val="clear" w:color="auto" w:fill="C2D69B"/>
          </w:tcPr>
          <w:p w14:paraId="2A291B5C"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104847.021</w:t>
            </w:r>
          </w:p>
        </w:tc>
      </w:tr>
      <w:tr w:rsidR="00042BE4" w14:paraId="23713AEC"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7F25B1C7"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14:paraId="6422166D"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20" w:type="dxa"/>
            <w:tcBorders>
              <w:left w:val="single" w:sz="4" w:space="0" w:color="000000"/>
              <w:bottom w:val="single" w:sz="4" w:space="0" w:color="000000"/>
              <w:right w:val="single" w:sz="4" w:space="0" w:color="000000"/>
            </w:tcBorders>
            <w:shd w:val="clear" w:color="auto" w:fill="C2D69B"/>
          </w:tcPr>
          <w:p w14:paraId="0AC34C9C"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350" w:type="dxa"/>
            <w:tcBorders>
              <w:left w:val="single" w:sz="4" w:space="0" w:color="000000"/>
              <w:bottom w:val="single" w:sz="4" w:space="0" w:color="000000"/>
              <w:right w:val="single" w:sz="4" w:space="0" w:color="000000"/>
            </w:tcBorders>
            <w:shd w:val="clear" w:color="auto" w:fill="C2D69B"/>
          </w:tcPr>
          <w:p w14:paraId="015EBD90"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p>
        </w:tc>
        <w:tc>
          <w:tcPr>
            <w:tcW w:w="1710" w:type="dxa"/>
            <w:tcBorders>
              <w:left w:val="single" w:sz="4" w:space="0" w:color="000000"/>
              <w:bottom w:val="single" w:sz="4" w:space="0" w:color="000000"/>
              <w:right w:val="single" w:sz="4" w:space="0" w:color="000000"/>
            </w:tcBorders>
            <w:shd w:val="clear" w:color="auto" w:fill="C2D69B"/>
          </w:tcPr>
          <w:p w14:paraId="2A9AFC5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189.505</w:t>
            </w:r>
          </w:p>
        </w:tc>
        <w:tc>
          <w:tcPr>
            <w:tcW w:w="1440" w:type="dxa"/>
            <w:tcBorders>
              <w:left w:val="single" w:sz="4" w:space="0" w:color="000000"/>
              <w:bottom w:val="single" w:sz="4" w:space="0" w:color="000000"/>
              <w:right w:val="single" w:sz="4" w:space="0" w:color="000000"/>
            </w:tcBorders>
            <w:shd w:val="clear" w:color="auto" w:fill="C2D69B"/>
          </w:tcPr>
          <w:p w14:paraId="16CEF32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88.8565</w:t>
            </w:r>
          </w:p>
        </w:tc>
        <w:tc>
          <w:tcPr>
            <w:tcW w:w="1440" w:type="dxa"/>
            <w:tcBorders>
              <w:left w:val="single" w:sz="4" w:space="0" w:color="000000"/>
              <w:bottom w:val="single" w:sz="4" w:space="0" w:color="000000"/>
              <w:right w:val="single" w:sz="4" w:space="0" w:color="000000"/>
            </w:tcBorders>
            <w:shd w:val="clear" w:color="auto" w:fill="C2D69B"/>
          </w:tcPr>
          <w:p w14:paraId="1C527C2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108973.612</w:t>
            </w:r>
          </w:p>
        </w:tc>
      </w:tr>
      <w:tr w:rsidR="00042BE4" w14:paraId="371436DC" w14:textId="77777777">
        <w:trPr>
          <w:trHeight w:val="290"/>
        </w:trPr>
        <w:tc>
          <w:tcPr>
            <w:tcW w:w="990" w:type="dxa"/>
            <w:tcBorders>
              <w:left w:val="single" w:sz="4" w:space="0" w:color="000000"/>
              <w:bottom w:val="single" w:sz="4" w:space="0" w:color="000000"/>
              <w:right w:val="single" w:sz="4" w:space="0" w:color="000000"/>
            </w:tcBorders>
            <w:shd w:val="clear" w:color="auto" w:fill="C2D69B"/>
          </w:tcPr>
          <w:p w14:paraId="49EE36A7"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right w:val="single" w:sz="4" w:space="0" w:color="000000"/>
            </w:tcBorders>
            <w:shd w:val="clear" w:color="auto" w:fill="C2D69B"/>
          </w:tcPr>
          <w:p w14:paraId="52B38EBA"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20" w:type="dxa"/>
            <w:tcBorders>
              <w:left w:val="single" w:sz="4" w:space="0" w:color="000000"/>
              <w:right w:val="single" w:sz="4" w:space="0" w:color="000000"/>
            </w:tcBorders>
            <w:shd w:val="clear" w:color="auto" w:fill="C2D69B"/>
          </w:tcPr>
          <w:p w14:paraId="4D7766DD"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50" w:type="dxa"/>
            <w:tcBorders>
              <w:left w:val="single" w:sz="4" w:space="0" w:color="000000"/>
              <w:right w:val="single" w:sz="4" w:space="0" w:color="000000"/>
            </w:tcBorders>
            <w:shd w:val="clear" w:color="auto" w:fill="C2D69B"/>
          </w:tcPr>
          <w:p w14:paraId="78B1F856"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1710" w:type="dxa"/>
            <w:tcBorders>
              <w:left w:val="single" w:sz="4" w:space="0" w:color="000000"/>
              <w:right w:val="single" w:sz="4" w:space="0" w:color="000000"/>
            </w:tcBorders>
            <w:shd w:val="clear" w:color="auto" w:fill="C2D69B"/>
          </w:tcPr>
          <w:p w14:paraId="5E90E317"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98.686</w:t>
            </w:r>
          </w:p>
        </w:tc>
        <w:tc>
          <w:tcPr>
            <w:tcW w:w="1440" w:type="dxa"/>
            <w:tcBorders>
              <w:left w:val="single" w:sz="4" w:space="0" w:color="000000"/>
              <w:right w:val="single" w:sz="4" w:space="0" w:color="000000"/>
            </w:tcBorders>
            <w:shd w:val="clear" w:color="auto" w:fill="C2D69B"/>
          </w:tcPr>
          <w:p w14:paraId="7764E043"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45.2516</w:t>
            </w:r>
          </w:p>
        </w:tc>
        <w:tc>
          <w:tcPr>
            <w:tcW w:w="1440" w:type="dxa"/>
            <w:tcBorders>
              <w:left w:val="single" w:sz="4" w:space="0" w:color="000000"/>
              <w:right w:val="single" w:sz="4" w:space="0" w:color="000000"/>
            </w:tcBorders>
            <w:shd w:val="clear" w:color="auto" w:fill="C2D69B"/>
          </w:tcPr>
          <w:p w14:paraId="73FC74A8"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55496.5622</w:t>
            </w:r>
          </w:p>
        </w:tc>
      </w:tr>
      <w:tr w:rsidR="00042BE4" w14:paraId="038C2F40"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1D896A12"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JMN-3</w:t>
            </w:r>
          </w:p>
        </w:tc>
        <w:tc>
          <w:tcPr>
            <w:tcW w:w="1008" w:type="dxa"/>
            <w:tcBorders>
              <w:left w:val="single" w:sz="4" w:space="0" w:color="000000"/>
              <w:right w:val="single" w:sz="4" w:space="0" w:color="000000"/>
            </w:tcBorders>
            <w:shd w:val="clear" w:color="auto" w:fill="C2D69B"/>
          </w:tcPr>
          <w:p w14:paraId="3BB6E757"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left w:val="single" w:sz="4" w:space="0" w:color="000000"/>
              <w:right w:val="single" w:sz="4" w:space="0" w:color="000000"/>
            </w:tcBorders>
            <w:shd w:val="clear" w:color="auto" w:fill="C2D69B"/>
          </w:tcPr>
          <w:p w14:paraId="72D5D449"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350" w:type="dxa"/>
            <w:tcBorders>
              <w:left w:val="single" w:sz="4" w:space="0" w:color="000000"/>
              <w:right w:val="single" w:sz="4" w:space="0" w:color="000000"/>
            </w:tcBorders>
            <w:shd w:val="clear" w:color="auto" w:fill="C2D69B"/>
          </w:tcPr>
          <w:p w14:paraId="103DF300"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710" w:type="dxa"/>
            <w:tcBorders>
              <w:left w:val="single" w:sz="4" w:space="0" w:color="000000"/>
              <w:right w:val="single" w:sz="4" w:space="0" w:color="000000"/>
            </w:tcBorders>
            <w:shd w:val="clear" w:color="auto" w:fill="C2D69B"/>
          </w:tcPr>
          <w:p w14:paraId="33A011D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106.56</w:t>
            </w:r>
          </w:p>
        </w:tc>
        <w:tc>
          <w:tcPr>
            <w:tcW w:w="1440" w:type="dxa"/>
            <w:tcBorders>
              <w:left w:val="single" w:sz="4" w:space="0" w:color="000000"/>
              <w:right w:val="single" w:sz="4" w:space="0" w:color="000000"/>
            </w:tcBorders>
            <w:shd w:val="clear" w:color="auto" w:fill="C2D69B"/>
          </w:tcPr>
          <w:p w14:paraId="1ED9C3A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48.675</w:t>
            </w:r>
          </w:p>
        </w:tc>
        <w:tc>
          <w:tcPr>
            <w:tcW w:w="1440" w:type="dxa"/>
            <w:tcBorders>
              <w:left w:val="single" w:sz="4" w:space="0" w:color="000000"/>
              <w:right w:val="single" w:sz="4" w:space="0" w:color="000000"/>
            </w:tcBorders>
            <w:shd w:val="clear" w:color="auto" w:fill="C2D69B"/>
          </w:tcPr>
          <w:p w14:paraId="2333568D"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59695.0200</w:t>
            </w:r>
          </w:p>
        </w:tc>
      </w:tr>
      <w:tr w:rsidR="00042BE4" w14:paraId="486C4FB6"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33FD5D6D"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14:paraId="19F5FAC3"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20" w:type="dxa"/>
            <w:tcBorders>
              <w:left w:val="single" w:sz="4" w:space="0" w:color="000000"/>
              <w:bottom w:val="single" w:sz="4" w:space="0" w:color="000000"/>
              <w:right w:val="single" w:sz="4" w:space="0" w:color="000000"/>
            </w:tcBorders>
            <w:shd w:val="clear" w:color="auto" w:fill="C2D69B"/>
          </w:tcPr>
          <w:p w14:paraId="0CA1CE5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50" w:type="dxa"/>
            <w:tcBorders>
              <w:left w:val="single" w:sz="4" w:space="0" w:color="000000"/>
              <w:bottom w:val="single" w:sz="4" w:space="0" w:color="000000"/>
              <w:right w:val="single" w:sz="4" w:space="0" w:color="000000"/>
            </w:tcBorders>
            <w:shd w:val="clear" w:color="auto" w:fill="C2D69B"/>
          </w:tcPr>
          <w:p w14:paraId="36761F6C"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710" w:type="dxa"/>
            <w:tcBorders>
              <w:left w:val="single" w:sz="4" w:space="0" w:color="000000"/>
              <w:bottom w:val="single" w:sz="4" w:space="0" w:color="000000"/>
              <w:right w:val="single" w:sz="4" w:space="0" w:color="000000"/>
            </w:tcBorders>
            <w:shd w:val="clear" w:color="auto" w:fill="C2D69B"/>
          </w:tcPr>
          <w:p w14:paraId="6CA04C12"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114.081</w:t>
            </w:r>
          </w:p>
        </w:tc>
        <w:tc>
          <w:tcPr>
            <w:tcW w:w="1440" w:type="dxa"/>
            <w:tcBorders>
              <w:left w:val="single" w:sz="4" w:space="0" w:color="000000"/>
              <w:bottom w:val="single" w:sz="4" w:space="0" w:color="000000"/>
              <w:right w:val="single" w:sz="4" w:space="0" w:color="000000"/>
            </w:tcBorders>
            <w:shd w:val="clear" w:color="auto" w:fill="C2D69B"/>
          </w:tcPr>
          <w:p w14:paraId="5C934693"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51.9981</w:t>
            </w:r>
          </w:p>
        </w:tc>
        <w:tc>
          <w:tcPr>
            <w:tcW w:w="1440" w:type="dxa"/>
            <w:tcBorders>
              <w:left w:val="single" w:sz="4" w:space="0" w:color="000000"/>
              <w:bottom w:val="single" w:sz="4" w:space="0" w:color="000000"/>
              <w:right w:val="single" w:sz="4" w:space="0" w:color="000000"/>
            </w:tcBorders>
            <w:shd w:val="clear" w:color="auto" w:fill="C2D69B"/>
          </w:tcPr>
          <w:p w14:paraId="19074EF2"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63770.4698</w:t>
            </w:r>
          </w:p>
        </w:tc>
      </w:tr>
      <w:tr w:rsidR="00042BE4" w14:paraId="5277A40C"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7E3AE2FD"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right w:val="single" w:sz="4" w:space="0" w:color="000000"/>
            </w:tcBorders>
            <w:shd w:val="clear" w:color="auto" w:fill="C2D69B"/>
          </w:tcPr>
          <w:p w14:paraId="3422F700"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620" w:type="dxa"/>
            <w:tcBorders>
              <w:top w:val="single" w:sz="4" w:space="0" w:color="000000"/>
              <w:left w:val="single" w:sz="4" w:space="0" w:color="000000"/>
              <w:right w:val="single" w:sz="4" w:space="0" w:color="000000"/>
            </w:tcBorders>
            <w:shd w:val="clear" w:color="auto" w:fill="C2D69B"/>
          </w:tcPr>
          <w:p w14:paraId="3C6A94D7"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50" w:type="dxa"/>
            <w:tcBorders>
              <w:top w:val="single" w:sz="4" w:space="0" w:color="000000"/>
              <w:left w:val="single" w:sz="4" w:space="0" w:color="000000"/>
              <w:right w:val="single" w:sz="4" w:space="0" w:color="000000"/>
            </w:tcBorders>
            <w:shd w:val="clear" w:color="auto" w:fill="C2D69B"/>
          </w:tcPr>
          <w:p w14:paraId="5FDCCDC7"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710" w:type="dxa"/>
            <w:tcBorders>
              <w:top w:val="single" w:sz="4" w:space="0" w:color="000000"/>
              <w:left w:val="single" w:sz="4" w:space="0" w:color="000000"/>
              <w:right w:val="single" w:sz="4" w:space="0" w:color="000000"/>
            </w:tcBorders>
            <w:shd w:val="clear" w:color="auto" w:fill="C2D69B"/>
          </w:tcPr>
          <w:p w14:paraId="34CF24AF"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139.129</w:t>
            </w:r>
          </w:p>
        </w:tc>
        <w:tc>
          <w:tcPr>
            <w:tcW w:w="1440" w:type="dxa"/>
            <w:tcBorders>
              <w:top w:val="single" w:sz="4" w:space="0" w:color="000000"/>
              <w:left w:val="single" w:sz="4" w:space="0" w:color="000000"/>
              <w:right w:val="single" w:sz="4" w:space="0" w:color="000000"/>
            </w:tcBorders>
            <w:shd w:val="clear" w:color="auto" w:fill="C2D69B"/>
          </w:tcPr>
          <w:p w14:paraId="09BF1BCE"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63.7449</w:t>
            </w:r>
          </w:p>
        </w:tc>
        <w:tc>
          <w:tcPr>
            <w:tcW w:w="1440" w:type="dxa"/>
            <w:tcBorders>
              <w:top w:val="single" w:sz="4" w:space="0" w:color="000000"/>
              <w:left w:val="single" w:sz="4" w:space="0" w:color="000000"/>
              <w:right w:val="single" w:sz="4" w:space="0" w:color="000000"/>
            </w:tcBorders>
            <w:shd w:val="clear" w:color="auto" w:fill="C2D69B"/>
          </w:tcPr>
          <w:p w14:paraId="039A533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78176.7454</w:t>
            </w:r>
          </w:p>
        </w:tc>
      </w:tr>
      <w:tr w:rsidR="00042BE4" w14:paraId="3F4D2F5D" w14:textId="77777777">
        <w:trPr>
          <w:trHeight w:val="290"/>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52DD413E"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JMN-4</w:t>
            </w:r>
          </w:p>
        </w:tc>
        <w:tc>
          <w:tcPr>
            <w:tcW w:w="1008" w:type="dxa"/>
            <w:tcBorders>
              <w:left w:val="single" w:sz="4" w:space="0" w:color="000000"/>
              <w:right w:val="single" w:sz="4" w:space="0" w:color="000000"/>
            </w:tcBorders>
            <w:shd w:val="clear" w:color="auto" w:fill="C2D69B"/>
          </w:tcPr>
          <w:p w14:paraId="0D1CBC0C"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620" w:type="dxa"/>
            <w:tcBorders>
              <w:left w:val="single" w:sz="4" w:space="0" w:color="000000"/>
              <w:right w:val="single" w:sz="4" w:space="0" w:color="000000"/>
            </w:tcBorders>
            <w:shd w:val="clear" w:color="auto" w:fill="C2D69B"/>
          </w:tcPr>
          <w:p w14:paraId="2266C7A4"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350" w:type="dxa"/>
            <w:tcBorders>
              <w:left w:val="single" w:sz="4" w:space="0" w:color="000000"/>
              <w:right w:val="single" w:sz="4" w:space="0" w:color="000000"/>
            </w:tcBorders>
            <w:shd w:val="clear" w:color="auto" w:fill="C2D69B"/>
          </w:tcPr>
          <w:p w14:paraId="5C05A9A8"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c>
          <w:tcPr>
            <w:tcW w:w="1710" w:type="dxa"/>
            <w:tcBorders>
              <w:left w:val="single" w:sz="4" w:space="0" w:color="000000"/>
              <w:right w:val="single" w:sz="4" w:space="0" w:color="000000"/>
            </w:tcBorders>
            <w:shd w:val="clear" w:color="auto" w:fill="C2D69B"/>
          </w:tcPr>
          <w:p w14:paraId="604A6C0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145.573</w:t>
            </w:r>
          </w:p>
        </w:tc>
        <w:tc>
          <w:tcPr>
            <w:tcW w:w="1440" w:type="dxa"/>
            <w:tcBorders>
              <w:left w:val="single" w:sz="4" w:space="0" w:color="000000"/>
              <w:right w:val="single" w:sz="4" w:space="0" w:color="000000"/>
            </w:tcBorders>
            <w:shd w:val="clear" w:color="auto" w:fill="C2D69B"/>
          </w:tcPr>
          <w:p w14:paraId="221EDB6D"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66.5643</w:t>
            </w:r>
          </w:p>
        </w:tc>
        <w:tc>
          <w:tcPr>
            <w:tcW w:w="1440" w:type="dxa"/>
            <w:tcBorders>
              <w:left w:val="single" w:sz="4" w:space="0" w:color="000000"/>
              <w:right w:val="single" w:sz="4" w:space="0" w:color="000000"/>
            </w:tcBorders>
            <w:shd w:val="clear" w:color="auto" w:fill="C2D69B"/>
          </w:tcPr>
          <w:p w14:paraId="14D4B5BF"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81634.4575</w:t>
            </w:r>
          </w:p>
        </w:tc>
      </w:tr>
      <w:tr w:rsidR="00042BE4" w14:paraId="4C9273FA" w14:textId="77777777">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0F1EC77F" w14:textId="77777777"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14:paraId="2AD81C4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20" w:type="dxa"/>
            <w:tcBorders>
              <w:left w:val="single" w:sz="4" w:space="0" w:color="000000"/>
              <w:bottom w:val="single" w:sz="4" w:space="0" w:color="000000"/>
              <w:right w:val="single" w:sz="4" w:space="0" w:color="000000"/>
            </w:tcBorders>
            <w:shd w:val="clear" w:color="auto" w:fill="C2D69B"/>
          </w:tcPr>
          <w:p w14:paraId="3FC1415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350" w:type="dxa"/>
            <w:tcBorders>
              <w:left w:val="single" w:sz="4" w:space="0" w:color="000000"/>
              <w:bottom w:val="single" w:sz="4" w:space="0" w:color="000000"/>
              <w:right w:val="single" w:sz="4" w:space="0" w:color="000000"/>
            </w:tcBorders>
            <w:shd w:val="clear" w:color="auto" w:fill="C2D69B"/>
          </w:tcPr>
          <w:p w14:paraId="73F4318B"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p>
        </w:tc>
        <w:tc>
          <w:tcPr>
            <w:tcW w:w="1710" w:type="dxa"/>
            <w:tcBorders>
              <w:left w:val="single" w:sz="4" w:space="0" w:color="000000"/>
              <w:bottom w:val="single" w:sz="4" w:space="0" w:color="000000"/>
              <w:right w:val="single" w:sz="4" w:space="0" w:color="000000"/>
            </w:tcBorders>
            <w:shd w:val="clear" w:color="auto" w:fill="C2D69B"/>
          </w:tcPr>
          <w:p w14:paraId="7A1D8F43"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155.601</w:t>
            </w:r>
          </w:p>
        </w:tc>
        <w:tc>
          <w:tcPr>
            <w:tcW w:w="1440" w:type="dxa"/>
            <w:tcBorders>
              <w:left w:val="single" w:sz="4" w:space="0" w:color="000000"/>
              <w:bottom w:val="single" w:sz="4" w:space="0" w:color="000000"/>
              <w:right w:val="single" w:sz="4" w:space="0" w:color="000000"/>
            </w:tcBorders>
            <w:shd w:val="clear" w:color="auto" w:fill="C2D69B"/>
          </w:tcPr>
          <w:p w14:paraId="5B0E0196"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70.9951</w:t>
            </w:r>
          </w:p>
        </w:tc>
        <w:tc>
          <w:tcPr>
            <w:tcW w:w="1440" w:type="dxa"/>
            <w:tcBorders>
              <w:left w:val="single" w:sz="4" w:space="0" w:color="000000"/>
              <w:bottom w:val="single" w:sz="4" w:space="0" w:color="000000"/>
              <w:right w:val="single" w:sz="4" w:space="0" w:color="000000"/>
            </w:tcBorders>
            <w:shd w:val="clear" w:color="auto" w:fill="C2D69B"/>
          </w:tcPr>
          <w:p w14:paraId="435FC842"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87068.3906</w:t>
            </w:r>
          </w:p>
        </w:tc>
      </w:tr>
      <w:tr w:rsidR="00042BE4" w14:paraId="53E783E5" w14:textId="77777777">
        <w:trPr>
          <w:trHeight w:val="612"/>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14:paraId="29781C28"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008" w:type="dxa"/>
            <w:tcBorders>
              <w:top w:val="single" w:sz="4" w:space="0" w:color="000000"/>
              <w:left w:val="single" w:sz="4" w:space="0" w:color="000000"/>
              <w:bottom w:val="single" w:sz="4" w:space="0" w:color="000000"/>
              <w:right w:val="single" w:sz="4" w:space="0" w:color="000000"/>
            </w:tcBorders>
            <w:shd w:val="clear" w:color="auto" w:fill="C2D69B"/>
          </w:tcPr>
          <w:p w14:paraId="7FDCF84E"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34.33</w:t>
            </w:r>
          </w:p>
        </w:tc>
        <w:tc>
          <w:tcPr>
            <w:tcW w:w="1620" w:type="dxa"/>
            <w:tcBorders>
              <w:top w:val="single" w:sz="4" w:space="0" w:color="000000"/>
              <w:left w:val="single" w:sz="4" w:space="0" w:color="000000"/>
              <w:bottom w:val="single" w:sz="4" w:space="0" w:color="000000"/>
              <w:right w:val="single" w:sz="4" w:space="0" w:color="000000"/>
            </w:tcBorders>
            <w:shd w:val="clear" w:color="auto" w:fill="C2D69B"/>
          </w:tcPr>
          <w:p w14:paraId="5B2EB701"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43.75</w:t>
            </w:r>
          </w:p>
        </w:tc>
        <w:tc>
          <w:tcPr>
            <w:tcW w:w="1350" w:type="dxa"/>
            <w:tcBorders>
              <w:top w:val="single" w:sz="4" w:space="0" w:color="000000"/>
              <w:left w:val="single" w:sz="4" w:space="0" w:color="000000"/>
              <w:bottom w:val="single" w:sz="4" w:space="0" w:color="000000"/>
              <w:right w:val="single" w:sz="4" w:space="0" w:color="000000"/>
            </w:tcBorders>
            <w:shd w:val="clear" w:color="auto" w:fill="C2D69B"/>
          </w:tcPr>
          <w:p w14:paraId="2A2F8625" w14:textId="77777777"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1710" w:type="dxa"/>
            <w:tcBorders>
              <w:top w:val="single" w:sz="4" w:space="0" w:color="000000"/>
              <w:left w:val="single" w:sz="4" w:space="0" w:color="000000"/>
              <w:bottom w:val="single" w:sz="4" w:space="0" w:color="000000"/>
              <w:right w:val="single" w:sz="4" w:space="0" w:color="000000"/>
            </w:tcBorders>
            <w:shd w:val="clear" w:color="auto" w:fill="C2D69B"/>
          </w:tcPr>
          <w:p w14:paraId="7C39F8AD"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130.775833</w:t>
            </w:r>
          </w:p>
        </w:tc>
        <w:tc>
          <w:tcPr>
            <w:tcW w:w="1440" w:type="dxa"/>
            <w:tcBorders>
              <w:top w:val="single" w:sz="4" w:space="0" w:color="000000"/>
              <w:left w:val="single" w:sz="4" w:space="0" w:color="000000"/>
              <w:bottom w:val="single" w:sz="4" w:space="0" w:color="000000"/>
              <w:right w:val="single" w:sz="4" w:space="0" w:color="000000"/>
            </w:tcBorders>
            <w:shd w:val="clear" w:color="auto" w:fill="C2D69B"/>
          </w:tcPr>
          <w:p w14:paraId="570610BD"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60.635</w:t>
            </w:r>
          </w:p>
        </w:tc>
        <w:tc>
          <w:tcPr>
            <w:tcW w:w="1440" w:type="dxa"/>
            <w:tcBorders>
              <w:top w:val="single" w:sz="4" w:space="0" w:color="000000"/>
              <w:left w:val="single" w:sz="4" w:space="0" w:color="000000"/>
              <w:bottom w:val="single" w:sz="4" w:space="0" w:color="000000"/>
              <w:right w:val="single" w:sz="4" w:space="0" w:color="000000"/>
            </w:tcBorders>
            <w:shd w:val="clear" w:color="auto" w:fill="C2D69B"/>
          </w:tcPr>
          <w:p w14:paraId="1EBD014C" w14:textId="77777777"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74362.764</w:t>
            </w:r>
          </w:p>
        </w:tc>
      </w:tr>
    </w:tbl>
    <w:p w14:paraId="73BBC660" w14:textId="77777777" w:rsidR="00042BE4" w:rsidRDefault="000E4256">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w:t>
      </w:r>
      <w:proofErr w:type="gramEnd"/>
      <w:r>
        <w:rPr>
          <w:rFonts w:ascii="Times New Roman" w:eastAsia="Times New Roman" w:hAnsi="Times New Roman" w:cs="Times New Roman"/>
          <w:sz w:val="24"/>
          <w:szCs w:val="24"/>
        </w:rPr>
        <w:t xml:space="preserve"> 2  Sample Calculation of  Jal Mahal Building Material  </w:t>
      </w: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 xml:space="preserve"> ,ADR ,AED By Using Activity Concentrations.</w:t>
      </w:r>
    </w:p>
    <w:p w14:paraId="05B63715"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1E17D5" wp14:editId="498503E5">
            <wp:extent cx="5734050" cy="3371850"/>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5734050" cy="3371850"/>
                    </a:xfrm>
                    <a:prstGeom prst="rect">
                      <a:avLst/>
                    </a:prstGeom>
                    <a:ln/>
                  </pic:spPr>
                </pic:pic>
              </a:graphicData>
            </a:graphic>
          </wp:inline>
        </w:drawing>
      </w:r>
    </w:p>
    <w:p w14:paraId="3A6BCAD0"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Radium equivalent activity(</w:t>
      </w: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w:t>
      </w:r>
    </w:p>
    <w:p w14:paraId="54507184"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EF346E7" wp14:editId="25F3D62C">
            <wp:extent cx="5981700" cy="3013710"/>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0"/>
                    <a:srcRect/>
                    <a:stretch>
                      <a:fillRect/>
                    </a:stretch>
                  </pic:blipFill>
                  <pic:spPr>
                    <a:xfrm>
                      <a:off x="0" y="0"/>
                      <a:ext cx="5981700" cy="3013710"/>
                    </a:xfrm>
                    <a:prstGeom prst="rect">
                      <a:avLst/>
                    </a:prstGeom>
                    <a:ln/>
                  </pic:spPr>
                </pic:pic>
              </a:graphicData>
            </a:graphic>
          </wp:inline>
        </w:drawing>
      </w:r>
    </w:p>
    <w:p w14:paraId="2D1FBAA2"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Graphical Representa</w:t>
      </w:r>
      <w:r>
        <w:rPr>
          <w:rFonts w:ascii="Times New Roman" w:eastAsia="Times New Roman" w:hAnsi="Times New Roman" w:cs="Times New Roman"/>
          <w:sz w:val="24"/>
          <w:szCs w:val="24"/>
        </w:rPr>
        <w:t xml:space="preserve">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Absorbed Dose Rate(ADR).</w:t>
      </w:r>
    </w:p>
    <w:p w14:paraId="35479EFC" w14:textId="77777777" w:rsidR="00042BE4" w:rsidRDefault="00042BE4">
      <w:pPr>
        <w:jc w:val="center"/>
        <w:rPr>
          <w:rFonts w:ascii="Times New Roman" w:eastAsia="Times New Roman" w:hAnsi="Times New Roman" w:cs="Times New Roman"/>
          <w:sz w:val="24"/>
          <w:szCs w:val="24"/>
        </w:rPr>
      </w:pPr>
    </w:p>
    <w:p w14:paraId="17AB03FD"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6C300D" wp14:editId="4F7C22F0">
            <wp:extent cx="5981700" cy="3228975"/>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1"/>
                    <a:srcRect/>
                    <a:stretch>
                      <a:fillRect/>
                    </a:stretch>
                  </pic:blipFill>
                  <pic:spPr>
                    <a:xfrm>
                      <a:off x="0" y="0"/>
                      <a:ext cx="5981700" cy="3228975"/>
                    </a:xfrm>
                    <a:prstGeom prst="rect">
                      <a:avLst/>
                    </a:prstGeom>
                    <a:ln/>
                  </pic:spPr>
                </pic:pic>
              </a:graphicData>
            </a:graphic>
          </wp:inline>
        </w:drawing>
      </w:r>
    </w:p>
    <w:p w14:paraId="16C4BD9B"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 </w:t>
      </w:r>
      <w:proofErr w:type="gramStart"/>
      <w:r>
        <w:rPr>
          <w:rFonts w:ascii="Times New Roman" w:eastAsia="Times New Roman" w:hAnsi="Times New Roman" w:cs="Times New Roman"/>
          <w:sz w:val="24"/>
          <w:szCs w:val="24"/>
        </w:rPr>
        <w:t>4 :</w:t>
      </w:r>
      <w:proofErr w:type="gramEnd"/>
      <w:r>
        <w:rPr>
          <w:rFonts w:ascii="Times New Roman" w:eastAsia="Times New Roman" w:hAnsi="Times New Roman" w:cs="Times New Roman"/>
          <w:sz w:val="24"/>
          <w:szCs w:val="24"/>
        </w:rPr>
        <w:t xml:space="preserve"> Graphical Representation of  Jal Mahal Absorbed Dose Rate (ADR) with Annual Effective  Dose(AED.</w:t>
      </w:r>
    </w:p>
    <w:p w14:paraId="14AA9BBC" w14:textId="77777777" w:rsidR="00042BE4" w:rsidRDefault="00042BE4">
      <w:pPr>
        <w:rPr>
          <w:rFonts w:ascii="Times New Roman" w:eastAsia="Times New Roman" w:hAnsi="Times New Roman" w:cs="Times New Roman"/>
          <w:sz w:val="24"/>
          <w:szCs w:val="24"/>
        </w:rPr>
      </w:pPr>
    </w:p>
    <w:tbl>
      <w:tblPr>
        <w:tblStyle w:val="a1"/>
        <w:tblW w:w="9423"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89"/>
        <w:gridCol w:w="1194"/>
        <w:gridCol w:w="1620"/>
        <w:gridCol w:w="990"/>
        <w:gridCol w:w="1350"/>
        <w:gridCol w:w="1350"/>
        <w:gridCol w:w="1530"/>
      </w:tblGrid>
      <w:tr w:rsidR="00042BE4" w14:paraId="1E0E1C4A" w14:textId="77777777">
        <w:trPr>
          <w:trHeight w:val="561"/>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70252627"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Sample</w:t>
            </w:r>
          </w:p>
        </w:tc>
        <w:tc>
          <w:tcPr>
            <w:tcW w:w="1194" w:type="dxa"/>
            <w:tcBorders>
              <w:top w:val="single" w:sz="4" w:space="0" w:color="000000"/>
              <w:left w:val="nil"/>
              <w:bottom w:val="single" w:sz="4" w:space="0" w:color="000000"/>
              <w:right w:val="nil"/>
            </w:tcBorders>
            <w:shd w:val="clear" w:color="auto" w:fill="DBEEF3"/>
          </w:tcPr>
          <w:p w14:paraId="5C35A279" w14:textId="77777777" w:rsidR="00042BE4" w:rsidRDefault="00042BE4">
            <w:pPr>
              <w:spacing w:after="0" w:line="254" w:lineRule="auto"/>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shd w:val="clear" w:color="auto" w:fill="DBEEF3"/>
          </w:tcPr>
          <w:p w14:paraId="10A6E2FD"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Concentration (Bq/</w:t>
            </w:r>
            <w:proofErr w:type="gramStart"/>
            <w:r>
              <w:rPr>
                <w:rFonts w:ascii="Times New Roman" w:eastAsia="Times New Roman" w:hAnsi="Times New Roman" w:cs="Times New Roman"/>
                <w:sz w:val="24"/>
                <w:szCs w:val="24"/>
              </w:rPr>
              <w:t xml:space="preserve">Kg)   </w:t>
            </w:r>
            <w:proofErr w:type="gramEnd"/>
            <w:r>
              <w:rPr>
                <w:rFonts w:ascii="Times New Roman" w:eastAsia="Times New Roman" w:hAnsi="Times New Roman" w:cs="Times New Roman"/>
                <w:sz w:val="24"/>
                <w:szCs w:val="24"/>
              </w:rPr>
              <w:t xml:space="preserve"> </w:t>
            </w:r>
          </w:p>
        </w:tc>
        <w:tc>
          <w:tcPr>
            <w:tcW w:w="990" w:type="dxa"/>
            <w:tcBorders>
              <w:top w:val="single" w:sz="4" w:space="0" w:color="000000"/>
              <w:left w:val="nil"/>
              <w:bottom w:val="single" w:sz="4" w:space="0" w:color="000000"/>
              <w:right w:val="single" w:sz="4" w:space="0" w:color="000000"/>
            </w:tcBorders>
            <w:shd w:val="clear" w:color="auto" w:fill="DBEEF3"/>
          </w:tcPr>
          <w:p w14:paraId="6D5EAE04" w14:textId="77777777" w:rsidR="00042BE4" w:rsidRDefault="00042BE4">
            <w:pPr>
              <w:spacing w:after="0" w:line="254" w:lineRule="auto"/>
              <w:rPr>
                <w:rFonts w:ascii="Times New Roman" w:eastAsia="Times New Roman" w:hAnsi="Times New Roman" w:cs="Times New Roman"/>
                <w:sz w:val="24"/>
                <w:szCs w:val="24"/>
              </w:rPr>
            </w:pPr>
          </w:p>
        </w:tc>
        <w:tc>
          <w:tcPr>
            <w:tcW w:w="1350" w:type="dxa"/>
            <w:tcBorders>
              <w:top w:val="single" w:sz="4" w:space="0" w:color="000000"/>
              <w:left w:val="nil"/>
              <w:bottom w:val="single" w:sz="4" w:space="0" w:color="BEBEBE"/>
              <w:right w:val="single" w:sz="4" w:space="0" w:color="000000"/>
            </w:tcBorders>
            <w:shd w:val="clear" w:color="auto" w:fill="DBEEF3"/>
          </w:tcPr>
          <w:p w14:paraId="6446D2CD"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Radium equivalent </w:t>
            </w:r>
            <w:r>
              <w:rPr>
                <w:rFonts w:ascii="Times New Roman" w:eastAsia="Times New Roman" w:hAnsi="Times New Roman" w:cs="Times New Roman"/>
                <w:sz w:val="24"/>
                <w:szCs w:val="24"/>
              </w:rPr>
              <w:t>activity (</w:t>
            </w:r>
            <w:proofErr w:type="spellStart"/>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eq</w:t>
            </w:r>
            <w:proofErr w:type="spellEnd"/>
            <w:r>
              <w:rPr>
                <w:rFonts w:ascii="Times New Roman" w:eastAsia="Times New Roman" w:hAnsi="Times New Roman" w:cs="Times New Roman"/>
                <w:sz w:val="24"/>
                <w:szCs w:val="24"/>
              </w:rPr>
              <w:t>)</w:t>
            </w:r>
          </w:p>
        </w:tc>
        <w:tc>
          <w:tcPr>
            <w:tcW w:w="1350" w:type="dxa"/>
            <w:tcBorders>
              <w:top w:val="single" w:sz="4" w:space="0" w:color="000000"/>
              <w:left w:val="nil"/>
              <w:bottom w:val="single" w:sz="4" w:space="0" w:color="BEBEBE"/>
              <w:right w:val="single" w:sz="4" w:space="0" w:color="000000"/>
            </w:tcBorders>
            <w:shd w:val="clear" w:color="auto" w:fill="DBEEF3"/>
          </w:tcPr>
          <w:p w14:paraId="0C11EC5A"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Absorbed Dose Rate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ADR)</w:t>
            </w:r>
          </w:p>
        </w:tc>
        <w:tc>
          <w:tcPr>
            <w:tcW w:w="1530" w:type="dxa"/>
            <w:tcBorders>
              <w:top w:val="single" w:sz="4" w:space="0" w:color="000000"/>
              <w:left w:val="nil"/>
              <w:bottom w:val="single" w:sz="4" w:space="0" w:color="BEBEBE"/>
              <w:right w:val="single" w:sz="4" w:space="0" w:color="000000"/>
            </w:tcBorders>
            <w:shd w:val="clear" w:color="auto" w:fill="DBEEF3"/>
          </w:tcPr>
          <w:p w14:paraId="26A4DF0F" w14:textId="77777777" w:rsidR="00042BE4" w:rsidRDefault="000E4256">
            <w:pPr>
              <w:spacing w:after="0" w:line="254"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p>
        </w:tc>
      </w:tr>
      <w:tr w:rsidR="00042BE4" w14:paraId="3CA1EB9F"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1E60148F"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000000"/>
              <w:right w:val="single" w:sz="4" w:space="0" w:color="000000"/>
            </w:tcBorders>
            <w:shd w:val="clear" w:color="auto" w:fill="DBEEF3"/>
          </w:tcPr>
          <w:p w14:paraId="670164F9"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w:t>
            </w:r>
          </w:p>
        </w:tc>
        <w:tc>
          <w:tcPr>
            <w:tcW w:w="1620" w:type="dxa"/>
            <w:tcBorders>
              <w:top w:val="single" w:sz="4" w:space="0" w:color="000000"/>
              <w:left w:val="nil"/>
              <w:bottom w:val="single" w:sz="4" w:space="0" w:color="000000"/>
              <w:right w:val="single" w:sz="4" w:space="0" w:color="000000"/>
            </w:tcBorders>
            <w:shd w:val="clear" w:color="auto" w:fill="DBEEF3"/>
          </w:tcPr>
          <w:p w14:paraId="3B8B990C" w14:textId="77777777" w:rsidR="00042BE4" w:rsidRDefault="000E4256">
            <w:pPr>
              <w:spacing w:after="0" w:line="254"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        Th</w:t>
            </w:r>
          </w:p>
        </w:tc>
        <w:tc>
          <w:tcPr>
            <w:tcW w:w="990" w:type="dxa"/>
            <w:tcBorders>
              <w:top w:val="single" w:sz="4" w:space="0" w:color="000000"/>
              <w:left w:val="nil"/>
              <w:bottom w:val="single" w:sz="4" w:space="0" w:color="000000"/>
              <w:right w:val="single" w:sz="4" w:space="0" w:color="000000"/>
            </w:tcBorders>
            <w:shd w:val="clear" w:color="auto" w:fill="DBEEF3"/>
          </w:tcPr>
          <w:p w14:paraId="757B2D1C"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p>
        </w:tc>
        <w:tc>
          <w:tcPr>
            <w:tcW w:w="4230" w:type="dxa"/>
            <w:gridSpan w:val="3"/>
            <w:tcBorders>
              <w:top w:val="single" w:sz="4" w:space="0" w:color="BEBEBE"/>
              <w:left w:val="nil"/>
              <w:bottom w:val="single" w:sz="4" w:space="0" w:color="000000"/>
              <w:right w:val="single" w:sz="4" w:space="0" w:color="000000"/>
            </w:tcBorders>
            <w:shd w:val="clear" w:color="auto" w:fill="DBEEF3"/>
          </w:tcPr>
          <w:p w14:paraId="117E7D84" w14:textId="77777777" w:rsidR="00042BE4" w:rsidRDefault="00042BE4">
            <w:pPr>
              <w:spacing w:after="0" w:line="254" w:lineRule="auto"/>
              <w:rPr>
                <w:rFonts w:ascii="Times New Roman" w:eastAsia="Times New Roman" w:hAnsi="Times New Roman" w:cs="Times New Roman"/>
                <w:sz w:val="24"/>
                <w:szCs w:val="24"/>
              </w:rPr>
            </w:pPr>
          </w:p>
        </w:tc>
      </w:tr>
      <w:tr w:rsidR="00042BE4" w14:paraId="07AC6A33"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2AD91538"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BEBEBE"/>
              <w:right w:val="single" w:sz="4" w:space="0" w:color="000000"/>
            </w:tcBorders>
            <w:shd w:val="clear" w:color="auto" w:fill="DBEEF3"/>
          </w:tcPr>
          <w:p w14:paraId="650FD2BE"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620" w:type="dxa"/>
            <w:tcBorders>
              <w:top w:val="single" w:sz="4" w:space="0" w:color="000000"/>
              <w:left w:val="nil"/>
              <w:bottom w:val="single" w:sz="4" w:space="0" w:color="BEBEBE"/>
              <w:right w:val="single" w:sz="4" w:space="0" w:color="000000"/>
            </w:tcBorders>
            <w:shd w:val="clear" w:color="auto" w:fill="DBEEF3"/>
          </w:tcPr>
          <w:p w14:paraId="2B14B537"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90" w:type="dxa"/>
            <w:tcBorders>
              <w:top w:val="single" w:sz="4" w:space="0" w:color="000000"/>
              <w:left w:val="nil"/>
              <w:bottom w:val="single" w:sz="4" w:space="0" w:color="BEBEBE"/>
              <w:right w:val="single" w:sz="4" w:space="0" w:color="000000"/>
            </w:tcBorders>
            <w:shd w:val="clear" w:color="auto" w:fill="DBEEF3"/>
          </w:tcPr>
          <w:p w14:paraId="5478D1ED"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1350" w:type="dxa"/>
            <w:tcBorders>
              <w:top w:val="single" w:sz="4" w:space="0" w:color="000000"/>
              <w:left w:val="nil"/>
              <w:bottom w:val="single" w:sz="4" w:space="0" w:color="BEBEBE"/>
              <w:right w:val="single" w:sz="4" w:space="0" w:color="000000"/>
            </w:tcBorders>
            <w:shd w:val="clear" w:color="auto" w:fill="DBEEF3"/>
          </w:tcPr>
          <w:p w14:paraId="3A1A4DDC"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116.566</w:t>
            </w:r>
          </w:p>
        </w:tc>
        <w:tc>
          <w:tcPr>
            <w:tcW w:w="1350" w:type="dxa"/>
            <w:tcBorders>
              <w:top w:val="single" w:sz="4" w:space="0" w:color="000000"/>
              <w:left w:val="nil"/>
              <w:bottom w:val="single" w:sz="4" w:space="0" w:color="BEBEBE"/>
              <w:right w:val="single" w:sz="4" w:space="0" w:color="000000"/>
            </w:tcBorders>
            <w:shd w:val="clear" w:color="auto" w:fill="DBEEF3"/>
          </w:tcPr>
          <w:p w14:paraId="1E29C5D1"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53.7756</w:t>
            </w:r>
          </w:p>
        </w:tc>
        <w:tc>
          <w:tcPr>
            <w:tcW w:w="1530" w:type="dxa"/>
            <w:tcBorders>
              <w:top w:val="single" w:sz="4" w:space="0" w:color="000000"/>
              <w:left w:val="nil"/>
              <w:bottom w:val="single" w:sz="4" w:space="0" w:color="BEBEBE"/>
              <w:right w:val="single" w:sz="4" w:space="0" w:color="000000"/>
            </w:tcBorders>
            <w:shd w:val="clear" w:color="auto" w:fill="DBEEF3"/>
          </w:tcPr>
          <w:p w14:paraId="4396B50C"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65950.3958</w:t>
            </w:r>
          </w:p>
        </w:tc>
      </w:tr>
      <w:tr w:rsidR="00042BE4" w14:paraId="5D2FDE64"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7C72DC06"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CGN-5</w:t>
            </w:r>
          </w:p>
        </w:tc>
        <w:tc>
          <w:tcPr>
            <w:tcW w:w="1194" w:type="dxa"/>
            <w:tcBorders>
              <w:top w:val="single" w:sz="4" w:space="0" w:color="BEBEBE"/>
              <w:left w:val="nil"/>
              <w:bottom w:val="single" w:sz="4" w:space="0" w:color="BEBEBE"/>
              <w:right w:val="single" w:sz="4" w:space="0" w:color="000000"/>
            </w:tcBorders>
            <w:shd w:val="clear" w:color="auto" w:fill="DBEEF3"/>
          </w:tcPr>
          <w:p w14:paraId="5D6FC68B"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620" w:type="dxa"/>
            <w:tcBorders>
              <w:top w:val="single" w:sz="4" w:space="0" w:color="BEBEBE"/>
              <w:left w:val="nil"/>
              <w:bottom w:val="single" w:sz="4" w:space="0" w:color="BEBEBE"/>
              <w:right w:val="single" w:sz="4" w:space="0" w:color="000000"/>
            </w:tcBorders>
            <w:shd w:val="clear" w:color="auto" w:fill="DBEEF3"/>
          </w:tcPr>
          <w:p w14:paraId="24209FC9"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90" w:type="dxa"/>
            <w:tcBorders>
              <w:top w:val="single" w:sz="4" w:space="0" w:color="BEBEBE"/>
              <w:left w:val="nil"/>
              <w:bottom w:val="single" w:sz="4" w:space="0" w:color="BEBEBE"/>
              <w:right w:val="single" w:sz="4" w:space="0" w:color="000000"/>
            </w:tcBorders>
            <w:shd w:val="clear" w:color="auto" w:fill="DBEEF3"/>
          </w:tcPr>
          <w:p w14:paraId="129E9AF8"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350" w:type="dxa"/>
            <w:tcBorders>
              <w:top w:val="single" w:sz="4" w:space="0" w:color="BEBEBE"/>
              <w:left w:val="nil"/>
              <w:bottom w:val="single" w:sz="4" w:space="0" w:color="BEBEBE"/>
              <w:right w:val="single" w:sz="4" w:space="0" w:color="000000"/>
            </w:tcBorders>
            <w:shd w:val="clear" w:color="auto" w:fill="DBEEF3"/>
          </w:tcPr>
          <w:p w14:paraId="69ABD15E"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122.657</w:t>
            </w:r>
          </w:p>
        </w:tc>
        <w:tc>
          <w:tcPr>
            <w:tcW w:w="1350" w:type="dxa"/>
            <w:tcBorders>
              <w:top w:val="single" w:sz="4" w:space="0" w:color="BEBEBE"/>
              <w:left w:val="nil"/>
              <w:bottom w:val="single" w:sz="4" w:space="0" w:color="BEBEBE"/>
              <w:right w:val="single" w:sz="4" w:space="0" w:color="000000"/>
            </w:tcBorders>
            <w:shd w:val="clear" w:color="auto" w:fill="DBEEF3"/>
          </w:tcPr>
          <w:p w14:paraId="7F8BE29B"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56.4947</w:t>
            </w:r>
          </w:p>
        </w:tc>
        <w:tc>
          <w:tcPr>
            <w:tcW w:w="1530" w:type="dxa"/>
            <w:tcBorders>
              <w:top w:val="single" w:sz="4" w:space="0" w:color="BEBEBE"/>
              <w:left w:val="nil"/>
              <w:bottom w:val="single" w:sz="4" w:space="0" w:color="BEBEBE"/>
              <w:right w:val="single" w:sz="4" w:space="0" w:color="000000"/>
            </w:tcBorders>
            <w:shd w:val="clear" w:color="auto" w:fill="DBEEF3"/>
          </w:tcPr>
          <w:p w14:paraId="34813DE2"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69285.1001</w:t>
            </w:r>
          </w:p>
        </w:tc>
      </w:tr>
      <w:tr w:rsidR="00042BE4" w14:paraId="15650EDE"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1073939F"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BEBEBE"/>
              <w:left w:val="nil"/>
              <w:bottom w:val="single" w:sz="4" w:space="0" w:color="000000"/>
              <w:right w:val="single" w:sz="4" w:space="0" w:color="000000"/>
            </w:tcBorders>
            <w:shd w:val="clear" w:color="auto" w:fill="DBEEF3"/>
          </w:tcPr>
          <w:p w14:paraId="3CF306D0"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20" w:type="dxa"/>
            <w:tcBorders>
              <w:top w:val="single" w:sz="4" w:space="0" w:color="BEBEBE"/>
              <w:left w:val="nil"/>
              <w:bottom w:val="single" w:sz="4" w:space="0" w:color="000000"/>
              <w:right w:val="single" w:sz="4" w:space="0" w:color="000000"/>
            </w:tcBorders>
            <w:shd w:val="clear" w:color="auto" w:fill="DBEEF3"/>
          </w:tcPr>
          <w:p w14:paraId="5259416A"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990" w:type="dxa"/>
            <w:tcBorders>
              <w:top w:val="single" w:sz="4" w:space="0" w:color="BEBEBE"/>
              <w:left w:val="nil"/>
              <w:bottom w:val="single" w:sz="4" w:space="0" w:color="000000"/>
              <w:right w:val="single" w:sz="4" w:space="0" w:color="000000"/>
            </w:tcBorders>
            <w:shd w:val="clear" w:color="auto" w:fill="DBEEF3"/>
          </w:tcPr>
          <w:p w14:paraId="452F4FE8"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c>
          <w:tcPr>
            <w:tcW w:w="1350" w:type="dxa"/>
            <w:tcBorders>
              <w:top w:val="single" w:sz="4" w:space="0" w:color="BEBEBE"/>
              <w:left w:val="nil"/>
              <w:bottom w:val="single" w:sz="4" w:space="0" w:color="000000"/>
              <w:right w:val="single" w:sz="4" w:space="0" w:color="000000"/>
            </w:tcBorders>
            <w:shd w:val="clear" w:color="auto" w:fill="DBEEF3"/>
          </w:tcPr>
          <w:p w14:paraId="43194D4D"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130.255</w:t>
            </w:r>
          </w:p>
        </w:tc>
        <w:tc>
          <w:tcPr>
            <w:tcW w:w="1350" w:type="dxa"/>
            <w:tcBorders>
              <w:top w:val="single" w:sz="4" w:space="0" w:color="BEBEBE"/>
              <w:left w:val="nil"/>
              <w:bottom w:val="single" w:sz="4" w:space="0" w:color="000000"/>
              <w:right w:val="single" w:sz="4" w:space="0" w:color="000000"/>
            </w:tcBorders>
            <w:shd w:val="clear" w:color="auto" w:fill="DBEEF3"/>
          </w:tcPr>
          <w:p w14:paraId="3CB74A88"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59.8595</w:t>
            </w:r>
          </w:p>
        </w:tc>
        <w:tc>
          <w:tcPr>
            <w:tcW w:w="1530" w:type="dxa"/>
            <w:tcBorders>
              <w:top w:val="single" w:sz="4" w:space="0" w:color="BEBEBE"/>
              <w:left w:val="nil"/>
              <w:bottom w:val="single" w:sz="4" w:space="0" w:color="000000"/>
              <w:right w:val="single" w:sz="4" w:space="0" w:color="000000"/>
            </w:tcBorders>
            <w:shd w:val="clear" w:color="auto" w:fill="DBEEF3"/>
          </w:tcPr>
          <w:p w14:paraId="5EB308CA"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73411.6908</w:t>
            </w:r>
          </w:p>
        </w:tc>
      </w:tr>
      <w:tr w:rsidR="00042BE4" w14:paraId="3F80F6A7" w14:textId="77777777">
        <w:trPr>
          <w:trHeight w:val="284"/>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60F81A30"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BEBEBE"/>
              <w:right w:val="single" w:sz="4" w:space="0" w:color="000000"/>
            </w:tcBorders>
            <w:shd w:val="clear" w:color="auto" w:fill="DBEEF3"/>
          </w:tcPr>
          <w:p w14:paraId="29117E7A"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20" w:type="dxa"/>
            <w:tcBorders>
              <w:top w:val="single" w:sz="4" w:space="0" w:color="000000"/>
              <w:left w:val="nil"/>
              <w:bottom w:val="single" w:sz="4" w:space="0" w:color="BEBEBE"/>
              <w:right w:val="single" w:sz="4" w:space="0" w:color="000000"/>
            </w:tcBorders>
            <w:shd w:val="clear" w:color="auto" w:fill="DBEEF3"/>
          </w:tcPr>
          <w:p w14:paraId="1F2DDC66"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90" w:type="dxa"/>
            <w:tcBorders>
              <w:top w:val="single" w:sz="4" w:space="0" w:color="000000"/>
              <w:left w:val="nil"/>
              <w:bottom w:val="single" w:sz="4" w:space="0" w:color="BEBEBE"/>
              <w:right w:val="single" w:sz="4" w:space="0" w:color="000000"/>
            </w:tcBorders>
            <w:shd w:val="clear" w:color="auto" w:fill="DBEEF3"/>
          </w:tcPr>
          <w:p w14:paraId="3D6CF2DF"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1350" w:type="dxa"/>
            <w:tcBorders>
              <w:top w:val="single" w:sz="4" w:space="0" w:color="000000"/>
              <w:left w:val="nil"/>
              <w:bottom w:val="single" w:sz="4" w:space="0" w:color="BEBEBE"/>
              <w:right w:val="single" w:sz="4" w:space="0" w:color="000000"/>
            </w:tcBorders>
            <w:shd w:val="clear" w:color="auto" w:fill="DBEEF3"/>
          </w:tcPr>
          <w:p w14:paraId="17AE293C"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177.047</w:t>
            </w:r>
          </w:p>
        </w:tc>
        <w:tc>
          <w:tcPr>
            <w:tcW w:w="1350" w:type="dxa"/>
            <w:tcBorders>
              <w:top w:val="single" w:sz="4" w:space="0" w:color="000000"/>
              <w:left w:val="nil"/>
              <w:bottom w:val="single" w:sz="4" w:space="0" w:color="BEBEBE"/>
              <w:right w:val="single" w:sz="4" w:space="0" w:color="000000"/>
            </w:tcBorders>
            <w:shd w:val="clear" w:color="auto" w:fill="DBEEF3"/>
          </w:tcPr>
          <w:p w14:paraId="0F709C92"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83.3597</w:t>
            </w:r>
          </w:p>
        </w:tc>
        <w:tc>
          <w:tcPr>
            <w:tcW w:w="1530" w:type="dxa"/>
            <w:tcBorders>
              <w:top w:val="single" w:sz="4" w:space="0" w:color="000000"/>
              <w:left w:val="nil"/>
              <w:bottom w:val="single" w:sz="4" w:space="0" w:color="BEBEBE"/>
              <w:right w:val="single" w:sz="4" w:space="0" w:color="000000"/>
            </w:tcBorders>
            <w:shd w:val="clear" w:color="auto" w:fill="DBEEF3"/>
          </w:tcPr>
          <w:p w14:paraId="6E33423C"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102232.336</w:t>
            </w:r>
          </w:p>
        </w:tc>
      </w:tr>
      <w:tr w:rsidR="00042BE4" w14:paraId="0286E165"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51832C13"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CGN-6</w:t>
            </w:r>
          </w:p>
        </w:tc>
        <w:tc>
          <w:tcPr>
            <w:tcW w:w="1194" w:type="dxa"/>
            <w:tcBorders>
              <w:top w:val="single" w:sz="4" w:space="0" w:color="BEBEBE"/>
              <w:left w:val="nil"/>
              <w:bottom w:val="single" w:sz="4" w:space="0" w:color="BEBEBE"/>
              <w:right w:val="single" w:sz="4" w:space="0" w:color="000000"/>
            </w:tcBorders>
            <w:shd w:val="clear" w:color="auto" w:fill="DBEEF3"/>
          </w:tcPr>
          <w:p w14:paraId="303EB2B7"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620" w:type="dxa"/>
            <w:tcBorders>
              <w:top w:val="single" w:sz="4" w:space="0" w:color="BEBEBE"/>
              <w:left w:val="nil"/>
              <w:bottom w:val="single" w:sz="4" w:space="0" w:color="BEBEBE"/>
              <w:right w:val="single" w:sz="4" w:space="0" w:color="000000"/>
            </w:tcBorders>
            <w:shd w:val="clear" w:color="auto" w:fill="DBEEF3"/>
          </w:tcPr>
          <w:p w14:paraId="705AD9D7"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990" w:type="dxa"/>
            <w:tcBorders>
              <w:top w:val="single" w:sz="4" w:space="0" w:color="BEBEBE"/>
              <w:left w:val="nil"/>
              <w:bottom w:val="single" w:sz="4" w:space="0" w:color="BEBEBE"/>
              <w:right w:val="single" w:sz="4" w:space="0" w:color="000000"/>
            </w:tcBorders>
            <w:shd w:val="clear" w:color="auto" w:fill="DBEEF3"/>
          </w:tcPr>
          <w:p w14:paraId="6863F242"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1350" w:type="dxa"/>
            <w:tcBorders>
              <w:top w:val="single" w:sz="4" w:space="0" w:color="BEBEBE"/>
              <w:left w:val="nil"/>
              <w:bottom w:val="single" w:sz="4" w:space="0" w:color="BEBEBE"/>
              <w:right w:val="single" w:sz="4" w:space="0" w:color="000000"/>
            </w:tcBorders>
            <w:shd w:val="clear" w:color="auto" w:fill="DBEEF3"/>
          </w:tcPr>
          <w:p w14:paraId="5D51B035"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185.491</w:t>
            </w:r>
          </w:p>
        </w:tc>
        <w:tc>
          <w:tcPr>
            <w:tcW w:w="1350" w:type="dxa"/>
            <w:tcBorders>
              <w:top w:val="single" w:sz="4" w:space="0" w:color="BEBEBE"/>
              <w:left w:val="nil"/>
              <w:bottom w:val="single" w:sz="4" w:space="0" w:color="BEBEBE"/>
              <w:right w:val="single" w:sz="4" w:space="0" w:color="000000"/>
            </w:tcBorders>
            <w:shd w:val="clear" w:color="auto" w:fill="DBEEF3"/>
          </w:tcPr>
          <w:p w14:paraId="21E1C01E"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87.1031</w:t>
            </w:r>
          </w:p>
        </w:tc>
        <w:tc>
          <w:tcPr>
            <w:tcW w:w="1530" w:type="dxa"/>
            <w:tcBorders>
              <w:top w:val="single" w:sz="4" w:space="0" w:color="BEBEBE"/>
              <w:left w:val="nil"/>
              <w:bottom w:val="single" w:sz="4" w:space="0" w:color="BEBEBE"/>
              <w:right w:val="single" w:sz="4" w:space="0" w:color="000000"/>
            </w:tcBorders>
            <w:shd w:val="clear" w:color="auto" w:fill="DBEEF3"/>
          </w:tcPr>
          <w:p w14:paraId="6C93F0B9"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106823.242</w:t>
            </w:r>
          </w:p>
        </w:tc>
      </w:tr>
      <w:tr w:rsidR="00042BE4" w14:paraId="6FC682EB"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0B81A0A8"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BEBEBE"/>
              <w:left w:val="nil"/>
              <w:bottom w:val="single" w:sz="4" w:space="0" w:color="000000"/>
              <w:right w:val="single" w:sz="4" w:space="0" w:color="000000"/>
            </w:tcBorders>
            <w:shd w:val="clear" w:color="auto" w:fill="DBEEF3"/>
          </w:tcPr>
          <w:p w14:paraId="06FD1305"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620" w:type="dxa"/>
            <w:tcBorders>
              <w:top w:val="single" w:sz="4" w:space="0" w:color="BEBEBE"/>
              <w:left w:val="nil"/>
              <w:bottom w:val="single" w:sz="4" w:space="0" w:color="000000"/>
              <w:right w:val="single" w:sz="4" w:space="0" w:color="000000"/>
            </w:tcBorders>
            <w:shd w:val="clear" w:color="auto" w:fill="DBEEF3"/>
          </w:tcPr>
          <w:p w14:paraId="35CF63F3"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90" w:type="dxa"/>
            <w:tcBorders>
              <w:top w:val="single" w:sz="4" w:space="0" w:color="BEBEBE"/>
              <w:left w:val="nil"/>
              <w:bottom w:val="single" w:sz="4" w:space="0" w:color="000000"/>
              <w:right w:val="single" w:sz="4" w:space="0" w:color="000000"/>
            </w:tcBorders>
            <w:shd w:val="clear" w:color="auto" w:fill="DBEEF3"/>
          </w:tcPr>
          <w:p w14:paraId="703A3440"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1350" w:type="dxa"/>
            <w:tcBorders>
              <w:top w:val="single" w:sz="4" w:space="0" w:color="BEBEBE"/>
              <w:left w:val="nil"/>
              <w:bottom w:val="single" w:sz="4" w:space="0" w:color="000000"/>
              <w:right w:val="single" w:sz="4" w:space="0" w:color="000000"/>
            </w:tcBorders>
            <w:shd w:val="clear" w:color="auto" w:fill="DBEEF3"/>
          </w:tcPr>
          <w:p w14:paraId="03F35F6F"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193.012</w:t>
            </w:r>
          </w:p>
        </w:tc>
        <w:tc>
          <w:tcPr>
            <w:tcW w:w="1350" w:type="dxa"/>
            <w:tcBorders>
              <w:top w:val="single" w:sz="4" w:space="0" w:color="BEBEBE"/>
              <w:left w:val="nil"/>
              <w:bottom w:val="single" w:sz="4" w:space="0" w:color="000000"/>
              <w:right w:val="single" w:sz="4" w:space="0" w:color="000000"/>
            </w:tcBorders>
            <w:shd w:val="clear" w:color="auto" w:fill="DBEEF3"/>
          </w:tcPr>
          <w:p w14:paraId="2AA0D342"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90.4262</w:t>
            </w:r>
          </w:p>
        </w:tc>
        <w:tc>
          <w:tcPr>
            <w:tcW w:w="1530" w:type="dxa"/>
            <w:tcBorders>
              <w:top w:val="single" w:sz="4" w:space="0" w:color="BEBEBE"/>
              <w:left w:val="nil"/>
              <w:bottom w:val="single" w:sz="4" w:space="0" w:color="000000"/>
              <w:right w:val="single" w:sz="4" w:space="0" w:color="000000"/>
            </w:tcBorders>
            <w:shd w:val="clear" w:color="auto" w:fill="DBEEF3"/>
          </w:tcPr>
          <w:p w14:paraId="76D54BB6"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110898.692</w:t>
            </w:r>
          </w:p>
        </w:tc>
      </w:tr>
      <w:tr w:rsidR="00042BE4" w14:paraId="49AD2F48"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2D9970AD"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BEBEBE"/>
              <w:right w:val="single" w:sz="4" w:space="0" w:color="000000"/>
            </w:tcBorders>
            <w:shd w:val="clear" w:color="auto" w:fill="DBEEF3"/>
          </w:tcPr>
          <w:p w14:paraId="728467B3"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620" w:type="dxa"/>
            <w:tcBorders>
              <w:top w:val="single" w:sz="4" w:space="0" w:color="000000"/>
              <w:left w:val="nil"/>
              <w:bottom w:val="single" w:sz="4" w:space="0" w:color="BEBEBE"/>
              <w:right w:val="single" w:sz="4" w:space="0" w:color="000000"/>
            </w:tcBorders>
            <w:shd w:val="clear" w:color="auto" w:fill="DBEEF3"/>
          </w:tcPr>
          <w:p w14:paraId="5C8B2979"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990" w:type="dxa"/>
            <w:tcBorders>
              <w:top w:val="single" w:sz="4" w:space="0" w:color="000000"/>
              <w:left w:val="nil"/>
              <w:bottom w:val="single" w:sz="4" w:space="0" w:color="BEBEBE"/>
              <w:right w:val="single" w:sz="4" w:space="0" w:color="000000"/>
            </w:tcBorders>
            <w:shd w:val="clear" w:color="auto" w:fill="DBEEF3"/>
          </w:tcPr>
          <w:p w14:paraId="61C2F314"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1350" w:type="dxa"/>
            <w:tcBorders>
              <w:top w:val="single" w:sz="4" w:space="0" w:color="000000"/>
              <w:left w:val="nil"/>
              <w:bottom w:val="single" w:sz="4" w:space="0" w:color="BEBEBE"/>
              <w:right w:val="single" w:sz="4" w:space="0" w:color="000000"/>
            </w:tcBorders>
            <w:shd w:val="clear" w:color="auto" w:fill="DBEEF3"/>
          </w:tcPr>
          <w:p w14:paraId="0EF4243B"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133.796</w:t>
            </w:r>
          </w:p>
        </w:tc>
        <w:tc>
          <w:tcPr>
            <w:tcW w:w="1350" w:type="dxa"/>
            <w:tcBorders>
              <w:top w:val="single" w:sz="4" w:space="0" w:color="000000"/>
              <w:left w:val="nil"/>
              <w:bottom w:val="single" w:sz="4" w:space="0" w:color="BEBEBE"/>
              <w:right w:val="single" w:sz="4" w:space="0" w:color="000000"/>
            </w:tcBorders>
            <w:shd w:val="clear" w:color="auto" w:fill="DBEEF3"/>
          </w:tcPr>
          <w:p w14:paraId="471E965E"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61.7436</w:t>
            </w:r>
          </w:p>
        </w:tc>
        <w:tc>
          <w:tcPr>
            <w:tcW w:w="1530" w:type="dxa"/>
            <w:tcBorders>
              <w:top w:val="single" w:sz="4" w:space="0" w:color="000000"/>
              <w:left w:val="nil"/>
              <w:bottom w:val="single" w:sz="4" w:space="0" w:color="BEBEBE"/>
              <w:right w:val="single" w:sz="4" w:space="0" w:color="000000"/>
            </w:tcBorders>
            <w:shd w:val="clear" w:color="auto" w:fill="DBEEF3"/>
          </w:tcPr>
          <w:p w14:paraId="7B7B710E"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75722.351</w:t>
            </w:r>
          </w:p>
        </w:tc>
      </w:tr>
      <w:tr w:rsidR="00042BE4" w14:paraId="46DA22FB" w14:textId="77777777">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13FBA71D"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CGN-7</w:t>
            </w:r>
          </w:p>
        </w:tc>
        <w:tc>
          <w:tcPr>
            <w:tcW w:w="1194" w:type="dxa"/>
            <w:tcBorders>
              <w:top w:val="single" w:sz="4" w:space="0" w:color="BEBEBE"/>
              <w:left w:val="nil"/>
              <w:bottom w:val="single" w:sz="4" w:space="0" w:color="BEBEBE"/>
              <w:right w:val="single" w:sz="4" w:space="0" w:color="000000"/>
            </w:tcBorders>
            <w:shd w:val="clear" w:color="auto" w:fill="DBEEF3"/>
          </w:tcPr>
          <w:p w14:paraId="3846C1BA"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620" w:type="dxa"/>
            <w:tcBorders>
              <w:top w:val="single" w:sz="4" w:space="0" w:color="BEBEBE"/>
              <w:left w:val="nil"/>
              <w:bottom w:val="single" w:sz="4" w:space="0" w:color="BEBEBE"/>
              <w:right w:val="single" w:sz="4" w:space="0" w:color="000000"/>
            </w:tcBorders>
            <w:shd w:val="clear" w:color="auto" w:fill="DBEEF3"/>
          </w:tcPr>
          <w:p w14:paraId="0D82CD46"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990" w:type="dxa"/>
            <w:tcBorders>
              <w:top w:val="single" w:sz="4" w:space="0" w:color="BEBEBE"/>
              <w:left w:val="nil"/>
              <w:bottom w:val="single" w:sz="4" w:space="0" w:color="BEBEBE"/>
              <w:right w:val="single" w:sz="4" w:space="0" w:color="000000"/>
            </w:tcBorders>
            <w:shd w:val="clear" w:color="auto" w:fill="DBEEF3"/>
          </w:tcPr>
          <w:p w14:paraId="6E099B97"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350" w:type="dxa"/>
            <w:tcBorders>
              <w:top w:val="single" w:sz="4" w:space="0" w:color="BEBEBE"/>
              <w:left w:val="nil"/>
              <w:bottom w:val="single" w:sz="4" w:space="0" w:color="BEBEBE"/>
              <w:right w:val="single" w:sz="4" w:space="0" w:color="000000"/>
            </w:tcBorders>
            <w:shd w:val="clear" w:color="auto" w:fill="DBEEF3"/>
          </w:tcPr>
          <w:p w14:paraId="01A2F3A9"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141.24</w:t>
            </w:r>
          </w:p>
        </w:tc>
        <w:tc>
          <w:tcPr>
            <w:tcW w:w="1350" w:type="dxa"/>
            <w:tcBorders>
              <w:top w:val="single" w:sz="4" w:space="0" w:color="BEBEBE"/>
              <w:left w:val="nil"/>
              <w:bottom w:val="single" w:sz="4" w:space="0" w:color="BEBEBE"/>
              <w:right w:val="single" w:sz="4" w:space="0" w:color="000000"/>
            </w:tcBorders>
            <w:shd w:val="clear" w:color="auto" w:fill="DBEEF3"/>
          </w:tcPr>
          <w:p w14:paraId="636A3AFD"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65.025</w:t>
            </w:r>
          </w:p>
        </w:tc>
        <w:tc>
          <w:tcPr>
            <w:tcW w:w="1530" w:type="dxa"/>
            <w:tcBorders>
              <w:top w:val="single" w:sz="4" w:space="0" w:color="BEBEBE"/>
              <w:left w:val="nil"/>
              <w:bottom w:val="single" w:sz="4" w:space="0" w:color="BEBEBE"/>
              <w:right w:val="single" w:sz="4" w:space="0" w:color="000000"/>
            </w:tcBorders>
            <w:shd w:val="clear" w:color="auto" w:fill="DBEEF3"/>
          </w:tcPr>
          <w:p w14:paraId="7D65D645"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79746.66</w:t>
            </w:r>
          </w:p>
        </w:tc>
      </w:tr>
      <w:tr w:rsidR="00042BE4" w14:paraId="3FA8FBAB" w14:textId="77777777">
        <w:trPr>
          <w:trHeight w:val="284"/>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14:paraId="397CD239" w14:textId="77777777"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BEBEBE"/>
              <w:left w:val="nil"/>
              <w:bottom w:val="single" w:sz="4" w:space="0" w:color="000000"/>
              <w:right w:val="single" w:sz="4" w:space="0" w:color="000000"/>
            </w:tcBorders>
            <w:shd w:val="clear" w:color="auto" w:fill="DBEEF3"/>
          </w:tcPr>
          <w:p w14:paraId="0499A2C9"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20" w:type="dxa"/>
            <w:tcBorders>
              <w:top w:val="single" w:sz="4" w:space="0" w:color="BEBEBE"/>
              <w:left w:val="nil"/>
              <w:bottom w:val="single" w:sz="4" w:space="0" w:color="000000"/>
              <w:right w:val="single" w:sz="4" w:space="0" w:color="000000"/>
            </w:tcBorders>
            <w:shd w:val="clear" w:color="auto" w:fill="DBEEF3"/>
          </w:tcPr>
          <w:p w14:paraId="1506B6D7"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0" w:type="dxa"/>
            <w:tcBorders>
              <w:top w:val="single" w:sz="4" w:space="0" w:color="BEBEBE"/>
              <w:left w:val="nil"/>
              <w:bottom w:val="single" w:sz="4" w:space="0" w:color="000000"/>
              <w:right w:val="single" w:sz="4" w:space="0" w:color="000000"/>
            </w:tcBorders>
            <w:shd w:val="clear" w:color="auto" w:fill="DBEEF3"/>
          </w:tcPr>
          <w:p w14:paraId="3DA103F6"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350" w:type="dxa"/>
            <w:tcBorders>
              <w:top w:val="single" w:sz="4" w:space="0" w:color="BEBEBE"/>
              <w:left w:val="nil"/>
              <w:bottom w:val="single" w:sz="4" w:space="0" w:color="000000"/>
              <w:right w:val="single" w:sz="4" w:space="0" w:color="000000"/>
            </w:tcBorders>
            <w:shd w:val="clear" w:color="auto" w:fill="DBEEF3"/>
          </w:tcPr>
          <w:p w14:paraId="6521D480"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148.761</w:t>
            </w:r>
          </w:p>
        </w:tc>
        <w:tc>
          <w:tcPr>
            <w:tcW w:w="1350" w:type="dxa"/>
            <w:tcBorders>
              <w:top w:val="single" w:sz="4" w:space="0" w:color="BEBEBE"/>
              <w:left w:val="nil"/>
              <w:bottom w:val="single" w:sz="4" w:space="0" w:color="000000"/>
              <w:right w:val="single" w:sz="4" w:space="0" w:color="000000"/>
            </w:tcBorders>
            <w:shd w:val="clear" w:color="auto" w:fill="DBEEF3"/>
          </w:tcPr>
          <w:p w14:paraId="5DE20E10"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68.3481</w:t>
            </w:r>
          </w:p>
        </w:tc>
        <w:tc>
          <w:tcPr>
            <w:tcW w:w="1530" w:type="dxa"/>
            <w:tcBorders>
              <w:top w:val="single" w:sz="4" w:space="0" w:color="BEBEBE"/>
              <w:left w:val="nil"/>
              <w:bottom w:val="single" w:sz="4" w:space="0" w:color="000000"/>
              <w:right w:val="single" w:sz="4" w:space="0" w:color="000000"/>
            </w:tcBorders>
            <w:shd w:val="clear" w:color="auto" w:fill="DBEEF3"/>
          </w:tcPr>
          <w:p w14:paraId="4442544E"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83822.1098</w:t>
            </w:r>
          </w:p>
        </w:tc>
      </w:tr>
      <w:tr w:rsidR="00042BE4" w14:paraId="7A55EEA8" w14:textId="77777777">
        <w:trPr>
          <w:trHeight w:val="683"/>
        </w:trPr>
        <w:tc>
          <w:tcPr>
            <w:tcW w:w="1389" w:type="dxa"/>
            <w:tcBorders>
              <w:top w:val="single" w:sz="4" w:space="0" w:color="BEBEBE"/>
              <w:left w:val="single" w:sz="4" w:space="0" w:color="BEBEBE"/>
              <w:bottom w:val="single" w:sz="4" w:space="0" w:color="BEBEBE"/>
              <w:right w:val="single" w:sz="4" w:space="0" w:color="BEBEBE"/>
            </w:tcBorders>
            <w:shd w:val="clear" w:color="auto" w:fill="DBEEF3"/>
          </w:tcPr>
          <w:p w14:paraId="50CBA5F6"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194" w:type="dxa"/>
            <w:tcBorders>
              <w:top w:val="single" w:sz="4" w:space="0" w:color="BEBEBE"/>
              <w:left w:val="single" w:sz="4" w:space="0" w:color="BEBEBE"/>
              <w:bottom w:val="single" w:sz="4" w:space="0" w:color="BEBEBE"/>
              <w:right w:val="single" w:sz="4" w:space="0" w:color="BEBEBE"/>
            </w:tcBorders>
            <w:shd w:val="clear" w:color="auto" w:fill="DBEEF3"/>
          </w:tcPr>
          <w:p w14:paraId="2FAABC37"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31.22222</w:t>
            </w:r>
          </w:p>
        </w:tc>
        <w:tc>
          <w:tcPr>
            <w:tcW w:w="1620" w:type="dxa"/>
            <w:tcBorders>
              <w:top w:val="single" w:sz="4" w:space="0" w:color="BEBEBE"/>
              <w:left w:val="single" w:sz="4" w:space="0" w:color="BEBEBE"/>
              <w:bottom w:val="single" w:sz="4" w:space="0" w:color="BEBEBE"/>
              <w:right w:val="single" w:sz="4" w:space="0" w:color="BEBEBE"/>
            </w:tcBorders>
            <w:shd w:val="clear" w:color="auto" w:fill="DBEEF3"/>
          </w:tcPr>
          <w:p w14:paraId="44034865"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53.44444</w:t>
            </w:r>
          </w:p>
        </w:tc>
        <w:tc>
          <w:tcPr>
            <w:tcW w:w="990" w:type="dxa"/>
            <w:tcBorders>
              <w:top w:val="single" w:sz="4" w:space="0" w:color="BEBEBE"/>
              <w:left w:val="single" w:sz="4" w:space="0" w:color="BEBEBE"/>
              <w:bottom w:val="single" w:sz="4" w:space="0" w:color="BEBEBE"/>
              <w:right w:val="single" w:sz="4" w:space="0" w:color="BEBEBE"/>
            </w:tcBorders>
            <w:shd w:val="clear" w:color="auto" w:fill="DBEEF3"/>
          </w:tcPr>
          <w:p w14:paraId="4CFD304B"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548.33333</w:t>
            </w:r>
          </w:p>
        </w:tc>
        <w:tc>
          <w:tcPr>
            <w:tcW w:w="1350" w:type="dxa"/>
            <w:tcBorders>
              <w:top w:val="single" w:sz="4" w:space="0" w:color="BEBEBE"/>
              <w:left w:val="single" w:sz="4" w:space="0" w:color="BEBEBE"/>
              <w:bottom w:val="single" w:sz="4" w:space="0" w:color="BEBEBE"/>
              <w:right w:val="single" w:sz="4" w:space="0" w:color="BEBEBE"/>
            </w:tcBorders>
            <w:shd w:val="clear" w:color="auto" w:fill="DBEEF3"/>
          </w:tcPr>
          <w:p w14:paraId="283292C7" w14:textId="77777777"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149.86944</w:t>
            </w:r>
          </w:p>
        </w:tc>
        <w:tc>
          <w:tcPr>
            <w:tcW w:w="1350" w:type="dxa"/>
            <w:tcBorders>
              <w:top w:val="single" w:sz="4" w:space="0" w:color="BEBEBE"/>
              <w:left w:val="single" w:sz="4" w:space="0" w:color="BEBEBE"/>
              <w:bottom w:val="single" w:sz="4" w:space="0" w:color="BEBEBE"/>
              <w:right w:val="single" w:sz="4" w:space="0" w:color="BEBEBE"/>
            </w:tcBorders>
            <w:shd w:val="clear" w:color="auto" w:fill="DBEEF3"/>
          </w:tcPr>
          <w:p w14:paraId="3735947D"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69.570611</w:t>
            </w:r>
          </w:p>
        </w:tc>
        <w:tc>
          <w:tcPr>
            <w:tcW w:w="1530" w:type="dxa"/>
            <w:tcBorders>
              <w:top w:val="single" w:sz="4" w:space="0" w:color="BEBEBE"/>
              <w:left w:val="single" w:sz="4" w:space="0" w:color="BEBEBE"/>
              <w:bottom w:val="single" w:sz="4" w:space="0" w:color="BEBEBE"/>
              <w:right w:val="single" w:sz="4" w:space="0" w:color="BEBEBE"/>
            </w:tcBorders>
            <w:shd w:val="clear" w:color="auto" w:fill="DBEEF3"/>
          </w:tcPr>
          <w:p w14:paraId="1D8E6218" w14:textId="77777777"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85321.3975</w:t>
            </w:r>
          </w:p>
        </w:tc>
      </w:tr>
    </w:tbl>
    <w:p w14:paraId="4DB1AF39" w14:textId="77777777" w:rsidR="00042BE4" w:rsidRDefault="000E4256">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w:t>
      </w:r>
      <w:proofErr w:type="gramEnd"/>
      <w:r>
        <w:rPr>
          <w:rFonts w:ascii="Times New Roman" w:eastAsia="Times New Roman" w:hAnsi="Times New Roman" w:cs="Times New Roman"/>
          <w:sz w:val="24"/>
          <w:szCs w:val="24"/>
        </w:rPr>
        <w:t xml:space="preserve"> 3  Sample calculation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building material  </w:t>
      </w: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 xml:space="preserve"> ,ADR ,AED by using Activity concentrations.</w:t>
      </w:r>
    </w:p>
    <w:p w14:paraId="349BF1DA" w14:textId="77777777" w:rsidR="00042BE4" w:rsidRDefault="00042BE4">
      <w:pPr>
        <w:rPr>
          <w:rFonts w:ascii="Times New Roman" w:eastAsia="Times New Roman" w:hAnsi="Times New Roman" w:cs="Times New Roman"/>
          <w:sz w:val="24"/>
          <w:szCs w:val="24"/>
        </w:rPr>
      </w:pPr>
    </w:p>
    <w:p w14:paraId="5D9A115C"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551E36" wp14:editId="2474F355">
            <wp:extent cx="5848350" cy="2914650"/>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2"/>
                    <a:srcRect/>
                    <a:stretch>
                      <a:fillRect/>
                    </a:stretch>
                  </pic:blipFill>
                  <pic:spPr>
                    <a:xfrm>
                      <a:off x="0" y="0"/>
                      <a:ext cx="5848350" cy="2914650"/>
                    </a:xfrm>
                    <a:prstGeom prst="rect">
                      <a:avLst/>
                    </a:prstGeom>
                    <a:ln/>
                  </pic:spPr>
                </pic:pic>
              </a:graphicData>
            </a:graphic>
          </wp:inline>
        </w:drawing>
      </w:r>
    </w:p>
    <w:p w14:paraId="7A98D61A"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Radium equivalent activity (</w:t>
      </w: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w:t>
      </w:r>
    </w:p>
    <w:p w14:paraId="545AA1EC"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5A7C511" wp14:editId="003FF811">
            <wp:extent cx="5753100" cy="3019425"/>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3"/>
                    <a:srcRect/>
                    <a:stretch>
                      <a:fillRect/>
                    </a:stretch>
                  </pic:blipFill>
                  <pic:spPr>
                    <a:xfrm>
                      <a:off x="0" y="0"/>
                      <a:ext cx="5753100" cy="3019425"/>
                    </a:xfrm>
                    <a:prstGeom prst="rect">
                      <a:avLst/>
                    </a:prstGeom>
                    <a:ln/>
                  </pic:spPr>
                </pic:pic>
              </a:graphicData>
            </a:graphic>
          </wp:inline>
        </w:drawing>
      </w:r>
    </w:p>
    <w:p w14:paraId="3402CBF4"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Graphical Representation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Absorbed Dose Rate (ADR).</w:t>
      </w:r>
    </w:p>
    <w:p w14:paraId="6A5714B9" w14:textId="77777777" w:rsidR="00042BE4" w:rsidRDefault="00042BE4">
      <w:pPr>
        <w:jc w:val="center"/>
        <w:rPr>
          <w:rFonts w:ascii="Times New Roman" w:eastAsia="Times New Roman" w:hAnsi="Times New Roman" w:cs="Times New Roman"/>
          <w:sz w:val="24"/>
          <w:szCs w:val="24"/>
        </w:rPr>
      </w:pPr>
    </w:p>
    <w:p w14:paraId="29C2E92E" w14:textId="77777777" w:rsidR="00042BE4" w:rsidRDefault="00042BE4">
      <w:pPr>
        <w:jc w:val="center"/>
        <w:rPr>
          <w:rFonts w:ascii="Times New Roman" w:eastAsia="Times New Roman" w:hAnsi="Times New Roman" w:cs="Times New Roman"/>
          <w:sz w:val="24"/>
          <w:szCs w:val="24"/>
        </w:rPr>
      </w:pPr>
    </w:p>
    <w:p w14:paraId="357859BC"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1C6451" wp14:editId="29413D7D">
            <wp:extent cx="5924550" cy="2990850"/>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4"/>
                    <a:srcRect/>
                    <a:stretch>
                      <a:fillRect/>
                    </a:stretch>
                  </pic:blipFill>
                  <pic:spPr>
                    <a:xfrm>
                      <a:off x="0" y="0"/>
                      <a:ext cx="5924550" cy="2990850"/>
                    </a:xfrm>
                    <a:prstGeom prst="rect">
                      <a:avLst/>
                    </a:prstGeom>
                    <a:ln/>
                  </pic:spPr>
                </pic:pic>
              </a:graphicData>
            </a:graphic>
          </wp:inline>
        </w:drawing>
      </w:r>
    </w:p>
    <w:p w14:paraId="65175AD6"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7: Graphical Representation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w:t>
      </w:r>
      <w:r>
        <w:rPr>
          <w:rFonts w:ascii="Times New Roman" w:eastAsia="Times New Roman" w:hAnsi="Times New Roman" w:cs="Times New Roman"/>
          <w:sz w:val="24"/>
          <w:szCs w:val="24"/>
        </w:rPr>
        <w:t xml:space="preserve">Annual </w:t>
      </w:r>
      <w:proofErr w:type="gramStart"/>
      <w:r>
        <w:rPr>
          <w:rFonts w:ascii="Times New Roman" w:eastAsia="Times New Roman" w:hAnsi="Times New Roman" w:cs="Times New Roman"/>
          <w:sz w:val="24"/>
          <w:szCs w:val="24"/>
        </w:rPr>
        <w:t>Effective  dose</w:t>
      </w:r>
      <w:proofErr w:type="gramEnd"/>
      <w:r>
        <w:rPr>
          <w:rFonts w:ascii="Times New Roman" w:eastAsia="Times New Roman" w:hAnsi="Times New Roman" w:cs="Times New Roman"/>
          <w:sz w:val="24"/>
          <w:szCs w:val="24"/>
        </w:rPr>
        <w:t xml:space="preserve"> (AED).</w:t>
      </w:r>
    </w:p>
    <w:p w14:paraId="4C049FE7" w14:textId="77777777" w:rsidR="00042BE4" w:rsidRDefault="00042BE4">
      <w:pPr>
        <w:rPr>
          <w:rFonts w:ascii="Times New Roman" w:eastAsia="Times New Roman" w:hAnsi="Times New Roman" w:cs="Times New Roman"/>
          <w:sz w:val="24"/>
          <w:szCs w:val="24"/>
        </w:rPr>
      </w:pPr>
    </w:p>
    <w:p w14:paraId="68774ACA"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Excess Life Time cancer Risk (ELCR) was estimated by using the formula </w:t>
      </w:r>
    </w:p>
    <w:p w14:paraId="437D1A79"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ELCR = AED× LE × RE</w:t>
      </w:r>
    </w:p>
    <w:p w14:paraId="316D6DCC"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ELCR = AED× 70× 0.05</w:t>
      </w:r>
    </w:p>
    <w:p w14:paraId="4E19FCC8"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dose rate </w:t>
      </w:r>
      <w:proofErr w:type="spell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Dorg</w:t>
      </w:r>
      <w:proofErr w:type="spellEnd"/>
      <w:r>
        <w:rPr>
          <w:rFonts w:ascii="Times New Roman" w:eastAsia="Times New Roman" w:hAnsi="Times New Roman" w:cs="Times New Roman"/>
          <w:sz w:val="24"/>
          <w:szCs w:val="24"/>
        </w:rPr>
        <w:t xml:space="preserve">) was derived by equation </w:t>
      </w:r>
    </w:p>
    <w:p w14:paraId="56035E0B" w14:textId="77777777" w:rsidR="00042BE4" w:rsidRDefault="000E4256">
      <w:pPr>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AED × f</w:t>
      </w:r>
    </w:p>
    <w:p w14:paraId="5A3BC095" w14:textId="77777777" w:rsidR="00042BE4" w:rsidRDefault="000E425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(whole body) = A</w:t>
      </w:r>
      <w:r>
        <w:rPr>
          <w:rFonts w:ascii="Times New Roman" w:eastAsia="Times New Roman" w:hAnsi="Times New Roman" w:cs="Times New Roman"/>
          <w:sz w:val="24"/>
          <w:szCs w:val="24"/>
        </w:rPr>
        <w:t>ED× 0.68</w:t>
      </w:r>
    </w:p>
    <w:p w14:paraId="4158063F" w14:textId="77777777" w:rsidR="00042BE4" w:rsidRDefault="000E4256">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excess life time cancer </w:t>
      </w:r>
      <w:proofErr w:type="gramStart"/>
      <w:r>
        <w:rPr>
          <w:rFonts w:ascii="Times New Roman" w:eastAsia="Times New Roman" w:hAnsi="Times New Roman" w:cs="Times New Roman"/>
          <w:sz w:val="24"/>
          <w:szCs w:val="24"/>
        </w:rPr>
        <w:t>risk  is</w:t>
      </w:r>
      <w:proofErr w:type="gramEnd"/>
      <w:r>
        <w:rPr>
          <w:rFonts w:ascii="Times New Roman" w:eastAsia="Times New Roman" w:hAnsi="Times New Roman" w:cs="Times New Roman"/>
          <w:sz w:val="24"/>
          <w:szCs w:val="24"/>
        </w:rPr>
        <w:t xml:space="preserve"> estimation of the potential of cancer development over a lifetime , caused by irradiation from historic building materials .ELCR was calculated based upon values of AED , LE and RE ; </w:t>
      </w:r>
      <w:r>
        <w:rPr>
          <w:rFonts w:ascii="Times New Roman" w:eastAsia="Times New Roman" w:hAnsi="Times New Roman" w:cs="Times New Roman"/>
          <w:b/>
          <w:sz w:val="24"/>
          <w:szCs w:val="24"/>
        </w:rPr>
        <w:t>where LE is life expectancy</w:t>
      </w:r>
      <w:r>
        <w:rPr>
          <w:rFonts w:ascii="Times New Roman" w:eastAsia="Times New Roman" w:hAnsi="Times New Roman" w:cs="Times New Roman"/>
          <w:b/>
          <w:sz w:val="24"/>
          <w:szCs w:val="24"/>
        </w:rPr>
        <w:t xml:space="preserve"> (70) years and RF is fatal risk factor per Sievert ,that is 0.05 .</w:t>
      </w:r>
      <w:r>
        <w:rPr>
          <w:rFonts w:ascii="Times New Roman" w:eastAsia="Times New Roman" w:hAnsi="Times New Roman" w:cs="Times New Roman"/>
          <w:sz w:val="24"/>
          <w:szCs w:val="24"/>
        </w:rPr>
        <w:t xml:space="preserve">  The annual effective dose equivalent represents the degree of genetic significance of the annual dose that the reproductive organs of a population receive.</w:t>
      </w:r>
    </w:p>
    <w:p w14:paraId="68F46AD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Organs with rapidly dividing ce</w:t>
      </w:r>
      <w:r>
        <w:rPr>
          <w:rFonts w:ascii="Times New Roman" w:eastAsia="Times New Roman" w:hAnsi="Times New Roman" w:cs="Times New Roman"/>
          <w:color w:val="222222"/>
          <w:sz w:val="24"/>
          <w:szCs w:val="24"/>
          <w:highlight w:val="white"/>
        </w:rPr>
        <w:t xml:space="preserve">lls, such as </w:t>
      </w:r>
      <w:proofErr w:type="spellStart"/>
      <w:proofErr w:type="gramStart"/>
      <w:r>
        <w:rPr>
          <w:rFonts w:ascii="Times New Roman" w:eastAsia="Times New Roman" w:hAnsi="Times New Roman" w:cs="Times New Roman"/>
          <w:color w:val="222222"/>
          <w:sz w:val="24"/>
          <w:szCs w:val="24"/>
          <w:highlight w:val="white"/>
        </w:rPr>
        <w:t>gonads,active</w:t>
      </w:r>
      <w:proofErr w:type="spellEnd"/>
      <w:proofErr w:type="gramEnd"/>
      <w:r>
        <w:rPr>
          <w:rFonts w:ascii="Times New Roman" w:eastAsia="Times New Roman" w:hAnsi="Times New Roman" w:cs="Times New Roman"/>
          <w:color w:val="222222"/>
          <w:sz w:val="24"/>
          <w:szCs w:val="24"/>
          <w:highlight w:val="white"/>
        </w:rPr>
        <w:t xml:space="preserve"> bone marrow cells, lungs, testes ,ovaries and bone surface cells, are considered interesting by the UN Scientific Committee on the Effects of Atomic Radiation. </w:t>
      </w:r>
      <w:r>
        <w:rPr>
          <w:rFonts w:ascii="Times New Roman" w:eastAsia="Times New Roman" w:hAnsi="Times New Roman" w:cs="Times New Roman"/>
          <w:sz w:val="24"/>
          <w:szCs w:val="24"/>
        </w:rPr>
        <w:t xml:space="preserve">The effective dose rate </w:t>
      </w:r>
      <w:proofErr w:type="spell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is delivered to a particular organ th</w:t>
      </w:r>
      <w:r>
        <w:rPr>
          <w:rFonts w:ascii="Times New Roman" w:eastAsia="Times New Roman" w:hAnsi="Times New Roman" w:cs="Times New Roman"/>
          <w:sz w:val="24"/>
          <w:szCs w:val="24"/>
        </w:rPr>
        <w:t xml:space="preserve">e mean energy absorbed per unit mass averaged over the entire tissue or organ can be calculated using the formula. Where </w:t>
      </w:r>
      <w:proofErr w:type="gramStart"/>
      <w:r>
        <w:rPr>
          <w:rFonts w:ascii="Times New Roman" w:eastAsia="Times New Roman" w:hAnsi="Times New Roman" w:cs="Times New Roman"/>
          <w:sz w:val="24"/>
          <w:szCs w:val="24"/>
        </w:rPr>
        <w:t>f  is</w:t>
      </w:r>
      <w:proofErr w:type="gramEnd"/>
      <w:r>
        <w:rPr>
          <w:rFonts w:ascii="Times New Roman" w:eastAsia="Times New Roman" w:hAnsi="Times New Roman" w:cs="Times New Roman"/>
          <w:sz w:val="24"/>
          <w:szCs w:val="24"/>
        </w:rPr>
        <w:t xml:space="preserve"> the conversion factor  of organ dose from air dose. The conversion factor for </w:t>
      </w:r>
      <w:proofErr w:type="gramStart"/>
      <w:r>
        <w:rPr>
          <w:rFonts w:ascii="Times New Roman" w:eastAsia="Times New Roman" w:hAnsi="Times New Roman" w:cs="Times New Roman"/>
          <w:sz w:val="24"/>
          <w:szCs w:val="24"/>
        </w:rPr>
        <w:t>lungs ,</w:t>
      </w:r>
      <w:proofErr w:type="gramEnd"/>
      <w:r>
        <w:rPr>
          <w:rFonts w:ascii="Times New Roman" w:eastAsia="Times New Roman" w:hAnsi="Times New Roman" w:cs="Times New Roman"/>
          <w:sz w:val="24"/>
          <w:szCs w:val="24"/>
        </w:rPr>
        <w:t xml:space="preserve"> ovaries ,bone marrow ,testes and the whole </w:t>
      </w:r>
      <w:r>
        <w:rPr>
          <w:rFonts w:ascii="Times New Roman" w:eastAsia="Times New Roman" w:hAnsi="Times New Roman" w:cs="Times New Roman"/>
          <w:sz w:val="24"/>
          <w:szCs w:val="24"/>
        </w:rPr>
        <w:t xml:space="preserve">body are 0.64 ,0.58 , 0.69 , 0.82 , 0.68 , respectively . </w:t>
      </w:r>
    </w:p>
    <w:tbl>
      <w:tblPr>
        <w:tblStyle w:val="a2"/>
        <w:tblW w:w="8957"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22"/>
        <w:gridCol w:w="2403"/>
        <w:gridCol w:w="2674"/>
        <w:gridCol w:w="2358"/>
      </w:tblGrid>
      <w:tr w:rsidR="00042BE4" w14:paraId="06DDF783" w14:textId="77777777">
        <w:trPr>
          <w:trHeight w:val="834"/>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03B4812C"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2403" w:type="dxa"/>
            <w:tcBorders>
              <w:top w:val="single" w:sz="4" w:space="0" w:color="000000"/>
              <w:left w:val="nil"/>
              <w:bottom w:val="single" w:sz="4" w:space="0" w:color="000000"/>
              <w:right w:val="single" w:sz="4" w:space="0" w:color="000000"/>
            </w:tcBorders>
            <w:shd w:val="clear" w:color="auto" w:fill="C6D9F1"/>
          </w:tcPr>
          <w:p w14:paraId="3ECC2324" w14:textId="77777777" w:rsidR="00042BE4" w:rsidRDefault="000E4256">
            <w:pPr>
              <w:spacing w:after="0" w:line="276"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p>
        </w:tc>
        <w:tc>
          <w:tcPr>
            <w:tcW w:w="2674" w:type="dxa"/>
            <w:tcBorders>
              <w:top w:val="single" w:sz="4" w:space="0" w:color="000000"/>
              <w:left w:val="nil"/>
              <w:bottom w:val="single" w:sz="4" w:space="0" w:color="000000"/>
              <w:right w:val="single" w:sz="4" w:space="0" w:color="000000"/>
            </w:tcBorders>
            <w:shd w:val="clear" w:color="auto" w:fill="C6D9F1"/>
          </w:tcPr>
          <w:p w14:paraId="386CF1B9"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 Lifetime Cancer Risk (ELCR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p>
        </w:tc>
        <w:tc>
          <w:tcPr>
            <w:tcW w:w="2358" w:type="dxa"/>
            <w:tcBorders>
              <w:top w:val="single" w:sz="4" w:space="0" w:color="000000"/>
              <w:left w:val="nil"/>
              <w:bottom w:val="single" w:sz="4" w:space="0" w:color="000000"/>
              <w:right w:val="single" w:sz="4" w:space="0" w:color="000000"/>
            </w:tcBorders>
            <w:shd w:val="clear" w:color="auto" w:fill="C6D9F1"/>
          </w:tcPr>
          <w:p w14:paraId="46821149"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Dose Rate of Body Organs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p>
        </w:tc>
      </w:tr>
      <w:tr w:rsidR="00042BE4" w14:paraId="47D60AFD"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0C6D15D7" w14:textId="77777777" w:rsidR="00042BE4" w:rsidRDefault="00042BE4">
            <w:pPr>
              <w:spacing w:after="0" w:line="276" w:lineRule="auto"/>
              <w:rPr>
                <w:rFonts w:ascii="Times New Roman" w:eastAsia="Times New Roman" w:hAnsi="Times New Roman" w:cs="Times New Roman"/>
                <w:sz w:val="24"/>
                <w:szCs w:val="24"/>
                <w:u w:val="single"/>
              </w:rPr>
            </w:pPr>
          </w:p>
        </w:tc>
        <w:tc>
          <w:tcPr>
            <w:tcW w:w="2403" w:type="dxa"/>
            <w:tcBorders>
              <w:top w:val="single" w:sz="4" w:space="0" w:color="000000"/>
              <w:left w:val="nil"/>
              <w:bottom w:val="single" w:sz="4" w:space="0" w:color="BEBEBE"/>
              <w:right w:val="single" w:sz="4" w:space="0" w:color="000000"/>
            </w:tcBorders>
            <w:shd w:val="clear" w:color="auto" w:fill="C6D9F1"/>
          </w:tcPr>
          <w:p w14:paraId="4FEB83E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46341.3636</w:t>
            </w:r>
          </w:p>
        </w:tc>
        <w:tc>
          <w:tcPr>
            <w:tcW w:w="2674" w:type="dxa"/>
            <w:tcBorders>
              <w:top w:val="single" w:sz="4" w:space="0" w:color="000000"/>
              <w:left w:val="nil"/>
              <w:bottom w:val="single" w:sz="4" w:space="0" w:color="BEBEBE"/>
              <w:right w:val="single" w:sz="4" w:space="0" w:color="000000"/>
            </w:tcBorders>
            <w:shd w:val="clear" w:color="auto" w:fill="C6D9F1"/>
          </w:tcPr>
          <w:p w14:paraId="192F90C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162194.773</w:t>
            </w:r>
          </w:p>
        </w:tc>
        <w:tc>
          <w:tcPr>
            <w:tcW w:w="2358" w:type="dxa"/>
            <w:tcBorders>
              <w:top w:val="single" w:sz="4" w:space="0" w:color="000000"/>
              <w:left w:val="nil"/>
              <w:bottom w:val="single" w:sz="4" w:space="0" w:color="BEBEBE"/>
              <w:right w:val="single" w:sz="4" w:space="0" w:color="000000"/>
            </w:tcBorders>
            <w:shd w:val="clear" w:color="auto" w:fill="C6D9F1"/>
          </w:tcPr>
          <w:p w14:paraId="50D2F38B"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31512.1272</w:t>
            </w:r>
          </w:p>
        </w:tc>
      </w:tr>
      <w:tr w:rsidR="00042BE4" w14:paraId="2D0D995E" w14:textId="77777777">
        <w:trPr>
          <w:trHeight w:val="290"/>
        </w:trPr>
        <w:tc>
          <w:tcPr>
            <w:tcW w:w="1522" w:type="dxa"/>
            <w:tcBorders>
              <w:top w:val="nil"/>
              <w:left w:val="single" w:sz="4" w:space="0" w:color="000000"/>
              <w:bottom w:val="single" w:sz="4" w:space="0" w:color="000000"/>
              <w:right w:val="single" w:sz="4" w:space="0" w:color="000000"/>
            </w:tcBorders>
            <w:shd w:val="clear" w:color="auto" w:fill="C6D9F1"/>
          </w:tcPr>
          <w:p w14:paraId="79707089"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JMN-1</w:t>
            </w:r>
          </w:p>
        </w:tc>
        <w:tc>
          <w:tcPr>
            <w:tcW w:w="2403" w:type="dxa"/>
            <w:tcBorders>
              <w:top w:val="single" w:sz="4" w:space="0" w:color="BEBEBE"/>
              <w:left w:val="nil"/>
              <w:bottom w:val="single" w:sz="4" w:space="0" w:color="BEBEBE"/>
              <w:right w:val="single" w:sz="4" w:space="0" w:color="000000"/>
            </w:tcBorders>
            <w:shd w:val="clear" w:color="auto" w:fill="C6D9F1"/>
          </w:tcPr>
          <w:p w14:paraId="699A35C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50467.9543</w:t>
            </w:r>
          </w:p>
        </w:tc>
        <w:tc>
          <w:tcPr>
            <w:tcW w:w="2674" w:type="dxa"/>
            <w:tcBorders>
              <w:top w:val="single" w:sz="4" w:space="0" w:color="BEBEBE"/>
              <w:left w:val="nil"/>
              <w:bottom w:val="single" w:sz="4" w:space="0" w:color="BEBEBE"/>
              <w:right w:val="single" w:sz="4" w:space="0" w:color="000000"/>
            </w:tcBorders>
            <w:shd w:val="clear" w:color="auto" w:fill="C6D9F1"/>
          </w:tcPr>
          <w:p w14:paraId="5C0EC10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176637.84</w:t>
            </w:r>
          </w:p>
        </w:tc>
        <w:tc>
          <w:tcPr>
            <w:tcW w:w="2358" w:type="dxa"/>
            <w:tcBorders>
              <w:top w:val="single" w:sz="4" w:space="0" w:color="BEBEBE"/>
              <w:left w:val="nil"/>
              <w:bottom w:val="single" w:sz="4" w:space="0" w:color="BEBEBE"/>
              <w:right w:val="single" w:sz="4" w:space="0" w:color="000000"/>
            </w:tcBorders>
            <w:shd w:val="clear" w:color="auto" w:fill="C6D9F1"/>
          </w:tcPr>
          <w:p w14:paraId="3D10154A"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34318.2089</w:t>
            </w:r>
          </w:p>
        </w:tc>
      </w:tr>
      <w:tr w:rsidR="00042BE4" w14:paraId="55B2DA02"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7DC16AAF"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14:paraId="0026BCFB"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55110.001</w:t>
            </w:r>
          </w:p>
        </w:tc>
        <w:tc>
          <w:tcPr>
            <w:tcW w:w="2674" w:type="dxa"/>
            <w:tcBorders>
              <w:top w:val="single" w:sz="4" w:space="0" w:color="BEBEBE"/>
              <w:left w:val="nil"/>
              <w:bottom w:val="single" w:sz="4" w:space="0" w:color="000000"/>
              <w:right w:val="single" w:sz="4" w:space="0" w:color="000000"/>
            </w:tcBorders>
            <w:shd w:val="clear" w:color="auto" w:fill="C6D9F1"/>
          </w:tcPr>
          <w:p w14:paraId="692C90F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192885.004</w:t>
            </w:r>
          </w:p>
        </w:tc>
        <w:tc>
          <w:tcPr>
            <w:tcW w:w="2358" w:type="dxa"/>
            <w:tcBorders>
              <w:top w:val="single" w:sz="4" w:space="0" w:color="BEBEBE"/>
              <w:left w:val="nil"/>
              <w:bottom w:val="single" w:sz="4" w:space="0" w:color="000000"/>
              <w:right w:val="single" w:sz="4" w:space="0" w:color="000000"/>
            </w:tcBorders>
            <w:shd w:val="clear" w:color="auto" w:fill="C6D9F1"/>
          </w:tcPr>
          <w:p w14:paraId="6DC2653D"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37474.8007</w:t>
            </w:r>
          </w:p>
        </w:tc>
      </w:tr>
      <w:tr w:rsidR="00042BE4" w14:paraId="3A36D3AC"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49625A83"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14:paraId="5D3740F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100771.571</w:t>
            </w:r>
          </w:p>
        </w:tc>
        <w:tc>
          <w:tcPr>
            <w:tcW w:w="2674" w:type="dxa"/>
            <w:tcBorders>
              <w:top w:val="single" w:sz="4" w:space="0" w:color="000000"/>
              <w:left w:val="nil"/>
              <w:bottom w:val="single" w:sz="4" w:space="0" w:color="BEBEBE"/>
              <w:right w:val="single" w:sz="4" w:space="0" w:color="000000"/>
            </w:tcBorders>
            <w:shd w:val="clear" w:color="auto" w:fill="C6D9F1"/>
          </w:tcPr>
          <w:p w14:paraId="2BC4E4E1"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352700.4985</w:t>
            </w:r>
          </w:p>
        </w:tc>
        <w:tc>
          <w:tcPr>
            <w:tcW w:w="2358" w:type="dxa"/>
            <w:tcBorders>
              <w:top w:val="single" w:sz="4" w:space="0" w:color="000000"/>
              <w:left w:val="nil"/>
              <w:bottom w:val="single" w:sz="4" w:space="0" w:color="BEBEBE"/>
              <w:right w:val="single" w:sz="4" w:space="0" w:color="000000"/>
            </w:tcBorders>
            <w:shd w:val="clear" w:color="auto" w:fill="C6D9F1"/>
          </w:tcPr>
          <w:p w14:paraId="3B8D63B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68524.6683</w:t>
            </w:r>
          </w:p>
        </w:tc>
      </w:tr>
      <w:tr w:rsidR="00042BE4" w14:paraId="10076FD7"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64633ACF"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JMN-2</w:t>
            </w:r>
          </w:p>
        </w:tc>
        <w:tc>
          <w:tcPr>
            <w:tcW w:w="2403" w:type="dxa"/>
            <w:tcBorders>
              <w:top w:val="single" w:sz="4" w:space="0" w:color="BEBEBE"/>
              <w:left w:val="nil"/>
              <w:bottom w:val="single" w:sz="4" w:space="0" w:color="BEBEBE"/>
              <w:right w:val="single" w:sz="4" w:space="0" w:color="000000"/>
            </w:tcBorders>
            <w:shd w:val="clear" w:color="auto" w:fill="C6D9F1"/>
          </w:tcPr>
          <w:p w14:paraId="4DD4026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104847.021</w:t>
            </w:r>
          </w:p>
        </w:tc>
        <w:tc>
          <w:tcPr>
            <w:tcW w:w="2674" w:type="dxa"/>
            <w:tcBorders>
              <w:top w:val="single" w:sz="4" w:space="0" w:color="BEBEBE"/>
              <w:left w:val="nil"/>
              <w:bottom w:val="single" w:sz="4" w:space="0" w:color="BEBEBE"/>
              <w:right w:val="single" w:sz="4" w:space="0" w:color="000000"/>
            </w:tcBorders>
            <w:shd w:val="clear" w:color="auto" w:fill="C6D9F1"/>
          </w:tcPr>
          <w:p w14:paraId="596DC04D"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366964.574</w:t>
            </w:r>
          </w:p>
        </w:tc>
        <w:tc>
          <w:tcPr>
            <w:tcW w:w="2358" w:type="dxa"/>
            <w:tcBorders>
              <w:top w:val="single" w:sz="4" w:space="0" w:color="BEBEBE"/>
              <w:left w:val="nil"/>
              <w:bottom w:val="single" w:sz="4" w:space="0" w:color="BEBEBE"/>
              <w:right w:val="single" w:sz="4" w:space="0" w:color="000000"/>
            </w:tcBorders>
            <w:shd w:val="clear" w:color="auto" w:fill="C6D9F1"/>
          </w:tcPr>
          <w:p w14:paraId="6277265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71295.9743</w:t>
            </w:r>
          </w:p>
        </w:tc>
      </w:tr>
      <w:tr w:rsidR="00042BE4" w14:paraId="4A600CCF"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085A4B79"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14:paraId="0B0E158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108973.612</w:t>
            </w:r>
          </w:p>
        </w:tc>
        <w:tc>
          <w:tcPr>
            <w:tcW w:w="2674" w:type="dxa"/>
            <w:tcBorders>
              <w:top w:val="single" w:sz="4" w:space="0" w:color="BEBEBE"/>
              <w:left w:val="nil"/>
              <w:bottom w:val="single" w:sz="4" w:space="0" w:color="000000"/>
              <w:right w:val="single" w:sz="4" w:space="0" w:color="000000"/>
            </w:tcBorders>
            <w:shd w:val="clear" w:color="auto" w:fill="C6D9F1"/>
          </w:tcPr>
          <w:p w14:paraId="365DD60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381407.642</w:t>
            </w:r>
          </w:p>
        </w:tc>
        <w:tc>
          <w:tcPr>
            <w:tcW w:w="2358" w:type="dxa"/>
            <w:tcBorders>
              <w:top w:val="single" w:sz="4" w:space="0" w:color="BEBEBE"/>
              <w:left w:val="nil"/>
              <w:bottom w:val="single" w:sz="4" w:space="0" w:color="000000"/>
              <w:right w:val="single" w:sz="4" w:space="0" w:color="000000"/>
            </w:tcBorders>
            <w:shd w:val="clear" w:color="auto" w:fill="C6D9F1"/>
          </w:tcPr>
          <w:p w14:paraId="48E9BF6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74102.0562</w:t>
            </w:r>
          </w:p>
        </w:tc>
      </w:tr>
      <w:tr w:rsidR="00042BE4" w14:paraId="3C2BBD47"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61D844DA"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14:paraId="40D64F5D"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55496.5622</w:t>
            </w:r>
          </w:p>
        </w:tc>
        <w:tc>
          <w:tcPr>
            <w:tcW w:w="2674" w:type="dxa"/>
            <w:tcBorders>
              <w:top w:val="single" w:sz="4" w:space="0" w:color="000000"/>
              <w:left w:val="nil"/>
              <w:bottom w:val="single" w:sz="4" w:space="0" w:color="BEBEBE"/>
              <w:right w:val="single" w:sz="4" w:space="0" w:color="000000"/>
            </w:tcBorders>
            <w:shd w:val="clear" w:color="auto" w:fill="C6D9F1"/>
          </w:tcPr>
          <w:p w14:paraId="78AF796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194237.968</w:t>
            </w:r>
          </w:p>
        </w:tc>
        <w:tc>
          <w:tcPr>
            <w:tcW w:w="2358" w:type="dxa"/>
            <w:tcBorders>
              <w:top w:val="single" w:sz="4" w:space="0" w:color="000000"/>
              <w:left w:val="nil"/>
              <w:bottom w:val="single" w:sz="4" w:space="0" w:color="BEBEBE"/>
              <w:right w:val="single" w:sz="4" w:space="0" w:color="000000"/>
            </w:tcBorders>
            <w:shd w:val="clear" w:color="auto" w:fill="C6D9F1"/>
          </w:tcPr>
          <w:p w14:paraId="7ED13D5B"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37737.6623</w:t>
            </w:r>
          </w:p>
        </w:tc>
      </w:tr>
      <w:tr w:rsidR="00042BE4" w14:paraId="67BF88C3"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750911F3"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JMN-3</w:t>
            </w:r>
          </w:p>
        </w:tc>
        <w:tc>
          <w:tcPr>
            <w:tcW w:w="2403" w:type="dxa"/>
            <w:tcBorders>
              <w:top w:val="single" w:sz="4" w:space="0" w:color="BEBEBE"/>
              <w:left w:val="nil"/>
              <w:bottom w:val="single" w:sz="4" w:space="0" w:color="BEBEBE"/>
              <w:right w:val="single" w:sz="4" w:space="0" w:color="000000"/>
            </w:tcBorders>
            <w:shd w:val="clear" w:color="auto" w:fill="C6D9F1"/>
          </w:tcPr>
          <w:p w14:paraId="78028A3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59695.020</w:t>
            </w:r>
          </w:p>
        </w:tc>
        <w:tc>
          <w:tcPr>
            <w:tcW w:w="2674" w:type="dxa"/>
            <w:tcBorders>
              <w:top w:val="single" w:sz="4" w:space="0" w:color="BEBEBE"/>
              <w:left w:val="nil"/>
              <w:bottom w:val="single" w:sz="4" w:space="0" w:color="BEBEBE"/>
              <w:right w:val="single" w:sz="4" w:space="0" w:color="000000"/>
            </w:tcBorders>
            <w:shd w:val="clear" w:color="auto" w:fill="C6D9F1"/>
          </w:tcPr>
          <w:p w14:paraId="147D526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208932.57</w:t>
            </w:r>
          </w:p>
        </w:tc>
        <w:tc>
          <w:tcPr>
            <w:tcW w:w="2358" w:type="dxa"/>
            <w:tcBorders>
              <w:top w:val="single" w:sz="4" w:space="0" w:color="BEBEBE"/>
              <w:left w:val="nil"/>
              <w:bottom w:val="single" w:sz="4" w:space="0" w:color="BEBEBE"/>
              <w:right w:val="single" w:sz="4" w:space="0" w:color="000000"/>
            </w:tcBorders>
            <w:shd w:val="clear" w:color="auto" w:fill="C6D9F1"/>
          </w:tcPr>
          <w:p w14:paraId="26CED49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40592.6136</w:t>
            </w:r>
          </w:p>
        </w:tc>
      </w:tr>
      <w:tr w:rsidR="00042BE4" w14:paraId="5F380890"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39EE991A"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14:paraId="11744261"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63770.4698</w:t>
            </w:r>
          </w:p>
        </w:tc>
        <w:tc>
          <w:tcPr>
            <w:tcW w:w="2674" w:type="dxa"/>
            <w:tcBorders>
              <w:top w:val="single" w:sz="4" w:space="0" w:color="BEBEBE"/>
              <w:left w:val="nil"/>
              <w:bottom w:val="single" w:sz="4" w:space="0" w:color="000000"/>
              <w:right w:val="single" w:sz="4" w:space="0" w:color="000000"/>
            </w:tcBorders>
            <w:shd w:val="clear" w:color="auto" w:fill="C6D9F1"/>
          </w:tcPr>
          <w:p w14:paraId="3423451A"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223196.644</w:t>
            </w:r>
          </w:p>
        </w:tc>
        <w:tc>
          <w:tcPr>
            <w:tcW w:w="2358" w:type="dxa"/>
            <w:tcBorders>
              <w:top w:val="single" w:sz="4" w:space="0" w:color="BEBEBE"/>
              <w:left w:val="nil"/>
              <w:bottom w:val="single" w:sz="4" w:space="0" w:color="000000"/>
              <w:right w:val="single" w:sz="4" w:space="0" w:color="000000"/>
            </w:tcBorders>
            <w:shd w:val="clear" w:color="auto" w:fill="C6D9F1"/>
          </w:tcPr>
          <w:p w14:paraId="481EC35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43363.9195</w:t>
            </w:r>
          </w:p>
        </w:tc>
      </w:tr>
      <w:tr w:rsidR="00042BE4" w14:paraId="74F7D4BA"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03AD6C1C"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14:paraId="2F1921F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78176.7454</w:t>
            </w:r>
          </w:p>
        </w:tc>
        <w:tc>
          <w:tcPr>
            <w:tcW w:w="2674" w:type="dxa"/>
            <w:tcBorders>
              <w:top w:val="single" w:sz="4" w:space="0" w:color="000000"/>
              <w:left w:val="nil"/>
              <w:bottom w:val="single" w:sz="4" w:space="0" w:color="BEBEBE"/>
              <w:right w:val="single" w:sz="4" w:space="0" w:color="000000"/>
            </w:tcBorders>
            <w:shd w:val="clear" w:color="auto" w:fill="C6D9F1"/>
          </w:tcPr>
          <w:p w14:paraId="72382E7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273618.609</w:t>
            </w:r>
          </w:p>
        </w:tc>
        <w:tc>
          <w:tcPr>
            <w:tcW w:w="2358" w:type="dxa"/>
            <w:tcBorders>
              <w:top w:val="single" w:sz="4" w:space="0" w:color="000000"/>
              <w:left w:val="nil"/>
              <w:bottom w:val="single" w:sz="4" w:space="0" w:color="BEBEBE"/>
              <w:right w:val="single" w:sz="4" w:space="0" w:color="000000"/>
            </w:tcBorders>
            <w:shd w:val="clear" w:color="auto" w:fill="C6D9F1"/>
          </w:tcPr>
          <w:p w14:paraId="705B2DC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53160.1869</w:t>
            </w:r>
          </w:p>
        </w:tc>
      </w:tr>
      <w:tr w:rsidR="00042BE4" w14:paraId="41BA0AF5"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62A8CEA4"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JMN-4</w:t>
            </w:r>
          </w:p>
        </w:tc>
        <w:tc>
          <w:tcPr>
            <w:tcW w:w="2403" w:type="dxa"/>
            <w:tcBorders>
              <w:top w:val="single" w:sz="4" w:space="0" w:color="BEBEBE"/>
              <w:left w:val="nil"/>
              <w:bottom w:val="single" w:sz="4" w:space="0" w:color="BEBEBE"/>
              <w:right w:val="single" w:sz="4" w:space="0" w:color="000000"/>
            </w:tcBorders>
            <w:shd w:val="clear" w:color="auto" w:fill="C6D9F1"/>
          </w:tcPr>
          <w:p w14:paraId="010C592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81634.4575</w:t>
            </w:r>
          </w:p>
        </w:tc>
        <w:tc>
          <w:tcPr>
            <w:tcW w:w="2674" w:type="dxa"/>
            <w:tcBorders>
              <w:top w:val="single" w:sz="4" w:space="0" w:color="BEBEBE"/>
              <w:left w:val="nil"/>
              <w:bottom w:val="single" w:sz="4" w:space="0" w:color="BEBEBE"/>
              <w:right w:val="single" w:sz="4" w:space="0" w:color="000000"/>
            </w:tcBorders>
            <w:shd w:val="clear" w:color="auto" w:fill="C6D9F1"/>
          </w:tcPr>
          <w:p w14:paraId="51C4CC0A"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285720.601</w:t>
            </w:r>
          </w:p>
        </w:tc>
        <w:tc>
          <w:tcPr>
            <w:tcW w:w="2358" w:type="dxa"/>
            <w:tcBorders>
              <w:top w:val="single" w:sz="4" w:space="0" w:color="BEBEBE"/>
              <w:left w:val="nil"/>
              <w:bottom w:val="single" w:sz="4" w:space="0" w:color="BEBEBE"/>
              <w:right w:val="single" w:sz="4" w:space="0" w:color="000000"/>
            </w:tcBorders>
            <w:shd w:val="clear" w:color="auto" w:fill="C6D9F1"/>
          </w:tcPr>
          <w:p w14:paraId="05D46F2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55511.4311</w:t>
            </w:r>
          </w:p>
        </w:tc>
      </w:tr>
      <w:tr w:rsidR="00042BE4" w14:paraId="3330C0D9" w14:textId="77777777">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19432B47" w14:textId="77777777"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14:paraId="40E0073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87068.3906</w:t>
            </w:r>
          </w:p>
        </w:tc>
        <w:tc>
          <w:tcPr>
            <w:tcW w:w="2674" w:type="dxa"/>
            <w:tcBorders>
              <w:top w:val="single" w:sz="4" w:space="0" w:color="BEBEBE"/>
              <w:left w:val="nil"/>
              <w:bottom w:val="single" w:sz="4" w:space="0" w:color="000000"/>
              <w:right w:val="single" w:sz="4" w:space="0" w:color="000000"/>
            </w:tcBorders>
            <w:shd w:val="clear" w:color="auto" w:fill="C6D9F1"/>
          </w:tcPr>
          <w:p w14:paraId="6D81298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304739.367</w:t>
            </w:r>
          </w:p>
        </w:tc>
        <w:tc>
          <w:tcPr>
            <w:tcW w:w="2358" w:type="dxa"/>
            <w:tcBorders>
              <w:top w:val="single" w:sz="4" w:space="0" w:color="BEBEBE"/>
              <w:left w:val="nil"/>
              <w:bottom w:val="single" w:sz="4" w:space="0" w:color="000000"/>
              <w:right w:val="single" w:sz="4" w:space="0" w:color="000000"/>
            </w:tcBorders>
            <w:shd w:val="clear" w:color="auto" w:fill="C6D9F1"/>
          </w:tcPr>
          <w:p w14:paraId="0F22555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59206.5091</w:t>
            </w:r>
          </w:p>
        </w:tc>
      </w:tr>
      <w:tr w:rsidR="00042BE4" w14:paraId="645B68EC" w14:textId="77777777">
        <w:trPr>
          <w:trHeight w:val="638"/>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14:paraId="7063214A"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403" w:type="dxa"/>
            <w:tcBorders>
              <w:top w:val="single" w:sz="4" w:space="0" w:color="000000"/>
              <w:left w:val="nil"/>
              <w:bottom w:val="single" w:sz="4" w:space="0" w:color="000000"/>
              <w:right w:val="single" w:sz="4" w:space="0" w:color="000000"/>
            </w:tcBorders>
            <w:shd w:val="clear" w:color="auto" w:fill="C6D9F1"/>
          </w:tcPr>
          <w:p w14:paraId="260119A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74362.764</w:t>
            </w:r>
          </w:p>
        </w:tc>
        <w:tc>
          <w:tcPr>
            <w:tcW w:w="2674" w:type="dxa"/>
            <w:tcBorders>
              <w:top w:val="single" w:sz="4" w:space="0" w:color="000000"/>
              <w:left w:val="nil"/>
              <w:bottom w:val="single" w:sz="4" w:space="0" w:color="000000"/>
              <w:right w:val="single" w:sz="4" w:space="0" w:color="000000"/>
            </w:tcBorders>
            <w:shd w:val="clear" w:color="auto" w:fill="C6D9F1"/>
          </w:tcPr>
          <w:p w14:paraId="1341182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260269.674</w:t>
            </w:r>
          </w:p>
        </w:tc>
        <w:tc>
          <w:tcPr>
            <w:tcW w:w="2358" w:type="dxa"/>
            <w:tcBorders>
              <w:top w:val="single" w:sz="4" w:space="0" w:color="000000"/>
              <w:left w:val="nil"/>
              <w:bottom w:val="single" w:sz="4" w:space="0" w:color="000000"/>
              <w:right w:val="single" w:sz="4" w:space="0" w:color="000000"/>
            </w:tcBorders>
            <w:shd w:val="clear" w:color="auto" w:fill="C6D9F1"/>
          </w:tcPr>
          <w:p w14:paraId="43490BED"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50566.67984</w:t>
            </w:r>
          </w:p>
        </w:tc>
      </w:tr>
    </w:tbl>
    <w:p w14:paraId="21D5202B"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AED, ELCR,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 xml:space="preserve">  calculated</w:t>
      </w:r>
      <w:proofErr w:type="gramEnd"/>
      <w:r>
        <w:rPr>
          <w:rFonts w:ascii="Times New Roman" w:eastAsia="Times New Roman" w:hAnsi="Times New Roman" w:cs="Times New Roman"/>
          <w:sz w:val="24"/>
          <w:szCs w:val="24"/>
        </w:rPr>
        <w:t xml:space="preserve"> values of  Jal Mahal.</w:t>
      </w:r>
    </w:p>
    <w:p w14:paraId="083FE3D2"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6E09FE7" wp14:editId="3263434D">
            <wp:extent cx="5848350" cy="3048000"/>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5"/>
                    <a:srcRect/>
                    <a:stretch>
                      <a:fillRect/>
                    </a:stretch>
                  </pic:blipFill>
                  <pic:spPr>
                    <a:xfrm>
                      <a:off x="0" y="0"/>
                      <a:ext cx="5848350" cy="3048000"/>
                    </a:xfrm>
                    <a:prstGeom prst="rect">
                      <a:avLst/>
                    </a:prstGeom>
                    <a:ln/>
                  </pic:spPr>
                </pic:pic>
              </a:graphicData>
            </a:graphic>
          </wp:inline>
        </w:drawing>
      </w:r>
    </w:p>
    <w:p w14:paraId="1613ACBC"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8: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Mahal Annual Effective Dose (AED) with Excess Life Time Cancer Risk  (ELCR).</w:t>
      </w:r>
    </w:p>
    <w:p w14:paraId="0BD659AE" w14:textId="77777777" w:rsidR="00042BE4" w:rsidRDefault="00042BE4">
      <w:pPr>
        <w:rPr>
          <w:rFonts w:ascii="Times New Roman" w:eastAsia="Times New Roman" w:hAnsi="Times New Roman" w:cs="Times New Roman"/>
          <w:sz w:val="24"/>
          <w:szCs w:val="24"/>
        </w:rPr>
      </w:pPr>
    </w:p>
    <w:p w14:paraId="393B1039"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19A768" wp14:editId="643810BA">
            <wp:extent cx="5981700" cy="306705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5981700" cy="3067050"/>
                    </a:xfrm>
                    <a:prstGeom prst="rect">
                      <a:avLst/>
                    </a:prstGeom>
                    <a:ln/>
                  </pic:spPr>
                </pic:pic>
              </a:graphicData>
            </a:graphic>
          </wp:inline>
        </w:drawing>
      </w:r>
    </w:p>
    <w:p w14:paraId="29EA3466"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9: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Annual Effective Dose (AED) with Dose rate of Body Organ (</w:t>
      </w:r>
      <w:proofErr w:type="spellStart"/>
      <w:r>
        <w:rPr>
          <w:rFonts w:ascii="Times New Roman" w:eastAsia="Times New Roman" w:hAnsi="Times New Roman" w:cs="Times New Roman"/>
          <w:sz w:val="24"/>
          <w:szCs w:val="24"/>
        </w:rPr>
        <w:t>Dorg</w:t>
      </w:r>
      <w:proofErr w:type="spellEnd"/>
      <w:r>
        <w:rPr>
          <w:rFonts w:ascii="Times New Roman" w:eastAsia="Times New Roman" w:hAnsi="Times New Roman" w:cs="Times New Roman"/>
          <w:sz w:val="24"/>
          <w:szCs w:val="24"/>
        </w:rPr>
        <w:t>).</w:t>
      </w:r>
    </w:p>
    <w:p w14:paraId="18E8F0CB" w14:textId="77777777" w:rsidR="00042BE4" w:rsidRDefault="00042BE4">
      <w:pPr>
        <w:rPr>
          <w:rFonts w:ascii="Times New Roman" w:eastAsia="Times New Roman" w:hAnsi="Times New Roman" w:cs="Times New Roman"/>
          <w:sz w:val="24"/>
          <w:szCs w:val="24"/>
        </w:rPr>
      </w:pPr>
    </w:p>
    <w:tbl>
      <w:tblPr>
        <w:tblStyle w:val="a3"/>
        <w:tblW w:w="8073"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51"/>
        <w:gridCol w:w="2162"/>
        <w:gridCol w:w="1890"/>
        <w:gridCol w:w="2970"/>
      </w:tblGrid>
      <w:tr w:rsidR="00042BE4" w14:paraId="74F9498D" w14:textId="77777777">
        <w:trPr>
          <w:trHeight w:val="914"/>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3B6A5704"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Sample</w:t>
            </w:r>
          </w:p>
        </w:tc>
        <w:tc>
          <w:tcPr>
            <w:tcW w:w="2162" w:type="dxa"/>
            <w:tcBorders>
              <w:top w:val="single" w:sz="4" w:space="0" w:color="000000"/>
              <w:left w:val="nil"/>
              <w:bottom w:val="single" w:sz="4" w:space="0" w:color="000000"/>
              <w:right w:val="single" w:sz="4" w:space="0" w:color="000000"/>
            </w:tcBorders>
            <w:shd w:val="clear" w:color="auto" w:fill="FBD5B5"/>
          </w:tcPr>
          <w:p w14:paraId="799901ED" w14:textId="77777777" w:rsidR="00042BE4" w:rsidRDefault="000E4256">
            <w:pPr>
              <w:spacing w:after="0" w:line="276"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p>
        </w:tc>
        <w:tc>
          <w:tcPr>
            <w:tcW w:w="1890" w:type="dxa"/>
            <w:tcBorders>
              <w:top w:val="single" w:sz="4" w:space="0" w:color="000000"/>
              <w:left w:val="nil"/>
              <w:bottom w:val="single" w:sz="4" w:space="0" w:color="000000"/>
              <w:right w:val="single" w:sz="4" w:space="0" w:color="000000"/>
            </w:tcBorders>
            <w:shd w:val="clear" w:color="auto" w:fill="FBD5B5"/>
          </w:tcPr>
          <w:p w14:paraId="7DEBDA41"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Excess Lifetime </w:t>
            </w:r>
            <w:r>
              <w:rPr>
                <w:rFonts w:ascii="Times New Roman" w:eastAsia="Times New Roman" w:hAnsi="Times New Roman" w:cs="Times New Roman"/>
                <w:sz w:val="24"/>
                <w:szCs w:val="24"/>
              </w:rPr>
              <w:t>Cancer Risk (ELCR)×10</w:t>
            </w:r>
            <w:r>
              <w:rPr>
                <w:rFonts w:ascii="Times New Roman" w:eastAsia="Times New Roman" w:hAnsi="Times New Roman" w:cs="Times New Roman"/>
                <w:sz w:val="24"/>
                <w:szCs w:val="24"/>
                <w:vertAlign w:val="superscript"/>
              </w:rPr>
              <w:t>-6</w:t>
            </w:r>
          </w:p>
        </w:tc>
        <w:tc>
          <w:tcPr>
            <w:tcW w:w="2970" w:type="dxa"/>
            <w:tcBorders>
              <w:top w:val="single" w:sz="4" w:space="0" w:color="000000"/>
              <w:left w:val="nil"/>
              <w:bottom w:val="single" w:sz="4" w:space="0" w:color="000000"/>
              <w:right w:val="single" w:sz="4" w:space="0" w:color="000000"/>
            </w:tcBorders>
            <w:shd w:val="clear" w:color="auto" w:fill="FBD5B5"/>
          </w:tcPr>
          <w:p w14:paraId="5C20E4E0"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Dose Rate of Body Organs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p>
        </w:tc>
      </w:tr>
      <w:tr w:rsidR="00042BE4" w14:paraId="2809F003"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1A87A0CF" w14:textId="77777777"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14:paraId="6030DEF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65950.3958</w:t>
            </w:r>
          </w:p>
        </w:tc>
        <w:tc>
          <w:tcPr>
            <w:tcW w:w="1890" w:type="dxa"/>
            <w:tcBorders>
              <w:top w:val="single" w:sz="4" w:space="0" w:color="000000"/>
              <w:left w:val="nil"/>
              <w:bottom w:val="single" w:sz="4" w:space="0" w:color="BEBEBE"/>
              <w:right w:val="single" w:sz="4" w:space="0" w:color="000000"/>
            </w:tcBorders>
            <w:shd w:val="clear" w:color="auto" w:fill="FBD5B5"/>
          </w:tcPr>
          <w:p w14:paraId="4DE6ABA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230826.385</w:t>
            </w:r>
          </w:p>
        </w:tc>
        <w:tc>
          <w:tcPr>
            <w:tcW w:w="2970" w:type="dxa"/>
            <w:tcBorders>
              <w:top w:val="single" w:sz="4" w:space="0" w:color="000000"/>
              <w:left w:val="nil"/>
              <w:bottom w:val="single" w:sz="4" w:space="0" w:color="BEBEBE"/>
              <w:right w:val="single" w:sz="4" w:space="0" w:color="000000"/>
            </w:tcBorders>
            <w:shd w:val="clear" w:color="auto" w:fill="FBD5B5"/>
          </w:tcPr>
          <w:p w14:paraId="2554248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44846.2691</w:t>
            </w:r>
          </w:p>
        </w:tc>
      </w:tr>
      <w:tr w:rsidR="00042BE4" w14:paraId="6935683E"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204979EF"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CGN-5</w:t>
            </w:r>
          </w:p>
        </w:tc>
        <w:tc>
          <w:tcPr>
            <w:tcW w:w="2162" w:type="dxa"/>
            <w:tcBorders>
              <w:top w:val="single" w:sz="4" w:space="0" w:color="BEBEBE"/>
              <w:left w:val="nil"/>
              <w:bottom w:val="single" w:sz="4" w:space="0" w:color="BEBEBE"/>
              <w:right w:val="single" w:sz="4" w:space="0" w:color="000000"/>
            </w:tcBorders>
            <w:shd w:val="clear" w:color="auto" w:fill="FBD5B5"/>
          </w:tcPr>
          <w:p w14:paraId="3DD78D4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69285.1001</w:t>
            </w:r>
          </w:p>
        </w:tc>
        <w:tc>
          <w:tcPr>
            <w:tcW w:w="1890" w:type="dxa"/>
            <w:tcBorders>
              <w:top w:val="single" w:sz="4" w:space="0" w:color="BEBEBE"/>
              <w:left w:val="nil"/>
              <w:bottom w:val="single" w:sz="4" w:space="0" w:color="BEBEBE"/>
              <w:right w:val="single" w:sz="4" w:space="0" w:color="000000"/>
            </w:tcBorders>
            <w:shd w:val="clear" w:color="auto" w:fill="FBD5B5"/>
          </w:tcPr>
          <w:p w14:paraId="1154CE1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242497.85</w:t>
            </w:r>
          </w:p>
        </w:tc>
        <w:tc>
          <w:tcPr>
            <w:tcW w:w="2970" w:type="dxa"/>
            <w:tcBorders>
              <w:top w:val="single" w:sz="4" w:space="0" w:color="BEBEBE"/>
              <w:left w:val="nil"/>
              <w:bottom w:val="single" w:sz="4" w:space="0" w:color="BEBEBE"/>
              <w:right w:val="single" w:sz="4" w:space="0" w:color="000000"/>
            </w:tcBorders>
            <w:shd w:val="clear" w:color="auto" w:fill="FBD5B5"/>
          </w:tcPr>
          <w:p w14:paraId="7D74142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47113.8681</w:t>
            </w:r>
          </w:p>
        </w:tc>
      </w:tr>
      <w:tr w:rsidR="00042BE4" w14:paraId="0F30893E"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40ECF128" w14:textId="77777777"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14:paraId="5CEC752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73411.6908</w:t>
            </w:r>
          </w:p>
        </w:tc>
        <w:tc>
          <w:tcPr>
            <w:tcW w:w="1890" w:type="dxa"/>
            <w:tcBorders>
              <w:top w:val="single" w:sz="4" w:space="0" w:color="BEBEBE"/>
              <w:left w:val="nil"/>
              <w:bottom w:val="single" w:sz="4" w:space="0" w:color="000000"/>
              <w:right w:val="single" w:sz="4" w:space="0" w:color="000000"/>
            </w:tcBorders>
            <w:shd w:val="clear" w:color="auto" w:fill="FBD5B5"/>
          </w:tcPr>
          <w:p w14:paraId="765843E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256940.918</w:t>
            </w:r>
          </w:p>
        </w:tc>
        <w:tc>
          <w:tcPr>
            <w:tcW w:w="2970" w:type="dxa"/>
            <w:tcBorders>
              <w:top w:val="single" w:sz="4" w:space="0" w:color="BEBEBE"/>
              <w:left w:val="nil"/>
              <w:bottom w:val="single" w:sz="4" w:space="0" w:color="000000"/>
              <w:right w:val="single" w:sz="4" w:space="0" w:color="000000"/>
            </w:tcBorders>
            <w:shd w:val="clear" w:color="auto" w:fill="FBD5B5"/>
          </w:tcPr>
          <w:p w14:paraId="33318E6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49919.9497</w:t>
            </w:r>
          </w:p>
        </w:tc>
      </w:tr>
      <w:tr w:rsidR="00042BE4" w14:paraId="27D71484"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540DCD1D" w14:textId="77777777"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14:paraId="3082B73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102232.336</w:t>
            </w:r>
          </w:p>
        </w:tc>
        <w:tc>
          <w:tcPr>
            <w:tcW w:w="1890" w:type="dxa"/>
            <w:tcBorders>
              <w:top w:val="single" w:sz="4" w:space="0" w:color="000000"/>
              <w:left w:val="nil"/>
              <w:bottom w:val="single" w:sz="4" w:space="0" w:color="BEBEBE"/>
              <w:right w:val="single" w:sz="4" w:space="0" w:color="000000"/>
            </w:tcBorders>
            <w:shd w:val="clear" w:color="auto" w:fill="FBD5B5"/>
          </w:tcPr>
          <w:p w14:paraId="21BB7F1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357813.176</w:t>
            </w:r>
          </w:p>
        </w:tc>
        <w:tc>
          <w:tcPr>
            <w:tcW w:w="2970" w:type="dxa"/>
            <w:tcBorders>
              <w:top w:val="single" w:sz="4" w:space="0" w:color="000000"/>
              <w:left w:val="nil"/>
              <w:bottom w:val="single" w:sz="4" w:space="0" w:color="BEBEBE"/>
              <w:right w:val="single" w:sz="4" w:space="0" w:color="000000"/>
            </w:tcBorders>
            <w:shd w:val="clear" w:color="auto" w:fill="FBD5B5"/>
          </w:tcPr>
          <w:p w14:paraId="310855FA"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69517.9885</w:t>
            </w:r>
          </w:p>
        </w:tc>
      </w:tr>
      <w:tr w:rsidR="00042BE4" w14:paraId="703F2C11"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013AC461"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CGN-6</w:t>
            </w:r>
          </w:p>
        </w:tc>
        <w:tc>
          <w:tcPr>
            <w:tcW w:w="2162" w:type="dxa"/>
            <w:tcBorders>
              <w:top w:val="single" w:sz="4" w:space="0" w:color="BEBEBE"/>
              <w:left w:val="nil"/>
              <w:bottom w:val="single" w:sz="4" w:space="0" w:color="BEBEBE"/>
              <w:right w:val="single" w:sz="4" w:space="0" w:color="000000"/>
            </w:tcBorders>
            <w:shd w:val="clear" w:color="auto" w:fill="FBD5B5"/>
          </w:tcPr>
          <w:p w14:paraId="468C6819"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106823.242</w:t>
            </w:r>
          </w:p>
        </w:tc>
        <w:tc>
          <w:tcPr>
            <w:tcW w:w="1890" w:type="dxa"/>
            <w:tcBorders>
              <w:top w:val="single" w:sz="4" w:space="0" w:color="BEBEBE"/>
              <w:left w:val="nil"/>
              <w:bottom w:val="single" w:sz="4" w:space="0" w:color="BEBEBE"/>
              <w:right w:val="single" w:sz="4" w:space="0" w:color="000000"/>
            </w:tcBorders>
            <w:shd w:val="clear" w:color="auto" w:fill="FBD5B5"/>
          </w:tcPr>
          <w:p w14:paraId="13825D0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373881.347</w:t>
            </w:r>
          </w:p>
        </w:tc>
        <w:tc>
          <w:tcPr>
            <w:tcW w:w="2970" w:type="dxa"/>
            <w:tcBorders>
              <w:top w:val="single" w:sz="4" w:space="0" w:color="BEBEBE"/>
              <w:left w:val="nil"/>
              <w:bottom w:val="single" w:sz="4" w:space="0" w:color="BEBEBE"/>
              <w:right w:val="single" w:sz="4" w:space="0" w:color="000000"/>
            </w:tcBorders>
            <w:shd w:val="clear" w:color="auto" w:fill="FBD5B5"/>
          </w:tcPr>
          <w:p w14:paraId="0B37A199"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72639.8046</w:t>
            </w:r>
          </w:p>
        </w:tc>
      </w:tr>
      <w:tr w:rsidR="00042BE4" w14:paraId="450EFC99"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428A7EF0" w14:textId="77777777"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14:paraId="5634934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110898.692</w:t>
            </w:r>
          </w:p>
        </w:tc>
        <w:tc>
          <w:tcPr>
            <w:tcW w:w="1890" w:type="dxa"/>
            <w:tcBorders>
              <w:top w:val="single" w:sz="4" w:space="0" w:color="BEBEBE"/>
              <w:left w:val="nil"/>
              <w:bottom w:val="single" w:sz="4" w:space="0" w:color="000000"/>
              <w:right w:val="single" w:sz="4" w:space="0" w:color="000000"/>
            </w:tcBorders>
            <w:shd w:val="clear" w:color="auto" w:fill="FBD5B5"/>
          </w:tcPr>
          <w:p w14:paraId="3A02FFA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388145.422</w:t>
            </w:r>
          </w:p>
        </w:tc>
        <w:tc>
          <w:tcPr>
            <w:tcW w:w="2970" w:type="dxa"/>
            <w:tcBorders>
              <w:top w:val="single" w:sz="4" w:space="0" w:color="BEBEBE"/>
              <w:left w:val="nil"/>
              <w:bottom w:val="single" w:sz="4" w:space="0" w:color="000000"/>
              <w:right w:val="single" w:sz="4" w:space="0" w:color="000000"/>
            </w:tcBorders>
            <w:shd w:val="clear" w:color="auto" w:fill="FBD5B5"/>
          </w:tcPr>
          <w:p w14:paraId="20179DD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75411.1106</w:t>
            </w:r>
          </w:p>
        </w:tc>
      </w:tr>
      <w:tr w:rsidR="00042BE4" w14:paraId="1CD5C5F0"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6AFD5BF6" w14:textId="77777777"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14:paraId="14BDD92B"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75722.351</w:t>
            </w:r>
          </w:p>
        </w:tc>
        <w:tc>
          <w:tcPr>
            <w:tcW w:w="1890" w:type="dxa"/>
            <w:tcBorders>
              <w:top w:val="single" w:sz="4" w:space="0" w:color="000000"/>
              <w:left w:val="nil"/>
              <w:bottom w:val="single" w:sz="4" w:space="0" w:color="BEBEBE"/>
              <w:right w:val="single" w:sz="4" w:space="0" w:color="000000"/>
            </w:tcBorders>
            <w:shd w:val="clear" w:color="auto" w:fill="FBD5B5"/>
          </w:tcPr>
          <w:p w14:paraId="5240F03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265028.229</w:t>
            </w:r>
          </w:p>
        </w:tc>
        <w:tc>
          <w:tcPr>
            <w:tcW w:w="2970" w:type="dxa"/>
            <w:tcBorders>
              <w:top w:val="single" w:sz="4" w:space="0" w:color="000000"/>
              <w:left w:val="nil"/>
              <w:bottom w:val="single" w:sz="4" w:space="0" w:color="BEBEBE"/>
              <w:right w:val="single" w:sz="4" w:space="0" w:color="000000"/>
            </w:tcBorders>
            <w:shd w:val="clear" w:color="auto" w:fill="FBD5B5"/>
          </w:tcPr>
          <w:p w14:paraId="204BF3D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51491.1987</w:t>
            </w:r>
          </w:p>
        </w:tc>
      </w:tr>
      <w:tr w:rsidR="00042BE4" w14:paraId="7FDD3E9A"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50174B53"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CGN-7</w:t>
            </w:r>
          </w:p>
        </w:tc>
        <w:tc>
          <w:tcPr>
            <w:tcW w:w="2162" w:type="dxa"/>
            <w:tcBorders>
              <w:top w:val="single" w:sz="4" w:space="0" w:color="BEBEBE"/>
              <w:left w:val="nil"/>
              <w:bottom w:val="single" w:sz="4" w:space="0" w:color="BEBEBE"/>
              <w:right w:val="single" w:sz="4" w:space="0" w:color="000000"/>
            </w:tcBorders>
            <w:shd w:val="clear" w:color="auto" w:fill="FBD5B5"/>
          </w:tcPr>
          <w:p w14:paraId="28B17F6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79746.66</w:t>
            </w:r>
          </w:p>
        </w:tc>
        <w:tc>
          <w:tcPr>
            <w:tcW w:w="1890" w:type="dxa"/>
            <w:tcBorders>
              <w:top w:val="single" w:sz="4" w:space="0" w:color="BEBEBE"/>
              <w:left w:val="nil"/>
              <w:bottom w:val="single" w:sz="4" w:space="0" w:color="BEBEBE"/>
              <w:right w:val="single" w:sz="4" w:space="0" w:color="000000"/>
            </w:tcBorders>
            <w:shd w:val="clear" w:color="auto" w:fill="FBD5B5"/>
          </w:tcPr>
          <w:p w14:paraId="3C715A80"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279113.31</w:t>
            </w:r>
          </w:p>
        </w:tc>
        <w:tc>
          <w:tcPr>
            <w:tcW w:w="2970" w:type="dxa"/>
            <w:tcBorders>
              <w:top w:val="single" w:sz="4" w:space="0" w:color="BEBEBE"/>
              <w:left w:val="nil"/>
              <w:bottom w:val="single" w:sz="4" w:space="0" w:color="BEBEBE"/>
              <w:right w:val="single" w:sz="4" w:space="0" w:color="000000"/>
            </w:tcBorders>
            <w:shd w:val="clear" w:color="auto" w:fill="FBD5B5"/>
          </w:tcPr>
          <w:p w14:paraId="63A9B04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54227.7288</w:t>
            </w:r>
          </w:p>
        </w:tc>
      </w:tr>
      <w:tr w:rsidR="00042BE4" w14:paraId="086FA653" w14:textId="77777777">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65B7A8D5" w14:textId="77777777"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14:paraId="51D4DC3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83822.1098</w:t>
            </w:r>
          </w:p>
        </w:tc>
        <w:tc>
          <w:tcPr>
            <w:tcW w:w="1890" w:type="dxa"/>
            <w:tcBorders>
              <w:top w:val="single" w:sz="4" w:space="0" w:color="BEBEBE"/>
              <w:left w:val="nil"/>
              <w:bottom w:val="single" w:sz="4" w:space="0" w:color="000000"/>
              <w:right w:val="single" w:sz="4" w:space="0" w:color="000000"/>
            </w:tcBorders>
            <w:shd w:val="clear" w:color="auto" w:fill="FBD5B5"/>
          </w:tcPr>
          <w:p w14:paraId="6E10952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293377.384</w:t>
            </w:r>
          </w:p>
        </w:tc>
        <w:tc>
          <w:tcPr>
            <w:tcW w:w="2970" w:type="dxa"/>
            <w:tcBorders>
              <w:top w:val="single" w:sz="4" w:space="0" w:color="BEBEBE"/>
              <w:left w:val="nil"/>
              <w:bottom w:val="single" w:sz="4" w:space="0" w:color="000000"/>
              <w:right w:val="single" w:sz="4" w:space="0" w:color="000000"/>
            </w:tcBorders>
            <w:shd w:val="clear" w:color="auto" w:fill="FBD5B5"/>
          </w:tcPr>
          <w:p w14:paraId="0D36BFFB"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56999.0347</w:t>
            </w:r>
          </w:p>
        </w:tc>
      </w:tr>
      <w:tr w:rsidR="00042BE4" w14:paraId="6378DF30" w14:textId="77777777">
        <w:trPr>
          <w:trHeight w:val="580"/>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14:paraId="3E4C8316"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162" w:type="dxa"/>
            <w:tcBorders>
              <w:top w:val="single" w:sz="4" w:space="0" w:color="000000"/>
              <w:left w:val="nil"/>
              <w:bottom w:val="single" w:sz="4" w:space="0" w:color="000000"/>
              <w:right w:val="single" w:sz="4" w:space="0" w:color="000000"/>
            </w:tcBorders>
            <w:shd w:val="clear" w:color="auto" w:fill="FBD5B5"/>
          </w:tcPr>
          <w:p w14:paraId="184DC10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85321.3975</w:t>
            </w:r>
          </w:p>
        </w:tc>
        <w:tc>
          <w:tcPr>
            <w:tcW w:w="1890" w:type="dxa"/>
            <w:tcBorders>
              <w:top w:val="single" w:sz="4" w:space="0" w:color="000000"/>
              <w:left w:val="nil"/>
              <w:bottom w:val="single" w:sz="4" w:space="0" w:color="000000"/>
              <w:right w:val="single" w:sz="4" w:space="0" w:color="000000"/>
            </w:tcBorders>
            <w:shd w:val="clear" w:color="auto" w:fill="FBD5B5"/>
          </w:tcPr>
          <w:p w14:paraId="79F301CE"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298624.891</w:t>
            </w:r>
          </w:p>
        </w:tc>
        <w:tc>
          <w:tcPr>
            <w:tcW w:w="2970" w:type="dxa"/>
            <w:tcBorders>
              <w:top w:val="single" w:sz="4" w:space="0" w:color="000000"/>
              <w:left w:val="nil"/>
              <w:bottom w:val="single" w:sz="4" w:space="0" w:color="000000"/>
              <w:right w:val="single" w:sz="4" w:space="0" w:color="000000"/>
            </w:tcBorders>
            <w:shd w:val="clear" w:color="auto" w:fill="FBD5B5"/>
          </w:tcPr>
          <w:p w14:paraId="7A993AF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58018.5503</w:t>
            </w:r>
          </w:p>
        </w:tc>
      </w:tr>
    </w:tbl>
    <w:p w14:paraId="2F172834"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:5 AED, </w:t>
      </w:r>
      <w:proofErr w:type="gramStart"/>
      <w:r>
        <w:rPr>
          <w:rFonts w:ascii="Times New Roman" w:eastAsia="Times New Roman" w:hAnsi="Times New Roman" w:cs="Times New Roman"/>
          <w:sz w:val="24"/>
          <w:szCs w:val="24"/>
        </w:rPr>
        <w:t>ELCR ,D</w:t>
      </w:r>
      <w:r>
        <w:rPr>
          <w:rFonts w:ascii="Times New Roman" w:eastAsia="Times New Roman" w:hAnsi="Times New Roman" w:cs="Times New Roman"/>
          <w:sz w:val="24"/>
          <w:szCs w:val="24"/>
          <w:vertAlign w:val="subscript"/>
        </w:rPr>
        <w:t>organ</w:t>
      </w:r>
      <w:proofErr w:type="gram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calculated values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w:t>
      </w:r>
    </w:p>
    <w:p w14:paraId="266E1EB8" w14:textId="77777777" w:rsidR="00042BE4" w:rsidRDefault="00042BE4">
      <w:pPr>
        <w:jc w:val="center"/>
        <w:rPr>
          <w:rFonts w:ascii="Times New Roman" w:eastAsia="Times New Roman" w:hAnsi="Times New Roman" w:cs="Times New Roman"/>
          <w:sz w:val="24"/>
          <w:szCs w:val="24"/>
        </w:rPr>
      </w:pPr>
    </w:p>
    <w:p w14:paraId="699D4BCA"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E6A881" wp14:editId="0CDB3D26">
            <wp:extent cx="5734050" cy="2962275"/>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7"/>
                    <a:srcRect/>
                    <a:stretch>
                      <a:fillRect/>
                    </a:stretch>
                  </pic:blipFill>
                  <pic:spPr>
                    <a:xfrm>
                      <a:off x="0" y="0"/>
                      <a:ext cx="5734050" cy="2962275"/>
                    </a:xfrm>
                    <a:prstGeom prst="rect">
                      <a:avLst/>
                    </a:prstGeom>
                    <a:ln/>
                  </pic:spPr>
                </pic:pic>
              </a:graphicData>
            </a:graphic>
          </wp:inline>
        </w:drawing>
      </w:r>
    </w:p>
    <w:p w14:paraId="52716125"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10: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Annual Effective Dose (AED) with Excess Life Time Cancer Risk (ELCR).</w:t>
      </w:r>
    </w:p>
    <w:p w14:paraId="62A89D55" w14:textId="77777777" w:rsidR="00042BE4" w:rsidRDefault="00042BE4">
      <w:pPr>
        <w:jc w:val="center"/>
        <w:rPr>
          <w:rFonts w:ascii="Times New Roman" w:eastAsia="Times New Roman" w:hAnsi="Times New Roman" w:cs="Times New Roman"/>
          <w:sz w:val="24"/>
          <w:szCs w:val="24"/>
        </w:rPr>
      </w:pPr>
    </w:p>
    <w:p w14:paraId="79A8BE5C"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1C59DF1" wp14:editId="2548F6CD">
            <wp:extent cx="5981700" cy="2838450"/>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
                    <a:srcRect/>
                    <a:stretch>
                      <a:fillRect/>
                    </a:stretch>
                  </pic:blipFill>
                  <pic:spPr>
                    <a:xfrm>
                      <a:off x="0" y="0"/>
                      <a:ext cx="5981700" cy="2838450"/>
                    </a:xfrm>
                    <a:prstGeom prst="rect">
                      <a:avLst/>
                    </a:prstGeom>
                    <a:ln/>
                  </pic:spPr>
                </pic:pic>
              </a:graphicData>
            </a:graphic>
          </wp:inline>
        </w:drawing>
      </w:r>
    </w:p>
    <w:p w14:paraId="599BD29F"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11: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Annual Effective Dose (AED) with Dose Rate of Body Organ (</w:t>
      </w:r>
      <w:proofErr w:type="spellStart"/>
      <w:r>
        <w:rPr>
          <w:rFonts w:ascii="Times New Roman" w:eastAsia="Times New Roman" w:hAnsi="Times New Roman" w:cs="Times New Roman"/>
          <w:sz w:val="24"/>
          <w:szCs w:val="24"/>
        </w:rPr>
        <w:t>Dorg</w:t>
      </w:r>
      <w:proofErr w:type="spellEnd"/>
      <w:r>
        <w:rPr>
          <w:rFonts w:ascii="Times New Roman" w:eastAsia="Times New Roman" w:hAnsi="Times New Roman" w:cs="Times New Roman"/>
          <w:sz w:val="24"/>
          <w:szCs w:val="24"/>
        </w:rPr>
        <w:t>.)</w:t>
      </w:r>
    </w:p>
    <w:p w14:paraId="49EBF9B3" w14:textId="77777777" w:rsidR="00042BE4" w:rsidRDefault="00042BE4">
      <w:pPr>
        <w:jc w:val="center"/>
        <w:rPr>
          <w:rFonts w:ascii="Times New Roman" w:eastAsia="Times New Roman" w:hAnsi="Times New Roman" w:cs="Times New Roman"/>
          <w:sz w:val="24"/>
          <w:szCs w:val="24"/>
        </w:rPr>
      </w:pPr>
    </w:p>
    <w:p w14:paraId="7CD71CFE"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Activi</w:t>
      </w:r>
      <w:r>
        <w:rPr>
          <w:rFonts w:ascii="Times New Roman" w:eastAsia="Times New Roman" w:hAnsi="Times New Roman" w:cs="Times New Roman"/>
          <w:sz w:val="24"/>
          <w:szCs w:val="24"/>
        </w:rPr>
        <w:t xml:space="preserve">ty Utilization index (AUI) </w:t>
      </w:r>
      <w:r>
        <w:rPr>
          <w:rFonts w:ascii="Times New Roman" w:eastAsia="Times New Roman" w:hAnsi="Times New Roman" w:cs="Times New Roman"/>
          <w:color w:val="222222"/>
          <w:sz w:val="24"/>
          <w:szCs w:val="24"/>
          <w:highlight w:val="white"/>
        </w:rPr>
        <w:t>estimation of total dose rates in air from naturally occurring radionuclides in building materials, calculated from activity concentration measurements of the material</w:t>
      </w:r>
      <w:r>
        <w:rPr>
          <w:rFonts w:ascii="Times New Roman" w:eastAsia="Times New Roman" w:hAnsi="Times New Roman" w:cs="Times New Roman"/>
          <w:sz w:val="24"/>
          <w:szCs w:val="24"/>
        </w:rPr>
        <w:t xml:space="preserve"> Activity Utilization index (AUI) was estimated by using the f</w:t>
      </w:r>
      <w:r>
        <w:rPr>
          <w:rFonts w:ascii="Times New Roman" w:eastAsia="Times New Roman" w:hAnsi="Times New Roman" w:cs="Times New Roman"/>
          <w:sz w:val="24"/>
          <w:szCs w:val="24"/>
        </w:rPr>
        <w:t>ormula</w:t>
      </w:r>
    </w:p>
    <w:p w14:paraId="63803BBA" w14:textId="77777777" w:rsidR="00042BE4" w:rsidRDefault="000E4256">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AUI</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ARa</m:t>
              </m:r>
            </m:num>
            <m:den>
              <m:r>
                <w:rPr>
                  <w:rFonts w:ascii="Cambria Math" w:eastAsia="Cambria Math" w:hAnsi="Cambria Math" w:cs="Cambria Math"/>
                  <w:sz w:val="24"/>
                  <w:szCs w:val="24"/>
                </w:rPr>
                <m:t xml:space="preserve">50 </m:t>
              </m:r>
              <m:r>
                <w:rPr>
                  <w:rFonts w:ascii="Cambria Math" w:eastAsia="Cambria Math" w:hAnsi="Cambria Math" w:cs="Cambria Math"/>
                  <w:sz w:val="24"/>
                  <w:szCs w:val="24"/>
                </w:rPr>
                <m:t>Bq</m:t>
              </m:r>
              <m:r>
                <w:rPr>
                  <w:rFonts w:ascii="Cambria Math" w:eastAsia="Cambria Math" w:hAnsi="Cambria Math" w:cs="Cambria Math"/>
                  <w:sz w:val="24"/>
                  <w:szCs w:val="24"/>
                </w:rPr>
                <m:t>/</m:t>
              </m:r>
              <m:r>
                <w:rPr>
                  <w:rFonts w:ascii="Cambria Math" w:eastAsia="Cambria Math" w:hAnsi="Cambria Math" w:cs="Cambria Math"/>
                  <w:sz w:val="24"/>
                  <w:szCs w:val="24"/>
                </w:rPr>
                <m:t>kg</m:t>
              </m:r>
            </m:den>
          </m:f>
          <m:r>
            <w:rPr>
              <w:rFonts w:ascii="Cambria Math" w:eastAsia="Cambria Math" w:hAnsi="Cambria Math" w:cs="Cambria Math"/>
              <w:sz w:val="24"/>
              <w:szCs w:val="24"/>
            </w:rPr>
            <m:t>×0.0809+</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AT</m:t>
              </m:r>
              <m:r>
                <w:rPr>
                  <w:rFonts w:ascii="Cambria Math" w:eastAsia="Cambria Math" w:hAnsi="Cambria Math" w:cs="Cambria Math"/>
                  <w:sz w:val="24"/>
                  <w:szCs w:val="24"/>
                </w:rPr>
                <m:t>h</m:t>
              </m:r>
            </m:num>
            <m:den>
              <m:r>
                <w:rPr>
                  <w:rFonts w:ascii="Cambria Math" w:eastAsia="Cambria Math" w:hAnsi="Cambria Math" w:cs="Cambria Math"/>
                  <w:sz w:val="24"/>
                  <w:szCs w:val="24"/>
                </w:rPr>
                <m:t xml:space="preserve">50 </m:t>
              </m:r>
              <m:r>
                <w:rPr>
                  <w:rFonts w:ascii="Cambria Math" w:eastAsia="Cambria Math" w:hAnsi="Cambria Math" w:cs="Cambria Math"/>
                  <w:sz w:val="24"/>
                  <w:szCs w:val="24"/>
                </w:rPr>
                <m:t>Bq</m:t>
              </m:r>
              <m:r>
                <w:rPr>
                  <w:rFonts w:ascii="Cambria Math" w:eastAsia="Cambria Math" w:hAnsi="Cambria Math" w:cs="Cambria Math"/>
                  <w:sz w:val="24"/>
                  <w:szCs w:val="24"/>
                </w:rPr>
                <m:t>/</m:t>
              </m:r>
              <m:r>
                <w:rPr>
                  <w:rFonts w:ascii="Cambria Math" w:eastAsia="Cambria Math" w:hAnsi="Cambria Math" w:cs="Cambria Math"/>
                  <w:sz w:val="24"/>
                  <w:szCs w:val="24"/>
                </w:rPr>
                <m:t>kg</m:t>
              </m:r>
            </m:den>
          </m:f>
          <m:r>
            <w:rPr>
              <w:rFonts w:ascii="Cambria Math" w:eastAsia="Cambria Math" w:hAnsi="Cambria Math" w:cs="Cambria Math"/>
              <w:sz w:val="24"/>
              <w:szCs w:val="24"/>
            </w:rPr>
            <m:t>×0.4798+</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AK</m:t>
              </m:r>
            </m:num>
            <m:den>
              <m:r>
                <w:rPr>
                  <w:rFonts w:ascii="Cambria Math" w:eastAsia="Cambria Math" w:hAnsi="Cambria Math" w:cs="Cambria Math"/>
                  <w:sz w:val="24"/>
                  <w:szCs w:val="24"/>
                </w:rPr>
                <m:t xml:space="preserve">500 </m:t>
              </m:r>
              <m:r>
                <w:rPr>
                  <w:rFonts w:ascii="Cambria Math" w:eastAsia="Cambria Math" w:hAnsi="Cambria Math" w:cs="Cambria Math"/>
                  <w:sz w:val="24"/>
                  <w:szCs w:val="24"/>
                </w:rPr>
                <m:t>Bq</m:t>
              </m:r>
              <m:r>
                <w:rPr>
                  <w:rFonts w:ascii="Cambria Math" w:eastAsia="Cambria Math" w:hAnsi="Cambria Math" w:cs="Cambria Math"/>
                  <w:sz w:val="24"/>
                  <w:szCs w:val="24"/>
                </w:rPr>
                <m:t>/</m:t>
              </m:r>
              <m:r>
                <w:rPr>
                  <w:rFonts w:ascii="Cambria Math" w:eastAsia="Cambria Math" w:hAnsi="Cambria Math" w:cs="Cambria Math"/>
                  <w:sz w:val="24"/>
                  <w:szCs w:val="24"/>
                </w:rPr>
                <m:t>kg</m:t>
              </m:r>
            </m:den>
          </m:f>
          <m:r>
            <w:rPr>
              <w:rFonts w:ascii="Cambria Math" w:eastAsia="Cambria Math" w:hAnsi="Cambria Math" w:cs="Cambria Math"/>
              <w:sz w:val="24"/>
              <w:szCs w:val="24"/>
            </w:rPr>
            <m:t>×0.4392</m:t>
          </m:r>
        </m:oMath>
      </m:oMathPara>
    </w:p>
    <w:p w14:paraId="4980275C"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where the values 0.0809, 0.4798, and 0.4392 represent fractional percentages of the total dose from </w:t>
      </w:r>
      <w:r>
        <w:rPr>
          <w:rFonts w:ascii="Times New Roman" w:eastAsia="Times New Roman" w:hAnsi="Times New Roman" w:cs="Times New Roman"/>
          <w:color w:val="222222"/>
          <w:sz w:val="24"/>
          <w:szCs w:val="24"/>
          <w:highlight w:val="white"/>
          <w:vertAlign w:val="superscript"/>
        </w:rPr>
        <w:t>226</w:t>
      </w:r>
      <w:r>
        <w:rPr>
          <w:rFonts w:ascii="Times New Roman" w:eastAsia="Times New Roman" w:hAnsi="Times New Roman" w:cs="Times New Roman"/>
          <w:color w:val="222222"/>
          <w:sz w:val="24"/>
          <w:szCs w:val="24"/>
          <w:highlight w:val="white"/>
        </w:rPr>
        <w:t>Ra, </w:t>
      </w:r>
      <w:r>
        <w:rPr>
          <w:rFonts w:ascii="Times New Roman" w:eastAsia="Times New Roman" w:hAnsi="Times New Roman" w:cs="Times New Roman"/>
          <w:color w:val="222222"/>
          <w:sz w:val="24"/>
          <w:szCs w:val="24"/>
          <w:highlight w:val="white"/>
          <w:vertAlign w:val="superscript"/>
        </w:rPr>
        <w:t>232</w:t>
      </w:r>
      <w:r>
        <w:rPr>
          <w:rFonts w:ascii="Times New Roman" w:eastAsia="Times New Roman" w:hAnsi="Times New Roman" w:cs="Times New Roman"/>
          <w:color w:val="222222"/>
          <w:sz w:val="24"/>
          <w:szCs w:val="24"/>
          <w:highlight w:val="white"/>
        </w:rPr>
        <w:t>Th, and </w:t>
      </w:r>
      <w:r>
        <w:rPr>
          <w:rFonts w:ascii="Times New Roman" w:eastAsia="Times New Roman" w:hAnsi="Times New Roman" w:cs="Times New Roman"/>
          <w:color w:val="222222"/>
          <w:sz w:val="24"/>
          <w:szCs w:val="24"/>
          <w:highlight w:val="white"/>
          <w:vertAlign w:val="superscript"/>
        </w:rPr>
        <w:t>40</w:t>
      </w:r>
      <w:r>
        <w:rPr>
          <w:rFonts w:ascii="Times New Roman" w:eastAsia="Times New Roman" w:hAnsi="Times New Roman" w:cs="Times New Roman"/>
          <w:color w:val="222222"/>
          <w:sz w:val="24"/>
          <w:szCs w:val="24"/>
          <w:highlight w:val="white"/>
        </w:rPr>
        <w:t>K (</w:t>
      </w:r>
      <w:proofErr w:type="spellStart"/>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Ra</w:t>
      </w:r>
      <w:proofErr w:type="spellEnd"/>
      <w:r>
        <w:rPr>
          <w:rFonts w:ascii="Times New Roman" w:eastAsia="Times New Roman" w:hAnsi="Times New Roman" w:cs="Times New Roman"/>
          <w:color w:val="222222"/>
          <w:sz w:val="24"/>
          <w:szCs w:val="24"/>
          <w:highlight w:val="white"/>
        </w:rPr>
        <w:t> = 8.09%, </w:t>
      </w:r>
      <w:proofErr w:type="spellStart"/>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Th</w:t>
      </w:r>
      <w:proofErr w:type="spellEnd"/>
      <w:r>
        <w:rPr>
          <w:rFonts w:ascii="Times New Roman" w:eastAsia="Times New Roman" w:hAnsi="Times New Roman" w:cs="Times New Roman"/>
          <w:color w:val="222222"/>
          <w:sz w:val="24"/>
          <w:szCs w:val="24"/>
          <w:highlight w:val="white"/>
        </w:rPr>
        <w:t> = 47.98%, and </w:t>
      </w:r>
      <w:proofErr w:type="spellStart"/>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K</w:t>
      </w:r>
      <w:proofErr w:type="spellEnd"/>
      <w:r>
        <w:rPr>
          <w:rFonts w:ascii="Times New Roman" w:eastAsia="Times New Roman" w:hAnsi="Times New Roman" w:cs="Times New Roman"/>
          <w:color w:val="222222"/>
          <w:sz w:val="24"/>
          <w:szCs w:val="24"/>
          <w:highlight w:val="white"/>
        </w:rPr>
        <w:t> = 43.92%)</w:t>
      </w:r>
    </w:p>
    <w:p w14:paraId="5472D7A0" w14:textId="77777777" w:rsidR="00042BE4" w:rsidRDefault="000E4256">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gamma activity concentration </w:t>
      </w:r>
      <w:proofErr w:type="spellStart"/>
      <w:r>
        <w:rPr>
          <w:rFonts w:ascii="Times New Roman" w:eastAsia="Times New Roman" w:hAnsi="Times New Roman" w:cs="Times New Roman"/>
          <w:color w:val="222222"/>
          <w:sz w:val="24"/>
          <w:szCs w:val="24"/>
          <w:highlight w:val="white"/>
        </w:rPr>
        <w:t>Iγ</w:t>
      </w:r>
      <w:proofErr w:type="spellEnd"/>
      <w:r>
        <w:rPr>
          <w:rFonts w:ascii="Arial" w:eastAsia="Arial" w:hAnsi="Arial" w:cs="Arial"/>
          <w:color w:val="222222"/>
          <w:sz w:val="18"/>
          <w:szCs w:val="18"/>
          <w:highlight w:val="white"/>
        </w:rPr>
        <w:t xml:space="preserve"> </w:t>
      </w:r>
      <w:r>
        <w:rPr>
          <w:rFonts w:ascii="Times New Roman" w:eastAsia="Times New Roman" w:hAnsi="Times New Roman" w:cs="Times New Roman"/>
          <w:color w:val="222222"/>
          <w:sz w:val="24"/>
          <w:szCs w:val="24"/>
          <w:highlight w:val="white"/>
        </w:rPr>
        <w:t xml:space="preserve">estimation of the gamma radiation hazard associated with the radionuclides inside of the building materials, calculated from activity concentration measurements of the </w:t>
      </w:r>
      <w:proofErr w:type="gramStart"/>
      <w:r>
        <w:rPr>
          <w:rFonts w:ascii="Times New Roman" w:eastAsia="Times New Roman" w:hAnsi="Times New Roman" w:cs="Times New Roman"/>
          <w:color w:val="222222"/>
          <w:sz w:val="24"/>
          <w:szCs w:val="24"/>
          <w:highlight w:val="white"/>
        </w:rPr>
        <w:t>material  has</w:t>
      </w:r>
      <w:proofErr w:type="gramEnd"/>
      <w:r>
        <w:rPr>
          <w:rFonts w:ascii="Times New Roman" w:eastAsia="Times New Roman" w:hAnsi="Times New Roman" w:cs="Times New Roman"/>
          <w:color w:val="222222"/>
          <w:sz w:val="24"/>
          <w:szCs w:val="24"/>
          <w:highlight w:val="white"/>
        </w:rPr>
        <w:t xml:space="preserve"> been defined by the European Commissi</w:t>
      </w:r>
      <w:r>
        <w:rPr>
          <w:rFonts w:ascii="Times New Roman" w:eastAsia="Times New Roman" w:hAnsi="Times New Roman" w:cs="Times New Roman"/>
          <w:color w:val="222222"/>
          <w:sz w:val="24"/>
          <w:szCs w:val="24"/>
          <w:highlight w:val="white"/>
        </w:rPr>
        <w:t xml:space="preserve">on according to Formula               </w:t>
      </w:r>
    </w:p>
    <w:p w14:paraId="54C701D8" w14:textId="77777777" w:rsidR="00042BE4" w:rsidRDefault="000E4256">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Iγ</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AK</m:t>
              </m:r>
            </m:num>
            <m:den>
              <m:r>
                <w:rPr>
                  <w:rFonts w:ascii="Cambria Math" w:eastAsia="Cambria Math" w:hAnsi="Cambria Math" w:cs="Cambria Math"/>
                  <w:sz w:val="24"/>
                  <w:szCs w:val="24"/>
                </w:rPr>
                <m:t xml:space="preserve">3000 </m:t>
              </m:r>
              <m:r>
                <w:rPr>
                  <w:rFonts w:ascii="Cambria Math" w:eastAsia="Cambria Math" w:hAnsi="Cambria Math" w:cs="Cambria Math"/>
                  <w:sz w:val="24"/>
                  <w:szCs w:val="24"/>
                </w:rPr>
                <m:t>Bq</m:t>
              </m:r>
              <m:r>
                <w:rPr>
                  <w:rFonts w:ascii="Cambria Math" w:eastAsia="Cambria Math" w:hAnsi="Cambria Math" w:cs="Cambria Math"/>
                  <w:sz w:val="24"/>
                  <w:szCs w:val="24"/>
                </w:rPr>
                <m:t>/</m:t>
              </m:r>
              <m:r>
                <w:rPr>
                  <w:rFonts w:ascii="Cambria Math" w:eastAsia="Cambria Math" w:hAnsi="Cambria Math" w:cs="Cambria Math"/>
                  <w:sz w:val="24"/>
                  <w:szCs w:val="24"/>
                </w:rPr>
                <m:t>kg</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ARa</m:t>
              </m:r>
            </m:num>
            <m:den>
              <m:r>
                <w:rPr>
                  <w:rFonts w:ascii="Cambria Math" w:eastAsia="Cambria Math" w:hAnsi="Cambria Math" w:cs="Cambria Math"/>
                  <w:sz w:val="24"/>
                  <w:szCs w:val="24"/>
                </w:rPr>
                <m:t xml:space="preserve">300 </m:t>
              </m:r>
              <m:r>
                <w:rPr>
                  <w:rFonts w:ascii="Cambria Math" w:eastAsia="Cambria Math" w:hAnsi="Cambria Math" w:cs="Cambria Math"/>
                  <w:sz w:val="24"/>
                  <w:szCs w:val="24"/>
                </w:rPr>
                <m:t>Bq</m:t>
              </m:r>
              <m:r>
                <w:rPr>
                  <w:rFonts w:ascii="Cambria Math" w:eastAsia="Cambria Math" w:hAnsi="Cambria Math" w:cs="Cambria Math"/>
                  <w:sz w:val="24"/>
                  <w:szCs w:val="24"/>
                </w:rPr>
                <m:t>/</m:t>
              </m:r>
              <m:r>
                <w:rPr>
                  <w:rFonts w:ascii="Cambria Math" w:eastAsia="Cambria Math" w:hAnsi="Cambria Math" w:cs="Cambria Math"/>
                  <w:sz w:val="24"/>
                  <w:szCs w:val="24"/>
                </w:rPr>
                <m:t>kg</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AT</m:t>
              </m:r>
              <m:r>
                <w:rPr>
                  <w:rFonts w:ascii="Cambria Math" w:eastAsia="Cambria Math" w:hAnsi="Cambria Math" w:cs="Cambria Math"/>
                  <w:sz w:val="24"/>
                  <w:szCs w:val="24"/>
                </w:rPr>
                <m:t>h</m:t>
              </m:r>
            </m:num>
            <m:den>
              <m:r>
                <w:rPr>
                  <w:rFonts w:ascii="Cambria Math" w:eastAsia="Cambria Math" w:hAnsi="Cambria Math" w:cs="Cambria Math"/>
                  <w:sz w:val="24"/>
                  <w:szCs w:val="24"/>
                </w:rPr>
                <m:t xml:space="preserve">200 </m:t>
              </m:r>
              <m:r>
                <w:rPr>
                  <w:rFonts w:ascii="Cambria Math" w:eastAsia="Cambria Math" w:hAnsi="Cambria Math" w:cs="Cambria Math"/>
                  <w:sz w:val="24"/>
                  <w:szCs w:val="24"/>
                </w:rPr>
                <m:t>Bq</m:t>
              </m:r>
              <m:r>
                <w:rPr>
                  <w:rFonts w:ascii="Cambria Math" w:eastAsia="Cambria Math" w:hAnsi="Cambria Math" w:cs="Cambria Math"/>
                  <w:sz w:val="24"/>
                  <w:szCs w:val="24"/>
                </w:rPr>
                <m:t>/</m:t>
              </m:r>
              <m:r>
                <w:rPr>
                  <w:rFonts w:ascii="Cambria Math" w:eastAsia="Cambria Math" w:hAnsi="Cambria Math" w:cs="Cambria Math"/>
                  <w:sz w:val="24"/>
                  <w:szCs w:val="24"/>
                </w:rPr>
                <m:t>kg</m:t>
              </m:r>
            </m:den>
          </m:f>
        </m:oMath>
      </m:oMathPara>
    </w:p>
    <w:p w14:paraId="719EAACF"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Gonadal dose equivalent (</w:t>
      </w:r>
      <w:proofErr w:type="gramStart"/>
      <w:r>
        <w:rPr>
          <w:rFonts w:ascii="Times New Roman" w:eastAsia="Times New Roman" w:hAnsi="Times New Roman" w:cs="Times New Roman"/>
          <w:sz w:val="24"/>
          <w:szCs w:val="24"/>
        </w:rPr>
        <w:t>AGDE)  in</w:t>
      </w:r>
      <w:proofErr w:type="gramEnd"/>
      <w:r>
        <w:rPr>
          <w:rFonts w:ascii="Times New Roman" w:eastAsia="Times New Roman" w:hAnsi="Times New Roman" w:cs="Times New Roman"/>
          <w:sz w:val="24"/>
          <w:szCs w:val="24"/>
        </w:rPr>
        <w:t xml:space="preserve">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is evaluation for the potential effects of the specific activities of </w:t>
      </w:r>
      <w:r>
        <w:rPr>
          <w:rFonts w:ascii="Times New Roman" w:eastAsia="Times New Roman" w:hAnsi="Times New Roman" w:cs="Times New Roman"/>
          <w:sz w:val="24"/>
          <w:szCs w:val="24"/>
          <w:vertAlign w:val="superscript"/>
        </w:rPr>
        <w:t xml:space="preserve"> 226 </w:t>
      </w:r>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perscript"/>
        </w:rPr>
        <w:t xml:space="preserve"> 232 </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 xml:space="preserve"> 40</w:t>
      </w:r>
      <w:r>
        <w:rPr>
          <w:rFonts w:ascii="Times New Roman" w:eastAsia="Times New Roman" w:hAnsi="Times New Roman" w:cs="Times New Roman"/>
          <w:sz w:val="24"/>
          <w:szCs w:val="24"/>
        </w:rPr>
        <w:t xml:space="preserve">K on </w:t>
      </w:r>
      <w:r>
        <w:rPr>
          <w:rFonts w:ascii="Times New Roman" w:eastAsia="Times New Roman" w:hAnsi="Times New Roman" w:cs="Times New Roman"/>
          <w:sz w:val="24"/>
          <w:szCs w:val="24"/>
        </w:rPr>
        <w:t>certain important organs ,such as reproductive organs (gonads), bone marrow, and bone cells.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is the activity </w:t>
      </w:r>
      <w:proofErr w:type="gramStart"/>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vertAlign w:val="superscript"/>
        </w:rPr>
        <w:t xml:space="preserve"> 40</w:t>
      </w:r>
      <w:proofErr w:type="gramEnd"/>
      <w:r>
        <w:rPr>
          <w:rFonts w:ascii="Times New Roman" w:eastAsia="Times New Roman" w:hAnsi="Times New Roman" w:cs="Times New Roman"/>
          <w:sz w:val="24"/>
          <w:szCs w:val="24"/>
        </w:rPr>
        <w:t xml:space="preserve">K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radionuclide per sec. </w:t>
      </w:r>
      <w:proofErr w:type="gramStart"/>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proofErr w:type="gramEnd"/>
      <w:r>
        <w:rPr>
          <w:rFonts w:ascii="Times New Roman" w:eastAsia="Times New Roman" w:hAnsi="Times New Roman" w:cs="Times New Roman"/>
          <w:sz w:val="24"/>
          <w:szCs w:val="24"/>
        </w:rPr>
        <w:t xml:space="preserve"> is t</w:t>
      </w:r>
      <w:r>
        <w:rPr>
          <w:rFonts w:ascii="Times New Roman" w:eastAsia="Times New Roman" w:hAnsi="Times New Roman" w:cs="Times New Roman"/>
          <w:sz w:val="24"/>
          <w:szCs w:val="24"/>
        </w:rPr>
        <w:t xml:space="preserve">he activity of  </w:t>
      </w:r>
      <w:r>
        <w:rPr>
          <w:rFonts w:ascii="Times New Roman" w:eastAsia="Times New Roman" w:hAnsi="Times New Roman" w:cs="Times New Roman"/>
          <w:sz w:val="24"/>
          <w:szCs w:val="24"/>
          <w:vertAlign w:val="superscript"/>
        </w:rPr>
        <w:t xml:space="preserve"> 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radionuclide per sec. 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radionuclide per sec.</w:t>
      </w:r>
    </w:p>
    <w:p w14:paraId="6F0BC441"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AGDE = 3.09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r>
        <w:rPr>
          <w:rFonts w:ascii="Times New Roman" w:eastAsia="Times New Roman" w:hAnsi="Times New Roman" w:cs="Times New Roman"/>
          <w:sz w:val="24"/>
          <w:szCs w:val="24"/>
        </w:rPr>
        <w:t xml:space="preserve"> + 4.18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+ 0.314 A</w:t>
      </w:r>
      <w:r>
        <w:rPr>
          <w:rFonts w:ascii="Times New Roman" w:eastAsia="Times New Roman" w:hAnsi="Times New Roman" w:cs="Times New Roman"/>
          <w:sz w:val="24"/>
          <w:szCs w:val="24"/>
          <w:vertAlign w:val="subscript"/>
        </w:rPr>
        <w:t xml:space="preserve">k  </w:t>
      </w:r>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w:t>
      </w:r>
    </w:p>
    <w:p w14:paraId="3174D199" w14:textId="77777777" w:rsidR="00042BE4" w:rsidRDefault="00042BE4">
      <w:pPr>
        <w:jc w:val="both"/>
        <w:rPr>
          <w:rFonts w:ascii="Times New Roman" w:eastAsia="Times New Roman" w:hAnsi="Times New Roman" w:cs="Times New Roman"/>
          <w:sz w:val="24"/>
          <w:szCs w:val="24"/>
        </w:rPr>
      </w:pPr>
    </w:p>
    <w:tbl>
      <w:tblPr>
        <w:tblStyle w:val="a4"/>
        <w:tblW w:w="9513"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63"/>
        <w:gridCol w:w="1080"/>
        <w:gridCol w:w="1440"/>
        <w:gridCol w:w="1080"/>
        <w:gridCol w:w="1890"/>
        <w:gridCol w:w="1530"/>
        <w:gridCol w:w="1530"/>
      </w:tblGrid>
      <w:tr w:rsidR="00042BE4" w14:paraId="744DE0B8" w14:textId="77777777">
        <w:trPr>
          <w:trHeight w:val="1637"/>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6999A848"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Sample</w:t>
            </w:r>
          </w:p>
        </w:tc>
        <w:tc>
          <w:tcPr>
            <w:tcW w:w="1080" w:type="dxa"/>
            <w:tcBorders>
              <w:top w:val="single" w:sz="4" w:space="0" w:color="000000"/>
              <w:left w:val="nil"/>
              <w:bottom w:val="single" w:sz="4" w:space="0" w:color="000000"/>
              <w:right w:val="nil"/>
            </w:tcBorders>
            <w:shd w:val="clear" w:color="auto" w:fill="DBEEF3"/>
          </w:tcPr>
          <w:p w14:paraId="46D9B9DB" w14:textId="77777777" w:rsidR="00042BE4" w:rsidRDefault="00042BE4">
            <w:pPr>
              <w:spacing w:after="0" w:line="276" w:lineRule="auto"/>
              <w:rPr>
                <w:rFonts w:ascii="Times New Roman" w:eastAsia="Times New Roman" w:hAnsi="Times New Roman" w:cs="Times New Roman"/>
                <w:sz w:val="24"/>
                <w:szCs w:val="24"/>
              </w:rPr>
            </w:pPr>
          </w:p>
        </w:tc>
        <w:tc>
          <w:tcPr>
            <w:tcW w:w="1440" w:type="dxa"/>
            <w:tcBorders>
              <w:top w:val="single" w:sz="4" w:space="0" w:color="000000"/>
              <w:left w:val="nil"/>
              <w:bottom w:val="single" w:sz="4" w:space="0" w:color="000000"/>
              <w:right w:val="nil"/>
            </w:tcBorders>
            <w:shd w:val="clear" w:color="auto" w:fill="DBEEF3"/>
          </w:tcPr>
          <w:p w14:paraId="29BBEF63"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Activity concentration (Bq/Kg)</w:t>
            </w:r>
          </w:p>
        </w:tc>
        <w:tc>
          <w:tcPr>
            <w:tcW w:w="1080" w:type="dxa"/>
            <w:tcBorders>
              <w:top w:val="single" w:sz="4" w:space="0" w:color="000000"/>
              <w:left w:val="nil"/>
              <w:bottom w:val="single" w:sz="4" w:space="0" w:color="000000"/>
              <w:right w:val="single" w:sz="4" w:space="0" w:color="000000"/>
            </w:tcBorders>
            <w:shd w:val="clear" w:color="auto" w:fill="DBEEF3"/>
          </w:tcPr>
          <w:p w14:paraId="29DB60DD" w14:textId="77777777" w:rsidR="00042BE4" w:rsidRDefault="00042BE4">
            <w:pPr>
              <w:spacing w:after="0" w:line="276" w:lineRule="auto"/>
              <w:rPr>
                <w:rFonts w:ascii="Times New Roman" w:eastAsia="Times New Roman" w:hAnsi="Times New Roman" w:cs="Times New Roman"/>
                <w:sz w:val="24"/>
                <w:szCs w:val="24"/>
              </w:rPr>
            </w:pPr>
          </w:p>
        </w:tc>
        <w:tc>
          <w:tcPr>
            <w:tcW w:w="1890" w:type="dxa"/>
            <w:tcBorders>
              <w:top w:val="single" w:sz="4" w:space="0" w:color="000000"/>
              <w:left w:val="nil"/>
              <w:bottom w:val="single" w:sz="4" w:space="0" w:color="000000"/>
              <w:right w:val="single" w:sz="4" w:space="0" w:color="000000"/>
            </w:tcBorders>
            <w:shd w:val="clear" w:color="auto" w:fill="DBEEF3"/>
          </w:tcPr>
          <w:p w14:paraId="601FC517"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Activity</w:t>
            </w:r>
            <w:r>
              <w:rPr>
                <w:rFonts w:ascii="Times New Roman" w:eastAsia="Times New Roman" w:hAnsi="Times New Roman" w:cs="Times New Roman"/>
              </w:rPr>
              <w:t xml:space="preserve"> Utilization Index (AUI)</w:t>
            </w:r>
          </w:p>
        </w:tc>
        <w:tc>
          <w:tcPr>
            <w:tcW w:w="1530" w:type="dxa"/>
            <w:tcBorders>
              <w:top w:val="single" w:sz="4" w:space="0" w:color="000000"/>
              <w:left w:val="nil"/>
              <w:bottom w:val="single" w:sz="4" w:space="0" w:color="000000"/>
              <w:right w:val="single" w:sz="4" w:space="0" w:color="000000"/>
            </w:tcBorders>
            <w:shd w:val="clear" w:color="auto" w:fill="DBEEF3"/>
          </w:tcPr>
          <w:p w14:paraId="3DD8F625"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Gamma Index Factor (</w:t>
            </w:r>
            <w:proofErr w:type="spellStart"/>
            <w:r>
              <w:rPr>
                <w:rFonts w:ascii="Times New Roman" w:eastAsia="Times New Roman" w:hAnsi="Times New Roman" w:cs="Times New Roman"/>
              </w:rPr>
              <w:t>Iγ</w:t>
            </w:r>
            <w:proofErr w:type="spellEnd"/>
            <w:r>
              <w:rPr>
                <w:rFonts w:ascii="Times New Roman" w:eastAsia="Times New Roman" w:hAnsi="Times New Roman" w:cs="Times New Roman"/>
              </w:rPr>
              <w:t>)</w:t>
            </w:r>
          </w:p>
        </w:tc>
        <w:tc>
          <w:tcPr>
            <w:tcW w:w="1530" w:type="dxa"/>
            <w:tcBorders>
              <w:top w:val="single" w:sz="4" w:space="0" w:color="000000"/>
              <w:left w:val="nil"/>
              <w:bottom w:val="single" w:sz="4" w:space="0" w:color="000000"/>
              <w:right w:val="single" w:sz="4" w:space="0" w:color="000000"/>
            </w:tcBorders>
            <w:shd w:val="clear" w:color="auto" w:fill="DBEEF3"/>
          </w:tcPr>
          <w:p w14:paraId="4767CDC5"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Annual Gonadal Dose Equivalent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AGDE)</w:t>
            </w:r>
            <w:r>
              <w:rPr>
                <w:rFonts w:ascii="Times New Roman" w:eastAsia="Times New Roman" w:hAnsi="Times New Roman" w:cs="Times New Roman"/>
                <w:sz w:val="24"/>
                <w:szCs w:val="24"/>
              </w:rPr>
              <w:t xml:space="preserve">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w:t>
            </w:r>
            <w:r>
              <w:rPr>
                <w:rFonts w:ascii="Times New Roman" w:eastAsia="Times New Roman" w:hAnsi="Times New Roman" w:cs="Times New Roman"/>
              </w:rPr>
              <w:t xml:space="preserve"> </w:t>
            </w:r>
          </w:p>
        </w:tc>
      </w:tr>
      <w:tr w:rsidR="00042BE4" w14:paraId="211C018C"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6AB2F118"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000000"/>
              <w:right w:val="single" w:sz="4" w:space="0" w:color="000000"/>
            </w:tcBorders>
            <w:shd w:val="clear" w:color="auto" w:fill="DBEEF3"/>
          </w:tcPr>
          <w:p w14:paraId="6DD82877"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Ra</w:t>
            </w:r>
          </w:p>
        </w:tc>
        <w:tc>
          <w:tcPr>
            <w:tcW w:w="1440" w:type="dxa"/>
            <w:tcBorders>
              <w:top w:val="single" w:sz="4" w:space="0" w:color="000000"/>
              <w:left w:val="nil"/>
              <w:bottom w:val="single" w:sz="4" w:space="0" w:color="000000"/>
              <w:right w:val="single" w:sz="4" w:space="0" w:color="000000"/>
            </w:tcBorders>
            <w:shd w:val="clear" w:color="auto" w:fill="DBEEF3"/>
          </w:tcPr>
          <w:p w14:paraId="18955C03" w14:textId="77777777" w:rsidR="00042BE4" w:rsidRDefault="000E4256">
            <w:pPr>
              <w:spacing w:after="0" w:line="276"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rPr>
              <w:t xml:space="preserve">        Th</w:t>
            </w:r>
          </w:p>
        </w:tc>
        <w:tc>
          <w:tcPr>
            <w:tcW w:w="1080" w:type="dxa"/>
            <w:tcBorders>
              <w:top w:val="single" w:sz="4" w:space="0" w:color="000000"/>
              <w:left w:val="nil"/>
              <w:bottom w:val="single" w:sz="4" w:space="0" w:color="000000"/>
              <w:right w:val="single" w:sz="4" w:space="0" w:color="000000"/>
            </w:tcBorders>
            <w:shd w:val="clear" w:color="auto" w:fill="DBEEF3"/>
          </w:tcPr>
          <w:p w14:paraId="34F79F74"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K</w:t>
            </w:r>
          </w:p>
        </w:tc>
        <w:tc>
          <w:tcPr>
            <w:tcW w:w="1890" w:type="dxa"/>
            <w:tcBorders>
              <w:top w:val="single" w:sz="4" w:space="0" w:color="000000"/>
              <w:left w:val="nil"/>
              <w:bottom w:val="single" w:sz="4" w:space="0" w:color="000000"/>
              <w:right w:val="nil"/>
            </w:tcBorders>
            <w:shd w:val="clear" w:color="auto" w:fill="DBEEF3"/>
          </w:tcPr>
          <w:p w14:paraId="1AAD001B" w14:textId="77777777" w:rsidR="00042BE4" w:rsidRDefault="00042BE4">
            <w:pPr>
              <w:spacing w:after="0" w:line="276" w:lineRule="auto"/>
              <w:rPr>
                <w:rFonts w:ascii="Times New Roman" w:eastAsia="Times New Roman" w:hAnsi="Times New Roman" w:cs="Times New Roman"/>
                <w:sz w:val="24"/>
                <w:szCs w:val="24"/>
              </w:rPr>
            </w:pPr>
          </w:p>
        </w:tc>
        <w:tc>
          <w:tcPr>
            <w:tcW w:w="1530" w:type="dxa"/>
            <w:tcBorders>
              <w:top w:val="single" w:sz="4" w:space="0" w:color="000000"/>
              <w:left w:val="nil"/>
              <w:bottom w:val="single" w:sz="4" w:space="0" w:color="000000"/>
              <w:right w:val="nil"/>
            </w:tcBorders>
            <w:shd w:val="clear" w:color="auto" w:fill="DBEEF3"/>
          </w:tcPr>
          <w:p w14:paraId="79E9D2EA" w14:textId="77777777" w:rsidR="00042BE4" w:rsidRDefault="00042BE4">
            <w:pPr>
              <w:spacing w:after="0" w:line="276" w:lineRule="auto"/>
              <w:rPr>
                <w:rFonts w:ascii="Times New Roman" w:eastAsia="Times New Roman" w:hAnsi="Times New Roman" w:cs="Times New Roman"/>
                <w:sz w:val="24"/>
                <w:szCs w:val="24"/>
              </w:rPr>
            </w:pPr>
          </w:p>
        </w:tc>
        <w:tc>
          <w:tcPr>
            <w:tcW w:w="1530" w:type="dxa"/>
            <w:tcBorders>
              <w:top w:val="single" w:sz="4" w:space="0" w:color="000000"/>
              <w:left w:val="nil"/>
              <w:bottom w:val="single" w:sz="4" w:space="0" w:color="000000"/>
              <w:right w:val="single" w:sz="4" w:space="0" w:color="000000"/>
            </w:tcBorders>
            <w:shd w:val="clear" w:color="auto" w:fill="DBEEF3"/>
          </w:tcPr>
          <w:p w14:paraId="1A4D4350" w14:textId="77777777" w:rsidR="00042BE4" w:rsidRDefault="00042BE4">
            <w:pPr>
              <w:spacing w:after="0" w:line="276" w:lineRule="auto"/>
              <w:rPr>
                <w:rFonts w:ascii="Times New Roman" w:eastAsia="Times New Roman" w:hAnsi="Times New Roman" w:cs="Times New Roman"/>
                <w:sz w:val="24"/>
                <w:szCs w:val="24"/>
              </w:rPr>
            </w:pPr>
          </w:p>
        </w:tc>
      </w:tr>
      <w:tr w:rsidR="00042BE4" w14:paraId="226C9AB0"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4A741527" w14:textId="77777777" w:rsidR="00042BE4" w:rsidRDefault="00042BE4">
            <w:pPr>
              <w:spacing w:after="0" w:line="276" w:lineRule="auto"/>
              <w:rPr>
                <w:rFonts w:ascii="Times New Roman" w:eastAsia="Times New Roman" w:hAnsi="Times New Roman" w:cs="Times New Roman"/>
                <w:sz w:val="24"/>
                <w:szCs w:val="24"/>
                <w:u w:val="single"/>
              </w:rPr>
            </w:pPr>
          </w:p>
        </w:tc>
        <w:tc>
          <w:tcPr>
            <w:tcW w:w="1080" w:type="dxa"/>
            <w:tcBorders>
              <w:top w:val="single" w:sz="4" w:space="0" w:color="000000"/>
              <w:left w:val="nil"/>
              <w:bottom w:val="single" w:sz="4" w:space="0" w:color="BEBEBE"/>
              <w:right w:val="single" w:sz="4" w:space="0" w:color="000000"/>
            </w:tcBorders>
            <w:shd w:val="clear" w:color="auto" w:fill="DBEEF3"/>
          </w:tcPr>
          <w:p w14:paraId="625C42F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440" w:type="dxa"/>
            <w:tcBorders>
              <w:top w:val="single" w:sz="4" w:space="0" w:color="000000"/>
              <w:left w:val="nil"/>
              <w:bottom w:val="single" w:sz="4" w:space="0" w:color="BEBEBE"/>
              <w:right w:val="single" w:sz="4" w:space="0" w:color="000000"/>
            </w:tcBorders>
            <w:shd w:val="clear" w:color="auto" w:fill="DBEEF3"/>
          </w:tcPr>
          <w:p w14:paraId="0882211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21</w:t>
            </w:r>
          </w:p>
        </w:tc>
        <w:tc>
          <w:tcPr>
            <w:tcW w:w="1080" w:type="dxa"/>
            <w:tcBorders>
              <w:top w:val="single" w:sz="4" w:space="0" w:color="000000"/>
              <w:left w:val="nil"/>
              <w:bottom w:val="single" w:sz="4" w:space="0" w:color="BEBEBE"/>
              <w:right w:val="single" w:sz="4" w:space="0" w:color="000000"/>
            </w:tcBorders>
            <w:shd w:val="clear" w:color="auto" w:fill="DBEEF3"/>
          </w:tcPr>
          <w:p w14:paraId="033BAED9"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325</w:t>
            </w:r>
          </w:p>
        </w:tc>
        <w:tc>
          <w:tcPr>
            <w:tcW w:w="1890" w:type="dxa"/>
            <w:tcBorders>
              <w:top w:val="single" w:sz="4" w:space="0" w:color="000000"/>
              <w:left w:val="nil"/>
              <w:bottom w:val="single" w:sz="4" w:space="0" w:color="BEBEBE"/>
              <w:right w:val="single" w:sz="4" w:space="0" w:color="000000"/>
            </w:tcBorders>
            <w:shd w:val="clear" w:color="auto" w:fill="DBEEF3"/>
          </w:tcPr>
          <w:p w14:paraId="23AF5F40"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0.527446</w:t>
            </w:r>
          </w:p>
        </w:tc>
        <w:tc>
          <w:tcPr>
            <w:tcW w:w="1530" w:type="dxa"/>
            <w:tcBorders>
              <w:top w:val="single" w:sz="4" w:space="0" w:color="000000"/>
              <w:left w:val="nil"/>
              <w:bottom w:val="single" w:sz="4" w:space="0" w:color="BEBEBE"/>
              <w:right w:val="single" w:sz="4" w:space="0" w:color="000000"/>
            </w:tcBorders>
            <w:shd w:val="clear" w:color="auto" w:fill="DBEEF3"/>
          </w:tcPr>
          <w:p w14:paraId="19E5D85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0.29666667</w:t>
            </w:r>
          </w:p>
        </w:tc>
        <w:tc>
          <w:tcPr>
            <w:tcW w:w="1530" w:type="dxa"/>
            <w:tcBorders>
              <w:top w:val="single" w:sz="4" w:space="0" w:color="000000"/>
              <w:left w:val="nil"/>
              <w:bottom w:val="single" w:sz="4" w:space="0" w:color="BEBEBE"/>
              <w:right w:val="single" w:sz="4" w:space="0" w:color="000000"/>
            </w:tcBorders>
            <w:shd w:val="clear" w:color="auto" w:fill="DBEEF3"/>
          </w:tcPr>
          <w:p w14:paraId="21AA6EE2"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267.08</w:t>
            </w:r>
          </w:p>
        </w:tc>
      </w:tr>
      <w:tr w:rsidR="00042BE4" w14:paraId="79ADCEF2" w14:textId="77777777">
        <w:trPr>
          <w:trHeight w:val="349"/>
        </w:trPr>
        <w:tc>
          <w:tcPr>
            <w:tcW w:w="963" w:type="dxa"/>
            <w:tcBorders>
              <w:top w:val="nil"/>
              <w:left w:val="single" w:sz="4" w:space="0" w:color="000000"/>
              <w:bottom w:val="single" w:sz="4" w:space="0" w:color="000000"/>
              <w:right w:val="single" w:sz="4" w:space="0" w:color="000000"/>
            </w:tcBorders>
            <w:shd w:val="clear" w:color="auto" w:fill="DBEEF3"/>
          </w:tcPr>
          <w:p w14:paraId="3B770976"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JMN-1</w:t>
            </w:r>
          </w:p>
        </w:tc>
        <w:tc>
          <w:tcPr>
            <w:tcW w:w="1080" w:type="dxa"/>
            <w:tcBorders>
              <w:top w:val="single" w:sz="4" w:space="0" w:color="BEBEBE"/>
              <w:left w:val="nil"/>
              <w:bottom w:val="single" w:sz="4" w:space="0" w:color="BEBEBE"/>
              <w:right w:val="single" w:sz="4" w:space="0" w:color="000000"/>
            </w:tcBorders>
            <w:shd w:val="clear" w:color="auto" w:fill="DBEEF3"/>
          </w:tcPr>
          <w:p w14:paraId="60B2BE3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28</w:t>
            </w:r>
          </w:p>
        </w:tc>
        <w:tc>
          <w:tcPr>
            <w:tcW w:w="1440" w:type="dxa"/>
            <w:tcBorders>
              <w:top w:val="single" w:sz="4" w:space="0" w:color="BEBEBE"/>
              <w:left w:val="nil"/>
              <w:bottom w:val="single" w:sz="4" w:space="0" w:color="BEBEBE"/>
              <w:right w:val="single" w:sz="4" w:space="0" w:color="000000"/>
            </w:tcBorders>
            <w:shd w:val="clear" w:color="auto" w:fill="DBEEF3"/>
          </w:tcPr>
          <w:p w14:paraId="4437653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24</w:t>
            </w:r>
          </w:p>
        </w:tc>
        <w:tc>
          <w:tcPr>
            <w:tcW w:w="1080" w:type="dxa"/>
            <w:tcBorders>
              <w:top w:val="single" w:sz="4" w:space="0" w:color="BEBEBE"/>
              <w:left w:val="nil"/>
              <w:bottom w:val="single" w:sz="4" w:space="0" w:color="BEBEBE"/>
              <w:right w:val="single" w:sz="4" w:space="0" w:color="000000"/>
            </w:tcBorders>
            <w:shd w:val="clear" w:color="auto" w:fill="DBEEF3"/>
          </w:tcPr>
          <w:p w14:paraId="1C32119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329</w:t>
            </w:r>
          </w:p>
        </w:tc>
        <w:tc>
          <w:tcPr>
            <w:tcW w:w="1890" w:type="dxa"/>
            <w:tcBorders>
              <w:top w:val="single" w:sz="4" w:space="0" w:color="BEBEBE"/>
              <w:left w:val="nil"/>
              <w:bottom w:val="single" w:sz="4" w:space="0" w:color="BEBEBE"/>
              <w:right w:val="single" w:sz="4" w:space="0" w:color="000000"/>
            </w:tcBorders>
            <w:shd w:val="clear" w:color="auto" w:fill="DBEEF3"/>
          </w:tcPr>
          <w:p w14:paraId="47DACE2A"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0.5646016</w:t>
            </w:r>
          </w:p>
        </w:tc>
        <w:tc>
          <w:tcPr>
            <w:tcW w:w="1530" w:type="dxa"/>
            <w:tcBorders>
              <w:top w:val="single" w:sz="4" w:space="0" w:color="BEBEBE"/>
              <w:left w:val="nil"/>
              <w:bottom w:val="single" w:sz="4" w:space="0" w:color="BEBEBE"/>
              <w:right w:val="single" w:sz="4" w:space="0" w:color="000000"/>
            </w:tcBorders>
            <w:shd w:val="clear" w:color="auto" w:fill="DBEEF3"/>
          </w:tcPr>
          <w:p w14:paraId="3023ED1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0.323</w:t>
            </w:r>
          </w:p>
        </w:tc>
        <w:tc>
          <w:tcPr>
            <w:tcW w:w="1530" w:type="dxa"/>
            <w:tcBorders>
              <w:top w:val="single" w:sz="4" w:space="0" w:color="BEBEBE"/>
              <w:left w:val="nil"/>
              <w:bottom w:val="single" w:sz="4" w:space="0" w:color="BEBEBE"/>
              <w:right w:val="single" w:sz="4" w:space="0" w:color="000000"/>
            </w:tcBorders>
            <w:shd w:val="clear" w:color="auto" w:fill="DBEEF3"/>
          </w:tcPr>
          <w:p w14:paraId="6D4B37EF"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290.146</w:t>
            </w:r>
          </w:p>
        </w:tc>
      </w:tr>
      <w:tr w:rsidR="00042BE4" w14:paraId="274818F2"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1BE91553"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14:paraId="57E3CAE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w:t>
            </w:r>
          </w:p>
        </w:tc>
        <w:tc>
          <w:tcPr>
            <w:tcW w:w="1440" w:type="dxa"/>
            <w:tcBorders>
              <w:top w:val="single" w:sz="4" w:space="0" w:color="BEBEBE"/>
              <w:left w:val="nil"/>
              <w:bottom w:val="single" w:sz="4" w:space="0" w:color="000000"/>
              <w:right w:val="single" w:sz="4" w:space="0" w:color="000000"/>
            </w:tcBorders>
            <w:shd w:val="clear" w:color="auto" w:fill="DBEEF3"/>
          </w:tcPr>
          <w:p w14:paraId="58EC9B4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w:t>
            </w:r>
          </w:p>
        </w:tc>
        <w:tc>
          <w:tcPr>
            <w:tcW w:w="1080" w:type="dxa"/>
            <w:tcBorders>
              <w:top w:val="single" w:sz="4" w:space="0" w:color="BEBEBE"/>
              <w:left w:val="nil"/>
              <w:bottom w:val="single" w:sz="4" w:space="0" w:color="000000"/>
              <w:right w:val="single" w:sz="4" w:space="0" w:color="000000"/>
            </w:tcBorders>
            <w:shd w:val="clear" w:color="auto" w:fill="DBEEF3"/>
          </w:tcPr>
          <w:p w14:paraId="080E8B1A"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332</w:t>
            </w:r>
          </w:p>
        </w:tc>
        <w:tc>
          <w:tcPr>
            <w:tcW w:w="1890" w:type="dxa"/>
            <w:tcBorders>
              <w:top w:val="single" w:sz="4" w:space="0" w:color="BEBEBE"/>
              <w:left w:val="nil"/>
              <w:bottom w:val="single" w:sz="4" w:space="0" w:color="000000"/>
              <w:right w:val="single" w:sz="4" w:space="0" w:color="000000"/>
            </w:tcBorders>
            <w:shd w:val="clear" w:color="auto" w:fill="DBEEF3"/>
          </w:tcPr>
          <w:p w14:paraId="30FB2BC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0.6024968</w:t>
            </w:r>
          </w:p>
        </w:tc>
        <w:tc>
          <w:tcPr>
            <w:tcW w:w="1530" w:type="dxa"/>
            <w:tcBorders>
              <w:top w:val="single" w:sz="4" w:space="0" w:color="BEBEBE"/>
              <w:left w:val="nil"/>
              <w:bottom w:val="single" w:sz="4" w:space="0" w:color="000000"/>
              <w:right w:val="single" w:sz="4" w:space="0" w:color="000000"/>
            </w:tcBorders>
            <w:shd w:val="clear" w:color="auto" w:fill="DBEEF3"/>
          </w:tcPr>
          <w:p w14:paraId="2ECB482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0.3523333</w:t>
            </w:r>
          </w:p>
        </w:tc>
        <w:tc>
          <w:tcPr>
            <w:tcW w:w="1530" w:type="dxa"/>
            <w:tcBorders>
              <w:top w:val="single" w:sz="4" w:space="0" w:color="BEBEBE"/>
              <w:left w:val="nil"/>
              <w:bottom w:val="single" w:sz="4" w:space="0" w:color="000000"/>
              <w:right w:val="single" w:sz="4" w:space="0" w:color="000000"/>
            </w:tcBorders>
            <w:shd w:val="clear" w:color="auto" w:fill="DBEEF3"/>
          </w:tcPr>
          <w:p w14:paraId="479B2E32"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315.988</w:t>
            </w:r>
          </w:p>
        </w:tc>
      </w:tr>
      <w:tr w:rsidR="00042BE4" w14:paraId="50807989"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13F1BB28"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14:paraId="3BA5ACB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40" w:type="dxa"/>
            <w:tcBorders>
              <w:top w:val="single" w:sz="4" w:space="0" w:color="000000"/>
              <w:left w:val="nil"/>
              <w:bottom w:val="single" w:sz="4" w:space="0" w:color="BEBEBE"/>
              <w:right w:val="single" w:sz="4" w:space="0" w:color="000000"/>
            </w:tcBorders>
            <w:shd w:val="clear" w:color="auto" w:fill="DBEEF3"/>
          </w:tcPr>
          <w:p w14:paraId="5DDF0739"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58</w:t>
            </w:r>
          </w:p>
        </w:tc>
        <w:tc>
          <w:tcPr>
            <w:tcW w:w="1080" w:type="dxa"/>
            <w:tcBorders>
              <w:top w:val="single" w:sz="4" w:space="0" w:color="000000"/>
              <w:left w:val="nil"/>
              <w:bottom w:val="single" w:sz="4" w:space="0" w:color="BEBEBE"/>
              <w:right w:val="single" w:sz="4" w:space="0" w:color="000000"/>
            </w:tcBorders>
            <w:shd w:val="clear" w:color="auto" w:fill="DBEEF3"/>
          </w:tcPr>
          <w:p w14:paraId="5024F86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798</w:t>
            </w:r>
          </w:p>
        </w:tc>
        <w:tc>
          <w:tcPr>
            <w:tcW w:w="1890" w:type="dxa"/>
            <w:tcBorders>
              <w:top w:val="single" w:sz="4" w:space="0" w:color="000000"/>
              <w:left w:val="nil"/>
              <w:bottom w:val="single" w:sz="4" w:space="0" w:color="BEBEBE"/>
              <w:right w:val="single" w:sz="4" w:space="0" w:color="000000"/>
            </w:tcBorders>
            <w:shd w:val="clear" w:color="auto" w:fill="DBEEF3"/>
          </w:tcPr>
          <w:p w14:paraId="3559D04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1.3060712</w:t>
            </w:r>
          </w:p>
        </w:tc>
        <w:tc>
          <w:tcPr>
            <w:tcW w:w="1530" w:type="dxa"/>
            <w:tcBorders>
              <w:top w:val="single" w:sz="4" w:space="0" w:color="000000"/>
              <w:left w:val="nil"/>
              <w:bottom w:val="single" w:sz="4" w:space="0" w:color="BEBEBE"/>
              <w:right w:val="single" w:sz="4" w:space="0" w:color="000000"/>
            </w:tcBorders>
            <w:shd w:val="clear" w:color="auto" w:fill="DBEEF3"/>
          </w:tcPr>
          <w:p w14:paraId="5197CCE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0.656</w:t>
            </w:r>
          </w:p>
        </w:tc>
        <w:tc>
          <w:tcPr>
            <w:tcW w:w="1530" w:type="dxa"/>
            <w:tcBorders>
              <w:top w:val="single" w:sz="4" w:space="0" w:color="000000"/>
              <w:left w:val="nil"/>
              <w:bottom w:val="single" w:sz="4" w:space="0" w:color="BEBEBE"/>
              <w:right w:val="single" w:sz="4" w:space="0" w:color="000000"/>
            </w:tcBorders>
            <w:shd w:val="clear" w:color="auto" w:fill="DBEEF3"/>
          </w:tcPr>
          <w:p w14:paraId="479C4143"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585.712</w:t>
            </w:r>
          </w:p>
        </w:tc>
      </w:tr>
      <w:tr w:rsidR="00042BE4" w14:paraId="7881EFC5"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6BC36092"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JMN-2</w:t>
            </w:r>
          </w:p>
        </w:tc>
        <w:tc>
          <w:tcPr>
            <w:tcW w:w="1080" w:type="dxa"/>
            <w:tcBorders>
              <w:top w:val="single" w:sz="4" w:space="0" w:color="BEBEBE"/>
              <w:left w:val="nil"/>
              <w:bottom w:val="single" w:sz="4" w:space="0" w:color="BEBEBE"/>
              <w:right w:val="single" w:sz="4" w:space="0" w:color="000000"/>
            </w:tcBorders>
            <w:shd w:val="clear" w:color="auto" w:fill="DBEEF3"/>
          </w:tcPr>
          <w:p w14:paraId="415CBF2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440" w:type="dxa"/>
            <w:tcBorders>
              <w:top w:val="single" w:sz="4" w:space="0" w:color="BEBEBE"/>
              <w:left w:val="nil"/>
              <w:bottom w:val="single" w:sz="4" w:space="0" w:color="BEBEBE"/>
              <w:right w:val="single" w:sz="4" w:space="0" w:color="000000"/>
            </w:tcBorders>
            <w:shd w:val="clear" w:color="auto" w:fill="DBEEF3"/>
          </w:tcPr>
          <w:p w14:paraId="1E1DBCE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61</w:t>
            </w:r>
          </w:p>
        </w:tc>
        <w:tc>
          <w:tcPr>
            <w:tcW w:w="1080" w:type="dxa"/>
            <w:tcBorders>
              <w:top w:val="single" w:sz="4" w:space="0" w:color="BEBEBE"/>
              <w:left w:val="nil"/>
              <w:bottom w:val="single" w:sz="4" w:space="0" w:color="BEBEBE"/>
              <w:right w:val="single" w:sz="4" w:space="0" w:color="000000"/>
            </w:tcBorders>
            <w:shd w:val="clear" w:color="auto" w:fill="DBEEF3"/>
          </w:tcPr>
          <w:p w14:paraId="75E4577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801</w:t>
            </w:r>
          </w:p>
        </w:tc>
        <w:tc>
          <w:tcPr>
            <w:tcW w:w="1890" w:type="dxa"/>
            <w:tcBorders>
              <w:top w:val="single" w:sz="4" w:space="0" w:color="BEBEBE"/>
              <w:left w:val="nil"/>
              <w:bottom w:val="single" w:sz="4" w:space="0" w:color="BEBEBE"/>
              <w:right w:val="single" w:sz="4" w:space="0" w:color="000000"/>
            </w:tcBorders>
            <w:shd w:val="clear" w:color="auto" w:fill="DBEEF3"/>
          </w:tcPr>
          <w:p w14:paraId="53FD160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1.3423484</w:t>
            </w:r>
          </w:p>
        </w:tc>
        <w:tc>
          <w:tcPr>
            <w:tcW w:w="1530" w:type="dxa"/>
            <w:tcBorders>
              <w:top w:val="single" w:sz="4" w:space="0" w:color="BEBEBE"/>
              <w:left w:val="nil"/>
              <w:bottom w:val="single" w:sz="4" w:space="0" w:color="BEBEBE"/>
              <w:right w:val="single" w:sz="4" w:space="0" w:color="000000"/>
            </w:tcBorders>
            <w:shd w:val="clear" w:color="auto" w:fill="DBEEF3"/>
          </w:tcPr>
          <w:p w14:paraId="2F42C64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0.682</w:t>
            </w:r>
          </w:p>
        </w:tc>
        <w:tc>
          <w:tcPr>
            <w:tcW w:w="1530" w:type="dxa"/>
            <w:tcBorders>
              <w:top w:val="single" w:sz="4" w:space="0" w:color="BEBEBE"/>
              <w:left w:val="nil"/>
              <w:bottom w:val="single" w:sz="4" w:space="0" w:color="BEBEBE"/>
              <w:right w:val="single" w:sz="4" w:space="0" w:color="000000"/>
            </w:tcBorders>
            <w:shd w:val="clear" w:color="auto" w:fill="DBEEF3"/>
          </w:tcPr>
          <w:p w14:paraId="2FBCC944"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608.464</w:t>
            </w:r>
          </w:p>
        </w:tc>
      </w:tr>
      <w:tr w:rsidR="00042BE4" w14:paraId="4D93B8DF"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2BD85001"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14:paraId="2481FE8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36</w:t>
            </w:r>
          </w:p>
        </w:tc>
        <w:tc>
          <w:tcPr>
            <w:tcW w:w="1440" w:type="dxa"/>
            <w:tcBorders>
              <w:top w:val="single" w:sz="4" w:space="0" w:color="BEBEBE"/>
              <w:left w:val="nil"/>
              <w:bottom w:val="single" w:sz="4" w:space="0" w:color="000000"/>
              <w:right w:val="single" w:sz="4" w:space="0" w:color="000000"/>
            </w:tcBorders>
            <w:shd w:val="clear" w:color="auto" w:fill="DBEEF3"/>
          </w:tcPr>
          <w:p w14:paraId="2A0E0B1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64</w:t>
            </w:r>
          </w:p>
        </w:tc>
        <w:tc>
          <w:tcPr>
            <w:tcW w:w="1080" w:type="dxa"/>
            <w:tcBorders>
              <w:top w:val="single" w:sz="4" w:space="0" w:color="BEBEBE"/>
              <w:left w:val="nil"/>
              <w:bottom w:val="single" w:sz="4" w:space="0" w:color="000000"/>
              <w:right w:val="single" w:sz="4" w:space="0" w:color="000000"/>
            </w:tcBorders>
            <w:shd w:val="clear" w:color="auto" w:fill="DBEEF3"/>
          </w:tcPr>
          <w:p w14:paraId="77CC0B81"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805</w:t>
            </w:r>
          </w:p>
        </w:tc>
        <w:tc>
          <w:tcPr>
            <w:tcW w:w="1890" w:type="dxa"/>
            <w:tcBorders>
              <w:top w:val="single" w:sz="4" w:space="0" w:color="BEBEBE"/>
              <w:left w:val="nil"/>
              <w:bottom w:val="single" w:sz="4" w:space="0" w:color="000000"/>
              <w:right w:val="single" w:sz="4" w:space="0" w:color="000000"/>
            </w:tcBorders>
            <w:shd w:val="clear" w:color="auto" w:fill="DBEEF3"/>
          </w:tcPr>
          <w:p w14:paraId="69E23CC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1.379504</w:t>
            </w:r>
          </w:p>
        </w:tc>
        <w:tc>
          <w:tcPr>
            <w:tcW w:w="1530" w:type="dxa"/>
            <w:tcBorders>
              <w:top w:val="single" w:sz="4" w:space="0" w:color="BEBEBE"/>
              <w:left w:val="nil"/>
              <w:bottom w:val="single" w:sz="4" w:space="0" w:color="000000"/>
              <w:right w:val="single" w:sz="4" w:space="0" w:color="000000"/>
            </w:tcBorders>
            <w:shd w:val="clear" w:color="auto" w:fill="DBEEF3"/>
          </w:tcPr>
          <w:p w14:paraId="2741EA1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0.7083333</w:t>
            </w:r>
          </w:p>
        </w:tc>
        <w:tc>
          <w:tcPr>
            <w:tcW w:w="1530" w:type="dxa"/>
            <w:tcBorders>
              <w:top w:val="single" w:sz="4" w:space="0" w:color="BEBEBE"/>
              <w:left w:val="nil"/>
              <w:bottom w:val="single" w:sz="4" w:space="0" w:color="000000"/>
              <w:right w:val="single" w:sz="4" w:space="0" w:color="000000"/>
            </w:tcBorders>
            <w:shd w:val="clear" w:color="auto" w:fill="DBEEF3"/>
          </w:tcPr>
          <w:p w14:paraId="26BD773A"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631.53</w:t>
            </w:r>
          </w:p>
        </w:tc>
      </w:tr>
      <w:tr w:rsidR="00042BE4" w14:paraId="5CD3A323"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372823D2"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14:paraId="19F2FCD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28</w:t>
            </w:r>
          </w:p>
        </w:tc>
        <w:tc>
          <w:tcPr>
            <w:tcW w:w="1440" w:type="dxa"/>
            <w:tcBorders>
              <w:top w:val="single" w:sz="4" w:space="0" w:color="000000"/>
              <w:left w:val="nil"/>
              <w:bottom w:val="single" w:sz="4" w:space="0" w:color="BEBEBE"/>
              <w:right w:val="single" w:sz="4" w:space="0" w:color="000000"/>
            </w:tcBorders>
            <w:shd w:val="clear" w:color="auto" w:fill="DBEEF3"/>
          </w:tcPr>
          <w:p w14:paraId="19DA9DDF"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w:t>
            </w:r>
          </w:p>
        </w:tc>
        <w:tc>
          <w:tcPr>
            <w:tcW w:w="1080" w:type="dxa"/>
            <w:tcBorders>
              <w:top w:val="single" w:sz="4" w:space="0" w:color="000000"/>
              <w:left w:val="nil"/>
              <w:bottom w:val="single" w:sz="4" w:space="0" w:color="BEBEBE"/>
              <w:right w:val="single" w:sz="4" w:space="0" w:color="000000"/>
            </w:tcBorders>
            <w:shd w:val="clear" w:color="auto" w:fill="DBEEF3"/>
          </w:tcPr>
          <w:p w14:paraId="72E73EB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268</w:t>
            </w:r>
          </w:p>
        </w:tc>
        <w:tc>
          <w:tcPr>
            <w:tcW w:w="1890" w:type="dxa"/>
            <w:tcBorders>
              <w:top w:val="single" w:sz="4" w:space="0" w:color="000000"/>
              <w:left w:val="nil"/>
              <w:bottom w:val="single" w:sz="4" w:space="0" w:color="BEBEBE"/>
              <w:right w:val="single" w:sz="4" w:space="0" w:color="000000"/>
            </w:tcBorders>
            <w:shd w:val="clear" w:color="auto" w:fill="DBEEF3"/>
          </w:tcPr>
          <w:p w14:paraId="2C5DCFF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0.6165752</w:t>
            </w:r>
          </w:p>
        </w:tc>
        <w:tc>
          <w:tcPr>
            <w:tcW w:w="1530" w:type="dxa"/>
            <w:tcBorders>
              <w:top w:val="single" w:sz="4" w:space="0" w:color="000000"/>
              <w:left w:val="nil"/>
              <w:bottom w:val="single" w:sz="4" w:space="0" w:color="BEBEBE"/>
              <w:right w:val="single" w:sz="4" w:space="0" w:color="000000"/>
            </w:tcBorders>
            <w:shd w:val="clear" w:color="auto" w:fill="DBEEF3"/>
          </w:tcPr>
          <w:p w14:paraId="26011120"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0.35766667</w:t>
            </w:r>
          </w:p>
        </w:tc>
        <w:tc>
          <w:tcPr>
            <w:tcW w:w="1530" w:type="dxa"/>
            <w:tcBorders>
              <w:top w:val="single" w:sz="4" w:space="0" w:color="000000"/>
              <w:left w:val="nil"/>
              <w:bottom w:val="single" w:sz="4" w:space="0" w:color="BEBEBE"/>
              <w:right w:val="single" w:sz="4" w:space="0" w:color="000000"/>
            </w:tcBorders>
            <w:shd w:val="clear" w:color="auto" w:fill="DBEEF3"/>
          </w:tcPr>
          <w:p w14:paraId="11FAC7E7"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316.972</w:t>
            </w:r>
          </w:p>
        </w:tc>
      </w:tr>
      <w:tr w:rsidR="00042BE4" w14:paraId="05DB21C1"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3E2654B9"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JMN-3</w:t>
            </w:r>
          </w:p>
        </w:tc>
        <w:tc>
          <w:tcPr>
            <w:tcW w:w="1080" w:type="dxa"/>
            <w:tcBorders>
              <w:top w:val="single" w:sz="4" w:space="0" w:color="BEBEBE"/>
              <w:left w:val="nil"/>
              <w:bottom w:val="single" w:sz="4" w:space="0" w:color="BEBEBE"/>
              <w:right w:val="single" w:sz="4" w:space="0" w:color="000000"/>
            </w:tcBorders>
            <w:shd w:val="clear" w:color="auto" w:fill="DBEEF3"/>
          </w:tcPr>
          <w:p w14:paraId="5F8D2355"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40" w:type="dxa"/>
            <w:tcBorders>
              <w:top w:val="single" w:sz="4" w:space="0" w:color="BEBEBE"/>
              <w:left w:val="nil"/>
              <w:bottom w:val="single" w:sz="4" w:space="0" w:color="BEBEBE"/>
              <w:right w:val="single" w:sz="4" w:space="0" w:color="000000"/>
            </w:tcBorders>
            <w:shd w:val="clear" w:color="auto" w:fill="DBEEF3"/>
          </w:tcPr>
          <w:p w14:paraId="449163D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39</w:t>
            </w:r>
          </w:p>
        </w:tc>
        <w:tc>
          <w:tcPr>
            <w:tcW w:w="1080" w:type="dxa"/>
            <w:tcBorders>
              <w:top w:val="single" w:sz="4" w:space="0" w:color="BEBEBE"/>
              <w:left w:val="nil"/>
              <w:bottom w:val="single" w:sz="4" w:space="0" w:color="BEBEBE"/>
              <w:right w:val="single" w:sz="4" w:space="0" w:color="000000"/>
            </w:tcBorders>
            <w:shd w:val="clear" w:color="auto" w:fill="DBEEF3"/>
          </w:tcPr>
          <w:p w14:paraId="18AF575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270</w:t>
            </w:r>
          </w:p>
        </w:tc>
        <w:tc>
          <w:tcPr>
            <w:tcW w:w="1890" w:type="dxa"/>
            <w:tcBorders>
              <w:top w:val="single" w:sz="4" w:space="0" w:color="BEBEBE"/>
              <w:left w:val="nil"/>
              <w:bottom w:val="single" w:sz="4" w:space="0" w:color="BEBEBE"/>
              <w:right w:val="single" w:sz="4" w:space="0" w:color="000000"/>
            </w:tcBorders>
            <w:shd w:val="clear" w:color="auto" w:fill="DBEEF3"/>
          </w:tcPr>
          <w:p w14:paraId="19B7701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0.659952</w:t>
            </w:r>
          </w:p>
        </w:tc>
        <w:tc>
          <w:tcPr>
            <w:tcW w:w="1530" w:type="dxa"/>
            <w:tcBorders>
              <w:top w:val="single" w:sz="4" w:space="0" w:color="BEBEBE"/>
              <w:left w:val="nil"/>
              <w:bottom w:val="single" w:sz="4" w:space="0" w:color="BEBEBE"/>
              <w:right w:val="single" w:sz="4" w:space="0" w:color="000000"/>
            </w:tcBorders>
            <w:shd w:val="clear" w:color="auto" w:fill="DBEEF3"/>
          </w:tcPr>
          <w:p w14:paraId="2D53EC03"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0.385</w:t>
            </w:r>
          </w:p>
        </w:tc>
        <w:tc>
          <w:tcPr>
            <w:tcW w:w="1530" w:type="dxa"/>
            <w:tcBorders>
              <w:top w:val="single" w:sz="4" w:space="0" w:color="BEBEBE"/>
              <w:left w:val="nil"/>
              <w:bottom w:val="single" w:sz="4" w:space="0" w:color="BEBEBE"/>
              <w:right w:val="single" w:sz="4" w:space="0" w:color="000000"/>
            </w:tcBorders>
            <w:shd w:val="clear" w:color="auto" w:fill="DBEEF3"/>
          </w:tcPr>
          <w:p w14:paraId="0791F7C6"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340.5</w:t>
            </w:r>
          </w:p>
        </w:tc>
      </w:tr>
      <w:tr w:rsidR="00042BE4" w14:paraId="14D6182C"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42AA8CC8"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14:paraId="23E799D1"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440" w:type="dxa"/>
            <w:tcBorders>
              <w:top w:val="single" w:sz="4" w:space="0" w:color="BEBEBE"/>
              <w:left w:val="nil"/>
              <w:bottom w:val="single" w:sz="4" w:space="0" w:color="000000"/>
              <w:right w:val="single" w:sz="4" w:space="0" w:color="000000"/>
            </w:tcBorders>
            <w:shd w:val="clear" w:color="auto" w:fill="DBEEF3"/>
          </w:tcPr>
          <w:p w14:paraId="0704B38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42</w:t>
            </w:r>
          </w:p>
        </w:tc>
        <w:tc>
          <w:tcPr>
            <w:tcW w:w="1080" w:type="dxa"/>
            <w:tcBorders>
              <w:top w:val="single" w:sz="4" w:space="0" w:color="BEBEBE"/>
              <w:left w:val="nil"/>
              <w:bottom w:val="single" w:sz="4" w:space="0" w:color="000000"/>
              <w:right w:val="single" w:sz="4" w:space="0" w:color="000000"/>
            </w:tcBorders>
            <w:shd w:val="clear" w:color="auto" w:fill="DBEEF3"/>
          </w:tcPr>
          <w:p w14:paraId="5A6727C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273</w:t>
            </w:r>
          </w:p>
        </w:tc>
        <w:tc>
          <w:tcPr>
            <w:tcW w:w="1890" w:type="dxa"/>
            <w:tcBorders>
              <w:top w:val="single" w:sz="4" w:space="0" w:color="BEBEBE"/>
              <w:left w:val="nil"/>
              <w:bottom w:val="single" w:sz="4" w:space="0" w:color="000000"/>
              <w:right w:val="single" w:sz="4" w:space="0" w:color="000000"/>
            </w:tcBorders>
            <w:shd w:val="clear" w:color="auto" w:fill="DBEEF3"/>
          </w:tcPr>
          <w:p w14:paraId="426D641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0.6962292</w:t>
            </w:r>
          </w:p>
        </w:tc>
        <w:tc>
          <w:tcPr>
            <w:tcW w:w="1530" w:type="dxa"/>
            <w:tcBorders>
              <w:top w:val="single" w:sz="4" w:space="0" w:color="BEBEBE"/>
              <w:left w:val="nil"/>
              <w:bottom w:val="single" w:sz="4" w:space="0" w:color="000000"/>
              <w:right w:val="single" w:sz="4" w:space="0" w:color="000000"/>
            </w:tcBorders>
            <w:shd w:val="clear" w:color="auto" w:fill="DBEEF3"/>
          </w:tcPr>
          <w:p w14:paraId="79A6AB89"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0.411</w:t>
            </w:r>
          </w:p>
        </w:tc>
        <w:tc>
          <w:tcPr>
            <w:tcW w:w="1530" w:type="dxa"/>
            <w:tcBorders>
              <w:top w:val="single" w:sz="4" w:space="0" w:color="BEBEBE"/>
              <w:left w:val="nil"/>
              <w:bottom w:val="single" w:sz="4" w:space="0" w:color="000000"/>
              <w:right w:val="single" w:sz="4" w:space="0" w:color="000000"/>
            </w:tcBorders>
            <w:shd w:val="clear" w:color="auto" w:fill="DBEEF3"/>
          </w:tcPr>
          <w:p w14:paraId="0A0FA268"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363.252</w:t>
            </w:r>
          </w:p>
        </w:tc>
      </w:tr>
      <w:tr w:rsidR="00042BE4" w14:paraId="291A09D6"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7469FFC9"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14:paraId="2186BDE1"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43</w:t>
            </w:r>
          </w:p>
        </w:tc>
        <w:tc>
          <w:tcPr>
            <w:tcW w:w="1440" w:type="dxa"/>
            <w:tcBorders>
              <w:top w:val="single" w:sz="4" w:space="0" w:color="000000"/>
              <w:left w:val="nil"/>
              <w:bottom w:val="single" w:sz="4" w:space="0" w:color="BEBEBE"/>
              <w:right w:val="single" w:sz="4" w:space="0" w:color="000000"/>
            </w:tcBorders>
            <w:shd w:val="clear" w:color="auto" w:fill="DBEEF3"/>
          </w:tcPr>
          <w:p w14:paraId="492F1DF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48</w:t>
            </w:r>
          </w:p>
        </w:tc>
        <w:tc>
          <w:tcPr>
            <w:tcW w:w="1080" w:type="dxa"/>
            <w:tcBorders>
              <w:top w:val="single" w:sz="4" w:space="0" w:color="000000"/>
              <w:left w:val="nil"/>
              <w:bottom w:val="single" w:sz="4" w:space="0" w:color="BEBEBE"/>
              <w:right w:val="single" w:sz="4" w:space="0" w:color="000000"/>
            </w:tcBorders>
            <w:shd w:val="clear" w:color="auto" w:fill="DBEEF3"/>
          </w:tcPr>
          <w:p w14:paraId="2F9D02D7"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357</w:t>
            </w:r>
          </w:p>
        </w:tc>
        <w:tc>
          <w:tcPr>
            <w:tcW w:w="1890" w:type="dxa"/>
            <w:tcBorders>
              <w:top w:val="single" w:sz="4" w:space="0" w:color="000000"/>
              <w:left w:val="nil"/>
              <w:bottom w:val="single" w:sz="4" w:space="0" w:color="BEBEBE"/>
              <w:right w:val="single" w:sz="4" w:space="0" w:color="000000"/>
            </w:tcBorders>
            <w:shd w:val="clear" w:color="auto" w:fill="DBEEF3"/>
          </w:tcPr>
          <w:p w14:paraId="3582CCD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0.8437708</w:t>
            </w:r>
          </w:p>
        </w:tc>
        <w:tc>
          <w:tcPr>
            <w:tcW w:w="1530" w:type="dxa"/>
            <w:tcBorders>
              <w:top w:val="single" w:sz="4" w:space="0" w:color="000000"/>
              <w:left w:val="nil"/>
              <w:bottom w:val="single" w:sz="4" w:space="0" w:color="BEBEBE"/>
              <w:right w:val="single" w:sz="4" w:space="0" w:color="000000"/>
            </w:tcBorders>
            <w:shd w:val="clear" w:color="auto" w:fill="DBEEF3"/>
          </w:tcPr>
          <w:p w14:paraId="75F9530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0.50233333</w:t>
            </w:r>
          </w:p>
        </w:tc>
        <w:tc>
          <w:tcPr>
            <w:tcW w:w="1530" w:type="dxa"/>
            <w:tcBorders>
              <w:top w:val="single" w:sz="4" w:space="0" w:color="000000"/>
              <w:left w:val="nil"/>
              <w:bottom w:val="single" w:sz="4" w:space="0" w:color="BEBEBE"/>
              <w:right w:val="single" w:sz="4" w:space="0" w:color="000000"/>
            </w:tcBorders>
            <w:shd w:val="clear" w:color="auto" w:fill="DBEEF3"/>
          </w:tcPr>
          <w:p w14:paraId="78F34E91"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445.608</w:t>
            </w:r>
          </w:p>
        </w:tc>
      </w:tr>
      <w:tr w:rsidR="00042BE4" w14:paraId="3BD985DB"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66F825A4"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JMN-4</w:t>
            </w:r>
          </w:p>
        </w:tc>
        <w:tc>
          <w:tcPr>
            <w:tcW w:w="1080" w:type="dxa"/>
            <w:tcBorders>
              <w:top w:val="single" w:sz="4" w:space="0" w:color="BEBEBE"/>
              <w:left w:val="nil"/>
              <w:bottom w:val="single" w:sz="4" w:space="0" w:color="BEBEBE"/>
              <w:right w:val="single" w:sz="4" w:space="0" w:color="000000"/>
            </w:tcBorders>
            <w:shd w:val="clear" w:color="auto" w:fill="DBEEF3"/>
          </w:tcPr>
          <w:p w14:paraId="58C8E8A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45</w:t>
            </w:r>
          </w:p>
        </w:tc>
        <w:tc>
          <w:tcPr>
            <w:tcW w:w="1440" w:type="dxa"/>
            <w:tcBorders>
              <w:top w:val="single" w:sz="4" w:space="0" w:color="BEBEBE"/>
              <w:left w:val="nil"/>
              <w:bottom w:val="single" w:sz="4" w:space="0" w:color="BEBEBE"/>
              <w:right w:val="single" w:sz="4" w:space="0" w:color="000000"/>
            </w:tcBorders>
            <w:shd w:val="clear" w:color="auto" w:fill="DBEEF3"/>
          </w:tcPr>
          <w:p w14:paraId="2E934ED4"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51</w:t>
            </w:r>
          </w:p>
        </w:tc>
        <w:tc>
          <w:tcPr>
            <w:tcW w:w="1080" w:type="dxa"/>
            <w:tcBorders>
              <w:top w:val="single" w:sz="4" w:space="0" w:color="BEBEBE"/>
              <w:left w:val="nil"/>
              <w:bottom w:val="single" w:sz="4" w:space="0" w:color="BEBEBE"/>
              <w:right w:val="single" w:sz="4" w:space="0" w:color="000000"/>
            </w:tcBorders>
            <w:shd w:val="clear" w:color="auto" w:fill="DBEEF3"/>
          </w:tcPr>
          <w:p w14:paraId="6443D8E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c>
          <w:tcPr>
            <w:tcW w:w="1890" w:type="dxa"/>
            <w:tcBorders>
              <w:top w:val="single" w:sz="4" w:space="0" w:color="BEBEBE"/>
              <w:left w:val="nil"/>
              <w:bottom w:val="single" w:sz="4" w:space="0" w:color="BEBEBE"/>
              <w:right w:val="single" w:sz="4" w:space="0" w:color="000000"/>
            </w:tcBorders>
            <w:shd w:val="clear" w:color="auto" w:fill="DBEEF3"/>
          </w:tcPr>
          <w:p w14:paraId="19E51779"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0.8775516</w:t>
            </w:r>
          </w:p>
        </w:tc>
        <w:tc>
          <w:tcPr>
            <w:tcW w:w="1530" w:type="dxa"/>
            <w:tcBorders>
              <w:top w:val="single" w:sz="4" w:space="0" w:color="BEBEBE"/>
              <w:left w:val="nil"/>
              <w:bottom w:val="single" w:sz="4" w:space="0" w:color="BEBEBE"/>
              <w:right w:val="single" w:sz="4" w:space="0" w:color="000000"/>
            </w:tcBorders>
            <w:shd w:val="clear" w:color="auto" w:fill="DBEEF3"/>
          </w:tcPr>
          <w:p w14:paraId="04C2329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0.52466667</w:t>
            </w:r>
          </w:p>
        </w:tc>
        <w:tc>
          <w:tcPr>
            <w:tcW w:w="1530" w:type="dxa"/>
            <w:tcBorders>
              <w:top w:val="single" w:sz="4" w:space="0" w:color="BEBEBE"/>
              <w:left w:val="nil"/>
              <w:bottom w:val="single" w:sz="4" w:space="0" w:color="BEBEBE"/>
              <w:right w:val="single" w:sz="4" w:space="0" w:color="000000"/>
            </w:tcBorders>
            <w:shd w:val="clear" w:color="auto" w:fill="DBEEF3"/>
          </w:tcPr>
          <w:p w14:paraId="291C403F"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464.956</w:t>
            </w:r>
          </w:p>
        </w:tc>
      </w:tr>
      <w:tr w:rsidR="00042BE4" w14:paraId="1E42046F" w14:textId="77777777">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22F0FBA7" w14:textId="77777777"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14:paraId="11F2E806"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49</w:t>
            </w:r>
          </w:p>
        </w:tc>
        <w:tc>
          <w:tcPr>
            <w:tcW w:w="1440" w:type="dxa"/>
            <w:tcBorders>
              <w:top w:val="single" w:sz="4" w:space="0" w:color="BEBEBE"/>
              <w:left w:val="nil"/>
              <w:bottom w:val="single" w:sz="4" w:space="0" w:color="000000"/>
              <w:right w:val="single" w:sz="4" w:space="0" w:color="000000"/>
            </w:tcBorders>
            <w:shd w:val="clear" w:color="auto" w:fill="DBEEF3"/>
          </w:tcPr>
          <w:p w14:paraId="2EBBE40E"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55</w:t>
            </w:r>
          </w:p>
        </w:tc>
        <w:tc>
          <w:tcPr>
            <w:tcW w:w="1080" w:type="dxa"/>
            <w:tcBorders>
              <w:top w:val="single" w:sz="4" w:space="0" w:color="BEBEBE"/>
              <w:left w:val="nil"/>
              <w:bottom w:val="single" w:sz="4" w:space="0" w:color="000000"/>
              <w:right w:val="single" w:sz="4" w:space="0" w:color="000000"/>
            </w:tcBorders>
            <w:shd w:val="clear" w:color="auto" w:fill="DBEEF3"/>
          </w:tcPr>
          <w:p w14:paraId="7928B790"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363</w:t>
            </w:r>
          </w:p>
        </w:tc>
        <w:tc>
          <w:tcPr>
            <w:tcW w:w="1890" w:type="dxa"/>
            <w:tcBorders>
              <w:top w:val="single" w:sz="4" w:space="0" w:color="BEBEBE"/>
              <w:left w:val="nil"/>
              <w:bottom w:val="single" w:sz="4" w:space="0" w:color="000000"/>
              <w:right w:val="single" w:sz="4" w:space="0" w:color="000000"/>
            </w:tcBorders>
            <w:shd w:val="clear" w:color="auto" w:fill="DBEEF3"/>
          </w:tcPr>
          <w:p w14:paraId="2A16FE48"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0.9259212</w:t>
            </w:r>
          </w:p>
        </w:tc>
        <w:tc>
          <w:tcPr>
            <w:tcW w:w="1530" w:type="dxa"/>
            <w:tcBorders>
              <w:top w:val="single" w:sz="4" w:space="0" w:color="BEBEBE"/>
              <w:left w:val="nil"/>
              <w:bottom w:val="single" w:sz="4" w:space="0" w:color="000000"/>
              <w:right w:val="single" w:sz="4" w:space="0" w:color="000000"/>
            </w:tcBorders>
            <w:shd w:val="clear" w:color="auto" w:fill="DBEEF3"/>
          </w:tcPr>
          <w:p w14:paraId="4F25EA72"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0.55933333</w:t>
            </w:r>
          </w:p>
        </w:tc>
        <w:tc>
          <w:tcPr>
            <w:tcW w:w="1530" w:type="dxa"/>
            <w:tcBorders>
              <w:top w:val="single" w:sz="4" w:space="0" w:color="BEBEBE"/>
              <w:left w:val="nil"/>
              <w:bottom w:val="single" w:sz="4" w:space="0" w:color="000000"/>
              <w:right w:val="single" w:sz="4" w:space="0" w:color="000000"/>
            </w:tcBorders>
            <w:shd w:val="clear" w:color="auto" w:fill="DBEEF3"/>
          </w:tcPr>
          <w:p w14:paraId="7C9FEC87"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495.292</w:t>
            </w:r>
          </w:p>
        </w:tc>
      </w:tr>
      <w:tr w:rsidR="00042BE4" w14:paraId="3EF91463" w14:textId="77777777">
        <w:trPr>
          <w:trHeight w:val="43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14:paraId="65B0E6DF"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MEAN</w:t>
            </w:r>
          </w:p>
        </w:tc>
        <w:tc>
          <w:tcPr>
            <w:tcW w:w="1080" w:type="dxa"/>
            <w:tcBorders>
              <w:top w:val="single" w:sz="4" w:space="0" w:color="000000"/>
              <w:left w:val="nil"/>
              <w:bottom w:val="single" w:sz="4" w:space="0" w:color="000000"/>
              <w:right w:val="single" w:sz="4" w:space="0" w:color="000000"/>
            </w:tcBorders>
            <w:shd w:val="clear" w:color="auto" w:fill="DBEEF3"/>
          </w:tcPr>
          <w:p w14:paraId="4E95DCF7"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34.3333</w:t>
            </w:r>
          </w:p>
        </w:tc>
        <w:tc>
          <w:tcPr>
            <w:tcW w:w="1440" w:type="dxa"/>
            <w:tcBorders>
              <w:top w:val="single" w:sz="4" w:space="0" w:color="000000"/>
              <w:left w:val="nil"/>
              <w:bottom w:val="single" w:sz="4" w:space="0" w:color="000000"/>
              <w:right w:val="single" w:sz="4" w:space="0" w:color="000000"/>
            </w:tcBorders>
            <w:shd w:val="clear" w:color="auto" w:fill="DBEEF3"/>
          </w:tcPr>
          <w:p w14:paraId="664AD568"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43.7500</w:t>
            </w:r>
          </w:p>
        </w:tc>
        <w:tc>
          <w:tcPr>
            <w:tcW w:w="1080" w:type="dxa"/>
            <w:tcBorders>
              <w:top w:val="single" w:sz="4" w:space="0" w:color="000000"/>
              <w:left w:val="nil"/>
              <w:bottom w:val="single" w:sz="4" w:space="0" w:color="000000"/>
              <w:right w:val="single" w:sz="4" w:space="0" w:color="000000"/>
            </w:tcBorders>
            <w:shd w:val="clear" w:color="auto" w:fill="DBEEF3"/>
          </w:tcPr>
          <w:p w14:paraId="5FE9E347"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440.000</w:t>
            </w:r>
          </w:p>
        </w:tc>
        <w:tc>
          <w:tcPr>
            <w:tcW w:w="1890" w:type="dxa"/>
            <w:tcBorders>
              <w:top w:val="single" w:sz="4" w:space="0" w:color="000000"/>
              <w:left w:val="nil"/>
              <w:bottom w:val="single" w:sz="4" w:space="0" w:color="000000"/>
              <w:right w:val="single" w:sz="4" w:space="0" w:color="000000"/>
            </w:tcBorders>
            <w:shd w:val="clear" w:color="auto" w:fill="DBEEF3"/>
          </w:tcPr>
          <w:p w14:paraId="2AC0F53C"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0.861872333</w:t>
            </w:r>
          </w:p>
        </w:tc>
        <w:tc>
          <w:tcPr>
            <w:tcW w:w="1530" w:type="dxa"/>
            <w:tcBorders>
              <w:top w:val="single" w:sz="4" w:space="0" w:color="000000"/>
              <w:left w:val="nil"/>
              <w:bottom w:val="single" w:sz="4" w:space="0" w:color="000000"/>
              <w:right w:val="single" w:sz="4" w:space="0" w:color="000000"/>
            </w:tcBorders>
            <w:shd w:val="clear" w:color="auto" w:fill="DBEEF3"/>
          </w:tcPr>
          <w:p w14:paraId="478CBB7D" w14:textId="77777777"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0.479861033</w:t>
            </w:r>
          </w:p>
        </w:tc>
        <w:tc>
          <w:tcPr>
            <w:tcW w:w="1530" w:type="dxa"/>
            <w:tcBorders>
              <w:top w:val="single" w:sz="4" w:space="0" w:color="000000"/>
              <w:left w:val="nil"/>
              <w:bottom w:val="single" w:sz="4" w:space="0" w:color="000000"/>
              <w:right w:val="single" w:sz="4" w:space="0" w:color="000000"/>
            </w:tcBorders>
            <w:shd w:val="clear" w:color="auto" w:fill="DBEEF3"/>
          </w:tcPr>
          <w:p w14:paraId="7D018931" w14:textId="77777777"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427.1245</w:t>
            </w:r>
          </w:p>
        </w:tc>
      </w:tr>
    </w:tbl>
    <w:p w14:paraId="748FEFE8"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w:t>
      </w:r>
      <w:proofErr w:type="gramStart"/>
      <w:r>
        <w:rPr>
          <w:rFonts w:ascii="Times New Roman" w:eastAsia="Times New Roman" w:hAnsi="Times New Roman" w:cs="Times New Roman"/>
          <w:sz w:val="24"/>
          <w:szCs w:val="24"/>
        </w:rPr>
        <w:t>AUI ,</w:t>
      </w:r>
      <w:proofErr w:type="spell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γ</w:t>
      </w:r>
      <w:proofErr w:type="spellEnd"/>
      <w:r>
        <w:rPr>
          <w:rFonts w:ascii="Times New Roman" w:eastAsia="Times New Roman" w:hAnsi="Times New Roman" w:cs="Times New Roman"/>
          <w:sz w:val="24"/>
          <w:szCs w:val="24"/>
        </w:rPr>
        <w:t>, AGDE calculated data of Jal Mahal.</w:t>
      </w:r>
    </w:p>
    <w:p w14:paraId="50F37E3B"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B30DE8D" wp14:editId="1CD6BD63">
            <wp:extent cx="6019800" cy="2562225"/>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6019800" cy="2562225"/>
                    </a:xfrm>
                    <a:prstGeom prst="rect">
                      <a:avLst/>
                    </a:prstGeom>
                    <a:ln/>
                  </pic:spPr>
                </pic:pic>
              </a:graphicData>
            </a:graphic>
          </wp:inline>
        </w:drawing>
      </w:r>
      <w:r>
        <w:rPr>
          <w:rFonts w:ascii="Times New Roman" w:eastAsia="Times New Roman" w:hAnsi="Times New Roman" w:cs="Times New Roman"/>
          <w:sz w:val="24"/>
          <w:szCs w:val="24"/>
        </w:rPr>
        <w:t xml:space="preserve">Figure 12: Graphical </w:t>
      </w:r>
      <w:r>
        <w:rPr>
          <w:rFonts w:ascii="Times New Roman" w:eastAsia="Times New Roman" w:hAnsi="Times New Roman" w:cs="Times New Roman"/>
          <w:sz w:val="24"/>
          <w:szCs w:val="24"/>
        </w:rPr>
        <w:t xml:space="preserve">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Activity Utilization Index(AUI).</w:t>
      </w:r>
    </w:p>
    <w:p w14:paraId="283E8D74" w14:textId="77777777" w:rsidR="00042BE4" w:rsidRDefault="00042BE4">
      <w:pPr>
        <w:rPr>
          <w:rFonts w:ascii="Times New Roman" w:eastAsia="Times New Roman" w:hAnsi="Times New Roman" w:cs="Times New Roman"/>
          <w:sz w:val="24"/>
          <w:szCs w:val="24"/>
        </w:rPr>
      </w:pPr>
    </w:p>
    <w:p w14:paraId="02C563D3"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2C43AC" wp14:editId="3E2D0CFA">
            <wp:extent cx="5600700" cy="2914016"/>
            <wp:effectExtent l="0" t="0" r="0" b="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0"/>
                    <a:srcRect/>
                    <a:stretch>
                      <a:fillRect/>
                    </a:stretch>
                  </pic:blipFill>
                  <pic:spPr>
                    <a:xfrm>
                      <a:off x="0" y="0"/>
                      <a:ext cx="5600700" cy="2914016"/>
                    </a:xfrm>
                    <a:prstGeom prst="rect">
                      <a:avLst/>
                    </a:prstGeom>
                    <a:ln/>
                  </pic:spPr>
                </pic:pic>
              </a:graphicData>
            </a:graphic>
          </wp:inline>
        </w:drawing>
      </w:r>
    </w:p>
    <w:p w14:paraId="69935078"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13: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Gamma Index Factor(</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w:t>
      </w:r>
    </w:p>
    <w:p w14:paraId="5382FBFD" w14:textId="77777777" w:rsidR="00042BE4" w:rsidRDefault="00042BE4">
      <w:pPr>
        <w:rPr>
          <w:rFonts w:ascii="Times New Roman" w:eastAsia="Times New Roman" w:hAnsi="Times New Roman" w:cs="Times New Roman"/>
          <w:sz w:val="24"/>
          <w:szCs w:val="24"/>
        </w:rPr>
      </w:pPr>
    </w:p>
    <w:p w14:paraId="6309F512" w14:textId="77777777" w:rsidR="00042BE4" w:rsidRDefault="00042BE4">
      <w:pPr>
        <w:rPr>
          <w:rFonts w:ascii="Times New Roman" w:eastAsia="Times New Roman" w:hAnsi="Times New Roman" w:cs="Times New Roman"/>
          <w:sz w:val="24"/>
          <w:szCs w:val="24"/>
        </w:rPr>
      </w:pPr>
    </w:p>
    <w:p w14:paraId="100B9D6A" w14:textId="77777777" w:rsidR="00042BE4" w:rsidRDefault="00042BE4">
      <w:pPr>
        <w:rPr>
          <w:rFonts w:ascii="Times New Roman" w:eastAsia="Times New Roman" w:hAnsi="Times New Roman" w:cs="Times New Roman"/>
          <w:sz w:val="24"/>
          <w:szCs w:val="24"/>
        </w:rPr>
      </w:pPr>
    </w:p>
    <w:p w14:paraId="28A2B83C" w14:textId="77777777" w:rsidR="00042BE4" w:rsidRDefault="000E4256">
      <w:pPr>
        <w:rPr>
          <w:rFonts w:ascii="Times New Roman" w:eastAsia="Times New Roman" w:hAnsi="Times New Roman" w:cs="Times New Roman"/>
          <w:sz w:val="24"/>
          <w:szCs w:val="24"/>
        </w:rPr>
      </w:pPr>
      <w:r>
        <w:br w:type="page"/>
      </w:r>
    </w:p>
    <w:tbl>
      <w:tblPr>
        <w:tblStyle w:val="a5"/>
        <w:tblpPr w:leftFromText="180" w:rightFromText="180" w:vertAnchor="page" w:horzAnchor="margin" w:tblpXSpec="center" w:tblpY="409"/>
        <w:tblW w:w="92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27"/>
        <w:gridCol w:w="1273"/>
        <w:gridCol w:w="1665"/>
        <w:gridCol w:w="1276"/>
        <w:gridCol w:w="1332"/>
        <w:gridCol w:w="1336"/>
        <w:gridCol w:w="1261"/>
      </w:tblGrid>
      <w:tr w:rsidR="00042BE4" w14:paraId="06F7D1CE" w14:textId="77777777">
        <w:trPr>
          <w:trHeight w:val="521"/>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0582AFA4"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  Sample</w:t>
            </w:r>
          </w:p>
        </w:tc>
        <w:tc>
          <w:tcPr>
            <w:tcW w:w="1273" w:type="dxa"/>
            <w:tcBorders>
              <w:top w:val="single" w:sz="4" w:space="0" w:color="000000"/>
              <w:left w:val="single" w:sz="4" w:space="0" w:color="000000"/>
              <w:bottom w:val="single" w:sz="4" w:space="0" w:color="000000"/>
              <w:right w:val="nil"/>
            </w:tcBorders>
            <w:shd w:val="clear" w:color="auto" w:fill="DBE5F1"/>
          </w:tcPr>
          <w:p w14:paraId="0198D1E4" w14:textId="77777777" w:rsidR="00042BE4" w:rsidRDefault="00042BE4">
            <w:pPr>
              <w:spacing w:after="0"/>
              <w:rPr>
                <w:rFonts w:ascii="Times New Roman" w:eastAsia="Times New Roman" w:hAnsi="Times New Roman" w:cs="Times New Roman"/>
              </w:rPr>
            </w:pPr>
          </w:p>
        </w:tc>
        <w:tc>
          <w:tcPr>
            <w:tcW w:w="1665" w:type="dxa"/>
            <w:tcBorders>
              <w:top w:val="single" w:sz="4" w:space="0" w:color="000000"/>
              <w:left w:val="nil"/>
              <w:bottom w:val="single" w:sz="4" w:space="0" w:color="000000"/>
              <w:right w:val="nil"/>
            </w:tcBorders>
            <w:shd w:val="clear" w:color="auto" w:fill="DBE5F1"/>
          </w:tcPr>
          <w:p w14:paraId="5EB8CADA"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Activity Concentration (Bq/Kg)</w:t>
            </w:r>
          </w:p>
        </w:tc>
        <w:tc>
          <w:tcPr>
            <w:tcW w:w="1276" w:type="dxa"/>
            <w:tcBorders>
              <w:top w:val="single" w:sz="4" w:space="0" w:color="000000"/>
              <w:left w:val="nil"/>
              <w:bottom w:val="single" w:sz="4" w:space="0" w:color="000000"/>
              <w:right w:val="single" w:sz="4" w:space="0" w:color="000000"/>
            </w:tcBorders>
            <w:shd w:val="clear" w:color="auto" w:fill="DBE5F1"/>
          </w:tcPr>
          <w:p w14:paraId="724B01C8" w14:textId="77777777" w:rsidR="00042BE4" w:rsidRDefault="00042BE4">
            <w:pPr>
              <w:spacing w:after="0"/>
              <w:rPr>
                <w:rFonts w:ascii="Times New Roman" w:eastAsia="Times New Roman"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shd w:val="clear" w:color="auto" w:fill="DBE5F1"/>
          </w:tcPr>
          <w:p w14:paraId="4290533C"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Activity Uti</w:t>
            </w:r>
            <w:r>
              <w:rPr>
                <w:rFonts w:ascii="Times New Roman" w:eastAsia="Times New Roman" w:hAnsi="Times New Roman" w:cs="Times New Roman"/>
              </w:rPr>
              <w:t>lization Index (AUI)</w:t>
            </w:r>
          </w:p>
        </w:tc>
        <w:tc>
          <w:tcPr>
            <w:tcW w:w="1336" w:type="dxa"/>
            <w:tcBorders>
              <w:top w:val="single" w:sz="4" w:space="0" w:color="000000"/>
              <w:left w:val="single" w:sz="4" w:space="0" w:color="000000"/>
              <w:bottom w:val="single" w:sz="4" w:space="0" w:color="000000"/>
              <w:right w:val="single" w:sz="4" w:space="0" w:color="000000"/>
            </w:tcBorders>
            <w:shd w:val="clear" w:color="auto" w:fill="DBE5F1"/>
          </w:tcPr>
          <w:p w14:paraId="35D60F1F"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Gamma Index Factor (</w:t>
            </w:r>
            <w:proofErr w:type="spellStart"/>
            <w:r>
              <w:rPr>
                <w:rFonts w:ascii="Times New Roman" w:eastAsia="Times New Roman" w:hAnsi="Times New Roman" w:cs="Times New Roman"/>
              </w:rPr>
              <w:t>Iγ</w:t>
            </w:r>
            <w:proofErr w:type="spellEnd"/>
            <w:r>
              <w:rPr>
                <w:rFonts w:ascii="Times New Roman" w:eastAsia="Times New Roman" w:hAnsi="Times New Roman" w:cs="Times New Roman"/>
              </w:rPr>
              <w:t>)</w:t>
            </w:r>
          </w:p>
        </w:tc>
        <w:tc>
          <w:tcPr>
            <w:tcW w:w="1261" w:type="dxa"/>
            <w:tcBorders>
              <w:top w:val="single" w:sz="4" w:space="0" w:color="000000"/>
              <w:left w:val="single" w:sz="4" w:space="0" w:color="000000"/>
              <w:bottom w:val="single" w:sz="4" w:space="0" w:color="000000"/>
              <w:right w:val="single" w:sz="4" w:space="0" w:color="000000"/>
            </w:tcBorders>
            <w:shd w:val="clear" w:color="auto" w:fill="DBE5F1"/>
          </w:tcPr>
          <w:p w14:paraId="700EE86F"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 xml:space="preserve">Annual Gonadal Dose Equivalent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AGDE) </w:t>
            </w:r>
            <w:r>
              <w:rPr>
                <w:rFonts w:ascii="Times New Roman" w:eastAsia="Times New Roman" w:hAnsi="Times New Roman" w:cs="Times New Roman"/>
                <w:sz w:val="24"/>
                <w:szCs w:val="24"/>
              </w:rPr>
              <w:t xml:space="preserve">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w:t>
            </w:r>
          </w:p>
        </w:tc>
      </w:tr>
      <w:tr w:rsidR="00042BE4" w14:paraId="49AE3F5F"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6C387977" w14:textId="77777777" w:rsidR="00042BE4" w:rsidRDefault="00042BE4">
            <w:pPr>
              <w:spacing w:after="0"/>
              <w:rPr>
                <w:rFonts w:ascii="Times New Roman" w:eastAsia="Times New Roman" w:hAnsi="Times New Roman" w:cs="Times New Roman"/>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4D98BBD2"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 xml:space="preserve">         Ra</w:t>
            </w:r>
          </w:p>
        </w:tc>
        <w:tc>
          <w:tcPr>
            <w:tcW w:w="1665" w:type="dxa"/>
            <w:tcBorders>
              <w:top w:val="single" w:sz="4" w:space="0" w:color="000000"/>
              <w:left w:val="single" w:sz="4" w:space="0" w:color="000000"/>
              <w:bottom w:val="single" w:sz="4" w:space="0" w:color="000000"/>
              <w:right w:val="single" w:sz="4" w:space="0" w:color="000000"/>
            </w:tcBorders>
            <w:shd w:val="clear" w:color="auto" w:fill="DBE5F1"/>
          </w:tcPr>
          <w:p w14:paraId="776A4F36" w14:textId="77777777" w:rsidR="00042BE4" w:rsidRDefault="000E4256">
            <w:pPr>
              <w:spacing w:after="0"/>
              <w:rPr>
                <w:rFonts w:ascii="Times New Roman" w:eastAsia="Times New Roman" w:hAnsi="Times New Roman" w:cs="Times New Roman"/>
                <w:vertAlign w:val="subscript"/>
              </w:rPr>
            </w:pPr>
            <w:r>
              <w:rPr>
                <w:rFonts w:ascii="Times New Roman" w:eastAsia="Times New Roman" w:hAnsi="Times New Roman" w:cs="Times New Roman"/>
              </w:rPr>
              <w:t xml:space="preserve">        Th</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14:paraId="446DC859"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 xml:space="preserve">         K</w:t>
            </w:r>
          </w:p>
        </w:tc>
        <w:tc>
          <w:tcPr>
            <w:tcW w:w="1332" w:type="dxa"/>
            <w:tcBorders>
              <w:top w:val="single" w:sz="4" w:space="0" w:color="000000"/>
              <w:left w:val="single" w:sz="4" w:space="0" w:color="000000"/>
              <w:bottom w:val="single" w:sz="4" w:space="0" w:color="000000"/>
              <w:right w:val="nil"/>
            </w:tcBorders>
            <w:shd w:val="clear" w:color="auto" w:fill="DBE5F1"/>
          </w:tcPr>
          <w:p w14:paraId="42ABD061" w14:textId="77777777" w:rsidR="00042BE4" w:rsidRDefault="00042BE4">
            <w:pPr>
              <w:spacing w:after="0"/>
              <w:rPr>
                <w:rFonts w:ascii="Times New Roman" w:eastAsia="Times New Roman" w:hAnsi="Times New Roman" w:cs="Times New Roman"/>
              </w:rPr>
            </w:pPr>
          </w:p>
        </w:tc>
        <w:tc>
          <w:tcPr>
            <w:tcW w:w="1336" w:type="dxa"/>
            <w:tcBorders>
              <w:top w:val="single" w:sz="4" w:space="0" w:color="000000"/>
              <w:left w:val="nil"/>
              <w:bottom w:val="single" w:sz="4" w:space="0" w:color="000000"/>
              <w:right w:val="nil"/>
            </w:tcBorders>
            <w:shd w:val="clear" w:color="auto" w:fill="DBE5F1"/>
          </w:tcPr>
          <w:p w14:paraId="5465EF1B" w14:textId="77777777" w:rsidR="00042BE4" w:rsidRDefault="00042BE4">
            <w:pPr>
              <w:spacing w:after="0"/>
              <w:rPr>
                <w:rFonts w:ascii="Times New Roman" w:eastAsia="Times New Roman" w:hAnsi="Times New Roman" w:cs="Times New Roman"/>
              </w:rPr>
            </w:pPr>
          </w:p>
        </w:tc>
        <w:tc>
          <w:tcPr>
            <w:tcW w:w="1261" w:type="dxa"/>
            <w:tcBorders>
              <w:top w:val="single" w:sz="4" w:space="0" w:color="000000"/>
              <w:left w:val="nil"/>
              <w:bottom w:val="single" w:sz="4" w:space="0" w:color="000000"/>
              <w:right w:val="single" w:sz="4" w:space="0" w:color="000000"/>
            </w:tcBorders>
            <w:shd w:val="clear" w:color="auto" w:fill="DBE5F1"/>
          </w:tcPr>
          <w:p w14:paraId="6592BECA" w14:textId="77777777" w:rsidR="00042BE4" w:rsidRDefault="00042BE4">
            <w:pPr>
              <w:spacing w:after="0"/>
              <w:rPr>
                <w:rFonts w:ascii="Times New Roman" w:eastAsia="Times New Roman" w:hAnsi="Times New Roman" w:cs="Times New Roman"/>
              </w:rPr>
            </w:pPr>
          </w:p>
        </w:tc>
      </w:tr>
      <w:tr w:rsidR="00042BE4" w14:paraId="491243F4"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3CC2003F" w14:textId="77777777" w:rsidR="00042BE4" w:rsidRDefault="00042BE4">
            <w:pPr>
              <w:spacing w:after="0" w:line="240" w:lineRule="auto"/>
              <w:rPr>
                <w:rFonts w:ascii="Times New Roman" w:eastAsia="Times New Roman" w:hAnsi="Times New Roman" w:cs="Times New Roman"/>
              </w:rPr>
            </w:pPr>
          </w:p>
        </w:tc>
        <w:tc>
          <w:tcPr>
            <w:tcW w:w="1273" w:type="dxa"/>
            <w:tcBorders>
              <w:top w:val="single" w:sz="4" w:space="0" w:color="000000"/>
              <w:left w:val="single" w:sz="4" w:space="0" w:color="000000"/>
              <w:right w:val="single" w:sz="4" w:space="0" w:color="000000"/>
            </w:tcBorders>
            <w:shd w:val="clear" w:color="auto" w:fill="DBE5F1"/>
          </w:tcPr>
          <w:p w14:paraId="79903777"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1665" w:type="dxa"/>
            <w:tcBorders>
              <w:top w:val="single" w:sz="4" w:space="0" w:color="000000"/>
              <w:left w:val="single" w:sz="4" w:space="0" w:color="000000"/>
              <w:right w:val="single" w:sz="4" w:space="0" w:color="000000"/>
            </w:tcBorders>
            <w:shd w:val="clear" w:color="auto" w:fill="DBE5F1"/>
          </w:tcPr>
          <w:p w14:paraId="2CACD47B"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276" w:type="dxa"/>
            <w:tcBorders>
              <w:top w:val="single" w:sz="4" w:space="0" w:color="000000"/>
              <w:left w:val="single" w:sz="4" w:space="0" w:color="000000"/>
              <w:right w:val="single" w:sz="4" w:space="0" w:color="000000"/>
            </w:tcBorders>
            <w:shd w:val="clear" w:color="auto" w:fill="DBE5F1"/>
          </w:tcPr>
          <w:p w14:paraId="7D603D15"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348</w:t>
            </w:r>
          </w:p>
        </w:tc>
        <w:tc>
          <w:tcPr>
            <w:tcW w:w="1332" w:type="dxa"/>
            <w:tcBorders>
              <w:top w:val="single" w:sz="4" w:space="0" w:color="000000"/>
              <w:left w:val="single" w:sz="4" w:space="0" w:color="000000"/>
              <w:right w:val="single" w:sz="4" w:space="0" w:color="000000"/>
            </w:tcBorders>
            <w:shd w:val="clear" w:color="auto" w:fill="DBE5F1"/>
          </w:tcPr>
          <w:p w14:paraId="70145CFD"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0.7349392</w:t>
            </w:r>
          </w:p>
        </w:tc>
        <w:tc>
          <w:tcPr>
            <w:tcW w:w="1336" w:type="dxa"/>
            <w:tcBorders>
              <w:top w:val="single" w:sz="4" w:space="0" w:color="000000"/>
              <w:left w:val="single" w:sz="4" w:space="0" w:color="000000"/>
              <w:right w:val="single" w:sz="4" w:space="0" w:color="000000"/>
            </w:tcBorders>
            <w:shd w:val="clear" w:color="auto" w:fill="DBE5F1"/>
          </w:tcPr>
          <w:p w14:paraId="58405A9B"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0.42433333</w:t>
            </w:r>
          </w:p>
        </w:tc>
        <w:tc>
          <w:tcPr>
            <w:tcW w:w="1261" w:type="dxa"/>
            <w:tcBorders>
              <w:top w:val="single" w:sz="4" w:space="0" w:color="000000"/>
              <w:left w:val="single" w:sz="4" w:space="0" w:color="000000"/>
              <w:right w:val="single" w:sz="4" w:space="0" w:color="000000"/>
            </w:tcBorders>
            <w:shd w:val="clear" w:color="auto" w:fill="DBE5F1"/>
          </w:tcPr>
          <w:p w14:paraId="37E0E086"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377.352</w:t>
            </w:r>
          </w:p>
        </w:tc>
      </w:tr>
      <w:tr w:rsidR="00042BE4" w14:paraId="50E0CC93"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5CC5C839" w14:textId="77777777"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CGN-5</w:t>
            </w:r>
          </w:p>
        </w:tc>
        <w:tc>
          <w:tcPr>
            <w:tcW w:w="1273" w:type="dxa"/>
            <w:tcBorders>
              <w:left w:val="single" w:sz="4" w:space="0" w:color="000000"/>
              <w:right w:val="single" w:sz="4" w:space="0" w:color="000000"/>
            </w:tcBorders>
            <w:shd w:val="clear" w:color="auto" w:fill="DBE5F1"/>
          </w:tcPr>
          <w:p w14:paraId="2A9F11B8"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1665" w:type="dxa"/>
            <w:tcBorders>
              <w:left w:val="single" w:sz="4" w:space="0" w:color="000000"/>
              <w:right w:val="single" w:sz="4" w:space="0" w:color="000000"/>
            </w:tcBorders>
            <w:shd w:val="clear" w:color="auto" w:fill="DBE5F1"/>
          </w:tcPr>
          <w:p w14:paraId="33777F9C"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276" w:type="dxa"/>
            <w:tcBorders>
              <w:left w:val="single" w:sz="4" w:space="0" w:color="000000"/>
              <w:right w:val="single" w:sz="4" w:space="0" w:color="000000"/>
            </w:tcBorders>
            <w:shd w:val="clear" w:color="auto" w:fill="DBE5F1"/>
          </w:tcPr>
          <w:p w14:paraId="0A674D41"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351</w:t>
            </w:r>
          </w:p>
        </w:tc>
        <w:tc>
          <w:tcPr>
            <w:tcW w:w="1332" w:type="dxa"/>
            <w:tcBorders>
              <w:left w:val="single" w:sz="4" w:space="0" w:color="000000"/>
              <w:right w:val="single" w:sz="4" w:space="0" w:color="000000"/>
            </w:tcBorders>
            <w:shd w:val="clear" w:color="auto" w:fill="DBE5F1"/>
          </w:tcPr>
          <w:p w14:paraId="380B7854"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0.7616204</w:t>
            </w:r>
          </w:p>
        </w:tc>
        <w:tc>
          <w:tcPr>
            <w:tcW w:w="1336" w:type="dxa"/>
            <w:tcBorders>
              <w:left w:val="single" w:sz="4" w:space="0" w:color="000000"/>
              <w:right w:val="single" w:sz="4" w:space="0" w:color="000000"/>
            </w:tcBorders>
            <w:shd w:val="clear" w:color="auto" w:fill="DBE5F1"/>
          </w:tcPr>
          <w:p w14:paraId="2B13ED75"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0.4453333</w:t>
            </w:r>
          </w:p>
        </w:tc>
        <w:tc>
          <w:tcPr>
            <w:tcW w:w="1261" w:type="dxa"/>
            <w:tcBorders>
              <w:left w:val="single" w:sz="4" w:space="0" w:color="000000"/>
              <w:right w:val="single" w:sz="4" w:space="0" w:color="000000"/>
            </w:tcBorders>
            <w:shd w:val="clear" w:color="auto" w:fill="DBE5F1"/>
          </w:tcPr>
          <w:p w14:paraId="36896B29"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395.924</w:t>
            </w:r>
          </w:p>
        </w:tc>
      </w:tr>
      <w:tr w:rsidR="00042BE4" w14:paraId="15CF47F5"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5B150495" w14:textId="77777777" w:rsidR="00042BE4" w:rsidRDefault="00042BE4">
            <w:pPr>
              <w:spacing w:after="0" w:line="240" w:lineRule="auto"/>
              <w:rPr>
                <w:rFonts w:ascii="Times New Roman" w:eastAsia="Times New Roman" w:hAnsi="Times New Roman" w:cs="Times New Roman"/>
              </w:rPr>
            </w:pPr>
          </w:p>
        </w:tc>
        <w:tc>
          <w:tcPr>
            <w:tcW w:w="1273" w:type="dxa"/>
            <w:tcBorders>
              <w:left w:val="single" w:sz="4" w:space="0" w:color="000000"/>
              <w:bottom w:val="single" w:sz="4" w:space="0" w:color="000000"/>
              <w:right w:val="single" w:sz="4" w:space="0" w:color="000000"/>
            </w:tcBorders>
            <w:shd w:val="clear" w:color="auto" w:fill="DBE5F1"/>
          </w:tcPr>
          <w:p w14:paraId="505DB885"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665" w:type="dxa"/>
            <w:tcBorders>
              <w:left w:val="single" w:sz="4" w:space="0" w:color="000000"/>
              <w:bottom w:val="single" w:sz="4" w:space="0" w:color="000000"/>
              <w:right w:val="single" w:sz="4" w:space="0" w:color="000000"/>
            </w:tcBorders>
            <w:shd w:val="clear" w:color="auto" w:fill="DBE5F1"/>
          </w:tcPr>
          <w:p w14:paraId="367CB1D7"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1276" w:type="dxa"/>
            <w:tcBorders>
              <w:left w:val="single" w:sz="4" w:space="0" w:color="000000"/>
              <w:bottom w:val="single" w:sz="4" w:space="0" w:color="000000"/>
              <w:right w:val="single" w:sz="4" w:space="0" w:color="000000"/>
            </w:tcBorders>
            <w:shd w:val="clear" w:color="auto" w:fill="DBE5F1"/>
          </w:tcPr>
          <w:p w14:paraId="68BF51AE"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355</w:t>
            </w:r>
          </w:p>
        </w:tc>
        <w:tc>
          <w:tcPr>
            <w:tcW w:w="1332" w:type="dxa"/>
            <w:tcBorders>
              <w:left w:val="single" w:sz="4" w:space="0" w:color="000000"/>
              <w:bottom w:val="single" w:sz="4" w:space="0" w:color="000000"/>
              <w:right w:val="single" w:sz="4" w:space="0" w:color="000000"/>
            </w:tcBorders>
            <w:shd w:val="clear" w:color="auto" w:fill="DBE5F1"/>
          </w:tcPr>
          <w:p w14:paraId="0EAD727B"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0.798776</w:t>
            </w:r>
          </w:p>
        </w:tc>
        <w:tc>
          <w:tcPr>
            <w:tcW w:w="1336" w:type="dxa"/>
            <w:tcBorders>
              <w:left w:val="single" w:sz="4" w:space="0" w:color="000000"/>
              <w:bottom w:val="single" w:sz="4" w:space="0" w:color="000000"/>
              <w:right w:val="single" w:sz="4" w:space="0" w:color="000000"/>
            </w:tcBorders>
            <w:shd w:val="clear" w:color="auto" w:fill="DBE5F1"/>
          </w:tcPr>
          <w:p w14:paraId="2F0D8C3C"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0.47166667</w:t>
            </w:r>
          </w:p>
        </w:tc>
        <w:tc>
          <w:tcPr>
            <w:tcW w:w="1261" w:type="dxa"/>
            <w:tcBorders>
              <w:left w:val="single" w:sz="4" w:space="0" w:color="000000"/>
              <w:bottom w:val="single" w:sz="4" w:space="0" w:color="000000"/>
              <w:right w:val="single" w:sz="4" w:space="0" w:color="000000"/>
            </w:tcBorders>
            <w:shd w:val="clear" w:color="auto" w:fill="DBE5F1"/>
          </w:tcPr>
          <w:p w14:paraId="35C9B270"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418.99</w:t>
            </w:r>
          </w:p>
        </w:tc>
      </w:tr>
      <w:tr w:rsidR="00042BE4" w14:paraId="3A68E307" w14:textId="77777777">
        <w:trPr>
          <w:trHeight w:val="26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4C08509A" w14:textId="77777777" w:rsidR="00042BE4" w:rsidRDefault="00042BE4">
            <w:pPr>
              <w:spacing w:after="0" w:line="240" w:lineRule="auto"/>
              <w:rPr>
                <w:rFonts w:ascii="Times New Roman" w:eastAsia="Times New Roman" w:hAnsi="Times New Roman" w:cs="Times New Roman"/>
              </w:rPr>
            </w:pPr>
          </w:p>
        </w:tc>
        <w:tc>
          <w:tcPr>
            <w:tcW w:w="1273" w:type="dxa"/>
            <w:tcBorders>
              <w:top w:val="single" w:sz="4" w:space="0" w:color="000000"/>
              <w:left w:val="single" w:sz="4" w:space="0" w:color="000000"/>
              <w:right w:val="single" w:sz="4" w:space="0" w:color="000000"/>
            </w:tcBorders>
            <w:shd w:val="clear" w:color="auto" w:fill="DBE5F1"/>
          </w:tcPr>
          <w:p w14:paraId="76091289"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1665" w:type="dxa"/>
            <w:tcBorders>
              <w:top w:val="single" w:sz="4" w:space="0" w:color="000000"/>
              <w:left w:val="single" w:sz="4" w:space="0" w:color="000000"/>
              <w:right w:val="single" w:sz="4" w:space="0" w:color="000000"/>
            </w:tcBorders>
            <w:shd w:val="clear" w:color="auto" w:fill="DBE5F1"/>
          </w:tcPr>
          <w:p w14:paraId="551915DE"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p>
        </w:tc>
        <w:tc>
          <w:tcPr>
            <w:tcW w:w="1276" w:type="dxa"/>
            <w:tcBorders>
              <w:top w:val="single" w:sz="4" w:space="0" w:color="000000"/>
              <w:left w:val="single" w:sz="4" w:space="0" w:color="000000"/>
              <w:right w:val="single" w:sz="4" w:space="0" w:color="000000"/>
            </w:tcBorders>
            <w:shd w:val="clear" w:color="auto" w:fill="DBE5F1"/>
          </w:tcPr>
          <w:p w14:paraId="3E68C87B"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801</w:t>
            </w:r>
          </w:p>
        </w:tc>
        <w:tc>
          <w:tcPr>
            <w:tcW w:w="1332" w:type="dxa"/>
            <w:tcBorders>
              <w:top w:val="single" w:sz="4" w:space="0" w:color="000000"/>
              <w:left w:val="single" w:sz="4" w:space="0" w:color="000000"/>
              <w:right w:val="single" w:sz="4" w:space="0" w:color="000000"/>
            </w:tcBorders>
            <w:shd w:val="clear" w:color="auto" w:fill="DBE5F1"/>
          </w:tcPr>
          <w:p w14:paraId="54DFE090"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1.3199204</w:t>
            </w:r>
          </w:p>
        </w:tc>
        <w:tc>
          <w:tcPr>
            <w:tcW w:w="1336" w:type="dxa"/>
            <w:tcBorders>
              <w:top w:val="single" w:sz="4" w:space="0" w:color="000000"/>
              <w:left w:val="single" w:sz="4" w:space="0" w:color="000000"/>
              <w:right w:val="single" w:sz="4" w:space="0" w:color="000000"/>
            </w:tcBorders>
            <w:shd w:val="clear" w:color="auto" w:fill="DBE5F1"/>
          </w:tcPr>
          <w:p w14:paraId="2BB6D1E6"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0.66533333</w:t>
            </w:r>
          </w:p>
        </w:tc>
        <w:tc>
          <w:tcPr>
            <w:tcW w:w="1261" w:type="dxa"/>
            <w:tcBorders>
              <w:top w:val="single" w:sz="4" w:space="0" w:color="000000"/>
              <w:left w:val="single" w:sz="4" w:space="0" w:color="000000"/>
              <w:right w:val="single" w:sz="4" w:space="0" w:color="000000"/>
            </w:tcBorders>
            <w:shd w:val="clear" w:color="auto" w:fill="DBE5F1"/>
          </w:tcPr>
          <w:p w14:paraId="1F9F3960"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593.924</w:t>
            </w:r>
          </w:p>
        </w:tc>
      </w:tr>
      <w:tr w:rsidR="00042BE4" w14:paraId="407C4024"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64DA6480" w14:textId="77777777"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CGN-6</w:t>
            </w:r>
          </w:p>
        </w:tc>
        <w:tc>
          <w:tcPr>
            <w:tcW w:w="1273" w:type="dxa"/>
            <w:tcBorders>
              <w:left w:val="single" w:sz="4" w:space="0" w:color="000000"/>
              <w:right w:val="single" w:sz="4" w:space="0" w:color="000000"/>
            </w:tcBorders>
            <w:shd w:val="clear" w:color="auto" w:fill="DBE5F1"/>
          </w:tcPr>
          <w:p w14:paraId="294E5DFD"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665" w:type="dxa"/>
            <w:tcBorders>
              <w:left w:val="single" w:sz="4" w:space="0" w:color="000000"/>
              <w:right w:val="single" w:sz="4" w:space="0" w:color="000000"/>
            </w:tcBorders>
            <w:shd w:val="clear" w:color="auto" w:fill="DBE5F1"/>
          </w:tcPr>
          <w:p w14:paraId="3E78846F"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1276" w:type="dxa"/>
            <w:tcBorders>
              <w:left w:val="single" w:sz="4" w:space="0" w:color="000000"/>
              <w:right w:val="single" w:sz="4" w:space="0" w:color="000000"/>
            </w:tcBorders>
            <w:shd w:val="clear" w:color="auto" w:fill="DBE5F1"/>
          </w:tcPr>
          <w:p w14:paraId="307D61C7"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803</w:t>
            </w:r>
          </w:p>
        </w:tc>
        <w:tc>
          <w:tcPr>
            <w:tcW w:w="1332" w:type="dxa"/>
            <w:tcBorders>
              <w:left w:val="single" w:sz="4" w:space="0" w:color="000000"/>
              <w:right w:val="single" w:sz="4" w:space="0" w:color="000000"/>
            </w:tcBorders>
            <w:shd w:val="clear" w:color="auto" w:fill="DBE5F1"/>
          </w:tcPr>
          <w:p w14:paraId="551CE5C2"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1.3569372</w:t>
            </w:r>
          </w:p>
        </w:tc>
        <w:tc>
          <w:tcPr>
            <w:tcW w:w="1336" w:type="dxa"/>
            <w:tcBorders>
              <w:left w:val="single" w:sz="4" w:space="0" w:color="000000"/>
              <w:right w:val="single" w:sz="4" w:space="0" w:color="000000"/>
            </w:tcBorders>
            <w:shd w:val="clear" w:color="auto" w:fill="DBE5F1"/>
          </w:tcPr>
          <w:p w14:paraId="50A734D8"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0.6943333</w:t>
            </w:r>
          </w:p>
        </w:tc>
        <w:tc>
          <w:tcPr>
            <w:tcW w:w="1261" w:type="dxa"/>
            <w:tcBorders>
              <w:left w:val="single" w:sz="4" w:space="0" w:color="000000"/>
              <w:right w:val="single" w:sz="4" w:space="0" w:color="000000"/>
            </w:tcBorders>
            <w:shd w:val="clear" w:color="auto" w:fill="DBE5F1"/>
          </w:tcPr>
          <w:p w14:paraId="39A3157D"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619.452</w:t>
            </w:r>
          </w:p>
        </w:tc>
      </w:tr>
      <w:tr w:rsidR="00042BE4" w14:paraId="3E7BA2E5"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79B575D9" w14:textId="77777777" w:rsidR="00042BE4" w:rsidRDefault="00042BE4">
            <w:pPr>
              <w:spacing w:after="0" w:line="240" w:lineRule="auto"/>
              <w:rPr>
                <w:rFonts w:ascii="Times New Roman" w:eastAsia="Times New Roman" w:hAnsi="Times New Roman" w:cs="Times New Roman"/>
              </w:rPr>
            </w:pPr>
          </w:p>
        </w:tc>
        <w:tc>
          <w:tcPr>
            <w:tcW w:w="1273" w:type="dxa"/>
            <w:tcBorders>
              <w:left w:val="single" w:sz="4" w:space="0" w:color="000000"/>
              <w:bottom w:val="single" w:sz="4" w:space="0" w:color="000000"/>
              <w:right w:val="single" w:sz="4" w:space="0" w:color="000000"/>
            </w:tcBorders>
            <w:shd w:val="clear" w:color="auto" w:fill="DBE5F1"/>
          </w:tcPr>
          <w:p w14:paraId="4176FEB1"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665" w:type="dxa"/>
            <w:tcBorders>
              <w:left w:val="single" w:sz="4" w:space="0" w:color="000000"/>
              <w:bottom w:val="single" w:sz="4" w:space="0" w:color="000000"/>
              <w:right w:val="single" w:sz="4" w:space="0" w:color="000000"/>
            </w:tcBorders>
            <w:shd w:val="clear" w:color="auto" w:fill="DBE5F1"/>
          </w:tcPr>
          <w:p w14:paraId="0D15A5B2"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276" w:type="dxa"/>
            <w:tcBorders>
              <w:left w:val="single" w:sz="4" w:space="0" w:color="000000"/>
              <w:bottom w:val="single" w:sz="4" w:space="0" w:color="000000"/>
              <w:right w:val="single" w:sz="4" w:space="0" w:color="000000"/>
            </w:tcBorders>
            <w:shd w:val="clear" w:color="auto" w:fill="DBE5F1"/>
          </w:tcPr>
          <w:p w14:paraId="12824587"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806</w:t>
            </w:r>
          </w:p>
        </w:tc>
        <w:tc>
          <w:tcPr>
            <w:tcW w:w="1332" w:type="dxa"/>
            <w:tcBorders>
              <w:left w:val="single" w:sz="4" w:space="0" w:color="000000"/>
              <w:bottom w:val="single" w:sz="4" w:space="0" w:color="000000"/>
              <w:right w:val="single" w:sz="4" w:space="0" w:color="000000"/>
            </w:tcBorders>
            <w:shd w:val="clear" w:color="auto" w:fill="DBE5F1"/>
          </w:tcPr>
          <w:p w14:paraId="2AB217CC"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1.3932144</w:t>
            </w:r>
          </w:p>
        </w:tc>
        <w:tc>
          <w:tcPr>
            <w:tcW w:w="1336" w:type="dxa"/>
            <w:tcBorders>
              <w:left w:val="single" w:sz="4" w:space="0" w:color="000000"/>
              <w:bottom w:val="single" w:sz="4" w:space="0" w:color="000000"/>
              <w:right w:val="single" w:sz="4" w:space="0" w:color="000000"/>
            </w:tcBorders>
            <w:shd w:val="clear" w:color="auto" w:fill="DBE5F1"/>
          </w:tcPr>
          <w:p w14:paraId="0D47B917"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0.7203333</w:t>
            </w:r>
          </w:p>
        </w:tc>
        <w:tc>
          <w:tcPr>
            <w:tcW w:w="1261" w:type="dxa"/>
            <w:tcBorders>
              <w:left w:val="single" w:sz="4" w:space="0" w:color="000000"/>
              <w:bottom w:val="single" w:sz="4" w:space="0" w:color="000000"/>
              <w:right w:val="single" w:sz="4" w:space="0" w:color="000000"/>
            </w:tcBorders>
            <w:shd w:val="clear" w:color="auto" w:fill="DBE5F1"/>
          </w:tcPr>
          <w:p w14:paraId="139461E1"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642.204</w:t>
            </w:r>
          </w:p>
        </w:tc>
      </w:tr>
      <w:tr w:rsidR="00042BE4" w14:paraId="72193B5E"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282500D6" w14:textId="77777777" w:rsidR="00042BE4" w:rsidRDefault="00042BE4">
            <w:pPr>
              <w:spacing w:after="0" w:line="240" w:lineRule="auto"/>
              <w:rPr>
                <w:rFonts w:ascii="Times New Roman" w:eastAsia="Times New Roman" w:hAnsi="Times New Roman" w:cs="Times New Roman"/>
              </w:rPr>
            </w:pPr>
          </w:p>
        </w:tc>
        <w:tc>
          <w:tcPr>
            <w:tcW w:w="1273" w:type="dxa"/>
            <w:tcBorders>
              <w:left w:val="single" w:sz="4" w:space="0" w:color="000000"/>
              <w:right w:val="single" w:sz="4" w:space="0" w:color="000000"/>
            </w:tcBorders>
            <w:shd w:val="clear" w:color="auto" w:fill="DBE5F1"/>
          </w:tcPr>
          <w:p w14:paraId="2E9DDCD2"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665" w:type="dxa"/>
            <w:tcBorders>
              <w:left w:val="single" w:sz="4" w:space="0" w:color="000000"/>
              <w:right w:val="single" w:sz="4" w:space="0" w:color="000000"/>
            </w:tcBorders>
            <w:shd w:val="clear" w:color="auto" w:fill="DBE5F1"/>
          </w:tcPr>
          <w:p w14:paraId="792D3E46"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1276" w:type="dxa"/>
            <w:tcBorders>
              <w:left w:val="single" w:sz="4" w:space="0" w:color="000000"/>
              <w:right w:val="single" w:sz="4" w:space="0" w:color="000000"/>
            </w:tcBorders>
            <w:shd w:val="clear" w:color="auto" w:fill="DBE5F1"/>
          </w:tcPr>
          <w:p w14:paraId="57BB0966"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488</w:t>
            </w:r>
          </w:p>
        </w:tc>
        <w:tc>
          <w:tcPr>
            <w:tcW w:w="1332" w:type="dxa"/>
            <w:tcBorders>
              <w:left w:val="single" w:sz="4" w:space="0" w:color="000000"/>
              <w:right w:val="single" w:sz="4" w:space="0" w:color="000000"/>
            </w:tcBorders>
            <w:shd w:val="clear" w:color="auto" w:fill="DBE5F1"/>
          </w:tcPr>
          <w:p w14:paraId="3D648591"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0.9775852</w:t>
            </w:r>
          </w:p>
        </w:tc>
        <w:tc>
          <w:tcPr>
            <w:tcW w:w="1336" w:type="dxa"/>
            <w:tcBorders>
              <w:left w:val="single" w:sz="4" w:space="0" w:color="000000"/>
              <w:right w:val="single" w:sz="4" w:space="0" w:color="000000"/>
            </w:tcBorders>
            <w:shd w:val="clear" w:color="auto" w:fill="DBE5F1"/>
          </w:tcPr>
          <w:p w14:paraId="5464DAA6"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0.496</w:t>
            </w:r>
          </w:p>
        </w:tc>
        <w:tc>
          <w:tcPr>
            <w:tcW w:w="1261" w:type="dxa"/>
            <w:tcBorders>
              <w:left w:val="single" w:sz="4" w:space="0" w:color="000000"/>
              <w:right w:val="single" w:sz="4" w:space="0" w:color="000000"/>
            </w:tcBorders>
            <w:shd w:val="clear" w:color="auto" w:fill="DBE5F1"/>
          </w:tcPr>
          <w:p w14:paraId="3C24FD61"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437.662</w:t>
            </w:r>
          </w:p>
        </w:tc>
      </w:tr>
      <w:tr w:rsidR="00042BE4" w14:paraId="2941103E" w14:textId="77777777">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4D0769C7" w14:textId="77777777"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CGN-7</w:t>
            </w:r>
          </w:p>
        </w:tc>
        <w:tc>
          <w:tcPr>
            <w:tcW w:w="1273" w:type="dxa"/>
            <w:tcBorders>
              <w:left w:val="single" w:sz="4" w:space="0" w:color="000000"/>
              <w:right w:val="single" w:sz="4" w:space="0" w:color="000000"/>
            </w:tcBorders>
            <w:shd w:val="clear" w:color="auto" w:fill="DBE5F1"/>
          </w:tcPr>
          <w:p w14:paraId="3071CF09"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665" w:type="dxa"/>
            <w:tcBorders>
              <w:left w:val="single" w:sz="4" w:space="0" w:color="000000"/>
              <w:right w:val="single" w:sz="4" w:space="0" w:color="000000"/>
            </w:tcBorders>
            <w:shd w:val="clear" w:color="auto" w:fill="DBE5F1"/>
          </w:tcPr>
          <w:p w14:paraId="19205AA6"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1276" w:type="dxa"/>
            <w:tcBorders>
              <w:left w:val="single" w:sz="4" w:space="0" w:color="000000"/>
              <w:right w:val="single" w:sz="4" w:space="0" w:color="000000"/>
            </w:tcBorders>
            <w:shd w:val="clear" w:color="auto" w:fill="DBE5F1"/>
          </w:tcPr>
          <w:p w14:paraId="094245A2"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490</w:t>
            </w:r>
          </w:p>
        </w:tc>
        <w:tc>
          <w:tcPr>
            <w:tcW w:w="1332" w:type="dxa"/>
            <w:tcBorders>
              <w:left w:val="single" w:sz="4" w:space="0" w:color="000000"/>
              <w:right w:val="single" w:sz="4" w:space="0" w:color="000000"/>
            </w:tcBorders>
            <w:shd w:val="clear" w:color="auto" w:fill="DBE5F1"/>
          </w:tcPr>
          <w:p w14:paraId="4E761B96"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1.012984</w:t>
            </w:r>
          </w:p>
        </w:tc>
        <w:tc>
          <w:tcPr>
            <w:tcW w:w="1336" w:type="dxa"/>
            <w:tcBorders>
              <w:left w:val="single" w:sz="4" w:space="0" w:color="000000"/>
              <w:right w:val="single" w:sz="4" w:space="0" w:color="000000"/>
            </w:tcBorders>
            <w:shd w:val="clear" w:color="auto" w:fill="DBE5F1"/>
          </w:tcPr>
          <w:p w14:paraId="240D2B20"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0.52166667</w:t>
            </w:r>
          </w:p>
        </w:tc>
        <w:tc>
          <w:tcPr>
            <w:tcW w:w="1261" w:type="dxa"/>
            <w:tcBorders>
              <w:left w:val="single" w:sz="4" w:space="0" w:color="000000"/>
              <w:right w:val="single" w:sz="4" w:space="0" w:color="000000"/>
            </w:tcBorders>
            <w:shd w:val="clear" w:color="auto" w:fill="DBE5F1"/>
          </w:tcPr>
          <w:p w14:paraId="283C381A"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460.1</w:t>
            </w:r>
          </w:p>
        </w:tc>
      </w:tr>
      <w:tr w:rsidR="00042BE4" w14:paraId="48E4A057" w14:textId="77777777">
        <w:trPr>
          <w:trHeight w:val="26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4018E959" w14:textId="77777777" w:rsidR="00042BE4" w:rsidRDefault="00042BE4">
            <w:pPr>
              <w:spacing w:after="0"/>
              <w:rPr>
                <w:rFonts w:ascii="Times New Roman" w:eastAsia="Times New Roman" w:hAnsi="Times New Roman" w:cs="Times New Roman"/>
              </w:rPr>
            </w:pPr>
          </w:p>
        </w:tc>
        <w:tc>
          <w:tcPr>
            <w:tcW w:w="1273" w:type="dxa"/>
            <w:tcBorders>
              <w:left w:val="single" w:sz="4" w:space="0" w:color="000000"/>
              <w:bottom w:val="single" w:sz="4" w:space="0" w:color="000000"/>
              <w:right w:val="single" w:sz="4" w:space="0" w:color="000000"/>
            </w:tcBorders>
            <w:shd w:val="clear" w:color="auto" w:fill="DBE5F1"/>
          </w:tcPr>
          <w:p w14:paraId="16BCD879"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665" w:type="dxa"/>
            <w:tcBorders>
              <w:left w:val="single" w:sz="4" w:space="0" w:color="000000"/>
              <w:bottom w:val="single" w:sz="4" w:space="0" w:color="000000"/>
              <w:right w:val="single" w:sz="4" w:space="0" w:color="000000"/>
            </w:tcBorders>
            <w:shd w:val="clear" w:color="auto" w:fill="DBE5F1"/>
          </w:tcPr>
          <w:p w14:paraId="65C944F7"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276" w:type="dxa"/>
            <w:tcBorders>
              <w:left w:val="single" w:sz="4" w:space="0" w:color="000000"/>
              <w:bottom w:val="single" w:sz="4" w:space="0" w:color="000000"/>
              <w:right w:val="single" w:sz="4" w:space="0" w:color="000000"/>
            </w:tcBorders>
            <w:shd w:val="clear" w:color="auto" w:fill="DBE5F1"/>
          </w:tcPr>
          <w:p w14:paraId="75679B9B" w14:textId="77777777"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493</w:t>
            </w:r>
          </w:p>
        </w:tc>
        <w:tc>
          <w:tcPr>
            <w:tcW w:w="1332" w:type="dxa"/>
            <w:tcBorders>
              <w:left w:val="single" w:sz="4" w:space="0" w:color="000000"/>
              <w:bottom w:val="single" w:sz="4" w:space="0" w:color="000000"/>
              <w:right w:val="single" w:sz="4" w:space="0" w:color="000000"/>
            </w:tcBorders>
            <w:shd w:val="clear" w:color="auto" w:fill="DBE5F1"/>
          </w:tcPr>
          <w:p w14:paraId="22C98E62"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1.0492612</w:t>
            </w:r>
          </w:p>
        </w:tc>
        <w:tc>
          <w:tcPr>
            <w:tcW w:w="1336" w:type="dxa"/>
            <w:tcBorders>
              <w:left w:val="single" w:sz="4" w:space="0" w:color="000000"/>
              <w:bottom w:val="single" w:sz="4" w:space="0" w:color="000000"/>
              <w:right w:val="single" w:sz="4" w:space="0" w:color="000000"/>
            </w:tcBorders>
            <w:shd w:val="clear" w:color="auto" w:fill="DBE5F1"/>
          </w:tcPr>
          <w:p w14:paraId="29680FDB"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0.54766667</w:t>
            </w:r>
          </w:p>
        </w:tc>
        <w:tc>
          <w:tcPr>
            <w:tcW w:w="1261" w:type="dxa"/>
            <w:tcBorders>
              <w:left w:val="single" w:sz="4" w:space="0" w:color="000000"/>
              <w:bottom w:val="single" w:sz="4" w:space="0" w:color="000000"/>
              <w:right w:val="single" w:sz="4" w:space="0" w:color="000000"/>
            </w:tcBorders>
            <w:shd w:val="clear" w:color="auto" w:fill="DBE5F1"/>
          </w:tcPr>
          <w:p w14:paraId="18351EA0"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473.582</w:t>
            </w:r>
          </w:p>
        </w:tc>
      </w:tr>
      <w:tr w:rsidR="00042BE4" w14:paraId="469021E8" w14:textId="77777777">
        <w:trPr>
          <w:trHeight w:val="665"/>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14:paraId="05E7F6A3"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MEAN</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2EED7434" w14:textId="77777777"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31.2222</w:t>
            </w:r>
          </w:p>
        </w:tc>
        <w:tc>
          <w:tcPr>
            <w:tcW w:w="1665" w:type="dxa"/>
            <w:tcBorders>
              <w:top w:val="single" w:sz="4" w:space="0" w:color="000000"/>
              <w:left w:val="single" w:sz="4" w:space="0" w:color="000000"/>
              <w:bottom w:val="single" w:sz="4" w:space="0" w:color="000000"/>
              <w:right w:val="single" w:sz="4" w:space="0" w:color="000000"/>
            </w:tcBorders>
            <w:shd w:val="clear" w:color="auto" w:fill="DBE5F1"/>
          </w:tcPr>
          <w:p w14:paraId="668FB014" w14:textId="77777777"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53.4444</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14:paraId="3162CA28" w14:textId="77777777"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548.3333</w:t>
            </w:r>
          </w:p>
        </w:tc>
        <w:tc>
          <w:tcPr>
            <w:tcW w:w="1332" w:type="dxa"/>
            <w:tcBorders>
              <w:top w:val="single" w:sz="4" w:space="0" w:color="000000"/>
              <w:left w:val="single" w:sz="4" w:space="0" w:color="000000"/>
              <w:bottom w:val="single" w:sz="4" w:space="0" w:color="000000"/>
              <w:right w:val="single" w:sz="4" w:space="0" w:color="000000"/>
            </w:tcBorders>
            <w:shd w:val="clear" w:color="auto" w:fill="DBE5F1"/>
          </w:tcPr>
          <w:p w14:paraId="35F220AC"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1.04502644</w:t>
            </w:r>
          </w:p>
        </w:tc>
        <w:tc>
          <w:tcPr>
            <w:tcW w:w="1336" w:type="dxa"/>
            <w:tcBorders>
              <w:top w:val="single" w:sz="4" w:space="0" w:color="000000"/>
              <w:left w:val="single" w:sz="4" w:space="0" w:color="000000"/>
              <w:bottom w:val="single" w:sz="4" w:space="0" w:color="000000"/>
              <w:right w:val="single" w:sz="4" w:space="0" w:color="000000"/>
            </w:tcBorders>
            <w:shd w:val="clear" w:color="auto" w:fill="DBE5F1"/>
          </w:tcPr>
          <w:p w14:paraId="24DC2C8B" w14:textId="77777777"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0.55407403</w:t>
            </w:r>
          </w:p>
        </w:tc>
        <w:tc>
          <w:tcPr>
            <w:tcW w:w="1261" w:type="dxa"/>
            <w:tcBorders>
              <w:top w:val="single" w:sz="4" w:space="0" w:color="000000"/>
              <w:left w:val="single" w:sz="4" w:space="0" w:color="000000"/>
              <w:bottom w:val="single" w:sz="4" w:space="0" w:color="000000"/>
              <w:right w:val="single" w:sz="4" w:space="0" w:color="000000"/>
            </w:tcBorders>
            <w:shd w:val="clear" w:color="auto" w:fill="DBE5F1"/>
          </w:tcPr>
          <w:p w14:paraId="2DA5A3F8" w14:textId="77777777"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491.021111</w:t>
            </w:r>
          </w:p>
        </w:tc>
      </w:tr>
    </w:tbl>
    <w:p w14:paraId="22719FB1"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:7 </w:t>
      </w:r>
      <w:proofErr w:type="gramStart"/>
      <w:r>
        <w:rPr>
          <w:rFonts w:ascii="Times New Roman" w:eastAsia="Times New Roman" w:hAnsi="Times New Roman" w:cs="Times New Roman"/>
          <w:sz w:val="24"/>
          <w:szCs w:val="24"/>
        </w:rPr>
        <w:t>AUI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,AGDE calculated data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w:t>
      </w:r>
    </w:p>
    <w:p w14:paraId="7C081E0B" w14:textId="77777777" w:rsidR="00042BE4" w:rsidRDefault="00042BE4">
      <w:pPr>
        <w:jc w:val="center"/>
        <w:rPr>
          <w:rFonts w:ascii="Times New Roman" w:eastAsia="Times New Roman" w:hAnsi="Times New Roman" w:cs="Times New Roman"/>
          <w:sz w:val="24"/>
          <w:szCs w:val="24"/>
        </w:rPr>
      </w:pPr>
    </w:p>
    <w:p w14:paraId="5E75768B"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57B773" wp14:editId="7D258E71">
            <wp:extent cx="5943600" cy="3047365"/>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1"/>
                    <a:srcRect/>
                    <a:stretch>
                      <a:fillRect/>
                    </a:stretch>
                  </pic:blipFill>
                  <pic:spPr>
                    <a:xfrm>
                      <a:off x="0" y="0"/>
                      <a:ext cx="5943600" cy="3047365"/>
                    </a:xfrm>
                    <a:prstGeom prst="rect">
                      <a:avLst/>
                    </a:prstGeom>
                    <a:ln/>
                  </pic:spPr>
                </pic:pic>
              </a:graphicData>
            </a:graphic>
          </wp:inline>
        </w:drawing>
      </w:r>
    </w:p>
    <w:p w14:paraId="5B5197B9"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14: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Annual Gonadal Dose Equivalent (AGDE).</w:t>
      </w:r>
    </w:p>
    <w:p w14:paraId="64367D41" w14:textId="77777777" w:rsidR="00042BE4" w:rsidRDefault="00042BE4">
      <w:pPr>
        <w:jc w:val="center"/>
        <w:rPr>
          <w:rFonts w:ascii="Times New Roman" w:eastAsia="Times New Roman" w:hAnsi="Times New Roman" w:cs="Times New Roman"/>
          <w:sz w:val="24"/>
          <w:szCs w:val="24"/>
        </w:rPr>
      </w:pPr>
    </w:p>
    <w:p w14:paraId="197019C8"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4D672D3" wp14:editId="51FFC02C">
            <wp:extent cx="5848350" cy="3086100"/>
            <wp:effectExtent l="0" t="0" r="0" b="0"/>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2"/>
                    <a:srcRect/>
                    <a:stretch>
                      <a:fillRect/>
                    </a:stretch>
                  </pic:blipFill>
                  <pic:spPr>
                    <a:xfrm>
                      <a:off x="0" y="0"/>
                      <a:ext cx="5848350" cy="3086100"/>
                    </a:xfrm>
                    <a:prstGeom prst="rect">
                      <a:avLst/>
                    </a:prstGeom>
                    <a:ln/>
                  </pic:spPr>
                </pic:pic>
              </a:graphicData>
            </a:graphic>
          </wp:inline>
        </w:drawing>
      </w:r>
    </w:p>
    <w:p w14:paraId="7C99C819"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15: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Activity Utilization Index(AUI).</w:t>
      </w:r>
    </w:p>
    <w:p w14:paraId="329E5AFF" w14:textId="77777777" w:rsidR="00042BE4" w:rsidRDefault="00042BE4">
      <w:pPr>
        <w:rPr>
          <w:rFonts w:ascii="Times New Roman" w:eastAsia="Times New Roman" w:hAnsi="Times New Roman" w:cs="Times New Roman"/>
          <w:sz w:val="24"/>
          <w:szCs w:val="24"/>
        </w:rPr>
      </w:pPr>
    </w:p>
    <w:p w14:paraId="0015C27B" w14:textId="77777777" w:rsidR="00042BE4" w:rsidRDefault="00042BE4">
      <w:pPr>
        <w:rPr>
          <w:rFonts w:ascii="Times New Roman" w:eastAsia="Times New Roman" w:hAnsi="Times New Roman" w:cs="Times New Roman"/>
          <w:sz w:val="24"/>
          <w:szCs w:val="24"/>
        </w:rPr>
      </w:pPr>
    </w:p>
    <w:p w14:paraId="5DD293FE" w14:textId="77777777" w:rsidR="00042BE4" w:rsidRDefault="00042BE4">
      <w:pPr>
        <w:rPr>
          <w:rFonts w:ascii="Times New Roman" w:eastAsia="Times New Roman" w:hAnsi="Times New Roman" w:cs="Times New Roman"/>
          <w:sz w:val="24"/>
          <w:szCs w:val="24"/>
        </w:rPr>
      </w:pPr>
    </w:p>
    <w:p w14:paraId="728450A9"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7C48AD" wp14:editId="49FCF5E1">
            <wp:extent cx="5810250" cy="2762250"/>
            <wp:effectExtent l="0" t="0" r="0" b="0"/>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3"/>
                    <a:srcRect/>
                    <a:stretch>
                      <a:fillRect/>
                    </a:stretch>
                  </pic:blipFill>
                  <pic:spPr>
                    <a:xfrm>
                      <a:off x="0" y="0"/>
                      <a:ext cx="5810250" cy="2762250"/>
                    </a:xfrm>
                    <a:prstGeom prst="rect">
                      <a:avLst/>
                    </a:prstGeom>
                    <a:ln/>
                  </pic:spPr>
                </pic:pic>
              </a:graphicData>
            </a:graphic>
          </wp:inline>
        </w:drawing>
      </w:r>
    </w:p>
    <w:p w14:paraId="5917659E"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16: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Gamma Index Factor(</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w:t>
      </w:r>
    </w:p>
    <w:p w14:paraId="71A252E9" w14:textId="77777777" w:rsidR="00042BE4" w:rsidRDefault="00042BE4">
      <w:pPr>
        <w:jc w:val="center"/>
        <w:rPr>
          <w:rFonts w:ascii="Times New Roman" w:eastAsia="Times New Roman" w:hAnsi="Times New Roman" w:cs="Times New Roman"/>
          <w:sz w:val="24"/>
          <w:szCs w:val="24"/>
        </w:rPr>
      </w:pPr>
    </w:p>
    <w:p w14:paraId="7B539FCA"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719B33" wp14:editId="095B9A92">
            <wp:extent cx="5981700" cy="2995295"/>
            <wp:effectExtent l="0" t="0" r="0" b="0"/>
            <wp:docPr id="2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4"/>
                    <a:srcRect/>
                    <a:stretch>
                      <a:fillRect/>
                    </a:stretch>
                  </pic:blipFill>
                  <pic:spPr>
                    <a:xfrm>
                      <a:off x="0" y="0"/>
                      <a:ext cx="5981700" cy="2995295"/>
                    </a:xfrm>
                    <a:prstGeom prst="rect">
                      <a:avLst/>
                    </a:prstGeom>
                    <a:ln/>
                  </pic:spPr>
                </pic:pic>
              </a:graphicData>
            </a:graphic>
          </wp:inline>
        </w:drawing>
      </w:r>
    </w:p>
    <w:p w14:paraId="5225FEFE" w14:textId="77777777"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17: Graphical Repres</w:t>
      </w:r>
      <w:r>
        <w:rPr>
          <w:rFonts w:ascii="Times New Roman" w:eastAsia="Times New Roman" w:hAnsi="Times New Roman" w:cs="Times New Roman"/>
          <w:sz w:val="24"/>
          <w:szCs w:val="24"/>
        </w:rPr>
        <w:t xml:space="preserve">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Annual Gonadal Dose Equivalent (AGDE).</w:t>
      </w:r>
    </w:p>
    <w:p w14:paraId="16B444CC" w14:textId="77777777" w:rsidR="00042BE4" w:rsidRDefault="00042BE4">
      <w:pPr>
        <w:rPr>
          <w:rFonts w:ascii="Times New Roman" w:eastAsia="Times New Roman" w:hAnsi="Times New Roman" w:cs="Times New Roman"/>
          <w:sz w:val="24"/>
          <w:szCs w:val="24"/>
        </w:rPr>
      </w:pPr>
    </w:p>
    <w:p w14:paraId="1CBFF684" w14:textId="77777777"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RESULTS </w:t>
      </w:r>
    </w:p>
    <w:p w14:paraId="0B60E678"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Jal Mahal, activity concentration of radionuclides ranged between 25</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49</w:t>
      </w:r>
      <w:r>
        <w:rPr>
          <w:rFonts w:ascii="Times New Roman" w:eastAsia="Times New Roman" w:hAnsi="Times New Roman" w:cs="Times New Roman"/>
          <w:color w:val="222222"/>
          <w:sz w:val="24"/>
          <w:szCs w:val="24"/>
          <w:highlight w:val="white"/>
        </w:rPr>
        <w:t xml:space="preserve"> Bq/kg</w:t>
      </w:r>
      <w:r>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Ra,21</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color w:val="222222"/>
          <w:sz w:val="24"/>
          <w:szCs w:val="24"/>
          <w:highlight w:val="white"/>
        </w:rPr>
        <w:t xml:space="preserve"> Bq/kg</w:t>
      </w:r>
      <w:r>
        <w:rPr>
          <w:rFonts w:ascii="Times New Roman" w:eastAsia="Times New Roman" w:hAnsi="Times New Roman" w:cs="Times New Roman"/>
          <w:color w:val="222222"/>
          <w:sz w:val="24"/>
          <w:szCs w:val="24"/>
        </w:rPr>
        <w:t xml:space="preserve"> for </w:t>
      </w:r>
      <w:r>
        <w:rPr>
          <w:rFonts w:ascii="Times New Roman" w:eastAsia="Times New Roman" w:hAnsi="Times New Roman" w:cs="Times New Roman"/>
          <w:color w:val="222222"/>
          <w:sz w:val="24"/>
          <w:szCs w:val="24"/>
          <w:vertAlign w:val="superscript"/>
        </w:rPr>
        <w:t>232</w:t>
      </w:r>
      <w:r>
        <w:rPr>
          <w:rFonts w:ascii="Times New Roman" w:eastAsia="Times New Roman" w:hAnsi="Times New Roman" w:cs="Times New Roman"/>
          <w:color w:val="222222"/>
          <w:sz w:val="24"/>
          <w:szCs w:val="24"/>
        </w:rPr>
        <w:t>Th</w:t>
      </w:r>
      <w:r>
        <w:rPr>
          <w:rFonts w:ascii="Times New Roman" w:eastAsia="Times New Roman" w:hAnsi="Times New Roman" w:cs="Times New Roman"/>
          <w:sz w:val="24"/>
          <w:szCs w:val="24"/>
        </w:rPr>
        <w:t xml:space="preserve"> and 268-805 Bq/kg for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with mean values of 34.33, 43.75 and 440 </w:t>
      </w:r>
      <w:r>
        <w:rPr>
          <w:rFonts w:ascii="Times New Roman" w:eastAsia="Times New Roman" w:hAnsi="Times New Roman" w:cs="Times New Roman"/>
          <w:color w:val="222222"/>
          <w:sz w:val="24"/>
          <w:szCs w:val="24"/>
          <w:highlight w:val="white"/>
        </w:rPr>
        <w:t>Bq/kg</w:t>
      </w:r>
      <w:r>
        <w:rPr>
          <w:rFonts w:ascii="Times New Roman" w:eastAsia="Times New Roman" w:hAnsi="Times New Roman" w:cs="Times New Roman"/>
          <w:sz w:val="24"/>
          <w:szCs w:val="24"/>
        </w:rPr>
        <w:t xml:space="preserve">, respectively. The mean radium equivalent activity (Raeq) was 130.78 Bq/kg, the absorbed dose rate (ADR) was 60.63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 and the annual effective dose (AED) was 0.074 mSv/</w:t>
      </w:r>
      <w:proofErr w:type="spellStart"/>
      <w:proofErr w:type="gramStart"/>
      <w:r>
        <w:rPr>
          <w:rFonts w:ascii="Times New Roman" w:eastAsia="Times New Roman" w:hAnsi="Times New Roman" w:cs="Times New Roman"/>
          <w:sz w:val="24"/>
          <w:szCs w:val="24"/>
        </w:rPr>
        <w:t>y.For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radionuclide a</w:t>
      </w:r>
      <w:r>
        <w:rPr>
          <w:rFonts w:ascii="Times New Roman" w:eastAsia="Times New Roman" w:hAnsi="Times New Roman" w:cs="Times New Roman"/>
          <w:sz w:val="24"/>
          <w:szCs w:val="24"/>
        </w:rPr>
        <w:t xml:space="preserve">ctivity ranged from 19–40 Bq/kg for ²²⁶Ra, 39–65 Bq/kg for ²³²Th, and 348–806 Bq/kg for ⁴⁰K, with mean values of 31.22, 53.44, and 548.33 Bq/kg, respectively. The mean Raeq was 149.87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ADR 69.57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 and AED 0.085 mSv/</w:t>
      </w:r>
      <w:proofErr w:type="spellStart"/>
      <w:proofErr w:type="gramStart"/>
      <w:r>
        <w:rPr>
          <w:rFonts w:ascii="Times New Roman" w:eastAsia="Times New Roman" w:hAnsi="Times New Roman" w:cs="Times New Roman"/>
          <w:sz w:val="24"/>
          <w:szCs w:val="24"/>
        </w:rPr>
        <w:t>y.The</w:t>
      </w:r>
      <w:proofErr w:type="spellEnd"/>
      <w:proofErr w:type="gramEnd"/>
      <w:r>
        <w:rPr>
          <w:rFonts w:ascii="Times New Roman" w:eastAsia="Times New Roman" w:hAnsi="Times New Roman" w:cs="Times New Roman"/>
          <w:sz w:val="24"/>
          <w:szCs w:val="24"/>
        </w:rPr>
        <w:t xml:space="preserve"> Excess Lifetime Cancer R</w:t>
      </w:r>
      <w:r>
        <w:rPr>
          <w:rFonts w:ascii="Times New Roman" w:eastAsia="Times New Roman" w:hAnsi="Times New Roman" w:cs="Times New Roman"/>
          <w:sz w:val="24"/>
          <w:szCs w:val="24"/>
        </w:rPr>
        <w:t xml:space="preserve">isk (ELCR) ranged from 1.62×10⁻⁴ to 3.81×10⁻⁴, with a mean of 2.60×10⁻⁴ for Jal Mahal.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the ELCR ranged from 2.30×10⁻⁴ to 3.88×10⁻⁴, with a mean of 2.99×10⁻⁴. Both averages are lower than the global mean value of 1.45×10⁻³ reported by UNSC</w:t>
      </w:r>
      <w:r>
        <w:rPr>
          <w:rFonts w:ascii="Times New Roman" w:eastAsia="Times New Roman" w:hAnsi="Times New Roman" w:cs="Times New Roman"/>
          <w:sz w:val="24"/>
          <w:szCs w:val="24"/>
        </w:rPr>
        <w:t>EAR.</w:t>
      </w:r>
    </w:p>
    <w:p w14:paraId="1F764C22" w14:textId="77777777" w:rsidR="00042BE4" w:rsidRDefault="00042BE4">
      <w:pPr>
        <w:jc w:val="both"/>
        <w:rPr>
          <w:rFonts w:ascii="Times New Roman" w:eastAsia="Times New Roman" w:hAnsi="Times New Roman" w:cs="Times New Roman"/>
          <w:sz w:val="24"/>
          <w:szCs w:val="24"/>
        </w:rPr>
      </w:pPr>
    </w:p>
    <w:p w14:paraId="18537338"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organ dose (Dorgan) for Jal Mahal samples ranged between 3.15×10⁻² mSv/y and 7.41×10⁻² mSv/y, with a mean of 5.06×10⁻² mSv/y.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the values ranged from 4.48×10⁻² mSv/y to 7.54×10⁻² mSv/</w:t>
      </w:r>
      <w:proofErr w:type="gramStart"/>
      <w:r>
        <w:rPr>
          <w:rFonts w:ascii="Times New Roman" w:eastAsia="Times New Roman" w:hAnsi="Times New Roman" w:cs="Times New Roman"/>
          <w:sz w:val="24"/>
          <w:szCs w:val="24"/>
        </w:rPr>
        <w:t>y,  with</w:t>
      </w:r>
      <w:proofErr w:type="gramEnd"/>
      <w:r>
        <w:rPr>
          <w:rFonts w:ascii="Times New Roman" w:eastAsia="Times New Roman" w:hAnsi="Times New Roman" w:cs="Times New Roman"/>
          <w:sz w:val="24"/>
          <w:szCs w:val="24"/>
        </w:rPr>
        <w:t xml:space="preserve"> a mean of 5.80×10⁻² mSv/y. </w:t>
      </w:r>
      <w:r>
        <w:rPr>
          <w:rFonts w:ascii="Times New Roman" w:eastAsia="Times New Roman" w:hAnsi="Times New Roman" w:cs="Times New Roman"/>
          <w:sz w:val="24"/>
          <w:szCs w:val="24"/>
        </w:rPr>
        <w:t xml:space="preserve">These are considerably below the ICRP recommended annual limit of 1 mSv/y for the general </w:t>
      </w:r>
      <w:proofErr w:type="spellStart"/>
      <w:proofErr w:type="gramStart"/>
      <w:r>
        <w:rPr>
          <w:rFonts w:ascii="Times New Roman" w:eastAsia="Times New Roman" w:hAnsi="Times New Roman" w:cs="Times New Roman"/>
          <w:sz w:val="24"/>
          <w:szCs w:val="24"/>
        </w:rPr>
        <w:t>public.The</w:t>
      </w:r>
      <w:proofErr w:type="spellEnd"/>
      <w:proofErr w:type="gramEnd"/>
      <w:r>
        <w:rPr>
          <w:rFonts w:ascii="Times New Roman" w:eastAsia="Times New Roman" w:hAnsi="Times New Roman" w:cs="Times New Roman"/>
          <w:sz w:val="24"/>
          <w:szCs w:val="24"/>
        </w:rPr>
        <w:t xml:space="preserve"> Activity Utilization Index (AUI) for Jal Mahal ranged between 0.52–1.38 (mean: 0.86), while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Ghumbad</w:t>
      </w:r>
      <w:proofErr w:type="spellEnd"/>
      <w:r>
        <w:rPr>
          <w:rFonts w:ascii="Times New Roman" w:eastAsia="Times New Roman" w:hAnsi="Times New Roman" w:cs="Times New Roman"/>
          <w:sz w:val="24"/>
          <w:szCs w:val="24"/>
        </w:rPr>
        <w:t xml:space="preserve"> it ranged from 0.73–1.39 (mean: 1.05), both va</w:t>
      </w:r>
      <w:r>
        <w:rPr>
          <w:rFonts w:ascii="Times New Roman" w:eastAsia="Times New Roman" w:hAnsi="Times New Roman" w:cs="Times New Roman"/>
          <w:sz w:val="24"/>
          <w:szCs w:val="24"/>
        </w:rPr>
        <w:t>lues being below the recommended safe limit of 2. Similarly, the Gamma Index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values for Jal Mahal (0.30–0.71, mean: 0.48)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(0.42–0.72, mean: 0.55) did not exceed the restricted limit of 1.</w:t>
      </w:r>
    </w:p>
    <w:p w14:paraId="5477EE07" w14:textId="77777777" w:rsidR="00042BE4" w:rsidRDefault="00042BE4">
      <w:pPr>
        <w:jc w:val="both"/>
        <w:rPr>
          <w:rFonts w:ascii="Times New Roman" w:eastAsia="Times New Roman" w:hAnsi="Times New Roman" w:cs="Times New Roman"/>
          <w:sz w:val="24"/>
          <w:szCs w:val="24"/>
        </w:rPr>
      </w:pPr>
    </w:p>
    <w:p w14:paraId="17F375B6"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Gonadal Dose Equivalent (AGDE) ran</w:t>
      </w:r>
      <w:r>
        <w:rPr>
          <w:rFonts w:ascii="Times New Roman" w:eastAsia="Times New Roman" w:hAnsi="Times New Roman" w:cs="Times New Roman"/>
          <w:sz w:val="24"/>
          <w:szCs w:val="24"/>
        </w:rPr>
        <w:t>ged from 267.08–631.53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(mean: 427.12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for Jal Mahal, and 377.35–642.20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(mean: 491.02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These values fall within the reported global range of 300–520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for building </w:t>
      </w:r>
      <w:proofErr w:type="spellStart"/>
      <w:proofErr w:type="gramStart"/>
      <w:r>
        <w:rPr>
          <w:rFonts w:ascii="Times New Roman" w:eastAsia="Times New Roman" w:hAnsi="Times New Roman" w:cs="Times New Roman"/>
          <w:sz w:val="24"/>
          <w:szCs w:val="24"/>
        </w:rPr>
        <w:t>materials.In</w:t>
      </w:r>
      <w:proofErr w:type="spellEnd"/>
      <w:proofErr w:type="gramEnd"/>
      <w:r>
        <w:rPr>
          <w:rFonts w:ascii="Times New Roman" w:eastAsia="Times New Roman" w:hAnsi="Times New Roman" w:cs="Times New Roman"/>
          <w:sz w:val="24"/>
          <w:szCs w:val="24"/>
        </w:rPr>
        <w:t xml:space="preserve"> summary, while the total activity </w:t>
      </w:r>
      <w:r>
        <w:rPr>
          <w:rFonts w:ascii="Times New Roman" w:eastAsia="Times New Roman" w:hAnsi="Times New Roman" w:cs="Times New Roman"/>
          <w:sz w:val="24"/>
          <w:szCs w:val="24"/>
        </w:rPr>
        <w:t xml:space="preserve">concentrations in Jal Mahal (518.08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(632.99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exceed the world average of 420 Bq/kg, all calculated radiological indices—including Raeq, ADR, AED, ELCR, AUI,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and AGDE—remain within internationally accepted safety limits.</w:t>
      </w:r>
    </w:p>
    <w:p w14:paraId="71F7818F"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SCUSSION </w:t>
      </w:r>
    </w:p>
    <w:p w14:paraId="3F323ED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radiological assessment of 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reveals that the average Annual Effective Dose (AED) values, 0.074 mSv/y and 0.085 mSv/y respectively, are substantially lower than the global average of 0.52 mSv/y and remain well within </w:t>
      </w:r>
      <w:r>
        <w:rPr>
          <w:rFonts w:ascii="Times New Roman" w:eastAsia="Times New Roman" w:hAnsi="Times New Roman" w:cs="Times New Roman"/>
          <w:sz w:val="24"/>
          <w:szCs w:val="24"/>
        </w:rPr>
        <w:t>the ICRP-60 recommended threshold. Correspondingly, the Excess Lifetime Cancer Risk (ELCR) and Dorgan indices also fall below worldwide reference levels, affirming negligible radiological health hazards. The mean Activity Utilization Index (AUI) values, 0.</w:t>
      </w:r>
      <w:r>
        <w:rPr>
          <w:rFonts w:ascii="Times New Roman" w:eastAsia="Times New Roman" w:hAnsi="Times New Roman" w:cs="Times New Roman"/>
          <w:sz w:val="24"/>
          <w:szCs w:val="24"/>
        </w:rPr>
        <w:t xml:space="preserve">862 for Jal Mahal and 1.045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remain below the prescribed safety limit, although select samples (JMN-2 and CGN-6) approach the permissible boundary. Similarly, the mean gamma index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values, 0.480 and 0.554, are within the acceptable res</w:t>
      </w:r>
      <w:r>
        <w:rPr>
          <w:rFonts w:ascii="Times New Roman" w:eastAsia="Times New Roman" w:hAnsi="Times New Roman" w:cs="Times New Roman"/>
          <w:sz w:val="24"/>
          <w:szCs w:val="24"/>
        </w:rPr>
        <w:t xml:space="preserve">triction of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 1, with isolated readings nearing the critical threshold. Furthermore, the mean Annual Gonadal Dose Equivalent (AGDE) values of 427.12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(Jal Mahal) and 491.02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reinforce the overall compliance with international ra</w:t>
      </w:r>
      <w:r>
        <w:rPr>
          <w:rFonts w:ascii="Times New Roman" w:eastAsia="Times New Roman" w:hAnsi="Times New Roman" w:cs="Times New Roman"/>
          <w:sz w:val="24"/>
          <w:szCs w:val="24"/>
        </w:rPr>
        <w:t>diological safety standards.</w:t>
      </w:r>
    </w:p>
    <w:p w14:paraId="05A27E21"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Comparison with World Averages</w:t>
      </w:r>
    </w:p>
    <w:p w14:paraId="45CD634C"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reveal that radionuclide activity concentrations in both 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exceed the global average value of 420 Bq/kg for building materials. However, the calculated radiolo</w:t>
      </w:r>
      <w:r>
        <w:rPr>
          <w:rFonts w:ascii="Times New Roman" w:eastAsia="Times New Roman" w:hAnsi="Times New Roman" w:cs="Times New Roman"/>
          <w:sz w:val="24"/>
          <w:szCs w:val="24"/>
        </w:rPr>
        <w:t xml:space="preserve">gical indices remain within internationally accepted safety limits. The mean Raeq values of 130.78 Bq/kg (Jal Mahal) and 149.87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/kg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are well below the UNSCEAR threshold of 370 Bq/kg. Similarly, the mean AED values of </w:t>
      </w:r>
      <w:proofErr w:type="gramStart"/>
      <w:r>
        <w:rPr>
          <w:rFonts w:ascii="Times New Roman" w:eastAsia="Times New Roman" w:hAnsi="Times New Roman" w:cs="Times New Roman"/>
          <w:sz w:val="24"/>
          <w:szCs w:val="24"/>
        </w:rPr>
        <w:t>0.074  mSv</w:t>
      </w:r>
      <w:proofErr w:type="gramEnd"/>
      <w:r>
        <w:rPr>
          <w:rFonts w:ascii="Times New Roman" w:eastAsia="Times New Roman" w:hAnsi="Times New Roman" w:cs="Times New Roman"/>
          <w:sz w:val="24"/>
          <w:szCs w:val="24"/>
        </w:rPr>
        <w:t>/y and 0.085</w:t>
      </w:r>
      <w:r>
        <w:rPr>
          <w:rFonts w:ascii="Times New Roman" w:eastAsia="Times New Roman" w:hAnsi="Times New Roman" w:cs="Times New Roman"/>
          <w:sz w:val="24"/>
          <w:szCs w:val="24"/>
        </w:rPr>
        <w:t xml:space="preserve"> mSv/y are significantly lower than the ICRP recommended annual exposure limit of 1 mSv/y for the public. These findings confirm that both sites are radiologically safe despite elevated activity concentrations.</w:t>
      </w:r>
    </w:p>
    <w:p w14:paraId="736733FF" w14:textId="77777777" w:rsidR="00042BE4" w:rsidRDefault="000E4256">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Implications</w:t>
      </w:r>
    </w:p>
    <w:p w14:paraId="5942B239"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slightly higher absor</w:t>
      </w:r>
      <w:r>
        <w:rPr>
          <w:rFonts w:ascii="Times New Roman" w:eastAsia="Times New Roman" w:hAnsi="Times New Roman" w:cs="Times New Roman"/>
          <w:sz w:val="24"/>
          <w:szCs w:val="24"/>
        </w:rPr>
        <w:t xml:space="preserve">bed dose rates compared to the world average of 59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(60.63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for Jal Mahal and 69.57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h  for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suggest the need for continued monitoring. </w:t>
      </w:r>
      <w:r>
        <w:rPr>
          <w:rFonts w:ascii="Times New Roman" w:eastAsia="Times New Roman" w:hAnsi="Times New Roman" w:cs="Times New Roman"/>
          <w:sz w:val="24"/>
          <w:szCs w:val="24"/>
        </w:rPr>
        <w:lastRenderedPageBreak/>
        <w:t xml:space="preserve">Nevertheless, the estimated Excess Lifetime Cancer Risk (ELCR) values are substantially below </w:t>
      </w:r>
      <w:r>
        <w:rPr>
          <w:rFonts w:ascii="Times New Roman" w:eastAsia="Times New Roman" w:hAnsi="Times New Roman" w:cs="Times New Roman"/>
          <w:sz w:val="24"/>
          <w:szCs w:val="24"/>
        </w:rPr>
        <w:t>the global average of 1.45×10⁻³, indicating minimal long-term health risks. The effective organ dose values also remain far below the safety criterion, reinforcing the conclusion that exposure to radiation from these monuments does not pose significant haz</w:t>
      </w:r>
      <w:r>
        <w:rPr>
          <w:rFonts w:ascii="Times New Roman" w:eastAsia="Times New Roman" w:hAnsi="Times New Roman" w:cs="Times New Roman"/>
          <w:sz w:val="24"/>
          <w:szCs w:val="24"/>
        </w:rPr>
        <w:t>ards to visitors or residents in the surrounding areas.</w:t>
      </w:r>
    </w:p>
    <w:p w14:paraId="6EBC26D2" w14:textId="77777777" w:rsidR="00042BE4" w:rsidRDefault="000E4256">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Significance for Heritage Sites</w:t>
      </w:r>
    </w:p>
    <w:p w14:paraId="432A38A1"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assessment of radiological indices, including AUI,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and AGDE, further demonstrates that the building materials of these historic monuments pose no notable radiol</w:t>
      </w:r>
      <w:r>
        <w:rPr>
          <w:rFonts w:ascii="Times New Roman" w:eastAsia="Times New Roman" w:hAnsi="Times New Roman" w:cs="Times New Roman"/>
          <w:sz w:val="24"/>
          <w:szCs w:val="24"/>
        </w:rPr>
        <w:t xml:space="preserve">ogical hazard. This outcome is vital for both public health and cultural preservation. Since </w:t>
      </w:r>
      <w:proofErr w:type="spellStart"/>
      <w:r>
        <w:rPr>
          <w:rFonts w:ascii="Times New Roman" w:eastAsia="Times New Roman" w:hAnsi="Times New Roman" w:cs="Times New Roman"/>
          <w:sz w:val="24"/>
          <w:szCs w:val="24"/>
        </w:rPr>
        <w:t>Narnaul’s</w:t>
      </w:r>
      <w:proofErr w:type="spellEnd"/>
      <w:r>
        <w:rPr>
          <w:rFonts w:ascii="Times New Roman" w:eastAsia="Times New Roman" w:hAnsi="Times New Roman" w:cs="Times New Roman"/>
          <w:sz w:val="24"/>
          <w:szCs w:val="24"/>
        </w:rPr>
        <w:t xml:space="preserve"> monuments are of historical and cultural importance, establishing baseline radiation levels contributes to their safe usage, sustainable conservation, an</w:t>
      </w:r>
      <w:r>
        <w:rPr>
          <w:rFonts w:ascii="Times New Roman" w:eastAsia="Times New Roman" w:hAnsi="Times New Roman" w:cs="Times New Roman"/>
          <w:sz w:val="24"/>
          <w:szCs w:val="24"/>
        </w:rPr>
        <w:t>d enhanced public awareness of environmental radiation. Regular monitoring of such sites is recommended to safeguard community health, ensure responsible use of natural resources, and protect heritage structures for future generations.</w:t>
      </w:r>
    </w:p>
    <w:p w14:paraId="45CB5985"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w:t>
      </w:r>
    </w:p>
    <w:p w14:paraId="253625C6" w14:textId="77777777"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This study establishes important baseline data on natural radioactivity levels in the historic monuments of </w:t>
      </w:r>
      <w:proofErr w:type="spellStart"/>
      <w:r>
        <w:rPr>
          <w:rFonts w:ascii="Times New Roman" w:eastAsia="Times New Roman" w:hAnsi="Times New Roman" w:cs="Times New Roman"/>
          <w:color w:val="222222"/>
          <w:sz w:val="24"/>
          <w:szCs w:val="24"/>
        </w:rPr>
        <w:t>Narnaul</w:t>
      </w:r>
      <w:proofErr w:type="spellEnd"/>
      <w:r>
        <w:rPr>
          <w:rFonts w:ascii="Times New Roman" w:eastAsia="Times New Roman" w:hAnsi="Times New Roman" w:cs="Times New Roman"/>
          <w:color w:val="222222"/>
          <w:sz w:val="24"/>
          <w:szCs w:val="24"/>
        </w:rPr>
        <w:t xml:space="preserve">, Haryana. Although the activity concentrations of radionuclides in Jal Mahal and </w:t>
      </w:r>
      <w:proofErr w:type="spellStart"/>
      <w:r>
        <w:rPr>
          <w:rFonts w:ascii="Times New Roman" w:eastAsia="Times New Roman" w:hAnsi="Times New Roman" w:cs="Times New Roman"/>
          <w:color w:val="222222"/>
          <w:sz w:val="24"/>
          <w:szCs w:val="24"/>
        </w:rPr>
        <w:t>Chor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Ghumbad</w:t>
      </w:r>
      <w:proofErr w:type="spellEnd"/>
      <w:r>
        <w:rPr>
          <w:rFonts w:ascii="Times New Roman" w:eastAsia="Times New Roman" w:hAnsi="Times New Roman" w:cs="Times New Roman"/>
          <w:color w:val="222222"/>
          <w:sz w:val="24"/>
          <w:szCs w:val="24"/>
        </w:rPr>
        <w:t xml:space="preserve"> were found to be higher than the global averag</w:t>
      </w:r>
      <w:r>
        <w:rPr>
          <w:rFonts w:ascii="Times New Roman" w:eastAsia="Times New Roman" w:hAnsi="Times New Roman" w:cs="Times New Roman"/>
          <w:color w:val="222222"/>
          <w:sz w:val="24"/>
          <w:szCs w:val="24"/>
        </w:rPr>
        <w:t xml:space="preserve">e, the calculated radiological indices—including Raeq, ADR, AED, ELCR, AUI, </w:t>
      </w:r>
      <w:proofErr w:type="spellStart"/>
      <w:r>
        <w:rPr>
          <w:rFonts w:ascii="Times New Roman" w:eastAsia="Times New Roman" w:hAnsi="Times New Roman" w:cs="Times New Roman"/>
          <w:color w:val="222222"/>
          <w:sz w:val="24"/>
          <w:szCs w:val="24"/>
        </w:rPr>
        <w:t>Iγ</w:t>
      </w:r>
      <w:proofErr w:type="spellEnd"/>
      <w:r>
        <w:rPr>
          <w:rFonts w:ascii="Times New Roman" w:eastAsia="Times New Roman" w:hAnsi="Times New Roman" w:cs="Times New Roman"/>
          <w:color w:val="222222"/>
          <w:sz w:val="24"/>
          <w:szCs w:val="24"/>
        </w:rPr>
        <w:t>, and AGDE—remained within internationally permissible limits. These results indicate that the monuments do not pose any immediate health risks to visitors or residents in the su</w:t>
      </w:r>
      <w:r>
        <w:rPr>
          <w:rFonts w:ascii="Times New Roman" w:eastAsia="Times New Roman" w:hAnsi="Times New Roman" w:cs="Times New Roman"/>
          <w:color w:val="222222"/>
          <w:sz w:val="24"/>
          <w:szCs w:val="24"/>
        </w:rPr>
        <w:t>rrounding areas.</w:t>
      </w:r>
    </w:p>
    <w:p w14:paraId="2953EA55" w14:textId="77777777" w:rsidR="00042BE4" w:rsidRDefault="00042BE4">
      <w:pPr>
        <w:jc w:val="both"/>
        <w:rPr>
          <w:rFonts w:ascii="Times New Roman" w:eastAsia="Times New Roman" w:hAnsi="Times New Roman" w:cs="Times New Roman"/>
          <w:color w:val="222222"/>
          <w:sz w:val="24"/>
          <w:szCs w:val="24"/>
        </w:rPr>
      </w:pPr>
    </w:p>
    <w:p w14:paraId="13518AB6" w14:textId="77777777"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significance of this work lies not only in its scientific contribution but also in its practical importance for society. Radiation is an invisible environmental factor that can affect human health, and therefore continuous monitoring </w:t>
      </w:r>
      <w:r>
        <w:rPr>
          <w:rFonts w:ascii="Times New Roman" w:eastAsia="Times New Roman" w:hAnsi="Times New Roman" w:cs="Times New Roman"/>
          <w:color w:val="222222"/>
          <w:sz w:val="24"/>
          <w:szCs w:val="24"/>
        </w:rPr>
        <w:t>of such sites is essential. By linking public safety with cultural preservation, this study underscores the value of responsible environmental management. Ultimately, the findings provide guidance for ensuring safe living conditions while safeguarding hist</w:t>
      </w:r>
      <w:r>
        <w:rPr>
          <w:rFonts w:ascii="Times New Roman" w:eastAsia="Times New Roman" w:hAnsi="Times New Roman" w:cs="Times New Roman"/>
          <w:color w:val="222222"/>
          <w:sz w:val="24"/>
          <w:szCs w:val="24"/>
        </w:rPr>
        <w:t>orical monuments for future generations.</w:t>
      </w:r>
    </w:p>
    <w:p w14:paraId="3A4314B3" w14:textId="77777777" w:rsidR="00042BE4" w:rsidRDefault="00042BE4">
      <w:pPr>
        <w:jc w:val="both"/>
        <w:rPr>
          <w:rFonts w:ascii="Times New Roman" w:eastAsia="Times New Roman" w:hAnsi="Times New Roman" w:cs="Times New Roman"/>
          <w:color w:val="222222"/>
          <w:sz w:val="24"/>
          <w:szCs w:val="24"/>
        </w:rPr>
      </w:pPr>
    </w:p>
    <w:p w14:paraId="3A7DF3CA"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14:paraId="0CFE6148" w14:textId="77777777" w:rsidR="00042BE4" w:rsidRDefault="000E4256">
      <w:pPr>
        <w:jc w:val="both"/>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Authors hereby declare that NO generative AI technologies such as Large Language Models (ChatGPT, COPILOT, etc) and text-to-image generators have been used during writing or ed</w:t>
      </w:r>
      <w:r>
        <w:rPr>
          <w:rFonts w:ascii="Times New Roman" w:eastAsia="Times New Roman" w:hAnsi="Times New Roman" w:cs="Times New Roman"/>
          <w:sz w:val="24"/>
          <w:szCs w:val="24"/>
        </w:rPr>
        <w:t xml:space="preserve">iting of this manuscript. </w:t>
      </w:r>
    </w:p>
    <w:p w14:paraId="15E6B2EB" w14:textId="77777777" w:rsidR="00042BE4" w:rsidRDefault="00042BE4">
      <w:pPr>
        <w:jc w:val="both"/>
        <w:rPr>
          <w:rFonts w:ascii="Times New Roman" w:eastAsia="Times New Roman" w:hAnsi="Times New Roman" w:cs="Times New Roman"/>
          <w:sz w:val="24"/>
          <w:szCs w:val="24"/>
        </w:rPr>
      </w:pPr>
    </w:p>
    <w:p w14:paraId="1D4F2BE2" w14:textId="77777777" w:rsidR="00042BE4" w:rsidRDefault="00042BE4">
      <w:pPr>
        <w:jc w:val="both"/>
        <w:rPr>
          <w:rFonts w:ascii="Times New Roman" w:eastAsia="Times New Roman" w:hAnsi="Times New Roman" w:cs="Times New Roman"/>
          <w:sz w:val="24"/>
          <w:szCs w:val="24"/>
        </w:rPr>
      </w:pPr>
      <w:bookmarkStart w:id="1" w:name="_GoBack"/>
      <w:bookmarkEnd w:id="1"/>
    </w:p>
    <w:p w14:paraId="015333F4"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COMPETING INTERESTS </w:t>
      </w:r>
    </w:p>
    <w:p w14:paraId="6FFCC99D" w14:textId="77777777"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Authors have declared that no competing interests exist. </w:t>
      </w:r>
    </w:p>
    <w:p w14:paraId="091BE9D7" w14:textId="77777777" w:rsidR="00AF1052" w:rsidRPr="00AF1052" w:rsidRDefault="00AF1052" w:rsidP="00AF1052">
      <w:pPr>
        <w:jc w:val="both"/>
        <w:rPr>
          <w:rFonts w:ascii="Times New Roman" w:eastAsia="Times New Roman" w:hAnsi="Times New Roman" w:cs="Times New Roman"/>
          <w:color w:val="222222"/>
          <w:sz w:val="24"/>
          <w:szCs w:val="24"/>
        </w:rPr>
      </w:pPr>
      <w:r w:rsidRPr="00AF1052">
        <w:rPr>
          <w:rFonts w:ascii="Times New Roman" w:eastAsia="Times New Roman" w:hAnsi="Times New Roman" w:cs="Times New Roman"/>
          <w:color w:val="222222"/>
          <w:sz w:val="24"/>
          <w:szCs w:val="24"/>
        </w:rPr>
        <w:t>COMPETING INTERESTS DISCLAIMER:</w:t>
      </w:r>
    </w:p>
    <w:p w14:paraId="4FCF9228" w14:textId="0EE69C33" w:rsidR="00042BE4" w:rsidRDefault="00AF1052" w:rsidP="00AF1052">
      <w:pPr>
        <w:jc w:val="both"/>
        <w:rPr>
          <w:rFonts w:ascii="Times New Roman" w:eastAsia="Times New Roman" w:hAnsi="Times New Roman" w:cs="Times New Roman"/>
          <w:color w:val="222222"/>
          <w:sz w:val="24"/>
          <w:szCs w:val="24"/>
        </w:rPr>
      </w:pPr>
      <w:r w:rsidRPr="00AF1052">
        <w:rPr>
          <w:rFonts w:ascii="Times New Roman" w:eastAsia="Times New Roman" w:hAnsi="Times New Roman" w:cs="Times New Roman"/>
          <w:color w:val="222222"/>
          <w:sz w:val="24"/>
          <w:szCs w:val="24"/>
        </w:rPr>
        <w:t>Authors have declared that they have no known competing financial interests OR non-financial interests OR personal relationships that could have appeared to influence the work reported in this paper.</w:t>
      </w:r>
    </w:p>
    <w:p w14:paraId="6926F327" w14:textId="77777777" w:rsidR="00042BE4" w:rsidRDefault="00042BE4">
      <w:pPr>
        <w:jc w:val="both"/>
        <w:rPr>
          <w:rFonts w:ascii="Times New Roman" w:eastAsia="Times New Roman" w:hAnsi="Times New Roman" w:cs="Times New Roman"/>
          <w:sz w:val="24"/>
          <w:szCs w:val="24"/>
        </w:rPr>
      </w:pPr>
    </w:p>
    <w:p w14:paraId="164B0B38"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7FA13F9"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Abbasi, A., Kurnaz,</w:t>
      </w:r>
      <w:r>
        <w:rPr>
          <w:rFonts w:ascii="Times New Roman" w:eastAsia="Times New Roman" w:hAnsi="Times New Roman" w:cs="Times New Roman"/>
          <w:sz w:val="24"/>
          <w:szCs w:val="24"/>
        </w:rPr>
        <w:t xml:space="preserve"> A., Turhan, Ş., &amp; </w:t>
      </w:r>
      <w:proofErr w:type="spellStart"/>
      <w:r>
        <w:rPr>
          <w:rFonts w:ascii="Times New Roman" w:eastAsia="Times New Roman" w:hAnsi="Times New Roman" w:cs="Times New Roman"/>
          <w:sz w:val="24"/>
          <w:szCs w:val="24"/>
        </w:rPr>
        <w:t>Mirekhtiary</w:t>
      </w:r>
      <w:proofErr w:type="spellEnd"/>
      <w:r>
        <w:rPr>
          <w:rFonts w:ascii="Times New Roman" w:eastAsia="Times New Roman" w:hAnsi="Times New Roman" w:cs="Times New Roman"/>
          <w:sz w:val="24"/>
          <w:szCs w:val="24"/>
        </w:rPr>
        <w:t>, F. (2020</w:t>
      </w:r>
      <w:proofErr w:type="gramStart"/>
      <w:r>
        <w:rPr>
          <w:rFonts w:ascii="Times New Roman" w:eastAsia="Times New Roman" w:hAnsi="Times New Roman" w:cs="Times New Roman"/>
          <w:sz w:val="24"/>
          <w:szCs w:val="24"/>
        </w:rPr>
        <w:t>).Radiation</w:t>
      </w:r>
      <w:proofErr w:type="gramEnd"/>
      <w:r>
        <w:rPr>
          <w:rFonts w:ascii="Times New Roman" w:eastAsia="Times New Roman" w:hAnsi="Times New Roman" w:cs="Times New Roman"/>
          <w:sz w:val="24"/>
          <w:szCs w:val="24"/>
        </w:rPr>
        <w:t xml:space="preserve"> hazards and natural radioactivity levels in surface soil samples from dwelling areas of North Cyprus. Journal of Radioanalytical and Nuclear Chemistry, 324(1), 203–210. </w:t>
      </w:r>
      <w:hyperlink r:id="rId35">
        <w:r w:rsidR="00042BE4">
          <w:rPr>
            <w:rFonts w:ascii="Times New Roman" w:eastAsia="Times New Roman" w:hAnsi="Times New Roman" w:cs="Times New Roman"/>
            <w:color w:val="0000FF"/>
            <w:sz w:val="24"/>
            <w:szCs w:val="24"/>
            <w:u w:val="single"/>
          </w:rPr>
          <w:t>https://doi.org/10.1007/s10967-020-07027-y</w:t>
        </w:r>
      </w:hyperlink>
    </w:p>
    <w:p w14:paraId="2FDD0CE0"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Al-</w:t>
      </w:r>
      <w:proofErr w:type="spellStart"/>
      <w:r>
        <w:rPr>
          <w:rFonts w:ascii="Times New Roman" w:eastAsia="Times New Roman" w:hAnsi="Times New Roman" w:cs="Times New Roman"/>
          <w:sz w:val="24"/>
          <w:szCs w:val="24"/>
        </w:rPr>
        <w:t>Khawlany</w:t>
      </w:r>
      <w:proofErr w:type="spellEnd"/>
      <w:r>
        <w:rPr>
          <w:rFonts w:ascii="Times New Roman" w:eastAsia="Times New Roman" w:hAnsi="Times New Roman" w:cs="Times New Roman"/>
          <w:sz w:val="24"/>
          <w:szCs w:val="24"/>
        </w:rPr>
        <w:t xml:space="preserve">, A. H., Khan, A., &amp; Pathan, J. (2018). Review on studies in natural background radiation. Radiation Protection and Environment, 41(4), 215–222. </w:t>
      </w:r>
      <w:hyperlink r:id="rId36">
        <w:r w:rsidR="00042BE4">
          <w:rPr>
            <w:rFonts w:ascii="Times New Roman" w:eastAsia="Times New Roman" w:hAnsi="Times New Roman" w:cs="Times New Roman"/>
            <w:color w:val="0000FF"/>
            <w:sz w:val="24"/>
            <w:szCs w:val="24"/>
            <w:u w:val="single"/>
          </w:rPr>
          <w:t>https://doi.org/10.4103/rpe.RPE_50_18</w:t>
        </w:r>
      </w:hyperlink>
    </w:p>
    <w:p w14:paraId="4E43C9E9"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Al-</w:t>
      </w:r>
      <w:proofErr w:type="spellStart"/>
      <w:r>
        <w:rPr>
          <w:rFonts w:ascii="Times New Roman" w:eastAsia="Times New Roman" w:hAnsi="Times New Roman" w:cs="Times New Roman"/>
          <w:sz w:val="24"/>
          <w:szCs w:val="24"/>
        </w:rPr>
        <w:t>khawlany</w:t>
      </w:r>
      <w:proofErr w:type="spellEnd"/>
      <w:r>
        <w:rPr>
          <w:rFonts w:ascii="Times New Roman" w:eastAsia="Times New Roman" w:hAnsi="Times New Roman" w:cs="Times New Roman"/>
          <w:sz w:val="24"/>
          <w:szCs w:val="24"/>
        </w:rPr>
        <w:t>, A. H., Khan, A., Pathan, J., &amp; Fatema, I. (2020). Assessment of potential radiological risks due to natural gamma radiations in some selected rock samples using γ-ray spect</w:t>
      </w:r>
      <w:r>
        <w:rPr>
          <w:rFonts w:ascii="Times New Roman" w:eastAsia="Times New Roman" w:hAnsi="Times New Roman" w:cs="Times New Roman"/>
          <w:sz w:val="24"/>
          <w:szCs w:val="24"/>
        </w:rPr>
        <w:t xml:space="preserve">rometry. Journal of Physics: Conference Series, 1644(1), 012004. </w:t>
      </w:r>
      <w:hyperlink r:id="rId37">
        <w:r w:rsidR="00042BE4">
          <w:rPr>
            <w:rFonts w:ascii="Times New Roman" w:eastAsia="Times New Roman" w:hAnsi="Times New Roman" w:cs="Times New Roman"/>
            <w:color w:val="0000FF"/>
            <w:sz w:val="24"/>
            <w:szCs w:val="24"/>
            <w:u w:val="single"/>
          </w:rPr>
          <w:t>https://doi.org/10.1088/1742-6596/1644/1/012004</w:t>
        </w:r>
      </w:hyperlink>
    </w:p>
    <w:p w14:paraId="19A5D600"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Alwaeli</w:t>
      </w:r>
      <w:proofErr w:type="spellEnd"/>
      <w:r>
        <w:rPr>
          <w:rFonts w:ascii="Times New Roman" w:eastAsia="Times New Roman" w:hAnsi="Times New Roman" w:cs="Times New Roman"/>
          <w:sz w:val="24"/>
          <w:szCs w:val="24"/>
        </w:rPr>
        <w:t>, M., &amp; Mannheim, V. (2022</w:t>
      </w:r>
      <w:proofErr w:type="gramStart"/>
      <w:r>
        <w:rPr>
          <w:rFonts w:ascii="Times New Roman" w:eastAsia="Times New Roman" w:hAnsi="Times New Roman" w:cs="Times New Roman"/>
          <w:sz w:val="24"/>
          <w:szCs w:val="24"/>
        </w:rPr>
        <w:t>).Investigation</w:t>
      </w:r>
      <w:proofErr w:type="gramEnd"/>
      <w:r>
        <w:rPr>
          <w:rFonts w:ascii="Times New Roman" w:eastAsia="Times New Roman" w:hAnsi="Times New Roman" w:cs="Times New Roman"/>
          <w:sz w:val="24"/>
          <w:szCs w:val="24"/>
        </w:rPr>
        <w:t xml:space="preserve"> into the current state o</w:t>
      </w:r>
      <w:r>
        <w:rPr>
          <w:rFonts w:ascii="Times New Roman" w:eastAsia="Times New Roman" w:hAnsi="Times New Roman" w:cs="Times New Roman"/>
          <w:sz w:val="24"/>
          <w:szCs w:val="24"/>
        </w:rPr>
        <w:t>f nuclear energy and nuclear waste management—</w:t>
      </w:r>
      <w:proofErr w:type="spellStart"/>
      <w:r>
        <w:rPr>
          <w:rFonts w:ascii="Times New Roman" w:eastAsia="Times New Roman" w:hAnsi="Times New Roman" w:cs="Times New Roman"/>
          <w:sz w:val="24"/>
          <w:szCs w:val="24"/>
        </w:rPr>
        <w:t>Astate</w:t>
      </w:r>
      <w:proofErr w:type="spellEnd"/>
      <w:r>
        <w:rPr>
          <w:rFonts w:ascii="Times New Roman" w:eastAsia="Times New Roman" w:hAnsi="Times New Roman" w:cs="Times New Roman"/>
          <w:sz w:val="24"/>
          <w:szCs w:val="24"/>
        </w:rPr>
        <w:t xml:space="preserve">-of-the-art </w:t>
      </w:r>
      <w:proofErr w:type="spellStart"/>
      <w:r>
        <w:rPr>
          <w:rFonts w:ascii="Times New Roman" w:eastAsia="Times New Roman" w:hAnsi="Times New Roman" w:cs="Times New Roman"/>
          <w:sz w:val="24"/>
          <w:szCs w:val="24"/>
        </w:rPr>
        <w:t>review.Energies</w:t>
      </w:r>
      <w:proofErr w:type="spellEnd"/>
      <w:r>
        <w:rPr>
          <w:rFonts w:ascii="Times New Roman" w:eastAsia="Times New Roman" w:hAnsi="Times New Roman" w:cs="Times New Roman"/>
          <w:sz w:val="24"/>
          <w:szCs w:val="24"/>
        </w:rPr>
        <w:t xml:space="preserve">, 15(11), 4275. </w:t>
      </w:r>
      <w:hyperlink r:id="rId38">
        <w:r w:rsidR="00042BE4">
          <w:rPr>
            <w:rFonts w:ascii="Times New Roman" w:eastAsia="Times New Roman" w:hAnsi="Times New Roman" w:cs="Times New Roman"/>
            <w:color w:val="0000FF"/>
            <w:sz w:val="24"/>
            <w:szCs w:val="24"/>
            <w:u w:val="single"/>
          </w:rPr>
          <w:t>https://doi.org/10.3390/en15114275</w:t>
        </w:r>
      </w:hyperlink>
    </w:p>
    <w:p w14:paraId="0A0F7620"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5.Bossew, </w:t>
      </w:r>
      <w:proofErr w:type="spellStart"/>
      <w:proofErr w:type="gramStart"/>
      <w:r>
        <w:rPr>
          <w:rFonts w:ascii="Times New Roman" w:eastAsia="Times New Roman" w:hAnsi="Times New Roman" w:cs="Times New Roman"/>
          <w:sz w:val="24"/>
          <w:szCs w:val="24"/>
        </w:rPr>
        <w:t>P.,Cinelli</w:t>
      </w:r>
      <w:proofErr w:type="spellEnd"/>
      <w:proofErr w:type="gramEnd"/>
      <w:r>
        <w:rPr>
          <w:rFonts w:ascii="Times New Roman" w:eastAsia="Times New Roman" w:hAnsi="Times New Roman" w:cs="Times New Roman"/>
          <w:sz w:val="24"/>
          <w:szCs w:val="24"/>
        </w:rPr>
        <w:t xml:space="preserve">, G., Hernández-Ceballos, M., </w:t>
      </w:r>
      <w:proofErr w:type="spellStart"/>
      <w:r>
        <w:rPr>
          <w:rFonts w:ascii="Times New Roman" w:eastAsia="Times New Roman" w:hAnsi="Times New Roman" w:cs="Times New Roman"/>
          <w:sz w:val="24"/>
          <w:szCs w:val="24"/>
        </w:rPr>
        <w:t>Cernohlawek</w:t>
      </w:r>
      <w:proofErr w:type="spellEnd"/>
      <w:r>
        <w:rPr>
          <w:rFonts w:ascii="Times New Roman" w:eastAsia="Times New Roman" w:hAnsi="Times New Roman" w:cs="Times New Roman"/>
          <w:sz w:val="24"/>
          <w:szCs w:val="24"/>
        </w:rPr>
        <w:t>, N., Grube</w:t>
      </w:r>
      <w:r>
        <w:rPr>
          <w:rFonts w:ascii="Times New Roman" w:eastAsia="Times New Roman" w:hAnsi="Times New Roman" w:cs="Times New Roman"/>
          <w:sz w:val="24"/>
          <w:szCs w:val="24"/>
        </w:rPr>
        <w:t xml:space="preserve">r, V., </w:t>
      </w:r>
      <w:proofErr w:type="spellStart"/>
      <w:r>
        <w:rPr>
          <w:rFonts w:ascii="Times New Roman" w:eastAsia="Times New Roman" w:hAnsi="Times New Roman" w:cs="Times New Roman"/>
          <w:sz w:val="24"/>
          <w:szCs w:val="24"/>
        </w:rPr>
        <w:t>Dehandschutter</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Menneson</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Bleher</w:t>
      </w:r>
      <w:proofErr w:type="spellEnd"/>
      <w:r>
        <w:rPr>
          <w:rFonts w:ascii="Times New Roman" w:eastAsia="Times New Roman" w:hAnsi="Times New Roman" w:cs="Times New Roman"/>
          <w:sz w:val="24"/>
          <w:szCs w:val="24"/>
        </w:rPr>
        <w:t xml:space="preserve">, M., Stöhlker, U., Hellmann, I., &amp; et al. (2017).Estimating the terrestrial gamma dose rate by decomposition of the ambient dose equivalent rate. Journal of Environmental Radioactivity, 166, 296–308. </w:t>
      </w:r>
      <w:hyperlink r:id="rId39">
        <w:r w:rsidR="00042BE4">
          <w:rPr>
            <w:rFonts w:ascii="Times New Roman" w:eastAsia="Times New Roman" w:hAnsi="Times New Roman" w:cs="Times New Roman"/>
            <w:color w:val="0000FF"/>
            <w:sz w:val="24"/>
            <w:szCs w:val="24"/>
            <w:u w:val="single"/>
          </w:rPr>
          <w:t>https://doi.org/10.1016/j.jenvrad.2016.05.015</w:t>
        </w:r>
      </w:hyperlink>
    </w:p>
    <w:p w14:paraId="0E335EFA"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Darwish, D. A. E., Abul-Nasr, K. T. M., &amp; El-</w:t>
      </w:r>
      <w:proofErr w:type="spellStart"/>
      <w:r>
        <w:rPr>
          <w:rFonts w:ascii="Times New Roman" w:eastAsia="Times New Roman" w:hAnsi="Times New Roman" w:cs="Times New Roman"/>
          <w:sz w:val="24"/>
          <w:szCs w:val="24"/>
        </w:rPr>
        <w:t>Khayatt</w:t>
      </w:r>
      <w:proofErr w:type="spellEnd"/>
      <w:r>
        <w:rPr>
          <w:rFonts w:ascii="Times New Roman" w:eastAsia="Times New Roman" w:hAnsi="Times New Roman" w:cs="Times New Roman"/>
          <w:sz w:val="24"/>
          <w:szCs w:val="24"/>
        </w:rPr>
        <w:t>, A. M. (2015). Assessment of natural radioactivity and its associated radiological hazards and do</w:t>
      </w:r>
      <w:r>
        <w:rPr>
          <w:rFonts w:ascii="Times New Roman" w:eastAsia="Times New Roman" w:hAnsi="Times New Roman" w:cs="Times New Roman"/>
          <w:sz w:val="24"/>
          <w:szCs w:val="24"/>
        </w:rPr>
        <w:t xml:space="preserve">se parameters in granite samples from South Sinai, Egypt. Journal of Radiation Research and Applied Sciences, 8(1), 17–25. </w:t>
      </w:r>
      <w:hyperlink r:id="rId40">
        <w:r w:rsidR="00042BE4">
          <w:rPr>
            <w:rFonts w:ascii="Times New Roman" w:eastAsia="Times New Roman" w:hAnsi="Times New Roman" w:cs="Times New Roman"/>
            <w:color w:val="0000FF"/>
            <w:sz w:val="24"/>
            <w:szCs w:val="24"/>
            <w:u w:val="single"/>
          </w:rPr>
          <w:t>https://doi.org/10.1016/j.jrras.2014.10.002</w:t>
        </w:r>
      </w:hyperlink>
    </w:p>
    <w:p w14:paraId="63CF5CE2"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Delacroix, D., Guerre, </w:t>
      </w:r>
      <w:r>
        <w:rPr>
          <w:rFonts w:ascii="Times New Roman" w:eastAsia="Times New Roman" w:hAnsi="Times New Roman" w:cs="Times New Roman"/>
          <w:sz w:val="24"/>
          <w:szCs w:val="24"/>
        </w:rPr>
        <w:t>J. P., Leblanc, P., &amp; Hickman, C. (2002</w:t>
      </w:r>
      <w:proofErr w:type="gramStart"/>
      <w:r>
        <w:rPr>
          <w:rFonts w:ascii="Times New Roman" w:eastAsia="Times New Roman" w:hAnsi="Times New Roman" w:cs="Times New Roman"/>
          <w:sz w:val="24"/>
          <w:szCs w:val="24"/>
        </w:rPr>
        <w:t>).Radionuclide</w:t>
      </w:r>
      <w:proofErr w:type="gramEnd"/>
      <w:r>
        <w:rPr>
          <w:rFonts w:ascii="Times New Roman" w:eastAsia="Times New Roman" w:hAnsi="Times New Roman" w:cs="Times New Roman"/>
          <w:sz w:val="24"/>
          <w:szCs w:val="24"/>
        </w:rPr>
        <w:t xml:space="preserve"> and radiation protection data handbook 2002. Radiation Protection Dosimetry, 98(1), 1–168. </w:t>
      </w:r>
      <w:hyperlink r:id="rId41">
        <w:r w:rsidR="00042BE4">
          <w:rPr>
            <w:rFonts w:ascii="Times New Roman" w:eastAsia="Times New Roman" w:hAnsi="Times New Roman" w:cs="Times New Roman"/>
            <w:color w:val="0000FF"/>
            <w:sz w:val="24"/>
            <w:szCs w:val="24"/>
            <w:u w:val="single"/>
          </w:rPr>
          <w:t>https://doi.org/10.1093/oxfordjournals.rpd.a006700</w:t>
        </w:r>
      </w:hyperlink>
    </w:p>
    <w:p w14:paraId="252B2F8E"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Egidi, P. (1997</w:t>
      </w:r>
      <w:proofErr w:type="gramStart"/>
      <w:r>
        <w:rPr>
          <w:rFonts w:ascii="Times New Roman" w:eastAsia="Times New Roman" w:hAnsi="Times New Roman" w:cs="Times New Roman"/>
          <w:sz w:val="24"/>
          <w:szCs w:val="24"/>
        </w:rPr>
        <w:t>).Introduction</w:t>
      </w:r>
      <w:proofErr w:type="gramEnd"/>
      <w:r>
        <w:rPr>
          <w:rFonts w:ascii="Times New Roman" w:eastAsia="Times New Roman" w:hAnsi="Times New Roman" w:cs="Times New Roman"/>
          <w:sz w:val="24"/>
          <w:szCs w:val="24"/>
        </w:rPr>
        <w:t xml:space="preserve"> to naturally occurring radioactive material (Technical Report).Oak Ridge National Laboratory.</w:t>
      </w:r>
    </w:p>
    <w:p w14:paraId="04CC322E"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Johansson, T. B., &amp; Steen, P. (2022</w:t>
      </w:r>
      <w:proofErr w:type="gramStart"/>
      <w:r>
        <w:rPr>
          <w:rFonts w:ascii="Times New Roman" w:eastAsia="Times New Roman" w:hAnsi="Times New Roman" w:cs="Times New Roman"/>
          <w:sz w:val="24"/>
          <w:szCs w:val="24"/>
        </w:rPr>
        <w:t>).Radioactive</w:t>
      </w:r>
      <w:proofErr w:type="gramEnd"/>
      <w:r>
        <w:rPr>
          <w:rFonts w:ascii="Times New Roman" w:eastAsia="Times New Roman" w:hAnsi="Times New Roman" w:cs="Times New Roman"/>
          <w:sz w:val="24"/>
          <w:szCs w:val="24"/>
        </w:rPr>
        <w:t xml:space="preserve"> waste from nuclear power plants. University of California Press.</w:t>
      </w:r>
    </w:p>
    <w:p w14:paraId="28ADCF27"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Kant, K., Gupta, R., Kumari, R., Gupta, N., &amp; Garg, M. (2015</w:t>
      </w:r>
      <w:proofErr w:type="gramStart"/>
      <w:r>
        <w:rPr>
          <w:rFonts w:ascii="Times New Roman" w:eastAsia="Times New Roman" w:hAnsi="Times New Roman" w:cs="Times New Roman"/>
          <w:sz w:val="24"/>
          <w:szCs w:val="24"/>
        </w:rPr>
        <w:t>).Natural</w:t>
      </w:r>
      <w:proofErr w:type="gramEnd"/>
      <w:r>
        <w:rPr>
          <w:rFonts w:ascii="Times New Roman" w:eastAsia="Times New Roman" w:hAnsi="Times New Roman" w:cs="Times New Roman"/>
          <w:sz w:val="24"/>
          <w:szCs w:val="24"/>
        </w:rPr>
        <w:t xml:space="preserve"> radioactivity in Indian vegetation samples. International Journal of Radiation Research, 13(2), 143–150.</w:t>
      </w:r>
    </w:p>
    <w:p w14:paraId="2EF0C6B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Khan, H. A. A., &amp; </w:t>
      </w:r>
      <w:proofErr w:type="spellStart"/>
      <w:r>
        <w:rPr>
          <w:rFonts w:ascii="Times New Roman" w:eastAsia="Times New Roman" w:hAnsi="Times New Roman" w:cs="Times New Roman"/>
          <w:sz w:val="24"/>
          <w:szCs w:val="24"/>
        </w:rPr>
        <w:t>Alshukri</w:t>
      </w:r>
      <w:proofErr w:type="spellEnd"/>
      <w:r>
        <w:rPr>
          <w:rFonts w:ascii="Times New Roman" w:eastAsia="Times New Roman" w:hAnsi="Times New Roman" w:cs="Times New Roman"/>
          <w:sz w:val="24"/>
          <w:szCs w:val="24"/>
        </w:rPr>
        <w:t>, A. S. (2020). Evaluation of environmental and</w:t>
      </w:r>
      <w:r>
        <w:rPr>
          <w:rFonts w:ascii="Times New Roman" w:eastAsia="Times New Roman" w:hAnsi="Times New Roman" w:cs="Times New Roman"/>
          <w:sz w:val="24"/>
          <w:szCs w:val="24"/>
        </w:rPr>
        <w:t xml:space="preserve"> health risks related with the management of medical waste in Al Najaf City Journal of Engineering Science and Technology, 15(5), 4383–4391.</w:t>
      </w:r>
    </w:p>
    <w:p w14:paraId="660503A5"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12.Kovler, K., Friedmann, H., Michalik, B., </w:t>
      </w:r>
      <w:proofErr w:type="spellStart"/>
      <w:r>
        <w:rPr>
          <w:rFonts w:ascii="Times New Roman" w:eastAsia="Times New Roman" w:hAnsi="Times New Roman" w:cs="Times New Roman"/>
          <w:sz w:val="24"/>
          <w:szCs w:val="24"/>
        </w:rPr>
        <w:t>Schroeyers</w:t>
      </w:r>
      <w:proofErr w:type="spellEnd"/>
      <w:r>
        <w:rPr>
          <w:rFonts w:ascii="Times New Roman" w:eastAsia="Times New Roman" w:hAnsi="Times New Roman" w:cs="Times New Roman"/>
          <w:sz w:val="24"/>
          <w:szCs w:val="24"/>
        </w:rPr>
        <w:t xml:space="preserve">, W., Tsapalov, A., Antropov, S., </w:t>
      </w:r>
      <w:proofErr w:type="spellStart"/>
      <w:r>
        <w:rPr>
          <w:rFonts w:ascii="Times New Roman" w:eastAsia="Times New Roman" w:hAnsi="Times New Roman" w:cs="Times New Roman"/>
          <w:sz w:val="24"/>
          <w:szCs w:val="24"/>
        </w:rPr>
        <w:t>Bituh</w:t>
      </w:r>
      <w:proofErr w:type="spellEnd"/>
      <w:r>
        <w:rPr>
          <w:rFonts w:ascii="Times New Roman" w:eastAsia="Times New Roman" w:hAnsi="Times New Roman" w:cs="Times New Roman"/>
          <w:sz w:val="24"/>
          <w:szCs w:val="24"/>
        </w:rPr>
        <w:t>, T., &amp; Nicolaides, D.</w:t>
      </w:r>
      <w:r>
        <w:rPr>
          <w:rFonts w:ascii="Times New Roman" w:eastAsia="Times New Roman" w:hAnsi="Times New Roman" w:cs="Times New Roman"/>
          <w:sz w:val="24"/>
          <w:szCs w:val="24"/>
        </w:rPr>
        <w:t xml:space="preserve"> (2017</w:t>
      </w:r>
      <w:proofErr w:type="gramStart"/>
      <w:r>
        <w:rPr>
          <w:rFonts w:ascii="Times New Roman" w:eastAsia="Times New Roman" w:hAnsi="Times New Roman" w:cs="Times New Roman"/>
          <w:sz w:val="24"/>
          <w:szCs w:val="24"/>
        </w:rPr>
        <w:t>).Basic</w:t>
      </w:r>
      <w:proofErr w:type="gramEnd"/>
      <w:r>
        <w:rPr>
          <w:rFonts w:ascii="Times New Roman" w:eastAsia="Times New Roman" w:hAnsi="Times New Roman" w:cs="Times New Roman"/>
          <w:sz w:val="24"/>
          <w:szCs w:val="24"/>
        </w:rPr>
        <w:t xml:space="preserve"> aspects of natural radioactivity. In W. </w:t>
      </w:r>
      <w:proofErr w:type="spellStart"/>
      <w:r>
        <w:rPr>
          <w:rFonts w:ascii="Times New Roman" w:eastAsia="Times New Roman" w:hAnsi="Times New Roman" w:cs="Times New Roman"/>
          <w:sz w:val="24"/>
          <w:szCs w:val="24"/>
        </w:rPr>
        <w:t>Schroeyers</w:t>
      </w:r>
      <w:proofErr w:type="spellEnd"/>
      <w:r>
        <w:rPr>
          <w:rFonts w:ascii="Times New Roman" w:eastAsia="Times New Roman" w:hAnsi="Times New Roman" w:cs="Times New Roman"/>
          <w:sz w:val="24"/>
          <w:szCs w:val="24"/>
        </w:rPr>
        <w:t xml:space="preserve"> (Ed.), Naturally occurring radioactive materials in construction (pp. 13–36</w:t>
      </w:r>
      <w:proofErr w:type="gramStart"/>
      <w:r>
        <w:rPr>
          <w:rFonts w:ascii="Times New Roman" w:eastAsia="Times New Roman" w:hAnsi="Times New Roman" w:cs="Times New Roman"/>
          <w:sz w:val="24"/>
          <w:szCs w:val="24"/>
        </w:rPr>
        <w:t>).Elsevier</w:t>
      </w:r>
      <w:proofErr w:type="gramEnd"/>
      <w:r>
        <w:rPr>
          <w:rFonts w:ascii="Times New Roman" w:eastAsia="Times New Roman" w:hAnsi="Times New Roman" w:cs="Times New Roman"/>
          <w:sz w:val="24"/>
          <w:szCs w:val="24"/>
        </w:rPr>
        <w:t xml:space="preserve">. </w:t>
      </w:r>
      <w:hyperlink r:id="rId42">
        <w:r w:rsidR="00042BE4">
          <w:rPr>
            <w:rFonts w:ascii="Times New Roman" w:eastAsia="Times New Roman" w:hAnsi="Times New Roman" w:cs="Times New Roman"/>
            <w:color w:val="0000FF"/>
            <w:sz w:val="24"/>
            <w:szCs w:val="24"/>
            <w:u w:val="single"/>
          </w:rPr>
          <w:t>https://doi.org/10.1016/B978-0-08-102009-8.00002-6</w:t>
        </w:r>
      </w:hyperlink>
    </w:p>
    <w:p w14:paraId="6969B99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13.Lolila, F., &amp; </w:t>
      </w:r>
      <w:proofErr w:type="spellStart"/>
      <w:r>
        <w:rPr>
          <w:rFonts w:ascii="Times New Roman" w:eastAsia="Times New Roman" w:hAnsi="Times New Roman" w:cs="Times New Roman"/>
          <w:sz w:val="24"/>
          <w:szCs w:val="24"/>
        </w:rPr>
        <w:t>Mazunga</w:t>
      </w:r>
      <w:proofErr w:type="spellEnd"/>
      <w:r>
        <w:rPr>
          <w:rFonts w:ascii="Times New Roman" w:eastAsia="Times New Roman" w:hAnsi="Times New Roman" w:cs="Times New Roman"/>
          <w:sz w:val="24"/>
          <w:szCs w:val="24"/>
        </w:rPr>
        <w:t xml:space="preserve">, M. S. (2023). Measurements of natural radioactivity and evaluation of radiation hazard indices in soils around the Manyoni uranium deposit in </w:t>
      </w:r>
      <w:proofErr w:type="spellStart"/>
      <w:r>
        <w:rPr>
          <w:rFonts w:ascii="Times New Roman" w:eastAsia="Times New Roman" w:hAnsi="Times New Roman" w:cs="Times New Roman"/>
          <w:sz w:val="24"/>
          <w:szCs w:val="24"/>
        </w:rPr>
        <w:t>Tanzania.Journal</w:t>
      </w:r>
      <w:proofErr w:type="spellEnd"/>
      <w:r>
        <w:rPr>
          <w:rFonts w:ascii="Times New Roman" w:eastAsia="Times New Roman" w:hAnsi="Times New Roman" w:cs="Times New Roman"/>
          <w:sz w:val="24"/>
          <w:szCs w:val="24"/>
        </w:rPr>
        <w:t xml:space="preserve"> of Radiation Research and Applied Sciences, 16(1),100524. </w:t>
      </w:r>
      <w:hyperlink r:id="rId43">
        <w:r w:rsidR="00042BE4">
          <w:rPr>
            <w:rFonts w:ascii="Times New Roman" w:eastAsia="Times New Roman" w:hAnsi="Times New Roman" w:cs="Times New Roman"/>
            <w:color w:val="0000FF"/>
            <w:sz w:val="24"/>
            <w:szCs w:val="24"/>
            <w:u w:val="single"/>
          </w:rPr>
          <w:t>https://doi.org/10.1016/j.jrras.2023.100524</w:t>
        </w:r>
      </w:hyperlink>
    </w:p>
    <w:p w14:paraId="1802B2B9"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14.Malikova, I., </w:t>
      </w:r>
      <w:proofErr w:type="spellStart"/>
      <w:r>
        <w:rPr>
          <w:rFonts w:ascii="Times New Roman" w:eastAsia="Times New Roman" w:hAnsi="Times New Roman" w:cs="Times New Roman"/>
          <w:sz w:val="24"/>
          <w:szCs w:val="24"/>
        </w:rPr>
        <w:t>Strakhovenko</w:t>
      </w:r>
      <w:proofErr w:type="spellEnd"/>
      <w:r>
        <w:rPr>
          <w:rFonts w:ascii="Times New Roman" w:eastAsia="Times New Roman" w:hAnsi="Times New Roman" w:cs="Times New Roman"/>
          <w:sz w:val="24"/>
          <w:szCs w:val="24"/>
        </w:rPr>
        <w:t>, V., &amp; Ustinov, M. (2020</w:t>
      </w:r>
      <w:proofErr w:type="gramStart"/>
      <w:r>
        <w:rPr>
          <w:rFonts w:ascii="Times New Roman" w:eastAsia="Times New Roman" w:hAnsi="Times New Roman" w:cs="Times New Roman"/>
          <w:sz w:val="24"/>
          <w:szCs w:val="24"/>
        </w:rPr>
        <w:t>).Uranium</w:t>
      </w:r>
      <w:proofErr w:type="gramEnd"/>
      <w:r>
        <w:rPr>
          <w:rFonts w:ascii="Times New Roman" w:eastAsia="Times New Roman" w:hAnsi="Times New Roman" w:cs="Times New Roman"/>
          <w:sz w:val="24"/>
          <w:szCs w:val="24"/>
        </w:rPr>
        <w:t xml:space="preserve"> and thorium contents in so</w:t>
      </w:r>
      <w:r>
        <w:rPr>
          <w:rFonts w:ascii="Times New Roman" w:eastAsia="Times New Roman" w:hAnsi="Times New Roman" w:cs="Times New Roman"/>
          <w:sz w:val="24"/>
          <w:szCs w:val="24"/>
        </w:rPr>
        <w:t xml:space="preserve">ils and bottom sediments of Lake </w:t>
      </w:r>
      <w:proofErr w:type="spellStart"/>
      <w:r>
        <w:rPr>
          <w:rFonts w:ascii="Times New Roman" w:eastAsia="Times New Roman" w:hAnsi="Times New Roman" w:cs="Times New Roman"/>
          <w:sz w:val="24"/>
          <w:szCs w:val="24"/>
        </w:rPr>
        <w:t>Bolshoye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Yarovoye</w:t>
      </w:r>
      <w:proofErr w:type="spellEnd"/>
      <w:r>
        <w:rPr>
          <w:rFonts w:ascii="Times New Roman" w:eastAsia="Times New Roman" w:hAnsi="Times New Roman" w:cs="Times New Roman"/>
          <w:sz w:val="24"/>
          <w:szCs w:val="24"/>
        </w:rPr>
        <w:t xml:space="preserve">, western Siberia. Journal of Environmental Radioactivity,211, 106048. </w:t>
      </w:r>
      <w:hyperlink r:id="rId44">
        <w:r w:rsidR="00042BE4">
          <w:rPr>
            <w:rFonts w:ascii="Times New Roman" w:eastAsia="Times New Roman" w:hAnsi="Times New Roman" w:cs="Times New Roman"/>
            <w:color w:val="0000FF"/>
            <w:sz w:val="24"/>
            <w:szCs w:val="24"/>
            <w:u w:val="single"/>
          </w:rPr>
          <w:t>https://doi.org/10.1016/j.jenvrad.2019.106048</w:t>
        </w:r>
      </w:hyperlink>
    </w:p>
    <w:p w14:paraId="3A8F3242"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proofErr w:type="gramStart"/>
      <w:r>
        <w:rPr>
          <w:rFonts w:ascii="Times New Roman" w:eastAsia="Times New Roman" w:hAnsi="Times New Roman" w:cs="Times New Roman"/>
          <w:sz w:val="24"/>
          <w:szCs w:val="24"/>
        </w:rPr>
        <w:t>Martin,J</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 (2006).</w:t>
      </w:r>
      <w:r>
        <w:rPr>
          <w:rFonts w:ascii="Times New Roman" w:eastAsia="Times New Roman" w:hAnsi="Times New Roman" w:cs="Times New Roman"/>
          <w:sz w:val="24"/>
          <w:szCs w:val="24"/>
        </w:rPr>
        <w:t xml:space="preserve"> Physics for radiation protection: A </w:t>
      </w:r>
      <w:proofErr w:type="spellStart"/>
      <w:proofErr w:type="gramStart"/>
      <w:r>
        <w:rPr>
          <w:rFonts w:ascii="Times New Roman" w:eastAsia="Times New Roman" w:hAnsi="Times New Roman" w:cs="Times New Roman"/>
          <w:sz w:val="24"/>
          <w:szCs w:val="24"/>
        </w:rPr>
        <w:t>handbook.John</w:t>
      </w:r>
      <w:proofErr w:type="spellEnd"/>
      <w:proofErr w:type="gramEnd"/>
      <w:r>
        <w:rPr>
          <w:rFonts w:ascii="Times New Roman" w:eastAsia="Times New Roman" w:hAnsi="Times New Roman" w:cs="Times New Roman"/>
          <w:sz w:val="24"/>
          <w:szCs w:val="24"/>
        </w:rPr>
        <w:t xml:space="preserve"> Wiley &amp; Sons.</w:t>
      </w:r>
    </w:p>
    <w:p w14:paraId="2287D9A8"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roofErr w:type="spellStart"/>
      <w:proofErr w:type="gramStart"/>
      <w:r>
        <w:rPr>
          <w:rFonts w:ascii="Times New Roman" w:eastAsia="Times New Roman" w:hAnsi="Times New Roman" w:cs="Times New Roman"/>
          <w:sz w:val="24"/>
          <w:szCs w:val="24"/>
        </w:rPr>
        <w:t>Menon,S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&amp; Kumar, L. S. V. (2019). Weaponizing radioactive medical waste—The looming threat. International Journal of Nuclear Security,5(1),4. </w:t>
      </w:r>
      <w:hyperlink r:id="rId45">
        <w:r w:rsidR="00042BE4">
          <w:rPr>
            <w:rFonts w:ascii="Times New Roman" w:eastAsia="Times New Roman" w:hAnsi="Times New Roman" w:cs="Times New Roman"/>
            <w:color w:val="0000FF"/>
            <w:sz w:val="24"/>
            <w:szCs w:val="24"/>
            <w:u w:val="single"/>
          </w:rPr>
          <w:t>https://doi.org/10.7290/ijns050104</w:t>
        </w:r>
      </w:hyperlink>
    </w:p>
    <w:p w14:paraId="50B5C70A"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17.Missimer, T. M., </w:t>
      </w:r>
      <w:proofErr w:type="spellStart"/>
      <w:r>
        <w:rPr>
          <w:rFonts w:ascii="Times New Roman" w:eastAsia="Times New Roman" w:hAnsi="Times New Roman" w:cs="Times New Roman"/>
          <w:sz w:val="24"/>
          <w:szCs w:val="24"/>
        </w:rPr>
        <w:t>Teaf</w:t>
      </w:r>
      <w:proofErr w:type="spellEnd"/>
      <w:r>
        <w:rPr>
          <w:rFonts w:ascii="Times New Roman" w:eastAsia="Times New Roman" w:hAnsi="Times New Roman" w:cs="Times New Roman"/>
          <w:sz w:val="24"/>
          <w:szCs w:val="24"/>
        </w:rPr>
        <w:t>, C., Maliva, R. G., Danley-Thomson, A., Covert, D., &amp; Hegy, M. (2019</w:t>
      </w:r>
      <w:proofErr w:type="gramStart"/>
      <w:r>
        <w:rPr>
          <w:rFonts w:ascii="Times New Roman" w:eastAsia="Times New Roman" w:hAnsi="Times New Roman" w:cs="Times New Roman"/>
          <w:sz w:val="24"/>
          <w:szCs w:val="24"/>
        </w:rPr>
        <w:t>).Natural</w:t>
      </w:r>
      <w:proofErr w:type="gramEnd"/>
      <w:r>
        <w:rPr>
          <w:rFonts w:ascii="Times New Roman" w:eastAsia="Times New Roman" w:hAnsi="Times New Roman" w:cs="Times New Roman"/>
          <w:sz w:val="24"/>
          <w:szCs w:val="24"/>
        </w:rPr>
        <w:t xml:space="preserve"> radiation in the rocks, soils, and groundwater of Southern Florida with a discussion on potential health </w:t>
      </w:r>
      <w:proofErr w:type="spellStart"/>
      <w:r>
        <w:rPr>
          <w:rFonts w:ascii="Times New Roman" w:eastAsia="Times New Roman" w:hAnsi="Times New Roman" w:cs="Times New Roman"/>
          <w:sz w:val="24"/>
          <w:szCs w:val="24"/>
        </w:rPr>
        <w:t>im</w:t>
      </w:r>
      <w:r>
        <w:rPr>
          <w:rFonts w:ascii="Times New Roman" w:eastAsia="Times New Roman" w:hAnsi="Times New Roman" w:cs="Times New Roman"/>
          <w:sz w:val="24"/>
          <w:szCs w:val="24"/>
        </w:rPr>
        <w:t>pacts.International</w:t>
      </w:r>
      <w:proofErr w:type="spellEnd"/>
      <w:r>
        <w:rPr>
          <w:rFonts w:ascii="Times New Roman" w:eastAsia="Times New Roman" w:hAnsi="Times New Roman" w:cs="Times New Roman"/>
          <w:sz w:val="24"/>
          <w:szCs w:val="24"/>
        </w:rPr>
        <w:t xml:space="preserve"> Journal of Environmental Research and Public Health, 16(11), 1793. </w:t>
      </w:r>
      <w:hyperlink r:id="rId46">
        <w:r w:rsidR="00042BE4">
          <w:rPr>
            <w:rFonts w:ascii="Times New Roman" w:eastAsia="Times New Roman" w:hAnsi="Times New Roman" w:cs="Times New Roman"/>
            <w:color w:val="0000FF"/>
            <w:sz w:val="24"/>
            <w:szCs w:val="24"/>
            <w:u w:val="single"/>
          </w:rPr>
          <w:t>https://doi.org/10.3390/ijerph16111793</w:t>
        </w:r>
      </w:hyperlink>
    </w:p>
    <w:p w14:paraId="68A1AFA2"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18.Musa, I. S. M. (2019</w:t>
      </w:r>
      <w:proofErr w:type="gramStart"/>
      <w:r>
        <w:rPr>
          <w:rFonts w:ascii="Times New Roman" w:eastAsia="Times New Roman" w:hAnsi="Times New Roman" w:cs="Times New Roman"/>
          <w:sz w:val="24"/>
          <w:szCs w:val="24"/>
        </w:rPr>
        <w:t>).Environmental</w:t>
      </w:r>
      <w:proofErr w:type="gramEnd"/>
      <w:r>
        <w:rPr>
          <w:rFonts w:ascii="Times New Roman" w:eastAsia="Times New Roman" w:hAnsi="Times New Roman" w:cs="Times New Roman"/>
          <w:sz w:val="24"/>
          <w:szCs w:val="24"/>
        </w:rPr>
        <w:t xml:space="preserve"> radiation: Natural radioactivity </w:t>
      </w:r>
      <w:r>
        <w:rPr>
          <w:rFonts w:ascii="Times New Roman" w:eastAsia="Times New Roman" w:hAnsi="Times New Roman" w:cs="Times New Roman"/>
          <w:sz w:val="24"/>
          <w:szCs w:val="24"/>
        </w:rPr>
        <w:t>monitoring. In M. H. Abdel-</w:t>
      </w:r>
      <w:proofErr w:type="gramStart"/>
      <w:r>
        <w:rPr>
          <w:rFonts w:ascii="Times New Roman" w:eastAsia="Times New Roman" w:hAnsi="Times New Roman" w:cs="Times New Roman"/>
          <w:sz w:val="24"/>
          <w:szCs w:val="24"/>
        </w:rPr>
        <w:t>Dayem(</w:t>
      </w:r>
      <w:proofErr w:type="gramEnd"/>
      <w:r>
        <w:rPr>
          <w:rFonts w:ascii="Times New Roman" w:eastAsia="Times New Roman" w:hAnsi="Times New Roman" w:cs="Times New Roman"/>
          <w:sz w:val="24"/>
          <w:szCs w:val="24"/>
        </w:rPr>
        <w:t xml:space="preserve">Ed.), Ionizing and non-ionizing </w:t>
      </w:r>
      <w:proofErr w:type="spellStart"/>
      <w:r>
        <w:rPr>
          <w:rFonts w:ascii="Times New Roman" w:eastAsia="Times New Roman" w:hAnsi="Times New Roman" w:cs="Times New Roman"/>
          <w:sz w:val="24"/>
          <w:szCs w:val="24"/>
        </w:rPr>
        <w:t>radiation.IntechOpen</w:t>
      </w:r>
      <w:proofErr w:type="spellEnd"/>
      <w:r>
        <w:rPr>
          <w:rFonts w:ascii="Times New Roman" w:eastAsia="Times New Roman" w:hAnsi="Times New Roman" w:cs="Times New Roman"/>
          <w:sz w:val="24"/>
          <w:szCs w:val="24"/>
        </w:rPr>
        <w:t xml:space="preserve">. </w:t>
      </w:r>
      <w:hyperlink r:id="rId47">
        <w:r w:rsidR="00042BE4">
          <w:rPr>
            <w:rFonts w:ascii="Times New Roman" w:eastAsia="Times New Roman" w:hAnsi="Times New Roman" w:cs="Times New Roman"/>
            <w:color w:val="0000FF"/>
            <w:sz w:val="24"/>
            <w:szCs w:val="24"/>
            <w:u w:val="single"/>
          </w:rPr>
          <w:t>https://doi.org/10.5772/intechopen.84643</w:t>
        </w:r>
      </w:hyperlink>
    </w:p>
    <w:p w14:paraId="1DDBD45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19.Omori, Y., </w:t>
      </w:r>
      <w:proofErr w:type="spellStart"/>
      <w:r>
        <w:rPr>
          <w:rFonts w:ascii="Times New Roman" w:eastAsia="Times New Roman" w:hAnsi="Times New Roman" w:cs="Times New Roman"/>
          <w:sz w:val="24"/>
          <w:szCs w:val="24"/>
        </w:rPr>
        <w:t>Tokonami</w:t>
      </w:r>
      <w:proofErr w:type="spellEnd"/>
      <w:r>
        <w:rPr>
          <w:rFonts w:ascii="Times New Roman" w:eastAsia="Times New Roman" w:hAnsi="Times New Roman" w:cs="Times New Roman"/>
          <w:sz w:val="24"/>
          <w:szCs w:val="24"/>
        </w:rPr>
        <w:t xml:space="preserve">, S., Sahoo, S. K., Ishikawa, T., </w:t>
      </w:r>
      <w:proofErr w:type="spellStart"/>
      <w:r>
        <w:rPr>
          <w:rFonts w:ascii="Times New Roman" w:eastAsia="Times New Roman" w:hAnsi="Times New Roman" w:cs="Times New Roman"/>
          <w:sz w:val="24"/>
          <w:szCs w:val="24"/>
        </w:rPr>
        <w:t>Sorimachi</w:t>
      </w:r>
      <w:proofErr w:type="spellEnd"/>
      <w:r>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Hosoda, M., Kudo, H., </w:t>
      </w:r>
      <w:proofErr w:type="spellStart"/>
      <w:r>
        <w:rPr>
          <w:rFonts w:ascii="Times New Roman" w:eastAsia="Times New Roman" w:hAnsi="Times New Roman" w:cs="Times New Roman"/>
          <w:sz w:val="24"/>
          <w:szCs w:val="24"/>
        </w:rPr>
        <w:t>Pornnumpa</w:t>
      </w:r>
      <w:proofErr w:type="spellEnd"/>
      <w:r>
        <w:rPr>
          <w:rFonts w:ascii="Times New Roman" w:eastAsia="Times New Roman" w:hAnsi="Times New Roman" w:cs="Times New Roman"/>
          <w:sz w:val="24"/>
          <w:szCs w:val="24"/>
        </w:rPr>
        <w:t>, C., Nair, R. R. K., Jayalekshmi, P. A., &amp; et al. (2016</w:t>
      </w:r>
      <w:proofErr w:type="gramStart"/>
      <w:r>
        <w:rPr>
          <w:rFonts w:ascii="Times New Roman" w:eastAsia="Times New Roman" w:hAnsi="Times New Roman" w:cs="Times New Roman"/>
          <w:sz w:val="24"/>
          <w:szCs w:val="24"/>
        </w:rPr>
        <w:t>).Radiation</w:t>
      </w:r>
      <w:proofErr w:type="gramEnd"/>
      <w:r>
        <w:rPr>
          <w:rFonts w:ascii="Times New Roman" w:eastAsia="Times New Roman" w:hAnsi="Times New Roman" w:cs="Times New Roman"/>
          <w:sz w:val="24"/>
          <w:szCs w:val="24"/>
        </w:rPr>
        <w:t xml:space="preserve"> dose due to radon and thoron progeny inhalation in high-level natural radiation areas of Kerala, India. Journal of Radiological Protection, 37(1), 111–122</w:t>
      </w:r>
      <w:r>
        <w:rPr>
          <w:rFonts w:ascii="Times New Roman" w:eastAsia="Times New Roman" w:hAnsi="Times New Roman" w:cs="Times New Roman"/>
          <w:sz w:val="24"/>
          <w:szCs w:val="24"/>
        </w:rPr>
        <w:t xml:space="preserve">. </w:t>
      </w:r>
      <w:hyperlink r:id="rId48">
        <w:r w:rsidR="00042BE4">
          <w:rPr>
            <w:rFonts w:ascii="Times New Roman" w:eastAsia="Times New Roman" w:hAnsi="Times New Roman" w:cs="Times New Roman"/>
            <w:color w:val="0000FF"/>
            <w:sz w:val="24"/>
            <w:szCs w:val="24"/>
            <w:u w:val="single"/>
          </w:rPr>
          <w:t>https://doi.org/10.1088/1361-6498/37/1/111</w:t>
        </w:r>
      </w:hyperlink>
    </w:p>
    <w:p w14:paraId="156EA697"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20.Patel, K. S., Sharma, S., Maity, J. P., Martín-Ramos, P., </w:t>
      </w:r>
      <w:proofErr w:type="spellStart"/>
      <w:r>
        <w:rPr>
          <w:rFonts w:ascii="Times New Roman" w:eastAsia="Times New Roman" w:hAnsi="Times New Roman" w:cs="Times New Roman"/>
          <w:sz w:val="24"/>
          <w:szCs w:val="24"/>
        </w:rPr>
        <w:t>Fiket</w:t>
      </w:r>
      <w:proofErr w:type="spellEnd"/>
      <w:r>
        <w:rPr>
          <w:rFonts w:ascii="Times New Roman" w:eastAsia="Times New Roman" w:hAnsi="Times New Roman" w:cs="Times New Roman"/>
          <w:sz w:val="24"/>
          <w:szCs w:val="24"/>
        </w:rPr>
        <w:t>, Ž., Bhattacharya, P., &amp; Zhu, Y. (2023). Occurrence of uranium, thorium and rare e</w:t>
      </w:r>
      <w:r>
        <w:rPr>
          <w:rFonts w:ascii="Times New Roman" w:eastAsia="Times New Roman" w:hAnsi="Times New Roman" w:cs="Times New Roman"/>
          <w:sz w:val="24"/>
          <w:szCs w:val="24"/>
        </w:rPr>
        <w:t xml:space="preserve">arth elements in the environment: A review. Frontiers in Environmental Science,10, 1058053. </w:t>
      </w:r>
      <w:hyperlink r:id="rId49">
        <w:r w:rsidR="00042BE4">
          <w:rPr>
            <w:rFonts w:ascii="Times New Roman" w:eastAsia="Times New Roman" w:hAnsi="Times New Roman" w:cs="Times New Roman"/>
            <w:color w:val="0000FF"/>
            <w:sz w:val="24"/>
            <w:szCs w:val="24"/>
            <w:u w:val="single"/>
          </w:rPr>
          <w:t>https://doi.org/10.3389/fenvs.2022.1058053</w:t>
        </w:r>
      </w:hyperlink>
      <w:r>
        <w:rPr>
          <w:rFonts w:ascii="Times New Roman" w:eastAsia="Times New Roman" w:hAnsi="Times New Roman" w:cs="Times New Roman"/>
          <w:sz w:val="24"/>
          <w:szCs w:val="24"/>
        </w:rPr>
        <w:t>.</w:t>
      </w:r>
    </w:p>
    <w:p w14:paraId="50F9A82D"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René, M., &amp; </w:t>
      </w:r>
      <w:proofErr w:type="spellStart"/>
      <w:r>
        <w:rPr>
          <w:rFonts w:ascii="Times New Roman" w:eastAsia="Times New Roman" w:hAnsi="Times New Roman" w:cs="Times New Roman"/>
          <w:sz w:val="24"/>
          <w:szCs w:val="24"/>
        </w:rPr>
        <w:t>Akitsu</w:t>
      </w:r>
      <w:proofErr w:type="spellEnd"/>
      <w:r>
        <w:rPr>
          <w:rFonts w:ascii="Times New Roman" w:eastAsia="Times New Roman" w:hAnsi="Times New Roman" w:cs="Times New Roman"/>
          <w:sz w:val="24"/>
          <w:szCs w:val="24"/>
        </w:rPr>
        <w:t>, T. (2017</w:t>
      </w:r>
      <w:proofErr w:type="gramStart"/>
      <w:r>
        <w:rPr>
          <w:rFonts w:ascii="Times New Roman" w:eastAsia="Times New Roman" w:hAnsi="Times New Roman" w:cs="Times New Roman"/>
          <w:sz w:val="24"/>
          <w:szCs w:val="24"/>
        </w:rPr>
        <w:t>).Nature</w:t>
      </w:r>
      <w:proofErr w:type="gramEnd"/>
      <w:r>
        <w:rPr>
          <w:rFonts w:ascii="Times New Roman" w:eastAsia="Times New Roman" w:hAnsi="Times New Roman" w:cs="Times New Roman"/>
          <w:sz w:val="24"/>
          <w:szCs w:val="24"/>
        </w:rPr>
        <w:t xml:space="preserve">, sources, </w:t>
      </w:r>
      <w:proofErr w:type="spellStart"/>
      <w:r>
        <w:rPr>
          <w:rFonts w:ascii="Times New Roman" w:eastAsia="Times New Roman" w:hAnsi="Times New Roman" w:cs="Times New Roman"/>
          <w:sz w:val="24"/>
          <w:szCs w:val="24"/>
        </w:rPr>
        <w:t>resourc</w:t>
      </w:r>
      <w:r>
        <w:rPr>
          <w:rFonts w:ascii="Times New Roman" w:eastAsia="Times New Roman" w:hAnsi="Times New Roman" w:cs="Times New Roman"/>
          <w:sz w:val="24"/>
          <w:szCs w:val="24"/>
        </w:rPr>
        <w:t>es,and</w:t>
      </w:r>
      <w:proofErr w:type="spellEnd"/>
      <w:r>
        <w:rPr>
          <w:rFonts w:ascii="Times New Roman" w:eastAsia="Times New Roman" w:hAnsi="Times New Roman" w:cs="Times New Roman"/>
          <w:sz w:val="24"/>
          <w:szCs w:val="24"/>
        </w:rPr>
        <w:t xml:space="preserve"> production of thorium. In Descriptive inorganic chemistry researches of metal </w:t>
      </w:r>
      <w:proofErr w:type="gramStart"/>
      <w:r>
        <w:rPr>
          <w:rFonts w:ascii="Times New Roman" w:eastAsia="Times New Roman" w:hAnsi="Times New Roman" w:cs="Times New Roman"/>
          <w:sz w:val="24"/>
          <w:szCs w:val="24"/>
        </w:rPr>
        <w:t>compound  201</w:t>
      </w:r>
      <w:proofErr w:type="gramEnd"/>
      <w:r>
        <w:rPr>
          <w:rFonts w:ascii="Times New Roman" w:eastAsia="Times New Roman" w:hAnsi="Times New Roman" w:cs="Times New Roman"/>
          <w:sz w:val="24"/>
          <w:szCs w:val="24"/>
        </w:rPr>
        <w:t>–212.</w:t>
      </w:r>
    </w:p>
    <w:p w14:paraId="14B59E77"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22.Rühm, W., Azizova, T., </w:t>
      </w:r>
      <w:proofErr w:type="spellStart"/>
      <w:r>
        <w:rPr>
          <w:rFonts w:ascii="Times New Roman" w:eastAsia="Times New Roman" w:hAnsi="Times New Roman" w:cs="Times New Roman"/>
          <w:sz w:val="24"/>
          <w:szCs w:val="24"/>
        </w:rPr>
        <w:t>Bouffler</w:t>
      </w:r>
      <w:proofErr w:type="spellEnd"/>
      <w:r>
        <w:rPr>
          <w:rFonts w:ascii="Times New Roman" w:eastAsia="Times New Roman" w:hAnsi="Times New Roman" w:cs="Times New Roman"/>
          <w:sz w:val="24"/>
          <w:szCs w:val="24"/>
        </w:rPr>
        <w:t xml:space="preserve">, S., Cullings, H. M., Grosche, B., Little, M. P., Shore, R. S., Walsh, L., &amp; </w:t>
      </w:r>
      <w:proofErr w:type="spellStart"/>
      <w:r>
        <w:rPr>
          <w:rFonts w:ascii="Times New Roman" w:eastAsia="Times New Roman" w:hAnsi="Times New Roman" w:cs="Times New Roman"/>
          <w:sz w:val="24"/>
          <w:szCs w:val="24"/>
        </w:rPr>
        <w:t>Woloschak</w:t>
      </w:r>
      <w:proofErr w:type="spellEnd"/>
      <w:r>
        <w:rPr>
          <w:rFonts w:ascii="Times New Roman" w:eastAsia="Times New Roman" w:hAnsi="Times New Roman" w:cs="Times New Roman"/>
          <w:sz w:val="24"/>
          <w:szCs w:val="24"/>
        </w:rPr>
        <w:t>, G. E. (2018). Typical doses a</w:t>
      </w:r>
      <w:r>
        <w:rPr>
          <w:rFonts w:ascii="Times New Roman" w:eastAsia="Times New Roman" w:hAnsi="Times New Roman" w:cs="Times New Roman"/>
          <w:sz w:val="24"/>
          <w:szCs w:val="24"/>
        </w:rPr>
        <w:t>nd dose rates in studies pertinent to radiation risk inference at low doses and low dose rates. Journal of Radiation Research, 59(suppl_2</w:t>
      </w:r>
      <w:proofErr w:type="gramStart"/>
      <w:r>
        <w:rPr>
          <w:rFonts w:ascii="Times New Roman" w:eastAsia="Times New Roman" w:hAnsi="Times New Roman" w:cs="Times New Roman"/>
          <w:sz w:val="24"/>
          <w:szCs w:val="24"/>
        </w:rPr>
        <w:t>) ,ii</w:t>
      </w:r>
      <w:proofErr w:type="gramEnd"/>
      <w:r>
        <w:rPr>
          <w:rFonts w:ascii="Times New Roman" w:eastAsia="Times New Roman" w:hAnsi="Times New Roman" w:cs="Times New Roman"/>
          <w:sz w:val="24"/>
          <w:szCs w:val="24"/>
        </w:rPr>
        <w:t xml:space="preserve">1–ii10. </w:t>
      </w:r>
      <w:hyperlink r:id="rId50">
        <w:r w:rsidR="00042BE4">
          <w:rPr>
            <w:rFonts w:ascii="Times New Roman" w:eastAsia="Times New Roman" w:hAnsi="Times New Roman" w:cs="Times New Roman"/>
            <w:color w:val="0000FF"/>
            <w:sz w:val="24"/>
            <w:szCs w:val="24"/>
            <w:u w:val="single"/>
          </w:rPr>
          <w:t>https://doi.org/10.1093/jrr/rry001</w:t>
        </w:r>
      </w:hyperlink>
    </w:p>
    <w:p w14:paraId="168D0616"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Sahoo, P., &amp; </w:t>
      </w:r>
      <w:r>
        <w:rPr>
          <w:rFonts w:ascii="Times New Roman" w:eastAsia="Times New Roman" w:hAnsi="Times New Roman" w:cs="Times New Roman"/>
          <w:sz w:val="24"/>
          <w:szCs w:val="24"/>
        </w:rPr>
        <w:t xml:space="preserve">Joseph, J. (2021). Radioactive hazards in utilization of industrial by-products: Comprehensive review. Journal of Hazardous, Toxic, and Radioactive Waste,25(4),03121001. </w:t>
      </w:r>
      <w:hyperlink r:id="rId51">
        <w:r w:rsidR="00042BE4">
          <w:rPr>
            <w:rFonts w:ascii="Times New Roman" w:eastAsia="Times New Roman" w:hAnsi="Times New Roman" w:cs="Times New Roman"/>
            <w:color w:val="0000FF"/>
            <w:sz w:val="24"/>
            <w:szCs w:val="24"/>
            <w:u w:val="single"/>
          </w:rPr>
          <w:t>https://doi.org/10.1061/(ASCE)HZ.2153-5515.0000586</w:t>
        </w:r>
      </w:hyperlink>
    </w:p>
    <w:p w14:paraId="3B2F3F14"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spellStart"/>
      <w:r>
        <w:rPr>
          <w:rFonts w:ascii="Times New Roman" w:eastAsia="Times New Roman" w:hAnsi="Times New Roman" w:cs="Times New Roman"/>
          <w:sz w:val="24"/>
          <w:szCs w:val="24"/>
        </w:rPr>
        <w:t>Shankramma</w:t>
      </w:r>
      <w:proofErr w:type="spellEnd"/>
      <w:r>
        <w:rPr>
          <w:rFonts w:ascii="Times New Roman" w:eastAsia="Times New Roman" w:hAnsi="Times New Roman" w:cs="Times New Roman"/>
          <w:sz w:val="24"/>
          <w:szCs w:val="24"/>
        </w:rPr>
        <w:t>, K., Nagaraja, K., Sathish, L. A., &amp; Kumar, K. C. (2022</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review on natural gamma radiation dose levels and its health effects. International Journal of Health and Allied Sciences 11(1),1.</w:t>
      </w:r>
    </w:p>
    <w:p w14:paraId="1E93A7E0"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roofErr w:type="gramStart"/>
      <w:r>
        <w:rPr>
          <w:rFonts w:ascii="Times New Roman" w:eastAsia="Times New Roman" w:hAnsi="Times New Roman" w:cs="Times New Roman"/>
          <w:sz w:val="24"/>
          <w:szCs w:val="24"/>
        </w:rPr>
        <w:t>Shapiro,J.</w:t>
      </w:r>
      <w:proofErr w:type="gramEnd"/>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002). Radiation protection: A guide for scientists, regulators, and physicians. La Editorial </w:t>
      </w:r>
      <w:proofErr w:type="spellStart"/>
      <w:r>
        <w:rPr>
          <w:rFonts w:ascii="Times New Roman" w:eastAsia="Times New Roman" w:hAnsi="Times New Roman" w:cs="Times New Roman"/>
          <w:sz w:val="24"/>
          <w:szCs w:val="24"/>
        </w:rPr>
        <w:t>UPR.Till</w:t>
      </w:r>
      <w:proofErr w:type="spellEnd"/>
      <w:r>
        <w:rPr>
          <w:rFonts w:ascii="Times New Roman" w:eastAsia="Times New Roman" w:hAnsi="Times New Roman" w:cs="Times New Roman"/>
          <w:sz w:val="24"/>
          <w:szCs w:val="24"/>
        </w:rPr>
        <w:t>, J. E., &amp; Grogan, H. A. (2008</w:t>
      </w:r>
      <w:proofErr w:type="gramStart"/>
      <w:r>
        <w:rPr>
          <w:rFonts w:ascii="Times New Roman" w:eastAsia="Times New Roman" w:hAnsi="Times New Roman" w:cs="Times New Roman"/>
          <w:sz w:val="24"/>
          <w:szCs w:val="24"/>
        </w:rPr>
        <w:t>).Radiological</w:t>
      </w:r>
      <w:proofErr w:type="gramEnd"/>
      <w:r>
        <w:rPr>
          <w:rFonts w:ascii="Times New Roman" w:eastAsia="Times New Roman" w:hAnsi="Times New Roman" w:cs="Times New Roman"/>
          <w:sz w:val="24"/>
          <w:szCs w:val="24"/>
        </w:rPr>
        <w:t xml:space="preserve"> risk assessment and environmental </w:t>
      </w:r>
      <w:proofErr w:type="spellStart"/>
      <w:r>
        <w:rPr>
          <w:rFonts w:ascii="Times New Roman" w:eastAsia="Times New Roman" w:hAnsi="Times New Roman" w:cs="Times New Roman"/>
          <w:sz w:val="24"/>
          <w:szCs w:val="24"/>
        </w:rPr>
        <w:t>analysis.Oxford</w:t>
      </w:r>
      <w:proofErr w:type="spellEnd"/>
      <w:r>
        <w:rPr>
          <w:rFonts w:ascii="Times New Roman" w:eastAsia="Times New Roman" w:hAnsi="Times New Roman" w:cs="Times New Roman"/>
          <w:sz w:val="24"/>
          <w:szCs w:val="24"/>
        </w:rPr>
        <w:t xml:space="preserve"> University Press.</w:t>
      </w:r>
    </w:p>
    <w:p w14:paraId="219C0C67"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26.Tye, A., </w:t>
      </w:r>
      <w:proofErr w:type="spellStart"/>
      <w:r>
        <w:rPr>
          <w:rFonts w:ascii="Times New Roman" w:eastAsia="Times New Roman" w:hAnsi="Times New Roman" w:cs="Times New Roman"/>
          <w:sz w:val="24"/>
          <w:szCs w:val="24"/>
        </w:rPr>
        <w:t>Milodowski</w:t>
      </w:r>
      <w:proofErr w:type="spellEnd"/>
      <w:r>
        <w:rPr>
          <w:rFonts w:ascii="Times New Roman" w:eastAsia="Times New Roman" w:hAnsi="Times New Roman" w:cs="Times New Roman"/>
          <w:sz w:val="24"/>
          <w:szCs w:val="24"/>
        </w:rPr>
        <w:t xml:space="preserve">, A., &amp; Smedley, P. </w:t>
      </w:r>
      <w:r>
        <w:rPr>
          <w:rFonts w:ascii="Times New Roman" w:eastAsia="Times New Roman" w:hAnsi="Times New Roman" w:cs="Times New Roman"/>
          <w:sz w:val="24"/>
          <w:szCs w:val="24"/>
        </w:rPr>
        <w:t>(2017</w:t>
      </w:r>
      <w:proofErr w:type="gramStart"/>
      <w:r>
        <w:rPr>
          <w:rFonts w:ascii="Times New Roman" w:eastAsia="Times New Roman" w:hAnsi="Times New Roman" w:cs="Times New Roman"/>
          <w:sz w:val="24"/>
          <w:szCs w:val="24"/>
        </w:rPr>
        <w:t>).Distribution</w:t>
      </w:r>
      <w:proofErr w:type="gramEnd"/>
      <w:r>
        <w:rPr>
          <w:rFonts w:ascii="Times New Roman" w:eastAsia="Times New Roman" w:hAnsi="Times New Roman" w:cs="Times New Roman"/>
          <w:sz w:val="24"/>
          <w:szCs w:val="24"/>
        </w:rPr>
        <w:t xml:space="preserve"> of natural radioactivity in the </w:t>
      </w:r>
      <w:proofErr w:type="spellStart"/>
      <w:r>
        <w:rPr>
          <w:rFonts w:ascii="Times New Roman" w:eastAsia="Times New Roman" w:hAnsi="Times New Roman" w:cs="Times New Roman"/>
          <w:sz w:val="24"/>
          <w:szCs w:val="24"/>
        </w:rPr>
        <w:t>environment.British</w:t>
      </w:r>
      <w:proofErr w:type="spellEnd"/>
      <w:r>
        <w:rPr>
          <w:rFonts w:ascii="Times New Roman" w:eastAsia="Times New Roman" w:hAnsi="Times New Roman" w:cs="Times New Roman"/>
          <w:sz w:val="24"/>
          <w:szCs w:val="24"/>
        </w:rPr>
        <w:t xml:space="preserve"> Geological Survey.</w:t>
      </w:r>
    </w:p>
    <w:p w14:paraId="7A947E97"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United Nations Scientific Committee on the Effects of Atomic Radiation (UNSCEAR). (2020). Sources and effects of ionizing radiation: Report to the General Assemb</w:t>
      </w:r>
      <w:r>
        <w:rPr>
          <w:rFonts w:ascii="Times New Roman" w:eastAsia="Times New Roman" w:hAnsi="Times New Roman" w:cs="Times New Roman"/>
          <w:sz w:val="24"/>
          <w:szCs w:val="24"/>
        </w:rPr>
        <w:t>ly, with scientific annexes (E.00.IX.3) United Nations.</w:t>
      </w:r>
    </w:p>
    <w:p w14:paraId="2DC96962" w14:textId="77777777"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28.Zanin, Y. N., </w:t>
      </w:r>
      <w:proofErr w:type="spellStart"/>
      <w:r>
        <w:rPr>
          <w:rFonts w:ascii="Times New Roman" w:eastAsia="Times New Roman" w:hAnsi="Times New Roman" w:cs="Times New Roman"/>
          <w:sz w:val="24"/>
          <w:szCs w:val="24"/>
        </w:rPr>
        <w:t>Zamirailova</w:t>
      </w:r>
      <w:proofErr w:type="spellEnd"/>
      <w:r>
        <w:rPr>
          <w:rFonts w:ascii="Times New Roman" w:eastAsia="Times New Roman" w:hAnsi="Times New Roman" w:cs="Times New Roman"/>
          <w:sz w:val="24"/>
          <w:szCs w:val="24"/>
        </w:rPr>
        <w:t>, A., &amp; Eder, V. (2016</w:t>
      </w:r>
      <w:proofErr w:type="gramStart"/>
      <w:r>
        <w:rPr>
          <w:rFonts w:ascii="Times New Roman" w:eastAsia="Times New Roman" w:hAnsi="Times New Roman" w:cs="Times New Roman"/>
          <w:sz w:val="24"/>
          <w:szCs w:val="24"/>
        </w:rPr>
        <w:t>).Uranium</w:t>
      </w:r>
      <w:proofErr w:type="gramEnd"/>
      <w:r>
        <w:rPr>
          <w:rFonts w:ascii="Times New Roman" w:eastAsia="Times New Roman" w:hAnsi="Times New Roman" w:cs="Times New Roman"/>
          <w:sz w:val="24"/>
          <w:szCs w:val="24"/>
        </w:rPr>
        <w:t xml:space="preserve">, thorium, and potassium in black shales of the Bazhenov Formation of the West Siberian marine basin. Lithology and Mineral Resources, 51(1), 74–85. </w:t>
      </w:r>
      <w:hyperlink r:id="rId52">
        <w:r w:rsidR="00042BE4">
          <w:rPr>
            <w:rFonts w:ascii="Times New Roman" w:eastAsia="Times New Roman" w:hAnsi="Times New Roman" w:cs="Times New Roman"/>
            <w:color w:val="0000FF"/>
            <w:sz w:val="24"/>
            <w:szCs w:val="24"/>
            <w:u w:val="single"/>
          </w:rPr>
          <w:t>https://doi.org/10.1134/S0024490216010124</w:t>
        </w:r>
      </w:hyperlink>
    </w:p>
    <w:p w14:paraId="22DC9844" w14:textId="77777777" w:rsidR="00042BE4" w:rsidRDefault="00042BE4">
      <w:pPr>
        <w:jc w:val="both"/>
        <w:rPr>
          <w:rFonts w:ascii="Times New Roman" w:eastAsia="Times New Roman" w:hAnsi="Times New Roman" w:cs="Times New Roman"/>
          <w:sz w:val="24"/>
          <w:szCs w:val="24"/>
        </w:rPr>
      </w:pPr>
    </w:p>
    <w:p w14:paraId="03CA1D02" w14:textId="77777777" w:rsidR="00042BE4" w:rsidRDefault="00042BE4">
      <w:pPr>
        <w:rPr>
          <w:rFonts w:ascii="Times New Roman" w:eastAsia="Times New Roman" w:hAnsi="Times New Roman" w:cs="Times New Roman"/>
          <w:sz w:val="24"/>
          <w:szCs w:val="24"/>
        </w:rPr>
      </w:pPr>
    </w:p>
    <w:sectPr w:rsidR="00042BE4">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900BD" w14:textId="77777777" w:rsidR="000E4256" w:rsidRDefault="000E4256" w:rsidP="007F4035">
      <w:pPr>
        <w:spacing w:after="0" w:line="240" w:lineRule="auto"/>
      </w:pPr>
      <w:r>
        <w:separator/>
      </w:r>
    </w:p>
  </w:endnote>
  <w:endnote w:type="continuationSeparator" w:id="0">
    <w:p w14:paraId="2DA32494" w14:textId="77777777" w:rsidR="000E4256" w:rsidRDefault="000E4256" w:rsidP="007F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altName w:val="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DE42" w14:textId="77777777" w:rsidR="007F4035" w:rsidRDefault="007F4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8CB5" w14:textId="77777777" w:rsidR="007F4035" w:rsidRDefault="007F4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CAA2" w14:textId="77777777" w:rsidR="007F4035" w:rsidRDefault="007F4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604F2" w14:textId="77777777" w:rsidR="000E4256" w:rsidRDefault="000E4256" w:rsidP="007F4035">
      <w:pPr>
        <w:spacing w:after="0" w:line="240" w:lineRule="auto"/>
      </w:pPr>
      <w:r>
        <w:separator/>
      </w:r>
    </w:p>
  </w:footnote>
  <w:footnote w:type="continuationSeparator" w:id="0">
    <w:p w14:paraId="6DBC3B05" w14:textId="77777777" w:rsidR="000E4256" w:rsidRDefault="000E4256" w:rsidP="007F4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1F56" w14:textId="33494D21" w:rsidR="007F4035" w:rsidRDefault="007F4035">
    <w:pPr>
      <w:pStyle w:val="Header"/>
    </w:pPr>
    <w:r>
      <w:rPr>
        <w:noProof/>
      </w:rPr>
      <w:pict w14:anchorId="79A7B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23CA" w14:textId="0AA959EC" w:rsidR="007F4035" w:rsidRDefault="007F4035">
    <w:pPr>
      <w:pStyle w:val="Header"/>
    </w:pPr>
    <w:r>
      <w:rPr>
        <w:noProof/>
      </w:rPr>
      <w:pict w14:anchorId="3DCD5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B679" w14:textId="623F5991" w:rsidR="007F4035" w:rsidRDefault="007F4035">
    <w:pPr>
      <w:pStyle w:val="Header"/>
    </w:pPr>
    <w:r>
      <w:rPr>
        <w:noProof/>
      </w:rPr>
      <w:pict w14:anchorId="0873E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E4"/>
    <w:rsid w:val="00042BE4"/>
    <w:rsid w:val="000E4256"/>
    <w:rsid w:val="0024617E"/>
    <w:rsid w:val="00327FC8"/>
    <w:rsid w:val="00535EB6"/>
    <w:rsid w:val="00581A58"/>
    <w:rsid w:val="007F4035"/>
    <w:rsid w:val="0080314A"/>
    <w:rsid w:val="00886466"/>
    <w:rsid w:val="00930257"/>
    <w:rsid w:val="00A86716"/>
    <w:rsid w:val="00AF1052"/>
    <w:rsid w:val="00E96247"/>
    <w:rsid w:val="00F337B5"/>
    <w:rsid w:val="00F9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D75D1"/>
  <w15:docId w15:val="{3C02FAF5-2988-4CBA-B41E-7F21FAC8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200" w:line="271"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widowControl w:val="0"/>
      <w:spacing w:before="80" w:after="40" w:line="276" w:lineRule="auto"/>
      <w:outlineLvl w:val="3"/>
    </w:pPr>
    <w:rPr>
      <w:rFonts w:ascii="Aptos" w:eastAsia="Aptos" w:hAnsi="Aptos" w:cs="Aptos"/>
      <w:i/>
      <w:color w:val="0F4761"/>
      <w:sz w:val="24"/>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F96F9A"/>
    <w:rPr>
      <w:color w:val="0000FF" w:themeColor="hyperlink"/>
      <w:u w:val="single"/>
    </w:rPr>
  </w:style>
  <w:style w:type="character" w:styleId="UnresolvedMention">
    <w:name w:val="Unresolved Mention"/>
    <w:basedOn w:val="DefaultParagraphFont"/>
    <w:uiPriority w:val="99"/>
    <w:semiHidden/>
    <w:unhideWhenUsed/>
    <w:rsid w:val="00F96F9A"/>
    <w:rPr>
      <w:color w:val="605E5C"/>
      <w:shd w:val="clear" w:color="auto" w:fill="E1DFDD"/>
    </w:rPr>
  </w:style>
  <w:style w:type="paragraph" w:styleId="Header">
    <w:name w:val="header"/>
    <w:basedOn w:val="Normal"/>
    <w:link w:val="HeaderChar"/>
    <w:uiPriority w:val="99"/>
    <w:unhideWhenUsed/>
    <w:rsid w:val="007F4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35"/>
  </w:style>
  <w:style w:type="paragraph" w:styleId="Footer">
    <w:name w:val="footer"/>
    <w:basedOn w:val="Normal"/>
    <w:link w:val="FooterChar"/>
    <w:uiPriority w:val="99"/>
    <w:unhideWhenUsed/>
    <w:rsid w:val="007F4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8" Type="http://schemas.openxmlformats.org/officeDocument/2006/relationships/image" Target="media/image2.png"/><Relationship Id="rId26" Type="http://schemas.openxmlformats.org/officeDocument/2006/relationships/image" Target="media/image11.png"/><Relationship Id="rId39" Type="http://schemas.openxmlformats.org/officeDocument/2006/relationships/hyperlink" Target="https://doi.org/10.1016/j.jenvrad.2016.05.015" TargetMode="External"/><Relationship Id="rId21" Type="http://schemas.openxmlformats.org/officeDocument/2006/relationships/image" Target="media/image6.png"/><Relationship Id="rId34" Type="http://schemas.openxmlformats.org/officeDocument/2006/relationships/image" Target="media/image20.png"/><Relationship Id="rId42" Type="http://schemas.openxmlformats.org/officeDocument/2006/relationships/hyperlink" Target="https://doi.org/10.1016/B978-0-08-102009-8.00002-6" TargetMode="External"/><Relationship Id="rId47" Type="http://schemas.openxmlformats.org/officeDocument/2006/relationships/hyperlink" Target="https://doi.org/10.5772/intechopen.84643" TargetMode="External"/><Relationship Id="rId50" Type="http://schemas.openxmlformats.org/officeDocument/2006/relationships/hyperlink" Target="https://doi.org/10.1093/jrr/rry001" TargetMode="External"/><Relationship Id="rId5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3.png"/><Relationship Id="rId29" Type="http://schemas.openxmlformats.org/officeDocument/2006/relationships/image" Target="media/image15.png"/><Relationship Id="rId24" Type="http://schemas.openxmlformats.org/officeDocument/2006/relationships/image" Target="media/image9.png"/><Relationship Id="rId32" Type="http://schemas.openxmlformats.org/officeDocument/2006/relationships/image" Target="media/image18.png"/><Relationship Id="rId37" Type="http://schemas.openxmlformats.org/officeDocument/2006/relationships/hyperlink" Target="https://doi.org/10.1088/1742-6596/1644/1/012004" TargetMode="External"/><Relationship Id="rId40" Type="http://schemas.openxmlformats.org/officeDocument/2006/relationships/hyperlink" Target="https://doi.org/10.1016/j.jrras.2014.10.002" TargetMode="External"/><Relationship Id="rId45" Type="http://schemas.openxmlformats.org/officeDocument/2006/relationships/hyperlink" Target="https://doi.org/10.7290/ijns050104"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doi.org/10.4103/rpe.RPE_50_18" TargetMode="External"/><Relationship Id="rId49" Type="http://schemas.openxmlformats.org/officeDocument/2006/relationships/hyperlink" Target="https://doi.org/10.3389/fenvs.2022.1058053" TargetMode="External"/><Relationship Id="rId57" Type="http://schemas.openxmlformats.org/officeDocument/2006/relationships/header" Target="header3.xml"/><Relationship Id="rId10" Type="http://schemas.openxmlformats.org/officeDocument/2006/relationships/image" Target="media/image14.png"/><Relationship Id="rId19" Type="http://schemas.openxmlformats.org/officeDocument/2006/relationships/image" Target="media/image4.png"/><Relationship Id="rId31" Type="http://schemas.openxmlformats.org/officeDocument/2006/relationships/image" Target="media/image17.png"/><Relationship Id="rId44" Type="http://schemas.openxmlformats.org/officeDocument/2006/relationships/hyperlink" Target="https://doi.org/10.1016/j.jenvrad.2019.106048" TargetMode="External"/><Relationship Id="rId52" Type="http://schemas.openxmlformats.org/officeDocument/2006/relationships/hyperlink" Target="https://doi.org/10.1134/S0024490216010124" TargetMode="External"/><Relationship Id="rId60"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6.png"/><Relationship Id="rId35" Type="http://schemas.openxmlformats.org/officeDocument/2006/relationships/hyperlink" Target="https://doi.org/10.1007/s10967-020-07027-y" TargetMode="External"/><Relationship Id="rId43" Type="http://schemas.openxmlformats.org/officeDocument/2006/relationships/hyperlink" Target="https://doi.org/10.1016/j.jrras.2023.100524" TargetMode="External"/><Relationship Id="rId48" Type="http://schemas.openxmlformats.org/officeDocument/2006/relationships/hyperlink" Target="https://doi.org/10.1088/1361-6498/37/1/111" TargetMode="External"/><Relationship Id="rId56" Type="http://schemas.openxmlformats.org/officeDocument/2006/relationships/footer" Target="footer2.xml"/><Relationship Id="rId51" Type="http://schemas.openxmlformats.org/officeDocument/2006/relationships/hyperlink" Target="https://doi.org/10.1061/(ASCE)HZ.2153-5515.0000586" TargetMode="External"/><Relationship Id="rId3" Type="http://schemas.openxmlformats.org/officeDocument/2006/relationships/webSettings" Target="webSettings.xml"/><Relationship Id="rId17" Type="http://schemas.openxmlformats.org/officeDocument/2006/relationships/image" Target="media/image1.png"/><Relationship Id="rId25" Type="http://schemas.openxmlformats.org/officeDocument/2006/relationships/image" Target="media/image10.png"/><Relationship Id="rId33" Type="http://schemas.openxmlformats.org/officeDocument/2006/relationships/image" Target="media/image19.png"/><Relationship Id="rId38" Type="http://schemas.openxmlformats.org/officeDocument/2006/relationships/hyperlink" Target="https://doi.org/10.3390/en15114275" TargetMode="External"/><Relationship Id="rId46" Type="http://schemas.openxmlformats.org/officeDocument/2006/relationships/hyperlink" Target="https://doi.org/10.3390/ijerph16111793"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doi.org/10.1093/oxfordjournals.rpd.a006700" TargetMode="External"/><Relationship Id="rId54"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5554</Words>
  <Characters>31663</Characters>
  <Application>Microsoft Office Word</Application>
  <DocSecurity>0</DocSecurity>
  <Lines>263</Lines>
  <Paragraphs>74</Paragraphs>
  <ScaleCrop>false</ScaleCrop>
  <Company/>
  <LinksUpToDate>false</LinksUpToDate>
  <CharactersWithSpaces>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29</cp:revision>
  <dcterms:created xsi:type="dcterms:W3CDTF">2025-09-05T13:07:00Z</dcterms:created>
  <dcterms:modified xsi:type="dcterms:W3CDTF">2025-09-06T08:40:00Z</dcterms:modified>
</cp:coreProperties>
</file>