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120B7" w14:textId="76EFBFF3" w:rsidR="00754C9A" w:rsidRPr="00FB3CED" w:rsidRDefault="00FB3CED" w:rsidP="00FB3CED">
      <w:pPr>
        <w:pStyle w:val="Title"/>
        <w:spacing w:after="0"/>
        <w:jc w:val="left"/>
        <w:rPr>
          <w:rFonts w:ascii="Arial" w:hAnsi="Arial" w:cs="Arial"/>
          <w:u w:val="single"/>
        </w:rPr>
      </w:pPr>
      <w:r w:rsidRPr="00FB3CED">
        <w:rPr>
          <w:rFonts w:ascii="Arial" w:hAnsi="Arial" w:cs="Arial"/>
          <w:u w:val="single"/>
        </w:rPr>
        <w:t>Case report</w:t>
      </w:r>
    </w:p>
    <w:p w14:paraId="11618331" w14:textId="7E8A827D" w:rsidR="00FB3CED" w:rsidRPr="00FB3CED" w:rsidRDefault="00FB3CED" w:rsidP="002A51EE">
      <w:pPr>
        <w:rPr>
          <w:rFonts w:ascii="Calibri" w:eastAsia="Calibri" w:hAnsi="Calibri" w:cs="Calibri"/>
          <w:b/>
          <w:bCs/>
          <w:sz w:val="28"/>
          <w:szCs w:val="28"/>
        </w:rPr>
      </w:pPr>
      <w:r w:rsidRPr="00FB3CED">
        <w:rPr>
          <w:rFonts w:ascii="Calibri" w:eastAsia="Calibri" w:hAnsi="Calibri" w:cs="Calibri"/>
          <w:b/>
          <w:bCs/>
          <w:sz w:val="28"/>
          <w:szCs w:val="28"/>
        </w:rPr>
        <w:t>S</w:t>
      </w:r>
      <w:r w:rsidRPr="00FB3CED">
        <w:rPr>
          <w:rFonts w:ascii="Calibri" w:eastAsia="Calibri" w:hAnsi="Calibri" w:cs="Calibri"/>
          <w:b/>
          <w:bCs/>
          <w:spacing w:val="-1"/>
          <w:sz w:val="28"/>
          <w:szCs w:val="28"/>
        </w:rPr>
        <w:t>a</w:t>
      </w:r>
      <w:r w:rsidRPr="00FB3CED">
        <w:rPr>
          <w:rFonts w:ascii="Calibri" w:eastAsia="Calibri" w:hAnsi="Calibri" w:cs="Calibri"/>
          <w:b/>
          <w:bCs/>
          <w:sz w:val="28"/>
          <w:szCs w:val="28"/>
        </w:rPr>
        <w:t>fe</w:t>
      </w:r>
      <w:r w:rsidRPr="00FB3CED">
        <w:rPr>
          <w:rFonts w:ascii="Calibri" w:eastAsia="Calibri" w:hAnsi="Calibri" w:cs="Calibri"/>
          <w:b/>
          <w:bCs/>
          <w:spacing w:val="-1"/>
          <w:sz w:val="28"/>
          <w:szCs w:val="28"/>
        </w:rPr>
        <w:t xml:space="preserve"> </w:t>
      </w:r>
      <w:r w:rsidRPr="00FB3CED">
        <w:rPr>
          <w:rFonts w:ascii="Calibri" w:eastAsia="Calibri" w:hAnsi="Calibri" w:cs="Calibri"/>
          <w:b/>
          <w:bCs/>
          <w:spacing w:val="-3"/>
          <w:sz w:val="28"/>
          <w:szCs w:val="28"/>
        </w:rPr>
        <w:t>a</w:t>
      </w:r>
      <w:r w:rsidRPr="00FB3CED">
        <w:rPr>
          <w:rFonts w:ascii="Calibri" w:eastAsia="Calibri" w:hAnsi="Calibri" w:cs="Calibri"/>
          <w:b/>
          <w:bCs/>
          <w:spacing w:val="-1"/>
          <w:sz w:val="28"/>
          <w:szCs w:val="28"/>
        </w:rPr>
        <w:t>n</w:t>
      </w:r>
      <w:r w:rsidRPr="00FB3CED">
        <w:rPr>
          <w:rFonts w:ascii="Calibri" w:eastAsia="Calibri" w:hAnsi="Calibri" w:cs="Calibri"/>
          <w:b/>
          <w:bCs/>
          <w:sz w:val="28"/>
          <w:szCs w:val="28"/>
        </w:rPr>
        <w:t>d Effec</w:t>
      </w:r>
      <w:r w:rsidRPr="00FB3CED">
        <w:rPr>
          <w:rFonts w:ascii="Calibri" w:eastAsia="Calibri" w:hAnsi="Calibri" w:cs="Calibri"/>
          <w:b/>
          <w:bCs/>
          <w:spacing w:val="1"/>
          <w:sz w:val="28"/>
          <w:szCs w:val="28"/>
        </w:rPr>
        <w:t>t</w:t>
      </w:r>
      <w:r w:rsidRPr="00FB3CED">
        <w:rPr>
          <w:rFonts w:ascii="Calibri" w:eastAsia="Calibri" w:hAnsi="Calibri" w:cs="Calibri"/>
          <w:b/>
          <w:bCs/>
          <w:spacing w:val="-3"/>
          <w:sz w:val="28"/>
          <w:szCs w:val="28"/>
        </w:rPr>
        <w:t>i</w:t>
      </w:r>
      <w:r w:rsidRPr="00FB3CED">
        <w:rPr>
          <w:rFonts w:ascii="Calibri" w:eastAsia="Calibri" w:hAnsi="Calibri" w:cs="Calibri"/>
          <w:b/>
          <w:bCs/>
          <w:spacing w:val="1"/>
          <w:sz w:val="28"/>
          <w:szCs w:val="28"/>
        </w:rPr>
        <w:t>v</w:t>
      </w:r>
      <w:r w:rsidRPr="00FB3CED">
        <w:rPr>
          <w:rFonts w:ascii="Calibri" w:eastAsia="Calibri" w:hAnsi="Calibri" w:cs="Calibri"/>
          <w:b/>
          <w:bCs/>
          <w:sz w:val="28"/>
          <w:szCs w:val="28"/>
        </w:rPr>
        <w:t>e</w:t>
      </w:r>
      <w:r w:rsidRPr="00FB3CED">
        <w:rPr>
          <w:rFonts w:ascii="Calibri" w:eastAsia="Calibri" w:hAnsi="Calibri" w:cs="Calibri"/>
          <w:b/>
          <w:bCs/>
          <w:spacing w:val="-1"/>
          <w:sz w:val="28"/>
          <w:szCs w:val="28"/>
        </w:rPr>
        <w:t xml:space="preserve"> </w:t>
      </w:r>
      <w:r w:rsidRPr="00FB3CED">
        <w:rPr>
          <w:rFonts w:ascii="Calibri" w:eastAsia="Calibri" w:hAnsi="Calibri" w:cs="Calibri"/>
          <w:b/>
          <w:bCs/>
          <w:spacing w:val="1"/>
          <w:sz w:val="28"/>
          <w:szCs w:val="28"/>
        </w:rPr>
        <w:t>M</w:t>
      </w:r>
      <w:r w:rsidRPr="00FB3CED">
        <w:rPr>
          <w:rFonts w:ascii="Calibri" w:eastAsia="Calibri" w:hAnsi="Calibri" w:cs="Calibri"/>
          <w:b/>
          <w:bCs/>
          <w:sz w:val="28"/>
          <w:szCs w:val="28"/>
        </w:rPr>
        <w:t>a</w:t>
      </w:r>
      <w:r w:rsidRPr="00FB3CED">
        <w:rPr>
          <w:rFonts w:ascii="Calibri" w:eastAsia="Calibri" w:hAnsi="Calibri" w:cs="Calibri"/>
          <w:b/>
          <w:bCs/>
          <w:spacing w:val="-1"/>
          <w:sz w:val="28"/>
          <w:szCs w:val="28"/>
        </w:rPr>
        <w:t>n</w:t>
      </w:r>
      <w:r w:rsidRPr="00FB3CED">
        <w:rPr>
          <w:rFonts w:ascii="Calibri" w:eastAsia="Calibri" w:hAnsi="Calibri" w:cs="Calibri"/>
          <w:b/>
          <w:bCs/>
          <w:sz w:val="28"/>
          <w:szCs w:val="28"/>
        </w:rPr>
        <w:t>a</w:t>
      </w:r>
      <w:r w:rsidRPr="00FB3CED">
        <w:rPr>
          <w:rFonts w:ascii="Calibri" w:eastAsia="Calibri" w:hAnsi="Calibri" w:cs="Calibri"/>
          <w:b/>
          <w:bCs/>
          <w:spacing w:val="-1"/>
          <w:sz w:val="28"/>
          <w:szCs w:val="28"/>
        </w:rPr>
        <w:t>g</w:t>
      </w:r>
      <w:r w:rsidRPr="00FB3CED">
        <w:rPr>
          <w:rFonts w:ascii="Calibri" w:eastAsia="Calibri" w:hAnsi="Calibri" w:cs="Calibri"/>
          <w:b/>
          <w:bCs/>
          <w:spacing w:val="-2"/>
          <w:sz w:val="28"/>
          <w:szCs w:val="28"/>
        </w:rPr>
        <w:t>e</w:t>
      </w:r>
      <w:r w:rsidRPr="00FB3CED">
        <w:rPr>
          <w:rFonts w:ascii="Calibri" w:eastAsia="Calibri" w:hAnsi="Calibri" w:cs="Calibri"/>
          <w:b/>
          <w:bCs/>
          <w:spacing w:val="1"/>
          <w:sz w:val="28"/>
          <w:szCs w:val="28"/>
        </w:rPr>
        <w:t>m</w:t>
      </w:r>
      <w:r w:rsidRPr="00FB3CED">
        <w:rPr>
          <w:rFonts w:ascii="Calibri" w:eastAsia="Calibri" w:hAnsi="Calibri" w:cs="Calibri"/>
          <w:b/>
          <w:bCs/>
          <w:sz w:val="28"/>
          <w:szCs w:val="28"/>
        </w:rPr>
        <w:t>e</w:t>
      </w:r>
      <w:r w:rsidRPr="00FB3CED">
        <w:rPr>
          <w:rFonts w:ascii="Calibri" w:eastAsia="Calibri" w:hAnsi="Calibri" w:cs="Calibri"/>
          <w:b/>
          <w:bCs/>
          <w:spacing w:val="-3"/>
          <w:sz w:val="28"/>
          <w:szCs w:val="28"/>
        </w:rPr>
        <w:t>n</w:t>
      </w:r>
      <w:r w:rsidRPr="00FB3CED">
        <w:rPr>
          <w:rFonts w:ascii="Calibri" w:eastAsia="Calibri" w:hAnsi="Calibri" w:cs="Calibri"/>
          <w:b/>
          <w:bCs/>
          <w:sz w:val="28"/>
          <w:szCs w:val="28"/>
        </w:rPr>
        <w:t>t</w:t>
      </w:r>
      <w:r w:rsidRPr="00FB3CED">
        <w:rPr>
          <w:rFonts w:ascii="Calibri" w:eastAsia="Calibri" w:hAnsi="Calibri" w:cs="Calibri"/>
          <w:b/>
          <w:bCs/>
          <w:spacing w:val="-1"/>
          <w:sz w:val="28"/>
          <w:szCs w:val="28"/>
        </w:rPr>
        <w:t xml:space="preserve"> </w:t>
      </w:r>
      <w:r w:rsidRPr="00FB3CED">
        <w:rPr>
          <w:rFonts w:ascii="Calibri" w:eastAsia="Calibri" w:hAnsi="Calibri" w:cs="Calibri"/>
          <w:b/>
          <w:bCs/>
          <w:spacing w:val="1"/>
          <w:sz w:val="28"/>
          <w:szCs w:val="28"/>
        </w:rPr>
        <w:t>o</w:t>
      </w:r>
      <w:r w:rsidRPr="00FB3CED">
        <w:rPr>
          <w:rFonts w:ascii="Calibri" w:eastAsia="Calibri" w:hAnsi="Calibri" w:cs="Calibri"/>
          <w:b/>
          <w:bCs/>
          <w:sz w:val="28"/>
          <w:szCs w:val="28"/>
        </w:rPr>
        <w:t xml:space="preserve">f </w:t>
      </w:r>
      <w:r w:rsidRPr="00FB3CED">
        <w:rPr>
          <w:rFonts w:ascii="Calibri" w:eastAsia="Calibri" w:hAnsi="Calibri" w:cs="Calibri"/>
          <w:b/>
          <w:bCs/>
          <w:spacing w:val="1"/>
          <w:sz w:val="28"/>
          <w:szCs w:val="28"/>
        </w:rPr>
        <w:t>T</w:t>
      </w:r>
      <w:r w:rsidRPr="00FB3CED">
        <w:rPr>
          <w:rFonts w:ascii="Calibri" w:eastAsia="Calibri" w:hAnsi="Calibri" w:cs="Calibri"/>
          <w:b/>
          <w:bCs/>
          <w:sz w:val="28"/>
          <w:szCs w:val="28"/>
        </w:rPr>
        <w:t>i</w:t>
      </w:r>
      <w:r w:rsidRPr="00FB3CED">
        <w:rPr>
          <w:rFonts w:ascii="Calibri" w:eastAsia="Calibri" w:hAnsi="Calibri" w:cs="Calibri"/>
          <w:b/>
          <w:bCs/>
          <w:spacing w:val="-1"/>
          <w:sz w:val="28"/>
          <w:szCs w:val="28"/>
        </w:rPr>
        <w:t>n</w:t>
      </w:r>
      <w:r w:rsidRPr="00FB3CED">
        <w:rPr>
          <w:rFonts w:ascii="Calibri" w:eastAsia="Calibri" w:hAnsi="Calibri" w:cs="Calibri"/>
          <w:b/>
          <w:bCs/>
          <w:spacing w:val="-2"/>
          <w:sz w:val="28"/>
          <w:szCs w:val="28"/>
        </w:rPr>
        <w:t>e</w:t>
      </w:r>
      <w:r w:rsidRPr="00FB3CED">
        <w:rPr>
          <w:rFonts w:ascii="Calibri" w:eastAsia="Calibri" w:hAnsi="Calibri" w:cs="Calibri"/>
          <w:b/>
          <w:bCs/>
          <w:sz w:val="28"/>
          <w:szCs w:val="28"/>
        </w:rPr>
        <w:t>a Cr</w:t>
      </w:r>
      <w:r w:rsidRPr="00FB3CED">
        <w:rPr>
          <w:rFonts w:ascii="Calibri" w:eastAsia="Calibri" w:hAnsi="Calibri" w:cs="Calibri"/>
          <w:b/>
          <w:bCs/>
          <w:spacing w:val="-1"/>
          <w:sz w:val="28"/>
          <w:szCs w:val="28"/>
        </w:rPr>
        <w:t>u</w:t>
      </w:r>
      <w:r w:rsidRPr="00FB3CED">
        <w:rPr>
          <w:rFonts w:ascii="Calibri" w:eastAsia="Calibri" w:hAnsi="Calibri" w:cs="Calibri"/>
          <w:b/>
          <w:bCs/>
          <w:sz w:val="28"/>
          <w:szCs w:val="28"/>
        </w:rPr>
        <w:t>ris</w:t>
      </w:r>
      <w:r w:rsidRPr="00FB3CED">
        <w:rPr>
          <w:rFonts w:ascii="Calibri" w:eastAsia="Calibri" w:hAnsi="Calibri" w:cs="Calibri"/>
          <w:b/>
          <w:bCs/>
          <w:spacing w:val="-2"/>
          <w:sz w:val="28"/>
          <w:szCs w:val="28"/>
        </w:rPr>
        <w:t xml:space="preserve"> </w:t>
      </w:r>
      <w:r w:rsidRPr="00FB3CED">
        <w:rPr>
          <w:rFonts w:ascii="Calibri" w:eastAsia="Calibri" w:hAnsi="Calibri" w:cs="Calibri"/>
          <w:b/>
          <w:bCs/>
          <w:sz w:val="28"/>
          <w:szCs w:val="28"/>
        </w:rPr>
        <w:t>with</w:t>
      </w:r>
      <w:r w:rsidRPr="00FB3CED">
        <w:rPr>
          <w:rFonts w:ascii="Calibri" w:eastAsia="Calibri" w:hAnsi="Calibri" w:cs="Calibri"/>
          <w:b/>
          <w:bCs/>
          <w:spacing w:val="2"/>
          <w:sz w:val="28"/>
          <w:szCs w:val="28"/>
        </w:rPr>
        <w:t xml:space="preserve"> </w:t>
      </w:r>
      <w:proofErr w:type="spellStart"/>
      <w:r w:rsidRPr="00FB3CED">
        <w:rPr>
          <w:rFonts w:ascii="Calibri" w:eastAsia="Calibri" w:hAnsi="Calibri" w:cs="Calibri"/>
          <w:b/>
          <w:bCs/>
          <w:i/>
          <w:sz w:val="28"/>
          <w:szCs w:val="28"/>
        </w:rPr>
        <w:t>Rh</w:t>
      </w:r>
      <w:r w:rsidRPr="00FB3CED">
        <w:rPr>
          <w:rFonts w:ascii="Calibri" w:eastAsia="Calibri" w:hAnsi="Calibri" w:cs="Calibri"/>
          <w:b/>
          <w:bCs/>
          <w:i/>
          <w:spacing w:val="-1"/>
          <w:sz w:val="28"/>
          <w:szCs w:val="28"/>
        </w:rPr>
        <w:t>ina</w:t>
      </w:r>
      <w:r w:rsidRPr="00FB3CED">
        <w:rPr>
          <w:rFonts w:ascii="Calibri" w:eastAsia="Calibri" w:hAnsi="Calibri" w:cs="Calibri"/>
          <w:b/>
          <w:bCs/>
          <w:i/>
          <w:spacing w:val="-3"/>
          <w:sz w:val="28"/>
          <w:szCs w:val="28"/>
        </w:rPr>
        <w:t>c</w:t>
      </w:r>
      <w:r w:rsidRPr="00FB3CED">
        <w:rPr>
          <w:rFonts w:ascii="Calibri" w:eastAsia="Calibri" w:hAnsi="Calibri" w:cs="Calibri"/>
          <w:b/>
          <w:bCs/>
          <w:i/>
          <w:spacing w:val="-1"/>
          <w:sz w:val="28"/>
          <w:szCs w:val="28"/>
        </w:rPr>
        <w:t>an</w:t>
      </w:r>
      <w:r w:rsidRPr="00FB3CED">
        <w:rPr>
          <w:rFonts w:ascii="Calibri" w:eastAsia="Calibri" w:hAnsi="Calibri" w:cs="Calibri"/>
          <w:b/>
          <w:bCs/>
          <w:i/>
          <w:sz w:val="28"/>
          <w:szCs w:val="28"/>
        </w:rPr>
        <w:t>th</w:t>
      </w:r>
      <w:r w:rsidRPr="00FB3CED">
        <w:rPr>
          <w:rFonts w:ascii="Calibri" w:eastAsia="Calibri" w:hAnsi="Calibri" w:cs="Calibri"/>
          <w:b/>
          <w:bCs/>
          <w:i/>
          <w:spacing w:val="-1"/>
          <w:sz w:val="28"/>
          <w:szCs w:val="28"/>
        </w:rPr>
        <w:t>u</w:t>
      </w:r>
      <w:r w:rsidRPr="00FB3CED">
        <w:rPr>
          <w:rFonts w:ascii="Calibri" w:eastAsia="Calibri" w:hAnsi="Calibri" w:cs="Calibri"/>
          <w:b/>
          <w:bCs/>
          <w:i/>
          <w:sz w:val="28"/>
          <w:szCs w:val="28"/>
        </w:rPr>
        <w:t>s</w:t>
      </w:r>
      <w:proofErr w:type="spellEnd"/>
      <w:r w:rsidRPr="00FB3CED">
        <w:rPr>
          <w:rFonts w:ascii="Calibri" w:eastAsia="Calibri" w:hAnsi="Calibri" w:cs="Calibri"/>
          <w:b/>
          <w:bCs/>
          <w:i/>
          <w:spacing w:val="1"/>
          <w:sz w:val="28"/>
          <w:szCs w:val="28"/>
        </w:rPr>
        <w:t xml:space="preserve"> </w:t>
      </w:r>
      <w:proofErr w:type="spellStart"/>
      <w:r w:rsidRPr="00FB3CED">
        <w:rPr>
          <w:rFonts w:ascii="Calibri" w:eastAsia="Calibri" w:hAnsi="Calibri" w:cs="Calibri"/>
          <w:b/>
          <w:bCs/>
          <w:i/>
          <w:spacing w:val="-1"/>
          <w:sz w:val="28"/>
          <w:szCs w:val="28"/>
        </w:rPr>
        <w:t>na</w:t>
      </w:r>
      <w:r w:rsidRPr="00FB3CED">
        <w:rPr>
          <w:rFonts w:ascii="Calibri" w:eastAsia="Calibri" w:hAnsi="Calibri" w:cs="Calibri"/>
          <w:b/>
          <w:bCs/>
          <w:i/>
          <w:sz w:val="28"/>
          <w:szCs w:val="28"/>
        </w:rPr>
        <w:t>sutus</w:t>
      </w:r>
      <w:proofErr w:type="spellEnd"/>
      <w:r w:rsidRPr="00FB3CED">
        <w:rPr>
          <w:rFonts w:ascii="Calibri" w:eastAsia="Calibri" w:hAnsi="Calibri" w:cs="Calibri"/>
          <w:b/>
          <w:bCs/>
          <w:i/>
          <w:spacing w:val="1"/>
          <w:sz w:val="28"/>
          <w:szCs w:val="28"/>
        </w:rPr>
        <w:t xml:space="preserve"> </w:t>
      </w:r>
      <w:r w:rsidRPr="00FB3CED">
        <w:rPr>
          <w:rFonts w:ascii="Calibri" w:eastAsia="Calibri" w:hAnsi="Calibri" w:cs="Calibri"/>
          <w:b/>
          <w:bCs/>
          <w:spacing w:val="-2"/>
          <w:sz w:val="28"/>
          <w:szCs w:val="28"/>
        </w:rPr>
        <w:t>R</w:t>
      </w:r>
      <w:r w:rsidRPr="00FB3CED">
        <w:rPr>
          <w:rFonts w:ascii="Calibri" w:eastAsia="Calibri" w:hAnsi="Calibri" w:cs="Calibri"/>
          <w:b/>
          <w:bCs/>
          <w:spacing w:val="-1"/>
          <w:sz w:val="28"/>
          <w:szCs w:val="28"/>
        </w:rPr>
        <w:t>o</w:t>
      </w:r>
      <w:r w:rsidRPr="00FB3CED">
        <w:rPr>
          <w:rFonts w:ascii="Calibri" w:eastAsia="Calibri" w:hAnsi="Calibri" w:cs="Calibri"/>
          <w:b/>
          <w:bCs/>
          <w:spacing w:val="1"/>
          <w:sz w:val="28"/>
          <w:szCs w:val="28"/>
        </w:rPr>
        <w:t>o</w:t>
      </w:r>
      <w:r w:rsidRPr="00FB3CED">
        <w:rPr>
          <w:rFonts w:ascii="Calibri" w:eastAsia="Calibri" w:hAnsi="Calibri" w:cs="Calibri"/>
          <w:b/>
          <w:bCs/>
          <w:sz w:val="28"/>
          <w:szCs w:val="28"/>
        </w:rPr>
        <w:t>t</w:t>
      </w:r>
      <w:r>
        <w:rPr>
          <w:rFonts w:ascii="Calibri" w:eastAsia="Calibri" w:hAnsi="Calibri" w:cs="Calibri"/>
          <w:b/>
          <w:bCs/>
          <w:sz w:val="28"/>
          <w:szCs w:val="28"/>
        </w:rPr>
        <w:t xml:space="preserve"> </w:t>
      </w:r>
      <w:r w:rsidRPr="00FB3CED">
        <w:rPr>
          <w:rFonts w:ascii="Calibri" w:eastAsia="Calibri" w:hAnsi="Calibri" w:cs="Calibri"/>
          <w:b/>
          <w:bCs/>
          <w:sz w:val="28"/>
          <w:szCs w:val="28"/>
        </w:rPr>
        <w:t>Ex</w:t>
      </w:r>
      <w:r w:rsidRPr="00FB3CED">
        <w:rPr>
          <w:rFonts w:ascii="Calibri" w:eastAsia="Calibri" w:hAnsi="Calibri" w:cs="Calibri"/>
          <w:b/>
          <w:bCs/>
          <w:spacing w:val="1"/>
          <w:sz w:val="28"/>
          <w:szCs w:val="28"/>
        </w:rPr>
        <w:t>t</w:t>
      </w:r>
      <w:r w:rsidRPr="00FB3CED">
        <w:rPr>
          <w:rFonts w:ascii="Calibri" w:eastAsia="Calibri" w:hAnsi="Calibri" w:cs="Calibri"/>
          <w:b/>
          <w:bCs/>
          <w:sz w:val="28"/>
          <w:szCs w:val="28"/>
        </w:rPr>
        <w:t>ract</w:t>
      </w:r>
      <w:r w:rsidRPr="00FB3CED">
        <w:rPr>
          <w:rFonts w:ascii="Calibri" w:eastAsia="Calibri" w:hAnsi="Calibri" w:cs="Calibri"/>
          <w:b/>
          <w:bCs/>
          <w:spacing w:val="-2"/>
          <w:sz w:val="28"/>
          <w:szCs w:val="28"/>
        </w:rPr>
        <w:t xml:space="preserve"> </w:t>
      </w:r>
      <w:r w:rsidRPr="00FB3CED">
        <w:rPr>
          <w:rFonts w:ascii="Calibri" w:eastAsia="Calibri" w:hAnsi="Calibri" w:cs="Calibri"/>
          <w:b/>
          <w:bCs/>
          <w:sz w:val="28"/>
          <w:szCs w:val="28"/>
        </w:rPr>
        <w:t>G</w:t>
      </w:r>
      <w:r w:rsidRPr="00FB3CED">
        <w:rPr>
          <w:rFonts w:ascii="Calibri" w:eastAsia="Calibri" w:hAnsi="Calibri" w:cs="Calibri"/>
          <w:b/>
          <w:bCs/>
          <w:spacing w:val="1"/>
          <w:sz w:val="28"/>
          <w:szCs w:val="28"/>
        </w:rPr>
        <w:t>e</w:t>
      </w:r>
      <w:r w:rsidRPr="00FB3CED">
        <w:rPr>
          <w:rFonts w:ascii="Calibri" w:eastAsia="Calibri" w:hAnsi="Calibri" w:cs="Calibri"/>
          <w:b/>
          <w:bCs/>
          <w:sz w:val="28"/>
          <w:szCs w:val="28"/>
        </w:rPr>
        <w:t>l</w:t>
      </w:r>
      <w:r w:rsidRPr="00FB3CED">
        <w:rPr>
          <w:rFonts w:ascii="Calibri" w:eastAsia="Calibri" w:hAnsi="Calibri" w:cs="Calibri"/>
          <w:b/>
          <w:bCs/>
          <w:spacing w:val="-3"/>
          <w:sz w:val="28"/>
          <w:szCs w:val="28"/>
        </w:rPr>
        <w:t xml:space="preserve"> </w:t>
      </w:r>
      <w:r w:rsidRPr="00FB3CED">
        <w:rPr>
          <w:rFonts w:ascii="Calibri" w:eastAsia="Calibri" w:hAnsi="Calibri" w:cs="Calibri"/>
          <w:b/>
          <w:bCs/>
          <w:spacing w:val="1"/>
          <w:sz w:val="28"/>
          <w:szCs w:val="28"/>
        </w:rPr>
        <w:t>(0</w:t>
      </w:r>
      <w:r w:rsidRPr="00FB3CED">
        <w:rPr>
          <w:rFonts w:ascii="Calibri" w:eastAsia="Calibri" w:hAnsi="Calibri" w:cs="Calibri"/>
          <w:b/>
          <w:bCs/>
          <w:spacing w:val="-3"/>
          <w:sz w:val="28"/>
          <w:szCs w:val="28"/>
        </w:rPr>
        <w:t>.</w:t>
      </w:r>
      <w:r w:rsidRPr="00FB3CED">
        <w:rPr>
          <w:rFonts w:ascii="Calibri" w:eastAsia="Calibri" w:hAnsi="Calibri" w:cs="Calibri"/>
          <w:b/>
          <w:bCs/>
          <w:spacing w:val="1"/>
          <w:sz w:val="28"/>
          <w:szCs w:val="28"/>
        </w:rPr>
        <w:t>2</w:t>
      </w:r>
      <w:r w:rsidRPr="00FB3CED">
        <w:rPr>
          <w:rFonts w:ascii="Calibri" w:eastAsia="Calibri" w:hAnsi="Calibri" w:cs="Calibri"/>
          <w:b/>
          <w:bCs/>
          <w:sz w:val="28"/>
          <w:szCs w:val="28"/>
        </w:rPr>
        <w:t>%</w:t>
      </w:r>
      <w:r w:rsidRPr="00FB3CED">
        <w:rPr>
          <w:rFonts w:ascii="Calibri" w:eastAsia="Calibri" w:hAnsi="Calibri" w:cs="Calibri"/>
          <w:b/>
          <w:bCs/>
          <w:spacing w:val="-1"/>
          <w:sz w:val="28"/>
          <w:szCs w:val="28"/>
        </w:rPr>
        <w:t xml:space="preserve"> </w:t>
      </w:r>
      <w:proofErr w:type="spellStart"/>
      <w:r w:rsidRPr="00FB3CED">
        <w:rPr>
          <w:rFonts w:ascii="Calibri" w:eastAsia="Calibri" w:hAnsi="Calibri" w:cs="Calibri"/>
          <w:b/>
          <w:bCs/>
          <w:sz w:val="28"/>
          <w:szCs w:val="28"/>
        </w:rPr>
        <w:t>Rh</w:t>
      </w:r>
      <w:r w:rsidRPr="00FB3CED">
        <w:rPr>
          <w:rFonts w:ascii="Calibri" w:eastAsia="Calibri" w:hAnsi="Calibri" w:cs="Calibri"/>
          <w:b/>
          <w:bCs/>
          <w:spacing w:val="-1"/>
          <w:sz w:val="28"/>
          <w:szCs w:val="28"/>
        </w:rPr>
        <w:t>in</w:t>
      </w:r>
      <w:r w:rsidRPr="00FB3CED">
        <w:rPr>
          <w:rFonts w:ascii="Calibri" w:eastAsia="Calibri" w:hAnsi="Calibri" w:cs="Calibri"/>
          <w:b/>
          <w:bCs/>
          <w:sz w:val="28"/>
          <w:szCs w:val="28"/>
        </w:rPr>
        <w:t>aca</w:t>
      </w:r>
      <w:r w:rsidRPr="00FB3CED">
        <w:rPr>
          <w:rFonts w:ascii="Calibri" w:eastAsia="Calibri" w:hAnsi="Calibri" w:cs="Calibri"/>
          <w:b/>
          <w:bCs/>
          <w:spacing w:val="-3"/>
          <w:sz w:val="28"/>
          <w:szCs w:val="28"/>
        </w:rPr>
        <w:t>n</w:t>
      </w:r>
      <w:r w:rsidRPr="00FB3CED">
        <w:rPr>
          <w:rFonts w:ascii="Calibri" w:eastAsia="Calibri" w:hAnsi="Calibri" w:cs="Calibri"/>
          <w:b/>
          <w:bCs/>
          <w:sz w:val="28"/>
          <w:szCs w:val="28"/>
        </w:rPr>
        <w:t>th</w:t>
      </w:r>
      <w:r w:rsidRPr="00FB3CED">
        <w:rPr>
          <w:rFonts w:ascii="Calibri" w:eastAsia="Calibri" w:hAnsi="Calibri" w:cs="Calibri"/>
          <w:b/>
          <w:bCs/>
          <w:spacing w:val="-1"/>
          <w:sz w:val="28"/>
          <w:szCs w:val="28"/>
        </w:rPr>
        <w:t>i</w:t>
      </w:r>
      <w:r w:rsidRPr="00FB3CED">
        <w:rPr>
          <w:rFonts w:ascii="Calibri" w:eastAsia="Calibri" w:hAnsi="Calibri" w:cs="Calibri"/>
          <w:b/>
          <w:bCs/>
          <w:sz w:val="28"/>
          <w:szCs w:val="28"/>
        </w:rPr>
        <w:t>n</w:t>
      </w:r>
      <w:proofErr w:type="spellEnd"/>
      <w:r w:rsidRPr="00FB3CED">
        <w:rPr>
          <w:rFonts w:ascii="Calibri" w:eastAsia="Calibri" w:hAnsi="Calibri" w:cs="Calibri"/>
          <w:b/>
          <w:bCs/>
          <w:spacing w:val="-1"/>
          <w:sz w:val="28"/>
          <w:szCs w:val="28"/>
        </w:rPr>
        <w:t xml:space="preserve"> </w:t>
      </w:r>
      <w:r w:rsidRPr="00FB3CED">
        <w:rPr>
          <w:rFonts w:ascii="Calibri" w:eastAsia="Calibri" w:hAnsi="Calibri" w:cs="Calibri"/>
          <w:b/>
          <w:bCs/>
          <w:sz w:val="28"/>
          <w:szCs w:val="28"/>
        </w:rPr>
        <w:t>C):</w:t>
      </w:r>
      <w:r w:rsidRPr="00FB3CED">
        <w:rPr>
          <w:rFonts w:ascii="Calibri" w:eastAsia="Calibri" w:hAnsi="Calibri" w:cs="Calibri"/>
          <w:b/>
          <w:bCs/>
          <w:spacing w:val="1"/>
          <w:sz w:val="28"/>
          <w:szCs w:val="28"/>
        </w:rPr>
        <w:t xml:space="preserve"> </w:t>
      </w:r>
      <w:r w:rsidRPr="00FB3CED">
        <w:rPr>
          <w:rFonts w:ascii="Calibri" w:eastAsia="Calibri" w:hAnsi="Calibri" w:cs="Calibri"/>
          <w:b/>
          <w:bCs/>
          <w:sz w:val="28"/>
          <w:szCs w:val="28"/>
        </w:rPr>
        <w:t>A</w:t>
      </w:r>
      <w:r w:rsidRPr="00FB3CED">
        <w:rPr>
          <w:rFonts w:ascii="Calibri" w:eastAsia="Calibri" w:hAnsi="Calibri" w:cs="Calibri"/>
          <w:b/>
          <w:bCs/>
          <w:spacing w:val="-2"/>
          <w:sz w:val="28"/>
          <w:szCs w:val="28"/>
        </w:rPr>
        <w:t xml:space="preserve"> </w:t>
      </w:r>
      <w:r w:rsidRPr="00FB3CED">
        <w:rPr>
          <w:rFonts w:ascii="Calibri" w:eastAsia="Calibri" w:hAnsi="Calibri" w:cs="Calibri"/>
          <w:b/>
          <w:bCs/>
          <w:sz w:val="28"/>
          <w:szCs w:val="28"/>
        </w:rPr>
        <w:t>Case</w:t>
      </w:r>
      <w:r w:rsidRPr="00FB3CED">
        <w:rPr>
          <w:rFonts w:ascii="Calibri" w:eastAsia="Calibri" w:hAnsi="Calibri" w:cs="Calibri"/>
          <w:b/>
          <w:bCs/>
          <w:spacing w:val="-2"/>
          <w:sz w:val="28"/>
          <w:szCs w:val="28"/>
        </w:rPr>
        <w:t xml:space="preserve"> </w:t>
      </w:r>
      <w:r w:rsidRPr="00FB3CED">
        <w:rPr>
          <w:rFonts w:ascii="Calibri" w:eastAsia="Calibri" w:hAnsi="Calibri" w:cs="Calibri"/>
          <w:b/>
          <w:bCs/>
          <w:sz w:val="28"/>
          <w:szCs w:val="28"/>
        </w:rPr>
        <w:t>R</w:t>
      </w:r>
      <w:r w:rsidRPr="00FB3CED">
        <w:rPr>
          <w:rFonts w:ascii="Calibri" w:eastAsia="Calibri" w:hAnsi="Calibri" w:cs="Calibri"/>
          <w:b/>
          <w:bCs/>
          <w:spacing w:val="1"/>
          <w:sz w:val="28"/>
          <w:szCs w:val="28"/>
        </w:rPr>
        <w:t>e</w:t>
      </w:r>
      <w:r w:rsidRPr="00FB3CED">
        <w:rPr>
          <w:rFonts w:ascii="Calibri" w:eastAsia="Calibri" w:hAnsi="Calibri" w:cs="Calibri"/>
          <w:b/>
          <w:bCs/>
          <w:spacing w:val="-3"/>
          <w:sz w:val="28"/>
          <w:szCs w:val="28"/>
        </w:rPr>
        <w:t>p</w:t>
      </w:r>
      <w:r w:rsidRPr="00FB3CED">
        <w:rPr>
          <w:rFonts w:ascii="Calibri" w:eastAsia="Calibri" w:hAnsi="Calibri" w:cs="Calibri"/>
          <w:b/>
          <w:bCs/>
          <w:spacing w:val="1"/>
          <w:sz w:val="28"/>
          <w:szCs w:val="28"/>
        </w:rPr>
        <w:t>o</w:t>
      </w:r>
      <w:r w:rsidRPr="00FB3CED">
        <w:rPr>
          <w:rFonts w:ascii="Calibri" w:eastAsia="Calibri" w:hAnsi="Calibri" w:cs="Calibri"/>
          <w:b/>
          <w:bCs/>
          <w:sz w:val="28"/>
          <w:szCs w:val="28"/>
        </w:rPr>
        <w:t>rt</w:t>
      </w:r>
      <w:r w:rsidRPr="00FB3CED">
        <w:rPr>
          <w:rFonts w:ascii="Calibri" w:eastAsia="Calibri" w:hAnsi="Calibri" w:cs="Calibri"/>
          <w:b/>
          <w:bCs/>
          <w:spacing w:val="-1"/>
          <w:sz w:val="28"/>
          <w:szCs w:val="28"/>
        </w:rPr>
        <w:t xml:space="preserve"> </w:t>
      </w:r>
      <w:r w:rsidRPr="00FB3CED">
        <w:rPr>
          <w:rFonts w:ascii="Calibri" w:eastAsia="Calibri" w:hAnsi="Calibri" w:cs="Calibri"/>
          <w:b/>
          <w:bCs/>
          <w:spacing w:val="1"/>
          <w:sz w:val="28"/>
          <w:szCs w:val="28"/>
        </w:rPr>
        <w:t>o</w:t>
      </w:r>
      <w:r w:rsidRPr="00FB3CED">
        <w:rPr>
          <w:rFonts w:ascii="Calibri" w:eastAsia="Calibri" w:hAnsi="Calibri" w:cs="Calibri"/>
          <w:b/>
          <w:bCs/>
          <w:sz w:val="28"/>
          <w:szCs w:val="28"/>
        </w:rPr>
        <w:t>n</w:t>
      </w:r>
      <w:r w:rsidRPr="00FB3CED">
        <w:rPr>
          <w:rFonts w:ascii="Calibri" w:eastAsia="Calibri" w:hAnsi="Calibri" w:cs="Calibri"/>
          <w:b/>
          <w:bCs/>
          <w:spacing w:val="-1"/>
          <w:sz w:val="28"/>
          <w:szCs w:val="28"/>
        </w:rPr>
        <w:t xml:space="preserve"> </w:t>
      </w:r>
      <w:r w:rsidRPr="00FB3CED">
        <w:rPr>
          <w:rFonts w:ascii="Calibri" w:eastAsia="Calibri" w:hAnsi="Calibri" w:cs="Calibri"/>
          <w:b/>
          <w:bCs/>
          <w:sz w:val="28"/>
          <w:szCs w:val="28"/>
        </w:rPr>
        <w:t>C</w:t>
      </w:r>
      <w:r w:rsidRPr="00FB3CED">
        <w:rPr>
          <w:rFonts w:ascii="Calibri" w:eastAsia="Calibri" w:hAnsi="Calibri" w:cs="Calibri"/>
          <w:b/>
          <w:bCs/>
          <w:spacing w:val="-2"/>
          <w:sz w:val="28"/>
          <w:szCs w:val="28"/>
        </w:rPr>
        <w:t>l</w:t>
      </w:r>
      <w:r w:rsidRPr="00FB3CED">
        <w:rPr>
          <w:rFonts w:ascii="Calibri" w:eastAsia="Calibri" w:hAnsi="Calibri" w:cs="Calibri"/>
          <w:b/>
          <w:bCs/>
          <w:sz w:val="28"/>
          <w:szCs w:val="28"/>
        </w:rPr>
        <w:t>i</w:t>
      </w:r>
      <w:r w:rsidRPr="00FB3CED">
        <w:rPr>
          <w:rFonts w:ascii="Calibri" w:eastAsia="Calibri" w:hAnsi="Calibri" w:cs="Calibri"/>
          <w:b/>
          <w:bCs/>
          <w:spacing w:val="-1"/>
          <w:sz w:val="28"/>
          <w:szCs w:val="28"/>
        </w:rPr>
        <w:t>n</w:t>
      </w:r>
      <w:r w:rsidRPr="00FB3CED">
        <w:rPr>
          <w:rFonts w:ascii="Calibri" w:eastAsia="Calibri" w:hAnsi="Calibri" w:cs="Calibri"/>
          <w:b/>
          <w:bCs/>
          <w:sz w:val="28"/>
          <w:szCs w:val="28"/>
        </w:rPr>
        <w:t>ical and</w:t>
      </w:r>
      <w:r w:rsidRPr="00FB3CED">
        <w:rPr>
          <w:rFonts w:ascii="Calibri" w:eastAsia="Calibri" w:hAnsi="Calibri" w:cs="Calibri"/>
          <w:b/>
          <w:bCs/>
          <w:spacing w:val="-1"/>
          <w:sz w:val="28"/>
          <w:szCs w:val="28"/>
        </w:rPr>
        <w:t xml:space="preserve"> </w:t>
      </w:r>
      <w:r w:rsidRPr="00FB3CED">
        <w:rPr>
          <w:rFonts w:ascii="Calibri" w:eastAsia="Calibri" w:hAnsi="Calibri" w:cs="Calibri"/>
          <w:b/>
          <w:bCs/>
          <w:spacing w:val="1"/>
          <w:sz w:val="28"/>
          <w:szCs w:val="28"/>
        </w:rPr>
        <w:t>M</w:t>
      </w:r>
      <w:r w:rsidRPr="00FB3CED">
        <w:rPr>
          <w:rFonts w:ascii="Calibri" w:eastAsia="Calibri" w:hAnsi="Calibri" w:cs="Calibri"/>
          <w:b/>
          <w:bCs/>
          <w:spacing w:val="-1"/>
          <w:sz w:val="28"/>
          <w:szCs w:val="28"/>
        </w:rPr>
        <w:t>y</w:t>
      </w:r>
      <w:r w:rsidRPr="00FB3CED">
        <w:rPr>
          <w:rFonts w:ascii="Calibri" w:eastAsia="Calibri" w:hAnsi="Calibri" w:cs="Calibri"/>
          <w:b/>
          <w:bCs/>
          <w:sz w:val="28"/>
          <w:szCs w:val="28"/>
        </w:rPr>
        <w:t>c</w:t>
      </w:r>
      <w:r w:rsidRPr="00FB3CED">
        <w:rPr>
          <w:rFonts w:ascii="Calibri" w:eastAsia="Calibri" w:hAnsi="Calibri" w:cs="Calibri"/>
          <w:b/>
          <w:bCs/>
          <w:spacing w:val="1"/>
          <w:sz w:val="28"/>
          <w:szCs w:val="28"/>
        </w:rPr>
        <w:t>o</w:t>
      </w:r>
      <w:r w:rsidRPr="00FB3CED">
        <w:rPr>
          <w:rFonts w:ascii="Calibri" w:eastAsia="Calibri" w:hAnsi="Calibri" w:cs="Calibri"/>
          <w:b/>
          <w:bCs/>
          <w:spacing w:val="-3"/>
          <w:sz w:val="28"/>
          <w:szCs w:val="28"/>
        </w:rPr>
        <w:t>l</w:t>
      </w:r>
      <w:r w:rsidRPr="00FB3CED">
        <w:rPr>
          <w:rFonts w:ascii="Calibri" w:eastAsia="Calibri" w:hAnsi="Calibri" w:cs="Calibri"/>
          <w:b/>
          <w:bCs/>
          <w:spacing w:val="1"/>
          <w:sz w:val="28"/>
          <w:szCs w:val="28"/>
        </w:rPr>
        <w:t>o</w:t>
      </w:r>
      <w:r w:rsidRPr="00FB3CED">
        <w:rPr>
          <w:rFonts w:ascii="Calibri" w:eastAsia="Calibri" w:hAnsi="Calibri" w:cs="Calibri"/>
          <w:b/>
          <w:bCs/>
          <w:spacing w:val="-1"/>
          <w:sz w:val="28"/>
          <w:szCs w:val="28"/>
        </w:rPr>
        <w:t>g</w:t>
      </w:r>
      <w:r w:rsidRPr="00FB3CED">
        <w:rPr>
          <w:rFonts w:ascii="Calibri" w:eastAsia="Calibri" w:hAnsi="Calibri" w:cs="Calibri"/>
          <w:b/>
          <w:bCs/>
          <w:sz w:val="28"/>
          <w:szCs w:val="28"/>
        </w:rPr>
        <w:t>ical</w:t>
      </w:r>
      <w:r w:rsidRPr="00FB3CED">
        <w:rPr>
          <w:rFonts w:ascii="Calibri" w:eastAsia="Calibri" w:hAnsi="Calibri" w:cs="Calibri"/>
          <w:b/>
          <w:bCs/>
          <w:spacing w:val="-2"/>
          <w:sz w:val="28"/>
          <w:szCs w:val="28"/>
        </w:rPr>
        <w:t xml:space="preserve"> </w:t>
      </w:r>
      <w:r w:rsidRPr="00FB3CED">
        <w:rPr>
          <w:rFonts w:ascii="Calibri" w:eastAsia="Calibri" w:hAnsi="Calibri" w:cs="Calibri"/>
          <w:b/>
          <w:bCs/>
          <w:sz w:val="28"/>
          <w:szCs w:val="28"/>
        </w:rPr>
        <w:t>Out</w:t>
      </w:r>
      <w:r w:rsidRPr="00FB3CED">
        <w:rPr>
          <w:rFonts w:ascii="Calibri" w:eastAsia="Calibri" w:hAnsi="Calibri" w:cs="Calibri"/>
          <w:b/>
          <w:bCs/>
          <w:spacing w:val="-2"/>
          <w:sz w:val="28"/>
          <w:szCs w:val="28"/>
        </w:rPr>
        <w:t>c</w:t>
      </w:r>
      <w:r w:rsidRPr="00FB3CED">
        <w:rPr>
          <w:rFonts w:ascii="Calibri" w:eastAsia="Calibri" w:hAnsi="Calibri" w:cs="Calibri"/>
          <w:b/>
          <w:bCs/>
          <w:spacing w:val="1"/>
          <w:sz w:val="28"/>
          <w:szCs w:val="28"/>
        </w:rPr>
        <w:t>o</w:t>
      </w:r>
      <w:r w:rsidRPr="00FB3CED">
        <w:rPr>
          <w:rFonts w:ascii="Calibri" w:eastAsia="Calibri" w:hAnsi="Calibri" w:cs="Calibri"/>
          <w:b/>
          <w:bCs/>
          <w:spacing w:val="-1"/>
          <w:sz w:val="28"/>
          <w:szCs w:val="28"/>
        </w:rPr>
        <w:t>m</w:t>
      </w:r>
      <w:r w:rsidRPr="00FB3CED">
        <w:rPr>
          <w:rFonts w:ascii="Calibri" w:eastAsia="Calibri" w:hAnsi="Calibri" w:cs="Calibri"/>
          <w:b/>
          <w:bCs/>
          <w:sz w:val="28"/>
          <w:szCs w:val="28"/>
        </w:rPr>
        <w:t>es</w:t>
      </w:r>
    </w:p>
    <w:p w14:paraId="4A4F3013" w14:textId="77777777" w:rsidR="00A258C3" w:rsidRPr="00790ADA" w:rsidRDefault="00A258C3" w:rsidP="00441B6F">
      <w:pPr>
        <w:pStyle w:val="Author"/>
        <w:spacing w:line="240" w:lineRule="auto"/>
        <w:jc w:val="both"/>
        <w:rPr>
          <w:rFonts w:ascii="Arial" w:hAnsi="Arial" w:cs="Arial"/>
          <w:sz w:val="36"/>
        </w:rPr>
      </w:pPr>
    </w:p>
    <w:p w14:paraId="67B0B061" w14:textId="77777777" w:rsidR="002C57D2" w:rsidRPr="00FB3A86" w:rsidRDefault="002C57D2" w:rsidP="00441B6F">
      <w:pPr>
        <w:pStyle w:val="Affiliation"/>
        <w:spacing w:after="0" w:line="240" w:lineRule="auto"/>
        <w:jc w:val="both"/>
        <w:rPr>
          <w:rFonts w:ascii="Arial" w:hAnsi="Arial" w:cs="Arial"/>
        </w:rPr>
      </w:pPr>
    </w:p>
    <w:p w14:paraId="006B5F25" w14:textId="33BBCB5E" w:rsidR="00B01FCD" w:rsidRPr="00FB3A86" w:rsidRDefault="00B8092F" w:rsidP="00441B6F">
      <w:pPr>
        <w:pStyle w:val="Copyright"/>
        <w:spacing w:after="0" w:line="240" w:lineRule="auto"/>
        <w:jc w:val="both"/>
        <w:rPr>
          <w:rFonts w:ascii="Arial" w:hAnsi="Arial" w:cs="Arial"/>
        </w:rPr>
        <w:sectPr w:rsidR="00B01FCD" w:rsidRPr="00FB3A86" w:rsidSect="00F627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6898A8A" wp14:editId="2A2DA265">
                <wp:extent cx="5303520" cy="635"/>
                <wp:effectExtent l="13335" t="13335" r="17145" b="15240"/>
                <wp:docPr id="3481449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FC85C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22DC31E" w14:textId="396ECC8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A323F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74E18CB" w14:textId="77777777" w:rsidTr="001E44FE">
        <w:tc>
          <w:tcPr>
            <w:tcW w:w="9576" w:type="dxa"/>
            <w:shd w:val="clear" w:color="auto" w:fill="F2F2F2"/>
          </w:tcPr>
          <w:p w14:paraId="44DB20AD" w14:textId="3C6147B5" w:rsidR="00E3114E" w:rsidRDefault="001C25BA" w:rsidP="00441B6F">
            <w:pPr>
              <w:pStyle w:val="Body"/>
              <w:spacing w:after="0"/>
              <w:rPr>
                <w:rFonts w:ascii="Arial" w:eastAsia="Calibri" w:hAnsi="Arial" w:cs="Arial"/>
                <w:szCs w:val="22"/>
              </w:rPr>
            </w:pPr>
            <w:r w:rsidRPr="001C25BA">
              <w:rPr>
                <w:rFonts w:ascii="Arial" w:eastAsia="Calibri" w:hAnsi="Arial" w:cs="Arial"/>
                <w:szCs w:val="22"/>
              </w:rPr>
              <w:t>Tinea cruris is a dermatophyte infection affect</w:t>
            </w:r>
            <w:r w:rsidR="00185CD9">
              <w:rPr>
                <w:rFonts w:ascii="Arial" w:eastAsia="Calibri" w:hAnsi="Arial" w:cs="Arial"/>
                <w:szCs w:val="22"/>
              </w:rPr>
              <w:t>ing</w:t>
            </w:r>
            <w:r w:rsidRPr="001C25BA">
              <w:rPr>
                <w:rFonts w:ascii="Arial" w:eastAsia="Calibri" w:hAnsi="Arial" w:cs="Arial"/>
                <w:szCs w:val="22"/>
              </w:rPr>
              <w:t xml:space="preserve"> the genital area, groin, buttocks, and inner thighs</w:t>
            </w:r>
            <w:r w:rsidR="00185CD9">
              <w:rPr>
                <w:rFonts w:ascii="Arial" w:eastAsia="Calibri" w:hAnsi="Arial" w:cs="Arial"/>
                <w:szCs w:val="22"/>
              </w:rPr>
              <w:t>,</w:t>
            </w:r>
            <w:r w:rsidRPr="001C25BA">
              <w:rPr>
                <w:rFonts w:ascii="Arial" w:eastAsia="Calibri" w:hAnsi="Arial" w:cs="Arial"/>
                <w:szCs w:val="22"/>
              </w:rPr>
              <w:t xml:space="preserve"> </w:t>
            </w:r>
            <w:r w:rsidR="00185CD9">
              <w:rPr>
                <w:rFonts w:ascii="Arial" w:eastAsia="Calibri" w:hAnsi="Arial" w:cs="Arial"/>
                <w:szCs w:val="22"/>
              </w:rPr>
              <w:t>c</w:t>
            </w:r>
            <w:r w:rsidRPr="001C25BA">
              <w:rPr>
                <w:rFonts w:ascii="Arial" w:eastAsia="Calibri" w:hAnsi="Arial" w:cs="Arial"/>
                <w:szCs w:val="22"/>
              </w:rPr>
              <w:t>ommon</w:t>
            </w:r>
            <w:r w:rsidR="00185CD9">
              <w:rPr>
                <w:rFonts w:ascii="Arial" w:eastAsia="Calibri" w:hAnsi="Arial" w:cs="Arial"/>
                <w:szCs w:val="22"/>
              </w:rPr>
              <w:t>ly</w:t>
            </w:r>
            <w:r w:rsidRPr="001C25BA">
              <w:rPr>
                <w:rFonts w:ascii="Arial" w:eastAsia="Calibri" w:hAnsi="Arial" w:cs="Arial"/>
                <w:szCs w:val="22"/>
              </w:rPr>
              <w:t xml:space="preserve"> </w:t>
            </w:r>
            <w:r w:rsidR="00185CD9">
              <w:rPr>
                <w:rFonts w:ascii="Arial" w:eastAsia="Calibri" w:hAnsi="Arial" w:cs="Arial"/>
                <w:szCs w:val="22"/>
              </w:rPr>
              <w:t>presenting with</w:t>
            </w:r>
            <w:r w:rsidRPr="001C25BA">
              <w:rPr>
                <w:rFonts w:ascii="Arial" w:eastAsia="Calibri" w:hAnsi="Arial" w:cs="Arial"/>
                <w:szCs w:val="22"/>
              </w:rPr>
              <w:t xml:space="preserve"> erythema, desquamation, pruritus, and a burning sensation. </w:t>
            </w:r>
            <w:r w:rsidR="00185CD9" w:rsidRPr="00185CD9">
              <w:rPr>
                <w:rFonts w:ascii="Arial" w:eastAsia="Calibri" w:hAnsi="Arial" w:cs="Arial"/>
                <w:szCs w:val="22"/>
              </w:rPr>
              <w:t>While antifungal medications are standard treatments, resistance and recurrence are increasing concerns.</w:t>
            </w:r>
            <w:r w:rsidR="00185CD9">
              <w:rPr>
                <w:rFonts w:ascii="Arial" w:eastAsia="Calibri" w:hAnsi="Arial" w:cs="Arial"/>
                <w:szCs w:val="22"/>
              </w:rPr>
              <w:t xml:space="preserve"> </w:t>
            </w:r>
            <w:r w:rsidRPr="001C25BA">
              <w:rPr>
                <w:rFonts w:ascii="Arial" w:eastAsia="Calibri" w:hAnsi="Arial" w:cs="Arial"/>
                <w:szCs w:val="22"/>
              </w:rPr>
              <w:t>In</w:t>
            </w:r>
            <w:r w:rsidR="00185CD9">
              <w:rPr>
                <w:rFonts w:ascii="Arial" w:eastAsia="Calibri" w:hAnsi="Arial" w:cs="Arial"/>
                <w:szCs w:val="22"/>
              </w:rPr>
              <w:t xml:space="preserve"> </w:t>
            </w:r>
            <w:r w:rsidRPr="001C25BA">
              <w:rPr>
                <w:rFonts w:ascii="Arial" w:eastAsia="Calibri" w:hAnsi="Arial" w:cs="Arial"/>
                <w:szCs w:val="22"/>
              </w:rPr>
              <w:t>Thai traditional medicine, herbal remedies are also considered for the treatment of fungal skin diseases. This c</w:t>
            </w:r>
            <w:bookmarkStart w:id="0" w:name="_GoBack"/>
            <w:bookmarkEnd w:id="0"/>
            <w:r w:rsidRPr="001C25BA">
              <w:rPr>
                <w:rFonts w:ascii="Arial" w:eastAsia="Calibri" w:hAnsi="Arial" w:cs="Arial"/>
                <w:szCs w:val="22"/>
              </w:rPr>
              <w:t xml:space="preserve">ase report described the management of tinea cruris in a 23-year-old male patient who had been suffering from the condition for one year. The patient had previously been treated with ketoconazole cream for 5-6 months, followed by a topical steroid with anti-inflammatory, antibacterial, and antifungal properties for </w:t>
            </w:r>
            <w:r w:rsidR="00541C28">
              <w:rPr>
                <w:rFonts w:ascii="Arial" w:eastAsia="Calibri" w:hAnsi="Arial" w:cs="Arial"/>
                <w:szCs w:val="22"/>
              </w:rPr>
              <w:t>one</w:t>
            </w:r>
            <w:r w:rsidRPr="001C25BA">
              <w:rPr>
                <w:rFonts w:ascii="Arial" w:eastAsia="Calibri" w:hAnsi="Arial" w:cs="Arial"/>
                <w:szCs w:val="22"/>
              </w:rPr>
              <w:t xml:space="preserve"> month. </w:t>
            </w:r>
            <w:r w:rsidR="00541C28" w:rsidRPr="00541C28">
              <w:rPr>
                <w:rFonts w:ascii="Arial" w:eastAsia="Calibri" w:hAnsi="Arial" w:cs="Arial"/>
                <w:szCs w:val="22"/>
              </w:rPr>
              <w:t>Although itching improved, the lesions persisted and worsened after treatment stopped.</w:t>
            </w:r>
            <w:r w:rsidR="00541C28">
              <w:rPr>
                <w:rFonts w:ascii="Arial" w:eastAsia="Calibri" w:hAnsi="Arial" w:cs="Arial"/>
                <w:szCs w:val="22"/>
              </w:rPr>
              <w:t xml:space="preserve"> </w:t>
            </w:r>
            <w:r w:rsidRPr="001C25BA">
              <w:rPr>
                <w:rFonts w:ascii="Arial" w:eastAsia="Calibri" w:hAnsi="Arial" w:cs="Arial"/>
                <w:szCs w:val="22"/>
              </w:rPr>
              <w:t xml:space="preserve">Microscopic examination using KOH preparation revealed septate hyphae with arthroconidia from the skin lesion. The patient was </w:t>
            </w:r>
            <w:r w:rsidR="00541C28">
              <w:rPr>
                <w:rFonts w:ascii="Arial" w:eastAsia="Calibri" w:hAnsi="Arial" w:cs="Arial"/>
                <w:szCs w:val="22"/>
              </w:rPr>
              <w:t xml:space="preserve">then </w:t>
            </w:r>
            <w:r w:rsidRPr="001C25BA">
              <w:rPr>
                <w:rFonts w:ascii="Arial" w:eastAsia="Calibri" w:hAnsi="Arial" w:cs="Arial"/>
                <w:szCs w:val="22"/>
              </w:rPr>
              <w:t xml:space="preserve">treated with </w:t>
            </w:r>
            <w:r w:rsidRPr="001C25BA">
              <w:rPr>
                <w:rFonts w:ascii="Arial" w:eastAsia="Calibri" w:hAnsi="Arial" w:cs="Arial"/>
                <w:i/>
                <w:iCs/>
                <w:szCs w:val="22"/>
              </w:rPr>
              <w:t>Rhinacanthus nasutus</w:t>
            </w:r>
            <w:r w:rsidRPr="001C25BA">
              <w:rPr>
                <w:rFonts w:ascii="Arial" w:eastAsia="Calibri" w:hAnsi="Arial" w:cs="Arial"/>
                <w:szCs w:val="22"/>
              </w:rPr>
              <w:t xml:space="preserve"> root extract gel (0.2% rhinacanthin C), applied to the affected areas twice daily for </w:t>
            </w:r>
            <w:r w:rsidR="00541C28">
              <w:rPr>
                <w:rFonts w:ascii="Arial" w:eastAsia="Calibri" w:hAnsi="Arial" w:cs="Arial"/>
                <w:szCs w:val="22"/>
              </w:rPr>
              <w:t>eight</w:t>
            </w:r>
            <w:r w:rsidRPr="001C25BA">
              <w:rPr>
                <w:rFonts w:ascii="Arial" w:eastAsia="Calibri" w:hAnsi="Arial" w:cs="Arial"/>
                <w:szCs w:val="22"/>
              </w:rPr>
              <w:t xml:space="preserve"> weeks. Clinical improvement was observed within two weeks of treatment initiation, and KOH preparations remained negative from the second week through the end of the treatment period. The patient tolerated the herbal gel well, with no adverse effects reported. There was no recurrence of tinea cruris during one year of follow-up. This case report suggests that </w:t>
            </w:r>
            <w:r w:rsidRPr="001C25BA">
              <w:rPr>
                <w:rFonts w:ascii="Arial" w:eastAsia="Calibri" w:hAnsi="Arial" w:cs="Arial"/>
                <w:i/>
                <w:iCs/>
                <w:szCs w:val="22"/>
              </w:rPr>
              <w:t xml:space="preserve">R. nasutus </w:t>
            </w:r>
            <w:r w:rsidRPr="001C25BA">
              <w:rPr>
                <w:rFonts w:ascii="Arial" w:eastAsia="Calibri" w:hAnsi="Arial" w:cs="Arial"/>
                <w:szCs w:val="22"/>
              </w:rPr>
              <w:t xml:space="preserve">root extract gel, containing 0.2% rhinacanthin C, was effective in relieving both the clinical symptoms and mycological aspects of dermatophytosis. The gel formulation may be </w:t>
            </w:r>
            <w:r w:rsidR="00541C28" w:rsidRPr="00541C28">
              <w:rPr>
                <w:rFonts w:ascii="Arial" w:eastAsia="Calibri" w:hAnsi="Arial" w:cs="Arial"/>
                <w:szCs w:val="22"/>
              </w:rPr>
              <w:t xml:space="preserve">a safe and effective </w:t>
            </w:r>
            <w:r w:rsidR="00F017CE">
              <w:rPr>
                <w:rFonts w:ascii="Arial" w:eastAsia="Calibri" w:hAnsi="Arial" w:cs="Arial"/>
                <w:szCs w:val="22"/>
              </w:rPr>
              <w:t>topical</w:t>
            </w:r>
            <w:r w:rsidR="00541C28" w:rsidRPr="00541C28">
              <w:rPr>
                <w:rFonts w:ascii="Arial" w:eastAsia="Calibri" w:hAnsi="Arial" w:cs="Arial"/>
                <w:szCs w:val="22"/>
              </w:rPr>
              <w:t xml:space="preserve"> alternative</w:t>
            </w:r>
            <w:r w:rsidRPr="001C25BA">
              <w:rPr>
                <w:rFonts w:ascii="Arial" w:eastAsia="Calibri" w:hAnsi="Arial" w:cs="Arial"/>
                <w:szCs w:val="22"/>
              </w:rPr>
              <w:t xml:space="preserve"> for the management of tinea cruris.</w:t>
            </w:r>
          </w:p>
          <w:p w14:paraId="60696B81" w14:textId="3BC54EA2" w:rsidR="00505F06" w:rsidRPr="00DE6D4C" w:rsidRDefault="00505F06" w:rsidP="00441B6F">
            <w:pPr>
              <w:pStyle w:val="Body"/>
              <w:spacing w:after="0"/>
              <w:rPr>
                <w:rFonts w:ascii="Arial" w:eastAsia="Calibri" w:hAnsi="Arial" w:cstheme="minorBidi"/>
                <w:szCs w:val="22"/>
                <w:cs/>
                <w:lang w:bidi="th-TH"/>
              </w:rPr>
            </w:pPr>
          </w:p>
        </w:tc>
      </w:tr>
    </w:tbl>
    <w:p w14:paraId="1A19F0ED" w14:textId="77777777" w:rsidR="00636EB2" w:rsidRDefault="00636EB2" w:rsidP="00441B6F">
      <w:pPr>
        <w:pStyle w:val="Body"/>
        <w:spacing w:after="0"/>
        <w:rPr>
          <w:rFonts w:ascii="Arial" w:hAnsi="Arial" w:cs="Arial"/>
          <w:i/>
        </w:rPr>
      </w:pPr>
    </w:p>
    <w:p w14:paraId="703C6B04" w14:textId="48447860" w:rsidR="00A24E7E" w:rsidRDefault="00A24E7E" w:rsidP="00441B6F">
      <w:pPr>
        <w:pStyle w:val="Body"/>
        <w:spacing w:after="0"/>
        <w:rPr>
          <w:rFonts w:ascii="Arial" w:hAnsi="Arial" w:cs="Arial"/>
          <w:i/>
        </w:rPr>
      </w:pPr>
      <w:r>
        <w:rPr>
          <w:rFonts w:ascii="Arial" w:hAnsi="Arial" w:cs="Arial"/>
          <w:i/>
        </w:rPr>
        <w:t xml:space="preserve">Keywords: </w:t>
      </w:r>
      <w:r w:rsidR="001C25BA" w:rsidRPr="001C25BA">
        <w:rPr>
          <w:rFonts w:ascii="Arial" w:hAnsi="Arial" w:cs="Arial"/>
          <w:i/>
        </w:rPr>
        <w:t>Tinea cruris, Rhinacanthus nasutus root extract gel, Rhinacanthin C, Dermatophytosis</w:t>
      </w:r>
    </w:p>
    <w:p w14:paraId="5CA1D1CA" w14:textId="77777777" w:rsidR="0024282C" w:rsidRDefault="0024282C" w:rsidP="00441B6F">
      <w:pPr>
        <w:pStyle w:val="Body"/>
        <w:spacing w:after="0"/>
        <w:rPr>
          <w:rFonts w:ascii="Arial" w:hAnsi="Arial" w:cs="Arial"/>
          <w:i/>
          <w:sz w:val="18"/>
        </w:rPr>
      </w:pPr>
    </w:p>
    <w:p w14:paraId="46FA1CB5" w14:textId="77777777" w:rsidR="00505F06" w:rsidRPr="00A24E7E" w:rsidRDefault="00505F06" w:rsidP="00441B6F">
      <w:pPr>
        <w:pStyle w:val="Body"/>
        <w:spacing w:after="0"/>
        <w:rPr>
          <w:rFonts w:ascii="Arial" w:hAnsi="Arial" w:cs="Arial"/>
          <w:i/>
        </w:rPr>
      </w:pPr>
    </w:p>
    <w:p w14:paraId="042C1BEE" w14:textId="2C349A3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383A93" w14:textId="77777777" w:rsidR="00790ADA" w:rsidRPr="00FB3A86" w:rsidRDefault="00790ADA" w:rsidP="00441B6F">
      <w:pPr>
        <w:pStyle w:val="AbstHead"/>
        <w:spacing w:after="0"/>
        <w:jc w:val="both"/>
        <w:rPr>
          <w:rFonts w:ascii="Arial" w:hAnsi="Arial" w:cs="Arial"/>
        </w:rPr>
      </w:pPr>
    </w:p>
    <w:p w14:paraId="2F8F0A3C" w14:textId="77777777" w:rsidR="00DE6D4C" w:rsidRDefault="00DE6D4C" w:rsidP="00DE6D4C">
      <w:pPr>
        <w:pStyle w:val="Body"/>
        <w:rPr>
          <w:rFonts w:ascii="Arial" w:hAnsi="Arial" w:cs="Arial"/>
        </w:rPr>
      </w:pPr>
      <w:r w:rsidRPr="00251956">
        <w:rPr>
          <w:rFonts w:ascii="Arial" w:hAnsi="Arial" w:cs="Arial"/>
        </w:rPr>
        <w:t xml:space="preserve">Dermatophytosis, also known as tinea or ringworm, is a superficial fungal infection of the skin caused by dermatophytes belonging to three primary genera: </w:t>
      </w:r>
      <w:r w:rsidRPr="001E762F">
        <w:rPr>
          <w:rFonts w:ascii="Arial" w:hAnsi="Arial" w:cs="Arial"/>
          <w:i/>
          <w:iCs/>
        </w:rPr>
        <w:t>Trichophyton</w:t>
      </w:r>
      <w:r w:rsidRPr="00251956">
        <w:rPr>
          <w:rFonts w:ascii="Arial" w:hAnsi="Arial" w:cs="Arial"/>
        </w:rPr>
        <w:t xml:space="preserve">, </w:t>
      </w:r>
      <w:r w:rsidRPr="001E762F">
        <w:rPr>
          <w:rFonts w:ascii="Arial" w:hAnsi="Arial" w:cs="Arial"/>
          <w:i/>
          <w:iCs/>
        </w:rPr>
        <w:t>Epidermophyton</w:t>
      </w:r>
      <w:r w:rsidRPr="00251956">
        <w:rPr>
          <w:rFonts w:ascii="Arial" w:hAnsi="Arial" w:cs="Arial"/>
        </w:rPr>
        <w:t xml:space="preserve">, and </w:t>
      </w:r>
      <w:r w:rsidRPr="001E762F">
        <w:rPr>
          <w:rFonts w:ascii="Arial" w:hAnsi="Arial" w:cs="Arial"/>
          <w:i/>
          <w:iCs/>
        </w:rPr>
        <w:t>Microsporum</w:t>
      </w:r>
      <w:r w:rsidRPr="00251956">
        <w:rPr>
          <w:rFonts w:ascii="Arial" w:hAnsi="Arial" w:cs="Arial"/>
        </w:rPr>
        <w:t xml:space="preserve">. These fungi primarily infect the keratinized tissues, including the skin, hair, and nails. Clinical manifestations of the infection include erythematous rashes, desquamation, pruritus, and a burning sensation. Tinea infections are </w:t>
      </w:r>
      <w:r>
        <w:rPr>
          <w:rFonts w:ascii="Arial" w:hAnsi="Arial" w:cs="Arial"/>
        </w:rPr>
        <w:t>categoriz</w:t>
      </w:r>
      <w:r w:rsidRPr="00251956">
        <w:rPr>
          <w:rFonts w:ascii="Arial" w:hAnsi="Arial" w:cs="Arial"/>
        </w:rPr>
        <w:t xml:space="preserve">ed based on the affected body part, such as Tinea corporis (body), Tinea capitis (scalp), Tinea </w:t>
      </w:r>
      <w:proofErr w:type="spellStart"/>
      <w:r w:rsidRPr="00251956">
        <w:rPr>
          <w:rFonts w:ascii="Arial" w:hAnsi="Arial" w:cs="Arial"/>
        </w:rPr>
        <w:t>faciei</w:t>
      </w:r>
      <w:proofErr w:type="spellEnd"/>
      <w:r w:rsidRPr="00251956">
        <w:rPr>
          <w:rFonts w:ascii="Arial" w:hAnsi="Arial" w:cs="Arial"/>
        </w:rPr>
        <w:t xml:space="preserve"> (face), Tinea pedis (feet/athlete’s foot), Tinea </w:t>
      </w:r>
      <w:proofErr w:type="spellStart"/>
      <w:r w:rsidRPr="00251956">
        <w:rPr>
          <w:rFonts w:ascii="Arial" w:hAnsi="Arial" w:cs="Arial"/>
        </w:rPr>
        <w:t>manuum</w:t>
      </w:r>
      <w:proofErr w:type="spellEnd"/>
      <w:r w:rsidRPr="00251956">
        <w:rPr>
          <w:rFonts w:ascii="Arial" w:hAnsi="Arial" w:cs="Arial"/>
        </w:rPr>
        <w:t xml:space="preserve"> (hands), Tinea cruris (groin</w:t>
      </w:r>
      <w:r>
        <w:rPr>
          <w:rFonts w:ascii="Arial" w:hAnsi="Arial" w:cstheme="minorBidi" w:hint="cs"/>
          <w:szCs w:val="25"/>
          <w:cs/>
          <w:lang w:bidi="th-TH"/>
        </w:rPr>
        <w:t xml:space="preserve"> </w:t>
      </w:r>
      <w:r>
        <w:rPr>
          <w:rFonts w:ascii="Arial" w:hAnsi="Arial" w:cstheme="minorBidi"/>
          <w:szCs w:val="25"/>
          <w:lang w:bidi="th-TH"/>
        </w:rPr>
        <w:t>and buttocks</w:t>
      </w:r>
      <w:r w:rsidRPr="00251956">
        <w:rPr>
          <w:rFonts w:ascii="Arial" w:hAnsi="Arial" w:cs="Arial"/>
        </w:rPr>
        <w:t xml:space="preserve">/jock itch), and Tinea </w:t>
      </w:r>
      <w:proofErr w:type="spellStart"/>
      <w:r w:rsidRPr="00251956">
        <w:rPr>
          <w:rFonts w:ascii="Arial" w:hAnsi="Arial" w:cs="Arial"/>
        </w:rPr>
        <w:t>unguium</w:t>
      </w:r>
      <w:proofErr w:type="spellEnd"/>
      <w:r w:rsidRPr="00251956">
        <w:rPr>
          <w:rFonts w:ascii="Arial" w:hAnsi="Arial" w:cs="Arial"/>
        </w:rPr>
        <w:t xml:space="preserve"> (nails/onychomycosis)</w:t>
      </w:r>
      <w:r>
        <w:rPr>
          <w:rFonts w:ascii="Arial" w:hAnsi="Arial" w:cs="Arial"/>
        </w:rPr>
        <w:t xml:space="preserve"> [1]</w:t>
      </w:r>
      <w:r w:rsidRPr="00251956">
        <w:rPr>
          <w:rFonts w:ascii="Arial" w:hAnsi="Arial" w:cs="Arial"/>
        </w:rPr>
        <w:t>.</w:t>
      </w:r>
    </w:p>
    <w:p w14:paraId="1D886E66" w14:textId="77777777" w:rsidR="00DE6D4C" w:rsidRDefault="00DE6D4C" w:rsidP="00DE6D4C">
      <w:pPr>
        <w:pStyle w:val="Body"/>
        <w:rPr>
          <w:rFonts w:ascii="Arial" w:hAnsi="Arial" w:cs="Arial"/>
        </w:rPr>
      </w:pPr>
      <w:r w:rsidRPr="00251956">
        <w:rPr>
          <w:rFonts w:ascii="Arial" w:hAnsi="Arial" w:cs="Arial"/>
        </w:rPr>
        <w:t>Treatment of tinea typically involves the use of antifungal drugs, which can be administered either topically or orally, depending on the severity, extent, and location of the infection.</w:t>
      </w:r>
      <w:r>
        <w:rPr>
          <w:rFonts w:ascii="Arial" w:hAnsi="Arial" w:cs="Arial"/>
        </w:rPr>
        <w:t xml:space="preserve"> </w:t>
      </w:r>
      <w:r w:rsidRPr="00251956">
        <w:rPr>
          <w:rFonts w:ascii="Arial" w:hAnsi="Arial" w:cs="Arial"/>
        </w:rPr>
        <w:t xml:space="preserve">However, the increasing prevalence of antifungal-resistant dermatophytes has become a </w:t>
      </w:r>
      <w:r w:rsidRPr="00251956">
        <w:rPr>
          <w:rFonts w:ascii="Arial" w:hAnsi="Arial" w:cs="Arial"/>
        </w:rPr>
        <w:lastRenderedPageBreak/>
        <w:t>significant clinical concern, contributing to treatment failure and recurrent infections</w:t>
      </w:r>
      <w:r>
        <w:rPr>
          <w:rFonts w:ascii="Arial" w:hAnsi="Arial" w:cs="Arial"/>
        </w:rPr>
        <w:t xml:space="preserve"> [2-3]</w:t>
      </w:r>
      <w:r w:rsidRPr="00251956">
        <w:rPr>
          <w:rFonts w:ascii="Arial" w:hAnsi="Arial" w:cs="Arial"/>
        </w:rPr>
        <w:t xml:space="preserve">. The increase in resistance presents a significant challenge to effective clinical management and illustrates the </w:t>
      </w:r>
      <w:r>
        <w:rPr>
          <w:rFonts w:ascii="Arial" w:hAnsi="Arial" w:cs="Arial"/>
        </w:rPr>
        <w:t>need</w:t>
      </w:r>
      <w:r w:rsidRPr="00251956">
        <w:rPr>
          <w:rFonts w:ascii="Arial" w:hAnsi="Arial" w:cs="Arial"/>
        </w:rPr>
        <w:t xml:space="preserve"> </w:t>
      </w:r>
      <w:r>
        <w:rPr>
          <w:rFonts w:ascii="Arial" w:hAnsi="Arial" w:cs="Arial"/>
        </w:rPr>
        <w:t>for</w:t>
      </w:r>
      <w:r w:rsidRPr="00251956">
        <w:rPr>
          <w:rFonts w:ascii="Arial" w:hAnsi="Arial" w:cs="Arial"/>
        </w:rPr>
        <w:t xml:space="preserve"> alternative therapeutic options.</w:t>
      </w:r>
    </w:p>
    <w:p w14:paraId="3372A131" w14:textId="34023A85" w:rsidR="00B01FCD" w:rsidRPr="00DE6D4C" w:rsidRDefault="00DE6D4C" w:rsidP="00441B6F">
      <w:pPr>
        <w:pStyle w:val="Body"/>
        <w:spacing w:after="0"/>
        <w:rPr>
          <w:rFonts w:ascii="Arial" w:hAnsi="Arial" w:cstheme="minorBidi"/>
          <w:szCs w:val="25"/>
          <w:cs/>
          <w:lang w:bidi="th-TH"/>
        </w:rPr>
      </w:pPr>
      <w:r w:rsidRPr="005C58D1">
        <w:rPr>
          <w:rFonts w:ascii="Arial" w:hAnsi="Arial" w:cs="Arial"/>
          <w:i/>
          <w:iCs/>
        </w:rPr>
        <w:t>Rhinacanthus nasutus</w:t>
      </w:r>
      <w:r w:rsidRPr="005C58D1">
        <w:rPr>
          <w:rFonts w:ascii="Arial" w:hAnsi="Arial" w:cs="Arial"/>
        </w:rPr>
        <w:t xml:space="preserve"> (L.) Kurz, a shrub of the Acanthaceae family, is widely distributed across tropical regions, including Southeast Asia, southern China, and India. In Thai traditional medicine, the leaves and roots of </w:t>
      </w:r>
      <w:r w:rsidRPr="005C58D1">
        <w:rPr>
          <w:rFonts w:ascii="Arial" w:hAnsi="Arial" w:cs="Arial"/>
          <w:i/>
          <w:iCs/>
        </w:rPr>
        <w:t>R. nasutus</w:t>
      </w:r>
      <w:r w:rsidRPr="005C58D1">
        <w:rPr>
          <w:rFonts w:ascii="Arial" w:hAnsi="Arial" w:cs="Arial"/>
        </w:rPr>
        <w:t xml:space="preserve"> have been utilized for the treatment of skin conditions, particularly ringworm, tinea versicolor, and eczema [4-5]. Both plant parts contain rhinacanthin C, a naphthoquinone identified as the principal bioactive substance responsible for antifungal properties [6]. Previous studies have led to the development of a topical herbal gel formulation from </w:t>
      </w:r>
      <w:bookmarkStart w:id="1" w:name="_Hlk207779733"/>
      <w:r w:rsidRPr="005C58D1">
        <w:rPr>
          <w:rFonts w:ascii="Arial" w:hAnsi="Arial" w:cs="Arial"/>
          <w:i/>
          <w:iCs/>
        </w:rPr>
        <w:t>R. nasutus</w:t>
      </w:r>
      <w:r w:rsidRPr="005C58D1">
        <w:rPr>
          <w:rFonts w:ascii="Arial" w:hAnsi="Arial" w:cs="Arial"/>
        </w:rPr>
        <w:t xml:space="preserve"> root extract</w:t>
      </w:r>
      <w:bookmarkEnd w:id="1"/>
      <w:r w:rsidRPr="005C58D1">
        <w:rPr>
          <w:rFonts w:ascii="Arial" w:hAnsi="Arial" w:cs="Arial"/>
        </w:rPr>
        <w:t xml:space="preserve"> for the treatment of fungal skin infections. This formulation, containing 0.2% rhinacanthin C, has been studied for dermal irritation and corrosion testing in accordance with the OECD Guideline, Test No. 404 (OECD Guideline for Testing of Chemicals: Acute Dermal Irritation/Corrosion). Results indicated that the gel did not exhibit skin irritation or corrosion in New Zealand White rabbits</w:t>
      </w:r>
      <w:r>
        <w:rPr>
          <w:rFonts w:ascii="Arial" w:hAnsi="Arial" w:cs="Arial"/>
        </w:rPr>
        <w:t xml:space="preserve">, </w:t>
      </w:r>
      <w:r w:rsidRPr="001E762F">
        <w:rPr>
          <w:rFonts w:ascii="Arial" w:hAnsi="Arial" w:cs="Arial"/>
        </w:rPr>
        <w:t>supporting its safety for topical use</w:t>
      </w:r>
      <w:r w:rsidRPr="005C58D1">
        <w:rPr>
          <w:rFonts w:ascii="Arial" w:hAnsi="Arial" w:cs="Arial"/>
        </w:rPr>
        <w:t xml:space="preserve"> [7]. The present report aimed to demonstrate the effectiveness of the </w:t>
      </w:r>
      <w:r w:rsidRPr="005C58D1">
        <w:rPr>
          <w:rFonts w:ascii="Arial" w:hAnsi="Arial" w:cs="Arial"/>
          <w:i/>
          <w:iCs/>
        </w:rPr>
        <w:t>R</w:t>
      </w:r>
      <w:r>
        <w:rPr>
          <w:rFonts w:ascii="Arial" w:hAnsi="Arial" w:cs="Arial"/>
          <w:i/>
          <w:iCs/>
        </w:rPr>
        <w:t>.</w:t>
      </w:r>
      <w:r w:rsidRPr="005C58D1">
        <w:rPr>
          <w:rFonts w:ascii="Arial" w:hAnsi="Arial" w:cs="Arial"/>
          <w:i/>
          <w:iCs/>
        </w:rPr>
        <w:t xml:space="preserve"> nasutus</w:t>
      </w:r>
      <w:r w:rsidRPr="005C58D1">
        <w:rPr>
          <w:rFonts w:ascii="Arial" w:hAnsi="Arial" w:cs="Arial"/>
        </w:rPr>
        <w:t xml:space="preserve"> root extract gel containing 0.2% rhinacanthin C for the management of dermatophytosis.</w:t>
      </w:r>
    </w:p>
    <w:p w14:paraId="4F9EABCB" w14:textId="77777777" w:rsidR="00790ADA" w:rsidRPr="00FB3A86" w:rsidRDefault="00790ADA" w:rsidP="00441B6F">
      <w:pPr>
        <w:pStyle w:val="Body"/>
        <w:spacing w:after="0"/>
        <w:rPr>
          <w:rFonts w:ascii="Arial" w:hAnsi="Arial" w:cs="Arial"/>
        </w:rPr>
      </w:pPr>
    </w:p>
    <w:p w14:paraId="1531602B" w14:textId="297B7DB9" w:rsidR="007F7B32" w:rsidRDefault="00902823" w:rsidP="00441B6F">
      <w:pPr>
        <w:pStyle w:val="AbstHead"/>
        <w:spacing w:after="0"/>
        <w:jc w:val="both"/>
        <w:rPr>
          <w:rFonts w:ascii="Arial" w:hAnsi="Arial" w:cs="Arial"/>
        </w:rPr>
      </w:pPr>
      <w:r>
        <w:rPr>
          <w:rFonts w:ascii="Arial" w:hAnsi="Arial" w:cs="Arial"/>
        </w:rPr>
        <w:t xml:space="preserve">2. </w:t>
      </w:r>
      <w:r w:rsidR="00DE6D4C" w:rsidRPr="005C58D1">
        <w:rPr>
          <w:rFonts w:ascii="Arial" w:hAnsi="Arial" w:cs="Arial"/>
        </w:rPr>
        <w:t>Presentation of Case</w:t>
      </w:r>
    </w:p>
    <w:p w14:paraId="224307CC" w14:textId="77777777" w:rsidR="00790ADA" w:rsidRPr="00FB3A86" w:rsidRDefault="00790ADA" w:rsidP="00441B6F">
      <w:pPr>
        <w:pStyle w:val="AbstHead"/>
        <w:spacing w:after="0"/>
        <w:jc w:val="both"/>
        <w:rPr>
          <w:rFonts w:ascii="Arial" w:hAnsi="Arial" w:cs="Arial"/>
        </w:rPr>
      </w:pPr>
    </w:p>
    <w:p w14:paraId="1346C6F3" w14:textId="77777777" w:rsidR="00DE6D4C" w:rsidRDefault="00DE6D4C" w:rsidP="00DE6D4C">
      <w:pPr>
        <w:pStyle w:val="Body"/>
        <w:rPr>
          <w:rFonts w:ascii="Arial" w:hAnsi="Arial" w:cs="Arial"/>
        </w:rPr>
      </w:pPr>
      <w:r w:rsidRPr="00880524">
        <w:rPr>
          <w:rFonts w:ascii="Arial" w:hAnsi="Arial" w:cs="Arial"/>
        </w:rPr>
        <w:t>A 23-year-old male with a body mass index (BMI) of 25.3 kg/m² presented to the hospital with a one-year history of erythema, desquamation, severe pruritus, discoloration, and burning sensations localized to the groin and buttocks. The patient had previously</w:t>
      </w:r>
      <w:r>
        <w:rPr>
          <w:rFonts w:ascii="Arial" w:hAnsi="Arial" w:cs="Arial"/>
        </w:rPr>
        <w:t xml:space="preserve"> undergone</w:t>
      </w:r>
      <w:r w:rsidRPr="00880524">
        <w:rPr>
          <w:rFonts w:ascii="Arial" w:hAnsi="Arial" w:cs="Arial"/>
        </w:rPr>
        <w:t xml:space="preserve"> treat</w:t>
      </w:r>
      <w:r>
        <w:rPr>
          <w:rFonts w:ascii="Arial" w:hAnsi="Arial" w:cs="Arial"/>
        </w:rPr>
        <w:t xml:space="preserve">ment </w:t>
      </w:r>
      <w:r w:rsidRPr="00880524">
        <w:rPr>
          <w:rFonts w:ascii="Arial" w:hAnsi="Arial" w:cs="Arial"/>
        </w:rPr>
        <w:t>with a topical ketoconazole for 5-6 months, followed by a combination topical drug containing 0.05% betamethasone, 0.1% gentamicin, 1.0% tolnaftate, and 1.0% iodochlorhydroxyquin for one month. Despite prolonged use, both treatments failed to resolve the lesions. Following discontinuation of the topical treatment, the patient’s symptoms worsened, with increased pruritus and progressive spread of the lesions.</w:t>
      </w:r>
      <w:r>
        <w:rPr>
          <w:rFonts w:ascii="Arial" w:hAnsi="Arial" w:cs="Arial"/>
        </w:rPr>
        <w:t xml:space="preserve"> </w:t>
      </w:r>
      <w:r w:rsidRPr="00ED2B2B">
        <w:rPr>
          <w:rFonts w:ascii="Arial" w:hAnsi="Arial" w:cs="Arial"/>
        </w:rPr>
        <w:t xml:space="preserve">Microscopic examination </w:t>
      </w:r>
      <w:r>
        <w:rPr>
          <w:rFonts w:ascii="Arial" w:hAnsi="Arial" w:cs="Arial"/>
        </w:rPr>
        <w:t xml:space="preserve">of skin scraping </w:t>
      </w:r>
      <w:r w:rsidRPr="00ED2B2B">
        <w:rPr>
          <w:rFonts w:ascii="Arial" w:hAnsi="Arial" w:cs="Arial"/>
        </w:rPr>
        <w:t>using potassium hydroxide</w:t>
      </w:r>
      <w:r>
        <w:rPr>
          <w:rFonts w:ascii="Arial" w:hAnsi="Arial" w:cs="Arial"/>
        </w:rPr>
        <w:t xml:space="preserve"> (KOH)</w:t>
      </w:r>
      <w:r w:rsidRPr="00ED2B2B">
        <w:rPr>
          <w:rFonts w:ascii="Arial" w:hAnsi="Arial" w:cs="Arial"/>
        </w:rPr>
        <w:t xml:space="preserve"> preparation </w:t>
      </w:r>
      <w:r>
        <w:rPr>
          <w:rFonts w:ascii="Arial" w:hAnsi="Arial" w:cs="Arial"/>
        </w:rPr>
        <w:t>revealed</w:t>
      </w:r>
      <w:r w:rsidRPr="00ED2B2B">
        <w:rPr>
          <w:rFonts w:ascii="Arial" w:hAnsi="Arial" w:cs="Arial"/>
        </w:rPr>
        <w:t xml:space="preserve"> the presence of septate hyphae with arthroconidia</w:t>
      </w:r>
      <w:r>
        <w:rPr>
          <w:rFonts w:ascii="Arial" w:hAnsi="Arial" w:cs="Arial"/>
        </w:rPr>
        <w:t xml:space="preserve">, confirming the diagnosis of tinea cruris. The patient was treated with </w:t>
      </w:r>
      <w:r w:rsidRPr="00D66B1A">
        <w:rPr>
          <w:rFonts w:ascii="Arial" w:hAnsi="Arial" w:cs="Arial"/>
          <w:i/>
          <w:iCs/>
        </w:rPr>
        <w:t>R. nasutus</w:t>
      </w:r>
      <w:r w:rsidRPr="00D66B1A">
        <w:rPr>
          <w:rFonts w:ascii="Arial" w:hAnsi="Arial" w:cs="Arial"/>
        </w:rPr>
        <w:t xml:space="preserve"> root extract gel</w:t>
      </w:r>
      <w:r>
        <w:rPr>
          <w:rFonts w:ascii="Arial" w:hAnsi="Arial" w:cs="Arial"/>
        </w:rPr>
        <w:t xml:space="preserve"> </w:t>
      </w:r>
      <w:r w:rsidRPr="00D66B1A">
        <w:rPr>
          <w:rFonts w:ascii="Arial" w:hAnsi="Arial" w:cs="Arial"/>
        </w:rPr>
        <w:t>containing 0.</w:t>
      </w:r>
      <w:r>
        <w:rPr>
          <w:rFonts w:ascii="Arial" w:hAnsi="Arial" w:cs="Arial"/>
        </w:rPr>
        <w:t>2</w:t>
      </w:r>
      <w:r w:rsidRPr="00D66B1A">
        <w:rPr>
          <w:rFonts w:ascii="Arial" w:hAnsi="Arial" w:cs="Arial"/>
        </w:rPr>
        <w:t xml:space="preserve">% rhinacanthin C, applied to the lesions twice daily for 8 weeks. </w:t>
      </w:r>
      <w:r>
        <w:rPr>
          <w:rFonts w:ascii="Arial" w:hAnsi="Arial" w:cs="Arial"/>
        </w:rPr>
        <w:t>F</w:t>
      </w:r>
      <w:r w:rsidRPr="00D66B1A">
        <w:rPr>
          <w:rFonts w:ascii="Arial" w:hAnsi="Arial" w:cs="Arial"/>
        </w:rPr>
        <w:t xml:space="preserve">ollow-up visits </w:t>
      </w:r>
      <w:r>
        <w:rPr>
          <w:rFonts w:ascii="Arial" w:hAnsi="Arial" w:cs="Arial"/>
        </w:rPr>
        <w:t xml:space="preserve">were </w:t>
      </w:r>
      <w:r w:rsidRPr="000805EE">
        <w:rPr>
          <w:rFonts w:ascii="Arial" w:hAnsi="Arial" w:cs="Arial"/>
        </w:rPr>
        <w:t xml:space="preserve">scheduled </w:t>
      </w:r>
      <w:r w:rsidRPr="00D66B1A">
        <w:rPr>
          <w:rFonts w:ascii="Arial" w:hAnsi="Arial" w:cs="Arial"/>
        </w:rPr>
        <w:t xml:space="preserve">every two weeks for </w:t>
      </w:r>
      <w:r>
        <w:rPr>
          <w:rFonts w:ascii="Arial" w:hAnsi="Arial" w:cs="Arial"/>
        </w:rPr>
        <w:t xml:space="preserve">repeat </w:t>
      </w:r>
      <w:r w:rsidRPr="00D66B1A">
        <w:rPr>
          <w:rFonts w:ascii="Arial" w:hAnsi="Arial" w:cs="Arial"/>
        </w:rPr>
        <w:t>KOH preparations</w:t>
      </w:r>
      <w:r>
        <w:rPr>
          <w:rFonts w:ascii="Arial" w:hAnsi="Arial" w:cs="Arial"/>
        </w:rPr>
        <w:t xml:space="preserve"> for mycological evaluation</w:t>
      </w:r>
      <w:r w:rsidRPr="00D66B1A">
        <w:rPr>
          <w:rFonts w:ascii="Arial" w:hAnsi="Arial" w:cs="Arial"/>
        </w:rPr>
        <w:t xml:space="preserve"> and clinical </w:t>
      </w:r>
      <w:r>
        <w:rPr>
          <w:rFonts w:ascii="Arial" w:hAnsi="Arial" w:cs="Arial"/>
        </w:rPr>
        <w:t>assessment</w:t>
      </w:r>
      <w:r w:rsidRPr="00D66B1A">
        <w:rPr>
          <w:rFonts w:ascii="Arial" w:hAnsi="Arial" w:cs="Arial"/>
        </w:rPr>
        <w:t xml:space="preserve"> of symptoms</w:t>
      </w:r>
      <w:r>
        <w:rPr>
          <w:rFonts w:ascii="Arial" w:hAnsi="Arial" w:cs="Arial"/>
        </w:rPr>
        <w:t xml:space="preserve">, including </w:t>
      </w:r>
      <w:r w:rsidRPr="00251956">
        <w:rPr>
          <w:rFonts w:ascii="Arial" w:hAnsi="Arial" w:cs="Arial"/>
        </w:rPr>
        <w:t>erythema, desquamation, pruritus, and burning</w:t>
      </w:r>
      <w:r w:rsidRPr="00D66B1A">
        <w:rPr>
          <w:rFonts w:ascii="Arial" w:hAnsi="Arial" w:cs="Arial"/>
        </w:rPr>
        <w:t xml:space="preserve"> throughout the course of treatment.</w:t>
      </w:r>
      <w:r>
        <w:rPr>
          <w:rFonts w:ascii="Arial" w:hAnsi="Arial" w:cs="Arial"/>
        </w:rPr>
        <w:t xml:space="preserve"> Clinical chemistry and hematological analysis were evaluated at baseline and at the end of the follow-up visit (</w:t>
      </w:r>
      <w:r w:rsidRPr="00621497">
        <w:rPr>
          <w:rFonts w:ascii="Arial" w:hAnsi="Arial" w:cs="Arial"/>
        </w:rPr>
        <w:t>a two-week follow-up after discontinuation of treatment</w:t>
      </w:r>
      <w:r>
        <w:rPr>
          <w:rFonts w:ascii="Arial" w:hAnsi="Arial" w:cs="Arial"/>
        </w:rPr>
        <w:t xml:space="preserve">, Follow up 5). </w:t>
      </w:r>
    </w:p>
    <w:p w14:paraId="250E2DEA" w14:textId="77777777" w:rsidR="00DE6D4C" w:rsidRDefault="00DE6D4C" w:rsidP="00DE6D4C">
      <w:pPr>
        <w:pStyle w:val="Body"/>
        <w:spacing w:after="0"/>
        <w:rPr>
          <w:rFonts w:ascii="Arial" w:hAnsi="Arial" w:cstheme="minorBidi"/>
          <w:szCs w:val="25"/>
          <w:lang w:bidi="th-TH"/>
        </w:rPr>
      </w:pPr>
      <w:r w:rsidRPr="009B5254">
        <w:rPr>
          <w:rFonts w:ascii="Arial" w:hAnsi="Arial" w:cs="Arial"/>
        </w:rPr>
        <w:t xml:space="preserve">Following the initiation of treatment, the patient </w:t>
      </w:r>
      <w:r>
        <w:rPr>
          <w:rFonts w:ascii="Arial" w:hAnsi="Arial" w:cs="Arial"/>
        </w:rPr>
        <w:t>showed</w:t>
      </w:r>
      <w:r w:rsidRPr="009B5254">
        <w:rPr>
          <w:rFonts w:ascii="Arial" w:hAnsi="Arial" w:cs="Arial"/>
        </w:rPr>
        <w:t xml:space="preserve"> </w:t>
      </w:r>
      <w:r>
        <w:rPr>
          <w:rFonts w:ascii="Arial" w:hAnsi="Arial" w:cs="Arial"/>
        </w:rPr>
        <w:t xml:space="preserve">remarkable </w:t>
      </w:r>
      <w:r w:rsidRPr="009B5254">
        <w:rPr>
          <w:rFonts w:ascii="Arial" w:hAnsi="Arial" w:cs="Arial"/>
        </w:rPr>
        <w:t>clinical improvement</w:t>
      </w:r>
      <w:r>
        <w:rPr>
          <w:rFonts w:ascii="Arial" w:hAnsi="Arial" w:cs="Arial"/>
        </w:rPr>
        <w:t>s</w:t>
      </w:r>
      <w:r w:rsidRPr="009B5254">
        <w:rPr>
          <w:rFonts w:ascii="Arial" w:hAnsi="Arial" w:cs="Arial"/>
        </w:rPr>
        <w:t xml:space="preserve">. </w:t>
      </w:r>
      <w:r>
        <w:rPr>
          <w:rFonts w:ascii="Arial" w:hAnsi="Arial" w:cs="Arial"/>
        </w:rPr>
        <w:t>By week 2</w:t>
      </w:r>
      <w:r w:rsidRPr="009B5254">
        <w:rPr>
          <w:rFonts w:ascii="Arial" w:hAnsi="Arial" w:cs="Arial"/>
        </w:rPr>
        <w:t xml:space="preserve">, the clinical severity score had decreased by </w:t>
      </w:r>
      <w:r>
        <w:rPr>
          <w:rFonts w:ascii="Arial" w:hAnsi="Arial" w:cs="Arial"/>
        </w:rPr>
        <w:t>7</w:t>
      </w:r>
      <w:r w:rsidRPr="009B5254">
        <w:rPr>
          <w:rFonts w:ascii="Arial" w:hAnsi="Arial" w:cs="Arial"/>
        </w:rPr>
        <w:t xml:space="preserve"> points. </w:t>
      </w:r>
      <w:r w:rsidRPr="00B83EB2">
        <w:rPr>
          <w:rFonts w:ascii="Arial" w:hAnsi="Arial" w:cs="Arial"/>
        </w:rPr>
        <w:t>By week 8, all initial symptoms</w:t>
      </w:r>
      <w:r>
        <w:rPr>
          <w:rFonts w:ascii="Arial" w:hAnsi="Arial" w:cs="Arial"/>
        </w:rPr>
        <w:t xml:space="preserve">, including </w:t>
      </w:r>
      <w:r w:rsidRPr="00B83EB2">
        <w:rPr>
          <w:rFonts w:ascii="Arial" w:hAnsi="Arial" w:cs="Arial"/>
        </w:rPr>
        <w:t>erythema, desquamation, pruritus, and burning</w:t>
      </w:r>
      <w:r>
        <w:rPr>
          <w:rFonts w:ascii="Arial" w:hAnsi="Arial" w:cs="Arial"/>
        </w:rPr>
        <w:t xml:space="preserve">, </w:t>
      </w:r>
      <w:r w:rsidRPr="00B83EB2">
        <w:rPr>
          <w:rFonts w:ascii="Arial" w:hAnsi="Arial" w:cs="Arial"/>
        </w:rPr>
        <w:t xml:space="preserve">had </w:t>
      </w:r>
      <w:r>
        <w:rPr>
          <w:rFonts w:ascii="Arial" w:hAnsi="Arial" w:cs="Arial"/>
        </w:rPr>
        <w:t>completely</w:t>
      </w:r>
      <w:r w:rsidRPr="00B83EB2">
        <w:rPr>
          <w:rFonts w:ascii="Arial" w:hAnsi="Arial" w:cs="Arial"/>
        </w:rPr>
        <w:t xml:space="preserve"> resolved (Table 1).</w:t>
      </w:r>
      <w:r w:rsidRPr="009B5254">
        <w:rPr>
          <w:rFonts w:ascii="Arial" w:hAnsi="Arial" w:cs="Arial"/>
        </w:rPr>
        <w:t xml:space="preserve"> The intervention effectively alleviated clinical symptoms and improved lesion appearance, as </w:t>
      </w:r>
      <w:r>
        <w:rPr>
          <w:rFonts w:ascii="Arial" w:hAnsi="Arial" w:cs="Arial"/>
        </w:rPr>
        <w:t>shown</w:t>
      </w:r>
      <w:r w:rsidRPr="009B5254">
        <w:rPr>
          <w:rFonts w:ascii="Arial" w:hAnsi="Arial" w:cs="Arial"/>
        </w:rPr>
        <w:t xml:space="preserve"> in Figure 1</w:t>
      </w:r>
      <w:r>
        <w:rPr>
          <w:rFonts w:ascii="Arial" w:hAnsi="Arial" w:cs="Arial"/>
        </w:rPr>
        <w:t>.</w:t>
      </w:r>
      <w:r w:rsidRPr="009B5254">
        <w:t xml:space="preserve"> </w:t>
      </w:r>
      <w:r w:rsidRPr="00B83EB2">
        <w:rPr>
          <w:rFonts w:ascii="Arial" w:hAnsi="Arial" w:cs="Arial"/>
        </w:rPr>
        <w:t xml:space="preserve">Mycological examination using </w:t>
      </w:r>
      <w:r>
        <w:rPr>
          <w:rFonts w:ascii="Arial" w:hAnsi="Arial" w:cs="Arial"/>
        </w:rPr>
        <w:t>KOH</w:t>
      </w:r>
      <w:r w:rsidRPr="00B83EB2">
        <w:rPr>
          <w:rFonts w:ascii="Arial" w:hAnsi="Arial" w:cs="Arial"/>
        </w:rPr>
        <w:t xml:space="preserve"> preparation </w:t>
      </w:r>
      <w:r w:rsidRPr="00AC3AE1">
        <w:rPr>
          <w:rFonts w:ascii="Arial" w:hAnsi="Arial" w:cs="Arial"/>
        </w:rPr>
        <w:t>turned negative by the second week</w:t>
      </w:r>
      <w:r w:rsidRPr="00B83EB2">
        <w:rPr>
          <w:rFonts w:ascii="Arial" w:hAnsi="Arial" w:cs="Arial"/>
        </w:rPr>
        <w:t xml:space="preserve"> of treatment and remained negative throughout the treatment period</w:t>
      </w:r>
      <w:r>
        <w:rPr>
          <w:rFonts w:ascii="Arial" w:hAnsi="Arial" w:cs="Arial"/>
        </w:rPr>
        <w:t xml:space="preserve">, </w:t>
      </w:r>
      <w:r w:rsidRPr="00AC3AE1">
        <w:rPr>
          <w:rFonts w:ascii="Arial" w:hAnsi="Arial" w:cs="Arial"/>
        </w:rPr>
        <w:t>indicating effective fungal clearance</w:t>
      </w:r>
      <w:r w:rsidRPr="00B83EB2">
        <w:rPr>
          <w:rFonts w:ascii="Arial" w:hAnsi="Arial" w:cs="Arial"/>
        </w:rPr>
        <w:t>.</w:t>
      </w:r>
      <w:r>
        <w:rPr>
          <w:rFonts w:ascii="Arial" w:hAnsi="Arial" w:cs="Arial"/>
        </w:rPr>
        <w:t xml:space="preserve"> </w:t>
      </w:r>
      <w:r w:rsidRPr="00B83EB2">
        <w:rPr>
          <w:rFonts w:ascii="Arial" w:hAnsi="Arial" w:cs="Arial"/>
        </w:rPr>
        <w:t xml:space="preserve">At a follow-up </w:t>
      </w:r>
      <w:r>
        <w:rPr>
          <w:rFonts w:ascii="Arial" w:hAnsi="Arial" w:cs="Arial"/>
        </w:rPr>
        <w:t>visit two weeks post-treatment</w:t>
      </w:r>
      <w:r w:rsidRPr="00B83EB2">
        <w:rPr>
          <w:rFonts w:ascii="Arial" w:hAnsi="Arial" w:cs="Arial"/>
        </w:rPr>
        <w:t xml:space="preserve">, </w:t>
      </w:r>
      <w:r w:rsidRPr="00E83A06">
        <w:rPr>
          <w:rFonts w:ascii="Arial" w:hAnsi="Arial" w:cs="Arial"/>
        </w:rPr>
        <w:t xml:space="preserve">the patient remained asymptomatic, and </w:t>
      </w:r>
      <w:r>
        <w:rPr>
          <w:rFonts w:ascii="Arial" w:hAnsi="Arial" w:cs="Arial"/>
        </w:rPr>
        <w:t xml:space="preserve">a </w:t>
      </w:r>
      <w:r w:rsidRPr="00E83A06">
        <w:rPr>
          <w:rFonts w:ascii="Arial" w:hAnsi="Arial" w:cs="Arial"/>
        </w:rPr>
        <w:t xml:space="preserve">repeat KOH </w:t>
      </w:r>
      <w:r>
        <w:rPr>
          <w:rFonts w:ascii="Arial" w:hAnsi="Arial" w:cs="Arial"/>
        </w:rPr>
        <w:t>preparation</w:t>
      </w:r>
      <w:r w:rsidRPr="00E83A06">
        <w:rPr>
          <w:rFonts w:ascii="Arial" w:hAnsi="Arial" w:cs="Arial"/>
        </w:rPr>
        <w:t xml:space="preserve"> continued to show no evidence of fungal elements, indicating a sustained therapeutic response. </w:t>
      </w:r>
      <w:r w:rsidRPr="00346A68">
        <w:rPr>
          <w:rFonts w:ascii="Arial" w:hAnsi="Arial" w:cs="Arial"/>
        </w:rPr>
        <w:t xml:space="preserve">Clinical chemistry and hematological analysis </w:t>
      </w:r>
      <w:r w:rsidRPr="00E83A06">
        <w:rPr>
          <w:rFonts w:ascii="Arial" w:hAnsi="Arial" w:cs="Arial"/>
        </w:rPr>
        <w:t xml:space="preserve">revealed no </w:t>
      </w:r>
      <w:r>
        <w:rPr>
          <w:rFonts w:ascii="Arial" w:hAnsi="Arial" w:cs="Arial"/>
        </w:rPr>
        <w:t>notable</w:t>
      </w:r>
      <w:r w:rsidRPr="00E83A06">
        <w:rPr>
          <w:rFonts w:ascii="Arial" w:hAnsi="Arial" w:cs="Arial"/>
        </w:rPr>
        <w:t xml:space="preserve"> abnormalities</w:t>
      </w:r>
      <w:r>
        <w:rPr>
          <w:rFonts w:ascii="Arial" w:hAnsi="Arial" w:cs="Arial"/>
        </w:rPr>
        <w:t xml:space="preserve"> (Table 2)</w:t>
      </w:r>
      <w:r w:rsidRPr="00E83A06">
        <w:rPr>
          <w:rFonts w:ascii="Arial" w:hAnsi="Arial" w:cs="Arial"/>
        </w:rPr>
        <w:t>, and no adverse effects were reported during the course of treatment, suggesting good tolerability of the herbal formulation.</w:t>
      </w:r>
      <w:r>
        <w:rPr>
          <w:rFonts w:ascii="Arial" w:hAnsi="Arial" w:cs="Arial"/>
        </w:rPr>
        <w:t xml:space="preserve"> Notabl</w:t>
      </w:r>
      <w:r w:rsidRPr="00D9566C">
        <w:rPr>
          <w:rFonts w:ascii="Arial" w:hAnsi="Arial" w:cs="Arial"/>
        </w:rPr>
        <w:t xml:space="preserve">y, </w:t>
      </w:r>
      <w:r w:rsidRPr="00AC3AE1">
        <w:rPr>
          <w:rFonts w:ascii="Arial" w:hAnsi="Arial" w:cs="Arial"/>
        </w:rPr>
        <w:t>there was no recurrence of tinea cruris during one year of follow-up</w:t>
      </w:r>
      <w:r w:rsidRPr="00D9566C">
        <w:rPr>
          <w:rFonts w:ascii="Arial" w:hAnsi="Arial" w:cs="Arial"/>
        </w:rPr>
        <w:t>.</w:t>
      </w:r>
      <w:r>
        <w:rPr>
          <w:rFonts w:ascii="Arial" w:hAnsi="Arial" w:cs="Arial"/>
        </w:rPr>
        <w:t xml:space="preserve"> </w:t>
      </w:r>
      <w:r w:rsidRPr="00E83A06">
        <w:rPr>
          <w:rFonts w:ascii="Arial" w:hAnsi="Arial" w:cs="Arial"/>
        </w:rPr>
        <w:t xml:space="preserve">These findings support the potential safety and efficacy of </w:t>
      </w:r>
      <w:r w:rsidRPr="00346A68">
        <w:rPr>
          <w:rFonts w:ascii="Arial" w:hAnsi="Arial" w:cs="Arial"/>
          <w:i/>
          <w:iCs/>
        </w:rPr>
        <w:t>R. nasutus</w:t>
      </w:r>
      <w:r w:rsidRPr="00E83A06">
        <w:rPr>
          <w:rFonts w:ascii="Arial" w:hAnsi="Arial" w:cs="Arial"/>
        </w:rPr>
        <w:t xml:space="preserve"> root extract gel containing 0.2% rhinacanthin C as a topical treatment option for tinea cruris.</w:t>
      </w:r>
    </w:p>
    <w:p w14:paraId="27DA0D38" w14:textId="77777777" w:rsidR="00DE6D4C" w:rsidRDefault="00DE6D4C" w:rsidP="00DE6D4C">
      <w:pPr>
        <w:pStyle w:val="Body"/>
        <w:spacing w:after="0"/>
        <w:rPr>
          <w:rFonts w:ascii="Arial" w:hAnsi="Arial" w:cstheme="minorBidi"/>
          <w:szCs w:val="25"/>
          <w:lang w:bidi="th-TH"/>
        </w:rPr>
      </w:pPr>
    </w:p>
    <w:p w14:paraId="19830912" w14:textId="77777777" w:rsidR="00DE6D4C" w:rsidRPr="008C35E4" w:rsidRDefault="00DE6D4C" w:rsidP="00DE6D4C">
      <w:pPr>
        <w:pStyle w:val="Body"/>
        <w:spacing w:after="0"/>
        <w:rPr>
          <w:rFonts w:ascii="Arial" w:hAnsi="Arial" w:cs="Arial"/>
          <w:b/>
          <w:bCs/>
        </w:rPr>
      </w:pPr>
      <w:r>
        <w:rPr>
          <w:rFonts w:ascii="Arial" w:hAnsi="Arial"/>
          <w:b/>
        </w:rPr>
        <w:lastRenderedPageBreak/>
        <w:t xml:space="preserve">Table 1.   </w:t>
      </w:r>
      <w:r w:rsidRPr="008C35E4">
        <w:rPr>
          <w:rFonts w:ascii="Arial" w:hAnsi="Arial" w:cs="Arial"/>
          <w:b/>
          <w:bCs/>
        </w:rPr>
        <w:t>Assessment of clinical symptoms at baseline and follow</w:t>
      </w:r>
      <w:r>
        <w:rPr>
          <w:rFonts w:ascii="Arial" w:hAnsi="Arial" w:cs="Arial"/>
          <w:b/>
          <w:bCs/>
        </w:rPr>
        <w:t>-</w:t>
      </w:r>
      <w:r w:rsidRPr="008C35E4">
        <w:rPr>
          <w:rFonts w:ascii="Arial" w:hAnsi="Arial" w:cs="Arial"/>
          <w:b/>
          <w:bCs/>
        </w:rPr>
        <w:t>up visits. The symptoms were scored on a scale of 0 to 3 (0 = absent, 1 = mild, 2 = moderate, 3 = severe).</w:t>
      </w:r>
    </w:p>
    <w:p w14:paraId="52FFBA26" w14:textId="77777777" w:rsidR="00DE6D4C" w:rsidRPr="008C35E4" w:rsidRDefault="00DE6D4C" w:rsidP="00DE6D4C">
      <w:pPr>
        <w:pStyle w:val="Body"/>
        <w:spacing w:after="0"/>
        <w:rPr>
          <w:rFonts w:ascii="Arial" w:hAnsi="Arial" w:cs="Arial"/>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1278"/>
        <w:gridCol w:w="1646"/>
        <w:gridCol w:w="1148"/>
        <w:gridCol w:w="1205"/>
        <w:gridCol w:w="1079"/>
      </w:tblGrid>
      <w:tr w:rsidR="00DE6D4C" w:rsidRPr="008C35E4" w14:paraId="7DF09672" w14:textId="77777777" w:rsidTr="0020412F">
        <w:trPr>
          <w:tblHeader/>
          <w:jc w:val="center"/>
        </w:trPr>
        <w:tc>
          <w:tcPr>
            <w:tcW w:w="1441" w:type="dxa"/>
            <w:tcBorders>
              <w:top w:val="single" w:sz="4" w:space="0" w:color="auto"/>
              <w:bottom w:val="single" w:sz="4" w:space="0" w:color="auto"/>
            </w:tcBorders>
          </w:tcPr>
          <w:p w14:paraId="37953001" w14:textId="77777777" w:rsidR="00DE6D4C" w:rsidRDefault="00DE6D4C" w:rsidP="0020412F">
            <w:pPr>
              <w:pStyle w:val="Body"/>
              <w:rPr>
                <w:rFonts w:ascii="Arial" w:hAnsi="Arial" w:cs="Arial"/>
                <w:b/>
                <w:bCs/>
                <w:sz w:val="20"/>
              </w:rPr>
            </w:pPr>
          </w:p>
          <w:p w14:paraId="715F54ED" w14:textId="77777777" w:rsidR="00DE6D4C" w:rsidRPr="008C35E4" w:rsidRDefault="00DE6D4C" w:rsidP="0020412F">
            <w:pPr>
              <w:pStyle w:val="Body"/>
              <w:rPr>
                <w:rFonts w:ascii="Arial" w:hAnsi="Arial" w:cs="Arial"/>
                <w:b/>
                <w:bCs/>
                <w:sz w:val="20"/>
              </w:rPr>
            </w:pPr>
            <w:r w:rsidRPr="008C35E4">
              <w:rPr>
                <w:rFonts w:ascii="Arial" w:hAnsi="Arial" w:cs="Arial"/>
                <w:b/>
                <w:bCs/>
                <w:sz w:val="20"/>
              </w:rPr>
              <w:t>Date</w:t>
            </w:r>
          </w:p>
        </w:tc>
        <w:tc>
          <w:tcPr>
            <w:tcW w:w="1278" w:type="dxa"/>
            <w:tcBorders>
              <w:top w:val="single" w:sz="4" w:space="0" w:color="auto"/>
              <w:bottom w:val="single" w:sz="4" w:space="0" w:color="auto"/>
            </w:tcBorders>
          </w:tcPr>
          <w:p w14:paraId="7149FBA2" w14:textId="77777777" w:rsidR="00DE6D4C" w:rsidRDefault="00DE6D4C" w:rsidP="0020412F">
            <w:pPr>
              <w:pStyle w:val="Body"/>
              <w:rPr>
                <w:rFonts w:ascii="Arial" w:hAnsi="Arial" w:cs="Arial"/>
                <w:b/>
                <w:bCs/>
                <w:sz w:val="20"/>
              </w:rPr>
            </w:pPr>
          </w:p>
          <w:p w14:paraId="3E4779A7" w14:textId="77777777" w:rsidR="00DE6D4C" w:rsidRPr="008C35E4" w:rsidRDefault="00DE6D4C" w:rsidP="0020412F">
            <w:pPr>
              <w:pStyle w:val="Body"/>
              <w:rPr>
                <w:rFonts w:ascii="Arial" w:hAnsi="Arial" w:cs="Arial"/>
                <w:b/>
                <w:bCs/>
                <w:sz w:val="20"/>
              </w:rPr>
            </w:pPr>
            <w:r w:rsidRPr="008C35E4">
              <w:rPr>
                <w:rFonts w:ascii="Arial" w:hAnsi="Arial" w:cs="Arial"/>
                <w:b/>
                <w:bCs/>
                <w:sz w:val="20"/>
              </w:rPr>
              <w:t>Erythema</w:t>
            </w:r>
          </w:p>
        </w:tc>
        <w:tc>
          <w:tcPr>
            <w:tcW w:w="1646" w:type="dxa"/>
            <w:tcBorders>
              <w:top w:val="single" w:sz="4" w:space="0" w:color="auto"/>
              <w:bottom w:val="single" w:sz="4" w:space="0" w:color="auto"/>
            </w:tcBorders>
          </w:tcPr>
          <w:p w14:paraId="5712C2A0" w14:textId="77777777" w:rsidR="00DE6D4C" w:rsidRDefault="00DE6D4C" w:rsidP="0020412F">
            <w:pPr>
              <w:pStyle w:val="Body"/>
              <w:rPr>
                <w:rFonts w:ascii="Arial" w:hAnsi="Arial" w:cs="Arial"/>
                <w:b/>
                <w:bCs/>
                <w:sz w:val="20"/>
              </w:rPr>
            </w:pPr>
          </w:p>
          <w:p w14:paraId="05C14E7E" w14:textId="77777777" w:rsidR="00DE6D4C" w:rsidRPr="008C35E4" w:rsidRDefault="00DE6D4C" w:rsidP="0020412F">
            <w:pPr>
              <w:pStyle w:val="Body"/>
              <w:rPr>
                <w:rFonts w:ascii="Arial" w:hAnsi="Arial" w:cs="Arial"/>
                <w:b/>
                <w:bCs/>
                <w:sz w:val="20"/>
              </w:rPr>
            </w:pPr>
            <w:r w:rsidRPr="008C35E4">
              <w:rPr>
                <w:rFonts w:ascii="Arial" w:hAnsi="Arial" w:cs="Arial"/>
                <w:b/>
                <w:bCs/>
                <w:sz w:val="20"/>
              </w:rPr>
              <w:t>Desquamation</w:t>
            </w:r>
          </w:p>
        </w:tc>
        <w:tc>
          <w:tcPr>
            <w:tcW w:w="1148" w:type="dxa"/>
            <w:tcBorders>
              <w:top w:val="single" w:sz="4" w:space="0" w:color="auto"/>
              <w:bottom w:val="single" w:sz="4" w:space="0" w:color="auto"/>
            </w:tcBorders>
          </w:tcPr>
          <w:p w14:paraId="63ECED7F" w14:textId="77777777" w:rsidR="00DE6D4C" w:rsidRDefault="00DE6D4C" w:rsidP="0020412F">
            <w:pPr>
              <w:pStyle w:val="Body"/>
              <w:rPr>
                <w:rFonts w:ascii="Arial" w:hAnsi="Arial" w:cs="Arial"/>
                <w:b/>
                <w:bCs/>
                <w:sz w:val="20"/>
              </w:rPr>
            </w:pPr>
          </w:p>
          <w:p w14:paraId="1360040C" w14:textId="77777777" w:rsidR="00DE6D4C" w:rsidRPr="008C35E4" w:rsidRDefault="00DE6D4C" w:rsidP="0020412F">
            <w:pPr>
              <w:pStyle w:val="Body"/>
              <w:rPr>
                <w:rFonts w:ascii="Arial" w:hAnsi="Arial" w:cs="Arial"/>
                <w:b/>
                <w:bCs/>
                <w:sz w:val="20"/>
              </w:rPr>
            </w:pPr>
            <w:r w:rsidRPr="008C35E4">
              <w:rPr>
                <w:rFonts w:ascii="Arial" w:hAnsi="Arial" w:cs="Arial"/>
                <w:b/>
                <w:bCs/>
                <w:sz w:val="20"/>
              </w:rPr>
              <w:t>Pruritus</w:t>
            </w:r>
          </w:p>
        </w:tc>
        <w:tc>
          <w:tcPr>
            <w:tcW w:w="1205" w:type="dxa"/>
            <w:tcBorders>
              <w:top w:val="single" w:sz="4" w:space="0" w:color="auto"/>
              <w:bottom w:val="single" w:sz="4" w:space="0" w:color="auto"/>
            </w:tcBorders>
          </w:tcPr>
          <w:p w14:paraId="6587EAD7" w14:textId="77777777" w:rsidR="00DE6D4C" w:rsidRDefault="00DE6D4C" w:rsidP="0020412F">
            <w:pPr>
              <w:pStyle w:val="Body"/>
              <w:rPr>
                <w:rFonts w:ascii="Arial" w:hAnsi="Arial" w:cs="Arial"/>
                <w:b/>
                <w:bCs/>
                <w:sz w:val="20"/>
              </w:rPr>
            </w:pPr>
          </w:p>
          <w:p w14:paraId="2A4939EF" w14:textId="77777777" w:rsidR="00DE6D4C" w:rsidRPr="008C35E4" w:rsidRDefault="00DE6D4C" w:rsidP="0020412F">
            <w:pPr>
              <w:pStyle w:val="Body"/>
              <w:rPr>
                <w:rFonts w:ascii="Arial" w:hAnsi="Arial" w:cs="Arial"/>
                <w:b/>
                <w:bCs/>
                <w:sz w:val="20"/>
              </w:rPr>
            </w:pPr>
            <w:r w:rsidRPr="008C35E4">
              <w:rPr>
                <w:rFonts w:ascii="Arial" w:hAnsi="Arial" w:cs="Arial"/>
                <w:b/>
                <w:bCs/>
                <w:sz w:val="20"/>
              </w:rPr>
              <w:t>Burning</w:t>
            </w:r>
          </w:p>
        </w:tc>
        <w:tc>
          <w:tcPr>
            <w:tcW w:w="1079" w:type="dxa"/>
            <w:tcBorders>
              <w:top w:val="single" w:sz="4" w:space="0" w:color="auto"/>
              <w:bottom w:val="single" w:sz="4" w:space="0" w:color="auto"/>
            </w:tcBorders>
          </w:tcPr>
          <w:p w14:paraId="56405B04" w14:textId="77777777" w:rsidR="00DE6D4C" w:rsidRPr="008C35E4" w:rsidRDefault="00DE6D4C" w:rsidP="0020412F">
            <w:pPr>
              <w:pStyle w:val="Body"/>
              <w:rPr>
                <w:rFonts w:ascii="Arial" w:hAnsi="Arial" w:cs="Arial"/>
                <w:b/>
                <w:bCs/>
                <w:sz w:val="20"/>
              </w:rPr>
            </w:pPr>
            <w:r w:rsidRPr="008C35E4">
              <w:rPr>
                <w:rFonts w:ascii="Arial" w:hAnsi="Arial" w:cs="Arial"/>
                <w:b/>
                <w:bCs/>
                <w:sz w:val="20"/>
              </w:rPr>
              <w:t>Clinical severity score</w:t>
            </w:r>
          </w:p>
        </w:tc>
      </w:tr>
      <w:tr w:rsidR="00DE6D4C" w:rsidRPr="008C35E4" w14:paraId="373EF9C8" w14:textId="77777777" w:rsidTr="0020412F">
        <w:trPr>
          <w:jc w:val="center"/>
        </w:trPr>
        <w:tc>
          <w:tcPr>
            <w:tcW w:w="1441" w:type="dxa"/>
            <w:tcBorders>
              <w:top w:val="single" w:sz="4" w:space="0" w:color="auto"/>
            </w:tcBorders>
          </w:tcPr>
          <w:p w14:paraId="11C88622" w14:textId="77777777" w:rsidR="00DE6D4C" w:rsidRPr="008C35E4" w:rsidRDefault="00DE6D4C" w:rsidP="0020412F">
            <w:pPr>
              <w:pStyle w:val="Body"/>
              <w:spacing w:after="120"/>
              <w:rPr>
                <w:rFonts w:ascii="Arial" w:hAnsi="Arial" w:cs="Arial"/>
                <w:sz w:val="20"/>
              </w:rPr>
            </w:pPr>
            <w:r w:rsidRPr="008C35E4">
              <w:rPr>
                <w:rFonts w:ascii="Arial" w:hAnsi="Arial" w:cs="Arial"/>
                <w:b/>
                <w:bCs/>
                <w:sz w:val="20"/>
              </w:rPr>
              <w:t>Baseline</w:t>
            </w:r>
            <w:r w:rsidRPr="008C35E4">
              <w:rPr>
                <w:rFonts w:ascii="Arial" w:hAnsi="Arial" w:cs="Arial"/>
                <w:sz w:val="20"/>
              </w:rPr>
              <w:t xml:space="preserve"> (12/06/2024)</w:t>
            </w:r>
          </w:p>
        </w:tc>
        <w:tc>
          <w:tcPr>
            <w:tcW w:w="1278" w:type="dxa"/>
            <w:tcBorders>
              <w:top w:val="single" w:sz="4" w:space="0" w:color="auto"/>
            </w:tcBorders>
          </w:tcPr>
          <w:p w14:paraId="54CE7D6C"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2</w:t>
            </w:r>
          </w:p>
        </w:tc>
        <w:tc>
          <w:tcPr>
            <w:tcW w:w="1646" w:type="dxa"/>
            <w:tcBorders>
              <w:top w:val="single" w:sz="4" w:space="0" w:color="auto"/>
            </w:tcBorders>
          </w:tcPr>
          <w:p w14:paraId="10AE857C"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3</w:t>
            </w:r>
          </w:p>
        </w:tc>
        <w:tc>
          <w:tcPr>
            <w:tcW w:w="1148" w:type="dxa"/>
            <w:tcBorders>
              <w:top w:val="single" w:sz="4" w:space="0" w:color="auto"/>
            </w:tcBorders>
          </w:tcPr>
          <w:p w14:paraId="12439315"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3</w:t>
            </w:r>
          </w:p>
        </w:tc>
        <w:tc>
          <w:tcPr>
            <w:tcW w:w="1205" w:type="dxa"/>
            <w:tcBorders>
              <w:top w:val="single" w:sz="4" w:space="0" w:color="auto"/>
            </w:tcBorders>
          </w:tcPr>
          <w:p w14:paraId="456E4679"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2</w:t>
            </w:r>
          </w:p>
        </w:tc>
        <w:tc>
          <w:tcPr>
            <w:tcW w:w="1079" w:type="dxa"/>
            <w:tcBorders>
              <w:top w:val="single" w:sz="4" w:space="0" w:color="auto"/>
            </w:tcBorders>
          </w:tcPr>
          <w:p w14:paraId="3292727D" w14:textId="77777777" w:rsidR="00DE6D4C" w:rsidRPr="008C35E4" w:rsidRDefault="00DE6D4C" w:rsidP="0020412F">
            <w:pPr>
              <w:pStyle w:val="Body"/>
              <w:spacing w:after="120"/>
              <w:jc w:val="center"/>
              <w:rPr>
                <w:rFonts w:ascii="Arial" w:hAnsi="Arial" w:cs="Arial"/>
                <w:b/>
                <w:bCs/>
                <w:sz w:val="20"/>
              </w:rPr>
            </w:pPr>
            <w:r>
              <w:rPr>
                <w:rFonts w:ascii="Arial" w:hAnsi="Arial" w:cs="Arial"/>
                <w:b/>
                <w:bCs/>
                <w:sz w:val="20"/>
              </w:rPr>
              <w:t>10</w:t>
            </w:r>
          </w:p>
        </w:tc>
      </w:tr>
      <w:tr w:rsidR="00DE6D4C" w:rsidRPr="008C35E4" w14:paraId="4EB3DE79" w14:textId="77777777" w:rsidTr="0020412F">
        <w:trPr>
          <w:jc w:val="center"/>
        </w:trPr>
        <w:tc>
          <w:tcPr>
            <w:tcW w:w="1441" w:type="dxa"/>
          </w:tcPr>
          <w:p w14:paraId="0601355E" w14:textId="77777777" w:rsidR="00DE6D4C" w:rsidRPr="008C35E4" w:rsidRDefault="00DE6D4C" w:rsidP="0020412F">
            <w:pPr>
              <w:pStyle w:val="Body"/>
              <w:spacing w:after="120"/>
              <w:rPr>
                <w:rFonts w:ascii="Arial" w:hAnsi="Arial" w:cs="Arial"/>
                <w:sz w:val="20"/>
              </w:rPr>
            </w:pPr>
            <w:r w:rsidRPr="008C35E4">
              <w:rPr>
                <w:rFonts w:ascii="Arial" w:hAnsi="Arial" w:cs="Arial"/>
                <w:b/>
                <w:bCs/>
                <w:sz w:val="20"/>
              </w:rPr>
              <w:t>Follow up 1</w:t>
            </w:r>
            <w:r w:rsidRPr="008C35E4">
              <w:rPr>
                <w:rFonts w:ascii="Arial" w:hAnsi="Arial" w:cs="Arial"/>
                <w:sz w:val="20"/>
              </w:rPr>
              <w:t xml:space="preserve"> (26/06/2024)</w:t>
            </w:r>
          </w:p>
        </w:tc>
        <w:tc>
          <w:tcPr>
            <w:tcW w:w="1278" w:type="dxa"/>
          </w:tcPr>
          <w:p w14:paraId="7769041A"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1</w:t>
            </w:r>
          </w:p>
        </w:tc>
        <w:tc>
          <w:tcPr>
            <w:tcW w:w="1646" w:type="dxa"/>
          </w:tcPr>
          <w:p w14:paraId="12CF590D"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1</w:t>
            </w:r>
          </w:p>
        </w:tc>
        <w:tc>
          <w:tcPr>
            <w:tcW w:w="1148" w:type="dxa"/>
          </w:tcPr>
          <w:p w14:paraId="37980816"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1</w:t>
            </w:r>
          </w:p>
        </w:tc>
        <w:tc>
          <w:tcPr>
            <w:tcW w:w="1205" w:type="dxa"/>
          </w:tcPr>
          <w:p w14:paraId="5E7B0EF4"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0</w:t>
            </w:r>
          </w:p>
        </w:tc>
        <w:tc>
          <w:tcPr>
            <w:tcW w:w="1079" w:type="dxa"/>
          </w:tcPr>
          <w:p w14:paraId="31F9941D"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3</w:t>
            </w:r>
          </w:p>
        </w:tc>
      </w:tr>
      <w:tr w:rsidR="00DE6D4C" w:rsidRPr="008C35E4" w14:paraId="5F329FCE" w14:textId="77777777" w:rsidTr="0020412F">
        <w:trPr>
          <w:jc w:val="center"/>
        </w:trPr>
        <w:tc>
          <w:tcPr>
            <w:tcW w:w="1441" w:type="dxa"/>
          </w:tcPr>
          <w:p w14:paraId="656A9BCD" w14:textId="77777777" w:rsidR="00DE6D4C" w:rsidRPr="008C35E4" w:rsidRDefault="00DE6D4C" w:rsidP="0020412F">
            <w:pPr>
              <w:pStyle w:val="Body"/>
              <w:spacing w:after="120"/>
              <w:rPr>
                <w:rFonts w:ascii="Arial" w:hAnsi="Arial" w:cs="Arial"/>
                <w:sz w:val="20"/>
              </w:rPr>
            </w:pPr>
            <w:r w:rsidRPr="008C35E4">
              <w:rPr>
                <w:rFonts w:ascii="Arial" w:hAnsi="Arial" w:cs="Arial"/>
                <w:b/>
                <w:bCs/>
                <w:sz w:val="20"/>
              </w:rPr>
              <w:t>Follow up 2</w:t>
            </w:r>
            <w:r w:rsidRPr="008C35E4">
              <w:rPr>
                <w:rFonts w:ascii="Arial" w:hAnsi="Arial" w:cs="Arial"/>
                <w:sz w:val="20"/>
              </w:rPr>
              <w:t xml:space="preserve"> (10/07/2024)</w:t>
            </w:r>
          </w:p>
        </w:tc>
        <w:tc>
          <w:tcPr>
            <w:tcW w:w="1278" w:type="dxa"/>
          </w:tcPr>
          <w:p w14:paraId="45E7EB21"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0</w:t>
            </w:r>
          </w:p>
        </w:tc>
        <w:tc>
          <w:tcPr>
            <w:tcW w:w="1646" w:type="dxa"/>
          </w:tcPr>
          <w:p w14:paraId="6D341ACA"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0</w:t>
            </w:r>
          </w:p>
        </w:tc>
        <w:tc>
          <w:tcPr>
            <w:tcW w:w="1148" w:type="dxa"/>
          </w:tcPr>
          <w:p w14:paraId="02F4B45E"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1</w:t>
            </w:r>
          </w:p>
        </w:tc>
        <w:tc>
          <w:tcPr>
            <w:tcW w:w="1205" w:type="dxa"/>
          </w:tcPr>
          <w:p w14:paraId="00B82CBB"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0</w:t>
            </w:r>
          </w:p>
        </w:tc>
        <w:tc>
          <w:tcPr>
            <w:tcW w:w="1079" w:type="dxa"/>
          </w:tcPr>
          <w:p w14:paraId="3498A65A"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1</w:t>
            </w:r>
          </w:p>
        </w:tc>
      </w:tr>
      <w:tr w:rsidR="00DE6D4C" w:rsidRPr="008C35E4" w14:paraId="61992D7D" w14:textId="77777777" w:rsidTr="0020412F">
        <w:trPr>
          <w:jc w:val="center"/>
        </w:trPr>
        <w:tc>
          <w:tcPr>
            <w:tcW w:w="1441" w:type="dxa"/>
          </w:tcPr>
          <w:p w14:paraId="34299C15" w14:textId="77777777" w:rsidR="00DE6D4C" w:rsidRPr="008C35E4" w:rsidRDefault="00DE6D4C" w:rsidP="0020412F">
            <w:pPr>
              <w:pStyle w:val="Body"/>
              <w:spacing w:after="120"/>
              <w:rPr>
                <w:rFonts w:ascii="Arial" w:hAnsi="Arial" w:cs="Arial"/>
                <w:sz w:val="20"/>
              </w:rPr>
            </w:pPr>
            <w:r w:rsidRPr="008C35E4">
              <w:rPr>
                <w:rFonts w:ascii="Arial" w:hAnsi="Arial" w:cs="Arial"/>
                <w:b/>
                <w:bCs/>
                <w:sz w:val="20"/>
              </w:rPr>
              <w:t>Follow up 3</w:t>
            </w:r>
            <w:r w:rsidRPr="008C35E4">
              <w:rPr>
                <w:rFonts w:ascii="Arial" w:hAnsi="Arial" w:cs="Arial"/>
                <w:sz w:val="20"/>
              </w:rPr>
              <w:t xml:space="preserve"> (24/07/2024)</w:t>
            </w:r>
          </w:p>
        </w:tc>
        <w:tc>
          <w:tcPr>
            <w:tcW w:w="1278" w:type="dxa"/>
          </w:tcPr>
          <w:p w14:paraId="3B55A58D"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0</w:t>
            </w:r>
          </w:p>
        </w:tc>
        <w:tc>
          <w:tcPr>
            <w:tcW w:w="1646" w:type="dxa"/>
          </w:tcPr>
          <w:p w14:paraId="5FBCD67B"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0</w:t>
            </w:r>
          </w:p>
        </w:tc>
        <w:tc>
          <w:tcPr>
            <w:tcW w:w="1148" w:type="dxa"/>
          </w:tcPr>
          <w:p w14:paraId="6A7D18BA"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1</w:t>
            </w:r>
          </w:p>
        </w:tc>
        <w:tc>
          <w:tcPr>
            <w:tcW w:w="1205" w:type="dxa"/>
          </w:tcPr>
          <w:p w14:paraId="5C2A94ED"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0</w:t>
            </w:r>
          </w:p>
        </w:tc>
        <w:tc>
          <w:tcPr>
            <w:tcW w:w="1079" w:type="dxa"/>
          </w:tcPr>
          <w:p w14:paraId="68A01D84"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1</w:t>
            </w:r>
          </w:p>
        </w:tc>
      </w:tr>
      <w:tr w:rsidR="00DE6D4C" w:rsidRPr="008C35E4" w14:paraId="1669A64C" w14:textId="77777777" w:rsidTr="0020412F">
        <w:trPr>
          <w:jc w:val="center"/>
        </w:trPr>
        <w:tc>
          <w:tcPr>
            <w:tcW w:w="1441" w:type="dxa"/>
          </w:tcPr>
          <w:p w14:paraId="4C72FAC3" w14:textId="77777777" w:rsidR="00DE6D4C" w:rsidRPr="008C35E4" w:rsidRDefault="00DE6D4C" w:rsidP="0020412F">
            <w:pPr>
              <w:pStyle w:val="Body"/>
              <w:spacing w:after="120"/>
              <w:rPr>
                <w:rFonts w:ascii="Arial" w:hAnsi="Arial" w:cs="Arial"/>
                <w:sz w:val="20"/>
              </w:rPr>
            </w:pPr>
            <w:r w:rsidRPr="008C35E4">
              <w:rPr>
                <w:rFonts w:ascii="Arial" w:hAnsi="Arial" w:cs="Arial"/>
                <w:b/>
                <w:bCs/>
                <w:sz w:val="20"/>
              </w:rPr>
              <w:t>Follow up 4</w:t>
            </w:r>
            <w:r w:rsidRPr="008C35E4">
              <w:rPr>
                <w:rFonts w:ascii="Arial" w:hAnsi="Arial" w:cs="Arial"/>
                <w:sz w:val="20"/>
              </w:rPr>
              <w:t xml:space="preserve"> (07/08/2024)</w:t>
            </w:r>
          </w:p>
        </w:tc>
        <w:tc>
          <w:tcPr>
            <w:tcW w:w="1278" w:type="dxa"/>
          </w:tcPr>
          <w:p w14:paraId="720AE952" w14:textId="77777777" w:rsidR="00DE6D4C" w:rsidRPr="008C35E4" w:rsidRDefault="00DE6D4C" w:rsidP="0020412F">
            <w:pPr>
              <w:pStyle w:val="Body"/>
              <w:spacing w:after="120"/>
              <w:jc w:val="center"/>
              <w:rPr>
                <w:rFonts w:ascii="Arial" w:hAnsi="Arial" w:cs="Arial"/>
                <w:sz w:val="20"/>
              </w:rPr>
            </w:pPr>
            <w:r w:rsidRPr="008C35E4">
              <w:rPr>
                <w:rFonts w:ascii="Arial" w:hAnsi="Arial" w:cs="Arial"/>
                <w:b/>
                <w:bCs/>
                <w:sz w:val="20"/>
              </w:rPr>
              <w:t>0</w:t>
            </w:r>
          </w:p>
        </w:tc>
        <w:tc>
          <w:tcPr>
            <w:tcW w:w="1646" w:type="dxa"/>
          </w:tcPr>
          <w:p w14:paraId="27A5F0DE" w14:textId="77777777" w:rsidR="00DE6D4C" w:rsidRPr="008C35E4" w:rsidRDefault="00DE6D4C" w:rsidP="0020412F">
            <w:pPr>
              <w:pStyle w:val="Body"/>
              <w:spacing w:after="120"/>
              <w:jc w:val="center"/>
              <w:rPr>
                <w:rFonts w:ascii="Arial" w:hAnsi="Arial" w:cs="Arial"/>
                <w:sz w:val="20"/>
              </w:rPr>
            </w:pPr>
            <w:r w:rsidRPr="008C35E4">
              <w:rPr>
                <w:rFonts w:ascii="Arial" w:hAnsi="Arial" w:cs="Arial"/>
                <w:b/>
                <w:bCs/>
                <w:sz w:val="20"/>
              </w:rPr>
              <w:t>0</w:t>
            </w:r>
          </w:p>
        </w:tc>
        <w:tc>
          <w:tcPr>
            <w:tcW w:w="1148" w:type="dxa"/>
          </w:tcPr>
          <w:p w14:paraId="241634B7"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0</w:t>
            </w:r>
          </w:p>
        </w:tc>
        <w:tc>
          <w:tcPr>
            <w:tcW w:w="1205" w:type="dxa"/>
          </w:tcPr>
          <w:p w14:paraId="02F10F93" w14:textId="77777777" w:rsidR="00DE6D4C" w:rsidRPr="008C35E4" w:rsidRDefault="00DE6D4C" w:rsidP="0020412F">
            <w:pPr>
              <w:pStyle w:val="Body"/>
              <w:spacing w:after="120"/>
              <w:jc w:val="center"/>
              <w:rPr>
                <w:rFonts w:ascii="Arial" w:hAnsi="Arial" w:cs="Arial"/>
                <w:sz w:val="20"/>
              </w:rPr>
            </w:pPr>
            <w:r w:rsidRPr="008C35E4">
              <w:rPr>
                <w:rFonts w:ascii="Arial" w:hAnsi="Arial" w:cs="Arial"/>
                <w:b/>
                <w:bCs/>
                <w:sz w:val="20"/>
              </w:rPr>
              <w:t>0</w:t>
            </w:r>
          </w:p>
        </w:tc>
        <w:tc>
          <w:tcPr>
            <w:tcW w:w="1079" w:type="dxa"/>
          </w:tcPr>
          <w:p w14:paraId="74EF2BA1" w14:textId="77777777" w:rsidR="00DE6D4C" w:rsidRPr="008C35E4" w:rsidRDefault="00DE6D4C" w:rsidP="0020412F">
            <w:pPr>
              <w:pStyle w:val="Body"/>
              <w:spacing w:after="120"/>
              <w:jc w:val="center"/>
              <w:rPr>
                <w:rFonts w:ascii="Arial" w:hAnsi="Arial" w:cs="Arial"/>
                <w:sz w:val="20"/>
              </w:rPr>
            </w:pPr>
            <w:r w:rsidRPr="008C35E4">
              <w:rPr>
                <w:rFonts w:ascii="Arial" w:hAnsi="Arial" w:cs="Arial"/>
                <w:b/>
                <w:bCs/>
                <w:sz w:val="20"/>
              </w:rPr>
              <w:t>0</w:t>
            </w:r>
          </w:p>
        </w:tc>
      </w:tr>
      <w:tr w:rsidR="00DE6D4C" w:rsidRPr="008C35E4" w14:paraId="324E218C" w14:textId="77777777" w:rsidTr="0020412F">
        <w:trPr>
          <w:jc w:val="center"/>
        </w:trPr>
        <w:tc>
          <w:tcPr>
            <w:tcW w:w="1441" w:type="dxa"/>
          </w:tcPr>
          <w:p w14:paraId="6E1D5DE4" w14:textId="77777777" w:rsidR="00DE6D4C" w:rsidRPr="008C35E4" w:rsidRDefault="00DE6D4C" w:rsidP="0020412F">
            <w:pPr>
              <w:pStyle w:val="Body"/>
              <w:spacing w:after="120"/>
              <w:rPr>
                <w:rFonts w:ascii="Arial" w:hAnsi="Arial" w:cs="Arial"/>
                <w:b/>
                <w:bCs/>
                <w:sz w:val="20"/>
              </w:rPr>
            </w:pPr>
            <w:r w:rsidRPr="008C35E4">
              <w:rPr>
                <w:rFonts w:ascii="Arial" w:hAnsi="Arial" w:cs="Arial"/>
                <w:b/>
                <w:bCs/>
                <w:sz w:val="20"/>
              </w:rPr>
              <w:t>Follow up 5</w:t>
            </w:r>
          </w:p>
        </w:tc>
        <w:tc>
          <w:tcPr>
            <w:tcW w:w="1278" w:type="dxa"/>
          </w:tcPr>
          <w:p w14:paraId="77A7DB14"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0</w:t>
            </w:r>
          </w:p>
        </w:tc>
        <w:tc>
          <w:tcPr>
            <w:tcW w:w="1646" w:type="dxa"/>
          </w:tcPr>
          <w:p w14:paraId="7D8C73CA"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0</w:t>
            </w:r>
          </w:p>
        </w:tc>
        <w:tc>
          <w:tcPr>
            <w:tcW w:w="1148" w:type="dxa"/>
          </w:tcPr>
          <w:p w14:paraId="10431162"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0</w:t>
            </w:r>
          </w:p>
        </w:tc>
        <w:tc>
          <w:tcPr>
            <w:tcW w:w="1205" w:type="dxa"/>
          </w:tcPr>
          <w:p w14:paraId="77FE9FF6"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0</w:t>
            </w:r>
          </w:p>
        </w:tc>
        <w:tc>
          <w:tcPr>
            <w:tcW w:w="1079" w:type="dxa"/>
          </w:tcPr>
          <w:p w14:paraId="7E4B8584" w14:textId="77777777" w:rsidR="00DE6D4C" w:rsidRPr="008C35E4" w:rsidRDefault="00DE6D4C" w:rsidP="0020412F">
            <w:pPr>
              <w:pStyle w:val="Body"/>
              <w:spacing w:after="120"/>
              <w:jc w:val="center"/>
              <w:rPr>
                <w:rFonts w:ascii="Arial" w:hAnsi="Arial" w:cs="Arial"/>
                <w:b/>
                <w:bCs/>
                <w:sz w:val="20"/>
              </w:rPr>
            </w:pPr>
            <w:r w:rsidRPr="008C35E4">
              <w:rPr>
                <w:rFonts w:ascii="Arial" w:hAnsi="Arial" w:cs="Arial"/>
                <w:b/>
                <w:bCs/>
                <w:sz w:val="20"/>
              </w:rPr>
              <w:t>0</w:t>
            </w:r>
          </w:p>
        </w:tc>
      </w:tr>
      <w:tr w:rsidR="00DE6D4C" w:rsidRPr="008C35E4" w14:paraId="6F4DB777" w14:textId="77777777" w:rsidTr="0020412F">
        <w:trPr>
          <w:jc w:val="center"/>
        </w:trPr>
        <w:tc>
          <w:tcPr>
            <w:tcW w:w="1441" w:type="dxa"/>
          </w:tcPr>
          <w:p w14:paraId="7A69D6CA" w14:textId="77777777" w:rsidR="00DE6D4C" w:rsidRPr="008C35E4" w:rsidRDefault="00DE6D4C" w:rsidP="0020412F">
            <w:pPr>
              <w:pStyle w:val="Body"/>
              <w:spacing w:after="120"/>
              <w:rPr>
                <w:rFonts w:ascii="Arial" w:hAnsi="Arial" w:cs="Arial"/>
                <w:b/>
                <w:bCs/>
                <w:sz w:val="20"/>
              </w:rPr>
            </w:pPr>
            <w:r w:rsidRPr="008C35E4">
              <w:rPr>
                <w:rFonts w:ascii="Arial" w:hAnsi="Arial" w:cs="Arial"/>
                <w:sz w:val="20"/>
              </w:rPr>
              <w:t>(21/08/2024)</w:t>
            </w:r>
          </w:p>
        </w:tc>
        <w:tc>
          <w:tcPr>
            <w:tcW w:w="1278" w:type="dxa"/>
          </w:tcPr>
          <w:p w14:paraId="496208E8" w14:textId="77777777" w:rsidR="00DE6D4C" w:rsidRPr="008C35E4" w:rsidRDefault="00DE6D4C" w:rsidP="0020412F">
            <w:pPr>
              <w:pStyle w:val="Body"/>
              <w:spacing w:after="120"/>
              <w:rPr>
                <w:rFonts w:ascii="Arial" w:hAnsi="Arial" w:cs="Arial"/>
                <w:b/>
                <w:bCs/>
                <w:sz w:val="20"/>
              </w:rPr>
            </w:pPr>
          </w:p>
        </w:tc>
        <w:tc>
          <w:tcPr>
            <w:tcW w:w="1646" w:type="dxa"/>
          </w:tcPr>
          <w:p w14:paraId="50FC7A22" w14:textId="77777777" w:rsidR="00DE6D4C" w:rsidRPr="008C35E4" w:rsidRDefault="00DE6D4C" w:rsidP="0020412F">
            <w:pPr>
              <w:pStyle w:val="Body"/>
              <w:spacing w:after="120"/>
              <w:rPr>
                <w:rFonts w:ascii="Arial" w:hAnsi="Arial" w:cs="Arial"/>
                <w:b/>
                <w:bCs/>
                <w:sz w:val="20"/>
              </w:rPr>
            </w:pPr>
          </w:p>
        </w:tc>
        <w:tc>
          <w:tcPr>
            <w:tcW w:w="1148" w:type="dxa"/>
          </w:tcPr>
          <w:p w14:paraId="00E639A1" w14:textId="77777777" w:rsidR="00DE6D4C" w:rsidRPr="008C35E4" w:rsidRDefault="00DE6D4C" w:rsidP="0020412F">
            <w:pPr>
              <w:pStyle w:val="Body"/>
              <w:spacing w:after="120"/>
              <w:rPr>
                <w:rFonts w:ascii="Arial" w:hAnsi="Arial" w:cs="Arial"/>
                <w:b/>
                <w:bCs/>
                <w:sz w:val="20"/>
              </w:rPr>
            </w:pPr>
          </w:p>
        </w:tc>
        <w:tc>
          <w:tcPr>
            <w:tcW w:w="1205" w:type="dxa"/>
          </w:tcPr>
          <w:p w14:paraId="1B3D8FB6" w14:textId="77777777" w:rsidR="00DE6D4C" w:rsidRPr="008C35E4" w:rsidRDefault="00DE6D4C" w:rsidP="0020412F">
            <w:pPr>
              <w:pStyle w:val="Body"/>
              <w:spacing w:after="120"/>
              <w:rPr>
                <w:rFonts w:ascii="Arial" w:hAnsi="Arial" w:cs="Arial"/>
                <w:b/>
                <w:bCs/>
                <w:sz w:val="20"/>
              </w:rPr>
            </w:pPr>
          </w:p>
        </w:tc>
        <w:tc>
          <w:tcPr>
            <w:tcW w:w="1079" w:type="dxa"/>
          </w:tcPr>
          <w:p w14:paraId="23BEF1C4" w14:textId="77777777" w:rsidR="00DE6D4C" w:rsidRPr="008C35E4" w:rsidRDefault="00DE6D4C" w:rsidP="0020412F">
            <w:pPr>
              <w:pStyle w:val="Body"/>
              <w:spacing w:after="120"/>
              <w:rPr>
                <w:rFonts w:ascii="Arial" w:hAnsi="Arial" w:cs="Arial"/>
                <w:b/>
                <w:bCs/>
                <w:sz w:val="20"/>
              </w:rPr>
            </w:pPr>
          </w:p>
        </w:tc>
      </w:tr>
    </w:tbl>
    <w:p w14:paraId="13844ED3" w14:textId="77777777" w:rsidR="00DE6D4C" w:rsidRPr="008C35E4" w:rsidRDefault="00DE6D4C" w:rsidP="00DE6D4C">
      <w:pPr>
        <w:pStyle w:val="Body"/>
        <w:spacing w:after="0"/>
        <w:rPr>
          <w:rFonts w:ascii="Arial" w:hAnsi="Arial" w:cs="Arial"/>
        </w:rPr>
      </w:pPr>
    </w:p>
    <w:p w14:paraId="52A1EADF" w14:textId="7F2DA382" w:rsidR="00AA74E0" w:rsidRDefault="00AA74E0" w:rsidP="00DE6D4C">
      <w:pPr>
        <w:pStyle w:val="Body"/>
        <w:spacing w:after="0"/>
        <w:rPr>
          <w:rFonts w:ascii="Arial" w:hAnsi="Arial" w:cs="Arial"/>
        </w:rPr>
      </w:pPr>
      <w:r w:rsidRPr="00FB3A86">
        <w:rPr>
          <w:rFonts w:ascii="Arial" w:hAnsi="Arial" w:cs="Arial"/>
        </w:rPr>
        <w:lastRenderedPageBreak/>
        <w:t xml:space="preserve"> </w:t>
      </w:r>
      <w:r w:rsidR="00DE6D4C">
        <w:rPr>
          <w:rFonts w:ascii="TH SarabunPSK" w:hAnsi="TH SarabunPSK" w:cs="TH SarabunPSK"/>
          <w:noProof/>
          <w:sz w:val="32"/>
          <w:szCs w:val="32"/>
          <w:lang w:eastAsia="ja-JP"/>
        </w:rPr>
        <w:drawing>
          <wp:inline distT="0" distB="0" distL="0" distR="0" wp14:anchorId="14E6BF8B" wp14:editId="734F0126">
            <wp:extent cx="3588485" cy="7518400"/>
            <wp:effectExtent l="0" t="0" r="0" b="6350"/>
            <wp:docPr id="710220975"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4525" cy="7593909"/>
                    </a:xfrm>
                    <a:prstGeom prst="rect">
                      <a:avLst/>
                    </a:prstGeom>
                    <a:noFill/>
                    <a:ln>
                      <a:noFill/>
                    </a:ln>
                  </pic:spPr>
                </pic:pic>
              </a:graphicData>
            </a:graphic>
          </wp:inline>
        </w:drawing>
      </w:r>
    </w:p>
    <w:p w14:paraId="5BAC912B" w14:textId="77777777" w:rsidR="00DE6D4C" w:rsidRDefault="00DE6D4C" w:rsidP="00441B6F">
      <w:pPr>
        <w:pStyle w:val="Body"/>
        <w:spacing w:after="0"/>
        <w:rPr>
          <w:rFonts w:ascii="Arial" w:hAnsi="Arial" w:cstheme="minorBidi"/>
          <w:b/>
          <w:bCs/>
          <w:szCs w:val="22"/>
          <w:lang w:bidi="th-TH"/>
        </w:rPr>
      </w:pPr>
    </w:p>
    <w:p w14:paraId="28BC5DDB" w14:textId="7FFB02EF" w:rsidR="00790ADA" w:rsidRDefault="00DE6D4C" w:rsidP="00441B6F">
      <w:pPr>
        <w:pStyle w:val="Body"/>
        <w:spacing w:after="0"/>
        <w:rPr>
          <w:rFonts w:ascii="Arial" w:hAnsi="Arial" w:cstheme="minorBidi"/>
          <w:b/>
          <w:bCs/>
          <w:szCs w:val="22"/>
          <w:lang w:bidi="th-TH"/>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sidRPr="00406C0F">
        <w:rPr>
          <w:rFonts w:ascii="Arial" w:hAnsi="Arial" w:cs="Arial"/>
          <w:b/>
          <w:bCs/>
          <w:szCs w:val="22"/>
        </w:rPr>
        <w:t>Photographs of the lesion at baseline and follow up visits</w:t>
      </w:r>
    </w:p>
    <w:p w14:paraId="4F913C84" w14:textId="77777777" w:rsidR="00DE6D4C" w:rsidRDefault="00DE6D4C" w:rsidP="00DE6D4C">
      <w:pPr>
        <w:autoSpaceDE w:val="0"/>
        <w:autoSpaceDN w:val="0"/>
        <w:adjustRightInd w:val="0"/>
        <w:jc w:val="both"/>
        <w:rPr>
          <w:rFonts w:ascii="Arial" w:hAnsi="Arial" w:cs="Arial"/>
          <w:b/>
          <w:bCs/>
          <w:szCs w:val="22"/>
        </w:rPr>
      </w:pPr>
      <w:r>
        <w:rPr>
          <w:rFonts w:ascii="Arial" w:hAnsi="Arial"/>
          <w:b/>
        </w:rPr>
        <w:lastRenderedPageBreak/>
        <w:t xml:space="preserve">Table 2.   </w:t>
      </w:r>
      <w:r w:rsidRPr="00406C0F">
        <w:rPr>
          <w:rFonts w:ascii="Arial" w:hAnsi="Arial" w:cs="Arial"/>
          <w:b/>
          <w:bCs/>
          <w:szCs w:val="22"/>
        </w:rPr>
        <w:t>Clinical Chemistry and Hematology</w:t>
      </w:r>
    </w:p>
    <w:p w14:paraId="11CB821A" w14:textId="77777777" w:rsidR="00DE6D4C" w:rsidRPr="00406C0F" w:rsidRDefault="00DE6D4C" w:rsidP="00DE6D4C">
      <w:pPr>
        <w:autoSpaceDE w:val="0"/>
        <w:autoSpaceDN w:val="0"/>
        <w:adjustRightInd w:val="0"/>
        <w:jc w:val="both"/>
        <w:rPr>
          <w:rFonts w:ascii="Arial" w:hAnsi="Arial" w:cs="Arial"/>
          <w:b/>
          <w:bCs/>
          <w:szCs w:val="22"/>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1507"/>
        <w:gridCol w:w="1351"/>
        <w:gridCol w:w="1096"/>
        <w:gridCol w:w="1921"/>
      </w:tblGrid>
      <w:tr w:rsidR="00DE6D4C" w:rsidRPr="00406C0F" w14:paraId="4E885C4E" w14:textId="77777777" w:rsidTr="0020412F">
        <w:trPr>
          <w:tblHeader/>
        </w:trPr>
        <w:tc>
          <w:tcPr>
            <w:tcW w:w="2205" w:type="dxa"/>
            <w:vMerge w:val="restart"/>
          </w:tcPr>
          <w:p w14:paraId="474AD35F" w14:textId="77777777" w:rsidR="00DE6D4C" w:rsidRPr="00406C0F" w:rsidRDefault="00DE6D4C" w:rsidP="0020412F">
            <w:pPr>
              <w:autoSpaceDE w:val="0"/>
              <w:autoSpaceDN w:val="0"/>
              <w:adjustRightInd w:val="0"/>
              <w:jc w:val="both"/>
              <w:rPr>
                <w:rFonts w:ascii="Arial" w:hAnsi="Arial" w:cs="Arial"/>
                <w:b/>
                <w:bCs/>
                <w:sz w:val="20"/>
              </w:rPr>
            </w:pPr>
          </w:p>
          <w:p w14:paraId="1C9BB8A2" w14:textId="77777777" w:rsidR="00DE6D4C" w:rsidRPr="00406C0F" w:rsidRDefault="00DE6D4C" w:rsidP="0020412F">
            <w:pPr>
              <w:autoSpaceDE w:val="0"/>
              <w:autoSpaceDN w:val="0"/>
              <w:adjustRightInd w:val="0"/>
              <w:jc w:val="both"/>
              <w:rPr>
                <w:rFonts w:ascii="Arial" w:hAnsi="Arial" w:cs="Arial"/>
                <w:b/>
                <w:bCs/>
                <w:sz w:val="20"/>
              </w:rPr>
            </w:pPr>
            <w:r w:rsidRPr="00406C0F">
              <w:rPr>
                <w:rFonts w:ascii="Arial" w:hAnsi="Arial" w:cs="Arial"/>
                <w:b/>
                <w:bCs/>
                <w:sz w:val="20"/>
              </w:rPr>
              <w:t>Test</w:t>
            </w:r>
          </w:p>
        </w:tc>
        <w:tc>
          <w:tcPr>
            <w:tcW w:w="2858" w:type="dxa"/>
            <w:gridSpan w:val="2"/>
            <w:tcBorders>
              <w:bottom w:val="single" w:sz="4" w:space="0" w:color="auto"/>
            </w:tcBorders>
          </w:tcPr>
          <w:p w14:paraId="1D06DF84" w14:textId="77777777" w:rsidR="00DE6D4C" w:rsidRPr="00406C0F" w:rsidRDefault="00DE6D4C" w:rsidP="0020412F">
            <w:pPr>
              <w:autoSpaceDE w:val="0"/>
              <w:autoSpaceDN w:val="0"/>
              <w:adjustRightInd w:val="0"/>
              <w:jc w:val="center"/>
              <w:rPr>
                <w:rFonts w:ascii="Arial" w:hAnsi="Arial" w:cs="Arial"/>
                <w:b/>
                <w:bCs/>
                <w:sz w:val="20"/>
              </w:rPr>
            </w:pPr>
            <w:r w:rsidRPr="00406C0F">
              <w:rPr>
                <w:rFonts w:ascii="Arial" w:hAnsi="Arial" w:cs="Arial"/>
                <w:b/>
                <w:bCs/>
                <w:sz w:val="20"/>
              </w:rPr>
              <w:t>Results</w:t>
            </w:r>
          </w:p>
        </w:tc>
        <w:tc>
          <w:tcPr>
            <w:tcW w:w="1096" w:type="dxa"/>
            <w:vMerge w:val="restart"/>
          </w:tcPr>
          <w:p w14:paraId="2BB99B6D" w14:textId="77777777" w:rsidR="00DE6D4C" w:rsidRPr="00406C0F" w:rsidRDefault="00DE6D4C" w:rsidP="0020412F">
            <w:pPr>
              <w:autoSpaceDE w:val="0"/>
              <w:autoSpaceDN w:val="0"/>
              <w:adjustRightInd w:val="0"/>
              <w:jc w:val="both"/>
              <w:rPr>
                <w:rFonts w:ascii="Arial" w:hAnsi="Arial" w:cs="Arial"/>
                <w:b/>
                <w:bCs/>
                <w:sz w:val="20"/>
              </w:rPr>
            </w:pPr>
          </w:p>
          <w:p w14:paraId="0A8C8196" w14:textId="77777777" w:rsidR="00DE6D4C" w:rsidRPr="00406C0F" w:rsidRDefault="00DE6D4C" w:rsidP="0020412F">
            <w:pPr>
              <w:autoSpaceDE w:val="0"/>
              <w:autoSpaceDN w:val="0"/>
              <w:adjustRightInd w:val="0"/>
              <w:jc w:val="both"/>
              <w:rPr>
                <w:rFonts w:ascii="Arial" w:hAnsi="Arial" w:cs="Arial"/>
                <w:b/>
                <w:bCs/>
                <w:sz w:val="20"/>
              </w:rPr>
            </w:pPr>
            <w:r w:rsidRPr="00406C0F">
              <w:rPr>
                <w:rFonts w:ascii="Arial" w:hAnsi="Arial" w:cs="Arial"/>
                <w:b/>
                <w:bCs/>
                <w:sz w:val="20"/>
              </w:rPr>
              <w:t>Units</w:t>
            </w:r>
          </w:p>
        </w:tc>
        <w:tc>
          <w:tcPr>
            <w:tcW w:w="1921" w:type="dxa"/>
            <w:vMerge w:val="restart"/>
          </w:tcPr>
          <w:p w14:paraId="4B541AED" w14:textId="77777777" w:rsidR="00DE6D4C" w:rsidRPr="00406C0F" w:rsidRDefault="00DE6D4C" w:rsidP="0020412F">
            <w:pPr>
              <w:autoSpaceDE w:val="0"/>
              <w:autoSpaceDN w:val="0"/>
              <w:adjustRightInd w:val="0"/>
              <w:jc w:val="both"/>
              <w:rPr>
                <w:rFonts w:ascii="Arial" w:hAnsi="Arial" w:cs="Arial"/>
                <w:b/>
                <w:bCs/>
                <w:sz w:val="20"/>
              </w:rPr>
            </w:pPr>
          </w:p>
          <w:p w14:paraId="7499E237" w14:textId="77777777" w:rsidR="00DE6D4C" w:rsidRPr="00406C0F" w:rsidRDefault="00DE6D4C" w:rsidP="0020412F">
            <w:pPr>
              <w:autoSpaceDE w:val="0"/>
              <w:autoSpaceDN w:val="0"/>
              <w:adjustRightInd w:val="0"/>
              <w:jc w:val="both"/>
              <w:rPr>
                <w:rFonts w:ascii="Arial" w:hAnsi="Arial" w:cs="Arial"/>
                <w:b/>
                <w:bCs/>
                <w:sz w:val="20"/>
              </w:rPr>
            </w:pPr>
            <w:r w:rsidRPr="00406C0F">
              <w:rPr>
                <w:rFonts w:ascii="Arial" w:hAnsi="Arial" w:cs="Arial"/>
                <w:b/>
                <w:bCs/>
                <w:sz w:val="20"/>
              </w:rPr>
              <w:t>Reference Range</w:t>
            </w:r>
          </w:p>
        </w:tc>
      </w:tr>
      <w:tr w:rsidR="00DE6D4C" w:rsidRPr="00406C0F" w14:paraId="6576A324" w14:textId="77777777" w:rsidTr="0020412F">
        <w:trPr>
          <w:tblHeader/>
        </w:trPr>
        <w:tc>
          <w:tcPr>
            <w:tcW w:w="2205" w:type="dxa"/>
            <w:vMerge/>
            <w:tcBorders>
              <w:bottom w:val="single" w:sz="4" w:space="0" w:color="auto"/>
            </w:tcBorders>
          </w:tcPr>
          <w:p w14:paraId="6049EDC8" w14:textId="77777777" w:rsidR="00DE6D4C" w:rsidRPr="00406C0F" w:rsidRDefault="00DE6D4C" w:rsidP="0020412F">
            <w:pPr>
              <w:autoSpaceDE w:val="0"/>
              <w:autoSpaceDN w:val="0"/>
              <w:adjustRightInd w:val="0"/>
              <w:jc w:val="both"/>
              <w:rPr>
                <w:rFonts w:ascii="Arial" w:hAnsi="Arial" w:cs="Arial"/>
                <w:bCs/>
                <w:sz w:val="20"/>
              </w:rPr>
            </w:pPr>
          </w:p>
        </w:tc>
        <w:tc>
          <w:tcPr>
            <w:tcW w:w="1507" w:type="dxa"/>
            <w:tcBorders>
              <w:top w:val="single" w:sz="4" w:space="0" w:color="auto"/>
              <w:bottom w:val="single" w:sz="4" w:space="0" w:color="auto"/>
            </w:tcBorders>
          </w:tcPr>
          <w:p w14:paraId="0F33FC82" w14:textId="77777777" w:rsidR="00DE6D4C" w:rsidRPr="00406C0F" w:rsidRDefault="00DE6D4C" w:rsidP="0020412F">
            <w:pPr>
              <w:autoSpaceDE w:val="0"/>
              <w:autoSpaceDN w:val="0"/>
              <w:adjustRightInd w:val="0"/>
              <w:jc w:val="both"/>
              <w:rPr>
                <w:rFonts w:ascii="Arial" w:hAnsi="Arial" w:cs="Arial"/>
                <w:b/>
                <w:bCs/>
                <w:sz w:val="20"/>
              </w:rPr>
            </w:pPr>
            <w:r w:rsidRPr="00406C0F">
              <w:rPr>
                <w:rFonts w:ascii="Arial" w:hAnsi="Arial" w:cs="Arial"/>
                <w:b/>
                <w:bCs/>
                <w:sz w:val="20"/>
              </w:rPr>
              <w:t>Baseline</w:t>
            </w:r>
          </w:p>
        </w:tc>
        <w:tc>
          <w:tcPr>
            <w:tcW w:w="1351" w:type="dxa"/>
            <w:tcBorders>
              <w:top w:val="single" w:sz="4" w:space="0" w:color="auto"/>
              <w:bottom w:val="single" w:sz="4" w:space="0" w:color="auto"/>
            </w:tcBorders>
          </w:tcPr>
          <w:p w14:paraId="586ABB73" w14:textId="77777777" w:rsidR="00DE6D4C" w:rsidRPr="00406C0F" w:rsidRDefault="00DE6D4C" w:rsidP="0020412F">
            <w:pPr>
              <w:autoSpaceDE w:val="0"/>
              <w:autoSpaceDN w:val="0"/>
              <w:adjustRightInd w:val="0"/>
              <w:jc w:val="both"/>
              <w:rPr>
                <w:rFonts w:ascii="Arial" w:hAnsi="Arial" w:cs="Arial"/>
                <w:b/>
                <w:bCs/>
                <w:sz w:val="20"/>
              </w:rPr>
            </w:pPr>
            <w:r w:rsidRPr="00406C0F">
              <w:rPr>
                <w:rFonts w:ascii="Arial" w:hAnsi="Arial" w:cs="Arial"/>
                <w:b/>
                <w:bCs/>
                <w:sz w:val="20"/>
              </w:rPr>
              <w:t>Follow Up 5</w:t>
            </w:r>
          </w:p>
        </w:tc>
        <w:tc>
          <w:tcPr>
            <w:tcW w:w="1096" w:type="dxa"/>
            <w:vMerge/>
            <w:tcBorders>
              <w:bottom w:val="single" w:sz="4" w:space="0" w:color="auto"/>
            </w:tcBorders>
          </w:tcPr>
          <w:p w14:paraId="11A61BC6" w14:textId="77777777" w:rsidR="00DE6D4C" w:rsidRPr="00406C0F" w:rsidRDefault="00DE6D4C" w:rsidP="0020412F">
            <w:pPr>
              <w:autoSpaceDE w:val="0"/>
              <w:autoSpaceDN w:val="0"/>
              <w:adjustRightInd w:val="0"/>
              <w:jc w:val="both"/>
              <w:rPr>
                <w:rFonts w:ascii="Arial" w:hAnsi="Arial" w:cs="Arial"/>
                <w:bCs/>
                <w:sz w:val="20"/>
              </w:rPr>
            </w:pPr>
          </w:p>
        </w:tc>
        <w:tc>
          <w:tcPr>
            <w:tcW w:w="1921" w:type="dxa"/>
            <w:vMerge/>
            <w:tcBorders>
              <w:bottom w:val="single" w:sz="4" w:space="0" w:color="auto"/>
            </w:tcBorders>
          </w:tcPr>
          <w:p w14:paraId="2C842B1C" w14:textId="77777777" w:rsidR="00DE6D4C" w:rsidRPr="00406C0F" w:rsidRDefault="00DE6D4C" w:rsidP="0020412F">
            <w:pPr>
              <w:autoSpaceDE w:val="0"/>
              <w:autoSpaceDN w:val="0"/>
              <w:adjustRightInd w:val="0"/>
              <w:jc w:val="both"/>
              <w:rPr>
                <w:rFonts w:ascii="Arial" w:hAnsi="Arial" w:cs="Arial"/>
                <w:bCs/>
                <w:sz w:val="20"/>
              </w:rPr>
            </w:pPr>
          </w:p>
        </w:tc>
      </w:tr>
      <w:tr w:rsidR="00DE6D4C" w:rsidRPr="00406C0F" w14:paraId="079D9AB7" w14:textId="77777777" w:rsidTr="0020412F">
        <w:tc>
          <w:tcPr>
            <w:tcW w:w="8080" w:type="dxa"/>
            <w:gridSpan w:val="5"/>
            <w:tcBorders>
              <w:top w:val="single" w:sz="4" w:space="0" w:color="auto"/>
              <w:bottom w:val="nil"/>
            </w:tcBorders>
          </w:tcPr>
          <w:p w14:paraId="135D9158" w14:textId="77777777" w:rsidR="00DE6D4C" w:rsidRPr="00406C0F" w:rsidRDefault="00DE6D4C" w:rsidP="0020412F">
            <w:pPr>
              <w:autoSpaceDE w:val="0"/>
              <w:autoSpaceDN w:val="0"/>
              <w:adjustRightInd w:val="0"/>
              <w:jc w:val="both"/>
              <w:rPr>
                <w:rFonts w:ascii="Arial" w:hAnsi="Arial" w:cs="Arial"/>
                <w:b/>
                <w:bCs/>
                <w:sz w:val="20"/>
              </w:rPr>
            </w:pPr>
            <w:r w:rsidRPr="00406C0F">
              <w:rPr>
                <w:rFonts w:ascii="Arial" w:hAnsi="Arial" w:cs="Arial"/>
                <w:b/>
                <w:bCs/>
                <w:sz w:val="20"/>
              </w:rPr>
              <w:t>Clinical Chemistry:</w:t>
            </w:r>
          </w:p>
        </w:tc>
      </w:tr>
      <w:tr w:rsidR="00DE6D4C" w:rsidRPr="00406C0F" w14:paraId="30E7988A" w14:textId="77777777" w:rsidTr="0020412F">
        <w:tc>
          <w:tcPr>
            <w:tcW w:w="2205" w:type="dxa"/>
            <w:tcBorders>
              <w:top w:val="nil"/>
            </w:tcBorders>
          </w:tcPr>
          <w:p w14:paraId="4445055E"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Total protein</w:t>
            </w:r>
          </w:p>
        </w:tc>
        <w:tc>
          <w:tcPr>
            <w:tcW w:w="1507" w:type="dxa"/>
            <w:tcBorders>
              <w:top w:val="nil"/>
            </w:tcBorders>
          </w:tcPr>
          <w:p w14:paraId="26EBCB68"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7.9</w:t>
            </w:r>
          </w:p>
        </w:tc>
        <w:tc>
          <w:tcPr>
            <w:tcW w:w="1351" w:type="dxa"/>
            <w:tcBorders>
              <w:top w:val="nil"/>
            </w:tcBorders>
          </w:tcPr>
          <w:p w14:paraId="3EE7099B"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7.7</w:t>
            </w:r>
          </w:p>
        </w:tc>
        <w:tc>
          <w:tcPr>
            <w:tcW w:w="1096" w:type="dxa"/>
            <w:tcBorders>
              <w:top w:val="nil"/>
            </w:tcBorders>
          </w:tcPr>
          <w:p w14:paraId="40685B52"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g/dL</w:t>
            </w:r>
          </w:p>
        </w:tc>
        <w:tc>
          <w:tcPr>
            <w:tcW w:w="1921" w:type="dxa"/>
            <w:tcBorders>
              <w:top w:val="nil"/>
            </w:tcBorders>
          </w:tcPr>
          <w:p w14:paraId="7E8434B9"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6.60-8.30</w:t>
            </w:r>
          </w:p>
        </w:tc>
      </w:tr>
      <w:tr w:rsidR="00DE6D4C" w:rsidRPr="00406C0F" w14:paraId="666B7345" w14:textId="77777777" w:rsidTr="0020412F">
        <w:tc>
          <w:tcPr>
            <w:tcW w:w="2205" w:type="dxa"/>
          </w:tcPr>
          <w:p w14:paraId="3FD3BF5F"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Albumin</w:t>
            </w:r>
          </w:p>
        </w:tc>
        <w:tc>
          <w:tcPr>
            <w:tcW w:w="1507" w:type="dxa"/>
          </w:tcPr>
          <w:p w14:paraId="3961862A"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4.7</w:t>
            </w:r>
          </w:p>
        </w:tc>
        <w:tc>
          <w:tcPr>
            <w:tcW w:w="1351" w:type="dxa"/>
          </w:tcPr>
          <w:p w14:paraId="6D64CD40"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4.6</w:t>
            </w:r>
          </w:p>
        </w:tc>
        <w:tc>
          <w:tcPr>
            <w:tcW w:w="1096" w:type="dxa"/>
          </w:tcPr>
          <w:p w14:paraId="4F2301D7"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g/dL</w:t>
            </w:r>
          </w:p>
        </w:tc>
        <w:tc>
          <w:tcPr>
            <w:tcW w:w="1921" w:type="dxa"/>
          </w:tcPr>
          <w:p w14:paraId="0D0A7D09"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3.50-5.30</w:t>
            </w:r>
          </w:p>
        </w:tc>
      </w:tr>
      <w:tr w:rsidR="00DE6D4C" w:rsidRPr="00406C0F" w14:paraId="6CD15CB0" w14:textId="77777777" w:rsidTr="0020412F">
        <w:tc>
          <w:tcPr>
            <w:tcW w:w="2205" w:type="dxa"/>
          </w:tcPr>
          <w:p w14:paraId="43321654"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Total Bilirubin</w:t>
            </w:r>
          </w:p>
        </w:tc>
        <w:tc>
          <w:tcPr>
            <w:tcW w:w="1507" w:type="dxa"/>
          </w:tcPr>
          <w:p w14:paraId="738F5C72"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1.01</w:t>
            </w:r>
          </w:p>
        </w:tc>
        <w:tc>
          <w:tcPr>
            <w:tcW w:w="1351" w:type="dxa"/>
          </w:tcPr>
          <w:p w14:paraId="5DDA69A3"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0.75</w:t>
            </w:r>
          </w:p>
        </w:tc>
        <w:tc>
          <w:tcPr>
            <w:tcW w:w="1096" w:type="dxa"/>
          </w:tcPr>
          <w:p w14:paraId="1F138588"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mg/dL</w:t>
            </w:r>
          </w:p>
        </w:tc>
        <w:tc>
          <w:tcPr>
            <w:tcW w:w="1921" w:type="dxa"/>
          </w:tcPr>
          <w:p w14:paraId="4AF67AC9"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0.10-1.20</w:t>
            </w:r>
          </w:p>
        </w:tc>
      </w:tr>
      <w:tr w:rsidR="00DE6D4C" w:rsidRPr="00406C0F" w14:paraId="57399045" w14:textId="77777777" w:rsidTr="0020412F">
        <w:tc>
          <w:tcPr>
            <w:tcW w:w="2205" w:type="dxa"/>
          </w:tcPr>
          <w:p w14:paraId="36DDCCD1"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AST (SGOT)</w:t>
            </w:r>
          </w:p>
        </w:tc>
        <w:tc>
          <w:tcPr>
            <w:tcW w:w="1507" w:type="dxa"/>
          </w:tcPr>
          <w:p w14:paraId="76073195"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18</w:t>
            </w:r>
          </w:p>
        </w:tc>
        <w:tc>
          <w:tcPr>
            <w:tcW w:w="1351" w:type="dxa"/>
          </w:tcPr>
          <w:p w14:paraId="0D062229"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18</w:t>
            </w:r>
          </w:p>
        </w:tc>
        <w:tc>
          <w:tcPr>
            <w:tcW w:w="1096" w:type="dxa"/>
          </w:tcPr>
          <w:p w14:paraId="3F592A47"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U/L</w:t>
            </w:r>
          </w:p>
        </w:tc>
        <w:tc>
          <w:tcPr>
            <w:tcW w:w="1921" w:type="dxa"/>
          </w:tcPr>
          <w:p w14:paraId="5AB7C626"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0.00-35.00</w:t>
            </w:r>
          </w:p>
        </w:tc>
      </w:tr>
      <w:tr w:rsidR="00DE6D4C" w:rsidRPr="00406C0F" w14:paraId="4479A801" w14:textId="77777777" w:rsidTr="0020412F">
        <w:tc>
          <w:tcPr>
            <w:tcW w:w="2205" w:type="dxa"/>
          </w:tcPr>
          <w:p w14:paraId="5660998E"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ALT (SGPT)</w:t>
            </w:r>
          </w:p>
        </w:tc>
        <w:tc>
          <w:tcPr>
            <w:tcW w:w="1507" w:type="dxa"/>
          </w:tcPr>
          <w:p w14:paraId="52EFCB67"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13</w:t>
            </w:r>
          </w:p>
        </w:tc>
        <w:tc>
          <w:tcPr>
            <w:tcW w:w="1351" w:type="dxa"/>
          </w:tcPr>
          <w:p w14:paraId="545B210F"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9</w:t>
            </w:r>
          </w:p>
        </w:tc>
        <w:tc>
          <w:tcPr>
            <w:tcW w:w="1096" w:type="dxa"/>
          </w:tcPr>
          <w:p w14:paraId="471012D7"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U/L</w:t>
            </w:r>
          </w:p>
        </w:tc>
        <w:tc>
          <w:tcPr>
            <w:tcW w:w="1921" w:type="dxa"/>
          </w:tcPr>
          <w:p w14:paraId="4EAFAC81"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0.00-45.00</w:t>
            </w:r>
          </w:p>
        </w:tc>
      </w:tr>
      <w:tr w:rsidR="00DE6D4C" w:rsidRPr="00406C0F" w14:paraId="06FFEE44" w14:textId="77777777" w:rsidTr="0020412F">
        <w:tc>
          <w:tcPr>
            <w:tcW w:w="2205" w:type="dxa"/>
          </w:tcPr>
          <w:p w14:paraId="0A2F11B9"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Alkaline Phosphatase</w:t>
            </w:r>
          </w:p>
        </w:tc>
        <w:tc>
          <w:tcPr>
            <w:tcW w:w="1507" w:type="dxa"/>
          </w:tcPr>
          <w:p w14:paraId="4AC79423"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69</w:t>
            </w:r>
          </w:p>
        </w:tc>
        <w:tc>
          <w:tcPr>
            <w:tcW w:w="1351" w:type="dxa"/>
          </w:tcPr>
          <w:p w14:paraId="658AE9D0"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64</w:t>
            </w:r>
          </w:p>
        </w:tc>
        <w:tc>
          <w:tcPr>
            <w:tcW w:w="1096" w:type="dxa"/>
          </w:tcPr>
          <w:p w14:paraId="1D38CE5F"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U/L</w:t>
            </w:r>
          </w:p>
        </w:tc>
        <w:tc>
          <w:tcPr>
            <w:tcW w:w="1921" w:type="dxa"/>
          </w:tcPr>
          <w:p w14:paraId="2751C504"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30.00-120.00</w:t>
            </w:r>
          </w:p>
        </w:tc>
      </w:tr>
      <w:tr w:rsidR="00DE6D4C" w:rsidRPr="00406C0F" w14:paraId="0372B62A" w14:textId="77777777" w:rsidTr="0020412F">
        <w:tc>
          <w:tcPr>
            <w:tcW w:w="2205" w:type="dxa"/>
            <w:tcBorders>
              <w:bottom w:val="single" w:sz="4" w:space="0" w:color="auto"/>
            </w:tcBorders>
          </w:tcPr>
          <w:p w14:paraId="236468F1"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Random Blood Sugar</w:t>
            </w:r>
          </w:p>
        </w:tc>
        <w:tc>
          <w:tcPr>
            <w:tcW w:w="1507" w:type="dxa"/>
            <w:tcBorders>
              <w:bottom w:val="single" w:sz="4" w:space="0" w:color="auto"/>
            </w:tcBorders>
          </w:tcPr>
          <w:p w14:paraId="5E1AAEE7"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82</w:t>
            </w:r>
          </w:p>
        </w:tc>
        <w:tc>
          <w:tcPr>
            <w:tcW w:w="1351" w:type="dxa"/>
            <w:tcBorders>
              <w:bottom w:val="single" w:sz="4" w:space="0" w:color="auto"/>
            </w:tcBorders>
          </w:tcPr>
          <w:p w14:paraId="40B4CD74"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88</w:t>
            </w:r>
          </w:p>
        </w:tc>
        <w:tc>
          <w:tcPr>
            <w:tcW w:w="1096" w:type="dxa"/>
            <w:tcBorders>
              <w:bottom w:val="single" w:sz="4" w:space="0" w:color="auto"/>
            </w:tcBorders>
          </w:tcPr>
          <w:p w14:paraId="733AA671"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mg/dL</w:t>
            </w:r>
          </w:p>
        </w:tc>
        <w:tc>
          <w:tcPr>
            <w:tcW w:w="1921" w:type="dxa"/>
            <w:tcBorders>
              <w:bottom w:val="single" w:sz="4" w:space="0" w:color="auto"/>
            </w:tcBorders>
          </w:tcPr>
          <w:p w14:paraId="2C102BF2"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70.00-100.00</w:t>
            </w:r>
          </w:p>
        </w:tc>
      </w:tr>
      <w:tr w:rsidR="00DE6D4C" w:rsidRPr="00406C0F" w14:paraId="710FD707" w14:textId="77777777" w:rsidTr="0020412F">
        <w:tc>
          <w:tcPr>
            <w:tcW w:w="8080" w:type="dxa"/>
            <w:gridSpan w:val="5"/>
            <w:tcBorders>
              <w:top w:val="single" w:sz="4" w:space="0" w:color="auto"/>
              <w:bottom w:val="nil"/>
            </w:tcBorders>
          </w:tcPr>
          <w:p w14:paraId="62C3152A" w14:textId="77777777" w:rsidR="00DE6D4C" w:rsidRPr="00406C0F" w:rsidRDefault="00DE6D4C" w:rsidP="0020412F">
            <w:pPr>
              <w:autoSpaceDE w:val="0"/>
              <w:autoSpaceDN w:val="0"/>
              <w:adjustRightInd w:val="0"/>
              <w:jc w:val="both"/>
              <w:rPr>
                <w:rFonts w:ascii="Arial" w:hAnsi="Arial" w:cs="Arial"/>
                <w:b/>
                <w:bCs/>
                <w:sz w:val="20"/>
              </w:rPr>
            </w:pPr>
            <w:r w:rsidRPr="00406C0F">
              <w:rPr>
                <w:rFonts w:ascii="Arial" w:hAnsi="Arial" w:cs="Arial"/>
                <w:b/>
                <w:bCs/>
                <w:sz w:val="20"/>
              </w:rPr>
              <w:t>Hematology:</w:t>
            </w:r>
          </w:p>
        </w:tc>
      </w:tr>
      <w:tr w:rsidR="00DE6D4C" w:rsidRPr="00406C0F" w14:paraId="06A05399" w14:textId="77777777" w:rsidTr="0020412F">
        <w:tc>
          <w:tcPr>
            <w:tcW w:w="2205" w:type="dxa"/>
            <w:tcBorders>
              <w:top w:val="nil"/>
            </w:tcBorders>
          </w:tcPr>
          <w:p w14:paraId="07B92188"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WBC</w:t>
            </w:r>
          </w:p>
        </w:tc>
        <w:tc>
          <w:tcPr>
            <w:tcW w:w="1507" w:type="dxa"/>
            <w:tcBorders>
              <w:top w:val="nil"/>
            </w:tcBorders>
          </w:tcPr>
          <w:p w14:paraId="644806CA"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8.18</w:t>
            </w:r>
          </w:p>
        </w:tc>
        <w:tc>
          <w:tcPr>
            <w:tcW w:w="1351" w:type="dxa"/>
            <w:tcBorders>
              <w:top w:val="nil"/>
            </w:tcBorders>
          </w:tcPr>
          <w:p w14:paraId="3A396FEA"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8.91</w:t>
            </w:r>
          </w:p>
        </w:tc>
        <w:tc>
          <w:tcPr>
            <w:tcW w:w="1096" w:type="dxa"/>
            <w:tcBorders>
              <w:top w:val="nil"/>
            </w:tcBorders>
          </w:tcPr>
          <w:p w14:paraId="48873980"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10</w:t>
            </w:r>
            <w:r w:rsidRPr="00406C0F">
              <w:rPr>
                <w:rFonts w:ascii="Arial" w:hAnsi="Arial" w:cs="Arial"/>
                <w:bCs/>
                <w:sz w:val="20"/>
                <w:vertAlign w:val="superscript"/>
              </w:rPr>
              <w:t>3</w:t>
            </w:r>
            <w:r w:rsidRPr="00406C0F">
              <w:rPr>
                <w:rFonts w:ascii="Arial" w:hAnsi="Arial" w:cs="Arial"/>
                <w:bCs/>
                <w:sz w:val="20"/>
              </w:rPr>
              <w:t>/µL</w:t>
            </w:r>
          </w:p>
        </w:tc>
        <w:tc>
          <w:tcPr>
            <w:tcW w:w="1921" w:type="dxa"/>
            <w:tcBorders>
              <w:top w:val="nil"/>
            </w:tcBorders>
          </w:tcPr>
          <w:p w14:paraId="06B5C702"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4.5-11.0</w:t>
            </w:r>
          </w:p>
        </w:tc>
      </w:tr>
      <w:tr w:rsidR="00DE6D4C" w:rsidRPr="00406C0F" w14:paraId="69ACB19F" w14:textId="77777777" w:rsidTr="0020412F">
        <w:tc>
          <w:tcPr>
            <w:tcW w:w="2205" w:type="dxa"/>
          </w:tcPr>
          <w:p w14:paraId="4FB3CD14"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RBC</w:t>
            </w:r>
          </w:p>
        </w:tc>
        <w:tc>
          <w:tcPr>
            <w:tcW w:w="1507" w:type="dxa"/>
          </w:tcPr>
          <w:p w14:paraId="3FCF5075"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5.10</w:t>
            </w:r>
          </w:p>
        </w:tc>
        <w:tc>
          <w:tcPr>
            <w:tcW w:w="1351" w:type="dxa"/>
          </w:tcPr>
          <w:p w14:paraId="0F4E6A54"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5.12</w:t>
            </w:r>
          </w:p>
        </w:tc>
        <w:tc>
          <w:tcPr>
            <w:tcW w:w="1096" w:type="dxa"/>
          </w:tcPr>
          <w:p w14:paraId="4E51D97A"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10</w:t>
            </w:r>
            <w:r w:rsidRPr="00406C0F">
              <w:rPr>
                <w:rFonts w:ascii="Arial" w:hAnsi="Arial" w:cs="Arial"/>
                <w:bCs/>
                <w:sz w:val="20"/>
                <w:vertAlign w:val="superscript"/>
              </w:rPr>
              <w:t>6</w:t>
            </w:r>
            <w:r w:rsidRPr="00406C0F">
              <w:rPr>
                <w:rFonts w:ascii="Arial" w:hAnsi="Arial" w:cs="Arial"/>
                <w:bCs/>
                <w:sz w:val="20"/>
              </w:rPr>
              <w:t>/µL</w:t>
            </w:r>
          </w:p>
        </w:tc>
        <w:tc>
          <w:tcPr>
            <w:tcW w:w="1921" w:type="dxa"/>
          </w:tcPr>
          <w:p w14:paraId="351109AB"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4.3-5.9</w:t>
            </w:r>
          </w:p>
        </w:tc>
      </w:tr>
      <w:tr w:rsidR="00DE6D4C" w:rsidRPr="00406C0F" w14:paraId="5EC9A66D" w14:textId="77777777" w:rsidTr="0020412F">
        <w:tc>
          <w:tcPr>
            <w:tcW w:w="2205" w:type="dxa"/>
          </w:tcPr>
          <w:p w14:paraId="21270C10"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HGB</w:t>
            </w:r>
          </w:p>
        </w:tc>
        <w:tc>
          <w:tcPr>
            <w:tcW w:w="1507" w:type="dxa"/>
          </w:tcPr>
          <w:p w14:paraId="7206797B"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15.1</w:t>
            </w:r>
          </w:p>
        </w:tc>
        <w:tc>
          <w:tcPr>
            <w:tcW w:w="1351" w:type="dxa"/>
          </w:tcPr>
          <w:p w14:paraId="7D6F624F"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15.2</w:t>
            </w:r>
          </w:p>
        </w:tc>
        <w:tc>
          <w:tcPr>
            <w:tcW w:w="1096" w:type="dxa"/>
          </w:tcPr>
          <w:p w14:paraId="351B7001"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g/dL</w:t>
            </w:r>
          </w:p>
        </w:tc>
        <w:tc>
          <w:tcPr>
            <w:tcW w:w="1921" w:type="dxa"/>
          </w:tcPr>
          <w:p w14:paraId="78A4A137"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13.5-17.5</w:t>
            </w:r>
          </w:p>
        </w:tc>
      </w:tr>
      <w:tr w:rsidR="00DE6D4C" w:rsidRPr="00406C0F" w14:paraId="613F254F" w14:textId="77777777" w:rsidTr="0020412F">
        <w:tc>
          <w:tcPr>
            <w:tcW w:w="2205" w:type="dxa"/>
          </w:tcPr>
          <w:p w14:paraId="79028FB7"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HCT</w:t>
            </w:r>
          </w:p>
        </w:tc>
        <w:tc>
          <w:tcPr>
            <w:tcW w:w="1507" w:type="dxa"/>
          </w:tcPr>
          <w:p w14:paraId="725063CD"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45.9</w:t>
            </w:r>
          </w:p>
        </w:tc>
        <w:tc>
          <w:tcPr>
            <w:tcW w:w="1351" w:type="dxa"/>
          </w:tcPr>
          <w:p w14:paraId="1111A749"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45.8</w:t>
            </w:r>
          </w:p>
        </w:tc>
        <w:tc>
          <w:tcPr>
            <w:tcW w:w="1096" w:type="dxa"/>
          </w:tcPr>
          <w:p w14:paraId="6D4B6014"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w:t>
            </w:r>
          </w:p>
        </w:tc>
        <w:tc>
          <w:tcPr>
            <w:tcW w:w="1921" w:type="dxa"/>
          </w:tcPr>
          <w:p w14:paraId="7FB1C0D2"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41-53</w:t>
            </w:r>
          </w:p>
        </w:tc>
      </w:tr>
      <w:tr w:rsidR="00DE6D4C" w:rsidRPr="00406C0F" w14:paraId="7E0207FD" w14:textId="77777777" w:rsidTr="0020412F">
        <w:tc>
          <w:tcPr>
            <w:tcW w:w="2205" w:type="dxa"/>
          </w:tcPr>
          <w:p w14:paraId="4E872CA1"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MCV</w:t>
            </w:r>
          </w:p>
        </w:tc>
        <w:tc>
          <w:tcPr>
            <w:tcW w:w="1507" w:type="dxa"/>
          </w:tcPr>
          <w:p w14:paraId="32C7E9AA"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90</w:t>
            </w:r>
          </w:p>
        </w:tc>
        <w:tc>
          <w:tcPr>
            <w:tcW w:w="1351" w:type="dxa"/>
          </w:tcPr>
          <w:p w14:paraId="3A5BFC0B"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90</w:t>
            </w:r>
          </w:p>
        </w:tc>
        <w:tc>
          <w:tcPr>
            <w:tcW w:w="1096" w:type="dxa"/>
          </w:tcPr>
          <w:p w14:paraId="75E1114D" w14:textId="77777777" w:rsidR="00DE6D4C" w:rsidRPr="00406C0F" w:rsidRDefault="00DE6D4C" w:rsidP="0020412F">
            <w:pPr>
              <w:autoSpaceDE w:val="0"/>
              <w:autoSpaceDN w:val="0"/>
              <w:adjustRightInd w:val="0"/>
              <w:jc w:val="both"/>
              <w:rPr>
                <w:rFonts w:ascii="Arial" w:hAnsi="Arial" w:cs="Arial"/>
                <w:bCs/>
                <w:sz w:val="20"/>
              </w:rPr>
            </w:pPr>
            <w:proofErr w:type="spellStart"/>
            <w:r w:rsidRPr="00406C0F">
              <w:rPr>
                <w:rFonts w:ascii="Arial" w:hAnsi="Arial" w:cs="Arial"/>
                <w:bCs/>
                <w:sz w:val="20"/>
              </w:rPr>
              <w:t>fL</w:t>
            </w:r>
            <w:proofErr w:type="spellEnd"/>
          </w:p>
        </w:tc>
        <w:tc>
          <w:tcPr>
            <w:tcW w:w="1921" w:type="dxa"/>
          </w:tcPr>
          <w:p w14:paraId="5661B8F9"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80-100</w:t>
            </w:r>
          </w:p>
        </w:tc>
      </w:tr>
      <w:tr w:rsidR="00DE6D4C" w:rsidRPr="00406C0F" w14:paraId="74C9BC24" w14:textId="77777777" w:rsidTr="0020412F">
        <w:tc>
          <w:tcPr>
            <w:tcW w:w="2205" w:type="dxa"/>
          </w:tcPr>
          <w:p w14:paraId="2EF96574"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MCH</w:t>
            </w:r>
          </w:p>
        </w:tc>
        <w:tc>
          <w:tcPr>
            <w:tcW w:w="1507" w:type="dxa"/>
          </w:tcPr>
          <w:p w14:paraId="30B5E663"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29.7</w:t>
            </w:r>
          </w:p>
        </w:tc>
        <w:tc>
          <w:tcPr>
            <w:tcW w:w="1351" w:type="dxa"/>
          </w:tcPr>
          <w:p w14:paraId="4D54363C"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29.7</w:t>
            </w:r>
          </w:p>
        </w:tc>
        <w:tc>
          <w:tcPr>
            <w:tcW w:w="1096" w:type="dxa"/>
          </w:tcPr>
          <w:p w14:paraId="32B18692" w14:textId="77777777" w:rsidR="00DE6D4C" w:rsidRPr="00406C0F" w:rsidRDefault="00DE6D4C" w:rsidP="0020412F">
            <w:pPr>
              <w:autoSpaceDE w:val="0"/>
              <w:autoSpaceDN w:val="0"/>
              <w:adjustRightInd w:val="0"/>
              <w:jc w:val="both"/>
              <w:rPr>
                <w:rFonts w:ascii="Arial" w:hAnsi="Arial" w:cs="Arial"/>
                <w:bCs/>
                <w:sz w:val="20"/>
              </w:rPr>
            </w:pPr>
            <w:proofErr w:type="spellStart"/>
            <w:r w:rsidRPr="00406C0F">
              <w:rPr>
                <w:rFonts w:ascii="Arial" w:hAnsi="Arial" w:cs="Arial"/>
                <w:bCs/>
                <w:sz w:val="20"/>
              </w:rPr>
              <w:t>pg</w:t>
            </w:r>
            <w:proofErr w:type="spellEnd"/>
            <w:r w:rsidRPr="00406C0F">
              <w:rPr>
                <w:rFonts w:ascii="Arial" w:hAnsi="Arial" w:cs="Arial"/>
                <w:bCs/>
                <w:sz w:val="20"/>
              </w:rPr>
              <w:t>/cell</w:t>
            </w:r>
          </w:p>
        </w:tc>
        <w:tc>
          <w:tcPr>
            <w:tcW w:w="1921" w:type="dxa"/>
          </w:tcPr>
          <w:p w14:paraId="5F8462A8"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25.4-34.6</w:t>
            </w:r>
          </w:p>
        </w:tc>
      </w:tr>
      <w:tr w:rsidR="00DE6D4C" w:rsidRPr="00406C0F" w14:paraId="40232530" w14:textId="77777777" w:rsidTr="0020412F">
        <w:tc>
          <w:tcPr>
            <w:tcW w:w="2205" w:type="dxa"/>
          </w:tcPr>
          <w:p w14:paraId="7A43AD9B"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MCHC</w:t>
            </w:r>
          </w:p>
        </w:tc>
        <w:tc>
          <w:tcPr>
            <w:tcW w:w="1507" w:type="dxa"/>
          </w:tcPr>
          <w:p w14:paraId="11680F51"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33.0</w:t>
            </w:r>
          </w:p>
        </w:tc>
        <w:tc>
          <w:tcPr>
            <w:tcW w:w="1351" w:type="dxa"/>
          </w:tcPr>
          <w:p w14:paraId="60206194"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33.1</w:t>
            </w:r>
          </w:p>
        </w:tc>
        <w:tc>
          <w:tcPr>
            <w:tcW w:w="1096" w:type="dxa"/>
          </w:tcPr>
          <w:p w14:paraId="554C4BB9"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%Hb/cell</w:t>
            </w:r>
          </w:p>
        </w:tc>
        <w:tc>
          <w:tcPr>
            <w:tcW w:w="1921" w:type="dxa"/>
          </w:tcPr>
          <w:p w14:paraId="6B01D3B1"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31-36</w:t>
            </w:r>
          </w:p>
        </w:tc>
      </w:tr>
      <w:tr w:rsidR="00DE6D4C" w:rsidRPr="00406C0F" w14:paraId="1640F8B4" w14:textId="77777777" w:rsidTr="0020412F">
        <w:tc>
          <w:tcPr>
            <w:tcW w:w="2205" w:type="dxa"/>
          </w:tcPr>
          <w:p w14:paraId="1F566DE5"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PLT</w:t>
            </w:r>
          </w:p>
        </w:tc>
        <w:tc>
          <w:tcPr>
            <w:tcW w:w="1507" w:type="dxa"/>
          </w:tcPr>
          <w:p w14:paraId="51C29A4B"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215</w:t>
            </w:r>
          </w:p>
        </w:tc>
        <w:tc>
          <w:tcPr>
            <w:tcW w:w="1351" w:type="dxa"/>
          </w:tcPr>
          <w:p w14:paraId="31A6209D"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207</w:t>
            </w:r>
          </w:p>
        </w:tc>
        <w:tc>
          <w:tcPr>
            <w:tcW w:w="1096" w:type="dxa"/>
          </w:tcPr>
          <w:p w14:paraId="4D3DFA0E"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10</w:t>
            </w:r>
            <w:r w:rsidRPr="00406C0F">
              <w:rPr>
                <w:rFonts w:ascii="Arial" w:hAnsi="Arial" w:cs="Arial"/>
                <w:bCs/>
                <w:sz w:val="20"/>
                <w:vertAlign w:val="superscript"/>
              </w:rPr>
              <w:t>3</w:t>
            </w:r>
            <w:r w:rsidRPr="00406C0F">
              <w:rPr>
                <w:rFonts w:ascii="Arial" w:hAnsi="Arial" w:cs="Arial"/>
                <w:bCs/>
                <w:sz w:val="20"/>
              </w:rPr>
              <w:t>/µL</w:t>
            </w:r>
          </w:p>
        </w:tc>
        <w:tc>
          <w:tcPr>
            <w:tcW w:w="1921" w:type="dxa"/>
          </w:tcPr>
          <w:p w14:paraId="5DAECED0"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150-400</w:t>
            </w:r>
          </w:p>
        </w:tc>
      </w:tr>
      <w:tr w:rsidR="00DE6D4C" w:rsidRPr="00406C0F" w14:paraId="17A0A1B3" w14:textId="77777777" w:rsidTr="0020412F">
        <w:tc>
          <w:tcPr>
            <w:tcW w:w="2205" w:type="dxa"/>
          </w:tcPr>
          <w:p w14:paraId="5591BD86"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Neutrophil</w:t>
            </w:r>
          </w:p>
        </w:tc>
        <w:tc>
          <w:tcPr>
            <w:tcW w:w="1507" w:type="dxa"/>
          </w:tcPr>
          <w:p w14:paraId="532096FE"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45</w:t>
            </w:r>
          </w:p>
        </w:tc>
        <w:tc>
          <w:tcPr>
            <w:tcW w:w="1351" w:type="dxa"/>
          </w:tcPr>
          <w:p w14:paraId="244D7BE5"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51</w:t>
            </w:r>
          </w:p>
        </w:tc>
        <w:tc>
          <w:tcPr>
            <w:tcW w:w="1096" w:type="dxa"/>
          </w:tcPr>
          <w:p w14:paraId="4B96D011"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w:t>
            </w:r>
          </w:p>
        </w:tc>
        <w:tc>
          <w:tcPr>
            <w:tcW w:w="1921" w:type="dxa"/>
          </w:tcPr>
          <w:p w14:paraId="73B8E7C7"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45-75</w:t>
            </w:r>
          </w:p>
        </w:tc>
      </w:tr>
      <w:tr w:rsidR="00DE6D4C" w:rsidRPr="00406C0F" w14:paraId="5C654058" w14:textId="77777777" w:rsidTr="0020412F">
        <w:tc>
          <w:tcPr>
            <w:tcW w:w="2205" w:type="dxa"/>
          </w:tcPr>
          <w:p w14:paraId="086812CB"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Lymphocyte</w:t>
            </w:r>
          </w:p>
        </w:tc>
        <w:tc>
          <w:tcPr>
            <w:tcW w:w="1507" w:type="dxa"/>
          </w:tcPr>
          <w:p w14:paraId="1BA5A328"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42</w:t>
            </w:r>
          </w:p>
        </w:tc>
        <w:tc>
          <w:tcPr>
            <w:tcW w:w="1351" w:type="dxa"/>
          </w:tcPr>
          <w:p w14:paraId="3C70EBDB"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38</w:t>
            </w:r>
          </w:p>
        </w:tc>
        <w:tc>
          <w:tcPr>
            <w:tcW w:w="1096" w:type="dxa"/>
          </w:tcPr>
          <w:p w14:paraId="5314FE7C"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w:t>
            </w:r>
          </w:p>
        </w:tc>
        <w:tc>
          <w:tcPr>
            <w:tcW w:w="1921" w:type="dxa"/>
          </w:tcPr>
          <w:p w14:paraId="6773B14A"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20-45</w:t>
            </w:r>
          </w:p>
        </w:tc>
      </w:tr>
      <w:tr w:rsidR="00DE6D4C" w:rsidRPr="00406C0F" w14:paraId="44CFA4B8" w14:textId="77777777" w:rsidTr="0020412F">
        <w:tc>
          <w:tcPr>
            <w:tcW w:w="2205" w:type="dxa"/>
          </w:tcPr>
          <w:p w14:paraId="33624F5B"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Monocyte</w:t>
            </w:r>
          </w:p>
        </w:tc>
        <w:tc>
          <w:tcPr>
            <w:tcW w:w="1507" w:type="dxa"/>
          </w:tcPr>
          <w:p w14:paraId="5D8B124D"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6</w:t>
            </w:r>
          </w:p>
        </w:tc>
        <w:tc>
          <w:tcPr>
            <w:tcW w:w="1351" w:type="dxa"/>
          </w:tcPr>
          <w:p w14:paraId="3B49EF50"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6</w:t>
            </w:r>
          </w:p>
        </w:tc>
        <w:tc>
          <w:tcPr>
            <w:tcW w:w="1096" w:type="dxa"/>
          </w:tcPr>
          <w:p w14:paraId="1E6E93A6"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w:t>
            </w:r>
          </w:p>
        </w:tc>
        <w:tc>
          <w:tcPr>
            <w:tcW w:w="1921" w:type="dxa"/>
          </w:tcPr>
          <w:p w14:paraId="13231B01"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2-10</w:t>
            </w:r>
          </w:p>
        </w:tc>
      </w:tr>
      <w:tr w:rsidR="00DE6D4C" w:rsidRPr="00406C0F" w14:paraId="3E254CE5" w14:textId="77777777" w:rsidTr="0020412F">
        <w:tc>
          <w:tcPr>
            <w:tcW w:w="2205" w:type="dxa"/>
          </w:tcPr>
          <w:p w14:paraId="6CEEF8E3"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Eosinophil</w:t>
            </w:r>
          </w:p>
        </w:tc>
        <w:tc>
          <w:tcPr>
            <w:tcW w:w="1507" w:type="dxa"/>
          </w:tcPr>
          <w:p w14:paraId="26CF18B3"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7</w:t>
            </w:r>
          </w:p>
        </w:tc>
        <w:tc>
          <w:tcPr>
            <w:tcW w:w="1351" w:type="dxa"/>
          </w:tcPr>
          <w:p w14:paraId="71F344CB"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4</w:t>
            </w:r>
          </w:p>
        </w:tc>
        <w:tc>
          <w:tcPr>
            <w:tcW w:w="1096" w:type="dxa"/>
          </w:tcPr>
          <w:p w14:paraId="1CA321AD"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w:t>
            </w:r>
          </w:p>
        </w:tc>
        <w:tc>
          <w:tcPr>
            <w:tcW w:w="1921" w:type="dxa"/>
          </w:tcPr>
          <w:p w14:paraId="394F9C20"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4-6</w:t>
            </w:r>
          </w:p>
        </w:tc>
      </w:tr>
      <w:tr w:rsidR="00DE6D4C" w:rsidRPr="00406C0F" w14:paraId="65FC5BBD" w14:textId="77777777" w:rsidTr="0020412F">
        <w:tc>
          <w:tcPr>
            <w:tcW w:w="2205" w:type="dxa"/>
          </w:tcPr>
          <w:p w14:paraId="3803BBCB"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Basophile</w:t>
            </w:r>
          </w:p>
        </w:tc>
        <w:tc>
          <w:tcPr>
            <w:tcW w:w="1507" w:type="dxa"/>
          </w:tcPr>
          <w:p w14:paraId="024822FB"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0</w:t>
            </w:r>
          </w:p>
        </w:tc>
        <w:tc>
          <w:tcPr>
            <w:tcW w:w="1351" w:type="dxa"/>
          </w:tcPr>
          <w:p w14:paraId="2472AE8F"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1</w:t>
            </w:r>
          </w:p>
        </w:tc>
        <w:tc>
          <w:tcPr>
            <w:tcW w:w="1096" w:type="dxa"/>
          </w:tcPr>
          <w:p w14:paraId="5E9F6058"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w:t>
            </w:r>
          </w:p>
        </w:tc>
        <w:tc>
          <w:tcPr>
            <w:tcW w:w="1921" w:type="dxa"/>
          </w:tcPr>
          <w:p w14:paraId="233FE9E3" w14:textId="77777777" w:rsidR="00DE6D4C" w:rsidRPr="00406C0F" w:rsidRDefault="00DE6D4C" w:rsidP="0020412F">
            <w:pPr>
              <w:autoSpaceDE w:val="0"/>
              <w:autoSpaceDN w:val="0"/>
              <w:adjustRightInd w:val="0"/>
              <w:jc w:val="both"/>
              <w:rPr>
                <w:rFonts w:ascii="Arial" w:hAnsi="Arial" w:cs="Arial"/>
                <w:bCs/>
                <w:sz w:val="20"/>
              </w:rPr>
            </w:pPr>
            <w:r w:rsidRPr="00406C0F">
              <w:rPr>
                <w:rFonts w:ascii="Arial" w:hAnsi="Arial" w:cs="Arial"/>
                <w:bCs/>
                <w:sz w:val="20"/>
              </w:rPr>
              <w:t>0-1</w:t>
            </w:r>
          </w:p>
        </w:tc>
      </w:tr>
    </w:tbl>
    <w:p w14:paraId="1AFD4C0B" w14:textId="77777777" w:rsidR="00DE6D4C" w:rsidRPr="00DE6D4C" w:rsidRDefault="00DE6D4C" w:rsidP="00441B6F">
      <w:pPr>
        <w:pStyle w:val="Body"/>
        <w:spacing w:after="0"/>
        <w:rPr>
          <w:rFonts w:ascii="Arial" w:hAnsi="Arial" w:cstheme="minorBidi"/>
          <w:lang w:bidi="th-TH"/>
        </w:rPr>
      </w:pPr>
    </w:p>
    <w:p w14:paraId="2F0E1C79" w14:textId="03C846B8"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3567886B" w14:textId="77777777" w:rsidR="00DE6D4C" w:rsidRPr="00FB3A86" w:rsidRDefault="00DE6D4C" w:rsidP="00DE6D4C">
      <w:pPr>
        <w:pStyle w:val="Head1"/>
        <w:spacing w:after="0"/>
        <w:jc w:val="both"/>
        <w:rPr>
          <w:rFonts w:ascii="Arial" w:hAnsi="Arial" w:cs="Arial"/>
        </w:rPr>
      </w:pPr>
    </w:p>
    <w:p w14:paraId="5FE9525A" w14:textId="77777777" w:rsidR="00DE6D4C" w:rsidRDefault="00DE6D4C" w:rsidP="00DE6D4C">
      <w:pPr>
        <w:pStyle w:val="Body"/>
        <w:rPr>
          <w:rFonts w:ascii="Arial" w:hAnsi="Arial" w:cs="Arial"/>
        </w:rPr>
      </w:pPr>
      <w:r w:rsidRPr="002300E4">
        <w:rPr>
          <w:rFonts w:ascii="Arial" w:hAnsi="Arial" w:cs="Arial"/>
        </w:rPr>
        <w:t xml:space="preserve">Tinea cruris, commonly referred to as jock itch, is a superficial </w:t>
      </w:r>
      <w:r>
        <w:rPr>
          <w:rFonts w:ascii="Arial" w:hAnsi="Arial" w:cs="Arial"/>
        </w:rPr>
        <w:t xml:space="preserve">skin </w:t>
      </w:r>
      <w:r w:rsidRPr="002300E4">
        <w:rPr>
          <w:rFonts w:ascii="Arial" w:hAnsi="Arial" w:cs="Arial"/>
        </w:rPr>
        <w:t xml:space="preserve">infection </w:t>
      </w:r>
      <w:r>
        <w:rPr>
          <w:rFonts w:ascii="Arial" w:hAnsi="Arial" w:cs="Arial"/>
        </w:rPr>
        <w:t>affecting</w:t>
      </w:r>
      <w:r w:rsidRPr="002300E4">
        <w:rPr>
          <w:rFonts w:ascii="Arial" w:hAnsi="Arial" w:cs="Arial"/>
        </w:rPr>
        <w:t xml:space="preserve"> the genital area, </w:t>
      </w:r>
      <w:r>
        <w:rPr>
          <w:rFonts w:ascii="Arial" w:hAnsi="Arial" w:cs="Arial"/>
        </w:rPr>
        <w:t>groin</w:t>
      </w:r>
      <w:r w:rsidRPr="002300E4">
        <w:rPr>
          <w:rFonts w:ascii="Arial" w:hAnsi="Arial" w:cs="Arial"/>
        </w:rPr>
        <w:t>, buttocks, and inner thighs. This condition is caused by dermatophyte</w:t>
      </w:r>
      <w:r>
        <w:rPr>
          <w:rFonts w:ascii="Arial" w:hAnsi="Arial" w:cs="Arial"/>
        </w:rPr>
        <w:t>s</w:t>
      </w:r>
      <w:r w:rsidRPr="002300E4">
        <w:rPr>
          <w:rFonts w:ascii="Arial" w:hAnsi="Arial" w:cs="Arial"/>
        </w:rPr>
        <w:t>, and it generally respon</w:t>
      </w:r>
      <w:r>
        <w:rPr>
          <w:rFonts w:ascii="Arial" w:hAnsi="Arial" w:cs="Arial"/>
        </w:rPr>
        <w:t>d</w:t>
      </w:r>
      <w:r w:rsidRPr="002300E4">
        <w:rPr>
          <w:rFonts w:ascii="Arial" w:hAnsi="Arial" w:cs="Arial"/>
        </w:rPr>
        <w:t xml:space="preserve">s to topical antifungal therapy. Antifungal agents used in the treatment of tinea infections are pharmacologically classified into several categories, including azoles, allylamines, benzylamines, morpholines, thiocarbamates, hydroxypyridines, and miscellaneous compounds. These agents exhibit either fungistatic or fungicidal activity through various mechanisms, most notably by disrupting the integrity of the fungal cell membrane via inhibition of ergosterol biosynthesis—a sterol that is </w:t>
      </w:r>
      <w:r w:rsidRPr="00AE3329">
        <w:rPr>
          <w:rFonts w:ascii="Arial" w:hAnsi="Arial" w:cs="Arial"/>
        </w:rPr>
        <w:t xml:space="preserve">essential component of the fungal cell membrane. </w:t>
      </w:r>
      <w:r w:rsidRPr="002300E4">
        <w:rPr>
          <w:rFonts w:ascii="Arial" w:hAnsi="Arial" w:cs="Arial"/>
        </w:rPr>
        <w:t xml:space="preserve">The depletion of ergosterol increases membrane permeability, resulting in loss of cellular homeostasis </w:t>
      </w:r>
      <w:r>
        <w:rPr>
          <w:rFonts w:ascii="Arial" w:hAnsi="Arial" w:cs="Arial"/>
        </w:rPr>
        <w:t xml:space="preserve">leading to </w:t>
      </w:r>
      <w:r w:rsidRPr="002300E4">
        <w:rPr>
          <w:rFonts w:ascii="Arial" w:hAnsi="Arial" w:cs="Arial"/>
        </w:rPr>
        <w:t>fungal cell death.</w:t>
      </w:r>
      <w:r>
        <w:rPr>
          <w:rFonts w:ascii="Arial" w:hAnsi="Arial" w:cs="Arial"/>
        </w:rPr>
        <w:t xml:space="preserve"> </w:t>
      </w:r>
      <w:r w:rsidRPr="00097CB9">
        <w:rPr>
          <w:rFonts w:ascii="Arial" w:hAnsi="Arial" w:cs="Arial"/>
        </w:rPr>
        <w:t>In addition, some agents impair nucleic acid and protein synthesis, compromising fungal viability</w:t>
      </w:r>
      <w:r>
        <w:rPr>
          <w:rFonts w:ascii="Arial" w:hAnsi="Arial" w:cs="Arial"/>
        </w:rPr>
        <w:t xml:space="preserve"> [1, 8]</w:t>
      </w:r>
      <w:r w:rsidRPr="00097CB9">
        <w:rPr>
          <w:rFonts w:ascii="Arial" w:hAnsi="Arial" w:cs="Arial"/>
        </w:rPr>
        <w:t>.</w:t>
      </w:r>
    </w:p>
    <w:p w14:paraId="15092C9A" w14:textId="77777777" w:rsidR="00DE6D4C" w:rsidRDefault="00DE6D4C" w:rsidP="00DE6D4C">
      <w:pPr>
        <w:pStyle w:val="Body"/>
        <w:rPr>
          <w:rFonts w:ascii="Arial" w:hAnsi="Arial" w:cs="Arial"/>
        </w:rPr>
      </w:pPr>
      <w:r w:rsidRPr="007F4FAB">
        <w:rPr>
          <w:rFonts w:ascii="Arial" w:hAnsi="Arial" w:cs="Arial"/>
        </w:rPr>
        <w:t xml:space="preserve">This case </w:t>
      </w:r>
      <w:r>
        <w:rPr>
          <w:rFonts w:ascii="Arial" w:hAnsi="Arial" w:cs="Arial"/>
        </w:rPr>
        <w:t>report</w:t>
      </w:r>
      <w:r w:rsidRPr="007F4FAB">
        <w:rPr>
          <w:rFonts w:ascii="Arial" w:hAnsi="Arial" w:cs="Arial"/>
        </w:rPr>
        <w:t xml:space="preserve"> describe</w:t>
      </w:r>
      <w:r>
        <w:rPr>
          <w:rFonts w:ascii="Arial" w:hAnsi="Arial" w:cs="Arial"/>
        </w:rPr>
        <w:t>d</w:t>
      </w:r>
      <w:r w:rsidRPr="007F4FAB">
        <w:rPr>
          <w:rFonts w:ascii="Arial" w:hAnsi="Arial" w:cs="Arial"/>
        </w:rPr>
        <w:t xml:space="preserve"> the management of tinea cruris in a male patient who had been suffering from the condition for one year. The patient had previously undergone treatment with a topical ketoconazole</w:t>
      </w:r>
      <w:r>
        <w:rPr>
          <w:rFonts w:ascii="Arial" w:hAnsi="Arial" w:cs="Arial"/>
        </w:rPr>
        <w:t xml:space="preserve"> cream</w:t>
      </w:r>
      <w:r w:rsidRPr="007F4FAB">
        <w:rPr>
          <w:rFonts w:ascii="Arial" w:hAnsi="Arial" w:cs="Arial"/>
        </w:rPr>
        <w:t>, followed by a combination topical drug containing corticosteroid</w:t>
      </w:r>
      <w:r>
        <w:rPr>
          <w:rFonts w:ascii="Arial" w:hAnsi="Arial" w:cs="Arial"/>
        </w:rPr>
        <w:t xml:space="preserve">, </w:t>
      </w:r>
      <w:r w:rsidRPr="007F4FAB">
        <w:rPr>
          <w:rFonts w:ascii="Arial" w:hAnsi="Arial" w:cs="Arial"/>
        </w:rPr>
        <w:t>antibacterial and antifungal agents</w:t>
      </w:r>
      <w:r>
        <w:rPr>
          <w:rFonts w:ascii="Arial" w:hAnsi="Arial" w:cs="Arial"/>
        </w:rPr>
        <w:t xml:space="preserve"> but</w:t>
      </w:r>
      <w:r w:rsidRPr="007F4FAB">
        <w:rPr>
          <w:rFonts w:ascii="Arial" w:hAnsi="Arial" w:cs="Arial"/>
        </w:rPr>
        <w:t xml:space="preserve"> both treatments failed to resolve the </w:t>
      </w:r>
      <w:r>
        <w:rPr>
          <w:rFonts w:ascii="Arial" w:hAnsi="Arial" w:cs="Arial"/>
        </w:rPr>
        <w:t xml:space="preserve">skin </w:t>
      </w:r>
      <w:r w:rsidRPr="007F4FAB">
        <w:rPr>
          <w:rFonts w:ascii="Arial" w:hAnsi="Arial" w:cs="Arial"/>
        </w:rPr>
        <w:t xml:space="preserve">lesions. </w:t>
      </w:r>
      <w:r>
        <w:rPr>
          <w:rFonts w:ascii="Arial" w:hAnsi="Arial" w:cs="Arial"/>
        </w:rPr>
        <w:t>K</w:t>
      </w:r>
      <w:r w:rsidRPr="00AE3329">
        <w:rPr>
          <w:rFonts w:ascii="Arial" w:hAnsi="Arial" w:cs="Arial"/>
        </w:rPr>
        <w:t>etoconazole</w:t>
      </w:r>
      <w:r>
        <w:rPr>
          <w:rFonts w:ascii="Arial" w:hAnsi="Arial" w:cs="Arial"/>
        </w:rPr>
        <w:t xml:space="preserve"> is </w:t>
      </w:r>
      <w:r w:rsidRPr="00AE3329">
        <w:rPr>
          <w:rFonts w:ascii="Arial" w:hAnsi="Arial" w:cs="Arial"/>
        </w:rPr>
        <w:t>an antifungal agent belonging to the azole class</w:t>
      </w:r>
      <w:r>
        <w:rPr>
          <w:rFonts w:ascii="Arial" w:hAnsi="Arial" w:cs="Arial"/>
        </w:rPr>
        <w:t>,</w:t>
      </w:r>
      <w:r w:rsidRPr="00AE3329">
        <w:rPr>
          <w:rFonts w:ascii="Arial" w:hAnsi="Arial" w:cs="Arial"/>
        </w:rPr>
        <w:t xml:space="preserve"> exerts its antifungal effect by inhibiting the enzyme lanosterol 14α-demethylase, which plays a critical role in the biosynthesis of ergosterol. Inhibition of this enzyme results in depletion of ergosterol and accumulation of toxic sterol intermediates, ultimately leading to disruption of cell membrane integrity and fungal cell death</w:t>
      </w:r>
      <w:r>
        <w:rPr>
          <w:rFonts w:ascii="Arial" w:hAnsi="Arial" w:cs="Arial"/>
        </w:rPr>
        <w:t xml:space="preserve"> [8]</w:t>
      </w:r>
      <w:r w:rsidRPr="00AE3329">
        <w:rPr>
          <w:rFonts w:ascii="Arial" w:hAnsi="Arial" w:cs="Arial"/>
        </w:rPr>
        <w:t xml:space="preserve">. Despite continuous use of the medication for over five months, the </w:t>
      </w:r>
      <w:r>
        <w:rPr>
          <w:rFonts w:ascii="Arial" w:hAnsi="Arial" w:cs="Arial"/>
        </w:rPr>
        <w:t>skin</w:t>
      </w:r>
      <w:r w:rsidRPr="00AE3329">
        <w:rPr>
          <w:rFonts w:ascii="Arial" w:hAnsi="Arial" w:cs="Arial"/>
        </w:rPr>
        <w:t xml:space="preserve"> lesions did not resolve. Prolonged exposure to the drug may have contributed to the development of antifungal resistance in the fungal pathogen.</w:t>
      </w:r>
    </w:p>
    <w:p w14:paraId="1C00C49F" w14:textId="77777777" w:rsidR="00DE6D4C" w:rsidRDefault="00DE6D4C" w:rsidP="00DE6D4C">
      <w:pPr>
        <w:pStyle w:val="Body"/>
        <w:rPr>
          <w:rFonts w:ascii="Arial" w:hAnsi="Arial" w:cs="Arial"/>
        </w:rPr>
      </w:pPr>
      <w:r w:rsidRPr="009E6F02">
        <w:rPr>
          <w:rFonts w:ascii="Arial" w:hAnsi="Arial" w:cs="Arial"/>
        </w:rPr>
        <w:lastRenderedPageBreak/>
        <w:t xml:space="preserve">Tolnaftate and iodochlorhydroxyquin are antifungal agents included in </w:t>
      </w:r>
      <w:r>
        <w:rPr>
          <w:rFonts w:ascii="Arial" w:hAnsi="Arial" w:cs="Arial"/>
        </w:rPr>
        <w:t>the</w:t>
      </w:r>
      <w:r w:rsidRPr="009E6F02">
        <w:rPr>
          <w:rFonts w:ascii="Arial" w:hAnsi="Arial" w:cs="Arial"/>
        </w:rPr>
        <w:t xml:space="preserve"> topical steroid formulation </w:t>
      </w:r>
      <w:r>
        <w:rPr>
          <w:rFonts w:ascii="Arial" w:hAnsi="Arial" w:cs="Arial"/>
        </w:rPr>
        <w:t>previously used by</w:t>
      </w:r>
      <w:r w:rsidRPr="009E6F02">
        <w:rPr>
          <w:rFonts w:ascii="Arial" w:hAnsi="Arial" w:cs="Arial"/>
        </w:rPr>
        <w:t xml:space="preserve"> the patient for a duration of one month. Tolnaftate exerts its antifungal effect by disrupting the synthesis of the fungal cell membrane through inhibition of the enzyme squalene monooxygenase, which is involved in the biosynthesis of ergosterol</w:t>
      </w:r>
      <w:r>
        <w:rPr>
          <w:rFonts w:ascii="Arial" w:hAnsi="Arial" w:cs="Arial"/>
        </w:rPr>
        <w:t xml:space="preserve"> [8]</w:t>
      </w:r>
      <w:r w:rsidRPr="009E6F02">
        <w:rPr>
          <w:rFonts w:ascii="Arial" w:hAnsi="Arial" w:cs="Arial"/>
        </w:rPr>
        <w:t>.</w:t>
      </w:r>
      <w:r>
        <w:rPr>
          <w:rFonts w:ascii="Arial" w:hAnsi="Arial" w:cs="Arial"/>
        </w:rPr>
        <w:t xml:space="preserve"> </w:t>
      </w:r>
      <w:r w:rsidRPr="009E6F02">
        <w:rPr>
          <w:rFonts w:ascii="Arial" w:hAnsi="Arial" w:cs="Arial"/>
        </w:rPr>
        <w:t xml:space="preserve">Iodochlorhydroxyquin exhibits </w:t>
      </w:r>
      <w:r>
        <w:rPr>
          <w:rFonts w:ascii="Arial" w:hAnsi="Arial" w:cs="Arial"/>
        </w:rPr>
        <w:t xml:space="preserve">broad spectrum </w:t>
      </w:r>
      <w:r w:rsidRPr="009E6F02">
        <w:rPr>
          <w:rFonts w:ascii="Arial" w:hAnsi="Arial" w:cs="Arial"/>
        </w:rPr>
        <w:t>antimicrobial activity by inhibiting enzymes involved in DNA replication, thereby arresting microbial growth and inducing cell death</w:t>
      </w:r>
      <w:r>
        <w:rPr>
          <w:rFonts w:ascii="Arial" w:hAnsi="Arial" w:cs="Arial"/>
        </w:rPr>
        <w:t xml:space="preserve"> [9]</w:t>
      </w:r>
      <w:r w:rsidRPr="009E6F02">
        <w:rPr>
          <w:rFonts w:ascii="Arial" w:hAnsi="Arial" w:cs="Arial"/>
        </w:rPr>
        <w:t>.</w:t>
      </w:r>
      <w:r>
        <w:rPr>
          <w:rFonts w:ascii="Arial" w:hAnsi="Arial" w:cs="Arial"/>
        </w:rPr>
        <w:t xml:space="preserve"> However</w:t>
      </w:r>
      <w:r w:rsidRPr="001350C9">
        <w:rPr>
          <w:rFonts w:ascii="Arial" w:hAnsi="Arial" w:cs="Arial"/>
        </w:rPr>
        <w:t>, th</w:t>
      </w:r>
      <w:r>
        <w:rPr>
          <w:rFonts w:ascii="Arial" w:hAnsi="Arial" w:cs="Arial"/>
        </w:rPr>
        <w:t>is</w:t>
      </w:r>
      <w:r w:rsidRPr="001350C9">
        <w:rPr>
          <w:rFonts w:ascii="Arial" w:hAnsi="Arial" w:cs="Arial"/>
        </w:rPr>
        <w:t xml:space="preserve"> </w:t>
      </w:r>
      <w:r w:rsidRPr="00880524">
        <w:rPr>
          <w:rFonts w:ascii="Arial" w:hAnsi="Arial" w:cs="Arial"/>
        </w:rPr>
        <w:t xml:space="preserve">combination topical drug </w:t>
      </w:r>
      <w:r w:rsidRPr="001350C9">
        <w:rPr>
          <w:rFonts w:ascii="Arial" w:hAnsi="Arial" w:cs="Arial"/>
        </w:rPr>
        <w:t xml:space="preserve">provided only </w:t>
      </w:r>
      <w:r>
        <w:rPr>
          <w:rFonts w:ascii="Arial" w:hAnsi="Arial" w:cs="Arial"/>
        </w:rPr>
        <w:t>transient</w:t>
      </w:r>
      <w:r w:rsidRPr="001350C9">
        <w:rPr>
          <w:rFonts w:ascii="Arial" w:hAnsi="Arial" w:cs="Arial"/>
        </w:rPr>
        <w:t xml:space="preserve"> relief from pruritus and failed to achieve complete resolution of the lesions. Topical corticosteroids</w:t>
      </w:r>
      <w:r>
        <w:rPr>
          <w:rFonts w:ascii="Arial" w:hAnsi="Arial" w:cs="Arial"/>
        </w:rPr>
        <w:t xml:space="preserve"> are not only</w:t>
      </w:r>
      <w:r w:rsidRPr="001350C9">
        <w:rPr>
          <w:rFonts w:ascii="Arial" w:hAnsi="Arial" w:cs="Arial"/>
        </w:rPr>
        <w:t xml:space="preserve"> effective anti-inflammatory agents </w:t>
      </w:r>
      <w:r>
        <w:rPr>
          <w:rFonts w:ascii="Arial" w:hAnsi="Arial" w:cs="Arial"/>
        </w:rPr>
        <w:t xml:space="preserve">but </w:t>
      </w:r>
      <w:r w:rsidRPr="001350C9">
        <w:rPr>
          <w:rFonts w:ascii="Arial" w:hAnsi="Arial" w:cs="Arial"/>
        </w:rPr>
        <w:t xml:space="preserve">also exert immunosuppressive effects. While the formulation contained both antifungal and antibacterial agents, prolonged use of corticosteroids </w:t>
      </w:r>
      <w:r>
        <w:rPr>
          <w:rFonts w:ascii="Arial" w:hAnsi="Arial" w:cs="Arial"/>
        </w:rPr>
        <w:t xml:space="preserve">may have </w:t>
      </w:r>
      <w:r w:rsidRPr="00F14C5D">
        <w:rPr>
          <w:rFonts w:ascii="Arial" w:hAnsi="Arial" w:cs="Arial"/>
        </w:rPr>
        <w:t>compromised skin integrity</w:t>
      </w:r>
      <w:r>
        <w:rPr>
          <w:rFonts w:ascii="Arial" w:hAnsi="Arial" w:cs="Arial"/>
        </w:rPr>
        <w:t xml:space="preserve"> and increased the risk of adverse events</w:t>
      </w:r>
      <w:r w:rsidRPr="001350C9">
        <w:rPr>
          <w:rFonts w:ascii="Arial" w:hAnsi="Arial" w:cs="Arial"/>
        </w:rPr>
        <w:t xml:space="preserve">. In the management of tinea, the use of </w:t>
      </w:r>
      <w:r>
        <w:rPr>
          <w:rFonts w:ascii="Arial" w:hAnsi="Arial" w:cs="Arial"/>
        </w:rPr>
        <w:t xml:space="preserve">topical </w:t>
      </w:r>
      <w:r w:rsidRPr="00940E24">
        <w:rPr>
          <w:rFonts w:ascii="Arial" w:hAnsi="Arial" w:cs="Arial"/>
        </w:rPr>
        <w:t xml:space="preserve">corticosteroids </w:t>
      </w:r>
      <w:r>
        <w:rPr>
          <w:rFonts w:ascii="Arial" w:hAnsi="Arial" w:cs="Arial"/>
        </w:rPr>
        <w:t xml:space="preserve">containing </w:t>
      </w:r>
      <w:r w:rsidRPr="00940E24">
        <w:rPr>
          <w:rFonts w:ascii="Arial" w:hAnsi="Arial" w:cs="Arial"/>
        </w:rPr>
        <w:t xml:space="preserve">antibacterial and antifungal agents </w:t>
      </w:r>
      <w:r w:rsidRPr="001350C9">
        <w:rPr>
          <w:rFonts w:ascii="Arial" w:hAnsi="Arial" w:cs="Arial"/>
        </w:rPr>
        <w:t xml:space="preserve">is recommended for short-term use </w:t>
      </w:r>
      <w:r>
        <w:rPr>
          <w:rFonts w:ascii="Arial" w:hAnsi="Arial" w:cs="Arial"/>
        </w:rPr>
        <w:t xml:space="preserve">only, </w:t>
      </w:r>
      <w:r w:rsidRPr="001350C9">
        <w:rPr>
          <w:rFonts w:ascii="Arial" w:hAnsi="Arial" w:cs="Arial"/>
        </w:rPr>
        <w:t>typically no longer than seven days</w:t>
      </w:r>
      <w:r>
        <w:rPr>
          <w:rFonts w:ascii="Arial" w:hAnsi="Arial" w:cs="Arial"/>
        </w:rPr>
        <w:t xml:space="preserve">, </w:t>
      </w:r>
      <w:r w:rsidRPr="001350C9">
        <w:rPr>
          <w:rFonts w:ascii="Arial" w:hAnsi="Arial" w:cs="Arial"/>
        </w:rPr>
        <w:t>after which therapy should be continued with antifungal monotherapy</w:t>
      </w:r>
      <w:r>
        <w:rPr>
          <w:rFonts w:ascii="Arial" w:hAnsi="Arial" w:cs="Arial"/>
        </w:rPr>
        <w:t xml:space="preserve"> [8]. </w:t>
      </w:r>
      <w:r w:rsidRPr="00A13428">
        <w:rPr>
          <w:rFonts w:ascii="Arial" w:hAnsi="Arial" w:cs="Arial"/>
        </w:rPr>
        <w:t xml:space="preserve">Furthermore, extended use of corticosteroid-antifungal combination </w:t>
      </w:r>
      <w:r>
        <w:rPr>
          <w:rFonts w:ascii="Arial" w:hAnsi="Arial" w:cs="Arial"/>
        </w:rPr>
        <w:t>drug</w:t>
      </w:r>
      <w:r w:rsidRPr="00A13428">
        <w:rPr>
          <w:rFonts w:ascii="Arial" w:hAnsi="Arial" w:cs="Arial"/>
        </w:rPr>
        <w:t xml:space="preserve"> without effective fungal eradication may contribute to antifungal resistance and weaken the skin at the lesion site, thereby complicating the treatment of tinea infections.</w:t>
      </w:r>
    </w:p>
    <w:p w14:paraId="6483D5D6" w14:textId="77777777" w:rsidR="00DE6D4C" w:rsidRDefault="00DE6D4C" w:rsidP="00DE6D4C">
      <w:pPr>
        <w:pStyle w:val="Body"/>
        <w:rPr>
          <w:rFonts w:ascii="Arial" w:hAnsi="Arial" w:cs="Arial"/>
        </w:rPr>
      </w:pPr>
      <w:r w:rsidRPr="00265C86">
        <w:rPr>
          <w:rFonts w:ascii="Arial" w:hAnsi="Arial" w:cs="Arial"/>
        </w:rPr>
        <w:t xml:space="preserve">Extracts of </w:t>
      </w:r>
      <w:r w:rsidRPr="0039664B">
        <w:rPr>
          <w:rFonts w:ascii="Arial" w:hAnsi="Arial" w:cs="Arial"/>
          <w:i/>
          <w:iCs/>
        </w:rPr>
        <w:t>R. nasutus</w:t>
      </w:r>
      <w:r w:rsidRPr="00265C86">
        <w:rPr>
          <w:rFonts w:ascii="Arial" w:hAnsi="Arial" w:cs="Arial"/>
        </w:rPr>
        <w:t xml:space="preserve"> have been reported to possess broad-spectrum antifungal activity against a variety of pathogenic fungi, such as </w:t>
      </w:r>
      <w:r w:rsidRPr="0039664B">
        <w:rPr>
          <w:rFonts w:ascii="Arial" w:hAnsi="Arial" w:cs="Arial"/>
          <w:i/>
          <w:iCs/>
        </w:rPr>
        <w:t>Trichophyton rubrum</w:t>
      </w:r>
      <w:r w:rsidRPr="00265C86">
        <w:rPr>
          <w:rFonts w:ascii="Arial" w:hAnsi="Arial" w:cs="Arial"/>
        </w:rPr>
        <w:t xml:space="preserve">, </w:t>
      </w:r>
      <w:r w:rsidRPr="0039664B">
        <w:rPr>
          <w:rFonts w:ascii="Arial" w:hAnsi="Arial" w:cs="Arial"/>
          <w:i/>
          <w:iCs/>
        </w:rPr>
        <w:t>T. mentagrophytes</w:t>
      </w:r>
      <w:r w:rsidRPr="00265C86">
        <w:rPr>
          <w:rFonts w:ascii="Arial" w:hAnsi="Arial" w:cs="Arial"/>
        </w:rPr>
        <w:t xml:space="preserve">, </w:t>
      </w:r>
      <w:proofErr w:type="spellStart"/>
      <w:r w:rsidRPr="0039664B">
        <w:rPr>
          <w:rFonts w:ascii="Arial" w:hAnsi="Arial" w:cs="Arial"/>
          <w:i/>
          <w:iCs/>
        </w:rPr>
        <w:t>Microsporum</w:t>
      </w:r>
      <w:proofErr w:type="spellEnd"/>
      <w:r w:rsidRPr="0039664B">
        <w:rPr>
          <w:rFonts w:ascii="Arial" w:hAnsi="Arial" w:cs="Arial"/>
          <w:i/>
          <w:iCs/>
        </w:rPr>
        <w:t xml:space="preserve"> </w:t>
      </w:r>
      <w:proofErr w:type="spellStart"/>
      <w:r w:rsidRPr="0039664B">
        <w:rPr>
          <w:rFonts w:ascii="Arial" w:hAnsi="Arial" w:cs="Arial"/>
          <w:i/>
          <w:iCs/>
        </w:rPr>
        <w:t>canis</w:t>
      </w:r>
      <w:proofErr w:type="spellEnd"/>
      <w:r w:rsidRPr="00265C86">
        <w:rPr>
          <w:rFonts w:ascii="Arial" w:hAnsi="Arial" w:cs="Arial"/>
        </w:rPr>
        <w:t xml:space="preserve">, </w:t>
      </w:r>
      <w:r w:rsidRPr="0039664B">
        <w:rPr>
          <w:rFonts w:ascii="Arial" w:hAnsi="Arial" w:cs="Arial"/>
          <w:i/>
          <w:iCs/>
        </w:rPr>
        <w:t xml:space="preserve">M. </w:t>
      </w:r>
      <w:proofErr w:type="spellStart"/>
      <w:r w:rsidRPr="0039664B">
        <w:rPr>
          <w:rFonts w:ascii="Arial" w:hAnsi="Arial" w:cs="Arial"/>
          <w:i/>
          <w:iCs/>
        </w:rPr>
        <w:t>gypseum</w:t>
      </w:r>
      <w:proofErr w:type="spellEnd"/>
      <w:r w:rsidRPr="00265C86">
        <w:rPr>
          <w:rFonts w:ascii="Arial" w:hAnsi="Arial" w:cs="Arial"/>
        </w:rPr>
        <w:t xml:space="preserve">, </w:t>
      </w:r>
      <w:r w:rsidRPr="0039664B">
        <w:rPr>
          <w:rFonts w:ascii="Arial" w:hAnsi="Arial" w:cs="Arial"/>
          <w:i/>
          <w:iCs/>
        </w:rPr>
        <w:t xml:space="preserve">Epidermophyton </w:t>
      </w:r>
      <w:proofErr w:type="spellStart"/>
      <w:r w:rsidRPr="0039664B">
        <w:rPr>
          <w:rFonts w:ascii="Arial" w:hAnsi="Arial" w:cs="Arial"/>
          <w:i/>
          <w:iCs/>
        </w:rPr>
        <w:t>floccosum</w:t>
      </w:r>
      <w:proofErr w:type="spellEnd"/>
      <w:r w:rsidRPr="00265C86">
        <w:rPr>
          <w:rFonts w:ascii="Arial" w:hAnsi="Arial" w:cs="Arial"/>
        </w:rPr>
        <w:t xml:space="preserve">, </w:t>
      </w:r>
      <w:r w:rsidRPr="0039664B">
        <w:rPr>
          <w:rFonts w:ascii="Arial" w:hAnsi="Arial" w:cs="Arial"/>
          <w:i/>
          <w:iCs/>
        </w:rPr>
        <w:t xml:space="preserve">Aspergillus </w:t>
      </w:r>
      <w:proofErr w:type="spellStart"/>
      <w:r w:rsidRPr="0039664B">
        <w:rPr>
          <w:rFonts w:ascii="Arial" w:hAnsi="Arial" w:cs="Arial"/>
          <w:i/>
          <w:iCs/>
        </w:rPr>
        <w:t>niger</w:t>
      </w:r>
      <w:proofErr w:type="spellEnd"/>
      <w:r w:rsidRPr="00265C86">
        <w:rPr>
          <w:rFonts w:ascii="Arial" w:hAnsi="Arial" w:cs="Arial"/>
        </w:rPr>
        <w:t xml:space="preserve">, </w:t>
      </w:r>
      <w:r w:rsidRPr="0039664B">
        <w:rPr>
          <w:rFonts w:ascii="Arial" w:hAnsi="Arial" w:cs="Arial"/>
          <w:i/>
          <w:iCs/>
        </w:rPr>
        <w:t xml:space="preserve">Penicillium </w:t>
      </w:r>
      <w:proofErr w:type="spellStart"/>
      <w:r w:rsidRPr="0039664B">
        <w:rPr>
          <w:rFonts w:ascii="Arial" w:hAnsi="Arial" w:cs="Arial"/>
          <w:i/>
          <w:iCs/>
        </w:rPr>
        <w:t>chrysogenum</w:t>
      </w:r>
      <w:proofErr w:type="spellEnd"/>
      <w:r w:rsidRPr="00265C86">
        <w:rPr>
          <w:rFonts w:ascii="Arial" w:hAnsi="Arial" w:cs="Arial"/>
        </w:rPr>
        <w:t xml:space="preserve">, </w:t>
      </w:r>
      <w:r w:rsidRPr="0039664B">
        <w:rPr>
          <w:rFonts w:ascii="Arial" w:hAnsi="Arial" w:cs="Arial"/>
          <w:i/>
          <w:iCs/>
        </w:rPr>
        <w:t>Candida albicans</w:t>
      </w:r>
      <w:r w:rsidRPr="00265C86">
        <w:rPr>
          <w:rFonts w:ascii="Arial" w:hAnsi="Arial" w:cs="Arial"/>
        </w:rPr>
        <w:t xml:space="preserve">, </w:t>
      </w:r>
      <w:r w:rsidRPr="0039664B">
        <w:rPr>
          <w:rFonts w:ascii="Arial" w:hAnsi="Arial" w:cs="Arial"/>
          <w:i/>
          <w:iCs/>
        </w:rPr>
        <w:t>C. tropicalis</w:t>
      </w:r>
      <w:r w:rsidRPr="00265C86">
        <w:rPr>
          <w:rFonts w:ascii="Arial" w:hAnsi="Arial" w:cs="Arial"/>
        </w:rPr>
        <w:t xml:space="preserve">, </w:t>
      </w:r>
      <w:r w:rsidRPr="0039664B">
        <w:rPr>
          <w:rFonts w:ascii="Arial" w:hAnsi="Arial" w:cs="Arial"/>
          <w:i/>
          <w:iCs/>
        </w:rPr>
        <w:t>Malassezia furfur</w:t>
      </w:r>
      <w:r w:rsidRPr="00265C86">
        <w:rPr>
          <w:rFonts w:ascii="Arial" w:hAnsi="Arial" w:cs="Arial"/>
        </w:rPr>
        <w:t xml:space="preserve">, and </w:t>
      </w:r>
      <w:r w:rsidRPr="0039664B">
        <w:rPr>
          <w:rFonts w:ascii="Arial" w:hAnsi="Arial" w:cs="Arial"/>
          <w:i/>
          <w:iCs/>
        </w:rPr>
        <w:t>M. globosa</w:t>
      </w:r>
      <w:r w:rsidRPr="00265C86">
        <w:rPr>
          <w:rFonts w:ascii="Arial" w:hAnsi="Arial" w:cs="Arial"/>
        </w:rPr>
        <w:t xml:space="preserve"> [6, 10-12]. Previous investigations into the effects of </w:t>
      </w:r>
      <w:r w:rsidRPr="0039664B">
        <w:rPr>
          <w:rFonts w:ascii="Arial" w:hAnsi="Arial" w:cs="Arial"/>
          <w:i/>
          <w:iCs/>
        </w:rPr>
        <w:t>R. nasutus</w:t>
      </w:r>
      <w:r w:rsidRPr="00265C86">
        <w:rPr>
          <w:rFonts w:ascii="Arial" w:hAnsi="Arial" w:cs="Arial"/>
        </w:rPr>
        <w:t xml:space="preserve"> leaf extract on dermatophyte growth have shown that the extract exhibited fungistatic activity at concentrations below the minimum inhibitory concentration (MIC) and fungicidal activity at concentrations above the MIC. Mechanistically, the extract disrupted the fungal cell wall, leading to the formation of cytopathological and membrane structural degeneration, which ultimately resulted in cell lysis and death [10]. The aforementioned data indicated that </w:t>
      </w:r>
      <w:r w:rsidRPr="0039664B">
        <w:rPr>
          <w:rFonts w:ascii="Arial" w:hAnsi="Arial" w:cs="Arial"/>
          <w:i/>
          <w:iCs/>
        </w:rPr>
        <w:t>R. nasutus</w:t>
      </w:r>
      <w:r w:rsidRPr="00265C86">
        <w:rPr>
          <w:rFonts w:ascii="Arial" w:hAnsi="Arial" w:cs="Arial"/>
        </w:rPr>
        <w:t xml:space="preserve"> extract exhibited antifungal activity against dermatophytes, which are responsible for tinea infections, as well as against Malassezia sp., the causative agents of pityriasis versicolor. These results are consistent with the traditional use of </w:t>
      </w:r>
      <w:r w:rsidRPr="0039664B">
        <w:rPr>
          <w:rFonts w:ascii="Arial" w:hAnsi="Arial" w:cs="Arial"/>
          <w:i/>
          <w:iCs/>
        </w:rPr>
        <w:t>R. nasutus</w:t>
      </w:r>
      <w:r w:rsidRPr="00265C86">
        <w:rPr>
          <w:rFonts w:ascii="Arial" w:hAnsi="Arial" w:cs="Arial"/>
        </w:rPr>
        <w:t xml:space="preserve"> in Thai traditional medicine for the treatment of dermatological conditions such as ringworm and tinea versicolor [4–5]. Therefore, herbal products containing the </w:t>
      </w:r>
      <w:r>
        <w:rPr>
          <w:rFonts w:ascii="Arial" w:hAnsi="Arial" w:cs="Arial"/>
        </w:rPr>
        <w:t xml:space="preserve">root </w:t>
      </w:r>
      <w:r w:rsidRPr="00265C86">
        <w:rPr>
          <w:rFonts w:ascii="Arial" w:hAnsi="Arial" w:cs="Arial"/>
        </w:rPr>
        <w:t xml:space="preserve">extract of </w:t>
      </w:r>
      <w:r w:rsidRPr="0039664B">
        <w:rPr>
          <w:rFonts w:ascii="Arial" w:hAnsi="Arial" w:cs="Arial"/>
          <w:i/>
          <w:iCs/>
        </w:rPr>
        <w:t>R. nasutus</w:t>
      </w:r>
      <w:r w:rsidRPr="00265C86">
        <w:rPr>
          <w:rFonts w:ascii="Arial" w:hAnsi="Arial" w:cs="Arial"/>
        </w:rPr>
        <w:t xml:space="preserve"> might have therapeutic potential for the treatment of these fungal infections.</w:t>
      </w:r>
    </w:p>
    <w:p w14:paraId="30AF56EC" w14:textId="77777777" w:rsidR="00DE6D4C" w:rsidRDefault="00DE6D4C" w:rsidP="00DE6D4C">
      <w:pPr>
        <w:pStyle w:val="Body"/>
        <w:rPr>
          <w:rFonts w:ascii="Arial" w:hAnsi="Arial" w:cs="Arial"/>
        </w:rPr>
      </w:pPr>
      <w:r w:rsidRPr="00F01946">
        <w:rPr>
          <w:rFonts w:ascii="Arial" w:hAnsi="Arial" w:cs="Arial"/>
        </w:rPr>
        <w:t xml:space="preserve">In this case report, the patient presented with classic symptoms of dermatophytosis, including erythema, desquamation, severe pruritus, discoloration, and </w:t>
      </w:r>
      <w:r>
        <w:rPr>
          <w:rFonts w:ascii="Arial" w:hAnsi="Arial" w:cs="Arial"/>
        </w:rPr>
        <w:t xml:space="preserve">a </w:t>
      </w:r>
      <w:r w:rsidRPr="00F01946">
        <w:rPr>
          <w:rFonts w:ascii="Arial" w:hAnsi="Arial" w:cs="Arial"/>
        </w:rPr>
        <w:t xml:space="preserve">burning sensation localized to the groin and buttocks. Microscopic examination of skin scrapings using </w:t>
      </w:r>
      <w:r>
        <w:rPr>
          <w:rFonts w:ascii="Arial" w:hAnsi="Arial" w:cs="Arial"/>
        </w:rPr>
        <w:t>KOH</w:t>
      </w:r>
      <w:r w:rsidRPr="00F01946">
        <w:rPr>
          <w:rFonts w:ascii="Arial" w:hAnsi="Arial" w:cs="Arial"/>
        </w:rPr>
        <w:t xml:space="preserve"> preparation revealed the presence of septate hyphae </w:t>
      </w:r>
      <w:r>
        <w:rPr>
          <w:rFonts w:ascii="Arial" w:hAnsi="Arial" w:cs="Arial"/>
        </w:rPr>
        <w:t>with</w:t>
      </w:r>
      <w:r w:rsidRPr="00F01946">
        <w:rPr>
          <w:rFonts w:ascii="Arial" w:hAnsi="Arial" w:cs="Arial"/>
        </w:rPr>
        <w:t xml:space="preserve"> arthroconidia. Arthroconidia are known to play a crucial role in the transmission and virulence of dermatophytes. Studies in animal models have demonstrated that arthroconidia are more virulent than hyphae or microconidia, acting as primary infective propagules that colonize the skin surface and subsequently invade the stratum corneum [13].</w:t>
      </w:r>
      <w:r>
        <w:rPr>
          <w:rFonts w:ascii="Arial" w:hAnsi="Arial" w:cs="Arial"/>
        </w:rPr>
        <w:t xml:space="preserve"> </w:t>
      </w:r>
    </w:p>
    <w:p w14:paraId="3015367A" w14:textId="6E586BE4" w:rsidR="00790ADA" w:rsidRPr="00DE6D4C" w:rsidRDefault="00DE6D4C" w:rsidP="00441B6F">
      <w:pPr>
        <w:pStyle w:val="Body"/>
        <w:spacing w:after="0"/>
        <w:rPr>
          <w:rFonts w:ascii="Arial" w:hAnsi="Arial" w:cstheme="minorBidi"/>
          <w:szCs w:val="25"/>
          <w:cs/>
          <w:lang w:bidi="th-TH"/>
        </w:rPr>
      </w:pPr>
      <w:r>
        <w:rPr>
          <w:rFonts w:ascii="Arial" w:hAnsi="Arial" w:cs="Arial"/>
        </w:rPr>
        <w:t>T</w:t>
      </w:r>
      <w:r w:rsidRPr="00511FAA">
        <w:rPr>
          <w:rFonts w:ascii="Arial" w:hAnsi="Arial" w:cs="Arial"/>
        </w:rPr>
        <w:t xml:space="preserve">he patient was treated with </w:t>
      </w:r>
      <w:r w:rsidRPr="00511FAA">
        <w:rPr>
          <w:rFonts w:ascii="Arial" w:hAnsi="Arial" w:cs="Arial"/>
          <w:i/>
          <w:iCs/>
        </w:rPr>
        <w:t>R. nasutus</w:t>
      </w:r>
      <w:r w:rsidRPr="00511FAA">
        <w:rPr>
          <w:rFonts w:ascii="Arial" w:hAnsi="Arial" w:cs="Arial"/>
        </w:rPr>
        <w:t xml:space="preserve"> root extract gel </w:t>
      </w:r>
      <w:r>
        <w:rPr>
          <w:rFonts w:ascii="Arial" w:hAnsi="Arial" w:cs="Arial"/>
        </w:rPr>
        <w:t xml:space="preserve">containing </w:t>
      </w:r>
      <w:r w:rsidRPr="00511FAA">
        <w:rPr>
          <w:rFonts w:ascii="Arial" w:hAnsi="Arial" w:cs="Arial"/>
        </w:rPr>
        <w:t>0.</w:t>
      </w:r>
      <w:r>
        <w:rPr>
          <w:rFonts w:ascii="Arial" w:hAnsi="Arial" w:cs="Arial"/>
        </w:rPr>
        <w:t>2</w:t>
      </w:r>
      <w:r w:rsidRPr="00511FAA">
        <w:rPr>
          <w:rFonts w:ascii="Arial" w:hAnsi="Arial" w:cs="Arial"/>
        </w:rPr>
        <w:t>% rhinacanthin C, applied to the lesions twice daily for 8 weeks.</w:t>
      </w:r>
      <w:r>
        <w:rPr>
          <w:rFonts w:ascii="Arial" w:hAnsi="Arial" w:cs="Arial"/>
        </w:rPr>
        <w:t xml:space="preserve"> </w:t>
      </w:r>
      <w:r w:rsidRPr="00F01946">
        <w:rPr>
          <w:rFonts w:ascii="Arial" w:hAnsi="Arial" w:cs="Arial"/>
        </w:rPr>
        <w:t xml:space="preserve">Notable clinical improvement was observed </w:t>
      </w:r>
      <w:r>
        <w:rPr>
          <w:rFonts w:ascii="Arial" w:hAnsi="Arial" w:cs="Arial"/>
        </w:rPr>
        <w:t>within</w:t>
      </w:r>
      <w:r w:rsidRPr="00F01946">
        <w:rPr>
          <w:rFonts w:ascii="Arial" w:hAnsi="Arial" w:cs="Arial"/>
        </w:rPr>
        <w:t xml:space="preserve"> the second week of treatment</w:t>
      </w:r>
      <w:r>
        <w:rPr>
          <w:rFonts w:ascii="Arial" w:hAnsi="Arial" w:cs="Arial"/>
        </w:rPr>
        <w:t>.</w:t>
      </w:r>
      <w:r w:rsidRPr="00F01946">
        <w:rPr>
          <w:rFonts w:ascii="Arial" w:hAnsi="Arial" w:cs="Arial"/>
        </w:rPr>
        <w:t xml:space="preserve"> </w:t>
      </w:r>
      <w:r w:rsidRPr="006809A8">
        <w:rPr>
          <w:rFonts w:ascii="Arial" w:hAnsi="Arial" w:cs="Arial"/>
        </w:rPr>
        <w:t>By the end of the treatment period, all initial symptoms</w:t>
      </w:r>
      <w:r>
        <w:rPr>
          <w:rFonts w:ascii="Arial" w:hAnsi="Arial" w:cs="Arial"/>
        </w:rPr>
        <w:t xml:space="preserve">, </w:t>
      </w:r>
      <w:r w:rsidRPr="006809A8">
        <w:rPr>
          <w:rFonts w:ascii="Arial" w:hAnsi="Arial" w:cs="Arial"/>
        </w:rPr>
        <w:t>including erythema, desquamation, pruritus, and burning</w:t>
      </w:r>
      <w:r>
        <w:rPr>
          <w:rFonts w:ascii="Arial" w:hAnsi="Arial" w:cs="Arial"/>
        </w:rPr>
        <w:t xml:space="preserve">, </w:t>
      </w:r>
      <w:r w:rsidRPr="006809A8">
        <w:rPr>
          <w:rFonts w:ascii="Arial" w:hAnsi="Arial" w:cs="Arial"/>
        </w:rPr>
        <w:t>had resolved completely.</w:t>
      </w:r>
      <w:r>
        <w:rPr>
          <w:rFonts w:ascii="Arial" w:hAnsi="Arial" w:cs="Arial"/>
        </w:rPr>
        <w:t xml:space="preserve"> </w:t>
      </w:r>
      <w:r w:rsidRPr="006809A8">
        <w:rPr>
          <w:rFonts w:ascii="Arial" w:hAnsi="Arial" w:cs="Arial"/>
        </w:rPr>
        <w:t xml:space="preserve">Mycological examination </w:t>
      </w:r>
      <w:r>
        <w:rPr>
          <w:rFonts w:ascii="Arial" w:hAnsi="Arial" w:cs="Arial"/>
        </w:rPr>
        <w:t>by</w:t>
      </w:r>
      <w:r w:rsidRPr="006809A8">
        <w:rPr>
          <w:rFonts w:ascii="Arial" w:hAnsi="Arial" w:cs="Arial"/>
        </w:rPr>
        <w:t xml:space="preserve"> repeat KOH </w:t>
      </w:r>
      <w:r>
        <w:rPr>
          <w:rFonts w:ascii="Arial" w:hAnsi="Arial" w:cs="Arial"/>
        </w:rPr>
        <w:t>preparation</w:t>
      </w:r>
      <w:r w:rsidRPr="006809A8">
        <w:rPr>
          <w:rFonts w:ascii="Arial" w:hAnsi="Arial" w:cs="Arial"/>
        </w:rPr>
        <w:t xml:space="preserve"> showed clearance of fungal elements beginning in the second week</w:t>
      </w:r>
      <w:r w:rsidRPr="00F01946">
        <w:rPr>
          <w:rFonts w:ascii="Arial" w:hAnsi="Arial" w:cs="Arial"/>
        </w:rPr>
        <w:t xml:space="preserve"> and maintained until the end of </w:t>
      </w:r>
      <w:r>
        <w:rPr>
          <w:rFonts w:ascii="Arial" w:hAnsi="Arial" w:cs="Arial"/>
        </w:rPr>
        <w:t>treatment</w:t>
      </w:r>
      <w:r w:rsidRPr="00F01946">
        <w:rPr>
          <w:rFonts w:ascii="Arial" w:hAnsi="Arial" w:cs="Arial"/>
        </w:rPr>
        <w:t xml:space="preserve">. </w:t>
      </w:r>
      <w:r w:rsidRPr="006809A8">
        <w:rPr>
          <w:rFonts w:ascii="Arial" w:hAnsi="Arial" w:cs="Arial"/>
        </w:rPr>
        <w:t>The treatment was well tolerated, with no adverse effects reported.</w:t>
      </w:r>
      <w:r>
        <w:rPr>
          <w:rFonts w:ascii="Arial" w:hAnsi="Arial" w:cs="Arial"/>
        </w:rPr>
        <w:t xml:space="preserve"> </w:t>
      </w:r>
      <w:r w:rsidRPr="00B72915">
        <w:rPr>
          <w:rFonts w:ascii="Arial" w:hAnsi="Arial" w:cs="Arial"/>
        </w:rPr>
        <w:t xml:space="preserve">These </w:t>
      </w:r>
      <w:r w:rsidRPr="006809A8">
        <w:rPr>
          <w:rFonts w:ascii="Arial" w:hAnsi="Arial" w:cs="Arial"/>
        </w:rPr>
        <w:t xml:space="preserve">clinical and mycological </w:t>
      </w:r>
      <w:r>
        <w:rPr>
          <w:rFonts w:ascii="Arial" w:hAnsi="Arial" w:cs="Arial"/>
        </w:rPr>
        <w:t>outcome</w:t>
      </w:r>
      <w:r w:rsidRPr="00B72915">
        <w:rPr>
          <w:rFonts w:ascii="Arial" w:hAnsi="Arial" w:cs="Arial"/>
        </w:rPr>
        <w:t xml:space="preserve">s support the efficacy and safety of </w:t>
      </w:r>
      <w:r w:rsidRPr="00B72915">
        <w:rPr>
          <w:rFonts w:ascii="Arial" w:hAnsi="Arial" w:cs="Arial"/>
          <w:i/>
          <w:iCs/>
        </w:rPr>
        <w:t>R. nasutus</w:t>
      </w:r>
      <w:r w:rsidRPr="00B72915">
        <w:rPr>
          <w:rFonts w:ascii="Arial" w:hAnsi="Arial" w:cs="Arial"/>
        </w:rPr>
        <w:t xml:space="preserve"> root extract gel </w:t>
      </w:r>
      <w:r>
        <w:rPr>
          <w:rFonts w:ascii="Arial" w:hAnsi="Arial" w:cs="Arial"/>
        </w:rPr>
        <w:t>containing 0.2% rhinacanthin C for</w:t>
      </w:r>
      <w:r w:rsidRPr="00B72915">
        <w:rPr>
          <w:rFonts w:ascii="Arial" w:hAnsi="Arial" w:cs="Arial"/>
        </w:rPr>
        <w:t xml:space="preserve"> the treatment of dermatophytosis.</w:t>
      </w:r>
    </w:p>
    <w:p w14:paraId="38D7A1E4"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436A6AD0" w14:textId="77777777" w:rsidR="00790ADA" w:rsidRPr="00FB3A86" w:rsidRDefault="00790ADA" w:rsidP="00441B6F">
      <w:pPr>
        <w:pStyle w:val="ConcHead"/>
        <w:spacing w:after="0"/>
        <w:jc w:val="both"/>
        <w:rPr>
          <w:rFonts w:ascii="Arial" w:hAnsi="Arial" w:cs="Arial"/>
        </w:rPr>
      </w:pPr>
    </w:p>
    <w:p w14:paraId="04B5784D" w14:textId="2ED9FC21" w:rsidR="00DE6D4C" w:rsidRPr="00F71EB3" w:rsidRDefault="00DE6D4C" w:rsidP="00DE6D4C">
      <w:pPr>
        <w:pStyle w:val="Body"/>
        <w:spacing w:after="0"/>
        <w:rPr>
          <w:rFonts w:ascii="Arial" w:hAnsi="Arial" w:cs="Arial"/>
        </w:rPr>
      </w:pPr>
      <w:r>
        <w:rPr>
          <w:rFonts w:ascii="Arial" w:hAnsi="Arial" w:cs="Arial"/>
        </w:rPr>
        <w:t>T</w:t>
      </w:r>
      <w:r w:rsidRPr="00F71EB3">
        <w:rPr>
          <w:rFonts w:ascii="Arial" w:hAnsi="Arial" w:cs="Arial"/>
        </w:rPr>
        <w:t xml:space="preserve">his case </w:t>
      </w:r>
      <w:r>
        <w:rPr>
          <w:rFonts w:ascii="Arial" w:hAnsi="Arial" w:cs="Arial"/>
        </w:rPr>
        <w:t xml:space="preserve">report </w:t>
      </w:r>
      <w:r w:rsidRPr="00F71EB3">
        <w:rPr>
          <w:rFonts w:ascii="Arial" w:hAnsi="Arial" w:cs="Arial"/>
        </w:rPr>
        <w:t xml:space="preserve">highlights the successful treatment of chronic, treatment-resistant tinea cruris in a 23-year-old male using </w:t>
      </w:r>
      <w:r w:rsidRPr="00F71EB3">
        <w:rPr>
          <w:rFonts w:ascii="Arial" w:hAnsi="Arial" w:cs="Arial"/>
          <w:i/>
          <w:iCs/>
        </w:rPr>
        <w:t>R. nasutus</w:t>
      </w:r>
      <w:r w:rsidRPr="00F71EB3">
        <w:rPr>
          <w:rFonts w:ascii="Arial" w:hAnsi="Arial" w:cs="Arial"/>
        </w:rPr>
        <w:t xml:space="preserve"> root extract gel containing 0.2% rhinacanthin C. The patient experienced rapid and sustained clinical and mycological improvement, with complete resolution of symptoms by week 8 and no recurrence during a one-year follow-up period. The absence of adverse effects and normal laboratory findings further support the safety and tolerability of this herbal formulation. These results suggest that </w:t>
      </w:r>
      <w:r w:rsidRPr="002B5FFF">
        <w:rPr>
          <w:rFonts w:ascii="Arial" w:hAnsi="Arial" w:cs="Arial"/>
          <w:i/>
          <w:iCs/>
        </w:rPr>
        <w:t>R. nasutus</w:t>
      </w:r>
      <w:r w:rsidRPr="00F71EB3">
        <w:rPr>
          <w:rFonts w:ascii="Arial" w:hAnsi="Arial" w:cs="Arial"/>
        </w:rPr>
        <w:t xml:space="preserve"> root extract gel</w:t>
      </w:r>
      <w:r w:rsidR="00322567" w:rsidRPr="00322567">
        <w:t xml:space="preserve"> </w:t>
      </w:r>
      <w:r w:rsidR="00322567" w:rsidRPr="00322567">
        <w:rPr>
          <w:rFonts w:ascii="Arial" w:hAnsi="Arial" w:cs="Arial"/>
        </w:rPr>
        <w:t>containing 0.2% rhinacanthin C</w:t>
      </w:r>
      <w:r w:rsidRPr="00F71EB3">
        <w:rPr>
          <w:rFonts w:ascii="Arial" w:hAnsi="Arial" w:cs="Arial"/>
        </w:rPr>
        <w:t xml:space="preserve"> may be an effective and well-tolerated topical alternative for </w:t>
      </w:r>
      <w:r>
        <w:rPr>
          <w:rFonts w:ascii="Arial" w:hAnsi="Arial" w:cs="Arial"/>
        </w:rPr>
        <w:t xml:space="preserve">the </w:t>
      </w:r>
      <w:r w:rsidRPr="00F71EB3">
        <w:rPr>
          <w:rFonts w:ascii="Arial" w:hAnsi="Arial" w:cs="Arial"/>
        </w:rPr>
        <w:t>management of tinea cruris, particularly in cases unresponsive to conventional antifungal therapies.</w:t>
      </w:r>
      <w:r w:rsidR="00AF49D3">
        <w:rPr>
          <w:rFonts w:ascii="Arial" w:hAnsi="Arial" w:cs="Arial"/>
        </w:rPr>
        <w:t xml:space="preserve"> </w:t>
      </w:r>
      <w:r w:rsidR="00AF49D3" w:rsidRPr="00AF49D3">
        <w:rPr>
          <w:rFonts w:ascii="Arial" w:hAnsi="Arial" w:cs="Arial"/>
        </w:rPr>
        <w:t>Given the rising interest in evidence-based herbal medicine, further clinical studies are warranted to confirm these findings.</w:t>
      </w:r>
    </w:p>
    <w:p w14:paraId="40D4E4CF" w14:textId="77777777" w:rsidR="00DE6D4C" w:rsidRPr="00FB3A86" w:rsidRDefault="00DE6D4C" w:rsidP="00DE6D4C">
      <w:pPr>
        <w:pStyle w:val="Body"/>
        <w:spacing w:after="0"/>
        <w:rPr>
          <w:rFonts w:ascii="Arial" w:hAnsi="Arial" w:cs="Arial"/>
        </w:rPr>
      </w:pPr>
    </w:p>
    <w:p w14:paraId="425AB3F0" w14:textId="77777777" w:rsidR="00DE6D4C" w:rsidRDefault="00DE6D4C" w:rsidP="00DE6D4C">
      <w:pPr>
        <w:pStyle w:val="AcknHead"/>
        <w:spacing w:after="0"/>
        <w:jc w:val="both"/>
        <w:rPr>
          <w:rFonts w:ascii="Arial" w:hAnsi="Arial" w:cs="Arial"/>
        </w:rPr>
      </w:pPr>
      <w:r>
        <w:rPr>
          <w:rFonts w:ascii="Arial" w:hAnsi="Arial" w:cs="Arial"/>
        </w:rPr>
        <w:t>DISCLAIMER (ARTIFICIAL INTELLIGENCE)</w:t>
      </w:r>
    </w:p>
    <w:p w14:paraId="2CB5D6C1" w14:textId="77777777" w:rsidR="00DE6D4C" w:rsidRPr="00D9566C" w:rsidRDefault="00DE6D4C" w:rsidP="00DE6D4C">
      <w:pPr>
        <w:pStyle w:val="AcknHead"/>
        <w:spacing w:after="0"/>
        <w:jc w:val="both"/>
        <w:rPr>
          <w:rFonts w:ascii="Arial" w:hAnsi="Arial" w:cs="Arial"/>
        </w:rPr>
      </w:pPr>
    </w:p>
    <w:p w14:paraId="56FC786A" w14:textId="77777777" w:rsidR="00DE6D4C" w:rsidRDefault="00DE6D4C" w:rsidP="00DE6D4C">
      <w:pPr>
        <w:pStyle w:val="Body"/>
        <w:spacing w:after="0"/>
        <w:rPr>
          <w:rFonts w:ascii="Arial" w:hAnsi="Arial" w:cs="Arial"/>
        </w:rPr>
      </w:pPr>
      <w:r w:rsidRPr="00F955BC">
        <w:rPr>
          <w:rFonts w:ascii="Arial" w:hAnsi="Arial" w:cs="Arial"/>
        </w:rPr>
        <w:t xml:space="preserve">Artificial intelligence (AI) tools, including [ChatGPT by </w:t>
      </w:r>
      <w:proofErr w:type="spellStart"/>
      <w:r w:rsidRPr="00F955BC">
        <w:rPr>
          <w:rFonts w:ascii="Arial" w:hAnsi="Arial" w:cs="Arial"/>
        </w:rPr>
        <w:t>OpenAI</w:t>
      </w:r>
      <w:proofErr w:type="spellEnd"/>
      <w:r>
        <w:rPr>
          <w:rFonts w:ascii="Arial" w:hAnsi="Arial" w:cs="Arial"/>
        </w:rPr>
        <w:t xml:space="preserve"> and </w:t>
      </w:r>
      <w:proofErr w:type="spellStart"/>
      <w:r>
        <w:rPr>
          <w:rFonts w:ascii="Arial" w:hAnsi="Arial" w:cs="Arial"/>
        </w:rPr>
        <w:t>QuillBot</w:t>
      </w:r>
      <w:proofErr w:type="spellEnd"/>
      <w:r>
        <w:rPr>
          <w:rFonts w:ascii="Arial" w:hAnsi="Arial" w:cs="Arial"/>
        </w:rPr>
        <w:t xml:space="preserve"> by Course Hero, Inc.</w:t>
      </w:r>
      <w:r w:rsidRPr="00F955BC">
        <w:rPr>
          <w:rFonts w:ascii="Arial" w:hAnsi="Arial" w:cs="Arial"/>
        </w:rPr>
        <w:t>], were used to assist in language editing</w:t>
      </w:r>
      <w:r>
        <w:rPr>
          <w:rFonts w:ascii="Arial" w:hAnsi="Arial" w:cs="Arial"/>
        </w:rPr>
        <w:t xml:space="preserve"> and</w:t>
      </w:r>
      <w:r w:rsidRPr="00F955BC">
        <w:rPr>
          <w:rFonts w:ascii="Arial" w:hAnsi="Arial" w:cs="Arial"/>
        </w:rPr>
        <w:t xml:space="preserve"> grammar correction of the manuscript. All AI-generated content was carefully reviewed and validated by the authors to ensure accuracy and integrity. The authors take full responsibility for the final content of the manuscript.</w:t>
      </w:r>
    </w:p>
    <w:p w14:paraId="25876712" w14:textId="77777777" w:rsidR="00DE6D4C" w:rsidRPr="00D9566C" w:rsidRDefault="00DE6D4C" w:rsidP="00DE6D4C">
      <w:pPr>
        <w:rPr>
          <w:rFonts w:cstheme="minorBidi"/>
          <w:szCs w:val="25"/>
          <w:lang w:bidi="th-TH"/>
        </w:rPr>
      </w:pPr>
    </w:p>
    <w:p w14:paraId="492460D5" w14:textId="77777777" w:rsidR="00DE6D4C" w:rsidRPr="00B41296" w:rsidRDefault="00DE6D4C" w:rsidP="00DE6D4C">
      <w:pPr>
        <w:pStyle w:val="ReferHead"/>
        <w:spacing w:after="0"/>
        <w:jc w:val="both"/>
        <w:rPr>
          <w:rFonts w:ascii="Arial" w:hAnsi="Arial" w:cs="Arial"/>
          <w:b w:val="0"/>
          <w:caps w:val="0"/>
          <w:color w:val="EE0000"/>
          <w:sz w:val="20"/>
        </w:rPr>
      </w:pPr>
    </w:p>
    <w:p w14:paraId="13A3A2E6" w14:textId="77777777" w:rsidR="00DE6D4C" w:rsidRPr="003301D9" w:rsidRDefault="00DE6D4C" w:rsidP="00DE6D4C">
      <w:pPr>
        <w:pStyle w:val="ReferHead"/>
        <w:spacing w:after="0"/>
        <w:jc w:val="both"/>
        <w:rPr>
          <w:rFonts w:ascii="Arial" w:hAnsi="Arial" w:cs="Arial"/>
          <w:bCs/>
        </w:rPr>
      </w:pPr>
      <w:r w:rsidRPr="003301D9">
        <w:rPr>
          <w:rFonts w:ascii="Arial" w:hAnsi="Arial" w:cs="Arial"/>
          <w:bCs/>
        </w:rPr>
        <w:t xml:space="preserve">Consent </w:t>
      </w:r>
    </w:p>
    <w:p w14:paraId="07AD0B07" w14:textId="77777777" w:rsidR="00DE6D4C" w:rsidRPr="003301D9" w:rsidRDefault="00DE6D4C" w:rsidP="00DE6D4C">
      <w:pPr>
        <w:pStyle w:val="ReferHead"/>
        <w:spacing w:after="0"/>
        <w:jc w:val="both"/>
        <w:rPr>
          <w:rFonts w:ascii="Arial" w:hAnsi="Arial" w:cs="Arial"/>
          <w:bCs/>
        </w:rPr>
      </w:pPr>
    </w:p>
    <w:p w14:paraId="148CCB3C" w14:textId="77777777" w:rsidR="00DE6D4C" w:rsidRPr="003301D9" w:rsidRDefault="00DE6D4C" w:rsidP="00DE6D4C">
      <w:pPr>
        <w:pStyle w:val="ReferHead"/>
        <w:spacing w:after="0"/>
        <w:jc w:val="both"/>
        <w:rPr>
          <w:rFonts w:ascii="Arial" w:hAnsi="Arial" w:cs="Arial"/>
          <w:b w:val="0"/>
          <w:caps w:val="0"/>
          <w:sz w:val="20"/>
        </w:rPr>
      </w:pPr>
      <w:r w:rsidRPr="003301D9">
        <w:rPr>
          <w:rFonts w:ascii="Arial" w:hAnsi="Arial" w:cs="Arial"/>
          <w:b w:val="0"/>
          <w:caps w:val="0"/>
          <w:sz w:val="20"/>
        </w:rPr>
        <w:t>Written informed consent was obtained from the patient for the publication of the clinical information and accompanying images include in this case report.</w:t>
      </w:r>
    </w:p>
    <w:p w14:paraId="785D7F68" w14:textId="77777777" w:rsidR="00DE6D4C" w:rsidRPr="00B41296" w:rsidRDefault="00DE6D4C" w:rsidP="00DE6D4C">
      <w:pPr>
        <w:pStyle w:val="ReferHead"/>
        <w:spacing w:after="0"/>
        <w:jc w:val="both"/>
        <w:rPr>
          <w:rFonts w:ascii="Arial" w:hAnsi="Arial" w:cs="Arial"/>
          <w:b w:val="0"/>
          <w:caps w:val="0"/>
          <w:color w:val="EE0000"/>
          <w:sz w:val="20"/>
        </w:rPr>
      </w:pPr>
    </w:p>
    <w:p w14:paraId="35EDA4FB" w14:textId="77777777" w:rsidR="00DE6D4C" w:rsidRPr="00582261" w:rsidRDefault="00DE6D4C" w:rsidP="00DE6D4C">
      <w:pPr>
        <w:pStyle w:val="ReferHead"/>
        <w:spacing w:after="0"/>
        <w:jc w:val="both"/>
        <w:rPr>
          <w:rFonts w:ascii="Arial" w:hAnsi="Arial" w:cs="Arial"/>
          <w:bCs/>
        </w:rPr>
      </w:pPr>
      <w:r w:rsidRPr="00582261">
        <w:rPr>
          <w:rFonts w:ascii="Arial" w:hAnsi="Arial" w:cs="Arial"/>
          <w:bCs/>
        </w:rPr>
        <w:t>Ethical approval</w:t>
      </w:r>
    </w:p>
    <w:p w14:paraId="78DEEFBF" w14:textId="77777777" w:rsidR="00DE6D4C" w:rsidRDefault="00DE6D4C" w:rsidP="00DE6D4C">
      <w:pPr>
        <w:pStyle w:val="ReferHead"/>
        <w:spacing w:after="0"/>
        <w:jc w:val="both"/>
        <w:rPr>
          <w:rFonts w:ascii="Arial" w:hAnsi="Arial" w:cs="Arial"/>
          <w:bCs/>
          <w:color w:val="EE0000"/>
        </w:rPr>
      </w:pPr>
    </w:p>
    <w:p w14:paraId="04A8F4EA" w14:textId="696A5466" w:rsidR="00860000" w:rsidRDefault="00DE6D4C" w:rsidP="00DE6D4C">
      <w:pPr>
        <w:pStyle w:val="ReferHead"/>
        <w:jc w:val="both"/>
        <w:rPr>
          <w:rFonts w:ascii="Arial" w:hAnsi="Arial" w:cs="Arial"/>
          <w:b w:val="0"/>
          <w:caps w:val="0"/>
          <w:sz w:val="20"/>
        </w:rPr>
      </w:pPr>
      <w:r w:rsidRPr="00582261">
        <w:rPr>
          <w:rFonts w:ascii="Arial" w:hAnsi="Arial" w:cs="Arial"/>
          <w:b w:val="0"/>
          <w:caps w:val="0"/>
          <w:sz w:val="20"/>
        </w:rPr>
        <w:t xml:space="preserve">All authors hereby declare that the </w:t>
      </w:r>
      <w:r>
        <w:rPr>
          <w:rFonts w:ascii="Arial" w:hAnsi="Arial" w:cs="Arial"/>
          <w:b w:val="0"/>
          <w:caps w:val="0"/>
          <w:sz w:val="20"/>
        </w:rPr>
        <w:t xml:space="preserve">treatment </w:t>
      </w:r>
      <w:r w:rsidRPr="00582261">
        <w:rPr>
          <w:rFonts w:ascii="Arial" w:hAnsi="Arial" w:cs="Arial"/>
          <w:b w:val="0"/>
          <w:caps w:val="0"/>
          <w:sz w:val="20"/>
        </w:rPr>
        <w:t xml:space="preserve">protocol </w:t>
      </w:r>
      <w:r>
        <w:rPr>
          <w:rFonts w:ascii="Arial" w:hAnsi="Arial" w:cs="Arial"/>
          <w:b w:val="0"/>
          <w:caps w:val="0"/>
          <w:sz w:val="20"/>
        </w:rPr>
        <w:t>was reviewed</w:t>
      </w:r>
      <w:r w:rsidRPr="00582261">
        <w:rPr>
          <w:rFonts w:ascii="Arial" w:hAnsi="Arial" w:cs="Arial"/>
          <w:b w:val="0"/>
          <w:caps w:val="0"/>
          <w:sz w:val="20"/>
        </w:rPr>
        <w:t xml:space="preserve"> and approved by the </w:t>
      </w:r>
      <w:r>
        <w:rPr>
          <w:rFonts w:ascii="Arial" w:hAnsi="Arial" w:cs="Arial"/>
          <w:b w:val="0"/>
          <w:caps w:val="0"/>
          <w:sz w:val="20"/>
        </w:rPr>
        <w:t>E</w:t>
      </w:r>
      <w:r w:rsidRPr="00582261">
        <w:rPr>
          <w:rFonts w:ascii="Arial" w:hAnsi="Arial" w:cs="Arial"/>
          <w:b w:val="0"/>
          <w:caps w:val="0"/>
          <w:sz w:val="20"/>
        </w:rPr>
        <w:t xml:space="preserve">thics </w:t>
      </w:r>
      <w:r>
        <w:rPr>
          <w:rFonts w:ascii="Arial" w:hAnsi="Arial" w:cs="Arial"/>
          <w:b w:val="0"/>
          <w:caps w:val="0"/>
          <w:sz w:val="20"/>
        </w:rPr>
        <w:t>C</w:t>
      </w:r>
      <w:r w:rsidRPr="00582261">
        <w:rPr>
          <w:rFonts w:ascii="Arial" w:hAnsi="Arial" w:cs="Arial"/>
          <w:b w:val="0"/>
          <w:caps w:val="0"/>
          <w:sz w:val="20"/>
        </w:rPr>
        <w:t xml:space="preserve">ommittee of the Institute of Dermatology, Bangkok, Thailand </w:t>
      </w:r>
      <w:r>
        <w:rPr>
          <w:rFonts w:ascii="Arial" w:hAnsi="Arial" w:cs="Arial"/>
          <w:b w:val="0"/>
          <w:caps w:val="0"/>
          <w:sz w:val="20"/>
        </w:rPr>
        <w:t>(Study Code: IRB/IEC 019/2566; Date of Approval: 16 October 2023). The clinical management was</w:t>
      </w:r>
      <w:r w:rsidRPr="00582261">
        <w:rPr>
          <w:rFonts w:ascii="Arial" w:hAnsi="Arial" w:cs="Arial"/>
          <w:b w:val="0"/>
          <w:caps w:val="0"/>
          <w:sz w:val="20"/>
        </w:rPr>
        <w:t xml:space="preserve"> performed in accordance with the ethical standards, </w:t>
      </w:r>
      <w:r>
        <w:rPr>
          <w:rFonts w:ascii="Arial" w:hAnsi="Arial" w:cs="Arial"/>
          <w:b w:val="0"/>
          <w:caps w:val="0"/>
          <w:sz w:val="20"/>
        </w:rPr>
        <w:t>such as</w:t>
      </w:r>
      <w:r w:rsidRPr="00582261">
        <w:rPr>
          <w:rFonts w:ascii="Arial" w:hAnsi="Arial" w:cs="Arial"/>
          <w:b w:val="0"/>
          <w:caps w:val="0"/>
          <w:sz w:val="20"/>
        </w:rPr>
        <w:t xml:space="preserve"> </w:t>
      </w:r>
      <w:r>
        <w:rPr>
          <w:rFonts w:ascii="Arial" w:hAnsi="Arial" w:cs="Arial"/>
          <w:b w:val="0"/>
          <w:caps w:val="0"/>
          <w:sz w:val="20"/>
        </w:rPr>
        <w:t xml:space="preserve">the </w:t>
      </w:r>
      <w:r w:rsidRPr="00582261">
        <w:rPr>
          <w:rFonts w:ascii="Arial" w:hAnsi="Arial" w:cs="Arial"/>
          <w:b w:val="0"/>
          <w:caps w:val="0"/>
          <w:sz w:val="20"/>
        </w:rPr>
        <w:t xml:space="preserve">Declaration of Helsinki, </w:t>
      </w:r>
      <w:r>
        <w:rPr>
          <w:rFonts w:ascii="Arial" w:hAnsi="Arial" w:cs="Arial"/>
          <w:b w:val="0"/>
          <w:caps w:val="0"/>
          <w:sz w:val="20"/>
        </w:rPr>
        <w:t>t</w:t>
      </w:r>
      <w:r w:rsidRPr="00582261">
        <w:rPr>
          <w:rFonts w:ascii="Arial" w:hAnsi="Arial" w:cs="Arial"/>
          <w:b w:val="0"/>
          <w:caps w:val="0"/>
          <w:sz w:val="20"/>
        </w:rPr>
        <w:t xml:space="preserve">he Belmont </w:t>
      </w:r>
      <w:r>
        <w:rPr>
          <w:rFonts w:ascii="Arial" w:hAnsi="Arial" w:cs="Arial"/>
          <w:b w:val="0"/>
          <w:caps w:val="0"/>
          <w:sz w:val="20"/>
        </w:rPr>
        <w:t>R</w:t>
      </w:r>
      <w:r w:rsidRPr="00582261">
        <w:rPr>
          <w:rFonts w:ascii="Arial" w:hAnsi="Arial" w:cs="Arial"/>
          <w:b w:val="0"/>
          <w:caps w:val="0"/>
          <w:sz w:val="20"/>
        </w:rPr>
        <w:t xml:space="preserve">eport, </w:t>
      </w:r>
      <w:r>
        <w:rPr>
          <w:rFonts w:ascii="Arial" w:hAnsi="Arial" w:cs="Arial"/>
          <w:b w:val="0"/>
          <w:caps w:val="0"/>
          <w:sz w:val="20"/>
        </w:rPr>
        <w:t xml:space="preserve">the </w:t>
      </w:r>
      <w:r w:rsidRPr="00582261">
        <w:rPr>
          <w:rFonts w:ascii="Arial" w:hAnsi="Arial" w:cs="Arial"/>
          <w:b w:val="0"/>
          <w:caps w:val="0"/>
          <w:sz w:val="20"/>
        </w:rPr>
        <w:t xml:space="preserve">CIOMS Guidelines, and </w:t>
      </w:r>
      <w:r>
        <w:rPr>
          <w:rFonts w:ascii="Arial" w:hAnsi="Arial" w:cs="Arial"/>
          <w:b w:val="0"/>
          <w:caps w:val="0"/>
          <w:sz w:val="20"/>
        </w:rPr>
        <w:t xml:space="preserve">the </w:t>
      </w:r>
      <w:r w:rsidRPr="00582261">
        <w:rPr>
          <w:rFonts w:ascii="Arial" w:hAnsi="Arial" w:cs="Arial"/>
          <w:b w:val="0"/>
          <w:caps w:val="0"/>
          <w:sz w:val="20"/>
        </w:rPr>
        <w:t xml:space="preserve">International Conference on Harmonization in Good Clinical Practice (ICH-GCP). </w:t>
      </w:r>
    </w:p>
    <w:p w14:paraId="60C86E0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431E527" w14:textId="77777777" w:rsidR="00790ADA" w:rsidRPr="00FB3A86" w:rsidRDefault="00790ADA" w:rsidP="00441B6F">
      <w:pPr>
        <w:pStyle w:val="ReferHead"/>
        <w:spacing w:after="0"/>
        <w:jc w:val="both"/>
        <w:rPr>
          <w:rFonts w:ascii="Arial" w:hAnsi="Arial" w:cs="Arial"/>
        </w:rPr>
      </w:pPr>
    </w:p>
    <w:p w14:paraId="234F1B5E" w14:textId="77777777" w:rsidR="00DE6D4C" w:rsidRDefault="00DE6D4C" w:rsidP="00DE6D4C">
      <w:pPr>
        <w:pStyle w:val="Body"/>
      </w:pPr>
      <w:r>
        <w:t xml:space="preserve">1. </w:t>
      </w:r>
      <w:proofErr w:type="spellStart"/>
      <w:r>
        <w:t>Luplertlop</w:t>
      </w:r>
      <w:proofErr w:type="spellEnd"/>
      <w:r>
        <w:t xml:space="preserve"> N, </w:t>
      </w:r>
      <w:proofErr w:type="spellStart"/>
      <w:r>
        <w:t>Suwanmanee</w:t>
      </w:r>
      <w:proofErr w:type="spellEnd"/>
      <w:r>
        <w:t xml:space="preserve"> S. Dermatophytosis: from bench to bed side. J Trop Med </w:t>
      </w:r>
      <w:proofErr w:type="spellStart"/>
      <w:r>
        <w:t>Parasitol</w:t>
      </w:r>
      <w:proofErr w:type="spellEnd"/>
      <w:r>
        <w:t xml:space="preserve">. </w:t>
      </w:r>
      <w:proofErr w:type="gramStart"/>
      <w:r>
        <w:t>2013;36:75</w:t>
      </w:r>
      <w:proofErr w:type="gramEnd"/>
      <w:r>
        <w:t>-87. Thai.</w:t>
      </w:r>
    </w:p>
    <w:p w14:paraId="2CD9B480" w14:textId="77777777" w:rsidR="00DE6D4C" w:rsidRDefault="00DE6D4C" w:rsidP="00DE6D4C">
      <w:pPr>
        <w:pStyle w:val="Body"/>
      </w:pPr>
      <w:r>
        <w:t xml:space="preserve">2. </w:t>
      </w:r>
      <w:proofErr w:type="spellStart"/>
      <w:r>
        <w:t>Sacheli</w:t>
      </w:r>
      <w:proofErr w:type="spellEnd"/>
      <w:r>
        <w:t xml:space="preserve"> R, </w:t>
      </w:r>
      <w:proofErr w:type="spellStart"/>
      <w:r>
        <w:t>Havette</w:t>
      </w:r>
      <w:proofErr w:type="spellEnd"/>
      <w:r>
        <w:t xml:space="preserve"> MP. Antifungal resistance in dermatophytes: genetic considerations, clinical presentations and alternative therapies. J Fungi (Basel). 2021;7(11):983. doi:10.3390/jof7110983</w:t>
      </w:r>
    </w:p>
    <w:p w14:paraId="36EE53B0" w14:textId="77777777" w:rsidR="00DE6D4C" w:rsidRDefault="00DE6D4C" w:rsidP="00DE6D4C">
      <w:pPr>
        <w:pStyle w:val="Body"/>
      </w:pPr>
      <w:r>
        <w:t>3. Kruithoff C, Gamal A, McCormick TS, Ghannoum MA. Dermatophyte infections worldwide: Increase in incidence and associated antifungal resistance. Life 2024;14(1):1 https://doi.org/10.3390/life14010001</w:t>
      </w:r>
    </w:p>
    <w:p w14:paraId="700D61D3" w14:textId="77777777" w:rsidR="00DE6D4C" w:rsidRDefault="00DE6D4C" w:rsidP="00DE6D4C">
      <w:pPr>
        <w:pStyle w:val="Body"/>
      </w:pPr>
      <w:r>
        <w:t xml:space="preserve">4. Thailand Association of Traditional Medicine School Wat </w:t>
      </w:r>
      <w:proofErr w:type="spellStart"/>
      <w:r>
        <w:t>Phra</w:t>
      </w:r>
      <w:proofErr w:type="spellEnd"/>
      <w:r>
        <w:t xml:space="preserve"> </w:t>
      </w:r>
      <w:proofErr w:type="spellStart"/>
      <w:r>
        <w:t>Chetuphon</w:t>
      </w:r>
      <w:proofErr w:type="spellEnd"/>
      <w:r>
        <w:t xml:space="preserve"> (Wat Pho) </w:t>
      </w:r>
      <w:proofErr w:type="spellStart"/>
      <w:r>
        <w:t>Tha</w:t>
      </w:r>
      <w:proofErr w:type="spellEnd"/>
      <w:r>
        <w:t xml:space="preserve"> </w:t>
      </w:r>
      <w:proofErr w:type="spellStart"/>
      <w:r>
        <w:t>Thien</w:t>
      </w:r>
      <w:proofErr w:type="spellEnd"/>
      <w:r>
        <w:t xml:space="preserve"> </w:t>
      </w:r>
      <w:proofErr w:type="spellStart"/>
      <w:r>
        <w:t>Pranakorn</w:t>
      </w:r>
      <w:proofErr w:type="spellEnd"/>
      <w:r>
        <w:t xml:space="preserve">. Handbook of Thai pharmacist Drug Act B.E. 2510 and ministerial regulation. 2nded. Bangkok: </w:t>
      </w:r>
      <w:proofErr w:type="spellStart"/>
      <w:r>
        <w:t>Ampolpittaya</w:t>
      </w:r>
      <w:proofErr w:type="spellEnd"/>
      <w:r>
        <w:t>; 1869. Thai.</w:t>
      </w:r>
    </w:p>
    <w:p w14:paraId="4C6EC227" w14:textId="77777777" w:rsidR="00DE6D4C" w:rsidRDefault="00DE6D4C" w:rsidP="00DE6D4C">
      <w:pPr>
        <w:pStyle w:val="Body"/>
      </w:pPr>
      <w:r>
        <w:lastRenderedPageBreak/>
        <w:t xml:space="preserve">5. </w:t>
      </w:r>
      <w:proofErr w:type="spellStart"/>
      <w:r>
        <w:t>Petplai</w:t>
      </w:r>
      <w:proofErr w:type="spellEnd"/>
      <w:r>
        <w:t xml:space="preserve"> D, </w:t>
      </w:r>
      <w:proofErr w:type="spellStart"/>
      <w:r>
        <w:t>Tinnakorn</w:t>
      </w:r>
      <w:proofErr w:type="spellEnd"/>
      <w:r>
        <w:t xml:space="preserve"> Na </w:t>
      </w:r>
      <w:proofErr w:type="spellStart"/>
      <w:r>
        <w:t>Ayuthaya</w:t>
      </w:r>
      <w:proofErr w:type="spellEnd"/>
      <w:r>
        <w:t xml:space="preserve"> P, Bunsit J. List of herbal medicines and indications for primary health care service. Bangkok: Department of Medical Sciences; 1979. Thai.</w:t>
      </w:r>
    </w:p>
    <w:p w14:paraId="501B3E97" w14:textId="77777777" w:rsidR="00DE6D4C" w:rsidRDefault="00DE6D4C" w:rsidP="00DE6D4C">
      <w:pPr>
        <w:pStyle w:val="Body"/>
      </w:pPr>
      <w:r>
        <w:t xml:space="preserve">6. </w:t>
      </w:r>
      <w:proofErr w:type="spellStart"/>
      <w:r>
        <w:t>Pruksakorn</w:t>
      </w:r>
      <w:proofErr w:type="spellEnd"/>
      <w:r>
        <w:t xml:space="preserve"> P, </w:t>
      </w:r>
      <w:proofErr w:type="spellStart"/>
      <w:r>
        <w:t>Jaima</w:t>
      </w:r>
      <w:proofErr w:type="spellEnd"/>
      <w:r>
        <w:t xml:space="preserve"> C, </w:t>
      </w:r>
      <w:proofErr w:type="spellStart"/>
      <w:r>
        <w:t>Punyajai</w:t>
      </w:r>
      <w:proofErr w:type="spellEnd"/>
      <w:r>
        <w:t xml:space="preserve"> P, </w:t>
      </w:r>
      <w:proofErr w:type="spellStart"/>
      <w:r>
        <w:t>Mekha</w:t>
      </w:r>
      <w:proofErr w:type="spellEnd"/>
      <w:r>
        <w:t xml:space="preserve"> N, </w:t>
      </w:r>
      <w:proofErr w:type="spellStart"/>
      <w:r>
        <w:t>Autthateinchai</w:t>
      </w:r>
      <w:proofErr w:type="spellEnd"/>
      <w:r>
        <w:t xml:space="preserve"> R, </w:t>
      </w:r>
      <w:proofErr w:type="spellStart"/>
      <w:r>
        <w:t>Dhepakson</w:t>
      </w:r>
      <w:proofErr w:type="spellEnd"/>
      <w:r>
        <w:t xml:space="preserve"> Antifungal activity of </w:t>
      </w:r>
      <w:r w:rsidRPr="00D9566C">
        <w:rPr>
          <w:i/>
          <w:iCs/>
        </w:rPr>
        <w:t>Rhinacanthus nasutus</w:t>
      </w:r>
      <w:r>
        <w:t xml:space="preserve"> (L.) Kurz extracts against dermatophytes. J Thai Trad Alter Med. 2018;16(2):205-217. Thai.</w:t>
      </w:r>
    </w:p>
    <w:p w14:paraId="403CFA53" w14:textId="35DB695B" w:rsidR="00DE6D4C" w:rsidRPr="00D97B81" w:rsidRDefault="00DE6D4C" w:rsidP="00DE6D4C">
      <w:pPr>
        <w:pStyle w:val="Body"/>
        <w:rPr>
          <w:color w:val="C00000"/>
        </w:rPr>
      </w:pPr>
      <w:r w:rsidRPr="007D5FF1">
        <w:t xml:space="preserve">7. </w:t>
      </w:r>
      <w:proofErr w:type="spellStart"/>
      <w:r w:rsidRPr="007D5FF1">
        <w:t>Pruksakorn</w:t>
      </w:r>
      <w:proofErr w:type="spellEnd"/>
      <w:r w:rsidRPr="007D5FF1">
        <w:t xml:space="preserve"> P, </w:t>
      </w:r>
      <w:proofErr w:type="spellStart"/>
      <w:r w:rsidRPr="007D5FF1">
        <w:t>Maititklang</w:t>
      </w:r>
      <w:proofErr w:type="spellEnd"/>
      <w:r w:rsidRPr="007D5FF1">
        <w:t xml:space="preserve"> V, </w:t>
      </w:r>
      <w:proofErr w:type="spellStart"/>
      <w:r w:rsidRPr="007D5FF1">
        <w:t>Janlek</w:t>
      </w:r>
      <w:proofErr w:type="spellEnd"/>
      <w:r w:rsidRPr="007D5FF1">
        <w:t xml:space="preserve"> T, </w:t>
      </w:r>
      <w:proofErr w:type="spellStart"/>
      <w:r w:rsidRPr="007D5FF1">
        <w:t>Karoonkorn</w:t>
      </w:r>
      <w:proofErr w:type="spellEnd"/>
      <w:r w:rsidRPr="007D5FF1">
        <w:t xml:space="preserve"> A, </w:t>
      </w:r>
      <w:proofErr w:type="spellStart"/>
      <w:r w:rsidRPr="007D5FF1">
        <w:t>Prasertwaree</w:t>
      </w:r>
      <w:proofErr w:type="spellEnd"/>
      <w:r w:rsidRPr="007D5FF1">
        <w:t xml:space="preserve"> P, </w:t>
      </w:r>
      <w:proofErr w:type="spellStart"/>
      <w:r w:rsidRPr="007D5FF1">
        <w:t>Boonyareth</w:t>
      </w:r>
      <w:proofErr w:type="spellEnd"/>
      <w:r w:rsidRPr="007D5FF1">
        <w:t xml:space="preserve"> M. Acute Dermal Irritation/Corrosion Testing in Rabbits of </w:t>
      </w:r>
      <w:r w:rsidRPr="00D9566C">
        <w:rPr>
          <w:i/>
          <w:iCs/>
        </w:rPr>
        <w:t>Rhinacanthus nasutus</w:t>
      </w:r>
      <w:r w:rsidRPr="007D5FF1">
        <w:t xml:space="preserve"> Root Extract Gel Containing 0.2% rhinacanthin C. J Thai Trad Alter Med. </w:t>
      </w:r>
      <w:r w:rsidR="00816317">
        <w:t>[on revision]</w:t>
      </w:r>
      <w:r w:rsidRPr="00D97B81">
        <w:rPr>
          <w:color w:val="C00000"/>
        </w:rPr>
        <w:t xml:space="preserve">. </w:t>
      </w:r>
      <w:r w:rsidRPr="007D5FF1">
        <w:t>Thai.</w:t>
      </w:r>
    </w:p>
    <w:p w14:paraId="7E5C2953" w14:textId="77777777" w:rsidR="00DE6D4C" w:rsidRDefault="00DE6D4C" w:rsidP="00DE6D4C">
      <w:pPr>
        <w:pStyle w:val="Body"/>
      </w:pPr>
      <w:r>
        <w:t xml:space="preserve">8. </w:t>
      </w:r>
      <w:proofErr w:type="spellStart"/>
      <w:r w:rsidRPr="005F4134">
        <w:t>Sookvanichsilp</w:t>
      </w:r>
      <w:proofErr w:type="spellEnd"/>
      <w:r w:rsidRPr="005F4134">
        <w:t xml:space="preserve"> N. Topical medicines for the treatment of fungal diseases: drugs for ringworm and pityriasis versicolor. [Internet]. Faculty of Pharmaceutical Sciences, Mahidol University; 2021 Mar 29 [cited 2024 Jul 26]; [1 page]. Available from: https://pharmacy.mahidol.ac.th/th/service-knowledge-article-info-old.php?id=549</w:t>
      </w:r>
    </w:p>
    <w:p w14:paraId="30AA59ED" w14:textId="77777777" w:rsidR="00DE6D4C" w:rsidRDefault="00DE6D4C" w:rsidP="00DE6D4C">
      <w:pPr>
        <w:pStyle w:val="Body"/>
      </w:pPr>
      <w:r>
        <w:t xml:space="preserve">9. </w:t>
      </w:r>
      <w:proofErr w:type="spellStart"/>
      <w:r w:rsidRPr="009E6F02">
        <w:t>Ratsadornwijit</w:t>
      </w:r>
      <w:proofErr w:type="spellEnd"/>
      <w:r w:rsidRPr="009E6F02">
        <w:t xml:space="preserve"> A. Iodochlorhydroxyquin. [Internet]. Haam; 2020 Aug 9 [cited 2024 Jul 26]; [1 page]. Available from: https://haamor.com/%E0%B9%84%E0%B8%AD%E0%B9%82%</w:t>
      </w:r>
      <w:r>
        <w:t xml:space="preserve"> </w:t>
      </w:r>
      <w:r w:rsidRPr="009E6F02">
        <w:t>E0%B8%AD%E0%B9%82%E0%B8%94%E0%B8%84%E0%B8%A5%E0%B8%AD%E0%B8%A3%E0%B9%8C%E0%B9%84%E0%B8%AE%E0%B8%94%E0%B8%A3%E0%B8%AD%E0%B8%81%E0%B8%8B%E0%B8%B5%E0%B8%84%E0%B8%A7%E0%B8%B4%E0%B8%99</w:t>
      </w:r>
    </w:p>
    <w:p w14:paraId="1248ADD8" w14:textId="77777777" w:rsidR="00DE6D4C" w:rsidRDefault="00DE6D4C" w:rsidP="00DE6D4C">
      <w:pPr>
        <w:pStyle w:val="Body"/>
      </w:pPr>
      <w:r>
        <w:t xml:space="preserve">10. Darah I, Jain K. Efficacy of the </w:t>
      </w:r>
      <w:r w:rsidRPr="00BC7423">
        <w:rPr>
          <w:i/>
          <w:iCs/>
        </w:rPr>
        <w:t>Rhinacanthus nasutus</w:t>
      </w:r>
      <w:r>
        <w:t xml:space="preserve"> Nees Leaf extract on dermatophytes with special reference to </w:t>
      </w:r>
      <w:r w:rsidRPr="00D9566C">
        <w:rPr>
          <w:i/>
          <w:iCs/>
        </w:rPr>
        <w:t>Trichophyton mentagrophytes</w:t>
      </w:r>
      <w:r>
        <w:t xml:space="preserve"> var. mentagrophytes and </w:t>
      </w:r>
      <w:proofErr w:type="spellStart"/>
      <w:r w:rsidRPr="00D9566C">
        <w:rPr>
          <w:i/>
          <w:iCs/>
        </w:rPr>
        <w:t>Microsporum</w:t>
      </w:r>
      <w:proofErr w:type="spellEnd"/>
      <w:r w:rsidRPr="00D9566C">
        <w:rPr>
          <w:i/>
          <w:iCs/>
        </w:rPr>
        <w:t xml:space="preserve"> </w:t>
      </w:r>
      <w:proofErr w:type="spellStart"/>
      <w:r w:rsidRPr="00D9566C">
        <w:rPr>
          <w:i/>
          <w:iCs/>
        </w:rPr>
        <w:t>canis</w:t>
      </w:r>
      <w:proofErr w:type="spellEnd"/>
      <w:r>
        <w:t>. Nat Prod Sci. 2001;7(4):114-9.</w:t>
      </w:r>
    </w:p>
    <w:p w14:paraId="0941FBA8" w14:textId="77777777" w:rsidR="00DE6D4C" w:rsidRDefault="00DE6D4C" w:rsidP="00DE6D4C">
      <w:pPr>
        <w:pStyle w:val="Body"/>
      </w:pPr>
      <w:r>
        <w:t xml:space="preserve">11. Deepa N, Ravichandran V. Anti-fungal activity of various extracts of </w:t>
      </w:r>
      <w:r w:rsidRPr="00BC7423">
        <w:rPr>
          <w:i/>
          <w:iCs/>
        </w:rPr>
        <w:t>Rhinacanthus nasutus</w:t>
      </w:r>
      <w:r>
        <w:t xml:space="preserve"> (I). Kurtz. Nat Prod Indian J. 2008;4(2):125-7.</w:t>
      </w:r>
    </w:p>
    <w:p w14:paraId="43601ABF" w14:textId="77777777" w:rsidR="00DE6D4C" w:rsidRDefault="00DE6D4C" w:rsidP="00DE6D4C">
      <w:pPr>
        <w:pStyle w:val="Body"/>
      </w:pPr>
      <w:r>
        <w:t xml:space="preserve">12. </w:t>
      </w:r>
      <w:proofErr w:type="spellStart"/>
      <w:r>
        <w:t>Wisuitiprot</w:t>
      </w:r>
      <w:proofErr w:type="spellEnd"/>
      <w:r>
        <w:t xml:space="preserve"> W. Antifungal activity of </w:t>
      </w:r>
      <w:r w:rsidRPr="00BC7423">
        <w:rPr>
          <w:i/>
          <w:iCs/>
        </w:rPr>
        <w:t>Rhinacanthus nasutus</w:t>
      </w:r>
      <w:r>
        <w:t xml:space="preserve"> extract against </w:t>
      </w:r>
      <w:r w:rsidRPr="00922ADA">
        <w:rPr>
          <w:i/>
          <w:iCs/>
        </w:rPr>
        <w:t>Malassezia</w:t>
      </w:r>
      <w:r>
        <w:t xml:space="preserve"> sp. J Health Sci. 2012;21(3):521-8. Thai.</w:t>
      </w:r>
    </w:p>
    <w:p w14:paraId="36CA7FDD" w14:textId="3A32A379" w:rsidR="00B01FCD" w:rsidRPr="00762247" w:rsidRDefault="00DE6D4C" w:rsidP="00762247">
      <w:pPr>
        <w:pStyle w:val="Body"/>
      </w:pPr>
      <w:r>
        <w:t xml:space="preserve">13. </w:t>
      </w:r>
      <w:r w:rsidRPr="00877227">
        <w:t xml:space="preserve">Patel S, Meixner JA, Smith MB, </w:t>
      </w:r>
      <w:proofErr w:type="spellStart"/>
      <w:r w:rsidRPr="00877227">
        <w:t>Mcginnis</w:t>
      </w:r>
      <w:proofErr w:type="spellEnd"/>
      <w:r w:rsidRPr="00877227">
        <w:t xml:space="preserve"> MR. Superficial mycoses and dermatophytes. Tropical Dermatology (Second Edition) 2017; 189-201. https://doi.org/10. 1016/B978-0-323-29634-2.00017-1</w:t>
      </w:r>
    </w:p>
    <w:p w14:paraId="22A92638" w14:textId="36E72063" w:rsidR="004D4277" w:rsidRPr="00FB3A86" w:rsidRDefault="004D4277" w:rsidP="00441B6F">
      <w:pPr>
        <w:pStyle w:val="Appendix"/>
        <w:spacing w:after="0"/>
        <w:jc w:val="both"/>
        <w:rPr>
          <w:rFonts w:ascii="Arial" w:hAnsi="Arial" w:cs="Arial"/>
          <w:b w:val="0"/>
        </w:rPr>
        <w:sectPr w:rsidR="004D4277" w:rsidRPr="00FB3A86" w:rsidSect="00F6277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E2BEF56" w14:textId="77777777" w:rsidR="00B01FCD" w:rsidRPr="00FB3A86" w:rsidRDefault="00B01FCD" w:rsidP="00441B6F">
      <w:pPr>
        <w:pStyle w:val="Appendix"/>
        <w:spacing w:after="0"/>
        <w:jc w:val="both"/>
        <w:rPr>
          <w:rFonts w:ascii="Arial" w:hAnsi="Arial" w:cs="Arial"/>
          <w:b w:val="0"/>
        </w:rPr>
      </w:pPr>
    </w:p>
    <w:sectPr w:rsidR="00B01FCD" w:rsidRPr="00FB3A86" w:rsidSect="00F6277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F2615" w14:textId="77777777" w:rsidR="007120C4" w:rsidRDefault="007120C4" w:rsidP="00C37E61">
      <w:r>
        <w:separator/>
      </w:r>
    </w:p>
  </w:endnote>
  <w:endnote w:type="continuationSeparator" w:id="0">
    <w:p w14:paraId="1DC9C27B" w14:textId="77777777" w:rsidR="007120C4" w:rsidRDefault="007120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altName w:val="Cordia New"/>
    <w:panose1 w:val="020B0304020202020204"/>
    <w:charset w:val="DE"/>
    <w:family w:val="swiss"/>
    <w:pitch w:val="variable"/>
    <w:sig w:usb0="81000003" w:usb1="00000000" w:usb2="00000000" w:usb3="00000000" w:csb0="00010001" w:csb1="00000000"/>
  </w:font>
  <w:font w:name="TH SarabunPSK">
    <w:charset w:val="DE"/>
    <w:family w:val="swiss"/>
    <w:pitch w:val="variable"/>
    <w:sig w:usb0="21000007" w:usb1="00000000" w:usb2="00000000" w:usb3="00000000" w:csb0="0001011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9A12" w14:textId="77777777" w:rsidR="00433E35" w:rsidRDefault="00433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BE83" w14:textId="77777777" w:rsidR="00433E35" w:rsidRDefault="00433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C7FC" w14:textId="77777777" w:rsidR="009E048A" w:rsidRDefault="009E048A">
    <w:pPr>
      <w:pStyle w:val="Footer"/>
      <w:rPr>
        <w:rFonts w:ascii="Arial" w:hAnsi="Arial" w:cs="Arial"/>
        <w:sz w:val="16"/>
      </w:rPr>
    </w:pPr>
  </w:p>
  <w:p w14:paraId="5465FDE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7C9EAAB" w14:textId="77777777" w:rsidR="009E048A" w:rsidRDefault="009E048A">
    <w:pPr>
      <w:pStyle w:val="Footer"/>
      <w:rPr>
        <w:rFonts w:ascii="Arial" w:hAnsi="Arial" w:cs="Arial"/>
        <w:sz w:val="16"/>
      </w:rPr>
    </w:pPr>
  </w:p>
  <w:p w14:paraId="483C8FF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EFD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221AF" w14:textId="77777777" w:rsidR="007120C4" w:rsidRDefault="007120C4" w:rsidP="00C37E61">
      <w:r>
        <w:separator/>
      </w:r>
    </w:p>
  </w:footnote>
  <w:footnote w:type="continuationSeparator" w:id="0">
    <w:p w14:paraId="7538FD65" w14:textId="77777777" w:rsidR="007120C4" w:rsidRDefault="007120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E5ABE" w14:textId="01347463" w:rsidR="00433E35" w:rsidRDefault="00433E35">
    <w:pPr>
      <w:pStyle w:val="Header"/>
    </w:pPr>
    <w:r>
      <w:rPr>
        <w:noProof/>
      </w:rPr>
      <w:pict w14:anchorId="2AEDD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49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814" w14:textId="36D10D14" w:rsidR="00433E35" w:rsidRDefault="00433E35">
    <w:pPr>
      <w:pStyle w:val="Header"/>
    </w:pPr>
    <w:r>
      <w:rPr>
        <w:noProof/>
      </w:rPr>
      <w:pict w14:anchorId="5A638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49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F4F1" w14:textId="78C4D83D" w:rsidR="00296529" w:rsidRPr="00296529" w:rsidRDefault="00433E35" w:rsidP="00296529">
    <w:pPr>
      <w:ind w:left="2160"/>
      <w:jc w:val="center"/>
      <w:rPr>
        <w:rFonts w:ascii="Times New Roman" w:eastAsia="Calibri" w:hAnsi="Times New Roman"/>
        <w:i/>
        <w:sz w:val="18"/>
        <w:szCs w:val="22"/>
      </w:rPr>
    </w:pPr>
    <w:r>
      <w:rPr>
        <w:noProof/>
      </w:rPr>
      <w:pict w14:anchorId="10B7D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49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63878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535F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7AC55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F25ED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2C768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CCFE6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B7157" w14:textId="454F9EEB" w:rsidR="00433E35" w:rsidRDefault="00433E35">
    <w:pPr>
      <w:pStyle w:val="Header"/>
    </w:pPr>
    <w:r>
      <w:rPr>
        <w:noProof/>
      </w:rPr>
      <w:pict w14:anchorId="038CA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49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4048" w14:textId="52E05CEE" w:rsidR="00433E35" w:rsidRDefault="00433E35">
    <w:pPr>
      <w:pStyle w:val="Header"/>
    </w:pPr>
    <w:r>
      <w:rPr>
        <w:noProof/>
      </w:rPr>
      <w:pict w14:anchorId="76812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49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2399" w14:textId="3E4CF3E2" w:rsidR="00433E35" w:rsidRDefault="00433E35">
    <w:pPr>
      <w:pStyle w:val="Header"/>
    </w:pPr>
    <w:r>
      <w:rPr>
        <w:noProof/>
      </w:rPr>
      <w:pict w14:anchorId="1F453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449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45B"/>
    <w:rsid w:val="00030174"/>
    <w:rsid w:val="00031804"/>
    <w:rsid w:val="0004572E"/>
    <w:rsid w:val="0004579C"/>
    <w:rsid w:val="000A47FA"/>
    <w:rsid w:val="000A65D3"/>
    <w:rsid w:val="000B0FA5"/>
    <w:rsid w:val="000B1E33"/>
    <w:rsid w:val="000D689F"/>
    <w:rsid w:val="000E7B7B"/>
    <w:rsid w:val="000E7D62"/>
    <w:rsid w:val="00103357"/>
    <w:rsid w:val="00123C9F"/>
    <w:rsid w:val="00126190"/>
    <w:rsid w:val="00130F17"/>
    <w:rsid w:val="001320BF"/>
    <w:rsid w:val="00163BC4"/>
    <w:rsid w:val="00185CD9"/>
    <w:rsid w:val="00191062"/>
    <w:rsid w:val="00192B72"/>
    <w:rsid w:val="0019771D"/>
    <w:rsid w:val="001A29D8"/>
    <w:rsid w:val="001A5CAA"/>
    <w:rsid w:val="001B0427"/>
    <w:rsid w:val="001C25BA"/>
    <w:rsid w:val="001D3A51"/>
    <w:rsid w:val="001E10D2"/>
    <w:rsid w:val="001E25B4"/>
    <w:rsid w:val="001E44FE"/>
    <w:rsid w:val="00200595"/>
    <w:rsid w:val="00204835"/>
    <w:rsid w:val="00231920"/>
    <w:rsid w:val="0023195C"/>
    <w:rsid w:val="002402F2"/>
    <w:rsid w:val="0024282C"/>
    <w:rsid w:val="002460DC"/>
    <w:rsid w:val="00250985"/>
    <w:rsid w:val="002556F6"/>
    <w:rsid w:val="00283105"/>
    <w:rsid w:val="00284C4C"/>
    <w:rsid w:val="00296529"/>
    <w:rsid w:val="002A51EE"/>
    <w:rsid w:val="002B27FB"/>
    <w:rsid w:val="002B685A"/>
    <w:rsid w:val="002C57D2"/>
    <w:rsid w:val="002E0D56"/>
    <w:rsid w:val="00315186"/>
    <w:rsid w:val="00322567"/>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3E35"/>
    <w:rsid w:val="00440F43"/>
    <w:rsid w:val="0044156F"/>
    <w:rsid w:val="00441B6F"/>
    <w:rsid w:val="00441E8D"/>
    <w:rsid w:val="00446221"/>
    <w:rsid w:val="00450E62"/>
    <w:rsid w:val="004539DB"/>
    <w:rsid w:val="00471A80"/>
    <w:rsid w:val="004D305E"/>
    <w:rsid w:val="004D4277"/>
    <w:rsid w:val="004F479A"/>
    <w:rsid w:val="00502516"/>
    <w:rsid w:val="00505F06"/>
    <w:rsid w:val="00506828"/>
    <w:rsid w:val="0053056E"/>
    <w:rsid w:val="00541C28"/>
    <w:rsid w:val="00554FDA"/>
    <w:rsid w:val="005C784C"/>
    <w:rsid w:val="005D17F6"/>
    <w:rsid w:val="005E5539"/>
    <w:rsid w:val="00602BF5"/>
    <w:rsid w:val="00617FDD"/>
    <w:rsid w:val="00633614"/>
    <w:rsid w:val="00633F68"/>
    <w:rsid w:val="00636EB2"/>
    <w:rsid w:val="006375B8"/>
    <w:rsid w:val="00646003"/>
    <w:rsid w:val="006570FB"/>
    <w:rsid w:val="0066510A"/>
    <w:rsid w:val="00673F9F"/>
    <w:rsid w:val="00685D4D"/>
    <w:rsid w:val="00686953"/>
    <w:rsid w:val="00687DEA"/>
    <w:rsid w:val="00687E67"/>
    <w:rsid w:val="006967F7"/>
    <w:rsid w:val="006A250C"/>
    <w:rsid w:val="006B21D3"/>
    <w:rsid w:val="006B57D0"/>
    <w:rsid w:val="006D30FF"/>
    <w:rsid w:val="006D6940"/>
    <w:rsid w:val="006F11EC"/>
    <w:rsid w:val="0070082C"/>
    <w:rsid w:val="007120C4"/>
    <w:rsid w:val="007369E6"/>
    <w:rsid w:val="00742BE8"/>
    <w:rsid w:val="00746E59"/>
    <w:rsid w:val="00754C9A"/>
    <w:rsid w:val="0075599A"/>
    <w:rsid w:val="00761D52"/>
    <w:rsid w:val="00762247"/>
    <w:rsid w:val="0077749E"/>
    <w:rsid w:val="00790ADA"/>
    <w:rsid w:val="007D2288"/>
    <w:rsid w:val="007E088F"/>
    <w:rsid w:val="007F7B32"/>
    <w:rsid w:val="00804BC2"/>
    <w:rsid w:val="00805BBA"/>
    <w:rsid w:val="0081431A"/>
    <w:rsid w:val="00816317"/>
    <w:rsid w:val="0083216F"/>
    <w:rsid w:val="00860000"/>
    <w:rsid w:val="00863BD3"/>
    <w:rsid w:val="00866D66"/>
    <w:rsid w:val="008671C6"/>
    <w:rsid w:val="00875803"/>
    <w:rsid w:val="00881CFB"/>
    <w:rsid w:val="008B459E"/>
    <w:rsid w:val="008E13AE"/>
    <w:rsid w:val="008E1506"/>
    <w:rsid w:val="008E710C"/>
    <w:rsid w:val="008F69D6"/>
    <w:rsid w:val="00902823"/>
    <w:rsid w:val="00915CA6"/>
    <w:rsid w:val="00922ADA"/>
    <w:rsid w:val="00927834"/>
    <w:rsid w:val="009500A6"/>
    <w:rsid w:val="00957C18"/>
    <w:rsid w:val="009659BA"/>
    <w:rsid w:val="00983040"/>
    <w:rsid w:val="0099681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49D3"/>
    <w:rsid w:val="00B01FCD"/>
    <w:rsid w:val="00B1776C"/>
    <w:rsid w:val="00B4114A"/>
    <w:rsid w:val="00B52896"/>
    <w:rsid w:val="00B8092F"/>
    <w:rsid w:val="00B95236"/>
    <w:rsid w:val="00B96BD9"/>
    <w:rsid w:val="00BA1B01"/>
    <w:rsid w:val="00BA2641"/>
    <w:rsid w:val="00BB37AA"/>
    <w:rsid w:val="00BC53A0"/>
    <w:rsid w:val="00BE62AD"/>
    <w:rsid w:val="00BF121F"/>
    <w:rsid w:val="00BF1F80"/>
    <w:rsid w:val="00C166EF"/>
    <w:rsid w:val="00C17EB0"/>
    <w:rsid w:val="00C216F3"/>
    <w:rsid w:val="00C27F5F"/>
    <w:rsid w:val="00C30A0F"/>
    <w:rsid w:val="00C37E61"/>
    <w:rsid w:val="00C54582"/>
    <w:rsid w:val="00C65166"/>
    <w:rsid w:val="00C70F1B"/>
    <w:rsid w:val="00C71A47"/>
    <w:rsid w:val="00C7464C"/>
    <w:rsid w:val="00C85588"/>
    <w:rsid w:val="00CA6992"/>
    <w:rsid w:val="00CD6755"/>
    <w:rsid w:val="00CD6856"/>
    <w:rsid w:val="00CE0089"/>
    <w:rsid w:val="00CE793C"/>
    <w:rsid w:val="00D173F1"/>
    <w:rsid w:val="00D8295D"/>
    <w:rsid w:val="00DC2A65"/>
    <w:rsid w:val="00DD65C1"/>
    <w:rsid w:val="00DE15F0"/>
    <w:rsid w:val="00DE5663"/>
    <w:rsid w:val="00DE6D4C"/>
    <w:rsid w:val="00DE78AA"/>
    <w:rsid w:val="00E053D0"/>
    <w:rsid w:val="00E15994"/>
    <w:rsid w:val="00E259BA"/>
    <w:rsid w:val="00E3114E"/>
    <w:rsid w:val="00E31A70"/>
    <w:rsid w:val="00E35B02"/>
    <w:rsid w:val="00E66496"/>
    <w:rsid w:val="00E66B35"/>
    <w:rsid w:val="00E66E10"/>
    <w:rsid w:val="00E769F6"/>
    <w:rsid w:val="00E8407C"/>
    <w:rsid w:val="00E84F3C"/>
    <w:rsid w:val="00EA012C"/>
    <w:rsid w:val="00ED0288"/>
    <w:rsid w:val="00EE52CB"/>
    <w:rsid w:val="00EF581D"/>
    <w:rsid w:val="00EF7FD8"/>
    <w:rsid w:val="00F017CE"/>
    <w:rsid w:val="00F06F59"/>
    <w:rsid w:val="00F17988"/>
    <w:rsid w:val="00F469F0"/>
    <w:rsid w:val="00F53273"/>
    <w:rsid w:val="00F6277D"/>
    <w:rsid w:val="00F755E4"/>
    <w:rsid w:val="00F77D02"/>
    <w:rsid w:val="00F8552C"/>
    <w:rsid w:val="00FB3A86"/>
    <w:rsid w:val="00FB3CED"/>
    <w:rsid w:val="00FD36C8"/>
    <w:rsid w:val="00FF466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F57E4CF"/>
  <w15:docId w15:val="{25CC3A36-69C2-4BDE-91D7-814D8192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A5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F0528-9B07-4E5D-BA79-5EAF110EB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8</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19456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31</cp:revision>
  <cp:lastPrinted>1999-07-06T11:00:00Z</cp:lastPrinted>
  <dcterms:created xsi:type="dcterms:W3CDTF">2025-09-16T02:25:00Z</dcterms:created>
  <dcterms:modified xsi:type="dcterms:W3CDTF">2025-09-18T06:50:00Z</dcterms:modified>
</cp:coreProperties>
</file>