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2D512" w14:textId="77777777" w:rsidR="00801AB4" w:rsidRDefault="00801AB4" w:rsidP="00047B2F">
      <w:pPr>
        <w:pStyle w:val="s6"/>
        <w:spacing w:before="0" w:beforeAutospacing="0" w:after="120" w:afterAutospacing="0"/>
        <w:jc w:val="center"/>
        <w:rPr>
          <w:rFonts w:eastAsiaTheme="minorEastAsia"/>
          <w:b/>
          <w:bCs/>
          <w:sz w:val="36"/>
          <w:szCs w:val="36"/>
        </w:rPr>
      </w:pPr>
      <w:r w:rsidRPr="00801AB4">
        <w:rPr>
          <w:rFonts w:eastAsiaTheme="minorEastAsia"/>
          <w:b/>
          <w:bCs/>
          <w:sz w:val="36"/>
          <w:szCs w:val="36"/>
        </w:rPr>
        <w:tab/>
        <w:t>Geochemical Barriers and Mineral Precipitation in Remediation of Contaminated Groundwater: Advances in Natural and Engineered Systems for Metal Immobilization: A Review</w:t>
      </w:r>
    </w:p>
    <w:p w14:paraId="1987C5F2" w14:textId="77777777" w:rsidR="009149D6" w:rsidRDefault="009149D6" w:rsidP="00862A1A">
      <w:pPr>
        <w:spacing w:line="360" w:lineRule="auto"/>
        <w:jc w:val="both"/>
        <w:rPr>
          <w:rFonts w:ascii="Times New Roman" w:hAnsi="Times New Roman" w:cs="Times New Roman"/>
          <w:b/>
          <w:bCs/>
          <w:sz w:val="24"/>
          <w:szCs w:val="24"/>
        </w:rPr>
      </w:pPr>
    </w:p>
    <w:p w14:paraId="5FC14A2F" w14:textId="008C182A" w:rsidR="00F578C7" w:rsidRPr="00862A1A" w:rsidRDefault="00F578C7" w:rsidP="00862A1A">
      <w:pPr>
        <w:spacing w:line="360" w:lineRule="auto"/>
        <w:jc w:val="both"/>
        <w:rPr>
          <w:rFonts w:ascii="Times New Roman" w:hAnsi="Times New Roman" w:cs="Times New Roman"/>
          <w:b/>
          <w:bCs/>
          <w:sz w:val="24"/>
          <w:szCs w:val="24"/>
        </w:rPr>
      </w:pPr>
      <w:bookmarkStart w:id="0" w:name="_GoBack"/>
      <w:bookmarkEnd w:id="0"/>
      <w:r w:rsidRPr="00862A1A">
        <w:rPr>
          <w:rFonts w:ascii="Times New Roman" w:hAnsi="Times New Roman" w:cs="Times New Roman"/>
          <w:b/>
          <w:bCs/>
          <w:sz w:val="24"/>
          <w:szCs w:val="24"/>
        </w:rPr>
        <w:t>ABSTRACT</w:t>
      </w:r>
    </w:p>
    <w:p w14:paraId="1547E749"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Groundwater across North America faces persistent contamination from metals and metalloids, largely a legacy of industrial and mining activities, (Mayes, et al., 2009). This review explores advanced strategies in geochemical barriers and mineral precipitation for immobilizing these contaminants, examining both natural and engineered approaches.</w:t>
      </w:r>
    </w:p>
    <w:p w14:paraId="028098D1"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Engineered solutions, including permeable reactive barriers (PRBs) utilizing zero-valent iron at sites like the Denver Federal Center, CO, and targeted chemical amendments such as phosphate injection for lead immobilization in Butte, MT, achieve high contaminant reduction, (</w:t>
      </w:r>
      <w:proofErr w:type="spellStart"/>
      <w:r w:rsidRPr="00862A1A">
        <w:rPr>
          <w:rFonts w:ascii="Times New Roman" w:hAnsi="Times New Roman" w:cs="Times New Roman"/>
          <w:sz w:val="24"/>
          <w:szCs w:val="24"/>
        </w:rPr>
        <w:t>Tratnyek</w:t>
      </w:r>
      <w:proofErr w:type="spellEnd"/>
      <w:r w:rsidRPr="00862A1A">
        <w:rPr>
          <w:rFonts w:ascii="Times New Roman" w:hAnsi="Times New Roman" w:cs="Times New Roman"/>
          <w:sz w:val="24"/>
          <w:szCs w:val="24"/>
        </w:rPr>
        <w:t>, 2003). However, these systems grapple with challenges like material clogging and the need to adapt to evolving regulatory standards. Emerging technologies such as nanoscale hydroxides for adsorption and biomineralization via sulfate-reducing bacteria show strong potential for improved efficiency and lower costs.</w:t>
      </w:r>
    </w:p>
    <w:p w14:paraId="52A16025" w14:textId="6D572540" w:rsidR="00F578C7" w:rsidRPr="004D46B2" w:rsidRDefault="00F578C7" w:rsidP="00862A1A">
      <w:pPr>
        <w:spacing w:line="360" w:lineRule="auto"/>
        <w:jc w:val="both"/>
        <w:rPr>
          <w:rFonts w:ascii="Times New Roman" w:hAnsi="Times New Roman" w:cs="Times New Roman"/>
          <w:sz w:val="24"/>
          <w:szCs w:val="24"/>
        </w:rPr>
      </w:pPr>
      <w:r w:rsidRPr="004D46B2">
        <w:rPr>
          <w:rFonts w:ascii="Times New Roman" w:hAnsi="Times New Roman" w:cs="Times New Roman"/>
          <w:sz w:val="24"/>
          <w:szCs w:val="24"/>
        </w:rPr>
        <w:t xml:space="preserve">Keywords: </w:t>
      </w:r>
      <w:r w:rsidR="004D46B2" w:rsidRPr="004D46B2">
        <w:rPr>
          <w:rFonts w:ascii="Times New Roman" w:hAnsi="Times New Roman" w:cs="Times New Roman"/>
          <w:sz w:val="24"/>
          <w:szCs w:val="24"/>
        </w:rPr>
        <w:t>Groundwater contamination, geochemical barriers, mineral precipitation, natural attenuation, zero-valent iron</w:t>
      </w:r>
    </w:p>
    <w:p w14:paraId="13F25385"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1. INTRODUCTION</w:t>
      </w:r>
    </w:p>
    <w:p w14:paraId="527AD441"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Groundwater, a vital natural resource, faces widespread contamination from anthropogenic activities, particularly industrial discharges and historical mining operations. The presence of dissolved metals and metalloids in groundwater poses significant risks to human health and ecological systems due to their toxicity, persistence, and potential for bioaccumulation (Edo et al., 2024; Kumar et al., 2023). Effective remediation of these contaminated aquifers is a complex undertaking, requiring a deep understanding of hydro geochemistry and the development of sustainable treatment strategies (Warner et al., 2023).</w:t>
      </w:r>
    </w:p>
    <w:p w14:paraId="1681DFB4" w14:textId="77777777" w:rsidR="00862A1A" w:rsidRDefault="00862A1A" w:rsidP="00862A1A">
      <w:pPr>
        <w:spacing w:line="360" w:lineRule="auto"/>
        <w:jc w:val="both"/>
        <w:rPr>
          <w:rFonts w:ascii="Times New Roman" w:hAnsi="Times New Roman" w:cs="Times New Roman"/>
          <w:b/>
          <w:bCs/>
          <w:sz w:val="24"/>
          <w:szCs w:val="24"/>
        </w:rPr>
      </w:pPr>
    </w:p>
    <w:p w14:paraId="4D2DB1A1" w14:textId="02872ACE"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1.1 Groundwater Contamination Landscape in North America</w:t>
      </w:r>
    </w:p>
    <w:p w14:paraId="3446E5B9" w14:textId="596DA073" w:rsidR="00F057C8" w:rsidRPr="00F057C8" w:rsidRDefault="00F057C8" w:rsidP="00862A1A">
      <w:pPr>
        <w:spacing w:line="360" w:lineRule="auto"/>
        <w:jc w:val="both"/>
        <w:rPr>
          <w:rFonts w:ascii="Times New Roman" w:hAnsi="Times New Roman" w:cs="Times New Roman"/>
          <w:sz w:val="24"/>
          <w:szCs w:val="24"/>
          <w:lang w:val="en-GB"/>
        </w:rPr>
      </w:pPr>
      <w:r w:rsidRPr="00F057C8">
        <w:rPr>
          <w:rFonts w:ascii="Times New Roman" w:hAnsi="Times New Roman" w:cs="Times New Roman"/>
          <w:sz w:val="24"/>
          <w:szCs w:val="24"/>
          <w:lang w:val="en-GB"/>
        </w:rPr>
        <w:t>Groundwater contamination remains one of the most pressing environmental challenges across North America, demanding robust and sustainable remediation strategies. In the United States, the Environmental Protection Agency (EPA) oversees thousands of hazardous waste sites under the Superfund program, reflecting the scale of historical pollution (Holifield, 2004). As of June 2024, the National Priorities List documented 1,340 active sites, with an additional 39 awaiting formal listing. These include landfills, abandoned industrial facilities, and mines</w:t>
      </w:r>
      <w:r w:rsidR="004D46B2">
        <w:rPr>
          <w:rFonts w:ascii="Times New Roman" w:hAnsi="Times New Roman" w:cs="Times New Roman"/>
          <w:sz w:val="24"/>
          <w:szCs w:val="24"/>
          <w:lang w:val="en-GB"/>
        </w:rPr>
        <w:t xml:space="preserve"> </w:t>
      </w:r>
      <w:r w:rsidRPr="00F057C8">
        <w:rPr>
          <w:rFonts w:ascii="Times New Roman" w:hAnsi="Times New Roman" w:cs="Times New Roman"/>
          <w:sz w:val="24"/>
          <w:szCs w:val="24"/>
          <w:lang w:val="en-GB"/>
        </w:rPr>
        <w:t>many burdened by heavy metal contamination resulting from past waste management practices (U.S. Environmental Protection Agency, n.d.-p).</w:t>
      </w:r>
    </w:p>
    <w:p w14:paraId="1EE7B690" w14:textId="77777777" w:rsidR="00F057C8" w:rsidRPr="00F057C8" w:rsidRDefault="00F057C8" w:rsidP="00862A1A">
      <w:pPr>
        <w:spacing w:line="360" w:lineRule="auto"/>
        <w:jc w:val="both"/>
        <w:rPr>
          <w:rFonts w:ascii="Times New Roman" w:hAnsi="Times New Roman" w:cs="Times New Roman"/>
          <w:sz w:val="24"/>
          <w:szCs w:val="24"/>
          <w:lang w:val="en-GB"/>
        </w:rPr>
      </w:pPr>
      <w:r w:rsidRPr="00F057C8">
        <w:rPr>
          <w:rFonts w:ascii="Times New Roman" w:hAnsi="Times New Roman" w:cs="Times New Roman"/>
          <w:sz w:val="24"/>
          <w:szCs w:val="24"/>
          <w:lang w:val="en-GB"/>
        </w:rPr>
        <w:t>Canada faces a parallel legacy, particularly linked to its long-standing reliance on resource extraction. Recent estimates suggest that approximately 450 abandoned mines require remediation, while broader assessments place the number of orphaned or abandoned sites closer to 10,000 (Natural Resources Canada, 2023; Natural Resources Canada, n.d.-b). Many of these sites lack comprehensive closure or management plans, prolonging their ecological and safety risks.</w:t>
      </w:r>
    </w:p>
    <w:p w14:paraId="52F30ED0" w14:textId="63EC7D13" w:rsidR="00F057C8" w:rsidRPr="00862A1A" w:rsidRDefault="00F057C8" w:rsidP="00862A1A">
      <w:pPr>
        <w:spacing w:line="360" w:lineRule="auto"/>
        <w:jc w:val="both"/>
        <w:rPr>
          <w:rFonts w:ascii="Times New Roman" w:hAnsi="Times New Roman" w:cs="Times New Roman"/>
          <w:sz w:val="24"/>
          <w:szCs w:val="24"/>
          <w:lang w:val="en-GB"/>
        </w:rPr>
      </w:pPr>
      <w:r w:rsidRPr="00F057C8">
        <w:rPr>
          <w:rFonts w:ascii="Times New Roman" w:hAnsi="Times New Roman" w:cs="Times New Roman"/>
          <w:sz w:val="24"/>
          <w:szCs w:val="24"/>
          <w:lang w:val="en-GB"/>
        </w:rPr>
        <w:t>The prevalence of such sites across both nations underscores that industrial contamination is not an isolated or temporary problem, but a systemic and persistent challenge with far-reaching consequences (Tremblay &amp; Hogan, 2016). Addressing these legacies is not only an environmental necessity but also a socio-economic imperative. In the United States, Superfund cleanups are explicitly tied to community revitalization and local economic development (U.S. Environmental Protection Agency, n.d.-p), while in Canada, remediation programs prioritize collaboration with Indigenous and Northern communities directly affected by contaminated lands (Natural Resources Canada, n.d.-a).</w:t>
      </w:r>
    </w:p>
    <w:p w14:paraId="1019D598" w14:textId="2101890A"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1.2 Fundamental Principles of Mineral Precipitation for Metal Immobilization</w:t>
      </w:r>
    </w:p>
    <w:p w14:paraId="60678287" w14:textId="5C32A18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 xml:space="preserve">Mineral precipitation stands as a cornerstone mechanism in the immobilization of dissolved metals within contaminated groundwater. This process fundamentally involves the </w:t>
      </w:r>
      <w:r w:rsidRPr="00862A1A">
        <w:rPr>
          <w:rFonts w:ascii="Times New Roman" w:hAnsi="Times New Roman" w:cs="Times New Roman"/>
          <w:sz w:val="24"/>
          <w:szCs w:val="24"/>
        </w:rPr>
        <w:lastRenderedPageBreak/>
        <w:t>transformation of soluble metal ions into insoluble mineral phases, thereby significantly reducing their mobility and bioavailability in the aqueous environment (Ortiz-Castillo et al., 2021; U.S. Environmental Protection Agency, n.d.-h). Understanding the specific geochemical conditions that favor these transformations is critical for designing and optimizing remediation strategies.</w:t>
      </w:r>
      <w:r w:rsidR="00D6432E">
        <w:rPr>
          <w:rFonts w:ascii="Times New Roman" w:hAnsi="Times New Roman" w:cs="Times New Roman"/>
          <w:sz w:val="24"/>
          <w:szCs w:val="24"/>
        </w:rPr>
        <w:t xml:space="preserve"> </w:t>
      </w:r>
      <w:r w:rsidRPr="00862A1A">
        <w:rPr>
          <w:rFonts w:ascii="Times New Roman" w:hAnsi="Times New Roman" w:cs="Times New Roman"/>
          <w:sz w:val="24"/>
          <w:szCs w:val="24"/>
        </w:rPr>
        <w:t>Three primary precipitation mechanisms are widely recognized for their role in metal immobilization:</w:t>
      </w:r>
    </w:p>
    <w:p w14:paraId="7E075F70"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b/>
          <w:bCs/>
          <w:sz w:val="24"/>
          <w:szCs w:val="24"/>
        </w:rPr>
        <w:t>Hydroxide Formation:</w:t>
      </w:r>
      <w:r w:rsidRPr="00862A1A">
        <w:rPr>
          <w:rFonts w:ascii="Times New Roman" w:hAnsi="Times New Roman" w:cs="Times New Roman"/>
          <w:sz w:val="24"/>
          <w:szCs w:val="24"/>
        </w:rPr>
        <w:t xml:space="preserve"> This mechanism relies on the alteration of groundwater pH, typically through the addition of hydroxide compounds or direct pH adjustment, to convert soluble heavy metal ions into insoluble metal hydroxides (Client's Research Brief, 2025; Ortiz-Castillo et al., 2021).</w:t>
      </w:r>
    </w:p>
    <w:p w14:paraId="7BE54930"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b/>
          <w:bCs/>
          <w:sz w:val="24"/>
          <w:szCs w:val="24"/>
        </w:rPr>
        <w:t>Carbonate Precipitation:</w:t>
      </w:r>
      <w:r w:rsidRPr="00862A1A">
        <w:rPr>
          <w:rFonts w:ascii="Times New Roman" w:hAnsi="Times New Roman" w:cs="Times New Roman"/>
          <w:sz w:val="24"/>
          <w:szCs w:val="24"/>
        </w:rPr>
        <w:t xml:space="preserve"> Carbonate precipitation involves the formation of calcium carbonate (CaCO₃) or other insoluble metal carbonates (e.g., PbCO₃, ZnCO₃) (Client's Research Brief, 2025). A significant advancement in this area is Microbial-Induced Calcium Carbonate Precipitation (MICP), a biogeochemical remediation method that leverages biological activity to drive carbonate formation (Konstantinou, &amp; Wang, 2023). </w:t>
      </w:r>
      <w:proofErr w:type="spellStart"/>
      <w:r w:rsidRPr="00862A1A">
        <w:rPr>
          <w:rFonts w:ascii="Times New Roman" w:hAnsi="Times New Roman" w:cs="Times New Roman"/>
          <w:sz w:val="24"/>
          <w:szCs w:val="24"/>
        </w:rPr>
        <w:t>Ureolytic</w:t>
      </w:r>
      <w:proofErr w:type="spellEnd"/>
      <w:r w:rsidRPr="00862A1A">
        <w:rPr>
          <w:rFonts w:ascii="Times New Roman" w:hAnsi="Times New Roman" w:cs="Times New Roman"/>
          <w:sz w:val="24"/>
          <w:szCs w:val="24"/>
        </w:rPr>
        <w:t xml:space="preserve"> bacteria can hydrolyze urea, producing CO₂, NH₃, and OH⁻, which raise alkalinity and drive carbonate precipitation.</w:t>
      </w:r>
    </w:p>
    <w:p w14:paraId="21E9F821" w14:textId="1D6BA5D1" w:rsidR="00091F58" w:rsidRPr="00091F58" w:rsidRDefault="00F578C7" w:rsidP="00091F58">
      <w:pPr>
        <w:spacing w:line="360" w:lineRule="auto"/>
        <w:jc w:val="both"/>
        <w:rPr>
          <w:rFonts w:ascii="Times New Roman" w:hAnsi="Times New Roman" w:cs="Times New Roman"/>
          <w:sz w:val="24"/>
          <w:szCs w:val="24"/>
        </w:rPr>
      </w:pPr>
      <w:r w:rsidRPr="00862A1A">
        <w:rPr>
          <w:rFonts w:ascii="Times New Roman" w:hAnsi="Times New Roman" w:cs="Times New Roman"/>
          <w:b/>
          <w:bCs/>
          <w:sz w:val="24"/>
          <w:szCs w:val="24"/>
        </w:rPr>
        <w:t>Sulfide Formation:</w:t>
      </w:r>
      <w:r w:rsidRPr="00862A1A">
        <w:rPr>
          <w:rFonts w:ascii="Times New Roman" w:hAnsi="Times New Roman" w:cs="Times New Roman"/>
          <w:sz w:val="24"/>
          <w:szCs w:val="24"/>
        </w:rPr>
        <w:t xml:space="preserve"> </w:t>
      </w:r>
      <w:r w:rsidR="00091F58" w:rsidRPr="00091F58">
        <w:rPr>
          <w:rFonts w:ascii="Times New Roman" w:hAnsi="Times New Roman" w:cs="Times New Roman"/>
          <w:sz w:val="24"/>
          <w:szCs w:val="24"/>
        </w:rPr>
        <w:t>The precipitation of sulfides, usually in reducing (anoxic) environments, results in the formation of highly insoluble metal sulfides (Client's Research Brief, 2025; Encyclopedia.pub, n.d.; Ortiz-Castillo et al., 2021; U.S. Environmental Protection Agency, n.d.-h). The sulfides are significantly less soluble compared to their corresponding hydroxides, and this facilitates effective metal removal (Encyclopedia.pub, n.d.; U.S. Environmental Protection Agency, n.d.-h; Licht, 1988; Ortiz-Castillo et al., 2021; Vidu et al., 2020). This method is also less prone to interference by chelating compounds that hinder hydroxide-based precipitation (Vidu et al., 2020).</w:t>
      </w:r>
    </w:p>
    <w:p w14:paraId="7E4509A1" w14:textId="1711907E" w:rsidR="00091F58" w:rsidRPr="00091F58" w:rsidRDefault="00091F58" w:rsidP="00091F58">
      <w:pPr>
        <w:spacing w:line="360" w:lineRule="auto"/>
        <w:jc w:val="both"/>
        <w:rPr>
          <w:rFonts w:ascii="Times New Roman" w:hAnsi="Times New Roman" w:cs="Times New Roman"/>
          <w:sz w:val="24"/>
          <w:szCs w:val="24"/>
        </w:rPr>
      </w:pPr>
      <w:r w:rsidRPr="00091F58">
        <w:rPr>
          <w:rFonts w:ascii="Times New Roman" w:hAnsi="Times New Roman" w:cs="Times New Roman"/>
          <w:sz w:val="24"/>
          <w:szCs w:val="24"/>
        </w:rPr>
        <w:t>Metal precipitation relies on environmental conditions</w:t>
      </w:r>
      <w:r w:rsidR="00D6432E">
        <w:rPr>
          <w:rFonts w:ascii="Times New Roman" w:hAnsi="Times New Roman" w:cs="Times New Roman"/>
          <w:sz w:val="24"/>
          <w:szCs w:val="24"/>
        </w:rPr>
        <w:t xml:space="preserve">, </w:t>
      </w:r>
      <w:r w:rsidRPr="00091F58">
        <w:rPr>
          <w:rFonts w:ascii="Times New Roman" w:hAnsi="Times New Roman" w:cs="Times New Roman"/>
          <w:sz w:val="24"/>
          <w:szCs w:val="24"/>
        </w:rPr>
        <w:t>pH for carbonates/hydroxides and reducing conditions for sulfides</w:t>
      </w:r>
      <w:r w:rsidR="00D6432E">
        <w:rPr>
          <w:rFonts w:ascii="Times New Roman" w:hAnsi="Times New Roman" w:cs="Times New Roman"/>
          <w:sz w:val="24"/>
          <w:szCs w:val="24"/>
        </w:rPr>
        <w:t xml:space="preserve"> </w:t>
      </w:r>
      <w:r w:rsidRPr="00091F58">
        <w:rPr>
          <w:rFonts w:ascii="Times New Roman" w:hAnsi="Times New Roman" w:cs="Times New Roman"/>
          <w:sz w:val="24"/>
          <w:szCs w:val="24"/>
        </w:rPr>
        <w:t>thus, aquifer geochemistry is key to immobilization. Eh–pH diagrams, solubility constants, and kinetics yield an estimate of feasibility (Encyclopedia.pub, n.d.; Lin et al., 2021).</w:t>
      </w:r>
      <w:r>
        <w:rPr>
          <w:rFonts w:ascii="Times New Roman" w:hAnsi="Times New Roman" w:cs="Times New Roman"/>
          <w:sz w:val="24"/>
          <w:szCs w:val="24"/>
        </w:rPr>
        <w:t xml:space="preserve"> </w:t>
      </w:r>
      <w:r w:rsidRPr="00091F58">
        <w:rPr>
          <w:rFonts w:ascii="Times New Roman" w:hAnsi="Times New Roman" w:cs="Times New Roman"/>
          <w:sz w:val="24"/>
          <w:szCs w:val="24"/>
        </w:rPr>
        <w:t xml:space="preserve">Though chemical, precipitation is increasingly </w:t>
      </w:r>
      <w:r w:rsidRPr="00091F58">
        <w:rPr>
          <w:rFonts w:ascii="Times New Roman" w:hAnsi="Times New Roman" w:cs="Times New Roman"/>
          <w:sz w:val="24"/>
          <w:szCs w:val="24"/>
        </w:rPr>
        <w:lastRenderedPageBreak/>
        <w:t xml:space="preserve">associated with biology. MICP prefers the formation of carbonate (Zhang et al., 2023), whereas SRB is central in sulfide-based immobilization (Hu et al., 2024; Xu &amp; Chen, 2020; </w:t>
      </w:r>
      <w:proofErr w:type="spellStart"/>
      <w:r w:rsidRPr="00091F58">
        <w:rPr>
          <w:rFonts w:ascii="Times New Roman" w:hAnsi="Times New Roman" w:cs="Times New Roman"/>
          <w:sz w:val="24"/>
          <w:szCs w:val="24"/>
        </w:rPr>
        <w:t>Mafane</w:t>
      </w:r>
      <w:proofErr w:type="spellEnd"/>
      <w:r w:rsidRPr="00091F58">
        <w:rPr>
          <w:rFonts w:ascii="Times New Roman" w:hAnsi="Times New Roman" w:cs="Times New Roman"/>
          <w:sz w:val="24"/>
          <w:szCs w:val="24"/>
        </w:rPr>
        <w:t xml:space="preserve"> et al., 2025).</w:t>
      </w:r>
    </w:p>
    <w:p w14:paraId="038B6BE2" w14:textId="4F25B310" w:rsidR="00F057C8" w:rsidRPr="00F057C8" w:rsidRDefault="00091F58" w:rsidP="00091F58">
      <w:pPr>
        <w:spacing w:line="360" w:lineRule="auto"/>
        <w:jc w:val="both"/>
        <w:rPr>
          <w:rFonts w:ascii="Times New Roman" w:hAnsi="Times New Roman" w:cs="Times New Roman"/>
          <w:sz w:val="24"/>
          <w:szCs w:val="24"/>
          <w:lang w:val="en-GB"/>
        </w:rPr>
      </w:pPr>
      <w:r w:rsidRPr="00091F58">
        <w:rPr>
          <w:rFonts w:ascii="Times New Roman" w:hAnsi="Times New Roman" w:cs="Times New Roman"/>
          <w:sz w:val="24"/>
          <w:szCs w:val="24"/>
        </w:rPr>
        <w:t>Remediation strategies balance natural attenuation (NA) and engineered methods. NA is cheaper and less invasive (Federal Remediation Technologies Roundtable, n.d.-a; Pradhan et al., 2020; Newell et al., 2021), yet its use with metals/radionuclides is limited by complexity (Boehm et al., 2020). Institutionalized Monitored Natural Attenuation (MNA) formalizes NA with required management (Federal Remediation Technologies Roundtable, n.d.-b; U.S. Environmental Protection Agency, n.d.-h). Engineered barriers, on the other hand, introduce reactive materials to form in-situ treatment zones (Muller et al., 2021).</w:t>
      </w:r>
    </w:p>
    <w:p w14:paraId="48E825C4"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2. NATURAL ATTENUATION SYSTEMS: HARNESSING GEOCHEMICAL PROCESSES</w:t>
      </w:r>
    </w:p>
    <w:p w14:paraId="4E77C5CF" w14:textId="610BE035" w:rsidR="00862A1A" w:rsidRPr="00091F58"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Natural attenuation (NA) systems leverage intrinsic geochemical and biological processes within an aquifer to reduce the mobility and concentration of contaminants (Federal Remediation Technologies Roundtable, n.d.-b; Newell et al., 2021; U.S. Environmental Protection Agency, n.d.-h).</w:t>
      </w:r>
    </w:p>
    <w:p w14:paraId="780A1557" w14:textId="2F5E448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2.1 Iron-Mediated Precipitation Barriers</w:t>
      </w:r>
    </w:p>
    <w:p w14:paraId="23307FF5" w14:textId="17E0F9C8" w:rsidR="00570EF6"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Iron minerals, particularly iron hydroxides and oxyhydroxides, play a crucial role in the natural attenuation of various metal and metalloid contaminants through adsorption and co-precipitation (</w:t>
      </w:r>
      <w:proofErr w:type="spellStart"/>
      <w:r w:rsidRPr="00862A1A">
        <w:rPr>
          <w:rFonts w:ascii="Times New Roman" w:hAnsi="Times New Roman" w:cs="Times New Roman"/>
          <w:sz w:val="24"/>
          <w:szCs w:val="24"/>
        </w:rPr>
        <w:t>Mashale</w:t>
      </w:r>
      <w:proofErr w:type="spellEnd"/>
      <w:r w:rsidRPr="00862A1A">
        <w:rPr>
          <w:rFonts w:ascii="Times New Roman" w:hAnsi="Times New Roman" w:cs="Times New Roman"/>
          <w:sz w:val="24"/>
          <w:szCs w:val="24"/>
        </w:rPr>
        <w:t xml:space="preserve"> et al., 2025). Their ubiquitous presence in many aquifer systems makes them natural reactive media.</w:t>
      </w:r>
    </w:p>
    <w:p w14:paraId="2D401A80"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2.1.1 Elizabeth City, NC: Arsenic Immobilization</w:t>
      </w:r>
    </w:p>
    <w:p w14:paraId="0F456596"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The Elizabeth City, North Carolina, site serves as a compelling illustration of successful, long-term natural attenuation of arsenic (As) mediated by iron. At this location, natural iron hydroxide (</w:t>
      </w:r>
      <w:proofErr w:type="gramStart"/>
      <w:r w:rsidRPr="00862A1A">
        <w:rPr>
          <w:rFonts w:ascii="Times New Roman" w:hAnsi="Times New Roman" w:cs="Times New Roman"/>
          <w:sz w:val="24"/>
          <w:szCs w:val="24"/>
        </w:rPr>
        <w:t>Fe(</w:t>
      </w:r>
      <w:proofErr w:type="gramEnd"/>
      <w:r w:rsidRPr="00862A1A">
        <w:rPr>
          <w:rFonts w:ascii="Times New Roman" w:hAnsi="Times New Roman" w:cs="Times New Roman"/>
          <w:sz w:val="24"/>
          <w:szCs w:val="24"/>
        </w:rPr>
        <w:t xml:space="preserve">OH)₃) precipitation achieved a 92% removal of arsenic from groundwater, with monitoring over a decade confirming its stability and continued </w:t>
      </w:r>
      <w:r w:rsidRPr="00862A1A">
        <w:rPr>
          <w:rFonts w:ascii="Times New Roman" w:hAnsi="Times New Roman" w:cs="Times New Roman"/>
          <w:sz w:val="24"/>
          <w:szCs w:val="24"/>
        </w:rPr>
        <w:lastRenderedPageBreak/>
        <w:t>effectiveness (Client's Research Brief, 2025; U.S. Environmental Protection Agency, n.d.-d). The Elizabeth City site has been a subject of detailed investigations by the U.S.</w:t>
      </w:r>
    </w:p>
    <w:p w14:paraId="0F536358" w14:textId="03A5F653" w:rsidR="00570EF6" w:rsidRPr="00570EF6" w:rsidRDefault="00F578C7" w:rsidP="00570EF6">
      <w:pPr>
        <w:spacing w:line="360" w:lineRule="auto"/>
        <w:jc w:val="both"/>
        <w:rPr>
          <w:rFonts w:ascii="Times New Roman" w:hAnsi="Times New Roman" w:cs="Times New Roman"/>
          <w:sz w:val="24"/>
          <w:szCs w:val="24"/>
        </w:rPr>
      </w:pPr>
      <w:r w:rsidRPr="00862A1A">
        <w:rPr>
          <w:rFonts w:ascii="Times New Roman" w:hAnsi="Times New Roman" w:cs="Times New Roman"/>
          <w:b/>
          <w:bCs/>
          <w:sz w:val="24"/>
          <w:szCs w:val="24"/>
        </w:rPr>
        <w:t>The case of Elizabeth City highlights a critical geochemical duality</w:t>
      </w:r>
      <w:r w:rsidRPr="00862A1A">
        <w:rPr>
          <w:rFonts w:ascii="Times New Roman" w:hAnsi="Times New Roman" w:cs="Times New Roman"/>
          <w:sz w:val="24"/>
          <w:szCs w:val="24"/>
        </w:rPr>
        <w:t xml:space="preserve">: </w:t>
      </w:r>
      <w:r w:rsidR="00570EF6">
        <w:rPr>
          <w:rFonts w:ascii="Times New Roman" w:hAnsi="Times New Roman" w:cs="Times New Roman"/>
          <w:sz w:val="24"/>
          <w:szCs w:val="24"/>
        </w:rPr>
        <w:t>I</w:t>
      </w:r>
      <w:r w:rsidR="00570EF6" w:rsidRPr="00570EF6">
        <w:rPr>
          <w:rFonts w:ascii="Times New Roman" w:hAnsi="Times New Roman" w:cs="Times New Roman"/>
          <w:sz w:val="24"/>
          <w:szCs w:val="24"/>
        </w:rPr>
        <w:t xml:space="preserve">ron compounds serve to be stabilizers as well as arsenic sources in groundwater. Iron hydroxides immobilize arsenic by adsorption as well as co-precipitation, with efficiencies up to 92% (Client's Research Brief, 2025). Reductive dissolution of iron oxides is a significant route for arsenic release, </w:t>
      </w:r>
      <w:r w:rsidR="00223B0B" w:rsidRPr="00570EF6">
        <w:rPr>
          <w:rFonts w:ascii="Times New Roman" w:hAnsi="Times New Roman" w:cs="Times New Roman"/>
          <w:sz w:val="24"/>
          <w:szCs w:val="24"/>
        </w:rPr>
        <w:t xml:space="preserve">however </w:t>
      </w:r>
      <w:r w:rsidR="00223B0B" w:rsidRPr="00223B0B">
        <w:rPr>
          <w:rFonts w:ascii="Times New Roman" w:hAnsi="Times New Roman" w:cs="Times New Roman"/>
          <w:sz w:val="24"/>
          <w:szCs w:val="24"/>
        </w:rPr>
        <w:t xml:space="preserve">When </w:t>
      </w:r>
      <w:proofErr w:type="gramStart"/>
      <w:r w:rsidR="00223B0B" w:rsidRPr="00223B0B">
        <w:rPr>
          <w:rFonts w:ascii="Times New Roman" w:hAnsi="Times New Roman" w:cs="Times New Roman"/>
          <w:sz w:val="24"/>
          <w:szCs w:val="24"/>
        </w:rPr>
        <w:t>Fe(</w:t>
      </w:r>
      <w:proofErr w:type="gramEnd"/>
      <w:r w:rsidR="00223B0B" w:rsidRPr="00223B0B">
        <w:rPr>
          <w:rFonts w:ascii="Times New Roman" w:hAnsi="Times New Roman" w:cs="Times New Roman"/>
          <w:sz w:val="24"/>
          <w:szCs w:val="24"/>
        </w:rPr>
        <w:t>III) oxides</w:t>
      </w:r>
      <w:r w:rsidR="00223B0B">
        <w:rPr>
          <w:rFonts w:ascii="Times New Roman" w:hAnsi="Times New Roman" w:cs="Times New Roman"/>
          <w:sz w:val="24"/>
          <w:szCs w:val="24"/>
        </w:rPr>
        <w:t xml:space="preserve">, </w:t>
      </w:r>
      <w:r w:rsidR="00223B0B" w:rsidRPr="00223B0B">
        <w:rPr>
          <w:rFonts w:ascii="Times New Roman" w:hAnsi="Times New Roman" w:cs="Times New Roman"/>
          <w:sz w:val="24"/>
          <w:szCs w:val="24"/>
        </w:rPr>
        <w:t>strong arsenic binders</w:t>
      </w:r>
      <w:r w:rsidR="00223B0B">
        <w:rPr>
          <w:rFonts w:ascii="Times New Roman" w:hAnsi="Times New Roman" w:cs="Times New Roman"/>
          <w:sz w:val="24"/>
          <w:szCs w:val="24"/>
        </w:rPr>
        <w:t xml:space="preserve"> </w:t>
      </w:r>
      <w:r w:rsidR="00223B0B" w:rsidRPr="00223B0B">
        <w:rPr>
          <w:rFonts w:ascii="Times New Roman" w:hAnsi="Times New Roman" w:cs="Times New Roman"/>
          <w:sz w:val="24"/>
          <w:szCs w:val="24"/>
        </w:rPr>
        <w:t>are microbially reduced to soluble Fe(II) in carbon-rich environments, structural changes lead to arsenic desorption and mobilization (Hassan &amp; Westerhoff, 2024).</w:t>
      </w:r>
    </w:p>
    <w:p w14:paraId="37037BCA" w14:textId="0D16EC0E" w:rsidR="00862A1A" w:rsidRPr="00091F58" w:rsidRDefault="00570EF6" w:rsidP="00570EF6">
      <w:pPr>
        <w:spacing w:line="360" w:lineRule="auto"/>
        <w:jc w:val="both"/>
        <w:rPr>
          <w:rFonts w:ascii="Times New Roman" w:hAnsi="Times New Roman" w:cs="Times New Roman"/>
          <w:sz w:val="24"/>
          <w:szCs w:val="24"/>
          <w:lang w:val="en-GB"/>
        </w:rPr>
      </w:pPr>
      <w:r w:rsidRPr="00570EF6">
        <w:rPr>
          <w:rFonts w:ascii="Times New Roman" w:hAnsi="Times New Roman" w:cs="Times New Roman"/>
          <w:sz w:val="24"/>
          <w:szCs w:val="24"/>
        </w:rPr>
        <w:t xml:space="preserve">The Elizabeth City location, which is more typically described as "natural </w:t>
      </w:r>
      <w:proofErr w:type="gramStart"/>
      <w:r w:rsidRPr="00570EF6">
        <w:rPr>
          <w:rFonts w:ascii="Times New Roman" w:hAnsi="Times New Roman" w:cs="Times New Roman"/>
          <w:sz w:val="24"/>
          <w:szCs w:val="24"/>
        </w:rPr>
        <w:t>Fe(</w:t>
      </w:r>
      <w:proofErr w:type="gramEnd"/>
      <w:r w:rsidRPr="00570EF6">
        <w:rPr>
          <w:rFonts w:ascii="Times New Roman" w:hAnsi="Times New Roman" w:cs="Times New Roman"/>
          <w:sz w:val="24"/>
          <w:szCs w:val="24"/>
        </w:rPr>
        <w:t>OH)₃ precipitation" (Client's Research Brief, 2025), illustrates this dual role. While being identified as natural attenuation, its inclusion in EPA research on long-term PRB performance suggests such processes are never unmanaged. They are typically part of larger, actively managed remediation strategies (U.S. Environmental Protection Agency, n.d.-d; U.S. Environmental Protection Agency, n.d.-e; U.S. Environmental Protection Agency, n.d.-f; Rebovich &amp; Curtis, 2020).</w:t>
      </w:r>
    </w:p>
    <w:p w14:paraId="423ECF22" w14:textId="4575106A"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2.1.2 Berkeley Pit, MT: Copper and Zinc Immobilization</w:t>
      </w:r>
    </w:p>
    <w:p w14:paraId="141A5B00" w14:textId="77777777" w:rsidR="00F057C8" w:rsidRPr="00F057C8" w:rsidRDefault="00F057C8" w:rsidP="00862A1A">
      <w:pPr>
        <w:spacing w:line="360" w:lineRule="auto"/>
        <w:jc w:val="both"/>
        <w:rPr>
          <w:rFonts w:ascii="Times New Roman" w:hAnsi="Times New Roman" w:cs="Times New Roman"/>
          <w:sz w:val="24"/>
          <w:szCs w:val="24"/>
          <w:lang w:val="en-GB"/>
        </w:rPr>
      </w:pPr>
      <w:r w:rsidRPr="00F057C8">
        <w:rPr>
          <w:rFonts w:ascii="Times New Roman" w:hAnsi="Times New Roman" w:cs="Times New Roman"/>
          <w:sz w:val="24"/>
          <w:szCs w:val="24"/>
          <w:lang w:val="en-GB"/>
        </w:rPr>
        <w:t xml:space="preserve">The Berkeley Pit in Butte, Montana, stands as one of the most complex large-scale contamination sites in North America, illustrating both the potential and limitations of natural attenuation under active management (Gammons &amp; </w:t>
      </w:r>
      <w:proofErr w:type="spellStart"/>
      <w:r w:rsidRPr="00F057C8">
        <w:rPr>
          <w:rFonts w:ascii="Times New Roman" w:hAnsi="Times New Roman" w:cs="Times New Roman"/>
          <w:sz w:val="24"/>
          <w:szCs w:val="24"/>
          <w:lang w:val="en-GB"/>
        </w:rPr>
        <w:t>Duaime</w:t>
      </w:r>
      <w:proofErr w:type="spellEnd"/>
      <w:r w:rsidRPr="00F057C8">
        <w:rPr>
          <w:rFonts w:ascii="Times New Roman" w:hAnsi="Times New Roman" w:cs="Times New Roman"/>
          <w:sz w:val="24"/>
          <w:szCs w:val="24"/>
          <w:lang w:val="en-GB"/>
        </w:rPr>
        <w:t>, 2020; Thompson &amp; Griffis, 2025). This former copper mine, now a federal Superfund site, contains an estimated 50 billion gallons of highly acidic water enriched with copper, iron, arsenic, cadmium, and zinc (NASA Earth Observatory, 2006; Jacobs et al., 2016; Sengupta, 2021).</w:t>
      </w:r>
    </w:p>
    <w:p w14:paraId="5221D49C" w14:textId="77777777" w:rsidR="00F057C8" w:rsidRPr="00F057C8" w:rsidRDefault="00F057C8" w:rsidP="00862A1A">
      <w:pPr>
        <w:spacing w:line="360" w:lineRule="auto"/>
        <w:jc w:val="both"/>
        <w:rPr>
          <w:rFonts w:ascii="Times New Roman" w:hAnsi="Times New Roman" w:cs="Times New Roman"/>
          <w:sz w:val="24"/>
          <w:szCs w:val="24"/>
          <w:lang w:val="en-GB"/>
        </w:rPr>
      </w:pPr>
      <w:r w:rsidRPr="00F057C8">
        <w:rPr>
          <w:rFonts w:ascii="Times New Roman" w:hAnsi="Times New Roman" w:cs="Times New Roman"/>
          <w:sz w:val="24"/>
          <w:szCs w:val="24"/>
          <w:lang w:val="en-GB"/>
        </w:rPr>
        <w:t>The site exemplifies how natural geochemical processes and engineered systems intersect. While the iron-rich water column supports some degree of metal immobilization, the scale and acidity of the pit demand continuous intervention. The Horseshoe Bend Water Treatment Plant plays a central role, treating pit and underground mine waters to meet strict discharge standards (U.S. Environmental Protection Agency, n.d.-b; Sengupta, 2021).</w:t>
      </w:r>
    </w:p>
    <w:p w14:paraId="76E634B1" w14:textId="77777777" w:rsidR="00F057C8" w:rsidRPr="00F057C8" w:rsidRDefault="00F057C8" w:rsidP="00862A1A">
      <w:pPr>
        <w:spacing w:line="360" w:lineRule="auto"/>
        <w:jc w:val="both"/>
        <w:rPr>
          <w:rFonts w:ascii="Times New Roman" w:hAnsi="Times New Roman" w:cs="Times New Roman"/>
          <w:sz w:val="24"/>
          <w:szCs w:val="24"/>
          <w:lang w:val="en-GB"/>
        </w:rPr>
      </w:pPr>
      <w:r w:rsidRPr="00F057C8">
        <w:rPr>
          <w:rFonts w:ascii="Times New Roman" w:hAnsi="Times New Roman" w:cs="Times New Roman"/>
          <w:sz w:val="24"/>
          <w:szCs w:val="24"/>
          <w:lang w:val="en-GB"/>
        </w:rPr>
        <w:lastRenderedPageBreak/>
        <w:t>Often described as a “terminal pit” or “sink” for heavy-metal-laden waters (NASA Earth Observatory, 2006; Thompson &amp; Griffis, 2020), the Berkeley Pit effectively contains contamination, preventing its spread to nearby aquifers and streams. However, this containment comes at the cost of perpetual accumulation: inflows of acidic, metal-rich water ensure that the pit itself remains a growing reservoir of pollutants despite active management (NASA Earth Observatory, 2006; Sengupta, 2021).</w:t>
      </w:r>
    </w:p>
    <w:p w14:paraId="6DF0D3C9"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2.2 Carbonate-Mediated Precipitation Systems</w:t>
      </w:r>
    </w:p>
    <w:p w14:paraId="4AF9C0E7"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Carbonate minerals, particularly limestone (calcium carbonate), are vital natural buffering agents in many geological settings (Comes, et al., 2024). Their dissolution can neutralize acidity and elevate pH, creating conditions favorable for the precipitation of various metal contaminants (Comes, et al., 2024; Lin et al., 2021).</w:t>
      </w:r>
    </w:p>
    <w:p w14:paraId="6A6A338F"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2.2.1 Sudbury Basin, Canada: Copper Mobility Reduction</w:t>
      </w:r>
    </w:p>
    <w:p w14:paraId="1DF31F38" w14:textId="1B48BFEB" w:rsidR="00F057C8" w:rsidRPr="00F057C8" w:rsidRDefault="00F057C8" w:rsidP="00862A1A">
      <w:pPr>
        <w:spacing w:line="360" w:lineRule="auto"/>
        <w:jc w:val="both"/>
        <w:rPr>
          <w:rFonts w:ascii="Times New Roman" w:hAnsi="Times New Roman" w:cs="Times New Roman"/>
          <w:sz w:val="24"/>
          <w:szCs w:val="24"/>
          <w:lang w:val="en-GB"/>
        </w:rPr>
      </w:pPr>
      <w:r w:rsidRPr="00F057C8">
        <w:rPr>
          <w:rFonts w:ascii="Times New Roman" w:hAnsi="Times New Roman" w:cs="Times New Roman"/>
          <w:sz w:val="24"/>
          <w:szCs w:val="24"/>
          <w:lang w:val="en-GB"/>
        </w:rPr>
        <w:t>The Sudbury Basin in Ontario, Canada, illustrates how site geology can significantly influence natural attenuation. Known for its rich nickel and copper deposits, the region benefits from underlying limestone formations that reduce copper mobility by up to 80% (Lanigan, 2023; Kellaway, 2021; Client's Research Brief, 2025). These carbonate layers, together with naturally occurring alkalinity, provide an intrinsic remediation capacity (Comes et al., 2024)</w:t>
      </w:r>
      <w:r w:rsidRPr="00862A1A">
        <w:rPr>
          <w:rFonts w:ascii="Times New Roman" w:hAnsi="Times New Roman" w:cs="Times New Roman"/>
          <w:sz w:val="24"/>
          <w:szCs w:val="24"/>
          <w:lang w:val="en-GB"/>
        </w:rPr>
        <w:t>.</w:t>
      </w:r>
    </w:p>
    <w:p w14:paraId="273F2AA0" w14:textId="50F74DD9" w:rsidR="00F578C7" w:rsidRPr="00862A1A" w:rsidRDefault="00F057C8" w:rsidP="00862A1A">
      <w:pPr>
        <w:spacing w:line="360" w:lineRule="auto"/>
        <w:jc w:val="both"/>
        <w:rPr>
          <w:rFonts w:ascii="Times New Roman" w:hAnsi="Times New Roman" w:cs="Times New Roman"/>
          <w:sz w:val="24"/>
          <w:szCs w:val="24"/>
          <w:lang w:val="en-GB"/>
        </w:rPr>
      </w:pPr>
      <w:r w:rsidRPr="00F057C8">
        <w:rPr>
          <w:rFonts w:ascii="Times New Roman" w:hAnsi="Times New Roman" w:cs="Times New Roman"/>
          <w:sz w:val="24"/>
          <w:szCs w:val="24"/>
          <w:lang w:val="en-GB"/>
        </w:rPr>
        <w:t xml:space="preserve">This success highlights the critical role of pH as a master control on metal solubility. In Sudbury, groundwater pH is maintained within the 6.5–7.5 range, </w:t>
      </w:r>
      <w:proofErr w:type="spellStart"/>
      <w:r w:rsidRPr="00F057C8">
        <w:rPr>
          <w:rFonts w:ascii="Times New Roman" w:hAnsi="Times New Roman" w:cs="Times New Roman"/>
          <w:sz w:val="24"/>
          <w:szCs w:val="24"/>
          <w:lang w:val="en-GB"/>
        </w:rPr>
        <w:t>favoring</w:t>
      </w:r>
      <w:proofErr w:type="spellEnd"/>
      <w:r w:rsidRPr="00F057C8">
        <w:rPr>
          <w:rFonts w:ascii="Times New Roman" w:hAnsi="Times New Roman" w:cs="Times New Roman"/>
          <w:sz w:val="24"/>
          <w:szCs w:val="24"/>
          <w:lang w:val="en-GB"/>
        </w:rPr>
        <w:t xml:space="preserve"> the precipitation of insoluble hydroxides, carbonates, and oxyhydroxides, and thereby limiting copper transport (Client's Research Brief, 2025; Lin et al., 2021). Such examples underscore how </w:t>
      </w:r>
      <w:proofErr w:type="spellStart"/>
      <w:r w:rsidRPr="00F057C8">
        <w:rPr>
          <w:rFonts w:ascii="Times New Roman" w:hAnsi="Times New Roman" w:cs="Times New Roman"/>
          <w:sz w:val="24"/>
          <w:szCs w:val="24"/>
          <w:lang w:val="en-GB"/>
        </w:rPr>
        <w:t>favorable</w:t>
      </w:r>
      <w:proofErr w:type="spellEnd"/>
      <w:r w:rsidRPr="00F057C8">
        <w:rPr>
          <w:rFonts w:ascii="Times New Roman" w:hAnsi="Times New Roman" w:cs="Times New Roman"/>
          <w:sz w:val="24"/>
          <w:szCs w:val="24"/>
          <w:lang w:val="en-GB"/>
        </w:rPr>
        <w:t xml:space="preserve"> geological settings can act as powerful natural assets in long-term groundwater remediation.</w:t>
      </w:r>
    </w:p>
    <w:p w14:paraId="538BC56A" w14:textId="734E8B33"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2.2.2 Faro Mine, YK: Cadmium and Lead Remediation</w:t>
      </w:r>
    </w:p>
    <w:p w14:paraId="54AFF4B2" w14:textId="77777777" w:rsidR="00D214E7" w:rsidRPr="00D214E7" w:rsidRDefault="00D214E7" w:rsidP="00862A1A">
      <w:pPr>
        <w:spacing w:line="360" w:lineRule="auto"/>
        <w:jc w:val="both"/>
        <w:rPr>
          <w:rFonts w:ascii="Times New Roman" w:hAnsi="Times New Roman" w:cs="Times New Roman"/>
          <w:sz w:val="24"/>
          <w:szCs w:val="24"/>
          <w:lang w:val="en-GB"/>
        </w:rPr>
      </w:pPr>
      <w:r w:rsidRPr="00D214E7">
        <w:rPr>
          <w:rFonts w:ascii="Times New Roman" w:hAnsi="Times New Roman" w:cs="Times New Roman"/>
          <w:sz w:val="24"/>
          <w:szCs w:val="24"/>
          <w:lang w:val="en-GB"/>
        </w:rPr>
        <w:t xml:space="preserve">The Faro Mine in Yukon, once the world’s largest open-pit lead-zinc operation, exemplifies the scale and complexity of long-term remediation. While natural carbonate processes contribute to reducing cadmium and lead mobility, the site remains one of </w:t>
      </w:r>
      <w:r w:rsidRPr="00D214E7">
        <w:rPr>
          <w:rFonts w:ascii="Times New Roman" w:hAnsi="Times New Roman" w:cs="Times New Roman"/>
          <w:sz w:val="24"/>
          <w:szCs w:val="24"/>
          <w:lang w:val="en-GB"/>
        </w:rPr>
        <w:lastRenderedPageBreak/>
        <w:t>Canada’s most challenging environmental legacies (Client's Research Brief, 2025; Rainey, 2019).</w:t>
      </w:r>
    </w:p>
    <w:p w14:paraId="7D4B2BB3" w14:textId="77777777" w:rsidR="00D214E7" w:rsidRPr="00D214E7" w:rsidRDefault="00D214E7" w:rsidP="00862A1A">
      <w:pPr>
        <w:spacing w:line="360" w:lineRule="auto"/>
        <w:jc w:val="both"/>
        <w:rPr>
          <w:rFonts w:ascii="Times New Roman" w:hAnsi="Times New Roman" w:cs="Times New Roman"/>
          <w:sz w:val="24"/>
          <w:szCs w:val="24"/>
          <w:lang w:val="en-GB"/>
        </w:rPr>
      </w:pPr>
      <w:r w:rsidRPr="00D214E7">
        <w:rPr>
          <w:rFonts w:ascii="Times New Roman" w:hAnsi="Times New Roman" w:cs="Times New Roman"/>
          <w:sz w:val="24"/>
          <w:szCs w:val="24"/>
          <w:lang w:val="en-GB"/>
        </w:rPr>
        <w:t>The Faro Mine Remediation Project is projected to span well over a century, requiring continuous monitoring and adaptive management to address evolving site conditions (Changing Climate, n.d.; Wiebe et al., 2024). Reported timelines of “8–12 years” reflect the duration of specific interventions or monitoring phases rather than overall site stabilization, which is expected to demand multi-generational commitment (Client's Research Brief, 2025).</w:t>
      </w:r>
    </w:p>
    <w:p w14:paraId="47D86677" w14:textId="77777777" w:rsidR="00D214E7" w:rsidRPr="00D214E7" w:rsidRDefault="00D214E7" w:rsidP="00862A1A">
      <w:pPr>
        <w:spacing w:line="360" w:lineRule="auto"/>
        <w:jc w:val="both"/>
        <w:rPr>
          <w:rFonts w:ascii="Times New Roman" w:hAnsi="Times New Roman" w:cs="Times New Roman"/>
          <w:sz w:val="24"/>
          <w:szCs w:val="24"/>
          <w:lang w:val="en-GB"/>
        </w:rPr>
      </w:pPr>
      <w:r w:rsidRPr="00D214E7">
        <w:rPr>
          <w:rFonts w:ascii="Times New Roman" w:hAnsi="Times New Roman" w:cs="Times New Roman"/>
          <w:sz w:val="24"/>
          <w:szCs w:val="24"/>
          <w:lang w:val="en-GB"/>
        </w:rPr>
        <w:t>Climate change further complicates remediation. Increased precipitation, spring runoff, and accelerated permafrost melt threaten to alter hydrological pathways, intensify contaminant leaching, and undermine the natural buffering capacity of carbonate minerals (Changing Climate, n.d.). These factors reinforce the need for adaptive, climate-responsive management strategies.</w:t>
      </w:r>
    </w:p>
    <w:p w14:paraId="70957CEF" w14:textId="31E6C20E" w:rsidR="00047B2F"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The following table summarizes key North American case studies demonstrating the effectiveness of natural mineral barriers in groundwater remediation.</w:t>
      </w:r>
    </w:p>
    <w:p w14:paraId="65A3D4F2" w14:textId="77777777" w:rsidR="00F867C9" w:rsidRPr="00862A1A" w:rsidRDefault="00F867C9" w:rsidP="00F867C9">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Table 1: Comparison of Natural Mineral Barriers</w:t>
      </w:r>
    </w:p>
    <w:p w14:paraId="1EE67350" w14:textId="77777777" w:rsidR="00F867C9" w:rsidRPr="00862A1A" w:rsidRDefault="00F867C9" w:rsidP="00862A1A">
      <w:pPr>
        <w:spacing w:line="360" w:lineRule="auto"/>
        <w:jc w:val="both"/>
        <w:rPr>
          <w:rFonts w:ascii="Times New Roman" w:hAnsi="Times New Roman" w:cs="Times New Roman"/>
          <w:sz w:val="24"/>
          <w:szCs w:val="24"/>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710"/>
        <w:gridCol w:w="1370"/>
        <w:gridCol w:w="2068"/>
        <w:gridCol w:w="2410"/>
      </w:tblGrid>
      <w:tr w:rsidR="00F578C7" w:rsidRPr="00862A1A" w14:paraId="143CADD9" w14:textId="77777777" w:rsidTr="003A29F2">
        <w:tc>
          <w:tcPr>
            <w:tcW w:w="1458" w:type="dxa"/>
          </w:tcPr>
          <w:p w14:paraId="32AAE0B0"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Site</w:t>
            </w:r>
          </w:p>
        </w:tc>
        <w:tc>
          <w:tcPr>
            <w:tcW w:w="1710" w:type="dxa"/>
          </w:tcPr>
          <w:p w14:paraId="607A92CE"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Contaminant(s)</w:t>
            </w:r>
          </w:p>
        </w:tc>
        <w:tc>
          <w:tcPr>
            <w:tcW w:w="1370" w:type="dxa"/>
          </w:tcPr>
          <w:p w14:paraId="595EE4FE"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Mineral Phase</w:t>
            </w:r>
          </w:p>
        </w:tc>
        <w:tc>
          <w:tcPr>
            <w:tcW w:w="2068" w:type="dxa"/>
          </w:tcPr>
          <w:p w14:paraId="2883BD4A"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Efficiency</w:t>
            </w:r>
          </w:p>
        </w:tc>
        <w:tc>
          <w:tcPr>
            <w:tcW w:w="2410" w:type="dxa"/>
          </w:tcPr>
          <w:p w14:paraId="610191A1"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Longevity</w:t>
            </w:r>
          </w:p>
        </w:tc>
      </w:tr>
      <w:tr w:rsidR="00F578C7" w:rsidRPr="00862A1A" w14:paraId="0EAB56C8" w14:textId="77777777" w:rsidTr="003A29F2">
        <w:tc>
          <w:tcPr>
            <w:tcW w:w="1458" w:type="dxa"/>
          </w:tcPr>
          <w:p w14:paraId="76E627EF"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Elizabeth City, NC</w:t>
            </w:r>
          </w:p>
        </w:tc>
        <w:tc>
          <w:tcPr>
            <w:tcW w:w="1710" w:type="dxa"/>
          </w:tcPr>
          <w:p w14:paraId="7696EE50"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As</w:t>
            </w:r>
          </w:p>
        </w:tc>
        <w:tc>
          <w:tcPr>
            <w:tcW w:w="1370" w:type="dxa"/>
          </w:tcPr>
          <w:p w14:paraId="174161E2"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proofErr w:type="gramStart"/>
            <w:r w:rsidRPr="00862A1A">
              <w:rPr>
                <w:rFonts w:ascii="Times New Roman" w:eastAsia="Times New Roman" w:hAnsi="Times New Roman" w:cs="Times New Roman"/>
                <w:sz w:val="24"/>
                <w:szCs w:val="24"/>
                <w:highlight w:val="white"/>
              </w:rPr>
              <w:t>Fe(</w:t>
            </w:r>
            <w:proofErr w:type="gramEnd"/>
            <w:r w:rsidRPr="00862A1A">
              <w:rPr>
                <w:rFonts w:ascii="Times New Roman" w:eastAsia="Times New Roman" w:hAnsi="Times New Roman" w:cs="Times New Roman"/>
                <w:sz w:val="24"/>
                <w:szCs w:val="24"/>
                <w:highlight w:val="white"/>
              </w:rPr>
              <w:t>OH)₃</w:t>
            </w:r>
          </w:p>
        </w:tc>
        <w:tc>
          <w:tcPr>
            <w:tcW w:w="2068" w:type="dxa"/>
          </w:tcPr>
          <w:p w14:paraId="4254E774"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92% removal (Client's Research Brief, 2025)</w:t>
            </w:r>
          </w:p>
        </w:tc>
        <w:tc>
          <w:tcPr>
            <w:tcW w:w="2410" w:type="dxa"/>
          </w:tcPr>
          <w:p w14:paraId="4E402A80"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10+ yrs (Client's Research Brief, 2025)</w:t>
            </w:r>
          </w:p>
        </w:tc>
      </w:tr>
      <w:tr w:rsidR="00F578C7" w:rsidRPr="00862A1A" w14:paraId="662B481B" w14:textId="77777777" w:rsidTr="003A29F2">
        <w:tc>
          <w:tcPr>
            <w:tcW w:w="1458" w:type="dxa"/>
          </w:tcPr>
          <w:p w14:paraId="5E2CE7CF"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Berkeley Pit, MT</w:t>
            </w:r>
          </w:p>
        </w:tc>
        <w:tc>
          <w:tcPr>
            <w:tcW w:w="1710" w:type="dxa"/>
          </w:tcPr>
          <w:p w14:paraId="7BC5D007"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Cu/Zn</w:t>
            </w:r>
          </w:p>
        </w:tc>
        <w:tc>
          <w:tcPr>
            <w:tcW w:w="1370" w:type="dxa"/>
          </w:tcPr>
          <w:p w14:paraId="6ECAA8F5"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proofErr w:type="spellStart"/>
            <w:r w:rsidRPr="00862A1A">
              <w:rPr>
                <w:rFonts w:ascii="Times New Roman" w:eastAsia="Times New Roman" w:hAnsi="Times New Roman" w:cs="Times New Roman"/>
                <w:sz w:val="24"/>
                <w:szCs w:val="24"/>
                <w:highlight w:val="white"/>
              </w:rPr>
              <w:t>FeOOH</w:t>
            </w:r>
            <w:proofErr w:type="spellEnd"/>
          </w:p>
        </w:tc>
        <w:tc>
          <w:tcPr>
            <w:tcW w:w="2068" w:type="dxa"/>
          </w:tcPr>
          <w:p w14:paraId="6FC0A820"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75-90% (Client's Research Brief, 2025)</w:t>
            </w:r>
          </w:p>
        </w:tc>
        <w:tc>
          <w:tcPr>
            <w:tcW w:w="2410" w:type="dxa"/>
          </w:tcPr>
          <w:p w14:paraId="4CFECDD5"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15+ yrs (Client's Research Brief, 2025)</w:t>
            </w:r>
          </w:p>
        </w:tc>
      </w:tr>
      <w:tr w:rsidR="00F578C7" w:rsidRPr="00862A1A" w14:paraId="3264B041" w14:textId="77777777" w:rsidTr="003A29F2">
        <w:tc>
          <w:tcPr>
            <w:tcW w:w="1458" w:type="dxa"/>
          </w:tcPr>
          <w:p w14:paraId="257A2AF2"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lastRenderedPageBreak/>
              <w:t>Sudbury Basin, Canada</w:t>
            </w:r>
          </w:p>
        </w:tc>
        <w:tc>
          <w:tcPr>
            <w:tcW w:w="1710" w:type="dxa"/>
          </w:tcPr>
          <w:p w14:paraId="5ACE5869"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Cu</w:t>
            </w:r>
          </w:p>
        </w:tc>
        <w:tc>
          <w:tcPr>
            <w:tcW w:w="1370" w:type="dxa"/>
          </w:tcPr>
          <w:p w14:paraId="39228D76"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Limestone</w:t>
            </w:r>
          </w:p>
        </w:tc>
        <w:tc>
          <w:tcPr>
            <w:tcW w:w="2068" w:type="dxa"/>
          </w:tcPr>
          <w:p w14:paraId="7D99AF1F"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80% reduction (Client's Research Brief, 2025)</w:t>
            </w:r>
          </w:p>
        </w:tc>
        <w:tc>
          <w:tcPr>
            <w:tcW w:w="2410" w:type="dxa"/>
          </w:tcPr>
          <w:p w14:paraId="0BE02E81"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pH buffering to 6.5-7.5 range (Client's Research Brief, 2025)</w:t>
            </w:r>
          </w:p>
        </w:tc>
      </w:tr>
      <w:tr w:rsidR="00F578C7" w:rsidRPr="00862A1A" w14:paraId="47FF6DDA" w14:textId="77777777" w:rsidTr="003A29F2">
        <w:tc>
          <w:tcPr>
            <w:tcW w:w="1458" w:type="dxa"/>
          </w:tcPr>
          <w:p w14:paraId="5BCA7997"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Faro Mine, YK</w:t>
            </w:r>
          </w:p>
        </w:tc>
        <w:tc>
          <w:tcPr>
            <w:tcW w:w="1710" w:type="dxa"/>
          </w:tcPr>
          <w:p w14:paraId="01A776BE"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Cd/Pb</w:t>
            </w:r>
          </w:p>
        </w:tc>
        <w:tc>
          <w:tcPr>
            <w:tcW w:w="1370" w:type="dxa"/>
          </w:tcPr>
          <w:p w14:paraId="1083052F"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Carbonates</w:t>
            </w:r>
          </w:p>
        </w:tc>
        <w:tc>
          <w:tcPr>
            <w:tcW w:w="2068" w:type="dxa"/>
          </w:tcPr>
          <w:p w14:paraId="0D6A8B5C"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60-85% (Client's Research Brief, 2025)</w:t>
            </w:r>
          </w:p>
        </w:tc>
        <w:tc>
          <w:tcPr>
            <w:tcW w:w="2410" w:type="dxa"/>
          </w:tcPr>
          <w:p w14:paraId="4B70F8A3" w14:textId="77777777" w:rsidR="00F578C7" w:rsidRPr="00862A1A" w:rsidRDefault="00F578C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8-12 yrs (Client's Research Brief, 2025)</w:t>
            </w:r>
          </w:p>
        </w:tc>
      </w:tr>
    </w:tbl>
    <w:p w14:paraId="0CCDA348" w14:textId="77777777" w:rsidR="00F578C7" w:rsidRPr="00862A1A" w:rsidRDefault="00F578C7" w:rsidP="00862A1A">
      <w:pPr>
        <w:spacing w:line="360" w:lineRule="auto"/>
        <w:jc w:val="both"/>
        <w:rPr>
          <w:rFonts w:ascii="Times New Roman" w:hAnsi="Times New Roman" w:cs="Times New Roman"/>
          <w:sz w:val="24"/>
          <w:szCs w:val="24"/>
        </w:rPr>
      </w:pPr>
    </w:p>
    <w:p w14:paraId="47FDA7E5"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3. ENGINEERED PRECIPITATION SYSTEMS: TARGETED REMEDIATION SOLUTIONS</w:t>
      </w:r>
    </w:p>
    <w:p w14:paraId="691ED282"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 xml:space="preserve">Engineered precipitation systems represent a proactive approach to groundwater remediation, involving the deliberate introduction of reactive materials or chemical amendments into the subsurface to induce metal immobilization (Muller, et </w:t>
      </w:r>
      <w:proofErr w:type="gramStart"/>
      <w:r w:rsidRPr="00862A1A">
        <w:rPr>
          <w:rFonts w:ascii="Times New Roman" w:hAnsi="Times New Roman" w:cs="Times New Roman"/>
          <w:sz w:val="24"/>
          <w:szCs w:val="24"/>
        </w:rPr>
        <w:t>al,.</w:t>
      </w:r>
      <w:proofErr w:type="gramEnd"/>
      <w:r w:rsidRPr="00862A1A">
        <w:rPr>
          <w:rFonts w:ascii="Times New Roman" w:hAnsi="Times New Roman" w:cs="Times New Roman"/>
          <w:sz w:val="24"/>
          <w:szCs w:val="24"/>
        </w:rPr>
        <w:t xml:space="preserve"> 2021; U.S. Environmental Protection Agency, n.d.-c).</w:t>
      </w:r>
    </w:p>
    <w:p w14:paraId="5E7EA8A8"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3.1 Permeable Reactive Barriers (PRBs)</w:t>
      </w:r>
    </w:p>
    <w:p w14:paraId="40B6C9BD" w14:textId="6BAB5199" w:rsidR="00D214E7" w:rsidRPr="00862A1A" w:rsidRDefault="00D214E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Permeable Reactive Barriers (PRBs) represent a well-established and increasingly applied in situ technology for groundwater remediation (Federal Remediation Technologies Roundtable, n.d.-c; Muller et al., 2021). They function as subsurface treatment zones</w:t>
      </w:r>
      <w:r w:rsidR="009348E0">
        <w:rPr>
          <w:rFonts w:ascii="Times New Roman" w:hAnsi="Times New Roman" w:cs="Times New Roman"/>
          <w:sz w:val="24"/>
          <w:szCs w:val="24"/>
        </w:rPr>
        <w:t xml:space="preserve"> </w:t>
      </w:r>
      <w:r w:rsidRPr="00862A1A">
        <w:rPr>
          <w:rFonts w:ascii="Times New Roman" w:hAnsi="Times New Roman" w:cs="Times New Roman"/>
          <w:sz w:val="24"/>
          <w:szCs w:val="24"/>
        </w:rPr>
        <w:t>often constructed as trenches or networks of injection points</w:t>
      </w:r>
      <w:r w:rsidR="009348E0">
        <w:rPr>
          <w:rFonts w:ascii="Times New Roman" w:hAnsi="Times New Roman" w:cs="Times New Roman"/>
          <w:sz w:val="24"/>
          <w:szCs w:val="24"/>
        </w:rPr>
        <w:t xml:space="preserve"> </w:t>
      </w:r>
      <w:r w:rsidRPr="00862A1A">
        <w:rPr>
          <w:rFonts w:ascii="Times New Roman" w:hAnsi="Times New Roman" w:cs="Times New Roman"/>
          <w:sz w:val="24"/>
          <w:szCs w:val="24"/>
        </w:rPr>
        <w:t>filled with reactive or adsorptive materials and positioned across the flow path of contaminated plumes. As groundwater moves passively through these barriers under natural hydraulic gradients, contaminants are removed or transformed through physical, chemical, or biological reactions within the reactive medium (Federal Remediation Technologies Roundtable, n.d.-c; Muller et al., 2021).</w:t>
      </w:r>
    </w:p>
    <w:p w14:paraId="2892F03A" w14:textId="31C07E3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3.2. Denver Federal Center, CO: Chromium (VI) Reduction</w:t>
      </w:r>
    </w:p>
    <w:p w14:paraId="572E1F4F" w14:textId="367A64CC" w:rsidR="003B31B8" w:rsidRPr="003B31B8" w:rsidRDefault="003B31B8" w:rsidP="003B31B8">
      <w:pPr>
        <w:spacing w:line="360" w:lineRule="auto"/>
        <w:jc w:val="both"/>
        <w:rPr>
          <w:rFonts w:ascii="Times New Roman" w:hAnsi="Times New Roman" w:cs="Times New Roman"/>
          <w:sz w:val="24"/>
          <w:szCs w:val="24"/>
          <w:lang w:val="en-GB"/>
        </w:rPr>
      </w:pPr>
      <w:r w:rsidRPr="003B31B8">
        <w:rPr>
          <w:rFonts w:ascii="Times New Roman" w:hAnsi="Times New Roman" w:cs="Times New Roman"/>
          <w:sz w:val="24"/>
          <w:szCs w:val="24"/>
          <w:lang w:val="en-GB"/>
        </w:rPr>
        <w:t xml:space="preserve">The Denver Federal </w:t>
      </w:r>
      <w:proofErr w:type="spellStart"/>
      <w:r w:rsidRPr="003B31B8">
        <w:rPr>
          <w:rFonts w:ascii="Times New Roman" w:hAnsi="Times New Roman" w:cs="Times New Roman"/>
          <w:sz w:val="24"/>
          <w:szCs w:val="24"/>
          <w:lang w:val="en-GB"/>
        </w:rPr>
        <w:t>Center</w:t>
      </w:r>
      <w:proofErr w:type="spellEnd"/>
      <w:r w:rsidRPr="003B31B8">
        <w:rPr>
          <w:rFonts w:ascii="Times New Roman" w:hAnsi="Times New Roman" w:cs="Times New Roman"/>
          <w:sz w:val="24"/>
          <w:szCs w:val="24"/>
          <w:lang w:val="en-GB"/>
        </w:rPr>
        <w:t xml:space="preserve"> in Lakewood, Colorado, is a flagship case of successful application of zero-valent iron (ZVI) permeable reactive barrier (PRB) for the remediation of metals. The PRB was put in place to treat a hexavalent chromium (</w:t>
      </w:r>
      <w:proofErr w:type="gramStart"/>
      <w:r w:rsidRPr="003B31B8">
        <w:rPr>
          <w:rFonts w:ascii="Times New Roman" w:hAnsi="Times New Roman" w:cs="Times New Roman"/>
          <w:sz w:val="24"/>
          <w:szCs w:val="24"/>
          <w:lang w:val="en-GB"/>
        </w:rPr>
        <w:t>Cr(</w:t>
      </w:r>
      <w:proofErr w:type="gramEnd"/>
      <w:r w:rsidRPr="003B31B8">
        <w:rPr>
          <w:rFonts w:ascii="Times New Roman" w:hAnsi="Times New Roman" w:cs="Times New Roman"/>
          <w:sz w:val="24"/>
          <w:szCs w:val="24"/>
          <w:lang w:val="en-GB"/>
        </w:rPr>
        <w:t xml:space="preserve">VI)) plume and </w:t>
      </w:r>
      <w:r w:rsidRPr="003B31B8">
        <w:rPr>
          <w:rFonts w:ascii="Times New Roman" w:hAnsi="Times New Roman" w:cs="Times New Roman"/>
          <w:sz w:val="24"/>
          <w:szCs w:val="24"/>
          <w:lang w:val="en-GB"/>
        </w:rPr>
        <w:lastRenderedPageBreak/>
        <w:t>resulted in 99% elimination of Cr(VI) by stimulating redox processes that transform dissolved Cr(VI) into insoluble Cr(III) hydroxides, which precipitate (Client's Research Brief, 2025; Muller et al., 2021).</w:t>
      </w:r>
    </w:p>
    <w:p w14:paraId="3EBD2205" w14:textId="0F86BE28" w:rsidR="003B31B8" w:rsidRPr="003B31B8" w:rsidRDefault="003B31B8" w:rsidP="003B31B8">
      <w:pPr>
        <w:spacing w:line="360" w:lineRule="auto"/>
        <w:jc w:val="both"/>
        <w:rPr>
          <w:rFonts w:ascii="Times New Roman" w:hAnsi="Times New Roman" w:cs="Times New Roman"/>
          <w:sz w:val="24"/>
          <w:szCs w:val="24"/>
          <w:lang w:val="en-GB"/>
        </w:rPr>
      </w:pPr>
      <w:r w:rsidRPr="003B31B8">
        <w:rPr>
          <w:rFonts w:ascii="Times New Roman" w:hAnsi="Times New Roman" w:cs="Times New Roman"/>
          <w:sz w:val="24"/>
          <w:szCs w:val="24"/>
          <w:lang w:val="en-GB"/>
        </w:rPr>
        <w:t>Despite this success, the case also demonstrates a significant limitation: corrosion by-product precipitation, and microbial growth will ultimately block the barrier matrix</w:t>
      </w:r>
      <w:r w:rsidR="009348E0">
        <w:rPr>
          <w:rFonts w:ascii="Times New Roman" w:hAnsi="Times New Roman" w:cs="Times New Roman"/>
          <w:sz w:val="24"/>
          <w:szCs w:val="24"/>
          <w:lang w:val="en-GB"/>
        </w:rPr>
        <w:t xml:space="preserve"> </w:t>
      </w:r>
      <w:r w:rsidRPr="003B31B8">
        <w:rPr>
          <w:rFonts w:ascii="Times New Roman" w:hAnsi="Times New Roman" w:cs="Times New Roman"/>
          <w:sz w:val="24"/>
          <w:szCs w:val="24"/>
          <w:lang w:val="en-GB"/>
        </w:rPr>
        <w:t>pore occlusion</w:t>
      </w:r>
      <w:r w:rsidR="009348E0">
        <w:rPr>
          <w:rFonts w:ascii="Times New Roman" w:hAnsi="Times New Roman" w:cs="Times New Roman"/>
          <w:sz w:val="24"/>
          <w:szCs w:val="24"/>
          <w:lang w:val="en-GB"/>
        </w:rPr>
        <w:t xml:space="preserve"> </w:t>
      </w:r>
      <w:r w:rsidRPr="003B31B8">
        <w:rPr>
          <w:rFonts w:ascii="Times New Roman" w:hAnsi="Times New Roman" w:cs="Times New Roman"/>
          <w:sz w:val="24"/>
          <w:szCs w:val="24"/>
          <w:lang w:val="en-GB"/>
        </w:rPr>
        <w:t xml:space="preserve">a process that reduces its reactivity and permeability (U.S. Environmental Protection Agency, n.d.-d; Rebovich &amp; Curtis, 2020). Long-term monitoring at Denver and sites like Elizabeth City confirms that PRBs are dynamic biogeochemical systems, and not static reactors, with </w:t>
      </w:r>
      <w:proofErr w:type="spellStart"/>
      <w:r w:rsidRPr="003B31B8">
        <w:rPr>
          <w:rFonts w:ascii="Times New Roman" w:hAnsi="Times New Roman" w:cs="Times New Roman"/>
          <w:sz w:val="24"/>
          <w:szCs w:val="24"/>
          <w:lang w:val="en-GB"/>
        </w:rPr>
        <w:t>behavior</w:t>
      </w:r>
      <w:proofErr w:type="spellEnd"/>
      <w:r w:rsidRPr="003B31B8">
        <w:rPr>
          <w:rFonts w:ascii="Times New Roman" w:hAnsi="Times New Roman" w:cs="Times New Roman"/>
          <w:sz w:val="24"/>
          <w:szCs w:val="24"/>
          <w:lang w:val="en-GB"/>
        </w:rPr>
        <w:t xml:space="preserve"> controlled by fluctuating mineral precipitation and microbial activities (U.S. Environmental Protection Agency, n.d.-d; U.S. Environmental Protection Agency, n.d.-e; U.S. Environmental Protection Agency, n.d.-f; Rebovich &amp; Curtis, 2020).</w:t>
      </w:r>
    </w:p>
    <w:p w14:paraId="247A54B8" w14:textId="77777777" w:rsidR="009348E0" w:rsidRDefault="003B31B8" w:rsidP="003B31B8">
      <w:pPr>
        <w:spacing w:line="360" w:lineRule="auto"/>
        <w:jc w:val="both"/>
        <w:rPr>
          <w:rFonts w:ascii="Times New Roman" w:hAnsi="Times New Roman" w:cs="Times New Roman"/>
          <w:sz w:val="24"/>
          <w:szCs w:val="24"/>
          <w:lang w:val="en-GB"/>
        </w:rPr>
      </w:pPr>
      <w:r w:rsidRPr="003B31B8">
        <w:rPr>
          <w:rFonts w:ascii="Times New Roman" w:hAnsi="Times New Roman" w:cs="Times New Roman"/>
          <w:sz w:val="24"/>
          <w:szCs w:val="24"/>
          <w:lang w:val="en-GB"/>
        </w:rPr>
        <w:t>Although they are expected to last 10–30 years, PRB performance is indeterminate due to the impact of the local hydrogeology, groundwater chemistry, and secondary precipitation of minerals (Muller et al., 2021; U.S. Environmental Protection Agency, n.d.-f).</w:t>
      </w:r>
    </w:p>
    <w:p w14:paraId="76BFEF08" w14:textId="0410E107" w:rsidR="00F578C7" w:rsidRPr="00862A1A" w:rsidRDefault="00F578C7" w:rsidP="003B31B8">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3.3. Chemical Amendment Techniques</w:t>
      </w:r>
    </w:p>
    <w:p w14:paraId="3C41EC1C"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Chemical amendment techniques involve the direct injection or application of chemical reagents into contaminated groundwater or soil to promote the precipitation and immobilization of target metal contaminants (Derakhshan Nejad et al., 2018). This approach offers precise control over the chemical reactions and can be highly effective for specific contaminants (Derakhshan Nejad et al., 2018).</w:t>
      </w:r>
    </w:p>
    <w:p w14:paraId="480BCA42"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3.4 Butte, MT: Lead Immobilization</w:t>
      </w:r>
    </w:p>
    <w:p w14:paraId="59A2DE1D" w14:textId="4DE015E1" w:rsidR="00B45798" w:rsidRPr="00B45798" w:rsidRDefault="00B45798" w:rsidP="00B45798">
      <w:pPr>
        <w:spacing w:line="360" w:lineRule="auto"/>
        <w:jc w:val="both"/>
        <w:rPr>
          <w:rFonts w:ascii="Times New Roman" w:hAnsi="Times New Roman" w:cs="Times New Roman"/>
          <w:sz w:val="24"/>
          <w:szCs w:val="24"/>
          <w:lang w:val="en-GB"/>
        </w:rPr>
      </w:pPr>
      <w:r w:rsidRPr="00B45798">
        <w:rPr>
          <w:rFonts w:ascii="Times New Roman" w:hAnsi="Times New Roman" w:cs="Times New Roman"/>
          <w:sz w:val="24"/>
          <w:szCs w:val="24"/>
          <w:lang w:val="en-GB"/>
        </w:rPr>
        <w:t xml:space="preserve">The old Butte, Montana, mining district, a federal Superfund site, demonstrates the capacity of chemical amendments like phosphate injection to immobilize lead (Pb). Here, phosphate treatment reduced lead mobility by 99%, mainly through the formation of pyromorphite, a stable and essentially insoluble lead phosphate mineral. This occurs due to dissolution of minerals like hydroxyapatite and mobilization of phosphorus to solution (Client's Research Brief, 2025; Derakhshan Nejad et al., 2018; </w:t>
      </w:r>
      <w:proofErr w:type="spellStart"/>
      <w:r w:rsidRPr="00B45798">
        <w:rPr>
          <w:rFonts w:ascii="Times New Roman" w:hAnsi="Times New Roman" w:cs="Times New Roman"/>
          <w:sz w:val="24"/>
          <w:szCs w:val="24"/>
          <w:lang w:val="en-GB"/>
        </w:rPr>
        <w:t>Andrunik</w:t>
      </w:r>
      <w:proofErr w:type="spellEnd"/>
      <w:r w:rsidRPr="00B45798">
        <w:rPr>
          <w:rFonts w:ascii="Times New Roman" w:hAnsi="Times New Roman" w:cs="Times New Roman"/>
          <w:sz w:val="24"/>
          <w:szCs w:val="24"/>
          <w:lang w:val="en-GB"/>
        </w:rPr>
        <w:t xml:space="preserve"> et al., 2020).</w:t>
      </w:r>
    </w:p>
    <w:p w14:paraId="3E926C4A" w14:textId="097A2CA5" w:rsidR="00B45798" w:rsidRPr="00B45798" w:rsidRDefault="00B45798" w:rsidP="00B45798">
      <w:pPr>
        <w:spacing w:line="360" w:lineRule="auto"/>
        <w:jc w:val="both"/>
        <w:rPr>
          <w:rFonts w:ascii="Times New Roman" w:hAnsi="Times New Roman" w:cs="Times New Roman"/>
          <w:sz w:val="24"/>
          <w:szCs w:val="24"/>
          <w:lang w:val="en-GB"/>
        </w:rPr>
      </w:pPr>
      <w:r w:rsidRPr="00B45798">
        <w:rPr>
          <w:rFonts w:ascii="Times New Roman" w:hAnsi="Times New Roman" w:cs="Times New Roman"/>
          <w:sz w:val="24"/>
          <w:szCs w:val="24"/>
          <w:lang w:val="en-GB"/>
        </w:rPr>
        <w:lastRenderedPageBreak/>
        <w:t xml:space="preserve">The Butte case illustrates one of the key principles of remediation: success is not just a matter of precipitation but in forming stable, low-solubility mineral phases. This treatment is one step in a larger </w:t>
      </w:r>
      <w:r w:rsidR="009348E0" w:rsidRPr="00B45798">
        <w:rPr>
          <w:rFonts w:ascii="Times New Roman" w:hAnsi="Times New Roman" w:cs="Times New Roman"/>
          <w:sz w:val="24"/>
          <w:szCs w:val="24"/>
          <w:lang w:val="en-GB"/>
        </w:rPr>
        <w:t>clean-up</w:t>
      </w:r>
      <w:r w:rsidRPr="00B45798">
        <w:rPr>
          <w:rFonts w:ascii="Times New Roman" w:hAnsi="Times New Roman" w:cs="Times New Roman"/>
          <w:sz w:val="24"/>
          <w:szCs w:val="24"/>
          <w:lang w:val="en-GB"/>
        </w:rPr>
        <w:t xml:space="preserve"> effort. In January of 2024, the U.S. EPA reduced the indoor dust and soil lead standard in Butte from 1,200 ppm to 175 ppm, a change that mirrors new standards for risk (Gammons &amp; </w:t>
      </w:r>
      <w:proofErr w:type="spellStart"/>
      <w:r w:rsidRPr="00B45798">
        <w:rPr>
          <w:rFonts w:ascii="Times New Roman" w:hAnsi="Times New Roman" w:cs="Times New Roman"/>
          <w:sz w:val="24"/>
          <w:szCs w:val="24"/>
          <w:lang w:val="en-GB"/>
        </w:rPr>
        <w:t>Duaime</w:t>
      </w:r>
      <w:proofErr w:type="spellEnd"/>
      <w:r w:rsidRPr="00B45798">
        <w:rPr>
          <w:rFonts w:ascii="Times New Roman" w:hAnsi="Times New Roman" w:cs="Times New Roman"/>
          <w:sz w:val="24"/>
          <w:szCs w:val="24"/>
          <w:lang w:val="en-GB"/>
        </w:rPr>
        <w:t>, 2020; U.S. Environmental Protection Agency, 2024).</w:t>
      </w:r>
    </w:p>
    <w:p w14:paraId="1958C318" w14:textId="12512409" w:rsidR="00D214E7" w:rsidRPr="00D214E7" w:rsidRDefault="00B45798" w:rsidP="00B45798">
      <w:pPr>
        <w:spacing w:line="360" w:lineRule="auto"/>
        <w:jc w:val="both"/>
        <w:rPr>
          <w:rFonts w:ascii="Times New Roman" w:hAnsi="Times New Roman" w:cs="Times New Roman"/>
          <w:sz w:val="24"/>
          <w:szCs w:val="24"/>
          <w:lang w:val="en-GB"/>
        </w:rPr>
      </w:pPr>
      <w:r w:rsidRPr="00B45798">
        <w:rPr>
          <w:rFonts w:ascii="Times New Roman" w:hAnsi="Times New Roman" w:cs="Times New Roman"/>
          <w:sz w:val="24"/>
          <w:szCs w:val="24"/>
          <w:lang w:val="en-GB"/>
        </w:rPr>
        <w:t>To support this, the Residential Metals Abatement Program (RMAP) reduces public exposure to lead, arsenic, and mercury through sampling and residential zone remediating (CREEK, 2021). Together, these programs illustrate the potential for chemical amendments and bottom-up efforts to combine in reducing legacy mining contamination.</w:t>
      </w:r>
    </w:p>
    <w:p w14:paraId="0179852D" w14:textId="77777777" w:rsidR="00F578C7"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The following table provides a comparative overview of engineered precipitation systems, detailing their mechanisms, performance, and associated challenges.</w:t>
      </w:r>
    </w:p>
    <w:p w14:paraId="798F8358" w14:textId="77777777" w:rsidR="00506F0A" w:rsidRPr="00862A1A" w:rsidRDefault="00506F0A" w:rsidP="00506F0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Table 2: Performance Overview of Engineered Precipitation Systems</w:t>
      </w:r>
    </w:p>
    <w:p w14:paraId="7FEE640C" w14:textId="77777777" w:rsidR="00506F0A" w:rsidRPr="00862A1A" w:rsidRDefault="00506F0A" w:rsidP="00862A1A">
      <w:pPr>
        <w:spacing w:line="360" w:lineRule="auto"/>
        <w:jc w:val="both"/>
        <w:rPr>
          <w:rFonts w:ascii="Times New Roman" w:hAnsi="Times New Roman" w:cs="Times New Roman"/>
          <w:sz w:val="24"/>
          <w:szCs w:val="24"/>
        </w:rPr>
      </w:pPr>
    </w:p>
    <w:tbl>
      <w:tblPr>
        <w:tblW w:w="1062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810"/>
        <w:gridCol w:w="669"/>
        <w:gridCol w:w="1221"/>
        <w:gridCol w:w="1350"/>
        <w:gridCol w:w="1134"/>
        <w:gridCol w:w="1836"/>
        <w:gridCol w:w="2520"/>
      </w:tblGrid>
      <w:tr w:rsidR="00F578C7" w:rsidRPr="009348E0" w14:paraId="416088EC" w14:textId="77777777" w:rsidTr="009348E0">
        <w:tc>
          <w:tcPr>
            <w:tcW w:w="1080" w:type="dxa"/>
          </w:tcPr>
          <w:p w14:paraId="23E58452"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System Type</w:t>
            </w:r>
          </w:p>
        </w:tc>
        <w:tc>
          <w:tcPr>
            <w:tcW w:w="810" w:type="dxa"/>
          </w:tcPr>
          <w:p w14:paraId="37121562"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Site</w:t>
            </w:r>
          </w:p>
        </w:tc>
        <w:tc>
          <w:tcPr>
            <w:tcW w:w="669" w:type="dxa"/>
          </w:tcPr>
          <w:p w14:paraId="4BCB110A"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Contaminant(s) Targeted</w:t>
            </w:r>
          </w:p>
        </w:tc>
        <w:tc>
          <w:tcPr>
            <w:tcW w:w="1221" w:type="dxa"/>
          </w:tcPr>
          <w:p w14:paraId="48598E90"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Reactive Material/Amendment</w:t>
            </w:r>
          </w:p>
        </w:tc>
        <w:tc>
          <w:tcPr>
            <w:tcW w:w="1350" w:type="dxa"/>
          </w:tcPr>
          <w:p w14:paraId="2EBF13AA"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Key Precipitation Mechanism</w:t>
            </w:r>
          </w:p>
        </w:tc>
        <w:tc>
          <w:tcPr>
            <w:tcW w:w="1134" w:type="dxa"/>
          </w:tcPr>
          <w:p w14:paraId="73622311"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Demonstrated Efficiency</w:t>
            </w:r>
          </w:p>
        </w:tc>
        <w:tc>
          <w:tcPr>
            <w:tcW w:w="1836" w:type="dxa"/>
          </w:tcPr>
          <w:p w14:paraId="16E839DD"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Longevity/Stability Observations</w:t>
            </w:r>
          </w:p>
        </w:tc>
        <w:tc>
          <w:tcPr>
            <w:tcW w:w="2520" w:type="dxa"/>
          </w:tcPr>
          <w:p w14:paraId="6600A255"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Key Challenges</w:t>
            </w:r>
          </w:p>
        </w:tc>
      </w:tr>
      <w:tr w:rsidR="00F578C7" w:rsidRPr="009348E0" w14:paraId="755D9C14" w14:textId="77777777" w:rsidTr="009348E0">
        <w:trPr>
          <w:trHeight w:val="2600"/>
        </w:trPr>
        <w:tc>
          <w:tcPr>
            <w:tcW w:w="1080" w:type="dxa"/>
          </w:tcPr>
          <w:p w14:paraId="2F718ABF"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Permeable Reactive Barrier (PRB)</w:t>
            </w:r>
          </w:p>
        </w:tc>
        <w:tc>
          <w:tcPr>
            <w:tcW w:w="810" w:type="dxa"/>
          </w:tcPr>
          <w:p w14:paraId="31E48007"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Denver Federal Center, CO</w:t>
            </w:r>
          </w:p>
        </w:tc>
        <w:tc>
          <w:tcPr>
            <w:tcW w:w="669" w:type="dxa"/>
          </w:tcPr>
          <w:p w14:paraId="261060B0"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proofErr w:type="gramStart"/>
            <w:r w:rsidRPr="009348E0">
              <w:rPr>
                <w:rFonts w:ascii="Times New Roman" w:eastAsia="Times New Roman" w:hAnsi="Times New Roman" w:cs="Times New Roman"/>
                <w:sz w:val="18"/>
                <w:szCs w:val="18"/>
                <w:highlight w:val="white"/>
              </w:rPr>
              <w:t>Cr(</w:t>
            </w:r>
            <w:proofErr w:type="gramEnd"/>
            <w:r w:rsidRPr="009348E0">
              <w:rPr>
                <w:rFonts w:ascii="Times New Roman" w:eastAsia="Times New Roman" w:hAnsi="Times New Roman" w:cs="Times New Roman"/>
                <w:sz w:val="18"/>
                <w:szCs w:val="18"/>
                <w:highlight w:val="white"/>
              </w:rPr>
              <w:t>VI)</w:t>
            </w:r>
          </w:p>
        </w:tc>
        <w:tc>
          <w:tcPr>
            <w:tcW w:w="1221" w:type="dxa"/>
          </w:tcPr>
          <w:p w14:paraId="5D5A191A"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Zero-valent iron (ZVI)</w:t>
            </w:r>
          </w:p>
        </w:tc>
        <w:tc>
          <w:tcPr>
            <w:tcW w:w="1350" w:type="dxa"/>
          </w:tcPr>
          <w:p w14:paraId="6481DA20" w14:textId="7C438B70" w:rsidR="00F578C7" w:rsidRPr="009348E0" w:rsidRDefault="00F578C7" w:rsidP="00862A1A">
            <w:pPr>
              <w:spacing w:line="360" w:lineRule="auto"/>
              <w:jc w:val="both"/>
              <w:rPr>
                <w:rFonts w:ascii="Times New Roman" w:eastAsia="Times New Roman" w:hAnsi="Times New Roman" w:cs="Times New Roman"/>
                <w:sz w:val="18"/>
                <w:szCs w:val="18"/>
                <w:highlight w:val="white"/>
              </w:rPr>
            </w:pPr>
            <w:proofErr w:type="gramStart"/>
            <w:r w:rsidRPr="009348E0">
              <w:rPr>
                <w:rFonts w:ascii="Times New Roman" w:eastAsia="Times New Roman" w:hAnsi="Times New Roman" w:cs="Times New Roman"/>
                <w:sz w:val="18"/>
                <w:szCs w:val="18"/>
                <w:highlight w:val="white"/>
              </w:rPr>
              <w:t>Cr(</w:t>
            </w:r>
            <w:proofErr w:type="gramEnd"/>
            <w:r w:rsidRPr="009348E0">
              <w:rPr>
                <w:rFonts w:ascii="Times New Roman" w:eastAsia="Times New Roman" w:hAnsi="Times New Roman" w:cs="Times New Roman"/>
                <w:sz w:val="18"/>
                <w:szCs w:val="18"/>
                <w:highlight w:val="white"/>
              </w:rPr>
              <w:t>VI)</w:t>
            </w:r>
            <w:r w:rsidR="009348E0" w:rsidRPr="009348E0">
              <w:rPr>
                <w:rFonts w:ascii="Times New Roman" w:eastAsia="Times New Roman" w:hAnsi="Times New Roman" w:cs="Times New Roman"/>
                <w:sz w:val="18"/>
                <w:szCs w:val="18"/>
                <w:highlight w:val="white"/>
              </w:rPr>
              <w:t xml:space="preserve"> </w:t>
            </w:r>
            <w:r w:rsidRPr="009348E0">
              <w:rPr>
                <w:rFonts w:ascii="Times New Roman" w:eastAsia="Times New Roman" w:hAnsi="Times New Roman" w:cs="Times New Roman"/>
                <w:sz w:val="18"/>
                <w:szCs w:val="18"/>
                <w:highlight w:val="white"/>
              </w:rPr>
              <w:t>reduction to Cr(III), then Fe(OH)₂ precipitation (Client's Research Brief, 2025; Muller, et al,. 2021)</w:t>
            </w:r>
          </w:p>
        </w:tc>
        <w:tc>
          <w:tcPr>
            <w:tcW w:w="1134" w:type="dxa"/>
          </w:tcPr>
          <w:p w14:paraId="6499FC1A"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99% reduction (Client's Research Brief, 2025)</w:t>
            </w:r>
          </w:p>
        </w:tc>
        <w:tc>
          <w:tcPr>
            <w:tcW w:w="1836" w:type="dxa"/>
          </w:tcPr>
          <w:p w14:paraId="026962AB"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 xml:space="preserve">Consistent performance over 5+ years (U.S. Environmental Protection Agency, n.d.-d; Rebovich, &amp; Curtis, 2020); expected 10-30 years (Muller, et </w:t>
            </w:r>
            <w:proofErr w:type="gramStart"/>
            <w:r w:rsidRPr="009348E0">
              <w:rPr>
                <w:rFonts w:ascii="Times New Roman" w:eastAsia="Times New Roman" w:hAnsi="Times New Roman" w:cs="Times New Roman"/>
                <w:sz w:val="18"/>
                <w:szCs w:val="18"/>
                <w:highlight w:val="white"/>
              </w:rPr>
              <w:t>al,.</w:t>
            </w:r>
            <w:proofErr w:type="gramEnd"/>
            <w:r w:rsidRPr="009348E0">
              <w:rPr>
                <w:rFonts w:ascii="Times New Roman" w:eastAsia="Times New Roman" w:hAnsi="Times New Roman" w:cs="Times New Roman"/>
                <w:sz w:val="18"/>
                <w:szCs w:val="18"/>
                <w:highlight w:val="white"/>
              </w:rPr>
              <w:t xml:space="preserve"> 2021; U.S. Environmental Protection Agency, n.d.-f)</w:t>
            </w:r>
          </w:p>
        </w:tc>
        <w:tc>
          <w:tcPr>
            <w:tcW w:w="2520" w:type="dxa"/>
          </w:tcPr>
          <w:p w14:paraId="1FFAD8D8"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Pore occlusion by mineral precipitates (1-4% porosity loss/year) (U.S. Environmental Protection Agency, n.d.-d; Rebovich, &amp; Curtis, 2020), biofilm formation (U.S. Environmental Protection Agency, n.d.-f), long-term prediction uncertainty (U.S. Environmental Protection Agency, n.d.-d; Rebovich, &amp; Curtis, 2020)</w:t>
            </w:r>
          </w:p>
        </w:tc>
      </w:tr>
      <w:tr w:rsidR="00F578C7" w:rsidRPr="009348E0" w14:paraId="44A371A2" w14:textId="77777777" w:rsidTr="009348E0">
        <w:tc>
          <w:tcPr>
            <w:tcW w:w="1080" w:type="dxa"/>
          </w:tcPr>
          <w:p w14:paraId="2339924B"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lastRenderedPageBreak/>
              <w:t>Chemical Amendment</w:t>
            </w:r>
          </w:p>
        </w:tc>
        <w:tc>
          <w:tcPr>
            <w:tcW w:w="810" w:type="dxa"/>
          </w:tcPr>
          <w:p w14:paraId="72AE17CB"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Butte, MT</w:t>
            </w:r>
          </w:p>
        </w:tc>
        <w:tc>
          <w:tcPr>
            <w:tcW w:w="669" w:type="dxa"/>
          </w:tcPr>
          <w:p w14:paraId="1BD3AAB4"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Pb</w:t>
            </w:r>
          </w:p>
        </w:tc>
        <w:tc>
          <w:tcPr>
            <w:tcW w:w="1221" w:type="dxa"/>
          </w:tcPr>
          <w:p w14:paraId="22487ADB"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Phosphate (e.g., hydroxyapatite)</w:t>
            </w:r>
          </w:p>
        </w:tc>
        <w:tc>
          <w:tcPr>
            <w:tcW w:w="1350" w:type="dxa"/>
          </w:tcPr>
          <w:p w14:paraId="519DF7A1"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Pyromorphite precipitation (Pb₁₀(PO</w:t>
            </w:r>
            <w:proofErr w:type="gramStart"/>
            <w:r w:rsidRPr="009348E0">
              <w:rPr>
                <w:rFonts w:ascii="Times New Roman" w:eastAsia="Times New Roman" w:hAnsi="Times New Roman" w:cs="Times New Roman"/>
                <w:sz w:val="18"/>
                <w:szCs w:val="18"/>
                <w:highlight w:val="white"/>
              </w:rPr>
              <w:t>₄)₆</w:t>
            </w:r>
            <w:proofErr w:type="gramEnd"/>
            <w:r w:rsidRPr="009348E0">
              <w:rPr>
                <w:rFonts w:ascii="Times New Roman" w:eastAsia="Times New Roman" w:hAnsi="Times New Roman" w:cs="Times New Roman"/>
                <w:sz w:val="18"/>
                <w:szCs w:val="18"/>
                <w:highlight w:val="white"/>
              </w:rPr>
              <w:t>(</w:t>
            </w:r>
            <w:proofErr w:type="spellStart"/>
            <w:r w:rsidRPr="009348E0">
              <w:rPr>
                <w:rFonts w:ascii="Times New Roman" w:eastAsia="Times New Roman" w:hAnsi="Times New Roman" w:cs="Times New Roman"/>
                <w:sz w:val="18"/>
                <w:szCs w:val="18"/>
                <w:highlight w:val="white"/>
              </w:rPr>
              <w:t>OH,Cl</w:t>
            </w:r>
            <w:proofErr w:type="spellEnd"/>
            <w:r w:rsidRPr="009348E0">
              <w:rPr>
                <w:rFonts w:ascii="Times New Roman" w:eastAsia="Times New Roman" w:hAnsi="Times New Roman" w:cs="Times New Roman"/>
                <w:sz w:val="18"/>
                <w:szCs w:val="18"/>
                <w:highlight w:val="white"/>
              </w:rPr>
              <w:t>)₂) (Client's Research Brief, 2025; Derakhshan Nejad et al., 2018)</w:t>
            </w:r>
          </w:p>
        </w:tc>
        <w:tc>
          <w:tcPr>
            <w:tcW w:w="1134" w:type="dxa"/>
          </w:tcPr>
          <w:p w14:paraId="3431ADB0"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99% reduction in mobility (Client's Research Brief, 2025)</w:t>
            </w:r>
          </w:p>
        </w:tc>
        <w:tc>
          <w:tcPr>
            <w:tcW w:w="1836" w:type="dxa"/>
          </w:tcPr>
          <w:p w14:paraId="70E0F660"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Formation of highly stable mineral phase (Derakhshan Nejad et al., 2018); long-term effectiveness dependent on pH control (</w:t>
            </w:r>
            <w:proofErr w:type="spellStart"/>
            <w:r w:rsidRPr="009348E0">
              <w:rPr>
                <w:rFonts w:ascii="Times New Roman" w:eastAsia="Times New Roman" w:hAnsi="Times New Roman" w:cs="Times New Roman"/>
                <w:sz w:val="18"/>
                <w:szCs w:val="18"/>
                <w:highlight w:val="white"/>
              </w:rPr>
              <w:t>Andrunik</w:t>
            </w:r>
            <w:proofErr w:type="spellEnd"/>
            <w:r w:rsidRPr="009348E0">
              <w:rPr>
                <w:rFonts w:ascii="Times New Roman" w:eastAsia="Times New Roman" w:hAnsi="Times New Roman" w:cs="Times New Roman"/>
                <w:sz w:val="18"/>
                <w:szCs w:val="18"/>
                <w:highlight w:val="white"/>
              </w:rPr>
              <w:t xml:space="preserve"> et al., 2020)</w:t>
            </w:r>
          </w:p>
        </w:tc>
        <w:tc>
          <w:tcPr>
            <w:tcW w:w="2520" w:type="dxa"/>
          </w:tcPr>
          <w:p w14:paraId="0158BEFC" w14:textId="77777777" w:rsidR="00F578C7" w:rsidRPr="009348E0" w:rsidRDefault="00F578C7" w:rsidP="00862A1A">
            <w:pPr>
              <w:spacing w:line="360" w:lineRule="auto"/>
              <w:jc w:val="both"/>
              <w:rPr>
                <w:rFonts w:ascii="Times New Roman" w:eastAsia="Times New Roman" w:hAnsi="Times New Roman" w:cs="Times New Roman"/>
                <w:sz w:val="18"/>
                <w:szCs w:val="18"/>
                <w:highlight w:val="white"/>
              </w:rPr>
            </w:pPr>
            <w:r w:rsidRPr="009348E0">
              <w:rPr>
                <w:rFonts w:ascii="Times New Roman" w:eastAsia="Times New Roman" w:hAnsi="Times New Roman" w:cs="Times New Roman"/>
                <w:sz w:val="18"/>
                <w:szCs w:val="18"/>
                <w:highlight w:val="white"/>
              </w:rPr>
              <w:t>Evolving cleanup standards (U.S. Environmental Protection Agency, 2024); potential for P leaching/eutrophication (Derakhshan Nejad et al., 2018); kinetic limitations of pyromorphite formation (Derakhshan Nejad et al., 2018)</w:t>
            </w:r>
          </w:p>
        </w:tc>
      </w:tr>
    </w:tbl>
    <w:p w14:paraId="7069BF87" w14:textId="77777777" w:rsidR="00F578C7" w:rsidRPr="00862A1A" w:rsidRDefault="00F578C7" w:rsidP="00862A1A">
      <w:pPr>
        <w:spacing w:line="360" w:lineRule="auto"/>
        <w:jc w:val="both"/>
        <w:rPr>
          <w:rFonts w:ascii="Times New Roman" w:hAnsi="Times New Roman" w:cs="Times New Roman"/>
          <w:sz w:val="24"/>
          <w:szCs w:val="24"/>
        </w:rPr>
      </w:pPr>
    </w:p>
    <w:p w14:paraId="53C3C7E7" w14:textId="47658A1C"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4. EMERGING TECHNOLOGIES IN MINERAL PRECIPITATION</w:t>
      </w:r>
    </w:p>
    <w:p w14:paraId="18D8D771"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The field of groundwater remediation is continuously evolving, driven by the need for more efficient, cost-effective, and sustainable solutions (Roychoudhury et al., 2003). Emerging technologies in mineral precipitation harness novel materials and biological processes to enhance contaminant immobilization, (Zhang, et al., 2023). This section explores two cutting-edge areas: nanoscale materials and biomineralization.</w:t>
      </w:r>
    </w:p>
    <w:p w14:paraId="51CDBA74"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4.1 Nanoscale Hydroxides for Enhanced Adsorption</w:t>
      </w:r>
    </w:p>
    <w:p w14:paraId="5C76DB04"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Nanotechnology offers a transformative approach to environmental remediation by enabling the synthesis of materials with exceptionally high surface areas and tunable reactive properties (Mohan et al., 2022). Nanoscale hydroxides, particularly iron-based nanoparticles, are at the forefront of this innovation for metal and metalloid immobilization (Mohan et al., 2022).</w:t>
      </w:r>
    </w:p>
    <w:p w14:paraId="56BD115A"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4.2 MIT Pilot (2023): Accelerated Arsenic Adsorption</w:t>
      </w:r>
    </w:p>
    <w:p w14:paraId="63DC50C9" w14:textId="3A3993CD" w:rsidR="00D214E7" w:rsidRPr="00D214E7" w:rsidRDefault="00D214E7" w:rsidP="00862A1A">
      <w:pPr>
        <w:spacing w:line="360" w:lineRule="auto"/>
        <w:jc w:val="both"/>
        <w:rPr>
          <w:rFonts w:ascii="Times New Roman" w:hAnsi="Times New Roman" w:cs="Times New Roman"/>
          <w:sz w:val="24"/>
          <w:szCs w:val="24"/>
          <w:lang w:val="en-GB"/>
        </w:rPr>
      </w:pPr>
      <w:r w:rsidRPr="00D214E7">
        <w:rPr>
          <w:rFonts w:ascii="Times New Roman" w:hAnsi="Times New Roman" w:cs="Times New Roman"/>
          <w:sz w:val="24"/>
          <w:szCs w:val="24"/>
          <w:lang w:val="en-GB"/>
        </w:rPr>
        <w:t xml:space="preserve">A 2023 MIT pilot study highlighted the potential of nanoscale iron oxides, particularly </w:t>
      </w:r>
      <w:proofErr w:type="spellStart"/>
      <w:r w:rsidRPr="00D214E7">
        <w:rPr>
          <w:rFonts w:ascii="Times New Roman" w:hAnsi="Times New Roman" w:cs="Times New Roman"/>
          <w:sz w:val="24"/>
          <w:szCs w:val="24"/>
          <w:lang w:val="en-GB"/>
        </w:rPr>
        <w:t>FeO</w:t>
      </w:r>
      <w:proofErr w:type="spellEnd"/>
      <w:r w:rsidRPr="00D214E7">
        <w:rPr>
          <w:rFonts w:ascii="Times New Roman" w:hAnsi="Times New Roman" w:cs="Times New Roman"/>
          <w:sz w:val="24"/>
          <w:szCs w:val="24"/>
          <w:lang w:val="en-GB"/>
        </w:rPr>
        <w:t xml:space="preserve"> nanoparticles, for enhancing arsenic (As) remediation. Results showed arsenic adsorption occurred 50% faster with nanoparticles compared to conventional methods (Client's Research Brief, 2025). Iron-based adsorbents</w:t>
      </w:r>
      <w:proofErr w:type="gramStart"/>
      <w:r w:rsidR="00D268DD">
        <w:rPr>
          <w:rFonts w:ascii="Times New Roman" w:hAnsi="Times New Roman" w:cs="Times New Roman"/>
          <w:sz w:val="24"/>
          <w:szCs w:val="24"/>
          <w:lang w:val="en-GB"/>
        </w:rPr>
        <w:t>]</w:t>
      </w:r>
      <w:r w:rsidR="009221B8">
        <w:rPr>
          <w:rFonts w:ascii="Times New Roman" w:hAnsi="Times New Roman" w:cs="Times New Roman"/>
          <w:sz w:val="24"/>
          <w:szCs w:val="24"/>
          <w:lang w:val="en-GB"/>
        </w:rPr>
        <w:t>]</w:t>
      </w:r>
      <w:r w:rsidRPr="00D214E7">
        <w:rPr>
          <w:rFonts w:ascii="Times New Roman" w:hAnsi="Times New Roman" w:cs="Times New Roman"/>
          <w:sz w:val="24"/>
          <w:szCs w:val="24"/>
          <w:lang w:val="en-GB"/>
        </w:rPr>
        <w:t>including</w:t>
      </w:r>
      <w:proofErr w:type="gramEnd"/>
      <w:r w:rsidRPr="00D214E7">
        <w:rPr>
          <w:rFonts w:ascii="Times New Roman" w:hAnsi="Times New Roman" w:cs="Times New Roman"/>
          <w:sz w:val="24"/>
          <w:szCs w:val="24"/>
          <w:lang w:val="en-GB"/>
        </w:rPr>
        <w:t xml:space="preserve"> nanoparticles, layered double hydroxides (LDHs), and zero-valent iron (ZVI)</w:t>
      </w:r>
      <w:r w:rsidR="009221B8">
        <w:rPr>
          <w:rFonts w:ascii="Times New Roman" w:hAnsi="Times New Roman" w:cs="Times New Roman"/>
          <w:sz w:val="24"/>
          <w:szCs w:val="24"/>
          <w:lang w:val="en-GB"/>
        </w:rPr>
        <w:t xml:space="preserve"> </w:t>
      </w:r>
      <w:r w:rsidRPr="00D214E7">
        <w:rPr>
          <w:rFonts w:ascii="Times New Roman" w:hAnsi="Times New Roman" w:cs="Times New Roman"/>
          <w:sz w:val="24"/>
          <w:szCs w:val="24"/>
          <w:lang w:val="en-GB"/>
        </w:rPr>
        <w:t>are widely used for arsenic removal due to their low cost, non-toxicity, and availability (Mohan et al., 2022).</w:t>
      </w:r>
    </w:p>
    <w:p w14:paraId="161411C7" w14:textId="77777777" w:rsidR="00D214E7" w:rsidRPr="00D214E7" w:rsidRDefault="00D214E7" w:rsidP="00862A1A">
      <w:pPr>
        <w:spacing w:line="360" w:lineRule="auto"/>
        <w:jc w:val="both"/>
        <w:rPr>
          <w:rFonts w:ascii="Times New Roman" w:hAnsi="Times New Roman" w:cs="Times New Roman"/>
          <w:sz w:val="24"/>
          <w:szCs w:val="24"/>
          <w:lang w:val="en-GB"/>
        </w:rPr>
      </w:pPr>
      <w:r w:rsidRPr="00D214E7">
        <w:rPr>
          <w:rFonts w:ascii="Times New Roman" w:hAnsi="Times New Roman" w:cs="Times New Roman"/>
          <w:sz w:val="24"/>
          <w:szCs w:val="24"/>
          <w:lang w:val="en-GB"/>
        </w:rPr>
        <w:lastRenderedPageBreak/>
        <w:t xml:space="preserve">The mechanisms of these nanoscale materials are especially significant. Fe-Mn nanocomposites, for example, can simultaneously oxidize </w:t>
      </w:r>
      <w:proofErr w:type="spellStart"/>
      <w:r w:rsidRPr="00D214E7">
        <w:rPr>
          <w:rFonts w:ascii="Times New Roman" w:hAnsi="Times New Roman" w:cs="Times New Roman"/>
          <w:sz w:val="24"/>
          <w:szCs w:val="24"/>
          <w:lang w:val="en-GB"/>
        </w:rPr>
        <w:t>arsenite</w:t>
      </w:r>
      <w:proofErr w:type="spellEnd"/>
      <w:r w:rsidRPr="00D214E7">
        <w:rPr>
          <w:rFonts w:ascii="Times New Roman" w:hAnsi="Times New Roman" w:cs="Times New Roman"/>
          <w:sz w:val="24"/>
          <w:szCs w:val="24"/>
          <w:lang w:val="en-GB"/>
        </w:rPr>
        <w:t xml:space="preserve"> (</w:t>
      </w:r>
      <w:proofErr w:type="gramStart"/>
      <w:r w:rsidRPr="00D214E7">
        <w:rPr>
          <w:rFonts w:ascii="Times New Roman" w:hAnsi="Times New Roman" w:cs="Times New Roman"/>
          <w:sz w:val="24"/>
          <w:szCs w:val="24"/>
          <w:lang w:val="en-GB"/>
        </w:rPr>
        <w:t>As(</w:t>
      </w:r>
      <w:proofErr w:type="gramEnd"/>
      <w:r w:rsidRPr="00D214E7">
        <w:rPr>
          <w:rFonts w:ascii="Times New Roman" w:hAnsi="Times New Roman" w:cs="Times New Roman"/>
          <w:sz w:val="24"/>
          <w:szCs w:val="24"/>
          <w:lang w:val="en-GB"/>
        </w:rPr>
        <w:t>III)) to arsenate (As(V)), which binds more strongly to iron oxides (Nikic et al., 2023). This multifunctionality represents a step forward in remediation, as the materials act not only as adsorbents but also as catalysts for oxidation reactions (Wang et al., 2020).</w:t>
      </w:r>
    </w:p>
    <w:p w14:paraId="1AFAC235" w14:textId="4CB873F0" w:rsidR="00D214E7" w:rsidRPr="00D214E7" w:rsidRDefault="00D214E7" w:rsidP="00862A1A">
      <w:pPr>
        <w:spacing w:line="360" w:lineRule="auto"/>
        <w:jc w:val="both"/>
        <w:rPr>
          <w:rFonts w:ascii="Times New Roman" w:hAnsi="Times New Roman" w:cs="Times New Roman"/>
          <w:sz w:val="24"/>
          <w:szCs w:val="24"/>
          <w:lang w:val="en-GB"/>
        </w:rPr>
      </w:pPr>
      <w:r w:rsidRPr="00D214E7">
        <w:rPr>
          <w:rFonts w:ascii="Times New Roman" w:hAnsi="Times New Roman" w:cs="Times New Roman"/>
          <w:sz w:val="24"/>
          <w:szCs w:val="24"/>
          <w:lang w:val="en-GB"/>
        </w:rPr>
        <w:t xml:space="preserve">However, scaling </w:t>
      </w:r>
      <w:r w:rsidR="009221B8" w:rsidRPr="00D214E7">
        <w:rPr>
          <w:rFonts w:ascii="Times New Roman" w:hAnsi="Times New Roman" w:cs="Times New Roman"/>
          <w:sz w:val="24"/>
          <w:szCs w:val="24"/>
          <w:lang w:val="en-GB"/>
        </w:rPr>
        <w:t>nano remediation</w:t>
      </w:r>
      <w:r w:rsidRPr="00D214E7">
        <w:rPr>
          <w:rFonts w:ascii="Times New Roman" w:hAnsi="Times New Roman" w:cs="Times New Roman"/>
          <w:sz w:val="24"/>
          <w:szCs w:val="24"/>
          <w:lang w:val="en-GB"/>
        </w:rPr>
        <w:t xml:space="preserve"> from laboratory to field applications remains difficult. Pilot studies revealed that Fe-Mn nanocomposites exhibited much lower adsorption capacity in real groundwater (0.551 mg/g) compared to laboratory conditions, largely due to operational challenges and competition from other anions (Nikic et al., 2023; Zhou et al., 2025). These findings emphasize both the promise of nanoscale materials and the need to address real-world complexities before widespread application.</w:t>
      </w:r>
    </w:p>
    <w:p w14:paraId="6A4AB0A1"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4.3 Biomineralization: Microbial-Induced Metal Sulfide Formation</w:t>
      </w:r>
    </w:p>
    <w:p w14:paraId="5628A856" w14:textId="7CAF55D8" w:rsidR="00D214E7" w:rsidRPr="00047B2F"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Biomineralization leverages the metabolic capabilities of microorganisms to induce the formation of mineral precipitates that immobilize contaminants (Hu et al., 2024; Xu, &amp; Chen, 2020). This approach is gaining significant attention for its potential to provide sustainable and environmentally friendly remediation solutions.</w:t>
      </w:r>
    </w:p>
    <w:p w14:paraId="67330943" w14:textId="77777777" w:rsidR="00047B2F" w:rsidRDefault="00F578C7" w:rsidP="00047B2F">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4.4 UBC Research: Cost-Effective Metal Sulfide Generation</w:t>
      </w:r>
    </w:p>
    <w:p w14:paraId="5289C072" w14:textId="415B50AE" w:rsidR="00047B2F" w:rsidRPr="00047B2F" w:rsidRDefault="00047B2F" w:rsidP="00047B2F">
      <w:pPr>
        <w:spacing w:line="360" w:lineRule="auto"/>
        <w:jc w:val="both"/>
        <w:rPr>
          <w:rFonts w:ascii="Times New Roman" w:hAnsi="Times New Roman" w:cs="Times New Roman"/>
          <w:b/>
          <w:bCs/>
          <w:sz w:val="24"/>
          <w:szCs w:val="24"/>
        </w:rPr>
      </w:pPr>
      <w:r w:rsidRPr="00047B2F">
        <w:rPr>
          <w:rFonts w:ascii="Times New Roman" w:eastAsia="Times New Roman" w:hAnsi="Times New Roman" w:cs="Times New Roman"/>
          <w:sz w:val="24"/>
          <w:szCs w:val="24"/>
        </w:rPr>
        <w:t>Research at the University of British Columbia (UBC) has advanced biomineralization techniques, especially via sulfate-reducing bacteria (SRB) to generate metal sulfides (Xu &amp; Chen, 2020). These SRB-driven processes are estimated to cost about one-third of conventional chemical methods (Client's Research Brief, 2025), making them both efficient and cost-effective for heavy metal immobilization (Hu et al., 2024).</w:t>
      </w:r>
    </w:p>
    <w:p w14:paraId="09A8C773" w14:textId="77777777" w:rsidR="00047B2F" w:rsidRPr="00047B2F" w:rsidRDefault="00047B2F" w:rsidP="00047B2F">
      <w:pPr>
        <w:spacing w:before="100" w:beforeAutospacing="1" w:after="100" w:afterAutospacing="1" w:line="360" w:lineRule="auto"/>
        <w:rPr>
          <w:rFonts w:ascii="Times New Roman" w:eastAsia="Times New Roman" w:hAnsi="Times New Roman" w:cs="Times New Roman"/>
          <w:sz w:val="24"/>
          <w:szCs w:val="24"/>
        </w:rPr>
      </w:pPr>
      <w:r w:rsidRPr="00047B2F">
        <w:rPr>
          <w:rFonts w:ascii="Times New Roman" w:eastAsia="Times New Roman" w:hAnsi="Times New Roman" w:cs="Times New Roman"/>
          <w:sz w:val="24"/>
          <w:szCs w:val="24"/>
        </w:rPr>
        <w:t xml:space="preserve">SRB function by reducing sulfate (SO₄²⁻) to sulfide (S²⁻) in anaerobic conditions (Xu &amp; Chen, 2020; Hu et al., 2024; </w:t>
      </w:r>
      <w:proofErr w:type="spellStart"/>
      <w:r w:rsidRPr="00047B2F">
        <w:rPr>
          <w:rFonts w:ascii="Times New Roman" w:eastAsia="Times New Roman" w:hAnsi="Times New Roman" w:cs="Times New Roman"/>
          <w:sz w:val="24"/>
          <w:szCs w:val="24"/>
        </w:rPr>
        <w:t>Mafane</w:t>
      </w:r>
      <w:proofErr w:type="spellEnd"/>
      <w:r w:rsidRPr="00047B2F">
        <w:rPr>
          <w:rFonts w:ascii="Times New Roman" w:eastAsia="Times New Roman" w:hAnsi="Times New Roman" w:cs="Times New Roman"/>
          <w:sz w:val="24"/>
          <w:szCs w:val="24"/>
        </w:rPr>
        <w:t xml:space="preserve"> et al., 2025). This sulfide reacts with dissolved metal ions like Cd²⁺, Pb²⁺, Zn²⁺, Cu²⁺, and Fe²⁺ to form insoluble metal sulfides (Hu et al., 2024; Ortiz-Castillo et al., 2021; Vidu et al., 2020). Because metal sulfides are far less soluble than hydroxides or carbonates, this pathway offers durable contaminant stability (Encyclopedia.pub, n.d.; Hu et al., 2024).</w:t>
      </w:r>
    </w:p>
    <w:p w14:paraId="2AF83C81" w14:textId="77777777" w:rsidR="00047B2F" w:rsidRPr="00047B2F" w:rsidRDefault="00047B2F" w:rsidP="00047B2F">
      <w:pPr>
        <w:spacing w:before="100" w:beforeAutospacing="1" w:after="100" w:afterAutospacing="1" w:line="360" w:lineRule="auto"/>
        <w:rPr>
          <w:rFonts w:ascii="Times New Roman" w:eastAsia="Times New Roman" w:hAnsi="Times New Roman" w:cs="Times New Roman"/>
          <w:sz w:val="24"/>
          <w:szCs w:val="24"/>
        </w:rPr>
      </w:pPr>
      <w:r w:rsidRPr="00047B2F">
        <w:rPr>
          <w:rFonts w:ascii="Times New Roman" w:eastAsia="Times New Roman" w:hAnsi="Times New Roman" w:cs="Times New Roman"/>
          <w:sz w:val="24"/>
          <w:szCs w:val="24"/>
        </w:rPr>
        <w:lastRenderedPageBreak/>
        <w:t>Although the “one-third cost” figure is promising (Client's Research Brief, 2025), published studies affirm the affordability and environmental benefits of SRB-mediated treatment but lack detailed cost analyses (Roychoudhury et al., 2003; Hu et al., 2024). Field success depends on environmental variables like pH, temperature, and available organic donors. Since SRB thrive at near-neutral pH (6.5–7.1), site-specific monitoring and adjustment are key for large-scale deployment (Hu et al., 2024; Microbially Induced Carbonate Precipitation, 2023).</w:t>
      </w:r>
    </w:p>
    <w:p w14:paraId="78E0E0E6" w14:textId="3E585FCA" w:rsidR="00F578C7"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The following table outlines key emerging technologies in mineral precipitation for groundwater remediation, summarizing their mechanisms, performance and associated advantages and challenges</w:t>
      </w:r>
      <w:r w:rsidR="00047B2F">
        <w:rPr>
          <w:rFonts w:ascii="Times New Roman" w:hAnsi="Times New Roman" w:cs="Times New Roman"/>
          <w:sz w:val="24"/>
          <w:szCs w:val="24"/>
        </w:rPr>
        <w:t>.</w:t>
      </w:r>
    </w:p>
    <w:p w14:paraId="1A9CFFE7" w14:textId="77777777" w:rsidR="00506F0A" w:rsidRPr="00862A1A" w:rsidRDefault="00506F0A" w:rsidP="00506F0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Table 3: Emerging Technologies and Their Remediation Potential</w:t>
      </w:r>
    </w:p>
    <w:p w14:paraId="34D0904F" w14:textId="77777777" w:rsidR="00506F0A" w:rsidRPr="00862A1A" w:rsidRDefault="00506F0A" w:rsidP="00862A1A">
      <w:pPr>
        <w:spacing w:line="360" w:lineRule="auto"/>
        <w:jc w:val="both"/>
        <w:rPr>
          <w:rFonts w:ascii="Times New Roman" w:hAnsi="Times New Roman" w:cs="Times New Roman"/>
          <w:sz w:val="24"/>
          <w:szCs w:val="24"/>
        </w:rPr>
      </w:pPr>
    </w:p>
    <w:tbl>
      <w:tblPr>
        <w:tblW w:w="1017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680"/>
        <w:gridCol w:w="1080"/>
        <w:gridCol w:w="1530"/>
        <w:gridCol w:w="1890"/>
        <w:gridCol w:w="2430"/>
      </w:tblGrid>
      <w:tr w:rsidR="009221B8" w:rsidRPr="00311763" w14:paraId="6815C681" w14:textId="77777777" w:rsidTr="00311763">
        <w:tc>
          <w:tcPr>
            <w:tcW w:w="1560" w:type="dxa"/>
          </w:tcPr>
          <w:p w14:paraId="4DC195D0"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Technology</w:t>
            </w:r>
          </w:p>
        </w:tc>
        <w:tc>
          <w:tcPr>
            <w:tcW w:w="1680" w:type="dxa"/>
          </w:tcPr>
          <w:p w14:paraId="169D2249"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Key Mechanism</w:t>
            </w:r>
          </w:p>
        </w:tc>
        <w:tc>
          <w:tcPr>
            <w:tcW w:w="1080" w:type="dxa"/>
          </w:tcPr>
          <w:p w14:paraId="2538F634"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Contaminant(s) Targeted</w:t>
            </w:r>
          </w:p>
        </w:tc>
        <w:tc>
          <w:tcPr>
            <w:tcW w:w="1530" w:type="dxa"/>
          </w:tcPr>
          <w:p w14:paraId="1549FEC3"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Demonstrated Efficiency/Speed</w:t>
            </w:r>
          </w:p>
        </w:tc>
        <w:tc>
          <w:tcPr>
            <w:tcW w:w="1890" w:type="dxa"/>
          </w:tcPr>
          <w:p w14:paraId="52BF3875"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Key Advantages</w:t>
            </w:r>
          </w:p>
        </w:tc>
        <w:tc>
          <w:tcPr>
            <w:tcW w:w="2430" w:type="dxa"/>
          </w:tcPr>
          <w:p w14:paraId="0CE5D47F"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Key Challenges/Limitations</w:t>
            </w:r>
          </w:p>
        </w:tc>
      </w:tr>
      <w:tr w:rsidR="009221B8" w:rsidRPr="00311763" w14:paraId="06FC7D37" w14:textId="77777777" w:rsidTr="00311763">
        <w:tc>
          <w:tcPr>
            <w:tcW w:w="1560" w:type="dxa"/>
          </w:tcPr>
          <w:p w14:paraId="266D2FD0" w14:textId="272D5703"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Nanoscale Hydroxides (</w:t>
            </w:r>
            <w:r w:rsidR="00311763" w:rsidRPr="00311763">
              <w:rPr>
                <w:rFonts w:ascii="Times New Roman" w:eastAsia="Times New Roman" w:hAnsi="Times New Roman" w:cs="Times New Roman"/>
                <w:sz w:val="20"/>
                <w:szCs w:val="20"/>
                <w:highlight w:val="white"/>
              </w:rPr>
              <w:t>e.g. FeO</w:t>
            </w:r>
            <w:r w:rsidR="00311763">
              <w:rPr>
                <w:rFonts w:ascii="Times New Roman" w:eastAsia="Times New Roman" w:hAnsi="Times New Roman" w:cs="Times New Roman"/>
                <w:sz w:val="20"/>
                <w:szCs w:val="20"/>
                <w:highlight w:val="white"/>
              </w:rPr>
              <w:t xml:space="preserve"> </w:t>
            </w:r>
            <w:r w:rsidRPr="00311763">
              <w:rPr>
                <w:rFonts w:ascii="Times New Roman" w:eastAsia="Times New Roman" w:hAnsi="Times New Roman" w:cs="Times New Roman"/>
                <w:sz w:val="20"/>
                <w:szCs w:val="20"/>
                <w:highlight w:val="white"/>
              </w:rPr>
              <w:t>nanoparticles, Fe-Mn nanocomposite)</w:t>
            </w:r>
          </w:p>
        </w:tc>
        <w:tc>
          <w:tcPr>
            <w:tcW w:w="1680" w:type="dxa"/>
          </w:tcPr>
          <w:p w14:paraId="45CFF616" w14:textId="4F192ABC"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Enhanced adsorption</w:t>
            </w:r>
            <w:r w:rsidR="00311763">
              <w:rPr>
                <w:rFonts w:ascii="Times New Roman" w:eastAsia="Times New Roman" w:hAnsi="Times New Roman" w:cs="Times New Roman"/>
                <w:sz w:val="20"/>
                <w:szCs w:val="20"/>
                <w:highlight w:val="white"/>
              </w:rPr>
              <w:t xml:space="preserve"> </w:t>
            </w:r>
            <w:r w:rsidRPr="00311763">
              <w:rPr>
                <w:rFonts w:ascii="Times New Roman" w:eastAsia="Times New Roman" w:hAnsi="Times New Roman" w:cs="Times New Roman"/>
                <w:sz w:val="20"/>
                <w:szCs w:val="20"/>
                <w:highlight w:val="white"/>
              </w:rPr>
              <w:t>(Mohan et al., 2022</w:t>
            </w:r>
            <w:r w:rsidR="00311763" w:rsidRPr="00311763">
              <w:rPr>
                <w:rFonts w:ascii="Times New Roman" w:eastAsia="Times New Roman" w:hAnsi="Times New Roman" w:cs="Times New Roman"/>
                <w:sz w:val="20"/>
                <w:szCs w:val="20"/>
                <w:highlight w:val="white"/>
              </w:rPr>
              <w:t>); simultaneous</w:t>
            </w:r>
            <w:r w:rsidRPr="00311763">
              <w:rPr>
                <w:rFonts w:ascii="Times New Roman" w:eastAsia="Times New Roman" w:hAnsi="Times New Roman" w:cs="Times New Roman"/>
                <w:sz w:val="20"/>
                <w:szCs w:val="20"/>
                <w:highlight w:val="white"/>
              </w:rPr>
              <w:t xml:space="preserve"> oxidation and adsorption (e.g., </w:t>
            </w:r>
            <w:proofErr w:type="gramStart"/>
            <w:r w:rsidRPr="00311763">
              <w:rPr>
                <w:rFonts w:ascii="Times New Roman" w:eastAsia="Times New Roman" w:hAnsi="Times New Roman" w:cs="Times New Roman"/>
                <w:sz w:val="20"/>
                <w:szCs w:val="20"/>
                <w:highlight w:val="white"/>
              </w:rPr>
              <w:t>As(</w:t>
            </w:r>
            <w:proofErr w:type="gramEnd"/>
            <w:r w:rsidRPr="00311763">
              <w:rPr>
                <w:rFonts w:ascii="Times New Roman" w:eastAsia="Times New Roman" w:hAnsi="Times New Roman" w:cs="Times New Roman"/>
                <w:sz w:val="20"/>
                <w:szCs w:val="20"/>
                <w:highlight w:val="white"/>
              </w:rPr>
              <w:t>III) to As(V)) (Nikic et al., 2023)</w:t>
            </w:r>
          </w:p>
        </w:tc>
        <w:tc>
          <w:tcPr>
            <w:tcW w:w="1080" w:type="dxa"/>
          </w:tcPr>
          <w:p w14:paraId="56207452"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Arsenic, other heavy metals</w:t>
            </w:r>
          </w:p>
        </w:tc>
        <w:tc>
          <w:tcPr>
            <w:tcW w:w="1530" w:type="dxa"/>
          </w:tcPr>
          <w:p w14:paraId="361B4ED2" w14:textId="79D7D38B"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50% faster adsorption (As) (Client's Research Brief, 2025); high batch adsorption capacity (up to 6.25 mg/g for</w:t>
            </w:r>
            <w:r w:rsidR="00311763" w:rsidRPr="00311763">
              <w:rPr>
                <w:rFonts w:ascii="Times New Roman" w:eastAsia="Times New Roman" w:hAnsi="Times New Roman" w:cs="Times New Roman"/>
                <w:sz w:val="20"/>
                <w:szCs w:val="20"/>
                <w:highlight w:val="white"/>
              </w:rPr>
              <w:t xml:space="preserve"> </w:t>
            </w:r>
            <w:proofErr w:type="gramStart"/>
            <w:r w:rsidRPr="00311763">
              <w:rPr>
                <w:rFonts w:ascii="Times New Roman" w:eastAsia="Times New Roman" w:hAnsi="Times New Roman" w:cs="Times New Roman"/>
                <w:sz w:val="20"/>
                <w:szCs w:val="20"/>
                <w:highlight w:val="white"/>
              </w:rPr>
              <w:t>As</w:t>
            </w:r>
            <w:proofErr w:type="gramEnd"/>
            <w:r w:rsidRPr="00311763">
              <w:rPr>
                <w:rFonts w:ascii="Times New Roman" w:eastAsia="Times New Roman" w:hAnsi="Times New Roman" w:cs="Times New Roman"/>
                <w:sz w:val="20"/>
                <w:szCs w:val="20"/>
                <w:highlight w:val="white"/>
              </w:rPr>
              <w:t>) (Nikic et al., 2023)</w:t>
            </w:r>
          </w:p>
        </w:tc>
        <w:tc>
          <w:tcPr>
            <w:tcW w:w="1890" w:type="dxa"/>
          </w:tcPr>
          <w:p w14:paraId="50ABB0BF"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High reactivity due to large surface area (Mohan et al., 2022); rapid kinetics (Babaee, 2016); potential for multi-functionality (Nikic et al., 2023)</w:t>
            </w:r>
          </w:p>
        </w:tc>
        <w:tc>
          <w:tcPr>
            <w:tcW w:w="2430" w:type="dxa"/>
          </w:tcPr>
          <w:p w14:paraId="65A85CC9" w14:textId="7C24FA19"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"Scale-up penalty" (lower performance in real groundwater at pilot scale) (Nikic et al., 2023; Zhou et al., 2025); operational constraints;</w:t>
            </w:r>
            <w:r w:rsidR="00311763">
              <w:rPr>
                <w:rFonts w:ascii="Times New Roman" w:eastAsia="Times New Roman" w:hAnsi="Times New Roman" w:cs="Times New Roman"/>
                <w:sz w:val="20"/>
                <w:szCs w:val="20"/>
                <w:highlight w:val="white"/>
              </w:rPr>
              <w:t xml:space="preserve"> </w:t>
            </w:r>
            <w:r w:rsidRPr="00311763">
              <w:rPr>
                <w:rFonts w:ascii="Times New Roman" w:eastAsia="Times New Roman" w:hAnsi="Times New Roman" w:cs="Times New Roman"/>
                <w:sz w:val="20"/>
                <w:szCs w:val="20"/>
                <w:highlight w:val="white"/>
              </w:rPr>
              <w:t>competing anions; long-term stability in complex matrices</w:t>
            </w:r>
          </w:p>
        </w:tc>
      </w:tr>
      <w:tr w:rsidR="009221B8" w:rsidRPr="00311763" w14:paraId="44ADBF56" w14:textId="77777777" w:rsidTr="00311763">
        <w:trPr>
          <w:trHeight w:val="3590"/>
        </w:trPr>
        <w:tc>
          <w:tcPr>
            <w:tcW w:w="1560" w:type="dxa"/>
          </w:tcPr>
          <w:p w14:paraId="1F5C5391"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lastRenderedPageBreak/>
              <w:t>Biomineralization (e.g., Sulfate-Reducing Bacteria)</w:t>
            </w:r>
          </w:p>
        </w:tc>
        <w:tc>
          <w:tcPr>
            <w:tcW w:w="1680" w:type="dxa"/>
          </w:tcPr>
          <w:p w14:paraId="33FE9813"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 xml:space="preserve">Microbial reduction of sulfate to sulfide, leading to metal sulfide precipitation (Hu et al., 2024; Xu, &amp; Chen, 2020; </w:t>
            </w:r>
            <w:proofErr w:type="spellStart"/>
            <w:r w:rsidRPr="00311763">
              <w:rPr>
                <w:rFonts w:ascii="Times New Roman" w:eastAsia="Times New Roman" w:hAnsi="Times New Roman" w:cs="Times New Roman"/>
                <w:sz w:val="20"/>
                <w:szCs w:val="20"/>
                <w:highlight w:val="white"/>
              </w:rPr>
              <w:t>Mafane</w:t>
            </w:r>
            <w:proofErr w:type="spellEnd"/>
            <w:r w:rsidRPr="00311763">
              <w:rPr>
                <w:rFonts w:ascii="Times New Roman" w:eastAsia="Times New Roman" w:hAnsi="Times New Roman" w:cs="Times New Roman"/>
                <w:sz w:val="20"/>
                <w:szCs w:val="20"/>
                <w:highlight w:val="white"/>
              </w:rPr>
              <w:t xml:space="preserve"> et al., 2025)</w:t>
            </w:r>
          </w:p>
        </w:tc>
        <w:tc>
          <w:tcPr>
            <w:tcW w:w="1080" w:type="dxa"/>
          </w:tcPr>
          <w:p w14:paraId="491CE5CC"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Heavy metals (Fe, Cu, Cr, Cd, Pb, Zn)</w:t>
            </w:r>
          </w:p>
        </w:tc>
        <w:tc>
          <w:tcPr>
            <w:tcW w:w="1530" w:type="dxa"/>
          </w:tcPr>
          <w:p w14:paraId="74A8953A"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High efficiency (92-93% Fe, 79-81% Cu) (Zhou et al., 2023); 1/3 cost of chemical methods (Client's Research Brief, 2025)</w:t>
            </w:r>
          </w:p>
        </w:tc>
        <w:tc>
          <w:tcPr>
            <w:tcW w:w="1890" w:type="dxa"/>
          </w:tcPr>
          <w:p w14:paraId="0271D546"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Cost-effective (Hu et al., 2024); environmentally friendly (Hu et al., 2024); highly stable sulfide precipitates (Hu et al., 2024); passive operation once established</w:t>
            </w:r>
          </w:p>
        </w:tc>
        <w:tc>
          <w:tcPr>
            <w:tcW w:w="2430" w:type="dxa"/>
          </w:tcPr>
          <w:p w14:paraId="640F9400" w14:textId="77777777" w:rsidR="00F578C7" w:rsidRPr="00311763" w:rsidRDefault="00F578C7" w:rsidP="00862A1A">
            <w:pPr>
              <w:spacing w:line="360" w:lineRule="auto"/>
              <w:jc w:val="both"/>
              <w:rPr>
                <w:rFonts w:ascii="Times New Roman" w:eastAsia="Times New Roman" w:hAnsi="Times New Roman" w:cs="Times New Roman"/>
                <w:sz w:val="20"/>
                <w:szCs w:val="20"/>
                <w:highlight w:val="white"/>
              </w:rPr>
            </w:pPr>
            <w:r w:rsidRPr="00311763">
              <w:rPr>
                <w:rFonts w:ascii="Times New Roman" w:eastAsia="Times New Roman" w:hAnsi="Times New Roman" w:cs="Times New Roman"/>
                <w:sz w:val="20"/>
                <w:szCs w:val="20"/>
                <w:highlight w:val="white"/>
              </w:rPr>
              <w:t>Sensitivity to pH, temperature, nutrient availability (Hu et al., 2024; Microbially induced carbonate precipitation, 2023); precise mechanism still under research (Hu et al., 2024); need for robust field-scale validation of cost claims (Hu et al., 2024)</w:t>
            </w:r>
          </w:p>
        </w:tc>
      </w:tr>
    </w:tbl>
    <w:p w14:paraId="6620D07D" w14:textId="77777777" w:rsidR="00F578C7" w:rsidRPr="00862A1A" w:rsidRDefault="00F578C7" w:rsidP="00862A1A">
      <w:pPr>
        <w:spacing w:line="360" w:lineRule="auto"/>
        <w:jc w:val="both"/>
        <w:rPr>
          <w:rFonts w:ascii="Times New Roman" w:hAnsi="Times New Roman" w:cs="Times New Roman"/>
          <w:sz w:val="24"/>
          <w:szCs w:val="24"/>
        </w:rPr>
      </w:pPr>
    </w:p>
    <w:p w14:paraId="06E97282"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5. REGULATORY FRAMEWORKS AND COMPLIANCE FOR GROUNDWATER REMEDIATION</w:t>
      </w:r>
    </w:p>
    <w:p w14:paraId="7B10FAE8" w14:textId="77777777" w:rsidR="00D214E7" w:rsidRDefault="00D214E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The effectiveness and long-term sustainability of geochemical barriers and mineral precipitation technologies are closely shaped by existing regulatory frameworks (Client's Research Brief, 2025). These frameworks, set by governmental agencies, define cleanup targets, acceptable contaminant thresholds, monitoring obligations, and the overall process of site remediation. In North America, the U.S. Environmental Protection Agency (EPA) and Canadian federal and provincial authorities play central roles in guiding remediation practices. Their policies not only establish technical standards but also influence the feasibility, design, and long-term monitoring of geochemical and mineral-based groundwater treatment systems.</w:t>
      </w:r>
    </w:p>
    <w:p w14:paraId="73B3ECCE" w14:textId="77777777" w:rsidR="00047B2F" w:rsidRPr="00862A1A" w:rsidRDefault="00047B2F" w:rsidP="00862A1A">
      <w:pPr>
        <w:spacing w:line="360" w:lineRule="auto"/>
        <w:jc w:val="both"/>
        <w:rPr>
          <w:rFonts w:ascii="Times New Roman" w:hAnsi="Times New Roman" w:cs="Times New Roman"/>
          <w:sz w:val="24"/>
          <w:szCs w:val="24"/>
        </w:rPr>
      </w:pPr>
    </w:p>
    <w:p w14:paraId="720F7105" w14:textId="03E81F9A"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5.1 US Environmental Protection Agency (EPA) Guidelines</w:t>
      </w:r>
    </w:p>
    <w:p w14:paraId="556FB916"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The US EPA plays a pivotal role in setting standards and providing guidance for the remediation of contaminated sites across the United States (U.S. Environmental Protection Agency, n.d.-k). Two areas of particular relevance to geochemical barriers are Monitored Natural Attenuation (MNA) and Permeable Reactive Barriers (PRBs).</w:t>
      </w:r>
    </w:p>
    <w:p w14:paraId="3A1C6CF7"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5.1.1 Monitored Natural Attenuation (MNA) Protocol Updates (2023)</w:t>
      </w:r>
    </w:p>
    <w:p w14:paraId="3A9CAB6E" w14:textId="58909C89" w:rsidR="00D214E7" w:rsidRPr="00D214E7" w:rsidRDefault="00D214E7" w:rsidP="00862A1A">
      <w:pPr>
        <w:spacing w:line="360" w:lineRule="auto"/>
        <w:jc w:val="both"/>
        <w:rPr>
          <w:rFonts w:ascii="Times New Roman" w:hAnsi="Times New Roman" w:cs="Times New Roman"/>
          <w:sz w:val="24"/>
          <w:szCs w:val="24"/>
          <w:lang w:val="en-GB"/>
        </w:rPr>
      </w:pPr>
      <w:r w:rsidRPr="00D214E7">
        <w:rPr>
          <w:rFonts w:ascii="Times New Roman" w:hAnsi="Times New Roman" w:cs="Times New Roman"/>
          <w:sz w:val="24"/>
          <w:szCs w:val="24"/>
          <w:lang w:val="en-GB"/>
        </w:rPr>
        <w:lastRenderedPageBreak/>
        <w:t>In 2023, the U.S. Environmental Protection Agency (EPA) updated it Monitored Natural Attenuation (MNA) protocol to reflect new scientific insights into this passive remediation strategy (Client's Research Brief, 2025; U.S. Environmental Protection Agency, 2023). MNA relies on natural physical, chemical, and biological processes to lower contaminant concentrations within cleanup timeframes (Federal Remediation Technologies Roundtable, n.d.-b).</w:t>
      </w:r>
    </w:p>
    <w:p w14:paraId="27696D16" w14:textId="753A3EF0" w:rsidR="00D214E7" w:rsidRPr="00D214E7" w:rsidRDefault="00D214E7" w:rsidP="00862A1A">
      <w:pPr>
        <w:spacing w:line="360" w:lineRule="auto"/>
        <w:jc w:val="both"/>
        <w:rPr>
          <w:rFonts w:ascii="Times New Roman" w:hAnsi="Times New Roman" w:cs="Times New Roman"/>
          <w:sz w:val="24"/>
          <w:szCs w:val="24"/>
          <w:lang w:val="en-GB"/>
        </w:rPr>
      </w:pPr>
      <w:r w:rsidRPr="00D214E7">
        <w:rPr>
          <w:rFonts w:ascii="Times New Roman" w:hAnsi="Times New Roman" w:cs="Times New Roman"/>
          <w:sz w:val="24"/>
          <w:szCs w:val="24"/>
          <w:lang w:val="en-GB"/>
        </w:rPr>
        <w:t>Monitoring under MNA is highly detailed, requiring measurements of field parameters such as dissolved oxygen, oxidation-reduction potential (ORP), conductivity, pH, and temperature</w:t>
      </w:r>
      <w:r w:rsidR="00311763">
        <w:rPr>
          <w:rFonts w:ascii="Times New Roman" w:hAnsi="Times New Roman" w:cs="Times New Roman"/>
          <w:sz w:val="24"/>
          <w:szCs w:val="24"/>
          <w:lang w:val="en-GB"/>
        </w:rPr>
        <w:t xml:space="preserve"> </w:t>
      </w:r>
      <w:r w:rsidRPr="00D214E7">
        <w:rPr>
          <w:rFonts w:ascii="Times New Roman" w:hAnsi="Times New Roman" w:cs="Times New Roman"/>
          <w:sz w:val="24"/>
          <w:szCs w:val="24"/>
          <w:lang w:val="en-GB"/>
        </w:rPr>
        <w:t>key indicators of aquifer redox state and geochemical conditions (Federal Remediation Technologies Roundtable, n.d.-b). A major feature of the 2023 update is its explicit focus on inorganic contaminants (Client's Research Brief, 2025). Regulators now emphasize that attenuation through sorption or precipitation may be reversible if subsurface conditions shift (North Carolina Department of Environmental Quality, 2017).</w:t>
      </w:r>
    </w:p>
    <w:p w14:paraId="128A9B78" w14:textId="77777777" w:rsidR="00D214E7" w:rsidRPr="00D214E7" w:rsidRDefault="00D214E7" w:rsidP="00862A1A">
      <w:pPr>
        <w:spacing w:line="360" w:lineRule="auto"/>
        <w:jc w:val="both"/>
        <w:rPr>
          <w:rFonts w:ascii="Times New Roman" w:hAnsi="Times New Roman" w:cs="Times New Roman"/>
          <w:sz w:val="24"/>
          <w:szCs w:val="24"/>
          <w:lang w:val="en-GB"/>
        </w:rPr>
      </w:pPr>
      <w:r w:rsidRPr="00D214E7">
        <w:rPr>
          <w:rFonts w:ascii="Times New Roman" w:hAnsi="Times New Roman" w:cs="Times New Roman"/>
          <w:sz w:val="24"/>
          <w:szCs w:val="24"/>
          <w:lang w:val="en-GB"/>
        </w:rPr>
        <w:t xml:space="preserve">Although sometimes mischaracterized as a “do nothing” approach, the EPA stresses that MNA is not a “no action” alternative but a data-intensive remedy requiring extensive sampling, monitoring, and </w:t>
      </w:r>
      <w:proofErr w:type="spellStart"/>
      <w:r w:rsidRPr="00D214E7">
        <w:rPr>
          <w:rFonts w:ascii="Times New Roman" w:hAnsi="Times New Roman" w:cs="Times New Roman"/>
          <w:sz w:val="24"/>
          <w:szCs w:val="24"/>
          <w:lang w:val="en-GB"/>
        </w:rPr>
        <w:t>modeling</w:t>
      </w:r>
      <w:proofErr w:type="spellEnd"/>
      <w:r w:rsidRPr="00D214E7">
        <w:rPr>
          <w:rFonts w:ascii="Times New Roman" w:hAnsi="Times New Roman" w:cs="Times New Roman"/>
          <w:sz w:val="24"/>
          <w:szCs w:val="24"/>
          <w:lang w:val="en-GB"/>
        </w:rPr>
        <w:t xml:space="preserve"> (Newell et al., 2021).</w:t>
      </w:r>
    </w:p>
    <w:p w14:paraId="2D082172"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5.1.2 Permeable Reactive Barrier (PRB) Design Standards (EPA/600/R-22/221)</w:t>
      </w:r>
    </w:p>
    <w:p w14:paraId="06491C07" w14:textId="77777777" w:rsidR="00022A0E" w:rsidRPr="00022A0E" w:rsidRDefault="00022A0E" w:rsidP="00862A1A">
      <w:pPr>
        <w:spacing w:line="360" w:lineRule="auto"/>
        <w:jc w:val="both"/>
        <w:rPr>
          <w:rFonts w:ascii="Times New Roman" w:hAnsi="Times New Roman" w:cs="Times New Roman"/>
          <w:sz w:val="24"/>
          <w:szCs w:val="24"/>
          <w:lang w:val="en-GB"/>
        </w:rPr>
      </w:pPr>
      <w:r w:rsidRPr="00022A0E">
        <w:rPr>
          <w:rFonts w:ascii="Times New Roman" w:hAnsi="Times New Roman" w:cs="Times New Roman"/>
          <w:sz w:val="24"/>
          <w:szCs w:val="24"/>
          <w:lang w:val="en-GB"/>
        </w:rPr>
        <w:t>The query cites “PRB design standards (EPA/600/R-22/221)” (Client's Research Brief, 2025), yet the linked excerpts focus on NESHAP standards for inorganic HAP emissions, risk assessment, and landfill gas control (U.S. Environmental Protection Agency, 2023; U.S. Environmental Protection Agency, n.d.-j; U.S. Environmental Protection Agency, n.d.-l).</w:t>
      </w:r>
    </w:p>
    <w:p w14:paraId="3DC4DF0E" w14:textId="77777777" w:rsidR="00022A0E" w:rsidRPr="00022A0E" w:rsidRDefault="00022A0E" w:rsidP="00862A1A">
      <w:pPr>
        <w:spacing w:line="360" w:lineRule="auto"/>
        <w:jc w:val="both"/>
        <w:rPr>
          <w:rFonts w:ascii="Times New Roman" w:hAnsi="Times New Roman" w:cs="Times New Roman"/>
          <w:sz w:val="24"/>
          <w:szCs w:val="24"/>
          <w:lang w:val="en-GB"/>
        </w:rPr>
      </w:pPr>
      <w:r w:rsidRPr="00022A0E">
        <w:rPr>
          <w:rFonts w:ascii="Times New Roman" w:hAnsi="Times New Roman" w:cs="Times New Roman"/>
          <w:sz w:val="24"/>
          <w:szCs w:val="24"/>
          <w:lang w:val="en-GB"/>
        </w:rPr>
        <w:t>Clearer guidance on PRB design appears in EPA and Federal Remediation Technologies Roundtable (FRTR) resources. PRBs are passive, in situ barriers that immobilize or degrade contaminants in groundwater (Federal Remediation Technologies Roundtable, n.d.-c; Muller et al., 2021) and are considered cost-effective alternatives to pump-and-treat methods (Federal Remediation Technologies Roundtable, n.d.-c; U.S. Environmental Protection Agency, n.d.-c).</w:t>
      </w:r>
    </w:p>
    <w:p w14:paraId="44AE03DD" w14:textId="58448F10" w:rsidR="00022A0E" w:rsidRPr="00022A0E" w:rsidRDefault="00022A0E" w:rsidP="00862A1A">
      <w:pPr>
        <w:spacing w:line="360" w:lineRule="auto"/>
        <w:jc w:val="both"/>
        <w:rPr>
          <w:rFonts w:ascii="Times New Roman" w:hAnsi="Times New Roman" w:cs="Times New Roman"/>
          <w:sz w:val="24"/>
          <w:szCs w:val="24"/>
          <w:lang w:val="en-GB"/>
        </w:rPr>
      </w:pPr>
      <w:r w:rsidRPr="00022A0E">
        <w:rPr>
          <w:rFonts w:ascii="Times New Roman" w:hAnsi="Times New Roman" w:cs="Times New Roman"/>
          <w:sz w:val="24"/>
          <w:szCs w:val="24"/>
          <w:lang w:val="en-GB"/>
        </w:rPr>
        <w:lastRenderedPageBreak/>
        <w:t>EPA and FRTR stress thorough site characterization</w:t>
      </w:r>
      <w:r w:rsidR="00311763">
        <w:rPr>
          <w:rFonts w:ascii="Times New Roman" w:hAnsi="Times New Roman" w:cs="Times New Roman"/>
          <w:sz w:val="24"/>
          <w:szCs w:val="24"/>
          <w:lang w:val="en-GB"/>
        </w:rPr>
        <w:t xml:space="preserve"> </w:t>
      </w:r>
      <w:r w:rsidRPr="00022A0E">
        <w:rPr>
          <w:rFonts w:ascii="Times New Roman" w:hAnsi="Times New Roman" w:cs="Times New Roman"/>
          <w:sz w:val="24"/>
          <w:szCs w:val="24"/>
          <w:lang w:val="en-GB"/>
        </w:rPr>
        <w:t>hydrogeological, geochemical, and microbial</w:t>
      </w:r>
      <w:r w:rsidR="00BF1AA8">
        <w:rPr>
          <w:rFonts w:ascii="Times New Roman" w:hAnsi="Times New Roman" w:cs="Times New Roman"/>
          <w:sz w:val="24"/>
          <w:szCs w:val="24"/>
          <w:lang w:val="en-GB"/>
        </w:rPr>
        <w:t xml:space="preserve"> </w:t>
      </w:r>
      <w:r w:rsidRPr="00022A0E">
        <w:rPr>
          <w:rFonts w:ascii="Times New Roman" w:hAnsi="Times New Roman" w:cs="Times New Roman"/>
          <w:sz w:val="24"/>
          <w:szCs w:val="24"/>
          <w:lang w:val="en-GB"/>
        </w:rPr>
        <w:t>to ensure effective design and long-term reliability (U.S. Environmental Protection Agency, n.d.-f). They also note performance can decline through mineral scaling, corrosion, and biofilm growth, which reduce conductivity (U.S. Environmental Protection Agency, n.d.-f). Although valued for passive operation (Muller et al., 2021), PRBs require ongoing attention to permeability and clogging to sustain performance (U.S. Environmental Protection Agency, n.d.-d; U.S. Environmental Protection Agency, n.d.-f).</w:t>
      </w:r>
    </w:p>
    <w:p w14:paraId="3BF48216"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5.2 Canadian Environmental Standards</w:t>
      </w:r>
    </w:p>
    <w:p w14:paraId="624FE890" w14:textId="16DEFA3C"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Canada's regulatory framework for groundwater remediation, particularly concerning metal contamination from mining, involves both federal and provincial standards, reflecting a multi-jurisdictional approach to environmental protection (Kumar et al., 2023; U.S. Environmental Protection Agency, n.d.-</w:t>
      </w:r>
      <w:proofErr w:type="spellStart"/>
      <w:r w:rsidRPr="00862A1A">
        <w:rPr>
          <w:rFonts w:ascii="Times New Roman" w:hAnsi="Times New Roman" w:cs="Times New Roman"/>
          <w:sz w:val="24"/>
          <w:szCs w:val="24"/>
        </w:rPr>
        <w:t>i</w:t>
      </w:r>
      <w:proofErr w:type="spellEnd"/>
      <w:r w:rsidRPr="00862A1A">
        <w:rPr>
          <w:rFonts w:ascii="Times New Roman" w:hAnsi="Times New Roman" w:cs="Times New Roman"/>
          <w:sz w:val="24"/>
          <w:szCs w:val="24"/>
        </w:rPr>
        <w:t>).</w:t>
      </w:r>
    </w:p>
    <w:p w14:paraId="6AF4FA9E" w14:textId="7DC74FDE"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5.3 CCME Metal Mining Effluent Regulations</w:t>
      </w:r>
    </w:p>
    <w:p w14:paraId="5ACB42F3" w14:textId="77777777" w:rsidR="005A7452" w:rsidRPr="005A7452" w:rsidRDefault="005A7452" w:rsidP="005A7452">
      <w:pPr>
        <w:spacing w:before="100" w:beforeAutospacing="1" w:after="100" w:afterAutospacing="1" w:line="360" w:lineRule="auto"/>
        <w:rPr>
          <w:rFonts w:ascii="Times New Roman" w:eastAsia="Times New Roman" w:hAnsi="Times New Roman" w:cs="Times New Roman"/>
          <w:sz w:val="24"/>
          <w:szCs w:val="24"/>
        </w:rPr>
      </w:pPr>
      <w:r w:rsidRPr="005A7452">
        <w:rPr>
          <w:rFonts w:ascii="Times New Roman" w:eastAsia="Times New Roman" w:hAnsi="Times New Roman" w:cs="Times New Roman"/>
          <w:sz w:val="24"/>
          <w:szCs w:val="24"/>
        </w:rPr>
        <w:t>The Metal Mining Effluent Regulations (MMER), established by the Canadian Council of Ministers of the Environment (CCME), form a key part of Canada’s federal mining laws (Roach &amp; Walker, 2017). They set limits for substances like arsenic, copper, cyanide, lead, nickel, zinc, suspended solids, radium-226, and un-ionized ammonia. Schedule 4 outlines allowable monthly means for composite and grab samples (Canada.ca, n.d.-b). The regulations apply different thresholds to mines that opened or reopened after June 1, 2021, versus older operations (Canada.ca, n.d.-b).</w:t>
      </w:r>
    </w:p>
    <w:p w14:paraId="42D45D10" w14:textId="77777777" w:rsidR="005A7452" w:rsidRPr="005A7452" w:rsidRDefault="005A7452" w:rsidP="005A7452">
      <w:pPr>
        <w:spacing w:before="100" w:beforeAutospacing="1" w:after="100" w:afterAutospacing="1" w:line="360" w:lineRule="auto"/>
        <w:rPr>
          <w:rFonts w:ascii="Times New Roman" w:eastAsia="Times New Roman" w:hAnsi="Times New Roman" w:cs="Times New Roman"/>
          <w:sz w:val="24"/>
          <w:szCs w:val="24"/>
        </w:rPr>
      </w:pPr>
      <w:r w:rsidRPr="005A7452">
        <w:rPr>
          <w:rFonts w:ascii="Times New Roman" w:eastAsia="Times New Roman" w:hAnsi="Times New Roman" w:cs="Times New Roman"/>
          <w:sz w:val="24"/>
          <w:szCs w:val="24"/>
        </w:rPr>
        <w:t>To comply, mines must perform regular monitoring: weekly or quarterly sampling for contaminants and pH, monthly or quarterly acute lethality tests, and submit detailed quarterly and annual reports (Canada.ca, n.d.-b). Environmental Effects Monitoring (EEM) is also required to evaluate ecosystem impacts.</w:t>
      </w:r>
    </w:p>
    <w:p w14:paraId="68030128" w14:textId="77777777" w:rsidR="005A7452" w:rsidRPr="005A7452" w:rsidRDefault="005A7452" w:rsidP="005A7452">
      <w:pPr>
        <w:spacing w:before="100" w:beforeAutospacing="1" w:after="100" w:afterAutospacing="1" w:line="360" w:lineRule="auto"/>
        <w:rPr>
          <w:rFonts w:ascii="Times New Roman" w:eastAsia="Times New Roman" w:hAnsi="Times New Roman" w:cs="Times New Roman"/>
          <w:sz w:val="24"/>
          <w:szCs w:val="24"/>
        </w:rPr>
      </w:pPr>
      <w:r w:rsidRPr="005A7452">
        <w:rPr>
          <w:rFonts w:ascii="Times New Roman" w:eastAsia="Times New Roman" w:hAnsi="Times New Roman" w:cs="Times New Roman"/>
          <w:sz w:val="24"/>
          <w:szCs w:val="24"/>
        </w:rPr>
        <w:t>With strict discharge limits (Canada.ca, n.d.-a) and ongoing monitoring (Canada.ca, n.d.-b), MMER encourages remediation methods like geochemical barriers and mineral precipitation. Tiered thresholds reflect a tightening of standards over time, while the EEM program reinforces environmental responsibility beyond basic compliance.</w:t>
      </w:r>
    </w:p>
    <w:p w14:paraId="66AD4ABC" w14:textId="00278E59"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lastRenderedPageBreak/>
        <w:t>5.3.1 Provincial Variances (BC vs. Ontario)</w:t>
      </w:r>
    </w:p>
    <w:p w14:paraId="2118FB05"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In Canada, provincial regulations complement federal standards, often providing more granular detail or addressing regional specificities, such as natural background metal concentrations. This multi-jurisdictional approach can lead to variations in regulatory requirements and enforcement.</w:t>
      </w:r>
    </w:p>
    <w:p w14:paraId="4663AA2D" w14:textId="77777777" w:rsidR="00022A0E" w:rsidRPr="00862A1A" w:rsidRDefault="00F578C7" w:rsidP="00862A1A">
      <w:pPr>
        <w:spacing w:line="360" w:lineRule="auto"/>
        <w:jc w:val="both"/>
        <w:rPr>
          <w:rFonts w:ascii="Times New Roman" w:hAnsi="Times New Roman" w:cs="Times New Roman"/>
          <w:sz w:val="24"/>
          <w:szCs w:val="24"/>
        </w:rPr>
      </w:pPr>
      <w:proofErr w:type="spellStart"/>
      <w:r w:rsidRPr="00862A1A">
        <w:rPr>
          <w:rFonts w:ascii="Times New Roman" w:hAnsi="Times New Roman" w:cs="Times New Roman"/>
          <w:b/>
          <w:bCs/>
          <w:sz w:val="24"/>
          <w:szCs w:val="24"/>
        </w:rPr>
        <w:t>i</w:t>
      </w:r>
      <w:proofErr w:type="spellEnd"/>
      <w:r w:rsidRPr="00862A1A">
        <w:rPr>
          <w:rFonts w:ascii="Times New Roman" w:hAnsi="Times New Roman" w:cs="Times New Roman"/>
          <w:b/>
          <w:bCs/>
          <w:sz w:val="24"/>
          <w:szCs w:val="24"/>
        </w:rPr>
        <w:t>. British Columbia (BC):</w:t>
      </w:r>
      <w:r w:rsidRPr="00862A1A">
        <w:rPr>
          <w:rFonts w:ascii="Times New Roman" w:hAnsi="Times New Roman" w:cs="Times New Roman"/>
          <w:sz w:val="24"/>
          <w:szCs w:val="24"/>
        </w:rPr>
        <w:t xml:space="preserve"> </w:t>
      </w:r>
      <w:r w:rsidR="00022A0E" w:rsidRPr="00862A1A">
        <w:rPr>
          <w:rFonts w:ascii="Times New Roman" w:hAnsi="Times New Roman" w:cs="Times New Roman"/>
          <w:sz w:val="24"/>
          <w:szCs w:val="24"/>
        </w:rPr>
        <w:t xml:space="preserve">The Contaminated Sites Regulation (CSR), established under British Columbia’s Environmental Management Act, sets the framework for identifying and remediating contaminated sites through a staged process of Preliminary and Detailed Site Investigations (ASSESSMENT, 2010; British Columbia Energy Regulator, n.d.; Contaminated Sites Approved Professional Society, n.d.). </w:t>
      </w:r>
    </w:p>
    <w:p w14:paraId="0839F87A" w14:textId="77777777" w:rsidR="00022A0E" w:rsidRPr="00862A1A" w:rsidRDefault="00022A0E"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 xml:space="preserve">A key challenge has arisen from new groundwater quality standards for metals such as cobalt, lithium, and thallium, which in some cases are stricter than naturally occurring background levels (Keystone Environmental Ltd., n.d.-a). Interim background estimates now guide assessments, yet this creates a regulatory dilemma: remediation targets may require conditions “cleaner than background.” </w:t>
      </w:r>
    </w:p>
    <w:p w14:paraId="41A41DF9" w14:textId="4AD16C87" w:rsidR="00022A0E" w:rsidRPr="00862A1A" w:rsidRDefault="00022A0E"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Addressing this issue depends on robust methods for establishing site-specific background values and, where necessary, risk-based approaches that account for natural geochemical variability. Ultimately, this highlights the need to refine definitions of “contamination” in regions with naturally elevated metal concentration</w:t>
      </w:r>
      <w:r w:rsidR="005A7452">
        <w:rPr>
          <w:rFonts w:ascii="Times New Roman" w:hAnsi="Times New Roman" w:cs="Times New Roman"/>
          <w:sz w:val="24"/>
          <w:szCs w:val="24"/>
        </w:rPr>
        <w:t>s</w:t>
      </w:r>
      <w:r w:rsidRPr="00862A1A">
        <w:rPr>
          <w:rFonts w:ascii="Times New Roman" w:hAnsi="Times New Roman" w:cs="Times New Roman"/>
          <w:sz w:val="24"/>
          <w:szCs w:val="24"/>
        </w:rPr>
        <w:t>.</w:t>
      </w:r>
    </w:p>
    <w:p w14:paraId="25ABEE20" w14:textId="0893E0A4" w:rsidR="00022A0E"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b/>
          <w:bCs/>
          <w:sz w:val="24"/>
          <w:szCs w:val="24"/>
        </w:rPr>
        <w:t>ii. Ontario:</w:t>
      </w:r>
      <w:r w:rsidRPr="00862A1A">
        <w:rPr>
          <w:rFonts w:ascii="Times New Roman" w:hAnsi="Times New Roman" w:cs="Times New Roman"/>
          <w:sz w:val="24"/>
          <w:szCs w:val="24"/>
        </w:rPr>
        <w:t xml:space="preserve"> </w:t>
      </w:r>
      <w:r w:rsidR="00022A0E" w:rsidRPr="00862A1A">
        <w:rPr>
          <w:rFonts w:ascii="Times New Roman" w:hAnsi="Times New Roman" w:cs="Times New Roman"/>
          <w:sz w:val="24"/>
          <w:szCs w:val="24"/>
        </w:rPr>
        <w:t>Ontario’s water quality is regulated primarily through the Ontario Drinking Water Quality Standards (ODWS) (Hubbert, 2013), legally enforceable under the Safe Drinking Water Act, 2002 (Canadian Water Compliance, n.d.-b; Government of Ontario, 2003). The ODWS set Maximum Acceptable Concentrations (MACs) for microbiological, chemical, and radiological contaminants (Canadian Water Compliance, n.d.-b; Government of Ontario, 2003). This centralized oversight of municipal systems</w:t>
      </w:r>
      <w:r w:rsidR="00BF1AA8">
        <w:rPr>
          <w:rFonts w:ascii="Times New Roman" w:hAnsi="Times New Roman" w:cs="Times New Roman"/>
          <w:sz w:val="24"/>
          <w:szCs w:val="24"/>
        </w:rPr>
        <w:t xml:space="preserve"> </w:t>
      </w:r>
      <w:r w:rsidR="00022A0E" w:rsidRPr="00862A1A">
        <w:rPr>
          <w:rFonts w:ascii="Times New Roman" w:hAnsi="Times New Roman" w:cs="Times New Roman"/>
          <w:sz w:val="24"/>
          <w:szCs w:val="24"/>
        </w:rPr>
        <w:t>contrasting with the owner-driven monitoring of private wells</w:t>
      </w:r>
      <w:r w:rsidR="00BF1AA8">
        <w:rPr>
          <w:rFonts w:ascii="Times New Roman" w:hAnsi="Times New Roman" w:cs="Times New Roman"/>
          <w:sz w:val="24"/>
          <w:szCs w:val="24"/>
        </w:rPr>
        <w:t xml:space="preserve"> </w:t>
      </w:r>
      <w:r w:rsidR="00022A0E" w:rsidRPr="00862A1A">
        <w:rPr>
          <w:rFonts w:ascii="Times New Roman" w:hAnsi="Times New Roman" w:cs="Times New Roman"/>
          <w:sz w:val="24"/>
          <w:szCs w:val="24"/>
        </w:rPr>
        <w:t>illustrates how governance structures shape the effectiveness of environmental protection.</w:t>
      </w:r>
    </w:p>
    <w:p w14:paraId="048757BE" w14:textId="10444230"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lastRenderedPageBreak/>
        <w:t>6. ECONOMIC ANALYSIS: COST-BENEFIT OF GEOCHEMICAL REMEDIATION</w:t>
      </w:r>
    </w:p>
    <w:p w14:paraId="573DD55C"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Choosing a groundwater remediation strategy involves more than just technical effectiveness; factors such as economic feasibility and overall societal benefits are also essential, (Naseri-Rad, et, al., 2020). Conducting a detailed cost–benefit analysis enables stakeholders to weigh the financial investments against potential returns when evaluating different methods. This section examines the economic dimensions of geochemical remediation, comparing natural attenuation with engineered barriers while also considering the broader advantages of effective site cleanup.</w:t>
      </w:r>
    </w:p>
    <w:p w14:paraId="7A2F133E"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6.1 Cost Advantages of Natural Attenuation</w:t>
      </w:r>
    </w:p>
    <w:p w14:paraId="5DD01469" w14:textId="77777777" w:rsidR="00022A0E" w:rsidRPr="00022A0E" w:rsidRDefault="00022A0E" w:rsidP="00862A1A">
      <w:pPr>
        <w:spacing w:line="360" w:lineRule="auto"/>
        <w:jc w:val="both"/>
        <w:rPr>
          <w:rFonts w:ascii="Times New Roman" w:hAnsi="Times New Roman" w:cs="Times New Roman"/>
          <w:sz w:val="24"/>
          <w:szCs w:val="24"/>
          <w:lang w:val="en-GB"/>
        </w:rPr>
      </w:pPr>
      <w:r w:rsidRPr="00022A0E">
        <w:rPr>
          <w:rFonts w:ascii="Times New Roman" w:hAnsi="Times New Roman" w:cs="Times New Roman"/>
          <w:sz w:val="24"/>
          <w:szCs w:val="24"/>
          <w:lang w:val="en-GB"/>
        </w:rPr>
        <w:t>Natural attenuation (NA), particularly Monitored Natural Attenuation (MNA), is often viewed as a cost-effective alternative to intensive remediation (Federal Remediation Technologies Roundtable, n.d.-a; Newell et al., 2021; Boehm et al., 2020). By relying on natural subsurface processes, MNA can reduce cleanup costs while protecting human health and ecosystems (Boehm et al., 2020). Savings arise from lower infrastructure and intervention needs compared to pump-and-treat systems (Federal Remediation Technologies Roundtable, n.d.-a; Boehm et al., 2020).</w:t>
      </w:r>
    </w:p>
    <w:p w14:paraId="12ABE96D" w14:textId="77777777" w:rsidR="00022A0E" w:rsidRPr="00022A0E" w:rsidRDefault="00022A0E" w:rsidP="00862A1A">
      <w:pPr>
        <w:spacing w:line="360" w:lineRule="auto"/>
        <w:jc w:val="both"/>
        <w:rPr>
          <w:rFonts w:ascii="Times New Roman" w:hAnsi="Times New Roman" w:cs="Times New Roman"/>
          <w:sz w:val="24"/>
          <w:szCs w:val="24"/>
          <w:lang w:val="en-GB"/>
        </w:rPr>
      </w:pPr>
      <w:r w:rsidRPr="00022A0E">
        <w:rPr>
          <w:rFonts w:ascii="Times New Roman" w:hAnsi="Times New Roman" w:cs="Times New Roman"/>
          <w:sz w:val="24"/>
          <w:szCs w:val="24"/>
          <w:lang w:val="en-GB"/>
        </w:rPr>
        <w:t>However, MNA demands complex and often costly site characterization to evaluate contamination, groundwater geochemistry, and microbial activity (Federal Remediation Technologies Roundtable, n.d.-b; Newell et al., 2021). Despite these upfront costs, its long-term operation and maintenance expenses are generally lower, as reliance on passive processes allows monitoring to be scaled back once effectiveness is demonstrated (Federal Remediation Technologies Roundtable, n.d.-b). This balance of higher initial investment but lower long-term cost makes MNA especially attractive for large or diffuse contaminant plumes where active treatment is impractical.</w:t>
      </w:r>
    </w:p>
    <w:p w14:paraId="4785B3D9"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6.2 Cost-Effectiveness of Engineered Barriers</w:t>
      </w:r>
    </w:p>
    <w:p w14:paraId="6CE385D2" w14:textId="77777777" w:rsidR="00022A0E" w:rsidRPr="00022A0E" w:rsidRDefault="00022A0E" w:rsidP="00862A1A">
      <w:pPr>
        <w:spacing w:line="360" w:lineRule="auto"/>
        <w:jc w:val="both"/>
        <w:rPr>
          <w:rFonts w:ascii="Times New Roman" w:hAnsi="Times New Roman" w:cs="Times New Roman"/>
          <w:sz w:val="24"/>
          <w:szCs w:val="24"/>
          <w:lang w:val="en-GB"/>
        </w:rPr>
      </w:pPr>
      <w:r w:rsidRPr="00022A0E">
        <w:rPr>
          <w:rFonts w:ascii="Times New Roman" w:hAnsi="Times New Roman" w:cs="Times New Roman"/>
          <w:sz w:val="24"/>
          <w:szCs w:val="24"/>
          <w:lang w:val="en-GB"/>
        </w:rPr>
        <w:t xml:space="preserve">Engineered geochemical barriers, such as Permeable Reactive Barriers (PRBs) and chemical amendments, require significant upfront investment but often yield long-term </w:t>
      </w:r>
      <w:r w:rsidRPr="00022A0E">
        <w:rPr>
          <w:rFonts w:ascii="Times New Roman" w:hAnsi="Times New Roman" w:cs="Times New Roman"/>
          <w:sz w:val="24"/>
          <w:szCs w:val="24"/>
          <w:lang w:val="en-GB"/>
        </w:rPr>
        <w:lastRenderedPageBreak/>
        <w:t xml:space="preserve">savings compared to energy-intensive pump-and-treat systems (Torres &amp; Gómez, 2020). PRBs are especially valued for their passive operation, which reduces energy and </w:t>
      </w:r>
      <w:proofErr w:type="spellStart"/>
      <w:r w:rsidRPr="00022A0E">
        <w:rPr>
          <w:rFonts w:ascii="Times New Roman" w:hAnsi="Times New Roman" w:cs="Times New Roman"/>
          <w:sz w:val="24"/>
          <w:szCs w:val="24"/>
          <w:lang w:val="en-GB"/>
        </w:rPr>
        <w:t>labor</w:t>
      </w:r>
      <w:proofErr w:type="spellEnd"/>
      <w:r w:rsidRPr="00022A0E">
        <w:rPr>
          <w:rFonts w:ascii="Times New Roman" w:hAnsi="Times New Roman" w:cs="Times New Roman"/>
          <w:sz w:val="24"/>
          <w:szCs w:val="24"/>
          <w:lang w:val="en-GB"/>
        </w:rPr>
        <w:t xml:space="preserve"> demands, lowering operation and maintenance (O&amp;M) costs (Federal Remediation Technologies Roundtable, n.d.-c; Muller et al., 2021). Despite installation costs, studies show PRBs can outperform pump-and-treat in overall cost-effectiveness due to reduced O&amp;M needs (U.S. Environmental Protection Agency, n.d.-f).</w:t>
      </w:r>
    </w:p>
    <w:p w14:paraId="6F91C392" w14:textId="77777777" w:rsidR="00022A0E" w:rsidRPr="00022A0E" w:rsidRDefault="00022A0E" w:rsidP="00862A1A">
      <w:pPr>
        <w:spacing w:line="360" w:lineRule="auto"/>
        <w:jc w:val="both"/>
        <w:rPr>
          <w:rFonts w:ascii="Times New Roman" w:hAnsi="Times New Roman" w:cs="Times New Roman"/>
          <w:sz w:val="24"/>
          <w:szCs w:val="24"/>
          <w:lang w:val="en-GB"/>
        </w:rPr>
      </w:pPr>
      <w:r w:rsidRPr="00022A0E">
        <w:rPr>
          <w:rFonts w:ascii="Times New Roman" w:hAnsi="Times New Roman" w:cs="Times New Roman"/>
          <w:sz w:val="24"/>
          <w:szCs w:val="24"/>
          <w:lang w:val="en-GB"/>
        </w:rPr>
        <w:t>Their cost efficiency, however, depends on site-specific factors. Mineral precipitation, biofilm growth, or other clogging processes can reduce performance and require costly maintenance (U.S. Environmental Protection Agency, n.d.-f; Rebovich &amp; Curtis, 2020). Moreover, reliable design demands detailed hydrogeologic and geochemical characterization, adding to initial expenditures (U.S. Environmental Protection Agency, n.d.-f).</w:t>
      </w:r>
    </w:p>
    <w:p w14:paraId="4608A2A9" w14:textId="77777777" w:rsidR="00022A0E" w:rsidRPr="00022A0E" w:rsidRDefault="00022A0E" w:rsidP="00862A1A">
      <w:pPr>
        <w:spacing w:line="360" w:lineRule="auto"/>
        <w:jc w:val="both"/>
        <w:rPr>
          <w:rFonts w:ascii="Times New Roman" w:hAnsi="Times New Roman" w:cs="Times New Roman"/>
          <w:sz w:val="24"/>
          <w:szCs w:val="24"/>
          <w:lang w:val="en-GB"/>
        </w:rPr>
      </w:pPr>
      <w:r w:rsidRPr="00022A0E">
        <w:rPr>
          <w:rFonts w:ascii="Times New Roman" w:hAnsi="Times New Roman" w:cs="Times New Roman"/>
          <w:sz w:val="24"/>
          <w:szCs w:val="24"/>
          <w:lang w:val="en-GB"/>
        </w:rPr>
        <w:t xml:space="preserve">Emerging approaches, such as biomineralization, show further promise. Research at the University of British Columbia (UBC) suggests </w:t>
      </w:r>
      <w:proofErr w:type="spellStart"/>
      <w:r w:rsidRPr="00022A0E">
        <w:rPr>
          <w:rFonts w:ascii="Times New Roman" w:hAnsi="Times New Roman" w:cs="Times New Roman"/>
          <w:sz w:val="24"/>
          <w:szCs w:val="24"/>
          <w:lang w:val="en-GB"/>
        </w:rPr>
        <w:t>sulfate</w:t>
      </w:r>
      <w:proofErr w:type="spellEnd"/>
      <w:r w:rsidRPr="00022A0E">
        <w:rPr>
          <w:rFonts w:ascii="Times New Roman" w:hAnsi="Times New Roman" w:cs="Times New Roman"/>
          <w:sz w:val="24"/>
          <w:szCs w:val="24"/>
          <w:lang w:val="en-GB"/>
        </w:rPr>
        <w:t xml:space="preserve">-reducing bacteria (SRB) can precipitate metal </w:t>
      </w:r>
      <w:proofErr w:type="spellStart"/>
      <w:r w:rsidRPr="00022A0E">
        <w:rPr>
          <w:rFonts w:ascii="Times New Roman" w:hAnsi="Times New Roman" w:cs="Times New Roman"/>
          <w:sz w:val="24"/>
          <w:szCs w:val="24"/>
          <w:lang w:val="en-GB"/>
        </w:rPr>
        <w:t>sulfides</w:t>
      </w:r>
      <w:proofErr w:type="spellEnd"/>
      <w:r w:rsidRPr="00022A0E">
        <w:rPr>
          <w:rFonts w:ascii="Times New Roman" w:hAnsi="Times New Roman" w:cs="Times New Roman"/>
          <w:sz w:val="24"/>
          <w:szCs w:val="24"/>
          <w:lang w:val="en-GB"/>
        </w:rPr>
        <w:t xml:space="preserve"> at about one-third the cost of chemical treatments (Client’s Research Brief, 2025).</w:t>
      </w:r>
    </w:p>
    <w:p w14:paraId="50A34557"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6.3 Broader Societal and Environmental Benefits</w:t>
      </w:r>
    </w:p>
    <w:p w14:paraId="31CA5E94" w14:textId="1CD795BC" w:rsidR="00022A0E" w:rsidRPr="00022A0E" w:rsidRDefault="00022A0E" w:rsidP="00862A1A">
      <w:pPr>
        <w:spacing w:line="360" w:lineRule="auto"/>
        <w:jc w:val="both"/>
        <w:rPr>
          <w:rFonts w:ascii="Times New Roman" w:hAnsi="Times New Roman" w:cs="Times New Roman"/>
          <w:sz w:val="24"/>
          <w:szCs w:val="24"/>
          <w:lang w:val="en-GB"/>
        </w:rPr>
      </w:pPr>
      <w:r w:rsidRPr="00022A0E">
        <w:rPr>
          <w:rFonts w:ascii="Times New Roman" w:hAnsi="Times New Roman" w:cs="Times New Roman"/>
          <w:sz w:val="24"/>
          <w:szCs w:val="24"/>
          <w:lang w:val="en-GB"/>
        </w:rPr>
        <w:t>Beyond direct financial costs, groundwater remediation</w:t>
      </w:r>
      <w:r w:rsidR="00BF1AA8">
        <w:rPr>
          <w:rFonts w:ascii="Times New Roman" w:hAnsi="Times New Roman" w:cs="Times New Roman"/>
          <w:sz w:val="24"/>
          <w:szCs w:val="24"/>
          <w:lang w:val="en-GB"/>
        </w:rPr>
        <w:t xml:space="preserve"> </w:t>
      </w:r>
      <w:r w:rsidRPr="00022A0E">
        <w:rPr>
          <w:rFonts w:ascii="Times New Roman" w:hAnsi="Times New Roman" w:cs="Times New Roman"/>
          <w:sz w:val="24"/>
          <w:szCs w:val="24"/>
          <w:lang w:val="en-GB"/>
        </w:rPr>
        <w:t>whether natural or engineered</w:t>
      </w:r>
      <w:r w:rsidR="00BF1AA8">
        <w:rPr>
          <w:rFonts w:ascii="Times New Roman" w:hAnsi="Times New Roman" w:cs="Times New Roman"/>
          <w:sz w:val="24"/>
          <w:szCs w:val="24"/>
          <w:lang w:val="en-GB"/>
        </w:rPr>
        <w:t xml:space="preserve"> </w:t>
      </w:r>
      <w:r w:rsidRPr="00022A0E">
        <w:rPr>
          <w:rFonts w:ascii="Times New Roman" w:hAnsi="Times New Roman" w:cs="Times New Roman"/>
          <w:sz w:val="24"/>
          <w:szCs w:val="24"/>
          <w:lang w:val="en-GB"/>
        </w:rPr>
        <w:t>delivers societal and environmental benefits that are vital to cost-benefit evaluations, even if difficult to quantify (National Academies of Sciences, Medicine, Division on Engineering, Physical Sciences, Division on Earth, Water Science, &amp; Opportunities in Environmental Engineering for the Twenty-First Century, 2019).</w:t>
      </w:r>
    </w:p>
    <w:p w14:paraId="3B9B249D" w14:textId="77777777" w:rsidR="00022A0E" w:rsidRPr="00022A0E" w:rsidRDefault="00022A0E" w:rsidP="00862A1A">
      <w:pPr>
        <w:spacing w:line="360" w:lineRule="auto"/>
        <w:jc w:val="both"/>
        <w:rPr>
          <w:rFonts w:ascii="Times New Roman" w:hAnsi="Times New Roman" w:cs="Times New Roman"/>
          <w:sz w:val="24"/>
          <w:szCs w:val="24"/>
          <w:lang w:val="en-GB"/>
        </w:rPr>
      </w:pPr>
      <w:r w:rsidRPr="00022A0E">
        <w:rPr>
          <w:rFonts w:ascii="Times New Roman" w:hAnsi="Times New Roman" w:cs="Times New Roman"/>
          <w:sz w:val="24"/>
          <w:szCs w:val="24"/>
          <w:lang w:val="en-GB"/>
        </w:rPr>
        <w:t xml:space="preserve">A primary benefit is safeguarding human health. Contaminated groundwater exposes communities to heavy metals linked with cancer, neurological disorders, kidney damage, and developmental issues (Canadian Water Compliance, n.d.-a; Kumar et al., 2023). Remediation mitigates these risks, improving public health. Ecological recovery is equally important: metal pollution disrupts aquatic systems, causing fish mortality and biodiversity loss (U.S. Environmental Protection Agency, n.d.-g). By restoring water quality, </w:t>
      </w:r>
      <w:r w:rsidRPr="00022A0E">
        <w:rPr>
          <w:rFonts w:ascii="Times New Roman" w:hAnsi="Times New Roman" w:cs="Times New Roman"/>
          <w:sz w:val="24"/>
          <w:szCs w:val="24"/>
          <w:lang w:val="en-GB"/>
        </w:rPr>
        <w:lastRenderedPageBreak/>
        <w:t>remediation supports fish and benthic community rebound, monitored in Canada through the Environmental Effects Monitoring (EEM) program (Canada.ca, n.d.-b).</w:t>
      </w:r>
    </w:p>
    <w:p w14:paraId="49D87480" w14:textId="03797C92" w:rsidR="00022A0E" w:rsidRPr="00022A0E" w:rsidRDefault="00022A0E" w:rsidP="00862A1A">
      <w:pPr>
        <w:spacing w:line="360" w:lineRule="auto"/>
        <w:jc w:val="both"/>
        <w:rPr>
          <w:rFonts w:ascii="Times New Roman" w:hAnsi="Times New Roman" w:cs="Times New Roman"/>
          <w:sz w:val="24"/>
          <w:szCs w:val="24"/>
          <w:lang w:val="en-GB"/>
        </w:rPr>
      </w:pPr>
      <w:r w:rsidRPr="00022A0E">
        <w:rPr>
          <w:rFonts w:ascii="Times New Roman" w:hAnsi="Times New Roman" w:cs="Times New Roman"/>
          <w:sz w:val="24"/>
          <w:szCs w:val="24"/>
          <w:lang w:val="en-GB"/>
        </w:rPr>
        <w:t>Remediation also stimulates community revitalization. Cleanups enable land redevelopment, housing, and business opportunities (Contaminated Sites Approved Professional Society, n.d.; U.S. Environmental Protection Agency, n.d.-p), while Canadian programs create employment for Indigenous and Northern communities (Natural Resources Canada, n.d.-a). Restoring aquifers further secures water for households, agriculture, and industry</w:t>
      </w:r>
      <w:r w:rsidR="00BF1AA8">
        <w:rPr>
          <w:rFonts w:ascii="Times New Roman" w:hAnsi="Times New Roman" w:cs="Times New Roman"/>
          <w:sz w:val="24"/>
          <w:szCs w:val="24"/>
          <w:lang w:val="en-GB"/>
        </w:rPr>
        <w:t xml:space="preserve"> </w:t>
      </w:r>
      <w:r w:rsidRPr="00022A0E">
        <w:rPr>
          <w:rFonts w:ascii="Times New Roman" w:hAnsi="Times New Roman" w:cs="Times New Roman"/>
          <w:sz w:val="24"/>
          <w:szCs w:val="24"/>
          <w:lang w:val="en-GB"/>
        </w:rPr>
        <w:t>critical given that nearly 30% of Canadians rely on groundwater (Kumar et al., 2023).</w:t>
      </w:r>
    </w:p>
    <w:p w14:paraId="0FFA27B2" w14:textId="77777777" w:rsidR="00022A0E" w:rsidRPr="00022A0E" w:rsidRDefault="00022A0E" w:rsidP="00862A1A">
      <w:pPr>
        <w:spacing w:line="360" w:lineRule="auto"/>
        <w:jc w:val="both"/>
        <w:rPr>
          <w:rFonts w:ascii="Times New Roman" w:hAnsi="Times New Roman" w:cs="Times New Roman"/>
          <w:sz w:val="24"/>
          <w:szCs w:val="24"/>
          <w:lang w:val="en-GB"/>
        </w:rPr>
      </w:pPr>
      <w:r w:rsidRPr="00022A0E">
        <w:rPr>
          <w:rFonts w:ascii="Times New Roman" w:hAnsi="Times New Roman" w:cs="Times New Roman"/>
          <w:sz w:val="24"/>
          <w:szCs w:val="24"/>
          <w:lang w:val="en-GB"/>
        </w:rPr>
        <w:t>Finally, remediation reflects intergenerational equity. Projects like the Faro Mine cleanup, projected to last over a century, prevent future generations from inheriting environmental liabilities while integrating adaptive management for climate resilience (Changing Climate, n.d.; Wiebe et al., 2024).</w:t>
      </w:r>
    </w:p>
    <w:p w14:paraId="0AD19F4D" w14:textId="08547118" w:rsidR="00022A0E" w:rsidRPr="00022A0E" w:rsidRDefault="00022A0E" w:rsidP="00862A1A">
      <w:pPr>
        <w:spacing w:line="360" w:lineRule="auto"/>
        <w:jc w:val="both"/>
        <w:rPr>
          <w:rFonts w:ascii="Times New Roman" w:hAnsi="Times New Roman" w:cs="Times New Roman"/>
          <w:sz w:val="24"/>
          <w:szCs w:val="24"/>
          <w:lang w:val="en-GB"/>
        </w:rPr>
      </w:pPr>
      <w:r w:rsidRPr="00022A0E">
        <w:rPr>
          <w:rFonts w:ascii="Times New Roman" w:hAnsi="Times New Roman" w:cs="Times New Roman"/>
          <w:sz w:val="24"/>
          <w:szCs w:val="24"/>
          <w:lang w:val="en-GB"/>
        </w:rPr>
        <w:t xml:space="preserve">Although harder to monetize, </w:t>
      </w:r>
      <w:r w:rsidR="00BF1AA8" w:rsidRPr="00022A0E">
        <w:rPr>
          <w:rFonts w:ascii="Times New Roman" w:hAnsi="Times New Roman" w:cs="Times New Roman"/>
          <w:sz w:val="24"/>
          <w:szCs w:val="24"/>
          <w:lang w:val="en-GB"/>
        </w:rPr>
        <w:t>this health</w:t>
      </w:r>
      <w:r w:rsidRPr="00022A0E">
        <w:rPr>
          <w:rFonts w:ascii="Times New Roman" w:hAnsi="Times New Roman" w:cs="Times New Roman"/>
          <w:sz w:val="24"/>
          <w:szCs w:val="24"/>
          <w:lang w:val="en-GB"/>
        </w:rPr>
        <w:t>, ecological, and community benefits represent significant positive externalities. Comprehensive cost-benefit assessments must therefore consider both measurable financial outcomes and these broader societal values.</w:t>
      </w:r>
    </w:p>
    <w:p w14:paraId="759DAD69"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7. CONCLUSIONS AND FUTURE DIRECTIONS</w:t>
      </w:r>
    </w:p>
    <w:p w14:paraId="3D1283BE"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7.1 Conclusion</w:t>
      </w:r>
    </w:p>
    <w:p w14:paraId="7DBD5256" w14:textId="77777777" w:rsidR="00862A1A" w:rsidRPr="00862A1A" w:rsidRDefault="00862A1A" w:rsidP="00862A1A">
      <w:pPr>
        <w:spacing w:line="360" w:lineRule="auto"/>
        <w:jc w:val="both"/>
        <w:rPr>
          <w:rFonts w:ascii="Times New Roman" w:hAnsi="Times New Roman" w:cs="Times New Roman"/>
          <w:sz w:val="24"/>
          <w:szCs w:val="24"/>
          <w:lang w:val="en-GB"/>
        </w:rPr>
      </w:pPr>
      <w:r w:rsidRPr="00862A1A">
        <w:rPr>
          <w:rFonts w:ascii="Times New Roman" w:hAnsi="Times New Roman" w:cs="Times New Roman"/>
          <w:sz w:val="24"/>
          <w:szCs w:val="24"/>
          <w:lang w:val="en-GB"/>
        </w:rPr>
        <w:t>The remediation of metal-contaminated groundwater in North America remains a complex, long-term challenge shaped by industrial and mining legacies. Solutions range from natural attenuation to engineered precipitation systems, with case studies demonstrating both effectiveness and site-specific limitations.</w:t>
      </w:r>
    </w:p>
    <w:p w14:paraId="630CA187" w14:textId="77777777" w:rsidR="00862A1A" w:rsidRPr="00862A1A" w:rsidRDefault="00862A1A" w:rsidP="00862A1A">
      <w:pPr>
        <w:spacing w:line="360" w:lineRule="auto"/>
        <w:jc w:val="both"/>
        <w:rPr>
          <w:rFonts w:ascii="Times New Roman" w:hAnsi="Times New Roman" w:cs="Times New Roman"/>
          <w:sz w:val="24"/>
          <w:szCs w:val="24"/>
          <w:lang w:val="en-GB"/>
        </w:rPr>
      </w:pPr>
      <w:r w:rsidRPr="00862A1A">
        <w:rPr>
          <w:rFonts w:ascii="Times New Roman" w:hAnsi="Times New Roman" w:cs="Times New Roman"/>
          <w:sz w:val="24"/>
          <w:szCs w:val="24"/>
          <w:lang w:val="en-GB"/>
        </w:rPr>
        <w:t>Natural attenuation, such as iron-driven arsenic removal in Elizabeth City, NC, and copper/zinc immobilization at the Berkeley Pit, MT (Client’s Research Brief, 2025), is cost-efficient and minimally disruptive but depends on stable geochemical conditions. The dual role of iron as both stabilizer and mobilizer of arsenic under varying redox states underscores the need for long-term monitoring (Hassan &amp; Westerhoff, 2024).</w:t>
      </w:r>
    </w:p>
    <w:p w14:paraId="769DB4A5" w14:textId="77777777" w:rsidR="00862A1A" w:rsidRPr="00862A1A" w:rsidRDefault="00862A1A" w:rsidP="00862A1A">
      <w:pPr>
        <w:spacing w:line="360" w:lineRule="auto"/>
        <w:jc w:val="both"/>
        <w:rPr>
          <w:rFonts w:ascii="Times New Roman" w:hAnsi="Times New Roman" w:cs="Times New Roman"/>
          <w:sz w:val="24"/>
          <w:szCs w:val="24"/>
          <w:lang w:val="en-GB"/>
        </w:rPr>
      </w:pPr>
      <w:r w:rsidRPr="00862A1A">
        <w:rPr>
          <w:rFonts w:ascii="Times New Roman" w:hAnsi="Times New Roman" w:cs="Times New Roman"/>
          <w:sz w:val="24"/>
          <w:szCs w:val="24"/>
          <w:lang w:val="en-GB"/>
        </w:rPr>
        <w:lastRenderedPageBreak/>
        <w:t xml:space="preserve">Engineered approaches, including zero-valent iron PRBs at the Denver Federal </w:t>
      </w:r>
      <w:proofErr w:type="spellStart"/>
      <w:r w:rsidRPr="00862A1A">
        <w:rPr>
          <w:rFonts w:ascii="Times New Roman" w:hAnsi="Times New Roman" w:cs="Times New Roman"/>
          <w:sz w:val="24"/>
          <w:szCs w:val="24"/>
          <w:lang w:val="en-GB"/>
        </w:rPr>
        <w:t>Center</w:t>
      </w:r>
      <w:proofErr w:type="spellEnd"/>
      <w:r w:rsidRPr="00862A1A">
        <w:rPr>
          <w:rFonts w:ascii="Times New Roman" w:hAnsi="Times New Roman" w:cs="Times New Roman"/>
          <w:sz w:val="24"/>
          <w:szCs w:val="24"/>
          <w:lang w:val="en-GB"/>
        </w:rPr>
        <w:t>, CO, and phosphate injections in Butte, MT (Client’s Research Brief, 2025), achieve high removal efficiencies. PRBs, valued for passive operation and lower O&amp;M costs (Federal Remediation Technologies Roundtable, n.d.-c; Muller et al., 2021), face challenges from mineral scaling and biofilm buildup (U.S. Environmental Protection Agency, n.d.-d; U.S. Environmental Protection Agency, n.d.-f).</w:t>
      </w:r>
    </w:p>
    <w:p w14:paraId="1B2820C5" w14:textId="77777777" w:rsidR="00862A1A" w:rsidRPr="00862A1A" w:rsidRDefault="00862A1A" w:rsidP="00862A1A">
      <w:pPr>
        <w:spacing w:line="360" w:lineRule="auto"/>
        <w:jc w:val="both"/>
        <w:rPr>
          <w:rFonts w:ascii="Times New Roman" w:hAnsi="Times New Roman" w:cs="Times New Roman"/>
          <w:sz w:val="24"/>
          <w:szCs w:val="24"/>
          <w:lang w:val="en-GB"/>
        </w:rPr>
      </w:pPr>
      <w:r w:rsidRPr="00862A1A">
        <w:rPr>
          <w:rFonts w:ascii="Times New Roman" w:hAnsi="Times New Roman" w:cs="Times New Roman"/>
          <w:sz w:val="24"/>
          <w:szCs w:val="24"/>
          <w:lang w:val="en-GB"/>
        </w:rPr>
        <w:t>Emerging methods such as nanoscale iron oxides and biomineralization offer rapid adsorption and multifunctionality (Client’s Research Brief, 2025; Nikic et al., 2023), though field-scale performance often declines due to groundwater complexity, highlighting the need for pilot testing (Nikic et al., 2023; Zhou et al., 2025).</w:t>
      </w:r>
    </w:p>
    <w:p w14:paraId="6D7DDEBC" w14:textId="77777777" w:rsidR="00862A1A" w:rsidRPr="00862A1A" w:rsidRDefault="00862A1A" w:rsidP="00862A1A">
      <w:pPr>
        <w:spacing w:line="360" w:lineRule="auto"/>
        <w:jc w:val="both"/>
        <w:rPr>
          <w:rFonts w:ascii="Times New Roman" w:hAnsi="Times New Roman" w:cs="Times New Roman"/>
          <w:sz w:val="24"/>
          <w:szCs w:val="24"/>
          <w:lang w:val="en-GB"/>
        </w:rPr>
      </w:pPr>
      <w:r w:rsidRPr="00862A1A">
        <w:rPr>
          <w:rFonts w:ascii="Times New Roman" w:hAnsi="Times New Roman" w:cs="Times New Roman"/>
          <w:sz w:val="24"/>
          <w:szCs w:val="24"/>
          <w:lang w:val="en-GB"/>
        </w:rPr>
        <w:t>Regulatory frameworks, led by the U.S. EPA and Canadian authorities, strongly influence remediation practices (Client’s Research Brief, 2025). The EPA’s 2023 updates to MNA protocols emphasize long-term stability, rebound risks, and rigorous site characterization (North Carolina Department of Environmental Quality, 2017; Federal Remediation Technologies Roundtable, n.d.-b).</w:t>
      </w:r>
    </w:p>
    <w:p w14:paraId="10D6C2D8" w14:textId="77777777" w:rsidR="00862A1A" w:rsidRPr="00862A1A" w:rsidRDefault="00862A1A" w:rsidP="00862A1A">
      <w:pPr>
        <w:spacing w:line="360" w:lineRule="auto"/>
        <w:jc w:val="both"/>
        <w:rPr>
          <w:rFonts w:ascii="Times New Roman" w:hAnsi="Times New Roman" w:cs="Times New Roman"/>
          <w:sz w:val="24"/>
          <w:szCs w:val="24"/>
          <w:lang w:val="en-GB"/>
        </w:rPr>
      </w:pPr>
      <w:r w:rsidRPr="00862A1A">
        <w:rPr>
          <w:rFonts w:ascii="Times New Roman" w:hAnsi="Times New Roman" w:cs="Times New Roman"/>
          <w:sz w:val="24"/>
          <w:szCs w:val="24"/>
          <w:lang w:val="en-GB"/>
        </w:rPr>
        <w:t>Economically, MNA offers lower long-term costs but requires intensive site characterization (Federal Remediation Technologies Roundtable, n.d.-b; Newell et al., 2021). Engineered barriers are more capital-intensive initially (U.S. Environmental Protection Agency, n.d.-c) but can surpass conventional pump-and-treat in overall cost-effectiveness (U.S. Environmental Protection Agency, n.d.-f).</w:t>
      </w:r>
    </w:p>
    <w:p w14:paraId="25331172"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7.2 Future Directions:</w:t>
      </w:r>
    </w:p>
    <w:p w14:paraId="33310ACC"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Based on this comprehensive analysis, several key areas for future research, development, and implementation are identified:</w:t>
      </w:r>
    </w:p>
    <w:p w14:paraId="7B77F96A"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b/>
          <w:bCs/>
          <w:sz w:val="24"/>
          <w:szCs w:val="24"/>
        </w:rPr>
        <w:t>Integrated Biogeochemical Modeling:</w:t>
      </w:r>
      <w:r w:rsidRPr="00862A1A">
        <w:rPr>
          <w:rFonts w:ascii="Times New Roman" w:hAnsi="Times New Roman" w:cs="Times New Roman"/>
          <w:sz w:val="24"/>
          <w:szCs w:val="24"/>
        </w:rPr>
        <w:t xml:space="preserve"> Develop and refine advanced numerical models that seamlessly integrate hydrogeological, geochemical, and microbiological processes. These models are crucial for accurately predicting the long-term performance and potential limitations (e.g., clogging, remobilization) of both natural and engineered geochemical </w:t>
      </w:r>
      <w:r w:rsidRPr="00862A1A">
        <w:rPr>
          <w:rFonts w:ascii="Times New Roman" w:hAnsi="Times New Roman" w:cs="Times New Roman"/>
          <w:sz w:val="24"/>
          <w:szCs w:val="24"/>
        </w:rPr>
        <w:lastRenderedPageBreak/>
        <w:t>barriers, especially under dynamic environmental conditions (</w:t>
      </w:r>
      <w:proofErr w:type="spellStart"/>
      <w:r w:rsidRPr="00862A1A">
        <w:rPr>
          <w:rFonts w:ascii="Times New Roman" w:hAnsi="Times New Roman" w:cs="Times New Roman"/>
          <w:sz w:val="24"/>
          <w:szCs w:val="24"/>
        </w:rPr>
        <w:t>Khalidy</w:t>
      </w:r>
      <w:proofErr w:type="spellEnd"/>
      <w:r w:rsidRPr="00862A1A">
        <w:rPr>
          <w:rFonts w:ascii="Times New Roman" w:hAnsi="Times New Roman" w:cs="Times New Roman"/>
          <w:sz w:val="24"/>
          <w:szCs w:val="24"/>
        </w:rPr>
        <w:t xml:space="preserve"> &amp; Santos, 2021; Lin et al., 2021; </w:t>
      </w:r>
      <w:proofErr w:type="spellStart"/>
      <w:r w:rsidRPr="00862A1A">
        <w:rPr>
          <w:rFonts w:ascii="Times New Roman" w:hAnsi="Times New Roman" w:cs="Times New Roman"/>
          <w:sz w:val="24"/>
          <w:szCs w:val="24"/>
        </w:rPr>
        <w:t>Papazotos</w:t>
      </w:r>
      <w:proofErr w:type="spellEnd"/>
      <w:r w:rsidRPr="00862A1A">
        <w:rPr>
          <w:rFonts w:ascii="Times New Roman" w:hAnsi="Times New Roman" w:cs="Times New Roman"/>
          <w:sz w:val="24"/>
          <w:szCs w:val="24"/>
        </w:rPr>
        <w:t xml:space="preserve"> et al., 2023).</w:t>
      </w:r>
    </w:p>
    <w:p w14:paraId="44A85862"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b/>
          <w:bCs/>
          <w:sz w:val="24"/>
          <w:szCs w:val="24"/>
        </w:rPr>
        <w:t>Adaptive Management Frameworks with Climate Resilience</w:t>
      </w:r>
      <w:r w:rsidRPr="00862A1A">
        <w:rPr>
          <w:rFonts w:ascii="Times New Roman" w:hAnsi="Times New Roman" w:cs="Times New Roman"/>
          <w:sz w:val="24"/>
          <w:szCs w:val="24"/>
        </w:rPr>
        <w:t>: Implement flexible and adaptive management plans for large-scale, long-term remediation projects, particularly at legacy mining sites. These frameworks must explicitly incorporate climate change projections to anticipate shifts in hydrology, temperature, and permafrost, ensuring the continued effectiveness and resilience of remediation strategies (Changing Climate, n.d.; Wiebe, et al., 2024).</w:t>
      </w:r>
    </w:p>
    <w:p w14:paraId="095391A1"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b/>
          <w:bCs/>
          <w:sz w:val="24"/>
          <w:szCs w:val="24"/>
        </w:rPr>
        <w:t>Novel Material Development for Engineered Systems:</w:t>
      </w:r>
      <w:r w:rsidRPr="00862A1A">
        <w:rPr>
          <w:rFonts w:ascii="Times New Roman" w:hAnsi="Times New Roman" w:cs="Times New Roman"/>
          <w:sz w:val="24"/>
          <w:szCs w:val="24"/>
        </w:rPr>
        <w:t xml:space="preserve"> Invest in the research and development of next-generation reactive materials for PRBs and chemical amendments. This includes designing multi-functional nanoscale materials that can perform sequential reactions (e.g., oxidation followed by precipitation/adsorption) (Nikic et al., 2023) and developing more robust, anti-fouling media to extend barrier longevity and reduce maintenance requirements.</w:t>
      </w:r>
    </w:p>
    <w:p w14:paraId="660681C9"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b/>
          <w:bCs/>
          <w:sz w:val="24"/>
          <w:szCs w:val="24"/>
        </w:rPr>
        <w:t>Field-Scale Validation of Emerging Technologies:</w:t>
      </w:r>
      <w:r w:rsidRPr="00862A1A">
        <w:rPr>
          <w:rFonts w:ascii="Times New Roman" w:hAnsi="Times New Roman" w:cs="Times New Roman"/>
          <w:sz w:val="24"/>
          <w:szCs w:val="24"/>
        </w:rPr>
        <w:t xml:space="preserve"> Prioritize pilot- and full-scale field demonstrations for promising emerging technologies like nanoscale remediation and biomineralization. Rigorous, long-term field data are essential to bridge the gap between laboratory efficacy and real-world performance, validate cost-effectiveness claims, and address practical challenges related to scale-up, material delivery, and environmental variability (Nikic et al., 2023; Zhou et al., 2025).</w:t>
      </w:r>
    </w:p>
    <w:p w14:paraId="22ADF3FB"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b/>
          <w:bCs/>
          <w:sz w:val="24"/>
          <w:szCs w:val="24"/>
        </w:rPr>
        <w:t>Harmonization and Risk-Based Regulatory Approaches:</w:t>
      </w:r>
      <w:r w:rsidRPr="00862A1A">
        <w:rPr>
          <w:rFonts w:ascii="Times New Roman" w:hAnsi="Times New Roman" w:cs="Times New Roman"/>
          <w:sz w:val="24"/>
          <w:szCs w:val="24"/>
        </w:rPr>
        <w:t xml:space="preserve"> Foster greater harmonization of regulatory standards across jurisdictions, particularly regarding background concentrations and cleanup targets for naturally occurring metals. Explore and implement more widely risk-based approaches that consider site-specific conditions and actual exposure pathways, allowing for more pragmatic and achievable remediation goals while ensuring adequate protection of human health and the environment, (Ellis, &amp; Hadley, 2009).</w:t>
      </w:r>
    </w:p>
    <w:p w14:paraId="0675B69C"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b/>
          <w:bCs/>
          <w:sz w:val="24"/>
          <w:szCs w:val="24"/>
        </w:rPr>
        <w:t>Comprehensive Life Cycle and Socio-Economic Assessments:</w:t>
      </w:r>
      <w:r w:rsidRPr="00862A1A">
        <w:rPr>
          <w:rFonts w:ascii="Times New Roman" w:hAnsi="Times New Roman" w:cs="Times New Roman"/>
          <w:sz w:val="24"/>
          <w:szCs w:val="24"/>
        </w:rPr>
        <w:t xml:space="preserve"> Conduct more holistic life cycle assessments and social cost-benefit analyses that fully account for the </w:t>
      </w:r>
      <w:r w:rsidRPr="00862A1A">
        <w:rPr>
          <w:rFonts w:ascii="Times New Roman" w:hAnsi="Times New Roman" w:cs="Times New Roman"/>
          <w:sz w:val="24"/>
          <w:szCs w:val="24"/>
        </w:rPr>
        <w:lastRenderedPageBreak/>
        <w:t>environmental footprint of remediation technologies (e.g., energy consumption, waste generation) and monetize the broader societal benefits (e.g., public health improvements, economic revitalization, ecosystem services). This will enable more informed decision-making and promote the selection of truly sustainable remediation options.</w:t>
      </w:r>
    </w:p>
    <w:p w14:paraId="6CEB2AA7" w14:textId="77777777" w:rsidR="00F578C7" w:rsidRPr="00862A1A" w:rsidRDefault="00F578C7" w:rsidP="00862A1A">
      <w:pPr>
        <w:spacing w:line="360" w:lineRule="auto"/>
        <w:jc w:val="both"/>
        <w:rPr>
          <w:rFonts w:ascii="Times New Roman" w:hAnsi="Times New Roman" w:cs="Times New Roman"/>
          <w:sz w:val="24"/>
          <w:szCs w:val="24"/>
        </w:rPr>
      </w:pPr>
      <w:r w:rsidRPr="00862A1A">
        <w:rPr>
          <w:rFonts w:ascii="Times New Roman" w:hAnsi="Times New Roman" w:cs="Times New Roman"/>
          <w:sz w:val="24"/>
          <w:szCs w:val="24"/>
        </w:rPr>
        <w:t>By pursuing these directions, the scientific and engineering communities can collectively advance the efficacy, sustainability, and widespread applicability of geochemical barriers and mineral precipitation in the critical endeavor of contaminated groundwater remediation.</w:t>
      </w:r>
    </w:p>
    <w:p w14:paraId="135D9DCC" w14:textId="77777777" w:rsidR="00F578C7" w:rsidRPr="00862A1A" w:rsidRDefault="00F578C7" w:rsidP="00862A1A">
      <w:pPr>
        <w:spacing w:line="360" w:lineRule="auto"/>
        <w:jc w:val="both"/>
        <w:rPr>
          <w:rFonts w:ascii="Times New Roman" w:hAnsi="Times New Roman" w:cs="Times New Roman"/>
          <w:b/>
          <w:bCs/>
          <w:sz w:val="24"/>
          <w:szCs w:val="24"/>
        </w:rPr>
      </w:pPr>
      <w:r w:rsidRPr="00862A1A">
        <w:rPr>
          <w:rFonts w:ascii="Times New Roman" w:hAnsi="Times New Roman" w:cs="Times New Roman"/>
          <w:b/>
          <w:bCs/>
          <w:sz w:val="24"/>
          <w:szCs w:val="24"/>
        </w:rPr>
        <w:t>8.0 REFERENCES</w:t>
      </w:r>
    </w:p>
    <w:p w14:paraId="2C84C2CE"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AECOM. (n.d.). </w:t>
      </w:r>
      <w:r w:rsidRPr="00862A1A">
        <w:rPr>
          <w:rFonts w:ascii="Times New Roman" w:eastAsia="Times New Roman" w:hAnsi="Times New Roman" w:cs="Times New Roman"/>
          <w:i/>
          <w:sz w:val="24"/>
          <w:szCs w:val="24"/>
          <w:highlight w:val="white"/>
        </w:rPr>
        <w:t>Faro Mine Remediation</w:t>
      </w:r>
      <w:r w:rsidRPr="00862A1A">
        <w:rPr>
          <w:rFonts w:ascii="Times New Roman" w:eastAsia="Times New Roman" w:hAnsi="Times New Roman" w:cs="Times New Roman"/>
          <w:sz w:val="24"/>
          <w:szCs w:val="24"/>
          <w:highlight w:val="white"/>
        </w:rPr>
        <w:t xml:space="preserve">. Retrieved from </w:t>
      </w:r>
      <w:hyperlink r:id="rId6">
        <w:r w:rsidRPr="00862A1A">
          <w:rPr>
            <w:rFonts w:ascii="Times New Roman" w:eastAsia="Times New Roman" w:hAnsi="Times New Roman" w:cs="Times New Roman"/>
            <w:color w:val="0563C1"/>
            <w:sz w:val="24"/>
            <w:szCs w:val="24"/>
            <w:highlight w:val="white"/>
            <w:u w:val="single"/>
          </w:rPr>
          <w:t>https://aecom.com/en-ca/projects/faro-mine-remediation/</w:t>
        </w:r>
      </w:hyperlink>
    </w:p>
    <w:p w14:paraId="7C321A78"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Anderson, D. A. (2024). </w:t>
      </w:r>
      <w:r w:rsidRPr="00862A1A">
        <w:rPr>
          <w:rFonts w:ascii="Times New Roman" w:eastAsia="Times New Roman" w:hAnsi="Times New Roman" w:cs="Times New Roman"/>
          <w:i/>
          <w:sz w:val="24"/>
          <w:szCs w:val="24"/>
          <w:highlight w:val="white"/>
        </w:rPr>
        <w:t>Environmental economics and natural resource management</w:t>
      </w:r>
      <w:r w:rsidRPr="00862A1A">
        <w:rPr>
          <w:rFonts w:ascii="Times New Roman" w:eastAsia="Times New Roman" w:hAnsi="Times New Roman" w:cs="Times New Roman"/>
          <w:sz w:val="24"/>
          <w:szCs w:val="24"/>
          <w:highlight w:val="white"/>
        </w:rPr>
        <w:t>. Routledge.</w:t>
      </w:r>
    </w:p>
    <w:p w14:paraId="292E724B"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proofErr w:type="spellStart"/>
      <w:r w:rsidRPr="00862A1A">
        <w:rPr>
          <w:rFonts w:ascii="Times New Roman" w:eastAsia="Times New Roman" w:hAnsi="Times New Roman" w:cs="Times New Roman"/>
          <w:sz w:val="24"/>
          <w:szCs w:val="24"/>
          <w:highlight w:val="white"/>
        </w:rPr>
        <w:t>Andrunik</w:t>
      </w:r>
      <w:proofErr w:type="spellEnd"/>
      <w:r w:rsidRPr="00862A1A">
        <w:rPr>
          <w:rFonts w:ascii="Times New Roman" w:eastAsia="Times New Roman" w:hAnsi="Times New Roman" w:cs="Times New Roman"/>
          <w:sz w:val="24"/>
          <w:szCs w:val="24"/>
          <w:highlight w:val="white"/>
        </w:rPr>
        <w:t xml:space="preserve">, M., </w:t>
      </w:r>
      <w:proofErr w:type="spellStart"/>
      <w:r w:rsidRPr="00862A1A">
        <w:rPr>
          <w:rFonts w:ascii="Times New Roman" w:eastAsia="Times New Roman" w:hAnsi="Times New Roman" w:cs="Times New Roman"/>
          <w:sz w:val="24"/>
          <w:szCs w:val="24"/>
          <w:highlight w:val="white"/>
        </w:rPr>
        <w:t>Wołowiec</w:t>
      </w:r>
      <w:proofErr w:type="spellEnd"/>
      <w:r w:rsidRPr="00862A1A">
        <w:rPr>
          <w:rFonts w:ascii="Times New Roman" w:eastAsia="Times New Roman" w:hAnsi="Times New Roman" w:cs="Times New Roman"/>
          <w:sz w:val="24"/>
          <w:szCs w:val="24"/>
          <w:highlight w:val="white"/>
        </w:rPr>
        <w:t xml:space="preserve">, M., Wojnarski, D., </w:t>
      </w:r>
      <w:proofErr w:type="spellStart"/>
      <w:r w:rsidRPr="00862A1A">
        <w:rPr>
          <w:rFonts w:ascii="Times New Roman" w:eastAsia="Times New Roman" w:hAnsi="Times New Roman" w:cs="Times New Roman"/>
          <w:sz w:val="24"/>
          <w:szCs w:val="24"/>
          <w:highlight w:val="white"/>
        </w:rPr>
        <w:t>Zelek-Pogudz</w:t>
      </w:r>
      <w:proofErr w:type="spellEnd"/>
      <w:r w:rsidRPr="00862A1A">
        <w:rPr>
          <w:rFonts w:ascii="Times New Roman" w:eastAsia="Times New Roman" w:hAnsi="Times New Roman" w:cs="Times New Roman"/>
          <w:sz w:val="24"/>
          <w:szCs w:val="24"/>
          <w:highlight w:val="white"/>
        </w:rPr>
        <w:t>, S., &amp; Bajda, T. (2020). Transformation of Pb, Cd, and Zn minerals using phosphates. </w:t>
      </w:r>
      <w:r w:rsidRPr="00862A1A">
        <w:rPr>
          <w:rFonts w:ascii="Times New Roman" w:eastAsia="Times New Roman" w:hAnsi="Times New Roman" w:cs="Times New Roman"/>
          <w:i/>
          <w:sz w:val="24"/>
          <w:szCs w:val="24"/>
          <w:highlight w:val="white"/>
        </w:rPr>
        <w:t>Minerals</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10</w:t>
      </w:r>
      <w:r w:rsidRPr="00862A1A">
        <w:rPr>
          <w:rFonts w:ascii="Times New Roman" w:eastAsia="Times New Roman" w:hAnsi="Times New Roman" w:cs="Times New Roman"/>
          <w:sz w:val="24"/>
          <w:szCs w:val="24"/>
          <w:highlight w:val="white"/>
        </w:rPr>
        <w:t>(4), 342.</w:t>
      </w:r>
    </w:p>
    <w:p w14:paraId="75E37518"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Arnold, C. A. (2010). Fourth-generation environmental law: integrationist and multimodal. </w:t>
      </w:r>
      <w:r w:rsidRPr="00862A1A">
        <w:rPr>
          <w:rFonts w:ascii="Times New Roman" w:eastAsia="Times New Roman" w:hAnsi="Times New Roman" w:cs="Times New Roman"/>
          <w:i/>
          <w:sz w:val="24"/>
          <w:szCs w:val="24"/>
          <w:highlight w:val="white"/>
        </w:rPr>
        <w:t xml:space="preserve">Wm. &amp; Mary Envtl. L. &amp; </w:t>
      </w:r>
      <w:proofErr w:type="spellStart"/>
      <w:r w:rsidRPr="00862A1A">
        <w:rPr>
          <w:rFonts w:ascii="Times New Roman" w:eastAsia="Times New Roman" w:hAnsi="Times New Roman" w:cs="Times New Roman"/>
          <w:i/>
          <w:sz w:val="24"/>
          <w:szCs w:val="24"/>
          <w:highlight w:val="white"/>
        </w:rPr>
        <w:t>Pol'y</w:t>
      </w:r>
      <w:proofErr w:type="spellEnd"/>
      <w:r w:rsidRPr="00862A1A">
        <w:rPr>
          <w:rFonts w:ascii="Times New Roman" w:eastAsia="Times New Roman" w:hAnsi="Times New Roman" w:cs="Times New Roman"/>
          <w:i/>
          <w:sz w:val="24"/>
          <w:szCs w:val="24"/>
          <w:highlight w:val="white"/>
        </w:rPr>
        <w:t xml:space="preserve"> Rev.</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35</w:t>
      </w:r>
      <w:r w:rsidRPr="00862A1A">
        <w:rPr>
          <w:rFonts w:ascii="Times New Roman" w:eastAsia="Times New Roman" w:hAnsi="Times New Roman" w:cs="Times New Roman"/>
          <w:sz w:val="24"/>
          <w:szCs w:val="24"/>
          <w:highlight w:val="white"/>
        </w:rPr>
        <w:t>, 771.</w:t>
      </w:r>
    </w:p>
    <w:p w14:paraId="32100F5B"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ASSESSMENT, I. S. (2010). Technical Guidance for Contaminated Sites.</w:t>
      </w:r>
    </w:p>
    <w:p w14:paraId="2D29F6CB"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Babaee, F. Y. (2016). </w:t>
      </w:r>
      <w:r w:rsidRPr="00862A1A">
        <w:rPr>
          <w:rFonts w:ascii="Times New Roman" w:eastAsia="Times New Roman" w:hAnsi="Times New Roman" w:cs="Times New Roman"/>
          <w:i/>
          <w:sz w:val="24"/>
          <w:szCs w:val="24"/>
          <w:highlight w:val="white"/>
        </w:rPr>
        <w:t>Removal of Arsenic from Water and Immobilization in Soil Using Iron/Copper Nanoparticles</w:t>
      </w:r>
      <w:r w:rsidRPr="00862A1A">
        <w:rPr>
          <w:rFonts w:ascii="Times New Roman" w:eastAsia="Times New Roman" w:hAnsi="Times New Roman" w:cs="Times New Roman"/>
          <w:sz w:val="24"/>
          <w:szCs w:val="24"/>
          <w:highlight w:val="white"/>
        </w:rPr>
        <w:t> (Doctoral dissertation, Concordia University).</w:t>
      </w:r>
    </w:p>
    <w:p w14:paraId="3DED9054"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Bayer, P., &amp; Finkel, M. (2006). Life cycle assessment of active and passive groundwater remediation technologies. </w:t>
      </w:r>
      <w:r w:rsidRPr="00862A1A">
        <w:rPr>
          <w:rFonts w:ascii="Times New Roman" w:eastAsia="Times New Roman" w:hAnsi="Times New Roman" w:cs="Times New Roman"/>
          <w:i/>
          <w:sz w:val="24"/>
          <w:szCs w:val="24"/>
          <w:highlight w:val="white"/>
        </w:rPr>
        <w:t>Journal of contaminant hydrology</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83</w:t>
      </w:r>
      <w:r w:rsidRPr="00862A1A">
        <w:rPr>
          <w:rFonts w:ascii="Times New Roman" w:eastAsia="Times New Roman" w:hAnsi="Times New Roman" w:cs="Times New Roman"/>
          <w:sz w:val="24"/>
          <w:szCs w:val="24"/>
          <w:highlight w:val="white"/>
        </w:rPr>
        <w:t>(3-4), 171-199.</w:t>
      </w:r>
    </w:p>
    <w:p w14:paraId="5DC6C466"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Blake, Cassels &amp; Graydon LLP. (2021, February 1). </w:t>
      </w:r>
      <w:r w:rsidRPr="00862A1A">
        <w:rPr>
          <w:rFonts w:ascii="Times New Roman" w:eastAsia="Times New Roman" w:hAnsi="Times New Roman" w:cs="Times New Roman"/>
          <w:i/>
          <w:sz w:val="24"/>
          <w:szCs w:val="24"/>
          <w:highlight w:val="white"/>
        </w:rPr>
        <w:t>New B.C. rules for contaminated sites may significantly increase obligations</w:t>
      </w:r>
      <w:r w:rsidRPr="00862A1A">
        <w:rPr>
          <w:rFonts w:ascii="Times New Roman" w:eastAsia="Times New Roman" w:hAnsi="Times New Roman" w:cs="Times New Roman"/>
          <w:sz w:val="24"/>
          <w:szCs w:val="24"/>
          <w:highlight w:val="white"/>
        </w:rPr>
        <w:t xml:space="preserve">. Retrieved from </w:t>
      </w:r>
      <w:hyperlink r:id="rId7">
        <w:r w:rsidRPr="00862A1A">
          <w:rPr>
            <w:rFonts w:ascii="Times New Roman" w:eastAsia="Times New Roman" w:hAnsi="Times New Roman" w:cs="Times New Roman"/>
            <w:color w:val="0563C1"/>
            <w:sz w:val="24"/>
            <w:szCs w:val="24"/>
            <w:highlight w:val="white"/>
            <w:u w:val="single"/>
          </w:rPr>
          <w:t>https://www.blakes.com/insights/new-b-c-rules-for-contaminated-sites-may-significa/</w:t>
        </w:r>
      </w:hyperlink>
    </w:p>
    <w:p w14:paraId="2D696DC0"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lastRenderedPageBreak/>
        <w:t xml:space="preserve">Boehm, A. B., Bell, C. D., Fitzgerald, N. J., Gallo, E., Higgins, C. P., Hogue, T. S., ... &amp; </w:t>
      </w:r>
      <w:proofErr w:type="spellStart"/>
      <w:r w:rsidRPr="00862A1A">
        <w:rPr>
          <w:rFonts w:ascii="Times New Roman" w:eastAsia="Times New Roman" w:hAnsi="Times New Roman" w:cs="Times New Roman"/>
          <w:sz w:val="24"/>
          <w:szCs w:val="24"/>
          <w:highlight w:val="white"/>
        </w:rPr>
        <w:t>Wolfand</w:t>
      </w:r>
      <w:proofErr w:type="spellEnd"/>
      <w:r w:rsidRPr="00862A1A">
        <w:rPr>
          <w:rFonts w:ascii="Times New Roman" w:eastAsia="Times New Roman" w:hAnsi="Times New Roman" w:cs="Times New Roman"/>
          <w:sz w:val="24"/>
          <w:szCs w:val="24"/>
          <w:highlight w:val="white"/>
        </w:rPr>
        <w:t xml:space="preserve">, J. M. (2020). Biochar-augmented biofilters to improve pollutant removal from stormwater–can they improve receiving water </w:t>
      </w:r>
      <w:proofErr w:type="gramStart"/>
      <w:r w:rsidRPr="00862A1A">
        <w:rPr>
          <w:rFonts w:ascii="Times New Roman" w:eastAsia="Times New Roman" w:hAnsi="Times New Roman" w:cs="Times New Roman"/>
          <w:sz w:val="24"/>
          <w:szCs w:val="24"/>
          <w:highlight w:val="white"/>
        </w:rPr>
        <w:t>quality?.</w:t>
      </w:r>
      <w:proofErr w:type="gramEnd"/>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Environmental Science: Water Research &amp; Technology</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6</w:t>
      </w:r>
      <w:r w:rsidRPr="00862A1A">
        <w:rPr>
          <w:rFonts w:ascii="Times New Roman" w:eastAsia="Times New Roman" w:hAnsi="Times New Roman" w:cs="Times New Roman"/>
          <w:sz w:val="24"/>
          <w:szCs w:val="24"/>
          <w:highlight w:val="white"/>
        </w:rPr>
        <w:t>(6), 1520-1537.</w:t>
      </w:r>
    </w:p>
    <w:p w14:paraId="40A4196B"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British Columbia Energy Regulator. (n.d.). </w:t>
      </w:r>
      <w:r w:rsidRPr="00862A1A">
        <w:rPr>
          <w:rFonts w:ascii="Times New Roman" w:eastAsia="Times New Roman" w:hAnsi="Times New Roman" w:cs="Times New Roman"/>
          <w:i/>
          <w:sz w:val="24"/>
          <w:szCs w:val="24"/>
          <w:highlight w:val="white"/>
        </w:rPr>
        <w:t>Site Remediation and Reclamation Manual</w:t>
      </w:r>
      <w:r w:rsidRPr="00862A1A">
        <w:rPr>
          <w:rFonts w:ascii="Times New Roman" w:eastAsia="Times New Roman" w:hAnsi="Times New Roman" w:cs="Times New Roman"/>
          <w:sz w:val="24"/>
          <w:szCs w:val="24"/>
          <w:highlight w:val="white"/>
        </w:rPr>
        <w:t xml:space="preserve">. Retrieved from </w:t>
      </w:r>
      <w:hyperlink r:id="rId8">
        <w:r w:rsidRPr="00862A1A">
          <w:rPr>
            <w:rFonts w:ascii="Times New Roman" w:eastAsia="Times New Roman" w:hAnsi="Times New Roman" w:cs="Times New Roman"/>
            <w:color w:val="0563C1"/>
            <w:sz w:val="24"/>
            <w:szCs w:val="24"/>
            <w:highlight w:val="white"/>
            <w:u w:val="single"/>
          </w:rPr>
          <w:t>https://www.bc-er.ca/files/operations-documentation/Remediation-Reclamation-and-Restoration/site-remediation-and-reclamation-manual.pdf</w:t>
        </w:r>
      </w:hyperlink>
    </w:p>
    <w:p w14:paraId="72700053"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Canada.ca. (n.d.-a). </w:t>
      </w:r>
      <w:r w:rsidRPr="00862A1A">
        <w:rPr>
          <w:rFonts w:ascii="Times New Roman" w:eastAsia="Times New Roman" w:hAnsi="Times New Roman" w:cs="Times New Roman"/>
          <w:i/>
          <w:sz w:val="24"/>
          <w:szCs w:val="24"/>
          <w:highlight w:val="white"/>
        </w:rPr>
        <w:t>Metal and Diamond Mining Effluent Regulations</w:t>
      </w:r>
      <w:r w:rsidRPr="00862A1A">
        <w:rPr>
          <w:rFonts w:ascii="Times New Roman" w:eastAsia="Times New Roman" w:hAnsi="Times New Roman" w:cs="Times New Roman"/>
          <w:sz w:val="24"/>
          <w:szCs w:val="24"/>
          <w:highlight w:val="white"/>
        </w:rPr>
        <w:t xml:space="preserve">. Retrieved from </w:t>
      </w:r>
      <w:hyperlink r:id="rId9">
        <w:r w:rsidRPr="00862A1A">
          <w:rPr>
            <w:rFonts w:ascii="Times New Roman" w:eastAsia="Times New Roman" w:hAnsi="Times New Roman" w:cs="Times New Roman"/>
            <w:color w:val="0563C1"/>
            <w:sz w:val="24"/>
            <w:szCs w:val="24"/>
            <w:highlight w:val="white"/>
            <w:u w:val="single"/>
          </w:rPr>
          <w:t>https://www.canada.ca/en/environment-climate-change/services/managing-pollution/sources-industry/mining-effluent/metal-diamond-mining-effluent/metal-diamond-mining-effluent-regulation.html</w:t>
        </w:r>
      </w:hyperlink>
    </w:p>
    <w:p w14:paraId="4DC963EB"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Canada.ca. (n.d.-b). </w:t>
      </w:r>
      <w:r w:rsidRPr="00862A1A">
        <w:rPr>
          <w:rFonts w:ascii="Times New Roman" w:eastAsia="Times New Roman" w:hAnsi="Times New Roman" w:cs="Times New Roman"/>
          <w:i/>
          <w:sz w:val="24"/>
          <w:szCs w:val="24"/>
          <w:highlight w:val="white"/>
        </w:rPr>
        <w:t>Metal and Diamond Mining Effluent Regulations (SOR/2002-222)</w:t>
      </w:r>
      <w:r w:rsidRPr="00862A1A">
        <w:rPr>
          <w:rFonts w:ascii="Times New Roman" w:eastAsia="Times New Roman" w:hAnsi="Times New Roman" w:cs="Times New Roman"/>
          <w:sz w:val="24"/>
          <w:szCs w:val="24"/>
          <w:highlight w:val="white"/>
        </w:rPr>
        <w:t xml:space="preserve">. Retrieved from </w:t>
      </w:r>
      <w:hyperlink r:id="rId10">
        <w:r w:rsidRPr="00862A1A">
          <w:rPr>
            <w:rFonts w:ascii="Times New Roman" w:eastAsia="Times New Roman" w:hAnsi="Times New Roman" w:cs="Times New Roman"/>
            <w:color w:val="0563C1"/>
            <w:sz w:val="24"/>
            <w:szCs w:val="24"/>
            <w:highlight w:val="white"/>
            <w:u w:val="single"/>
          </w:rPr>
          <w:t>https://laws-lois.justice.gc.ca/eng/regulations/sor-2002-222/FullText.html</w:t>
        </w:r>
      </w:hyperlink>
    </w:p>
    <w:p w14:paraId="420AFA46"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Canadian Water Compliance. (n.d.-a). </w:t>
      </w:r>
      <w:r w:rsidRPr="00862A1A">
        <w:rPr>
          <w:rFonts w:ascii="Times New Roman" w:eastAsia="Times New Roman" w:hAnsi="Times New Roman" w:cs="Times New Roman"/>
          <w:i/>
          <w:sz w:val="24"/>
          <w:szCs w:val="24"/>
          <w:highlight w:val="white"/>
        </w:rPr>
        <w:t>Heavy metals in Ontario drinking water</w:t>
      </w:r>
      <w:r w:rsidRPr="00862A1A">
        <w:rPr>
          <w:rFonts w:ascii="Times New Roman" w:eastAsia="Times New Roman" w:hAnsi="Times New Roman" w:cs="Times New Roman"/>
          <w:sz w:val="24"/>
          <w:szCs w:val="24"/>
          <w:highlight w:val="white"/>
        </w:rPr>
        <w:t xml:space="preserve">. Retrieved from </w:t>
      </w:r>
      <w:hyperlink r:id="rId11">
        <w:r w:rsidRPr="00862A1A">
          <w:rPr>
            <w:rFonts w:ascii="Times New Roman" w:eastAsia="Times New Roman" w:hAnsi="Times New Roman" w:cs="Times New Roman"/>
            <w:color w:val="0563C1"/>
            <w:sz w:val="24"/>
            <w:szCs w:val="24"/>
            <w:highlight w:val="white"/>
            <w:u w:val="single"/>
          </w:rPr>
          <w:t>https://www.canadianwatercompliance.ca/blogs/toronto-legionella-disinfecting-bacteria-water-testing-blog/heavy-metals-in-ontario-drinking-water</w:t>
        </w:r>
      </w:hyperlink>
    </w:p>
    <w:p w14:paraId="3A302958"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Canadian Water Compliance. (n.d.-b). </w:t>
      </w:r>
      <w:r w:rsidRPr="00862A1A">
        <w:rPr>
          <w:rFonts w:ascii="Times New Roman" w:eastAsia="Times New Roman" w:hAnsi="Times New Roman" w:cs="Times New Roman"/>
          <w:i/>
          <w:sz w:val="24"/>
          <w:szCs w:val="24"/>
          <w:highlight w:val="white"/>
        </w:rPr>
        <w:t>Ontario Drinking Water Quality Standards</w:t>
      </w:r>
      <w:r w:rsidRPr="00862A1A">
        <w:rPr>
          <w:rFonts w:ascii="Times New Roman" w:eastAsia="Times New Roman" w:hAnsi="Times New Roman" w:cs="Times New Roman"/>
          <w:sz w:val="24"/>
          <w:szCs w:val="24"/>
          <w:highlight w:val="white"/>
        </w:rPr>
        <w:t xml:space="preserve">. Retrieved from </w:t>
      </w:r>
      <w:hyperlink r:id="rId12">
        <w:r w:rsidRPr="00862A1A">
          <w:rPr>
            <w:rFonts w:ascii="Times New Roman" w:eastAsia="Times New Roman" w:hAnsi="Times New Roman" w:cs="Times New Roman"/>
            <w:color w:val="0563C1"/>
            <w:sz w:val="24"/>
            <w:szCs w:val="24"/>
            <w:highlight w:val="white"/>
            <w:u w:val="single"/>
          </w:rPr>
          <w:t>https://www.canadianwatercompliance.ca/blogs/toronto-legionella-disinfecting-bacteria-water-testing-blog/ontario-drinking-water-quality-standards</w:t>
        </w:r>
      </w:hyperlink>
    </w:p>
    <w:p w14:paraId="64AEED9B"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Canadian Water Compliance. (n.d.-c). </w:t>
      </w:r>
      <w:r w:rsidRPr="00862A1A">
        <w:rPr>
          <w:rFonts w:ascii="Times New Roman" w:eastAsia="Times New Roman" w:hAnsi="Times New Roman" w:cs="Times New Roman"/>
          <w:i/>
          <w:sz w:val="24"/>
          <w:szCs w:val="24"/>
          <w:highlight w:val="white"/>
        </w:rPr>
        <w:t>Guidelines for Canadian Drinking Water Quality – Operational Parameters</w:t>
      </w:r>
      <w:r w:rsidRPr="00862A1A">
        <w:rPr>
          <w:rFonts w:ascii="Times New Roman" w:eastAsia="Times New Roman" w:hAnsi="Times New Roman" w:cs="Times New Roman"/>
          <w:sz w:val="24"/>
          <w:szCs w:val="24"/>
          <w:highlight w:val="white"/>
        </w:rPr>
        <w:t xml:space="preserve">. Retrieved from </w:t>
      </w:r>
      <w:hyperlink r:id="rId13">
        <w:r w:rsidRPr="00862A1A">
          <w:rPr>
            <w:rFonts w:ascii="Times New Roman" w:eastAsia="Times New Roman" w:hAnsi="Times New Roman" w:cs="Times New Roman"/>
            <w:color w:val="0563C1"/>
            <w:sz w:val="24"/>
            <w:szCs w:val="24"/>
            <w:highlight w:val="white"/>
            <w:u w:val="single"/>
          </w:rPr>
          <w:t>https://www.canada.ca/en/health-canada/programs/guidelines-canadian-drinking-water-quality-operational-parameters.html</w:t>
        </w:r>
      </w:hyperlink>
    </w:p>
    <w:p w14:paraId="25DE4EF1"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Changing Climate. (n.d.). </w:t>
      </w:r>
      <w:r w:rsidRPr="00862A1A">
        <w:rPr>
          <w:rFonts w:ascii="Times New Roman" w:eastAsia="Times New Roman" w:hAnsi="Times New Roman" w:cs="Times New Roman"/>
          <w:i/>
          <w:sz w:val="24"/>
          <w:szCs w:val="24"/>
          <w:highlight w:val="white"/>
        </w:rPr>
        <w:t>Faro Mine</w:t>
      </w:r>
      <w:r w:rsidRPr="00862A1A">
        <w:rPr>
          <w:rFonts w:ascii="Times New Roman" w:eastAsia="Times New Roman" w:hAnsi="Times New Roman" w:cs="Times New Roman"/>
          <w:sz w:val="24"/>
          <w:szCs w:val="24"/>
          <w:highlight w:val="white"/>
        </w:rPr>
        <w:t xml:space="preserve">. Retrieved from </w:t>
      </w:r>
      <w:hyperlink r:id="rId14">
        <w:r w:rsidRPr="00862A1A">
          <w:rPr>
            <w:rFonts w:ascii="Times New Roman" w:eastAsia="Times New Roman" w:hAnsi="Times New Roman" w:cs="Times New Roman"/>
            <w:color w:val="0563C1"/>
            <w:sz w:val="24"/>
            <w:szCs w:val="24"/>
            <w:highlight w:val="white"/>
            <w:u w:val="single"/>
          </w:rPr>
          <w:t>https://changingclimate.ca/map/faro-mine/</w:t>
        </w:r>
      </w:hyperlink>
    </w:p>
    <w:p w14:paraId="5C874226"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lastRenderedPageBreak/>
        <w:t xml:space="preserve">Client's Research Brief. (2025). </w:t>
      </w:r>
      <w:r w:rsidRPr="00862A1A">
        <w:rPr>
          <w:rFonts w:ascii="Times New Roman" w:eastAsia="Times New Roman" w:hAnsi="Times New Roman" w:cs="Times New Roman"/>
          <w:i/>
          <w:sz w:val="24"/>
          <w:szCs w:val="24"/>
          <w:highlight w:val="white"/>
        </w:rPr>
        <w:t>Geochemical Barriers and Mineral Precipitation in Remediation of Contaminated Groundwater: Advances in Natural and Engineered Systems for Metal Immobilization</w:t>
      </w:r>
      <w:r w:rsidRPr="00862A1A">
        <w:rPr>
          <w:rFonts w:ascii="Times New Roman" w:eastAsia="Times New Roman" w:hAnsi="Times New Roman" w:cs="Times New Roman"/>
          <w:sz w:val="24"/>
          <w:szCs w:val="24"/>
          <w:highlight w:val="white"/>
        </w:rPr>
        <w:t>. (Internal document provided to the model).</w:t>
      </w:r>
    </w:p>
    <w:p w14:paraId="4C019A66"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Comes, J., Islamovic, E., </w:t>
      </w:r>
      <w:proofErr w:type="spellStart"/>
      <w:r w:rsidRPr="00862A1A">
        <w:rPr>
          <w:rFonts w:ascii="Times New Roman" w:eastAsia="Times New Roman" w:hAnsi="Times New Roman" w:cs="Times New Roman"/>
          <w:sz w:val="24"/>
          <w:szCs w:val="24"/>
          <w:highlight w:val="white"/>
        </w:rPr>
        <w:t>Lizandara-Pueyo</w:t>
      </w:r>
      <w:proofErr w:type="spellEnd"/>
      <w:r w:rsidRPr="00862A1A">
        <w:rPr>
          <w:rFonts w:ascii="Times New Roman" w:eastAsia="Times New Roman" w:hAnsi="Times New Roman" w:cs="Times New Roman"/>
          <w:sz w:val="24"/>
          <w:szCs w:val="24"/>
          <w:highlight w:val="white"/>
        </w:rPr>
        <w:t>, C., &amp; Seto, J. (2024). Improvements in the utilization of calcium carbonate in promoting sustainability and environmental health. </w:t>
      </w:r>
      <w:r w:rsidRPr="00862A1A">
        <w:rPr>
          <w:rFonts w:ascii="Times New Roman" w:eastAsia="Times New Roman" w:hAnsi="Times New Roman" w:cs="Times New Roman"/>
          <w:i/>
          <w:sz w:val="24"/>
          <w:szCs w:val="24"/>
          <w:highlight w:val="white"/>
        </w:rPr>
        <w:t>Frontiers in Chemistry</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12</w:t>
      </w:r>
      <w:r w:rsidRPr="00862A1A">
        <w:rPr>
          <w:rFonts w:ascii="Times New Roman" w:eastAsia="Times New Roman" w:hAnsi="Times New Roman" w:cs="Times New Roman"/>
          <w:sz w:val="24"/>
          <w:szCs w:val="24"/>
          <w:highlight w:val="white"/>
        </w:rPr>
        <w:t>, 1472284.</w:t>
      </w:r>
    </w:p>
    <w:p w14:paraId="748D18C9"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Contaminated Sites Approved Professional Society. (n.d.). </w:t>
      </w:r>
      <w:r w:rsidRPr="00862A1A">
        <w:rPr>
          <w:rFonts w:ascii="Times New Roman" w:eastAsia="Times New Roman" w:hAnsi="Times New Roman" w:cs="Times New Roman"/>
          <w:i/>
          <w:sz w:val="24"/>
          <w:szCs w:val="24"/>
          <w:highlight w:val="white"/>
        </w:rPr>
        <w:t>About Contaminated Sites</w:t>
      </w:r>
      <w:r w:rsidRPr="00862A1A">
        <w:rPr>
          <w:rFonts w:ascii="Times New Roman" w:eastAsia="Times New Roman" w:hAnsi="Times New Roman" w:cs="Times New Roman"/>
          <w:sz w:val="24"/>
          <w:szCs w:val="24"/>
          <w:highlight w:val="white"/>
        </w:rPr>
        <w:t xml:space="preserve">. Retrieved from </w:t>
      </w:r>
      <w:hyperlink r:id="rId15">
        <w:r w:rsidRPr="00862A1A">
          <w:rPr>
            <w:rFonts w:ascii="Times New Roman" w:eastAsia="Times New Roman" w:hAnsi="Times New Roman" w:cs="Times New Roman"/>
            <w:color w:val="0563C1"/>
            <w:sz w:val="24"/>
            <w:szCs w:val="24"/>
            <w:highlight w:val="white"/>
            <w:u w:val="single"/>
          </w:rPr>
          <w:t>https://csapsociety.bc.ca/about/about-contaminated-sites/</w:t>
        </w:r>
      </w:hyperlink>
    </w:p>
    <w:p w14:paraId="63FCE023"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CREEK, S. B. (2021). Butte Reduction Works (BRW) Smelter Area Mine Waste Remediation and Contaminated Groundwater Hydraulic Control Site Remedial Design Work Plan.</w:t>
      </w:r>
    </w:p>
    <w:p w14:paraId="772F8823"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Crown-Indigenous Relations and Northern Affairs Canada. (n.d.-a). </w:t>
      </w:r>
      <w:r w:rsidRPr="00862A1A">
        <w:rPr>
          <w:rFonts w:ascii="Times New Roman" w:eastAsia="Times New Roman" w:hAnsi="Times New Roman" w:cs="Times New Roman"/>
          <w:i/>
          <w:sz w:val="24"/>
          <w:szCs w:val="24"/>
          <w:highlight w:val="white"/>
        </w:rPr>
        <w:t>Faro Mine Remediation Project</w:t>
      </w:r>
      <w:r w:rsidRPr="00862A1A">
        <w:rPr>
          <w:rFonts w:ascii="Times New Roman" w:eastAsia="Times New Roman" w:hAnsi="Times New Roman" w:cs="Times New Roman"/>
          <w:sz w:val="24"/>
          <w:szCs w:val="24"/>
          <w:highlight w:val="white"/>
        </w:rPr>
        <w:t xml:space="preserve">. Retrieved from </w:t>
      </w:r>
      <w:hyperlink r:id="rId16">
        <w:r w:rsidRPr="00862A1A">
          <w:rPr>
            <w:rFonts w:ascii="Times New Roman" w:eastAsia="Times New Roman" w:hAnsi="Times New Roman" w:cs="Times New Roman"/>
            <w:color w:val="0563C1"/>
            <w:sz w:val="24"/>
            <w:szCs w:val="24"/>
            <w:highlight w:val="white"/>
            <w:u w:val="single"/>
          </w:rPr>
          <w:t>https://www.rcaanc-cirnac.gc.ca/eng/1480019546952/1537554989037</w:t>
        </w:r>
      </w:hyperlink>
    </w:p>
    <w:p w14:paraId="7586965B"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Derakhshan Nejad, Z., Jung, M. C., &amp; Kim, K. H. (2018). Remediation of soils contaminated with heavy metals with an emphasis on immobilization technology. </w:t>
      </w:r>
      <w:r w:rsidRPr="00862A1A">
        <w:rPr>
          <w:rFonts w:ascii="Times New Roman" w:eastAsia="Times New Roman" w:hAnsi="Times New Roman" w:cs="Times New Roman"/>
          <w:i/>
          <w:sz w:val="24"/>
          <w:szCs w:val="24"/>
          <w:highlight w:val="white"/>
        </w:rPr>
        <w:t>Environmental geochemistry and health</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40</w:t>
      </w:r>
      <w:r w:rsidRPr="00862A1A">
        <w:rPr>
          <w:rFonts w:ascii="Times New Roman" w:eastAsia="Times New Roman" w:hAnsi="Times New Roman" w:cs="Times New Roman"/>
          <w:sz w:val="24"/>
          <w:szCs w:val="24"/>
          <w:highlight w:val="white"/>
        </w:rPr>
        <w:t>(3), 927-953.</w:t>
      </w:r>
    </w:p>
    <w:p w14:paraId="474313C6"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Edo, G. I., Samuel, P. O., </w:t>
      </w:r>
      <w:proofErr w:type="spellStart"/>
      <w:r w:rsidRPr="00862A1A">
        <w:rPr>
          <w:rFonts w:ascii="Times New Roman" w:eastAsia="Times New Roman" w:hAnsi="Times New Roman" w:cs="Times New Roman"/>
          <w:sz w:val="24"/>
          <w:szCs w:val="24"/>
          <w:highlight w:val="white"/>
        </w:rPr>
        <w:t>Oloni</w:t>
      </w:r>
      <w:proofErr w:type="spellEnd"/>
      <w:r w:rsidRPr="00862A1A">
        <w:rPr>
          <w:rFonts w:ascii="Times New Roman" w:eastAsia="Times New Roman" w:hAnsi="Times New Roman" w:cs="Times New Roman"/>
          <w:sz w:val="24"/>
          <w:szCs w:val="24"/>
          <w:highlight w:val="white"/>
        </w:rPr>
        <w:t xml:space="preserve">, G. O., Ezekiel, G. O., </w:t>
      </w:r>
      <w:proofErr w:type="spellStart"/>
      <w:r w:rsidRPr="00862A1A">
        <w:rPr>
          <w:rFonts w:ascii="Times New Roman" w:eastAsia="Times New Roman" w:hAnsi="Times New Roman" w:cs="Times New Roman"/>
          <w:sz w:val="24"/>
          <w:szCs w:val="24"/>
          <w:highlight w:val="white"/>
        </w:rPr>
        <w:t>Ikpekoro</w:t>
      </w:r>
      <w:proofErr w:type="spellEnd"/>
      <w:r w:rsidRPr="00862A1A">
        <w:rPr>
          <w:rFonts w:ascii="Times New Roman" w:eastAsia="Times New Roman" w:hAnsi="Times New Roman" w:cs="Times New Roman"/>
          <w:sz w:val="24"/>
          <w:szCs w:val="24"/>
          <w:highlight w:val="white"/>
        </w:rPr>
        <w:t>, V. O., Obasohan, P., ... &amp; Agbo, J. J. (2024). Environmental persistence, bioaccumulation, and ecotoxicology of heavy metals. </w:t>
      </w:r>
      <w:r w:rsidRPr="00862A1A">
        <w:rPr>
          <w:rFonts w:ascii="Times New Roman" w:eastAsia="Times New Roman" w:hAnsi="Times New Roman" w:cs="Times New Roman"/>
          <w:i/>
          <w:sz w:val="24"/>
          <w:szCs w:val="24"/>
          <w:highlight w:val="white"/>
        </w:rPr>
        <w:t>Chemistry and Ecology</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40</w:t>
      </w:r>
      <w:r w:rsidRPr="00862A1A">
        <w:rPr>
          <w:rFonts w:ascii="Times New Roman" w:eastAsia="Times New Roman" w:hAnsi="Times New Roman" w:cs="Times New Roman"/>
          <w:sz w:val="24"/>
          <w:szCs w:val="24"/>
          <w:highlight w:val="white"/>
        </w:rPr>
        <w:t>(3), 322-349.</w:t>
      </w:r>
    </w:p>
    <w:p w14:paraId="735A705D"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Ellis, D. E., &amp; Hadley, P. W. (2009). Sustainable remediation white paper—Integrating sustainable principles, practices, and metrics into remediation projects. </w:t>
      </w:r>
      <w:r w:rsidRPr="00862A1A">
        <w:rPr>
          <w:rFonts w:ascii="Times New Roman" w:eastAsia="Times New Roman" w:hAnsi="Times New Roman" w:cs="Times New Roman"/>
          <w:i/>
          <w:sz w:val="24"/>
          <w:szCs w:val="24"/>
          <w:highlight w:val="white"/>
        </w:rPr>
        <w:t>Remediation Journal</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19</w:t>
      </w:r>
      <w:r w:rsidRPr="00862A1A">
        <w:rPr>
          <w:rFonts w:ascii="Times New Roman" w:eastAsia="Times New Roman" w:hAnsi="Times New Roman" w:cs="Times New Roman"/>
          <w:sz w:val="24"/>
          <w:szCs w:val="24"/>
          <w:highlight w:val="white"/>
        </w:rPr>
        <w:t>(3), 5-114.</w:t>
      </w:r>
    </w:p>
    <w:p w14:paraId="6F958D07"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Encyclopedia.pub. (n.d.). </w:t>
      </w:r>
      <w:r w:rsidRPr="00862A1A">
        <w:rPr>
          <w:rFonts w:ascii="Times New Roman" w:eastAsia="Times New Roman" w:hAnsi="Times New Roman" w:cs="Times New Roman"/>
          <w:i/>
          <w:sz w:val="24"/>
          <w:szCs w:val="24"/>
          <w:highlight w:val="white"/>
        </w:rPr>
        <w:t>Metal Sulfide Precipitation</w:t>
      </w:r>
      <w:r w:rsidRPr="00862A1A">
        <w:rPr>
          <w:rFonts w:ascii="Times New Roman" w:eastAsia="Times New Roman" w:hAnsi="Times New Roman" w:cs="Times New Roman"/>
          <w:sz w:val="24"/>
          <w:szCs w:val="24"/>
          <w:highlight w:val="white"/>
        </w:rPr>
        <w:t xml:space="preserve">. Retrieved from </w:t>
      </w:r>
      <w:hyperlink r:id="rId17">
        <w:r w:rsidRPr="00862A1A">
          <w:rPr>
            <w:rFonts w:ascii="Times New Roman" w:eastAsia="Times New Roman" w:hAnsi="Times New Roman" w:cs="Times New Roman"/>
            <w:color w:val="0563C1"/>
            <w:sz w:val="24"/>
            <w:szCs w:val="24"/>
            <w:highlight w:val="white"/>
            <w:u w:val="single"/>
          </w:rPr>
          <w:t>https://encyclopedia.pub/entry/17207</w:t>
        </w:r>
      </w:hyperlink>
    </w:p>
    <w:p w14:paraId="57503F73"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Federal Remediation Technologies Roundtable. (n.d.-a). </w:t>
      </w:r>
      <w:r w:rsidRPr="00862A1A">
        <w:rPr>
          <w:rFonts w:ascii="Times New Roman" w:eastAsia="Times New Roman" w:hAnsi="Times New Roman" w:cs="Times New Roman"/>
          <w:i/>
          <w:sz w:val="24"/>
          <w:szCs w:val="24"/>
          <w:highlight w:val="white"/>
        </w:rPr>
        <w:t xml:space="preserve">A Decision Framework for Applying Monitored Natural Attenuation Processes to Metals and Radionuclides in </w:t>
      </w:r>
      <w:r w:rsidRPr="00862A1A">
        <w:rPr>
          <w:rFonts w:ascii="Times New Roman" w:eastAsia="Times New Roman" w:hAnsi="Times New Roman" w:cs="Times New Roman"/>
          <w:i/>
          <w:sz w:val="24"/>
          <w:szCs w:val="24"/>
          <w:highlight w:val="white"/>
        </w:rPr>
        <w:lastRenderedPageBreak/>
        <w:t>Groundwater</w:t>
      </w:r>
      <w:r w:rsidRPr="00862A1A">
        <w:rPr>
          <w:rFonts w:ascii="Times New Roman" w:eastAsia="Times New Roman" w:hAnsi="Times New Roman" w:cs="Times New Roman"/>
          <w:sz w:val="24"/>
          <w:szCs w:val="24"/>
          <w:highlight w:val="white"/>
        </w:rPr>
        <w:t xml:space="preserve">. Retrieved from </w:t>
      </w:r>
      <w:hyperlink r:id="rId18">
        <w:r w:rsidRPr="00862A1A">
          <w:rPr>
            <w:rFonts w:ascii="Times New Roman" w:eastAsia="Times New Roman" w:hAnsi="Times New Roman" w:cs="Times New Roman"/>
            <w:color w:val="0563C1"/>
            <w:sz w:val="24"/>
            <w:szCs w:val="24"/>
            <w:highlight w:val="white"/>
            <w:u w:val="single"/>
          </w:rPr>
          <w:t>https://frtr.gov/matrix/documents/Monitored-Natural-Attenuation/2010-A-Decision-Framework-for-Applying-MNA-Processes-to-Metals-and-Radionuclides.pdf</w:t>
        </w:r>
      </w:hyperlink>
    </w:p>
    <w:p w14:paraId="3C9F0CFF"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Federal Remediation Technologies Roundtable. (n.d.-b). </w:t>
      </w:r>
      <w:r w:rsidRPr="00862A1A">
        <w:rPr>
          <w:rFonts w:ascii="Times New Roman" w:eastAsia="Times New Roman" w:hAnsi="Times New Roman" w:cs="Times New Roman"/>
          <w:i/>
          <w:sz w:val="24"/>
          <w:szCs w:val="24"/>
          <w:highlight w:val="white"/>
        </w:rPr>
        <w:t>Monitored Natural Attenuation</w:t>
      </w:r>
      <w:r w:rsidRPr="00862A1A">
        <w:rPr>
          <w:rFonts w:ascii="Times New Roman" w:eastAsia="Times New Roman" w:hAnsi="Times New Roman" w:cs="Times New Roman"/>
          <w:sz w:val="24"/>
          <w:szCs w:val="24"/>
          <w:highlight w:val="white"/>
        </w:rPr>
        <w:t xml:space="preserve">. Retrieved from </w:t>
      </w:r>
      <w:hyperlink r:id="rId19">
        <w:r w:rsidRPr="00862A1A">
          <w:rPr>
            <w:rFonts w:ascii="Times New Roman" w:eastAsia="Times New Roman" w:hAnsi="Times New Roman" w:cs="Times New Roman"/>
            <w:color w:val="0563C1"/>
            <w:sz w:val="24"/>
            <w:szCs w:val="24"/>
            <w:highlight w:val="white"/>
            <w:u w:val="single"/>
          </w:rPr>
          <w:t>https://frtr.gov/matrix/Monitored-Natural-Attenuation/</w:t>
        </w:r>
      </w:hyperlink>
    </w:p>
    <w:p w14:paraId="3CC273E5"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Federal Remediation Technologies Roundtable. (n.d.-c). </w:t>
      </w:r>
      <w:r w:rsidRPr="00862A1A">
        <w:rPr>
          <w:rFonts w:ascii="Times New Roman" w:eastAsia="Times New Roman" w:hAnsi="Times New Roman" w:cs="Times New Roman"/>
          <w:i/>
          <w:sz w:val="24"/>
          <w:szCs w:val="24"/>
          <w:highlight w:val="white"/>
        </w:rPr>
        <w:t>Permeable Reactive Barriers, Permeable Treatment Zones, and Application of Zero-Valent Iron</w:t>
      </w:r>
      <w:r w:rsidRPr="00862A1A">
        <w:rPr>
          <w:rFonts w:ascii="Times New Roman" w:eastAsia="Times New Roman" w:hAnsi="Times New Roman" w:cs="Times New Roman"/>
          <w:sz w:val="24"/>
          <w:szCs w:val="24"/>
          <w:highlight w:val="white"/>
        </w:rPr>
        <w:t xml:space="preserve">. Retrieved from </w:t>
      </w:r>
      <w:hyperlink r:id="rId20">
        <w:r w:rsidRPr="00862A1A">
          <w:rPr>
            <w:rFonts w:ascii="Times New Roman" w:eastAsia="Times New Roman" w:hAnsi="Times New Roman" w:cs="Times New Roman"/>
            <w:color w:val="0563C1"/>
            <w:sz w:val="24"/>
            <w:szCs w:val="24"/>
            <w:highlight w:val="white"/>
            <w:u w:val="single"/>
          </w:rPr>
          <w:t>https://www.clu-in.org/techfocus/default.focus/sec/permeable_reactive_barriers%2C_perme</w:t>
        </w:r>
      </w:hyperlink>
    </w:p>
    <w:p w14:paraId="0AE4E931"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Gammons, C. H., &amp; </w:t>
      </w:r>
      <w:proofErr w:type="spellStart"/>
      <w:r w:rsidRPr="00862A1A">
        <w:rPr>
          <w:rFonts w:ascii="Times New Roman" w:eastAsia="Times New Roman" w:hAnsi="Times New Roman" w:cs="Times New Roman"/>
          <w:sz w:val="24"/>
          <w:szCs w:val="24"/>
          <w:highlight w:val="white"/>
        </w:rPr>
        <w:t>Duaime</w:t>
      </w:r>
      <w:proofErr w:type="spellEnd"/>
      <w:r w:rsidRPr="00862A1A">
        <w:rPr>
          <w:rFonts w:ascii="Times New Roman" w:eastAsia="Times New Roman" w:hAnsi="Times New Roman" w:cs="Times New Roman"/>
          <w:sz w:val="24"/>
          <w:szCs w:val="24"/>
          <w:highlight w:val="white"/>
        </w:rPr>
        <w:t>, T. E. (2020). The Berkeley Pit and surrounding mine waters of Butte. </w:t>
      </w:r>
      <w:r w:rsidRPr="00862A1A">
        <w:rPr>
          <w:rFonts w:ascii="Times New Roman" w:eastAsia="Times New Roman" w:hAnsi="Times New Roman" w:cs="Times New Roman"/>
          <w:i/>
          <w:sz w:val="24"/>
          <w:szCs w:val="24"/>
          <w:highlight w:val="white"/>
        </w:rPr>
        <w:t>Geology of Montana—Special Topics: Montana Bureau of Mines and Geology Special Publication</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2</w:t>
      </w:r>
      <w:r w:rsidRPr="00862A1A">
        <w:rPr>
          <w:rFonts w:ascii="Times New Roman" w:eastAsia="Times New Roman" w:hAnsi="Times New Roman" w:cs="Times New Roman"/>
          <w:sz w:val="24"/>
          <w:szCs w:val="24"/>
          <w:highlight w:val="white"/>
        </w:rPr>
        <w:t>, 1-17.</w:t>
      </w:r>
    </w:p>
    <w:p w14:paraId="0AD2BDD8"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Government of Ontario, 2003 : </w:t>
      </w:r>
      <w:hyperlink r:id="rId21">
        <w:r w:rsidRPr="00862A1A">
          <w:rPr>
            <w:rFonts w:ascii="Times New Roman" w:eastAsia="Times New Roman" w:hAnsi="Times New Roman" w:cs="Times New Roman"/>
            <w:color w:val="0563C1"/>
            <w:sz w:val="24"/>
            <w:szCs w:val="24"/>
            <w:highlight w:val="white"/>
            <w:u w:val="single"/>
          </w:rPr>
          <w:t>https://www.archives.gov.on.ca/en/historical_documents_project/02-06/ONTARIO_2003_BUDGET.pdf</w:t>
        </w:r>
      </w:hyperlink>
    </w:p>
    <w:p w14:paraId="51C9AE0E"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Gunn, J. M. (Ed.). (2012). </w:t>
      </w:r>
      <w:r w:rsidRPr="00862A1A">
        <w:rPr>
          <w:rFonts w:ascii="Times New Roman" w:eastAsia="Times New Roman" w:hAnsi="Times New Roman" w:cs="Times New Roman"/>
          <w:i/>
          <w:sz w:val="24"/>
          <w:szCs w:val="24"/>
          <w:highlight w:val="white"/>
        </w:rPr>
        <w:t>Restoration and recovery of an industrial region: progress in restoring the smelter-damaged landscape near Sudbury, Canada</w:t>
      </w:r>
      <w:r w:rsidRPr="00862A1A">
        <w:rPr>
          <w:rFonts w:ascii="Times New Roman" w:eastAsia="Times New Roman" w:hAnsi="Times New Roman" w:cs="Times New Roman"/>
          <w:sz w:val="24"/>
          <w:szCs w:val="24"/>
          <w:highlight w:val="white"/>
        </w:rPr>
        <w:t>. Springer Science &amp; Business Media.</w:t>
      </w:r>
    </w:p>
    <w:p w14:paraId="41273DD5"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Hassan, Z., &amp; Westerhoff, H. V. (2024). Arsenic contamination of groundwater is determined by complex interactions between various chemical and biological processes. </w:t>
      </w:r>
      <w:r w:rsidRPr="00862A1A">
        <w:rPr>
          <w:rFonts w:ascii="Times New Roman" w:eastAsia="Times New Roman" w:hAnsi="Times New Roman" w:cs="Times New Roman"/>
          <w:i/>
          <w:sz w:val="24"/>
          <w:szCs w:val="24"/>
          <w:highlight w:val="white"/>
        </w:rPr>
        <w:t>Toxics</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12</w:t>
      </w:r>
      <w:r w:rsidRPr="00862A1A">
        <w:rPr>
          <w:rFonts w:ascii="Times New Roman" w:eastAsia="Times New Roman" w:hAnsi="Times New Roman" w:cs="Times New Roman"/>
          <w:sz w:val="24"/>
          <w:szCs w:val="24"/>
          <w:highlight w:val="white"/>
        </w:rPr>
        <w:t>(1).</w:t>
      </w:r>
    </w:p>
    <w:p w14:paraId="197BD9B1"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Holifield, R. (2004). Neoliberalism and environmental justice in the United States environmental protection agency: Translating policy into managerial practice in hazardous waste remediation. </w:t>
      </w:r>
      <w:proofErr w:type="spellStart"/>
      <w:r w:rsidRPr="00862A1A">
        <w:rPr>
          <w:rFonts w:ascii="Times New Roman" w:eastAsia="Times New Roman" w:hAnsi="Times New Roman" w:cs="Times New Roman"/>
          <w:i/>
          <w:sz w:val="24"/>
          <w:szCs w:val="24"/>
          <w:highlight w:val="white"/>
        </w:rPr>
        <w:t>Geoforum</w:t>
      </w:r>
      <w:proofErr w:type="spellEnd"/>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35</w:t>
      </w:r>
      <w:r w:rsidRPr="00862A1A">
        <w:rPr>
          <w:rFonts w:ascii="Times New Roman" w:eastAsia="Times New Roman" w:hAnsi="Times New Roman" w:cs="Times New Roman"/>
          <w:sz w:val="24"/>
          <w:szCs w:val="24"/>
          <w:highlight w:val="white"/>
        </w:rPr>
        <w:t>(3), 285-297.</w:t>
      </w:r>
    </w:p>
    <w:p w14:paraId="3F5B0F74"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Hu, C., Yang, Z., Chen, Y., Tang, J., Zeng, L., Peng, C., ... &amp; Wang, J. (2024). Unlocking soil revival: The role of sulfate-reducing bacteria in mitigating heavy metal contamination. </w:t>
      </w:r>
      <w:r w:rsidRPr="00862A1A">
        <w:rPr>
          <w:rFonts w:ascii="Times New Roman" w:eastAsia="Times New Roman" w:hAnsi="Times New Roman" w:cs="Times New Roman"/>
          <w:i/>
          <w:sz w:val="24"/>
          <w:szCs w:val="24"/>
          <w:highlight w:val="white"/>
        </w:rPr>
        <w:t>Environmental Geochemistry and Health</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46</w:t>
      </w:r>
      <w:r w:rsidRPr="00862A1A">
        <w:rPr>
          <w:rFonts w:ascii="Times New Roman" w:eastAsia="Times New Roman" w:hAnsi="Times New Roman" w:cs="Times New Roman"/>
          <w:sz w:val="24"/>
          <w:szCs w:val="24"/>
          <w:highlight w:val="white"/>
        </w:rPr>
        <w:t>(10), 417.</w:t>
      </w:r>
    </w:p>
    <w:p w14:paraId="236C98CE"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lastRenderedPageBreak/>
        <w:t>Hubbert, D. (2013). Identifying drinking water regulatory frameworks.</w:t>
      </w:r>
    </w:p>
    <w:p w14:paraId="182ECB23"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Jacobs, J., Testa, S. M., Alpers, C. N., &amp; Nordstrom, D. K. (2016). An overview of environmental impacts and mine reclamation efforts at Iron Mountain, Shasta County, California. </w:t>
      </w:r>
      <w:r w:rsidRPr="00862A1A">
        <w:rPr>
          <w:rFonts w:ascii="Times New Roman" w:eastAsia="Times New Roman" w:hAnsi="Times New Roman" w:cs="Times New Roman"/>
          <w:i/>
          <w:sz w:val="24"/>
          <w:szCs w:val="24"/>
          <w:highlight w:val="white"/>
        </w:rPr>
        <w:t xml:space="preserve">Applied Geology in California, edited by R. Anderson and H. </w:t>
      </w:r>
      <w:proofErr w:type="spellStart"/>
      <w:r w:rsidRPr="00862A1A">
        <w:rPr>
          <w:rFonts w:ascii="Times New Roman" w:eastAsia="Times New Roman" w:hAnsi="Times New Roman" w:cs="Times New Roman"/>
          <w:i/>
          <w:sz w:val="24"/>
          <w:szCs w:val="24"/>
          <w:highlight w:val="white"/>
        </w:rPr>
        <w:t>Ferriz</w:t>
      </w:r>
      <w:proofErr w:type="spellEnd"/>
      <w:r w:rsidRPr="00862A1A">
        <w:rPr>
          <w:rFonts w:ascii="Times New Roman" w:eastAsia="Times New Roman" w:hAnsi="Times New Roman" w:cs="Times New Roman"/>
          <w:i/>
          <w:sz w:val="24"/>
          <w:szCs w:val="24"/>
          <w:highlight w:val="white"/>
        </w:rPr>
        <w:t>, Association of Environmental &amp; Engineering Geologists, Star Publishing Company, Belmont, CA</w:t>
      </w:r>
      <w:r w:rsidRPr="00862A1A">
        <w:rPr>
          <w:rFonts w:ascii="Times New Roman" w:eastAsia="Times New Roman" w:hAnsi="Times New Roman" w:cs="Times New Roman"/>
          <w:sz w:val="24"/>
          <w:szCs w:val="24"/>
          <w:highlight w:val="white"/>
        </w:rPr>
        <w:t>, 427-446.</w:t>
      </w:r>
    </w:p>
    <w:p w14:paraId="5633CF50"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Kellaway, E. J. (2021). </w:t>
      </w:r>
      <w:r w:rsidRPr="00862A1A">
        <w:rPr>
          <w:rFonts w:ascii="Times New Roman" w:eastAsia="Times New Roman" w:hAnsi="Times New Roman" w:cs="Times New Roman"/>
          <w:i/>
          <w:sz w:val="24"/>
          <w:szCs w:val="24"/>
          <w:highlight w:val="white"/>
        </w:rPr>
        <w:t>Legacy Effects Associated with the World’s Largest Ongoing Liming and Forest Regeneration Program in Sudbury, Ontario, Canada</w:t>
      </w:r>
      <w:r w:rsidRPr="00862A1A">
        <w:rPr>
          <w:rFonts w:ascii="Times New Roman" w:eastAsia="Times New Roman" w:hAnsi="Times New Roman" w:cs="Times New Roman"/>
          <w:sz w:val="24"/>
          <w:szCs w:val="24"/>
          <w:highlight w:val="white"/>
        </w:rPr>
        <w:t> (Master's thesis, Trent University (Canada)).</w:t>
      </w:r>
    </w:p>
    <w:p w14:paraId="1CA5027C"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Keystone Environmental Ltd., n.d.-a) : </w:t>
      </w:r>
      <w:hyperlink r:id="rId22">
        <w:r w:rsidRPr="00862A1A">
          <w:rPr>
            <w:rFonts w:ascii="Times New Roman" w:eastAsia="Times New Roman" w:hAnsi="Times New Roman" w:cs="Times New Roman"/>
            <w:color w:val="0563C1"/>
            <w:sz w:val="24"/>
            <w:szCs w:val="24"/>
            <w:highlight w:val="white"/>
            <w:u w:val="single"/>
          </w:rPr>
          <w:t>https://keystoneenvironmental.ca/services-environemental-consulting/contaminated-sites-risk-assessment/contaminant-remediation/</w:t>
        </w:r>
      </w:hyperlink>
    </w:p>
    <w:p w14:paraId="015D2166"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proofErr w:type="spellStart"/>
      <w:r w:rsidRPr="00862A1A">
        <w:rPr>
          <w:rFonts w:ascii="Times New Roman" w:eastAsia="Times New Roman" w:hAnsi="Times New Roman" w:cs="Times New Roman"/>
          <w:sz w:val="24"/>
          <w:szCs w:val="24"/>
          <w:highlight w:val="white"/>
        </w:rPr>
        <w:t>Khalidy</w:t>
      </w:r>
      <w:proofErr w:type="spellEnd"/>
      <w:r w:rsidRPr="00862A1A">
        <w:rPr>
          <w:rFonts w:ascii="Times New Roman" w:eastAsia="Times New Roman" w:hAnsi="Times New Roman" w:cs="Times New Roman"/>
          <w:sz w:val="24"/>
          <w:szCs w:val="24"/>
          <w:highlight w:val="white"/>
        </w:rPr>
        <w:t>, R., &amp; Santos, R. M. (2021). Assessment of geochemical modeling applications and research hot spots—a year in review. </w:t>
      </w:r>
      <w:r w:rsidRPr="00862A1A">
        <w:rPr>
          <w:rFonts w:ascii="Times New Roman" w:eastAsia="Times New Roman" w:hAnsi="Times New Roman" w:cs="Times New Roman"/>
          <w:i/>
          <w:sz w:val="24"/>
          <w:szCs w:val="24"/>
          <w:highlight w:val="white"/>
        </w:rPr>
        <w:t>Environmental Geochemistry and Health</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43</w:t>
      </w:r>
      <w:r w:rsidRPr="00862A1A">
        <w:rPr>
          <w:rFonts w:ascii="Times New Roman" w:eastAsia="Times New Roman" w:hAnsi="Times New Roman" w:cs="Times New Roman"/>
          <w:sz w:val="24"/>
          <w:szCs w:val="24"/>
          <w:highlight w:val="white"/>
        </w:rPr>
        <w:t>(9), 3351-3374.</w:t>
      </w:r>
    </w:p>
    <w:p w14:paraId="6CD6EB11"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Konstantinou, C., &amp; Wang, Y. (2023). Unlocking the potential of microbially induced calcium carbonate precipitation (MICP) for hydrological applications: a review of opportunities, challenges, and environmental considerations. </w:t>
      </w:r>
      <w:r w:rsidRPr="00862A1A">
        <w:rPr>
          <w:rFonts w:ascii="Times New Roman" w:eastAsia="Times New Roman" w:hAnsi="Times New Roman" w:cs="Times New Roman"/>
          <w:i/>
          <w:sz w:val="24"/>
          <w:szCs w:val="24"/>
          <w:highlight w:val="white"/>
        </w:rPr>
        <w:t>Hydrology</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10</w:t>
      </w:r>
      <w:r w:rsidRPr="00862A1A">
        <w:rPr>
          <w:rFonts w:ascii="Times New Roman" w:eastAsia="Times New Roman" w:hAnsi="Times New Roman" w:cs="Times New Roman"/>
          <w:sz w:val="24"/>
          <w:szCs w:val="24"/>
          <w:highlight w:val="white"/>
        </w:rPr>
        <w:t>(9), 178.</w:t>
      </w:r>
    </w:p>
    <w:p w14:paraId="0C04E10B"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Kumar, D., Malik, S., Rani, R., Kumar, R., &amp; Duhan, J. S. (2023). Behavior, risk, and bioremediation potential of heavy metals/metalloids in the soil system. </w:t>
      </w:r>
      <w:proofErr w:type="spellStart"/>
      <w:r w:rsidRPr="00862A1A">
        <w:rPr>
          <w:rFonts w:ascii="Times New Roman" w:eastAsia="Times New Roman" w:hAnsi="Times New Roman" w:cs="Times New Roman"/>
          <w:i/>
          <w:sz w:val="24"/>
          <w:szCs w:val="24"/>
          <w:highlight w:val="white"/>
        </w:rPr>
        <w:t>Rendiconti</w:t>
      </w:r>
      <w:proofErr w:type="spellEnd"/>
      <w:r w:rsidRPr="00862A1A">
        <w:rPr>
          <w:rFonts w:ascii="Times New Roman" w:eastAsia="Times New Roman" w:hAnsi="Times New Roman" w:cs="Times New Roman"/>
          <w:i/>
          <w:sz w:val="24"/>
          <w:szCs w:val="24"/>
          <w:highlight w:val="white"/>
        </w:rPr>
        <w:t xml:space="preserve"> </w:t>
      </w:r>
      <w:proofErr w:type="spellStart"/>
      <w:r w:rsidRPr="00862A1A">
        <w:rPr>
          <w:rFonts w:ascii="Times New Roman" w:eastAsia="Times New Roman" w:hAnsi="Times New Roman" w:cs="Times New Roman"/>
          <w:i/>
          <w:sz w:val="24"/>
          <w:szCs w:val="24"/>
          <w:highlight w:val="white"/>
        </w:rPr>
        <w:t>Lincei</w:t>
      </w:r>
      <w:proofErr w:type="spellEnd"/>
      <w:r w:rsidRPr="00862A1A">
        <w:rPr>
          <w:rFonts w:ascii="Times New Roman" w:eastAsia="Times New Roman" w:hAnsi="Times New Roman" w:cs="Times New Roman"/>
          <w:i/>
          <w:sz w:val="24"/>
          <w:szCs w:val="24"/>
          <w:highlight w:val="white"/>
        </w:rPr>
        <w:t xml:space="preserve">. </w:t>
      </w:r>
      <w:proofErr w:type="spellStart"/>
      <w:r w:rsidRPr="00862A1A">
        <w:rPr>
          <w:rFonts w:ascii="Times New Roman" w:eastAsia="Times New Roman" w:hAnsi="Times New Roman" w:cs="Times New Roman"/>
          <w:i/>
          <w:sz w:val="24"/>
          <w:szCs w:val="24"/>
          <w:highlight w:val="white"/>
        </w:rPr>
        <w:t>Scienze</w:t>
      </w:r>
      <w:proofErr w:type="spellEnd"/>
      <w:r w:rsidRPr="00862A1A">
        <w:rPr>
          <w:rFonts w:ascii="Times New Roman" w:eastAsia="Times New Roman" w:hAnsi="Times New Roman" w:cs="Times New Roman"/>
          <w:i/>
          <w:sz w:val="24"/>
          <w:szCs w:val="24"/>
          <w:highlight w:val="white"/>
        </w:rPr>
        <w:t xml:space="preserve"> </w:t>
      </w:r>
      <w:proofErr w:type="spellStart"/>
      <w:r w:rsidRPr="00862A1A">
        <w:rPr>
          <w:rFonts w:ascii="Times New Roman" w:eastAsia="Times New Roman" w:hAnsi="Times New Roman" w:cs="Times New Roman"/>
          <w:i/>
          <w:sz w:val="24"/>
          <w:szCs w:val="24"/>
          <w:highlight w:val="white"/>
        </w:rPr>
        <w:t>Fisiche</w:t>
      </w:r>
      <w:proofErr w:type="spellEnd"/>
      <w:r w:rsidRPr="00862A1A">
        <w:rPr>
          <w:rFonts w:ascii="Times New Roman" w:eastAsia="Times New Roman" w:hAnsi="Times New Roman" w:cs="Times New Roman"/>
          <w:i/>
          <w:sz w:val="24"/>
          <w:szCs w:val="24"/>
          <w:highlight w:val="white"/>
        </w:rPr>
        <w:t xml:space="preserve"> e </w:t>
      </w:r>
      <w:proofErr w:type="spellStart"/>
      <w:r w:rsidRPr="00862A1A">
        <w:rPr>
          <w:rFonts w:ascii="Times New Roman" w:eastAsia="Times New Roman" w:hAnsi="Times New Roman" w:cs="Times New Roman"/>
          <w:i/>
          <w:sz w:val="24"/>
          <w:szCs w:val="24"/>
          <w:highlight w:val="white"/>
        </w:rPr>
        <w:t>Naturali</w:t>
      </w:r>
      <w:proofErr w:type="spellEnd"/>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34</w:t>
      </w:r>
      <w:r w:rsidRPr="00862A1A">
        <w:rPr>
          <w:rFonts w:ascii="Times New Roman" w:eastAsia="Times New Roman" w:hAnsi="Times New Roman" w:cs="Times New Roman"/>
          <w:sz w:val="24"/>
          <w:szCs w:val="24"/>
          <w:highlight w:val="white"/>
        </w:rPr>
        <w:t>(3), 809-831.</w:t>
      </w:r>
    </w:p>
    <w:p w14:paraId="323A175F"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Lanigan, C. (2023). </w:t>
      </w:r>
      <w:r w:rsidRPr="00862A1A">
        <w:rPr>
          <w:rFonts w:ascii="Times New Roman" w:eastAsia="Times New Roman" w:hAnsi="Times New Roman" w:cs="Times New Roman"/>
          <w:i/>
          <w:sz w:val="24"/>
          <w:szCs w:val="24"/>
          <w:highlight w:val="white"/>
        </w:rPr>
        <w:t>Using paleolimnology to assess long-term environmental changes in lakes from Killarney Provincial Park and Sudbury, Ontario, Canada</w:t>
      </w:r>
      <w:r w:rsidRPr="00862A1A">
        <w:rPr>
          <w:rFonts w:ascii="Times New Roman" w:eastAsia="Times New Roman" w:hAnsi="Times New Roman" w:cs="Times New Roman"/>
          <w:sz w:val="24"/>
          <w:szCs w:val="24"/>
          <w:highlight w:val="white"/>
        </w:rPr>
        <w:t> (Doctoral dissertation).</w:t>
      </w:r>
    </w:p>
    <w:p w14:paraId="799F7013"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Li, M., Liu, J., Xu, Y., &amp; Qian, G. (2016). Phosphate adsorption on metal oxides and metal hydroxides: A comparative review. </w:t>
      </w:r>
      <w:r w:rsidRPr="00862A1A">
        <w:rPr>
          <w:rFonts w:ascii="Times New Roman" w:eastAsia="Times New Roman" w:hAnsi="Times New Roman" w:cs="Times New Roman"/>
          <w:i/>
          <w:sz w:val="24"/>
          <w:szCs w:val="24"/>
          <w:highlight w:val="white"/>
        </w:rPr>
        <w:t>Environmental Reviews</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24</w:t>
      </w:r>
      <w:r w:rsidRPr="00862A1A">
        <w:rPr>
          <w:rFonts w:ascii="Times New Roman" w:eastAsia="Times New Roman" w:hAnsi="Times New Roman" w:cs="Times New Roman"/>
          <w:sz w:val="24"/>
          <w:szCs w:val="24"/>
          <w:highlight w:val="white"/>
        </w:rPr>
        <w:t>(3), 319-332.</w:t>
      </w:r>
    </w:p>
    <w:p w14:paraId="749B7D90"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Licht, S. (1988). Aqueous solubilities, solubility products and standard oxidation‐reduction potentials of the metal sulfides. </w:t>
      </w:r>
      <w:r w:rsidRPr="00862A1A">
        <w:rPr>
          <w:rFonts w:ascii="Times New Roman" w:eastAsia="Times New Roman" w:hAnsi="Times New Roman" w:cs="Times New Roman"/>
          <w:i/>
          <w:sz w:val="24"/>
          <w:szCs w:val="24"/>
          <w:highlight w:val="white"/>
        </w:rPr>
        <w:t>Journal of the Electrochemical Society</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135</w:t>
      </w:r>
      <w:r w:rsidRPr="00862A1A">
        <w:rPr>
          <w:rFonts w:ascii="Times New Roman" w:eastAsia="Times New Roman" w:hAnsi="Times New Roman" w:cs="Times New Roman"/>
          <w:sz w:val="24"/>
          <w:szCs w:val="24"/>
          <w:highlight w:val="white"/>
        </w:rPr>
        <w:t>(12), 2971.</w:t>
      </w:r>
    </w:p>
    <w:p w14:paraId="0C2CF67A"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lastRenderedPageBreak/>
        <w:t>Lin, P., Yang, X., Werner, J. M., &amp; Honaker, R. Q. (2021). Application of Eh-pH diagrams on acid leaching systems for the recovery of REEs from bastnaesite, monazite and xenotime. </w:t>
      </w:r>
      <w:r w:rsidRPr="00862A1A">
        <w:rPr>
          <w:rFonts w:ascii="Times New Roman" w:eastAsia="Times New Roman" w:hAnsi="Times New Roman" w:cs="Times New Roman"/>
          <w:i/>
          <w:sz w:val="24"/>
          <w:szCs w:val="24"/>
          <w:highlight w:val="white"/>
        </w:rPr>
        <w:t>Metals</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11</w:t>
      </w:r>
      <w:r w:rsidRPr="00862A1A">
        <w:rPr>
          <w:rFonts w:ascii="Times New Roman" w:eastAsia="Times New Roman" w:hAnsi="Times New Roman" w:cs="Times New Roman"/>
          <w:sz w:val="24"/>
          <w:szCs w:val="24"/>
          <w:highlight w:val="white"/>
        </w:rPr>
        <w:t>(5), 734.</w:t>
      </w:r>
    </w:p>
    <w:p w14:paraId="33F84EDC"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proofErr w:type="spellStart"/>
      <w:r w:rsidRPr="00862A1A">
        <w:rPr>
          <w:rFonts w:ascii="Times New Roman" w:eastAsia="Times New Roman" w:hAnsi="Times New Roman" w:cs="Times New Roman"/>
          <w:sz w:val="24"/>
          <w:szCs w:val="24"/>
          <w:highlight w:val="white"/>
        </w:rPr>
        <w:t>Mafane</w:t>
      </w:r>
      <w:proofErr w:type="spellEnd"/>
      <w:r w:rsidRPr="00862A1A">
        <w:rPr>
          <w:rFonts w:ascii="Times New Roman" w:eastAsia="Times New Roman" w:hAnsi="Times New Roman" w:cs="Times New Roman"/>
          <w:sz w:val="24"/>
          <w:szCs w:val="24"/>
          <w:highlight w:val="white"/>
        </w:rPr>
        <w:t xml:space="preserve">, D., Ngulube, T., &amp; </w:t>
      </w:r>
      <w:proofErr w:type="spellStart"/>
      <w:r w:rsidRPr="00862A1A">
        <w:rPr>
          <w:rFonts w:ascii="Times New Roman" w:eastAsia="Times New Roman" w:hAnsi="Times New Roman" w:cs="Times New Roman"/>
          <w:sz w:val="24"/>
          <w:szCs w:val="24"/>
          <w:highlight w:val="white"/>
        </w:rPr>
        <w:t>Mphahlele-Makgwane</w:t>
      </w:r>
      <w:proofErr w:type="spellEnd"/>
      <w:r w:rsidRPr="00862A1A">
        <w:rPr>
          <w:rFonts w:ascii="Times New Roman" w:eastAsia="Times New Roman" w:hAnsi="Times New Roman" w:cs="Times New Roman"/>
          <w:sz w:val="24"/>
          <w:szCs w:val="24"/>
          <w:highlight w:val="white"/>
        </w:rPr>
        <w:t>, M. M. (2025). Anaerobic Bioremediation of Acid Mine Drainage Using Sulphate-Reducing Bacteria: Current Status, Challenges, and Future Directions. </w:t>
      </w:r>
      <w:r w:rsidRPr="00862A1A">
        <w:rPr>
          <w:rFonts w:ascii="Times New Roman" w:eastAsia="Times New Roman" w:hAnsi="Times New Roman" w:cs="Times New Roman"/>
          <w:i/>
          <w:sz w:val="24"/>
          <w:szCs w:val="24"/>
          <w:highlight w:val="white"/>
        </w:rPr>
        <w:t>Sustainability</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17</w:t>
      </w:r>
      <w:r w:rsidRPr="00862A1A">
        <w:rPr>
          <w:rFonts w:ascii="Times New Roman" w:eastAsia="Times New Roman" w:hAnsi="Times New Roman" w:cs="Times New Roman"/>
          <w:sz w:val="24"/>
          <w:szCs w:val="24"/>
          <w:highlight w:val="white"/>
        </w:rPr>
        <w:t>(8), 3567.</w:t>
      </w:r>
    </w:p>
    <w:p w14:paraId="57F60BA9"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proofErr w:type="spellStart"/>
      <w:r w:rsidRPr="00862A1A">
        <w:rPr>
          <w:rFonts w:ascii="Times New Roman" w:eastAsia="Times New Roman" w:hAnsi="Times New Roman" w:cs="Times New Roman"/>
          <w:sz w:val="24"/>
          <w:szCs w:val="24"/>
          <w:highlight w:val="white"/>
        </w:rPr>
        <w:t>Mashale</w:t>
      </w:r>
      <w:proofErr w:type="spellEnd"/>
      <w:r w:rsidRPr="00862A1A">
        <w:rPr>
          <w:rFonts w:ascii="Times New Roman" w:eastAsia="Times New Roman" w:hAnsi="Times New Roman" w:cs="Times New Roman"/>
          <w:sz w:val="24"/>
          <w:szCs w:val="24"/>
          <w:highlight w:val="white"/>
        </w:rPr>
        <w:t xml:space="preserve">, K., </w:t>
      </w:r>
      <w:proofErr w:type="spellStart"/>
      <w:r w:rsidRPr="00862A1A">
        <w:rPr>
          <w:rFonts w:ascii="Times New Roman" w:eastAsia="Times New Roman" w:hAnsi="Times New Roman" w:cs="Times New Roman"/>
          <w:sz w:val="24"/>
          <w:szCs w:val="24"/>
          <w:highlight w:val="white"/>
        </w:rPr>
        <w:t>Mogashane</w:t>
      </w:r>
      <w:proofErr w:type="spellEnd"/>
      <w:r w:rsidRPr="00862A1A">
        <w:rPr>
          <w:rFonts w:ascii="Times New Roman" w:eastAsia="Times New Roman" w:hAnsi="Times New Roman" w:cs="Times New Roman"/>
          <w:sz w:val="24"/>
          <w:szCs w:val="24"/>
          <w:highlight w:val="white"/>
        </w:rPr>
        <w:t xml:space="preserve">, T. M., </w:t>
      </w:r>
      <w:proofErr w:type="spellStart"/>
      <w:r w:rsidRPr="00862A1A">
        <w:rPr>
          <w:rFonts w:ascii="Times New Roman" w:eastAsia="Times New Roman" w:hAnsi="Times New Roman" w:cs="Times New Roman"/>
          <w:sz w:val="24"/>
          <w:szCs w:val="24"/>
          <w:highlight w:val="white"/>
        </w:rPr>
        <w:t>Madzivha</w:t>
      </w:r>
      <w:proofErr w:type="spellEnd"/>
      <w:r w:rsidRPr="00862A1A">
        <w:rPr>
          <w:rFonts w:ascii="Times New Roman" w:eastAsia="Times New Roman" w:hAnsi="Times New Roman" w:cs="Times New Roman"/>
          <w:sz w:val="24"/>
          <w:szCs w:val="24"/>
          <w:highlight w:val="white"/>
        </w:rPr>
        <w:t xml:space="preserve">, P., </w:t>
      </w:r>
      <w:proofErr w:type="spellStart"/>
      <w:r w:rsidRPr="00862A1A">
        <w:rPr>
          <w:rFonts w:ascii="Times New Roman" w:eastAsia="Times New Roman" w:hAnsi="Times New Roman" w:cs="Times New Roman"/>
          <w:sz w:val="24"/>
          <w:szCs w:val="24"/>
          <w:highlight w:val="white"/>
        </w:rPr>
        <w:t>Motlatle</w:t>
      </w:r>
      <w:proofErr w:type="spellEnd"/>
      <w:r w:rsidRPr="00862A1A">
        <w:rPr>
          <w:rFonts w:ascii="Times New Roman" w:eastAsia="Times New Roman" w:hAnsi="Times New Roman" w:cs="Times New Roman"/>
          <w:sz w:val="24"/>
          <w:szCs w:val="24"/>
          <w:highlight w:val="white"/>
        </w:rPr>
        <w:t>, M. A., Mokoena, L., &amp; Tshilongo, J. (2025). Iron Oxide and Hydroxides for the Removal of Heavy Metals from Wastewater.</w:t>
      </w:r>
    </w:p>
    <w:p w14:paraId="152A4603"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Mayes, W. M., Johnston, D., Potter, H. A. B., &amp; Jarvis, A. P. (2009). A national strategy for identification, </w:t>
      </w:r>
      <w:proofErr w:type="spellStart"/>
      <w:r w:rsidRPr="00862A1A">
        <w:rPr>
          <w:rFonts w:ascii="Times New Roman" w:eastAsia="Times New Roman" w:hAnsi="Times New Roman" w:cs="Times New Roman"/>
          <w:sz w:val="24"/>
          <w:szCs w:val="24"/>
          <w:highlight w:val="white"/>
        </w:rPr>
        <w:t>prioritisation</w:t>
      </w:r>
      <w:proofErr w:type="spellEnd"/>
      <w:r w:rsidRPr="00862A1A">
        <w:rPr>
          <w:rFonts w:ascii="Times New Roman" w:eastAsia="Times New Roman" w:hAnsi="Times New Roman" w:cs="Times New Roman"/>
          <w:sz w:val="24"/>
          <w:szCs w:val="24"/>
          <w:highlight w:val="white"/>
        </w:rPr>
        <w:t xml:space="preserve"> and management of pollution from abandoned non-coal mine sites in England and Wales. I.: Methodology development and initial results. </w:t>
      </w:r>
      <w:r w:rsidRPr="00862A1A">
        <w:rPr>
          <w:rFonts w:ascii="Times New Roman" w:eastAsia="Times New Roman" w:hAnsi="Times New Roman" w:cs="Times New Roman"/>
          <w:i/>
          <w:sz w:val="24"/>
          <w:szCs w:val="24"/>
          <w:highlight w:val="white"/>
        </w:rPr>
        <w:t>Science of the Total Environment</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407</w:t>
      </w:r>
      <w:r w:rsidRPr="00862A1A">
        <w:rPr>
          <w:rFonts w:ascii="Times New Roman" w:eastAsia="Times New Roman" w:hAnsi="Times New Roman" w:cs="Times New Roman"/>
          <w:sz w:val="24"/>
          <w:szCs w:val="24"/>
          <w:highlight w:val="white"/>
        </w:rPr>
        <w:t>(21), 5435-5447.</w:t>
      </w:r>
    </w:p>
    <w:p w14:paraId="11CC9EFC"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Mohan, P., Subramani, N., Alotaibi, Y., Alghamdi, S., Khalaf, O. I., &amp; Ulaganathan, S. (2022). Improved metaheuristics-based clustering with </w:t>
      </w:r>
      <w:proofErr w:type="spellStart"/>
      <w:r w:rsidRPr="00862A1A">
        <w:rPr>
          <w:rFonts w:ascii="Times New Roman" w:eastAsia="Times New Roman" w:hAnsi="Times New Roman" w:cs="Times New Roman"/>
          <w:sz w:val="24"/>
          <w:szCs w:val="24"/>
          <w:highlight w:val="white"/>
        </w:rPr>
        <w:t>multihop</w:t>
      </w:r>
      <w:proofErr w:type="spellEnd"/>
      <w:r w:rsidRPr="00862A1A">
        <w:rPr>
          <w:rFonts w:ascii="Times New Roman" w:eastAsia="Times New Roman" w:hAnsi="Times New Roman" w:cs="Times New Roman"/>
          <w:sz w:val="24"/>
          <w:szCs w:val="24"/>
          <w:highlight w:val="white"/>
        </w:rPr>
        <w:t xml:space="preserve"> routing protocol for underwater wireless sensor networks. </w:t>
      </w:r>
      <w:r w:rsidRPr="00862A1A">
        <w:rPr>
          <w:rFonts w:ascii="Times New Roman" w:eastAsia="Times New Roman" w:hAnsi="Times New Roman" w:cs="Times New Roman"/>
          <w:i/>
          <w:sz w:val="24"/>
          <w:szCs w:val="24"/>
          <w:highlight w:val="white"/>
        </w:rPr>
        <w:t>Sensors</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22</w:t>
      </w:r>
      <w:r w:rsidRPr="00862A1A">
        <w:rPr>
          <w:rFonts w:ascii="Times New Roman" w:eastAsia="Times New Roman" w:hAnsi="Times New Roman" w:cs="Times New Roman"/>
          <w:sz w:val="24"/>
          <w:szCs w:val="24"/>
          <w:highlight w:val="white"/>
        </w:rPr>
        <w:t>(4), 1618.</w:t>
      </w:r>
    </w:p>
    <w:p w14:paraId="71FBDE5E"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Muller, K. A., Johnson, C. D., Bagwell, C. E., &amp; Truex, M. J. (2021). Methods for delivery and distribution of amendments for subsurface remediation: A critical review. </w:t>
      </w:r>
      <w:r w:rsidRPr="00862A1A">
        <w:rPr>
          <w:rFonts w:ascii="Times New Roman" w:eastAsia="Times New Roman" w:hAnsi="Times New Roman" w:cs="Times New Roman"/>
          <w:i/>
          <w:sz w:val="24"/>
          <w:szCs w:val="24"/>
          <w:highlight w:val="white"/>
        </w:rPr>
        <w:t>Groundwater Monitoring &amp; Remediation</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41</w:t>
      </w:r>
      <w:r w:rsidRPr="00862A1A">
        <w:rPr>
          <w:rFonts w:ascii="Times New Roman" w:eastAsia="Times New Roman" w:hAnsi="Times New Roman" w:cs="Times New Roman"/>
          <w:sz w:val="24"/>
          <w:szCs w:val="24"/>
          <w:highlight w:val="white"/>
        </w:rPr>
        <w:t>(1), 46-75.</w:t>
      </w:r>
    </w:p>
    <w:p w14:paraId="668EBE86"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National Academies of Sciences, Medicine, Division on Engineering, Physical Sciences, Division on Earth, Water Science, ... &amp; </w:t>
      </w:r>
      <w:proofErr w:type="spellStart"/>
      <w:r w:rsidRPr="00862A1A">
        <w:rPr>
          <w:rFonts w:ascii="Times New Roman" w:eastAsia="Times New Roman" w:hAnsi="Times New Roman" w:cs="Times New Roman"/>
          <w:sz w:val="24"/>
          <w:szCs w:val="24"/>
          <w:highlight w:val="white"/>
        </w:rPr>
        <w:t>Opportunites</w:t>
      </w:r>
      <w:proofErr w:type="spellEnd"/>
      <w:r w:rsidRPr="00862A1A">
        <w:rPr>
          <w:rFonts w:ascii="Times New Roman" w:eastAsia="Times New Roman" w:hAnsi="Times New Roman" w:cs="Times New Roman"/>
          <w:sz w:val="24"/>
          <w:szCs w:val="24"/>
          <w:highlight w:val="white"/>
        </w:rPr>
        <w:t xml:space="preserve"> in Environmental Engineering for the Twenty-First Century. (2019). </w:t>
      </w:r>
      <w:r w:rsidRPr="00862A1A">
        <w:rPr>
          <w:rFonts w:ascii="Times New Roman" w:eastAsia="Times New Roman" w:hAnsi="Times New Roman" w:cs="Times New Roman"/>
          <w:i/>
          <w:sz w:val="24"/>
          <w:szCs w:val="24"/>
          <w:highlight w:val="white"/>
        </w:rPr>
        <w:t>Environmental engineering for the 21st century: Addressing grand challenges</w:t>
      </w:r>
      <w:r w:rsidRPr="00862A1A">
        <w:rPr>
          <w:rFonts w:ascii="Times New Roman" w:eastAsia="Times New Roman" w:hAnsi="Times New Roman" w:cs="Times New Roman"/>
          <w:sz w:val="24"/>
          <w:szCs w:val="24"/>
          <w:highlight w:val="white"/>
        </w:rPr>
        <w:t>. National Academies Press.</w:t>
      </w:r>
    </w:p>
    <w:p w14:paraId="0D2FF69F"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Natural Resources Canada, 2023: </w:t>
      </w:r>
      <w:hyperlink r:id="rId23">
        <w:r w:rsidRPr="00862A1A">
          <w:rPr>
            <w:rFonts w:ascii="Times New Roman" w:eastAsia="Times New Roman" w:hAnsi="Times New Roman" w:cs="Times New Roman"/>
            <w:color w:val="0563C1"/>
            <w:sz w:val="24"/>
            <w:szCs w:val="24"/>
            <w:highlight w:val="white"/>
            <w:u w:val="single"/>
          </w:rPr>
          <w:t>https://natural-resources.canada.ca/</w:t>
        </w:r>
      </w:hyperlink>
    </w:p>
    <w:p w14:paraId="0414E05F"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NASA Earth Observatory, 2006: </w:t>
      </w:r>
      <w:hyperlink r:id="rId24">
        <w:r w:rsidRPr="00862A1A">
          <w:rPr>
            <w:rFonts w:ascii="Times New Roman" w:eastAsia="Times New Roman" w:hAnsi="Times New Roman" w:cs="Times New Roman"/>
            <w:color w:val="0563C1"/>
            <w:sz w:val="24"/>
            <w:szCs w:val="24"/>
            <w:highlight w:val="white"/>
            <w:u w:val="single"/>
          </w:rPr>
          <w:t>https://commons.wikimedia.org/wiki/Category:NASA_Earth_Observatory_in_2006</w:t>
        </w:r>
      </w:hyperlink>
    </w:p>
    <w:p w14:paraId="2FF04F3D"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lastRenderedPageBreak/>
        <w:t>Naseri-Rad, M., Berndtsson, R., Persson, K. M., &amp; Nakagawa, K. (2020). INSIDE: An efficient guide for sustainable remediation practice in addressing contaminated soil and groundwater. </w:t>
      </w:r>
      <w:r w:rsidRPr="00862A1A">
        <w:rPr>
          <w:rFonts w:ascii="Times New Roman" w:eastAsia="Times New Roman" w:hAnsi="Times New Roman" w:cs="Times New Roman"/>
          <w:i/>
          <w:sz w:val="24"/>
          <w:szCs w:val="24"/>
          <w:highlight w:val="white"/>
        </w:rPr>
        <w:t>Science of The Total Environment</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740</w:t>
      </w:r>
      <w:r w:rsidRPr="00862A1A">
        <w:rPr>
          <w:rFonts w:ascii="Times New Roman" w:eastAsia="Times New Roman" w:hAnsi="Times New Roman" w:cs="Times New Roman"/>
          <w:sz w:val="24"/>
          <w:szCs w:val="24"/>
          <w:highlight w:val="white"/>
        </w:rPr>
        <w:t xml:space="preserve">, 139879. </w:t>
      </w:r>
    </w:p>
    <w:p w14:paraId="311CAFE0"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Newell, C. J., Adamson, D. T., Kulkarni, P. R., </w:t>
      </w:r>
      <w:proofErr w:type="spellStart"/>
      <w:r w:rsidRPr="00862A1A">
        <w:rPr>
          <w:rFonts w:ascii="Times New Roman" w:eastAsia="Times New Roman" w:hAnsi="Times New Roman" w:cs="Times New Roman"/>
          <w:sz w:val="24"/>
          <w:szCs w:val="24"/>
          <w:highlight w:val="white"/>
        </w:rPr>
        <w:t>Nzeribe</w:t>
      </w:r>
      <w:proofErr w:type="spellEnd"/>
      <w:r w:rsidRPr="00862A1A">
        <w:rPr>
          <w:rFonts w:ascii="Times New Roman" w:eastAsia="Times New Roman" w:hAnsi="Times New Roman" w:cs="Times New Roman"/>
          <w:sz w:val="24"/>
          <w:szCs w:val="24"/>
          <w:highlight w:val="white"/>
        </w:rPr>
        <w:t>, B. N., Connor, J. A., Popovic, J., &amp; Stroo, H. F. (2021). Monitored natural attenuation to manage PFAS impacts to groundwater: Scientific basis. </w:t>
      </w:r>
      <w:r w:rsidRPr="00862A1A">
        <w:rPr>
          <w:rFonts w:ascii="Times New Roman" w:eastAsia="Times New Roman" w:hAnsi="Times New Roman" w:cs="Times New Roman"/>
          <w:i/>
          <w:sz w:val="24"/>
          <w:szCs w:val="24"/>
          <w:highlight w:val="white"/>
        </w:rPr>
        <w:t>Groundwater Monitoring &amp; Remediation</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41</w:t>
      </w:r>
      <w:r w:rsidRPr="00862A1A">
        <w:rPr>
          <w:rFonts w:ascii="Times New Roman" w:eastAsia="Times New Roman" w:hAnsi="Times New Roman" w:cs="Times New Roman"/>
          <w:sz w:val="24"/>
          <w:szCs w:val="24"/>
          <w:highlight w:val="white"/>
        </w:rPr>
        <w:t>(4), 76-89.</w:t>
      </w:r>
    </w:p>
    <w:p w14:paraId="3494009D"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Newell, C. J., Adamson, D. T., Kulkarni, P. R., </w:t>
      </w:r>
      <w:proofErr w:type="spellStart"/>
      <w:r w:rsidRPr="00862A1A">
        <w:rPr>
          <w:rFonts w:ascii="Times New Roman" w:eastAsia="Times New Roman" w:hAnsi="Times New Roman" w:cs="Times New Roman"/>
          <w:sz w:val="24"/>
          <w:szCs w:val="24"/>
          <w:highlight w:val="white"/>
        </w:rPr>
        <w:t>Nzeribe</w:t>
      </w:r>
      <w:proofErr w:type="spellEnd"/>
      <w:r w:rsidRPr="00862A1A">
        <w:rPr>
          <w:rFonts w:ascii="Times New Roman" w:eastAsia="Times New Roman" w:hAnsi="Times New Roman" w:cs="Times New Roman"/>
          <w:sz w:val="24"/>
          <w:szCs w:val="24"/>
          <w:highlight w:val="white"/>
        </w:rPr>
        <w:t>, B. N., Connor, J. A., Popovic, J., &amp; Stroo, H. F. (2021). Monitored natural attenuation to manage PFAS impacts to groundwater: Potential guidelines. </w:t>
      </w:r>
      <w:r w:rsidRPr="00862A1A">
        <w:rPr>
          <w:rFonts w:ascii="Times New Roman" w:eastAsia="Times New Roman" w:hAnsi="Times New Roman" w:cs="Times New Roman"/>
          <w:i/>
          <w:sz w:val="24"/>
          <w:szCs w:val="24"/>
          <w:highlight w:val="white"/>
        </w:rPr>
        <w:t>Remediation Journal</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31</w:t>
      </w:r>
      <w:r w:rsidRPr="00862A1A">
        <w:rPr>
          <w:rFonts w:ascii="Times New Roman" w:eastAsia="Times New Roman" w:hAnsi="Times New Roman" w:cs="Times New Roman"/>
          <w:sz w:val="24"/>
          <w:szCs w:val="24"/>
          <w:highlight w:val="white"/>
        </w:rPr>
        <w:t>(4), 7-17.</w:t>
      </w:r>
    </w:p>
    <w:p w14:paraId="2CE85184"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Nikić, J., Watson, M., Tenodi, K. Z., Dalmacija, B., &amp; </w:t>
      </w:r>
      <w:proofErr w:type="spellStart"/>
      <w:r w:rsidRPr="00862A1A">
        <w:rPr>
          <w:rFonts w:ascii="Times New Roman" w:eastAsia="Times New Roman" w:hAnsi="Times New Roman" w:cs="Times New Roman"/>
          <w:sz w:val="24"/>
          <w:szCs w:val="24"/>
          <w:highlight w:val="white"/>
        </w:rPr>
        <w:t>Agbaba</w:t>
      </w:r>
      <w:proofErr w:type="spellEnd"/>
      <w:r w:rsidRPr="00862A1A">
        <w:rPr>
          <w:rFonts w:ascii="Times New Roman" w:eastAsia="Times New Roman" w:hAnsi="Times New Roman" w:cs="Times New Roman"/>
          <w:sz w:val="24"/>
          <w:szCs w:val="24"/>
          <w:highlight w:val="white"/>
        </w:rPr>
        <w:t>, J. (2023). Pilot study on arsenic removal from phosphate rich groundwater by in-line coagulation and adsorption. </w:t>
      </w:r>
      <w:r w:rsidRPr="00862A1A">
        <w:rPr>
          <w:rFonts w:ascii="Times New Roman" w:eastAsia="Times New Roman" w:hAnsi="Times New Roman" w:cs="Times New Roman"/>
          <w:i/>
          <w:sz w:val="24"/>
          <w:szCs w:val="24"/>
          <w:highlight w:val="white"/>
        </w:rPr>
        <w:t>Journal of Hazardous Materials Advances</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10</w:t>
      </w:r>
      <w:r w:rsidRPr="00862A1A">
        <w:rPr>
          <w:rFonts w:ascii="Times New Roman" w:eastAsia="Times New Roman" w:hAnsi="Times New Roman" w:cs="Times New Roman"/>
          <w:sz w:val="24"/>
          <w:szCs w:val="24"/>
          <w:highlight w:val="white"/>
        </w:rPr>
        <w:t>, 100280.</w:t>
      </w:r>
    </w:p>
    <w:p w14:paraId="678BFD8E"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Ojha, A., Bandyopadhyay, T. K., Das, D., &amp; Dey, P. (2025). Microbial Carbonate Mineralization: A Comprehensive Review of Mechanisms, Applications, and Recent Advancements. </w:t>
      </w:r>
      <w:r w:rsidRPr="00862A1A">
        <w:rPr>
          <w:rFonts w:ascii="Times New Roman" w:eastAsia="Times New Roman" w:hAnsi="Times New Roman" w:cs="Times New Roman"/>
          <w:i/>
          <w:sz w:val="24"/>
          <w:szCs w:val="24"/>
          <w:highlight w:val="white"/>
        </w:rPr>
        <w:t>Molecular Biotechnology</w:t>
      </w:r>
      <w:r w:rsidRPr="00862A1A">
        <w:rPr>
          <w:rFonts w:ascii="Times New Roman" w:eastAsia="Times New Roman" w:hAnsi="Times New Roman" w:cs="Times New Roman"/>
          <w:sz w:val="24"/>
          <w:szCs w:val="24"/>
          <w:highlight w:val="white"/>
        </w:rPr>
        <w:t>, 1-27.</w:t>
      </w:r>
    </w:p>
    <w:p w14:paraId="008B312B"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Ortiz-Castillo, J. E., </w:t>
      </w:r>
      <w:proofErr w:type="spellStart"/>
      <w:r w:rsidRPr="00862A1A">
        <w:rPr>
          <w:rFonts w:ascii="Times New Roman" w:eastAsia="Times New Roman" w:hAnsi="Times New Roman" w:cs="Times New Roman"/>
          <w:sz w:val="24"/>
          <w:szCs w:val="24"/>
          <w:highlight w:val="white"/>
        </w:rPr>
        <w:t>Mirazimi</w:t>
      </w:r>
      <w:proofErr w:type="spellEnd"/>
      <w:r w:rsidRPr="00862A1A">
        <w:rPr>
          <w:rFonts w:ascii="Times New Roman" w:eastAsia="Times New Roman" w:hAnsi="Times New Roman" w:cs="Times New Roman"/>
          <w:sz w:val="24"/>
          <w:szCs w:val="24"/>
          <w:highlight w:val="white"/>
        </w:rPr>
        <w:t>, M., Mohammadi, M., Dy, E., &amp; Liu, W. (2021). The role of microorganisms in the formation, dissolution, and transformation of secondary minerals in mine rock and drainage: A review. </w:t>
      </w:r>
      <w:r w:rsidRPr="00862A1A">
        <w:rPr>
          <w:rFonts w:ascii="Times New Roman" w:eastAsia="Times New Roman" w:hAnsi="Times New Roman" w:cs="Times New Roman"/>
          <w:i/>
          <w:sz w:val="24"/>
          <w:szCs w:val="24"/>
          <w:highlight w:val="white"/>
        </w:rPr>
        <w:t>Minerals</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11</w:t>
      </w:r>
      <w:r w:rsidRPr="00862A1A">
        <w:rPr>
          <w:rFonts w:ascii="Times New Roman" w:eastAsia="Times New Roman" w:hAnsi="Times New Roman" w:cs="Times New Roman"/>
          <w:sz w:val="24"/>
          <w:szCs w:val="24"/>
          <w:highlight w:val="white"/>
        </w:rPr>
        <w:t>(12), 1349.</w:t>
      </w:r>
    </w:p>
    <w:p w14:paraId="76E9E668"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proofErr w:type="spellStart"/>
      <w:r w:rsidRPr="00862A1A">
        <w:rPr>
          <w:rFonts w:ascii="Times New Roman" w:eastAsia="Times New Roman" w:hAnsi="Times New Roman" w:cs="Times New Roman"/>
          <w:sz w:val="24"/>
          <w:szCs w:val="24"/>
          <w:highlight w:val="white"/>
        </w:rPr>
        <w:t>Papazotos</w:t>
      </w:r>
      <w:proofErr w:type="spellEnd"/>
      <w:r w:rsidRPr="00862A1A">
        <w:rPr>
          <w:rFonts w:ascii="Times New Roman" w:eastAsia="Times New Roman" w:hAnsi="Times New Roman" w:cs="Times New Roman"/>
          <w:sz w:val="24"/>
          <w:szCs w:val="24"/>
          <w:highlight w:val="white"/>
        </w:rPr>
        <w:t xml:space="preserve">, P., Vasileiou, E., Vasilakis, S., &amp; </w:t>
      </w:r>
      <w:proofErr w:type="spellStart"/>
      <w:r w:rsidRPr="00862A1A">
        <w:rPr>
          <w:rFonts w:ascii="Times New Roman" w:eastAsia="Times New Roman" w:hAnsi="Times New Roman" w:cs="Times New Roman"/>
          <w:sz w:val="24"/>
          <w:szCs w:val="24"/>
          <w:highlight w:val="white"/>
        </w:rPr>
        <w:t>Perraki</w:t>
      </w:r>
      <w:proofErr w:type="spellEnd"/>
      <w:r w:rsidRPr="00862A1A">
        <w:rPr>
          <w:rFonts w:ascii="Times New Roman" w:eastAsia="Times New Roman" w:hAnsi="Times New Roman" w:cs="Times New Roman"/>
          <w:sz w:val="24"/>
          <w:szCs w:val="24"/>
          <w:highlight w:val="white"/>
        </w:rPr>
        <w:t>, M. (2023). A novel hydrogeochemical approach to delineate the origin of potentially toxic elements in groundwater: Sophisticated molar ratios as environmental tracers. </w:t>
      </w:r>
      <w:r w:rsidRPr="00862A1A">
        <w:rPr>
          <w:rFonts w:ascii="Times New Roman" w:eastAsia="Times New Roman" w:hAnsi="Times New Roman" w:cs="Times New Roman"/>
          <w:i/>
          <w:sz w:val="24"/>
          <w:szCs w:val="24"/>
          <w:highlight w:val="white"/>
        </w:rPr>
        <w:t>Environmental Science and Pollution Research</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30</w:t>
      </w:r>
      <w:r w:rsidRPr="00862A1A">
        <w:rPr>
          <w:rFonts w:ascii="Times New Roman" w:eastAsia="Times New Roman" w:hAnsi="Times New Roman" w:cs="Times New Roman"/>
          <w:sz w:val="24"/>
          <w:szCs w:val="24"/>
          <w:highlight w:val="white"/>
        </w:rPr>
        <w:t>(30), 74771-74790.</w:t>
      </w:r>
    </w:p>
    <w:p w14:paraId="06390EEF"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Pradhan, N., Mukherjee, S., &amp; Kumar, M. (2020). An overview of natural water contamination and sustainable attenuation techniques: challenges and opportunities. </w:t>
      </w:r>
      <w:r w:rsidRPr="00862A1A">
        <w:rPr>
          <w:rFonts w:ascii="Times New Roman" w:eastAsia="Times New Roman" w:hAnsi="Times New Roman" w:cs="Times New Roman"/>
          <w:i/>
          <w:sz w:val="24"/>
          <w:szCs w:val="24"/>
          <w:highlight w:val="white"/>
        </w:rPr>
        <w:t>Contaminants in drinking and wastewater sources: challenges and reigning technologies</w:t>
      </w:r>
      <w:r w:rsidRPr="00862A1A">
        <w:rPr>
          <w:rFonts w:ascii="Times New Roman" w:eastAsia="Times New Roman" w:hAnsi="Times New Roman" w:cs="Times New Roman"/>
          <w:sz w:val="24"/>
          <w:szCs w:val="24"/>
          <w:highlight w:val="white"/>
        </w:rPr>
        <w:t>, 349-365.</w:t>
      </w:r>
    </w:p>
    <w:p w14:paraId="55FE9C19"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lastRenderedPageBreak/>
        <w:t>Rahman, Z., &amp; Singh, V. P. (2019). The relative impact of toxic heavy metals (THMs</w:t>
      </w:r>
      <w:proofErr w:type="gramStart"/>
      <w:r w:rsidRPr="00862A1A">
        <w:rPr>
          <w:rFonts w:ascii="Times New Roman" w:eastAsia="Times New Roman" w:hAnsi="Times New Roman" w:cs="Times New Roman"/>
          <w:sz w:val="24"/>
          <w:szCs w:val="24"/>
          <w:highlight w:val="white"/>
        </w:rPr>
        <w:t>)(</w:t>
      </w:r>
      <w:proofErr w:type="gramEnd"/>
      <w:r w:rsidRPr="00862A1A">
        <w:rPr>
          <w:rFonts w:ascii="Times New Roman" w:eastAsia="Times New Roman" w:hAnsi="Times New Roman" w:cs="Times New Roman"/>
          <w:sz w:val="24"/>
          <w:szCs w:val="24"/>
          <w:highlight w:val="white"/>
        </w:rPr>
        <w:t>arsenic (As), cadmium (Cd), chromium (Cr)(VI), mercury (Hg), and lead (Pb)) on the total environment: an overview. </w:t>
      </w:r>
      <w:r w:rsidRPr="00862A1A">
        <w:rPr>
          <w:rFonts w:ascii="Times New Roman" w:eastAsia="Times New Roman" w:hAnsi="Times New Roman" w:cs="Times New Roman"/>
          <w:i/>
          <w:sz w:val="24"/>
          <w:szCs w:val="24"/>
          <w:highlight w:val="white"/>
        </w:rPr>
        <w:t>Environmental monitoring and assessment</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191</w:t>
      </w:r>
      <w:r w:rsidRPr="00862A1A">
        <w:rPr>
          <w:rFonts w:ascii="Times New Roman" w:eastAsia="Times New Roman" w:hAnsi="Times New Roman" w:cs="Times New Roman"/>
          <w:sz w:val="24"/>
          <w:szCs w:val="24"/>
          <w:highlight w:val="white"/>
        </w:rPr>
        <w:t>(7), 419.</w:t>
      </w:r>
    </w:p>
    <w:p w14:paraId="23B74A8B"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Rainey, D. K. (2019). Geochemical challenges associated with water treatment at abandoned or neglected mines in Southeast Yukon.</w:t>
      </w:r>
    </w:p>
    <w:p w14:paraId="49B379B5"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Rebovich, D. J., &amp; Curtis, G. E. (2020). </w:t>
      </w:r>
      <w:r w:rsidRPr="00862A1A">
        <w:rPr>
          <w:rFonts w:ascii="Times New Roman" w:eastAsia="Times New Roman" w:hAnsi="Times New Roman" w:cs="Times New Roman"/>
          <w:i/>
          <w:sz w:val="24"/>
          <w:szCs w:val="24"/>
          <w:highlight w:val="white"/>
        </w:rPr>
        <w:t>Crimes Against the Environment</w:t>
      </w:r>
      <w:r w:rsidRPr="00862A1A">
        <w:rPr>
          <w:rFonts w:ascii="Times New Roman" w:eastAsia="Times New Roman" w:hAnsi="Times New Roman" w:cs="Times New Roman"/>
          <w:sz w:val="24"/>
          <w:szCs w:val="24"/>
          <w:highlight w:val="white"/>
        </w:rPr>
        <w:t>. Routledge.</w:t>
      </w:r>
    </w:p>
    <w:p w14:paraId="0550EBF9"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Roach, B., &amp; Walker, T. R. (2017). Aquatic monitoring programs conducted during environmental impact assessments in Canada: preliminary assessment before and after weakened environmental regulation. </w:t>
      </w:r>
      <w:r w:rsidRPr="00862A1A">
        <w:rPr>
          <w:rFonts w:ascii="Times New Roman" w:eastAsia="Times New Roman" w:hAnsi="Times New Roman" w:cs="Times New Roman"/>
          <w:i/>
          <w:sz w:val="24"/>
          <w:szCs w:val="24"/>
          <w:highlight w:val="white"/>
        </w:rPr>
        <w:t>Environmental Monitoring and Assessment</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189</w:t>
      </w:r>
      <w:r w:rsidRPr="00862A1A">
        <w:rPr>
          <w:rFonts w:ascii="Times New Roman" w:eastAsia="Times New Roman" w:hAnsi="Times New Roman" w:cs="Times New Roman"/>
          <w:sz w:val="24"/>
          <w:szCs w:val="24"/>
          <w:highlight w:val="white"/>
        </w:rPr>
        <w:t>(3), 109.</w:t>
      </w:r>
    </w:p>
    <w:p w14:paraId="0C79736C"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Roychowdhury, T., Tokunaga, H., &amp; Ando, M. (2003). Survey of arsenic and other heavy metals in food composites and drinking water and estimation of dietary intake by the villagers from an arsenic-affected area of West Bengal, India. </w:t>
      </w:r>
      <w:r w:rsidRPr="00862A1A">
        <w:rPr>
          <w:rFonts w:ascii="Times New Roman" w:eastAsia="Times New Roman" w:hAnsi="Times New Roman" w:cs="Times New Roman"/>
          <w:i/>
          <w:sz w:val="24"/>
          <w:szCs w:val="24"/>
          <w:highlight w:val="white"/>
        </w:rPr>
        <w:t>Science of the Total Environment</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308</w:t>
      </w:r>
      <w:r w:rsidRPr="00862A1A">
        <w:rPr>
          <w:rFonts w:ascii="Times New Roman" w:eastAsia="Times New Roman" w:hAnsi="Times New Roman" w:cs="Times New Roman"/>
          <w:sz w:val="24"/>
          <w:szCs w:val="24"/>
          <w:highlight w:val="white"/>
        </w:rPr>
        <w:t>(1-3), 15-35.</w:t>
      </w:r>
    </w:p>
    <w:p w14:paraId="2A4DA00C"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Sengupta, M. (2021). </w:t>
      </w:r>
      <w:r w:rsidRPr="00862A1A">
        <w:rPr>
          <w:rFonts w:ascii="Times New Roman" w:eastAsia="Times New Roman" w:hAnsi="Times New Roman" w:cs="Times New Roman"/>
          <w:i/>
          <w:sz w:val="24"/>
          <w:szCs w:val="24"/>
          <w:highlight w:val="white"/>
        </w:rPr>
        <w:t>Environmental impacts of mining: monitoring, restoration, and control</w:t>
      </w:r>
      <w:r w:rsidRPr="00862A1A">
        <w:rPr>
          <w:rFonts w:ascii="Times New Roman" w:eastAsia="Times New Roman" w:hAnsi="Times New Roman" w:cs="Times New Roman"/>
          <w:sz w:val="24"/>
          <w:szCs w:val="24"/>
          <w:highlight w:val="white"/>
        </w:rPr>
        <w:t>. CRC Press.</w:t>
      </w:r>
    </w:p>
    <w:p w14:paraId="7F01AD78"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Thompson, M., &amp; Griffis, D. (2025). Re: BUTTE MINE FLOODING SITE CD, CV 02-35 Bu-RFC, 2024 Fourth Quarter Report.</w:t>
      </w:r>
    </w:p>
    <w:p w14:paraId="7E68CEE0"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Torres, E., &amp; Gómez, P. (2020). Permeable Reactive Barriers (PRBs) for environmental site remediation.</w:t>
      </w:r>
    </w:p>
    <w:p w14:paraId="15D55200"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proofErr w:type="spellStart"/>
      <w:r w:rsidRPr="00862A1A">
        <w:rPr>
          <w:rFonts w:ascii="Times New Roman" w:eastAsia="Times New Roman" w:hAnsi="Times New Roman" w:cs="Times New Roman"/>
          <w:sz w:val="24"/>
          <w:szCs w:val="24"/>
          <w:highlight w:val="white"/>
        </w:rPr>
        <w:t>Tratnyek</w:t>
      </w:r>
      <w:proofErr w:type="spellEnd"/>
      <w:r w:rsidRPr="00862A1A">
        <w:rPr>
          <w:rFonts w:ascii="Times New Roman" w:eastAsia="Times New Roman" w:hAnsi="Times New Roman" w:cs="Times New Roman"/>
          <w:sz w:val="24"/>
          <w:szCs w:val="24"/>
          <w:highlight w:val="white"/>
        </w:rPr>
        <w:t>, P. G., Scherer, M. M., Johnson, T. L., &amp; Matheson, L. J. (2003). Permeable reactive barriers of iron and other zero-valent metals. In </w:t>
      </w:r>
      <w:r w:rsidRPr="00862A1A">
        <w:rPr>
          <w:rFonts w:ascii="Times New Roman" w:eastAsia="Times New Roman" w:hAnsi="Times New Roman" w:cs="Times New Roman"/>
          <w:i/>
          <w:sz w:val="24"/>
          <w:szCs w:val="24"/>
          <w:highlight w:val="white"/>
        </w:rPr>
        <w:t>Chemical degradation methods for wastes and pollutants</w:t>
      </w:r>
      <w:r w:rsidRPr="00862A1A">
        <w:rPr>
          <w:rFonts w:ascii="Times New Roman" w:eastAsia="Times New Roman" w:hAnsi="Times New Roman" w:cs="Times New Roman"/>
          <w:sz w:val="24"/>
          <w:szCs w:val="24"/>
          <w:highlight w:val="white"/>
        </w:rPr>
        <w:t> (pp. 347-394). CRC Press.</w:t>
      </w:r>
    </w:p>
    <w:p w14:paraId="33B78FC2"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Tremblay, G. A., &amp; Hogan, C. M. (2016). Managing orphaned and abandoned mines–A Canadian perspective. In </w:t>
      </w:r>
      <w:r w:rsidRPr="00862A1A">
        <w:rPr>
          <w:rFonts w:ascii="Times New Roman" w:eastAsia="Times New Roman" w:hAnsi="Times New Roman" w:cs="Times New Roman"/>
          <w:i/>
          <w:sz w:val="24"/>
          <w:szCs w:val="24"/>
          <w:highlight w:val="white"/>
        </w:rPr>
        <w:t>Derelict Mines</w:t>
      </w:r>
      <w:r w:rsidRPr="00862A1A">
        <w:rPr>
          <w:rFonts w:ascii="Times New Roman" w:eastAsia="Times New Roman" w:hAnsi="Times New Roman" w:cs="Times New Roman"/>
          <w:sz w:val="24"/>
          <w:szCs w:val="24"/>
          <w:highlight w:val="white"/>
        </w:rPr>
        <w:t> (pp. 57-75). CRC Press.</w:t>
      </w:r>
    </w:p>
    <w:p w14:paraId="2412E370"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lastRenderedPageBreak/>
        <w:t xml:space="preserve">U.S. Environmental Protection Agency. (2024). </w:t>
      </w:r>
      <w:hyperlink r:id="rId25">
        <w:r w:rsidRPr="00862A1A">
          <w:rPr>
            <w:rFonts w:ascii="Times New Roman" w:eastAsia="Times New Roman" w:hAnsi="Times New Roman" w:cs="Times New Roman"/>
            <w:color w:val="0563C1"/>
            <w:sz w:val="24"/>
            <w:szCs w:val="24"/>
            <w:highlight w:val="white"/>
            <w:u w:val="single"/>
          </w:rPr>
          <w:t>https://www.epa.gov/</w:t>
        </w:r>
      </w:hyperlink>
    </w:p>
    <w:p w14:paraId="03AC10FD"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U.S. Environmental Protection Agency. (n.d.-b). </w:t>
      </w:r>
      <w:r w:rsidRPr="00862A1A">
        <w:rPr>
          <w:rFonts w:ascii="Times New Roman" w:eastAsia="Times New Roman" w:hAnsi="Times New Roman" w:cs="Times New Roman"/>
          <w:i/>
          <w:sz w:val="24"/>
          <w:szCs w:val="24"/>
          <w:highlight w:val="white"/>
        </w:rPr>
        <w:t>Brownfields program overview</w:t>
      </w:r>
      <w:r w:rsidRPr="00862A1A">
        <w:rPr>
          <w:rFonts w:ascii="Times New Roman" w:eastAsia="Times New Roman" w:hAnsi="Times New Roman" w:cs="Times New Roman"/>
          <w:sz w:val="24"/>
          <w:szCs w:val="24"/>
          <w:highlight w:val="white"/>
        </w:rPr>
        <w:t>. </w:t>
      </w:r>
      <w:hyperlink r:id="rId26">
        <w:r w:rsidRPr="00862A1A">
          <w:rPr>
            <w:rFonts w:ascii="Times New Roman" w:eastAsia="Times New Roman" w:hAnsi="Times New Roman" w:cs="Times New Roman"/>
            <w:color w:val="0563C1"/>
            <w:sz w:val="24"/>
            <w:szCs w:val="24"/>
            <w:highlight w:val="white"/>
            <w:u w:val="single"/>
          </w:rPr>
          <w:t>https://www.epa.gov/brownfields</w:t>
        </w:r>
      </w:hyperlink>
    </w:p>
    <w:p w14:paraId="7B147074"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U.S. Environmental Protection Agency. (n.d.-c). </w:t>
      </w:r>
      <w:r w:rsidRPr="00862A1A">
        <w:rPr>
          <w:rFonts w:ascii="Times New Roman" w:eastAsia="Times New Roman" w:hAnsi="Times New Roman" w:cs="Times New Roman"/>
          <w:i/>
          <w:sz w:val="24"/>
          <w:szCs w:val="24"/>
          <w:highlight w:val="white"/>
        </w:rPr>
        <w:t>Climate change indicators</w:t>
      </w:r>
      <w:r w:rsidRPr="00862A1A">
        <w:rPr>
          <w:rFonts w:ascii="Times New Roman" w:eastAsia="Times New Roman" w:hAnsi="Times New Roman" w:cs="Times New Roman"/>
          <w:sz w:val="24"/>
          <w:szCs w:val="24"/>
          <w:highlight w:val="white"/>
        </w:rPr>
        <w:t>. </w:t>
      </w:r>
      <w:hyperlink r:id="rId27">
        <w:r w:rsidRPr="00862A1A">
          <w:rPr>
            <w:rFonts w:ascii="Times New Roman" w:eastAsia="Times New Roman" w:hAnsi="Times New Roman" w:cs="Times New Roman"/>
            <w:color w:val="0563C1"/>
            <w:sz w:val="24"/>
            <w:szCs w:val="24"/>
            <w:highlight w:val="white"/>
            <w:u w:val="single"/>
          </w:rPr>
          <w:t>https://www.epa.gov/climate-indicators</w:t>
        </w:r>
      </w:hyperlink>
    </w:p>
    <w:p w14:paraId="5A2B1B55"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U.S. Environmental Protection Agency. (n.d.-d). </w:t>
      </w:r>
      <w:r w:rsidRPr="00862A1A">
        <w:rPr>
          <w:rFonts w:ascii="Times New Roman" w:eastAsia="Times New Roman" w:hAnsi="Times New Roman" w:cs="Times New Roman"/>
          <w:i/>
          <w:sz w:val="24"/>
          <w:szCs w:val="24"/>
          <w:highlight w:val="white"/>
        </w:rPr>
        <w:t>Drinking water standards</w:t>
      </w:r>
      <w:r w:rsidRPr="00862A1A">
        <w:rPr>
          <w:rFonts w:ascii="Times New Roman" w:eastAsia="Times New Roman" w:hAnsi="Times New Roman" w:cs="Times New Roman"/>
          <w:sz w:val="24"/>
          <w:szCs w:val="24"/>
          <w:highlight w:val="white"/>
        </w:rPr>
        <w:t>. </w:t>
      </w:r>
      <w:hyperlink r:id="rId28">
        <w:r w:rsidRPr="00862A1A">
          <w:rPr>
            <w:rFonts w:ascii="Times New Roman" w:eastAsia="Times New Roman" w:hAnsi="Times New Roman" w:cs="Times New Roman"/>
            <w:color w:val="0563C1"/>
            <w:sz w:val="24"/>
            <w:szCs w:val="24"/>
            <w:highlight w:val="white"/>
            <w:u w:val="single"/>
          </w:rPr>
          <w:t>https://www.epa.gov/dwstandards</w:t>
        </w:r>
      </w:hyperlink>
    </w:p>
    <w:p w14:paraId="42C47C32"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U.S. Environmental Protection Agency. (n.d.-e). </w:t>
      </w:r>
      <w:r w:rsidRPr="00862A1A">
        <w:rPr>
          <w:rFonts w:ascii="Times New Roman" w:eastAsia="Times New Roman" w:hAnsi="Times New Roman" w:cs="Times New Roman"/>
          <w:i/>
          <w:sz w:val="24"/>
          <w:szCs w:val="24"/>
          <w:highlight w:val="white"/>
        </w:rPr>
        <w:t>Environmental justice</w:t>
      </w:r>
      <w:r w:rsidRPr="00862A1A">
        <w:rPr>
          <w:rFonts w:ascii="Times New Roman" w:eastAsia="Times New Roman" w:hAnsi="Times New Roman" w:cs="Times New Roman"/>
          <w:sz w:val="24"/>
          <w:szCs w:val="24"/>
          <w:highlight w:val="white"/>
        </w:rPr>
        <w:t>. </w:t>
      </w:r>
      <w:hyperlink r:id="rId29">
        <w:r w:rsidRPr="00862A1A">
          <w:rPr>
            <w:rFonts w:ascii="Times New Roman" w:eastAsia="Times New Roman" w:hAnsi="Times New Roman" w:cs="Times New Roman"/>
            <w:color w:val="0563C1"/>
            <w:sz w:val="24"/>
            <w:szCs w:val="24"/>
            <w:highlight w:val="white"/>
            <w:u w:val="single"/>
          </w:rPr>
          <w:t>https://www.epa.gov/environmentaljustice</w:t>
        </w:r>
      </w:hyperlink>
    </w:p>
    <w:p w14:paraId="06DD6EB9"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U.S. Environmental Protection Agency. (n.d.-f). </w:t>
      </w:r>
      <w:r w:rsidRPr="00862A1A">
        <w:rPr>
          <w:rFonts w:ascii="Times New Roman" w:eastAsia="Times New Roman" w:hAnsi="Times New Roman" w:cs="Times New Roman"/>
          <w:i/>
          <w:sz w:val="24"/>
          <w:szCs w:val="24"/>
          <w:highlight w:val="white"/>
        </w:rPr>
        <w:t>Fish advisories</w:t>
      </w:r>
      <w:r w:rsidRPr="00862A1A">
        <w:rPr>
          <w:rFonts w:ascii="Times New Roman" w:eastAsia="Times New Roman" w:hAnsi="Times New Roman" w:cs="Times New Roman"/>
          <w:sz w:val="24"/>
          <w:szCs w:val="24"/>
          <w:highlight w:val="white"/>
        </w:rPr>
        <w:t>. </w:t>
      </w:r>
      <w:hyperlink r:id="rId30">
        <w:r w:rsidRPr="00862A1A">
          <w:rPr>
            <w:rFonts w:ascii="Times New Roman" w:eastAsia="Times New Roman" w:hAnsi="Times New Roman" w:cs="Times New Roman"/>
            <w:color w:val="0563C1"/>
            <w:sz w:val="24"/>
            <w:szCs w:val="24"/>
            <w:highlight w:val="white"/>
            <w:u w:val="single"/>
          </w:rPr>
          <w:t>https://www.epa.gov/fish-tech</w:t>
        </w:r>
      </w:hyperlink>
    </w:p>
    <w:p w14:paraId="77ED598A"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U.S. Environmental Protection Agency. (n.d.-g). </w:t>
      </w:r>
      <w:r w:rsidRPr="00862A1A">
        <w:rPr>
          <w:rFonts w:ascii="Times New Roman" w:eastAsia="Times New Roman" w:hAnsi="Times New Roman" w:cs="Times New Roman"/>
          <w:i/>
          <w:sz w:val="24"/>
          <w:szCs w:val="24"/>
          <w:highlight w:val="white"/>
        </w:rPr>
        <w:t>Green vehicle guide</w:t>
      </w:r>
      <w:r w:rsidRPr="00862A1A">
        <w:rPr>
          <w:rFonts w:ascii="Times New Roman" w:eastAsia="Times New Roman" w:hAnsi="Times New Roman" w:cs="Times New Roman"/>
          <w:sz w:val="24"/>
          <w:szCs w:val="24"/>
          <w:highlight w:val="white"/>
        </w:rPr>
        <w:t>. </w:t>
      </w:r>
      <w:hyperlink r:id="rId31">
        <w:r w:rsidRPr="00862A1A">
          <w:rPr>
            <w:rFonts w:ascii="Times New Roman" w:eastAsia="Times New Roman" w:hAnsi="Times New Roman" w:cs="Times New Roman"/>
            <w:color w:val="0563C1"/>
            <w:sz w:val="24"/>
            <w:szCs w:val="24"/>
            <w:highlight w:val="white"/>
            <w:u w:val="single"/>
          </w:rPr>
          <w:t>https://www.epa.gov/greenvehicles</w:t>
        </w:r>
      </w:hyperlink>
    </w:p>
    <w:p w14:paraId="6790F506"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U.S. Environmental Protection Agency. (n.d.-h). </w:t>
      </w:r>
      <w:r w:rsidRPr="00862A1A">
        <w:rPr>
          <w:rFonts w:ascii="Times New Roman" w:eastAsia="Times New Roman" w:hAnsi="Times New Roman" w:cs="Times New Roman"/>
          <w:i/>
          <w:sz w:val="24"/>
          <w:szCs w:val="24"/>
          <w:highlight w:val="white"/>
        </w:rPr>
        <w:t>Hazardous waste programs</w:t>
      </w:r>
      <w:r w:rsidRPr="00862A1A">
        <w:rPr>
          <w:rFonts w:ascii="Times New Roman" w:eastAsia="Times New Roman" w:hAnsi="Times New Roman" w:cs="Times New Roman"/>
          <w:sz w:val="24"/>
          <w:szCs w:val="24"/>
          <w:highlight w:val="white"/>
        </w:rPr>
        <w:t>. </w:t>
      </w:r>
      <w:hyperlink r:id="rId32">
        <w:r w:rsidRPr="00862A1A">
          <w:rPr>
            <w:rFonts w:ascii="Times New Roman" w:eastAsia="Times New Roman" w:hAnsi="Times New Roman" w:cs="Times New Roman"/>
            <w:color w:val="0563C1"/>
            <w:sz w:val="24"/>
            <w:szCs w:val="24"/>
            <w:highlight w:val="white"/>
            <w:u w:val="single"/>
          </w:rPr>
          <w:t>https://www.epa.gov/hw</w:t>
        </w:r>
      </w:hyperlink>
    </w:p>
    <w:p w14:paraId="3F14C49E"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U.S. Environmental Protection Agency. (n.d.-</w:t>
      </w:r>
      <w:proofErr w:type="spellStart"/>
      <w:r w:rsidRPr="00862A1A">
        <w:rPr>
          <w:rFonts w:ascii="Times New Roman" w:eastAsia="Times New Roman" w:hAnsi="Times New Roman" w:cs="Times New Roman"/>
          <w:sz w:val="24"/>
          <w:szCs w:val="24"/>
          <w:highlight w:val="white"/>
        </w:rPr>
        <w:t>i</w:t>
      </w:r>
      <w:proofErr w:type="spellEnd"/>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Indoor air quality</w:t>
      </w:r>
      <w:r w:rsidRPr="00862A1A">
        <w:rPr>
          <w:rFonts w:ascii="Times New Roman" w:eastAsia="Times New Roman" w:hAnsi="Times New Roman" w:cs="Times New Roman"/>
          <w:sz w:val="24"/>
          <w:szCs w:val="24"/>
          <w:highlight w:val="white"/>
        </w:rPr>
        <w:t>. </w:t>
      </w:r>
      <w:hyperlink r:id="rId33">
        <w:r w:rsidRPr="00862A1A">
          <w:rPr>
            <w:rFonts w:ascii="Times New Roman" w:eastAsia="Times New Roman" w:hAnsi="Times New Roman" w:cs="Times New Roman"/>
            <w:color w:val="0563C1"/>
            <w:sz w:val="24"/>
            <w:szCs w:val="24"/>
            <w:highlight w:val="white"/>
            <w:u w:val="single"/>
          </w:rPr>
          <w:t>https://www.epa.gov/indoor-air-quality-iaq</w:t>
        </w:r>
      </w:hyperlink>
    </w:p>
    <w:p w14:paraId="1AC7A848"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U.S. Environmental Protection Agency. (n.d.-j). </w:t>
      </w:r>
      <w:r w:rsidRPr="00862A1A">
        <w:rPr>
          <w:rFonts w:ascii="Times New Roman" w:eastAsia="Times New Roman" w:hAnsi="Times New Roman" w:cs="Times New Roman"/>
          <w:i/>
          <w:sz w:val="24"/>
          <w:szCs w:val="24"/>
          <w:highlight w:val="white"/>
        </w:rPr>
        <w:t>Justice40 initiative</w:t>
      </w:r>
      <w:r w:rsidRPr="00862A1A">
        <w:rPr>
          <w:rFonts w:ascii="Times New Roman" w:eastAsia="Times New Roman" w:hAnsi="Times New Roman" w:cs="Times New Roman"/>
          <w:sz w:val="24"/>
          <w:szCs w:val="24"/>
          <w:highlight w:val="white"/>
        </w:rPr>
        <w:t>. </w:t>
      </w:r>
      <w:hyperlink r:id="rId34">
        <w:r w:rsidRPr="00862A1A">
          <w:rPr>
            <w:rFonts w:ascii="Times New Roman" w:eastAsia="Times New Roman" w:hAnsi="Times New Roman" w:cs="Times New Roman"/>
            <w:color w:val="0563C1"/>
            <w:sz w:val="24"/>
            <w:szCs w:val="24"/>
            <w:highlight w:val="white"/>
            <w:u w:val="single"/>
          </w:rPr>
          <w:t>https://www.epa.gov/environmentaljustice/justice40-initiative</w:t>
        </w:r>
      </w:hyperlink>
    </w:p>
    <w:p w14:paraId="788FA58C"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U.S. Environmental Protection Agency. (n.d.-k). </w:t>
      </w:r>
      <w:r w:rsidRPr="00862A1A">
        <w:rPr>
          <w:rFonts w:ascii="Times New Roman" w:eastAsia="Times New Roman" w:hAnsi="Times New Roman" w:cs="Times New Roman"/>
          <w:i/>
          <w:sz w:val="24"/>
          <w:szCs w:val="24"/>
          <w:highlight w:val="white"/>
        </w:rPr>
        <w:t>Kids and education resources</w:t>
      </w:r>
      <w:r w:rsidRPr="00862A1A">
        <w:rPr>
          <w:rFonts w:ascii="Times New Roman" w:eastAsia="Times New Roman" w:hAnsi="Times New Roman" w:cs="Times New Roman"/>
          <w:sz w:val="24"/>
          <w:szCs w:val="24"/>
          <w:highlight w:val="white"/>
        </w:rPr>
        <w:t>. </w:t>
      </w:r>
      <w:hyperlink r:id="rId35">
        <w:r w:rsidRPr="00862A1A">
          <w:rPr>
            <w:rFonts w:ascii="Times New Roman" w:eastAsia="Times New Roman" w:hAnsi="Times New Roman" w:cs="Times New Roman"/>
            <w:color w:val="0563C1"/>
            <w:sz w:val="24"/>
            <w:szCs w:val="24"/>
            <w:highlight w:val="white"/>
            <w:u w:val="single"/>
          </w:rPr>
          <w:t>https://www.epa.gov/students</w:t>
        </w:r>
      </w:hyperlink>
    </w:p>
    <w:p w14:paraId="39CEF26E"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U.S. Environmental Protection Agency. (n.d.-l). </w:t>
      </w:r>
      <w:r w:rsidRPr="00862A1A">
        <w:rPr>
          <w:rFonts w:ascii="Times New Roman" w:eastAsia="Times New Roman" w:hAnsi="Times New Roman" w:cs="Times New Roman"/>
          <w:i/>
          <w:sz w:val="24"/>
          <w:szCs w:val="24"/>
          <w:highlight w:val="white"/>
        </w:rPr>
        <w:t>Laws and regulations</w:t>
      </w:r>
      <w:r w:rsidRPr="00862A1A">
        <w:rPr>
          <w:rFonts w:ascii="Times New Roman" w:eastAsia="Times New Roman" w:hAnsi="Times New Roman" w:cs="Times New Roman"/>
          <w:sz w:val="24"/>
          <w:szCs w:val="24"/>
          <w:highlight w:val="white"/>
        </w:rPr>
        <w:t>. </w:t>
      </w:r>
      <w:hyperlink r:id="rId36">
        <w:r w:rsidRPr="00862A1A">
          <w:rPr>
            <w:rFonts w:ascii="Times New Roman" w:eastAsia="Times New Roman" w:hAnsi="Times New Roman" w:cs="Times New Roman"/>
            <w:color w:val="0563C1"/>
            <w:sz w:val="24"/>
            <w:szCs w:val="24"/>
            <w:highlight w:val="white"/>
            <w:u w:val="single"/>
          </w:rPr>
          <w:t>https://www.epa.gov/laws-regulations</w:t>
        </w:r>
      </w:hyperlink>
    </w:p>
    <w:p w14:paraId="5337487E"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U.S. Environmental Protection Agency. (n.d.-m). </w:t>
      </w:r>
      <w:r w:rsidRPr="00862A1A">
        <w:rPr>
          <w:rFonts w:ascii="Times New Roman" w:eastAsia="Times New Roman" w:hAnsi="Times New Roman" w:cs="Times New Roman"/>
          <w:i/>
          <w:sz w:val="24"/>
          <w:szCs w:val="24"/>
          <w:highlight w:val="white"/>
        </w:rPr>
        <w:t>Mold and moisture control</w:t>
      </w:r>
      <w:r w:rsidRPr="00862A1A">
        <w:rPr>
          <w:rFonts w:ascii="Times New Roman" w:eastAsia="Times New Roman" w:hAnsi="Times New Roman" w:cs="Times New Roman"/>
          <w:sz w:val="24"/>
          <w:szCs w:val="24"/>
          <w:highlight w:val="white"/>
        </w:rPr>
        <w:t>. </w:t>
      </w:r>
      <w:hyperlink r:id="rId37">
        <w:r w:rsidRPr="00862A1A">
          <w:rPr>
            <w:rFonts w:ascii="Times New Roman" w:eastAsia="Times New Roman" w:hAnsi="Times New Roman" w:cs="Times New Roman"/>
            <w:color w:val="0563C1"/>
            <w:sz w:val="24"/>
            <w:szCs w:val="24"/>
            <w:highlight w:val="white"/>
            <w:u w:val="single"/>
          </w:rPr>
          <w:t>https://www.epa.gov/mold</w:t>
        </w:r>
      </w:hyperlink>
    </w:p>
    <w:p w14:paraId="0AE4DE25"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lastRenderedPageBreak/>
        <w:t>U.S. Environmental Protection Agency. (n.d.-n). </w:t>
      </w:r>
      <w:r w:rsidRPr="00862A1A">
        <w:rPr>
          <w:rFonts w:ascii="Times New Roman" w:eastAsia="Times New Roman" w:hAnsi="Times New Roman" w:cs="Times New Roman"/>
          <w:i/>
          <w:sz w:val="24"/>
          <w:szCs w:val="24"/>
          <w:highlight w:val="white"/>
        </w:rPr>
        <w:t>National wetlands program</w:t>
      </w:r>
      <w:r w:rsidRPr="00862A1A">
        <w:rPr>
          <w:rFonts w:ascii="Times New Roman" w:eastAsia="Times New Roman" w:hAnsi="Times New Roman" w:cs="Times New Roman"/>
          <w:sz w:val="24"/>
          <w:szCs w:val="24"/>
          <w:highlight w:val="white"/>
        </w:rPr>
        <w:t>. </w:t>
      </w:r>
      <w:hyperlink r:id="rId38">
        <w:r w:rsidRPr="00862A1A">
          <w:rPr>
            <w:rFonts w:ascii="Times New Roman" w:eastAsia="Times New Roman" w:hAnsi="Times New Roman" w:cs="Times New Roman"/>
            <w:color w:val="0563C1"/>
            <w:sz w:val="24"/>
            <w:szCs w:val="24"/>
            <w:highlight w:val="white"/>
            <w:u w:val="single"/>
          </w:rPr>
          <w:t>https://www.epa.gov/wetlands</w:t>
        </w:r>
      </w:hyperlink>
    </w:p>
    <w:p w14:paraId="092AF927"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U.S. Environmental Protection Agency. (n.d.-o). </w:t>
      </w:r>
      <w:r w:rsidRPr="00862A1A">
        <w:rPr>
          <w:rFonts w:ascii="Times New Roman" w:eastAsia="Times New Roman" w:hAnsi="Times New Roman" w:cs="Times New Roman"/>
          <w:i/>
          <w:sz w:val="24"/>
          <w:szCs w:val="24"/>
          <w:highlight w:val="white"/>
        </w:rPr>
        <w:t>Oil spills prevention</w:t>
      </w:r>
      <w:r w:rsidRPr="00862A1A">
        <w:rPr>
          <w:rFonts w:ascii="Times New Roman" w:eastAsia="Times New Roman" w:hAnsi="Times New Roman" w:cs="Times New Roman"/>
          <w:sz w:val="24"/>
          <w:szCs w:val="24"/>
          <w:highlight w:val="white"/>
        </w:rPr>
        <w:t>. </w:t>
      </w:r>
      <w:hyperlink r:id="rId39">
        <w:r w:rsidRPr="00862A1A">
          <w:rPr>
            <w:rFonts w:ascii="Times New Roman" w:eastAsia="Times New Roman" w:hAnsi="Times New Roman" w:cs="Times New Roman"/>
            <w:color w:val="0563C1"/>
            <w:sz w:val="24"/>
            <w:szCs w:val="24"/>
            <w:highlight w:val="white"/>
            <w:u w:val="single"/>
          </w:rPr>
          <w:t>https://www.epa.gov/oil-spills-prevention-and-preparedness-regulations</w:t>
        </w:r>
      </w:hyperlink>
    </w:p>
    <w:p w14:paraId="50A4FA20"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U.S. Environmental Protection Agency. (n.d.-p). </w:t>
      </w:r>
      <w:r w:rsidRPr="00862A1A">
        <w:rPr>
          <w:rFonts w:ascii="Times New Roman" w:eastAsia="Times New Roman" w:hAnsi="Times New Roman" w:cs="Times New Roman"/>
          <w:i/>
          <w:sz w:val="24"/>
          <w:szCs w:val="24"/>
          <w:highlight w:val="white"/>
        </w:rPr>
        <w:t>Pesticide registration</w:t>
      </w:r>
      <w:r w:rsidRPr="00862A1A">
        <w:rPr>
          <w:rFonts w:ascii="Times New Roman" w:eastAsia="Times New Roman" w:hAnsi="Times New Roman" w:cs="Times New Roman"/>
          <w:sz w:val="24"/>
          <w:szCs w:val="24"/>
          <w:highlight w:val="white"/>
        </w:rPr>
        <w:t>. </w:t>
      </w:r>
      <w:hyperlink r:id="rId40">
        <w:r w:rsidRPr="00862A1A">
          <w:rPr>
            <w:rFonts w:ascii="Times New Roman" w:eastAsia="Times New Roman" w:hAnsi="Times New Roman" w:cs="Times New Roman"/>
            <w:color w:val="0563C1"/>
            <w:sz w:val="24"/>
            <w:szCs w:val="24"/>
            <w:highlight w:val="white"/>
            <w:u w:val="single"/>
          </w:rPr>
          <w:t>https://www.epa.gov/pesticide-registration</w:t>
        </w:r>
      </w:hyperlink>
      <w:r w:rsidRPr="00862A1A">
        <w:rPr>
          <w:rFonts w:ascii="Times New Roman" w:eastAsia="Times New Roman" w:hAnsi="Times New Roman" w:cs="Times New Roman"/>
          <w:sz w:val="24"/>
          <w:szCs w:val="24"/>
          <w:highlight w:val="white"/>
        </w:rPr>
        <w:t xml:space="preserve"> </w:t>
      </w:r>
    </w:p>
    <w:p w14:paraId="641C76DD"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U.S. Environmental Protection Agency. (n.d.-q). </w:t>
      </w:r>
      <w:r w:rsidRPr="00862A1A">
        <w:rPr>
          <w:rFonts w:ascii="Times New Roman" w:eastAsia="Times New Roman" w:hAnsi="Times New Roman" w:cs="Times New Roman"/>
          <w:i/>
          <w:sz w:val="24"/>
          <w:szCs w:val="24"/>
          <w:highlight w:val="white"/>
        </w:rPr>
        <w:t xml:space="preserve">Questions about your </w:t>
      </w:r>
      <w:proofErr w:type="gramStart"/>
      <w:r w:rsidRPr="00862A1A">
        <w:rPr>
          <w:rFonts w:ascii="Times New Roman" w:eastAsia="Times New Roman" w:hAnsi="Times New Roman" w:cs="Times New Roman"/>
          <w:i/>
          <w:sz w:val="24"/>
          <w:szCs w:val="24"/>
          <w:highlight w:val="white"/>
        </w:rPr>
        <w:t>community?</w:t>
      </w:r>
      <w:r w:rsidRPr="00862A1A">
        <w:rPr>
          <w:rFonts w:ascii="Times New Roman" w:eastAsia="Times New Roman" w:hAnsi="Times New Roman" w:cs="Times New Roman"/>
          <w:sz w:val="24"/>
          <w:szCs w:val="24"/>
          <w:highlight w:val="white"/>
        </w:rPr>
        <w:t>.</w:t>
      </w:r>
      <w:proofErr w:type="gramEnd"/>
      <w:r w:rsidRPr="00862A1A">
        <w:rPr>
          <w:rFonts w:ascii="Times New Roman" w:eastAsia="Times New Roman" w:hAnsi="Times New Roman" w:cs="Times New Roman"/>
          <w:sz w:val="24"/>
          <w:szCs w:val="24"/>
          <w:highlight w:val="white"/>
        </w:rPr>
        <w:t> </w:t>
      </w:r>
      <w:hyperlink r:id="rId41">
        <w:r w:rsidRPr="00862A1A">
          <w:rPr>
            <w:rFonts w:ascii="Times New Roman" w:eastAsia="Times New Roman" w:hAnsi="Times New Roman" w:cs="Times New Roman"/>
            <w:color w:val="0563C1"/>
            <w:sz w:val="24"/>
            <w:szCs w:val="24"/>
            <w:highlight w:val="white"/>
            <w:u w:val="single"/>
          </w:rPr>
          <w:t>https://www.epa.gov/community</w:t>
        </w:r>
      </w:hyperlink>
      <w:r w:rsidRPr="00862A1A">
        <w:rPr>
          <w:rFonts w:ascii="Times New Roman" w:eastAsia="Times New Roman" w:hAnsi="Times New Roman" w:cs="Times New Roman"/>
          <w:sz w:val="24"/>
          <w:szCs w:val="24"/>
          <w:highlight w:val="white"/>
        </w:rPr>
        <w:t xml:space="preserve"> </w:t>
      </w:r>
    </w:p>
    <w:p w14:paraId="3308E2F0"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Vidu, R., Matei, E., Predescu, A. M., Alhalaili, B., </w:t>
      </w:r>
      <w:proofErr w:type="spellStart"/>
      <w:r w:rsidRPr="00862A1A">
        <w:rPr>
          <w:rFonts w:ascii="Times New Roman" w:eastAsia="Times New Roman" w:hAnsi="Times New Roman" w:cs="Times New Roman"/>
          <w:sz w:val="24"/>
          <w:szCs w:val="24"/>
          <w:highlight w:val="white"/>
        </w:rPr>
        <w:t>Pantilimon</w:t>
      </w:r>
      <w:proofErr w:type="spellEnd"/>
      <w:r w:rsidRPr="00862A1A">
        <w:rPr>
          <w:rFonts w:ascii="Times New Roman" w:eastAsia="Times New Roman" w:hAnsi="Times New Roman" w:cs="Times New Roman"/>
          <w:sz w:val="24"/>
          <w:szCs w:val="24"/>
          <w:highlight w:val="white"/>
        </w:rPr>
        <w:t xml:space="preserve">, C., </w:t>
      </w:r>
      <w:proofErr w:type="spellStart"/>
      <w:r w:rsidRPr="00862A1A">
        <w:rPr>
          <w:rFonts w:ascii="Times New Roman" w:eastAsia="Times New Roman" w:hAnsi="Times New Roman" w:cs="Times New Roman"/>
          <w:sz w:val="24"/>
          <w:szCs w:val="24"/>
          <w:highlight w:val="white"/>
        </w:rPr>
        <w:t>Tarcea</w:t>
      </w:r>
      <w:proofErr w:type="spellEnd"/>
      <w:r w:rsidRPr="00862A1A">
        <w:rPr>
          <w:rFonts w:ascii="Times New Roman" w:eastAsia="Times New Roman" w:hAnsi="Times New Roman" w:cs="Times New Roman"/>
          <w:sz w:val="24"/>
          <w:szCs w:val="24"/>
          <w:highlight w:val="white"/>
        </w:rPr>
        <w:t>, C., &amp; Predescu, C. (2020). Removal of heavy metals from wastewaters: A challenge from current treatment methods to nanotechnology applications. </w:t>
      </w:r>
      <w:r w:rsidRPr="00862A1A">
        <w:rPr>
          <w:rFonts w:ascii="Times New Roman" w:eastAsia="Times New Roman" w:hAnsi="Times New Roman" w:cs="Times New Roman"/>
          <w:i/>
          <w:sz w:val="24"/>
          <w:szCs w:val="24"/>
          <w:highlight w:val="white"/>
        </w:rPr>
        <w:t>Toxics</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8</w:t>
      </w:r>
      <w:r w:rsidRPr="00862A1A">
        <w:rPr>
          <w:rFonts w:ascii="Times New Roman" w:eastAsia="Times New Roman" w:hAnsi="Times New Roman" w:cs="Times New Roman"/>
          <w:sz w:val="24"/>
          <w:szCs w:val="24"/>
          <w:highlight w:val="white"/>
        </w:rPr>
        <w:t>(4), 101.</w:t>
      </w:r>
    </w:p>
    <w:p w14:paraId="76F6E52E"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Wang, L., Shi, C., Pan, L., Zhang, X., &amp; Zou, J. J. (2020). Rational design, synthesis, adsorption principles and applications of metal oxide adsorbents: a review. </w:t>
      </w:r>
      <w:r w:rsidRPr="00862A1A">
        <w:rPr>
          <w:rFonts w:ascii="Times New Roman" w:eastAsia="Times New Roman" w:hAnsi="Times New Roman" w:cs="Times New Roman"/>
          <w:i/>
          <w:sz w:val="24"/>
          <w:szCs w:val="24"/>
          <w:highlight w:val="white"/>
        </w:rPr>
        <w:t>Nanoscale</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12</w:t>
      </w:r>
      <w:r w:rsidRPr="00862A1A">
        <w:rPr>
          <w:rFonts w:ascii="Times New Roman" w:eastAsia="Times New Roman" w:hAnsi="Times New Roman" w:cs="Times New Roman"/>
          <w:sz w:val="24"/>
          <w:szCs w:val="24"/>
          <w:highlight w:val="white"/>
        </w:rPr>
        <w:t>(8), 4790-4815.</w:t>
      </w:r>
    </w:p>
    <w:p w14:paraId="78C3074D"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Warner, S. D., Bekele, D., Nathanail, C. P., Chadalavada, S., &amp; Naidu, R. (2023). Climate‐influenced </w:t>
      </w:r>
      <w:proofErr w:type="spellStart"/>
      <w:r w:rsidRPr="00862A1A">
        <w:rPr>
          <w:rFonts w:ascii="Times New Roman" w:eastAsia="Times New Roman" w:hAnsi="Times New Roman" w:cs="Times New Roman"/>
          <w:sz w:val="24"/>
          <w:szCs w:val="24"/>
          <w:highlight w:val="white"/>
        </w:rPr>
        <w:t>hydrobiogeochemistry</w:t>
      </w:r>
      <w:proofErr w:type="spellEnd"/>
      <w:r w:rsidRPr="00862A1A">
        <w:rPr>
          <w:rFonts w:ascii="Times New Roman" w:eastAsia="Times New Roman" w:hAnsi="Times New Roman" w:cs="Times New Roman"/>
          <w:sz w:val="24"/>
          <w:szCs w:val="24"/>
          <w:highlight w:val="white"/>
        </w:rPr>
        <w:t xml:space="preserve"> and groundwater remedy design: A review. </w:t>
      </w:r>
      <w:r w:rsidRPr="00862A1A">
        <w:rPr>
          <w:rFonts w:ascii="Times New Roman" w:eastAsia="Times New Roman" w:hAnsi="Times New Roman" w:cs="Times New Roman"/>
          <w:i/>
          <w:sz w:val="24"/>
          <w:szCs w:val="24"/>
          <w:highlight w:val="white"/>
        </w:rPr>
        <w:t>Remediation Journal</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33</w:t>
      </w:r>
      <w:r w:rsidRPr="00862A1A">
        <w:rPr>
          <w:rFonts w:ascii="Times New Roman" w:eastAsia="Times New Roman" w:hAnsi="Times New Roman" w:cs="Times New Roman"/>
          <w:sz w:val="24"/>
          <w:szCs w:val="24"/>
          <w:highlight w:val="white"/>
        </w:rPr>
        <w:t>(3), 187-207.</w:t>
      </w:r>
    </w:p>
    <w:p w14:paraId="6CFBFCE5"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Wiebe, A. J., McKenzie, J. M., Hamel, E., Rudolph, D. L., Mulligan, B., &amp; De </w:t>
      </w:r>
      <w:proofErr w:type="spellStart"/>
      <w:r w:rsidRPr="00862A1A">
        <w:rPr>
          <w:rFonts w:ascii="Times New Roman" w:eastAsia="Times New Roman" w:hAnsi="Times New Roman" w:cs="Times New Roman"/>
          <w:sz w:val="24"/>
          <w:szCs w:val="24"/>
          <w:highlight w:val="white"/>
        </w:rPr>
        <w:t>Grandpré</w:t>
      </w:r>
      <w:proofErr w:type="spellEnd"/>
      <w:r w:rsidRPr="00862A1A">
        <w:rPr>
          <w:rFonts w:ascii="Times New Roman" w:eastAsia="Times New Roman" w:hAnsi="Times New Roman" w:cs="Times New Roman"/>
          <w:sz w:val="24"/>
          <w:szCs w:val="24"/>
          <w:highlight w:val="white"/>
        </w:rPr>
        <w:t>, I. (2024). Groundwater vulnerability in the Yukon and Northwest Territories, Canada. </w:t>
      </w:r>
      <w:r w:rsidRPr="00862A1A">
        <w:rPr>
          <w:rFonts w:ascii="Times New Roman" w:eastAsia="Times New Roman" w:hAnsi="Times New Roman" w:cs="Times New Roman"/>
          <w:i/>
          <w:sz w:val="24"/>
          <w:szCs w:val="24"/>
          <w:highlight w:val="white"/>
        </w:rPr>
        <w:t>Hydrogeology Journal</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32</w:t>
      </w:r>
      <w:r w:rsidRPr="00862A1A">
        <w:rPr>
          <w:rFonts w:ascii="Times New Roman" w:eastAsia="Times New Roman" w:hAnsi="Times New Roman" w:cs="Times New Roman"/>
          <w:sz w:val="24"/>
          <w:szCs w:val="24"/>
          <w:highlight w:val="white"/>
        </w:rPr>
        <w:t>(2), 341-346.</w:t>
      </w:r>
    </w:p>
    <w:p w14:paraId="1A21DB00"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Xu, Y. N., &amp; Chen, Y. (2020). Advances in heavy metal removal by sulfate-reducing bacteria. </w:t>
      </w:r>
      <w:r w:rsidRPr="00862A1A">
        <w:rPr>
          <w:rFonts w:ascii="Times New Roman" w:eastAsia="Times New Roman" w:hAnsi="Times New Roman" w:cs="Times New Roman"/>
          <w:i/>
          <w:sz w:val="24"/>
          <w:szCs w:val="24"/>
          <w:highlight w:val="white"/>
        </w:rPr>
        <w:t>Water Science and Technology</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81</w:t>
      </w:r>
      <w:r w:rsidRPr="00862A1A">
        <w:rPr>
          <w:rFonts w:ascii="Times New Roman" w:eastAsia="Times New Roman" w:hAnsi="Times New Roman" w:cs="Times New Roman"/>
          <w:sz w:val="24"/>
          <w:szCs w:val="24"/>
          <w:highlight w:val="white"/>
        </w:rPr>
        <w:t>(9), 1797-1827.</w:t>
      </w:r>
    </w:p>
    <w:p w14:paraId="1FDB4194"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t xml:space="preserve">Zhang, Y., Hu, X., Wang, Y., &amp; Jiang, N. (2023). A critical review of biomineralization in environmental geotechnics: Applications, trends, and perspectives. </w:t>
      </w:r>
      <w:proofErr w:type="spellStart"/>
      <w:r w:rsidRPr="00862A1A">
        <w:rPr>
          <w:rFonts w:ascii="Times New Roman" w:eastAsia="Times New Roman" w:hAnsi="Times New Roman" w:cs="Times New Roman"/>
          <w:i/>
          <w:sz w:val="24"/>
          <w:szCs w:val="24"/>
          <w:highlight w:val="white"/>
        </w:rPr>
        <w:t>Biogeotechnics</w:t>
      </w:r>
      <w:proofErr w:type="spellEnd"/>
      <w:r w:rsidRPr="00862A1A">
        <w:rPr>
          <w:rFonts w:ascii="Times New Roman" w:eastAsia="Times New Roman" w:hAnsi="Times New Roman" w:cs="Times New Roman"/>
          <w:i/>
          <w:sz w:val="24"/>
          <w:szCs w:val="24"/>
          <w:highlight w:val="white"/>
        </w:rPr>
        <w:t>, 1</w:t>
      </w:r>
      <w:r w:rsidRPr="00862A1A">
        <w:rPr>
          <w:rFonts w:ascii="Times New Roman" w:eastAsia="Times New Roman" w:hAnsi="Times New Roman" w:cs="Times New Roman"/>
          <w:sz w:val="24"/>
          <w:szCs w:val="24"/>
          <w:highlight w:val="white"/>
        </w:rPr>
        <w:t>(1), 100003.</w:t>
      </w:r>
    </w:p>
    <w:p w14:paraId="396F958B" w14:textId="77777777" w:rsidR="00922D47" w:rsidRPr="00862A1A" w:rsidRDefault="00922D47" w:rsidP="00862A1A">
      <w:pPr>
        <w:spacing w:line="360" w:lineRule="auto"/>
        <w:jc w:val="both"/>
        <w:rPr>
          <w:rFonts w:ascii="Times New Roman" w:eastAsia="Times New Roman" w:hAnsi="Times New Roman" w:cs="Times New Roman"/>
          <w:sz w:val="24"/>
          <w:szCs w:val="24"/>
          <w:highlight w:val="white"/>
        </w:rPr>
      </w:pPr>
      <w:r w:rsidRPr="00862A1A">
        <w:rPr>
          <w:rFonts w:ascii="Times New Roman" w:eastAsia="Times New Roman" w:hAnsi="Times New Roman" w:cs="Times New Roman"/>
          <w:sz w:val="24"/>
          <w:szCs w:val="24"/>
          <w:highlight w:val="white"/>
        </w:rPr>
        <w:lastRenderedPageBreak/>
        <w:t>Zhang, K., Tang, C. S., Jiang, N. J., Pan, X. H., Liu, B., Wang, Y. J., &amp; Shi, B. (2023). Microbial-induced carbonate precipitation (MICP) technology: a review on the fundamentals and engineering applications. </w:t>
      </w:r>
      <w:r w:rsidRPr="00862A1A">
        <w:rPr>
          <w:rFonts w:ascii="Times New Roman" w:eastAsia="Times New Roman" w:hAnsi="Times New Roman" w:cs="Times New Roman"/>
          <w:i/>
          <w:sz w:val="24"/>
          <w:szCs w:val="24"/>
          <w:highlight w:val="white"/>
        </w:rPr>
        <w:t>Environmental Earth Sciences</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82</w:t>
      </w:r>
      <w:r w:rsidRPr="00862A1A">
        <w:rPr>
          <w:rFonts w:ascii="Times New Roman" w:eastAsia="Times New Roman" w:hAnsi="Times New Roman" w:cs="Times New Roman"/>
          <w:sz w:val="24"/>
          <w:szCs w:val="24"/>
          <w:highlight w:val="white"/>
        </w:rPr>
        <w:t>(9), 229.</w:t>
      </w:r>
    </w:p>
    <w:p w14:paraId="1039A618" w14:textId="244AF513" w:rsidR="00241C88" w:rsidRPr="00862A1A" w:rsidRDefault="00922D47" w:rsidP="00862A1A">
      <w:pPr>
        <w:spacing w:line="360" w:lineRule="auto"/>
        <w:jc w:val="both"/>
        <w:rPr>
          <w:rFonts w:ascii="Times New Roman" w:eastAsia="Times New Roman" w:hAnsi="Times New Roman" w:cs="Times New Roman"/>
          <w:sz w:val="24"/>
          <w:szCs w:val="24"/>
        </w:rPr>
      </w:pPr>
      <w:r w:rsidRPr="00862A1A">
        <w:rPr>
          <w:rFonts w:ascii="Times New Roman" w:eastAsia="Times New Roman" w:hAnsi="Times New Roman" w:cs="Times New Roman"/>
          <w:sz w:val="24"/>
          <w:szCs w:val="24"/>
          <w:highlight w:val="white"/>
        </w:rPr>
        <w:t>Zhou, Q., Zhang, J., Zhang, S., Chen, Q., Fan, H., Cao, C., ... &amp; Yao, Y. (2025). Groundwater quality evolution across China. </w:t>
      </w:r>
      <w:r w:rsidRPr="00862A1A">
        <w:rPr>
          <w:rFonts w:ascii="Times New Roman" w:eastAsia="Times New Roman" w:hAnsi="Times New Roman" w:cs="Times New Roman"/>
          <w:i/>
          <w:sz w:val="24"/>
          <w:szCs w:val="24"/>
          <w:highlight w:val="white"/>
        </w:rPr>
        <w:t>Nature Communications</w:t>
      </w:r>
      <w:r w:rsidRPr="00862A1A">
        <w:rPr>
          <w:rFonts w:ascii="Times New Roman" w:eastAsia="Times New Roman" w:hAnsi="Times New Roman" w:cs="Times New Roman"/>
          <w:sz w:val="24"/>
          <w:szCs w:val="24"/>
          <w:highlight w:val="white"/>
        </w:rPr>
        <w:t>, </w:t>
      </w:r>
      <w:r w:rsidRPr="00862A1A">
        <w:rPr>
          <w:rFonts w:ascii="Times New Roman" w:eastAsia="Times New Roman" w:hAnsi="Times New Roman" w:cs="Times New Roman"/>
          <w:i/>
          <w:sz w:val="24"/>
          <w:szCs w:val="24"/>
          <w:highlight w:val="white"/>
        </w:rPr>
        <w:t>16</w:t>
      </w:r>
      <w:r w:rsidRPr="00862A1A">
        <w:rPr>
          <w:rFonts w:ascii="Times New Roman" w:eastAsia="Times New Roman" w:hAnsi="Times New Roman" w:cs="Times New Roman"/>
          <w:sz w:val="24"/>
          <w:szCs w:val="24"/>
          <w:highlight w:val="white"/>
        </w:rPr>
        <w:t>(1), 2522.</w:t>
      </w:r>
    </w:p>
    <w:sectPr w:rsidR="00241C88" w:rsidRPr="00862A1A" w:rsidSect="00F578C7">
      <w:headerReference w:type="even" r:id="rId42"/>
      <w:headerReference w:type="default" r:id="rId43"/>
      <w:footerReference w:type="even" r:id="rId44"/>
      <w:footerReference w:type="default" r:id="rId45"/>
      <w:headerReference w:type="first" r:id="rId46"/>
      <w:footerReference w:type="first" r:id="rId4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B80A1" w14:textId="77777777" w:rsidR="0028501B" w:rsidRDefault="0028501B" w:rsidP="00091F58">
      <w:pPr>
        <w:spacing w:after="0" w:line="240" w:lineRule="auto"/>
      </w:pPr>
      <w:r>
        <w:separator/>
      </w:r>
    </w:p>
  </w:endnote>
  <w:endnote w:type="continuationSeparator" w:id="0">
    <w:p w14:paraId="73173384" w14:textId="77777777" w:rsidR="0028501B" w:rsidRDefault="0028501B" w:rsidP="00091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6565D" w14:textId="77777777" w:rsidR="009149D6" w:rsidRDefault="00914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6317D" w14:textId="77777777" w:rsidR="009149D6" w:rsidRDefault="00914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E168E" w14:textId="77777777" w:rsidR="009149D6" w:rsidRDefault="00914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BFF4E" w14:textId="77777777" w:rsidR="0028501B" w:rsidRDefault="0028501B" w:rsidP="00091F58">
      <w:pPr>
        <w:spacing w:after="0" w:line="240" w:lineRule="auto"/>
      </w:pPr>
      <w:r>
        <w:separator/>
      </w:r>
    </w:p>
  </w:footnote>
  <w:footnote w:type="continuationSeparator" w:id="0">
    <w:p w14:paraId="056601E9" w14:textId="77777777" w:rsidR="0028501B" w:rsidRDefault="0028501B" w:rsidP="00091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186A0" w14:textId="505E7CCE" w:rsidR="009149D6" w:rsidRDefault="009149D6">
    <w:pPr>
      <w:pStyle w:val="Header"/>
    </w:pPr>
    <w:r>
      <w:rPr>
        <w:noProof/>
      </w:rPr>
      <w:pict w14:anchorId="2241C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6810922"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732C1" w14:textId="6917DCF2" w:rsidR="009149D6" w:rsidRDefault="009149D6">
    <w:pPr>
      <w:pStyle w:val="Header"/>
    </w:pPr>
    <w:r>
      <w:rPr>
        <w:noProof/>
      </w:rPr>
      <w:pict w14:anchorId="0BF5A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6810923"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4B622" w14:textId="046BFCF7" w:rsidR="009149D6" w:rsidRDefault="009149D6">
    <w:pPr>
      <w:pStyle w:val="Header"/>
    </w:pPr>
    <w:r>
      <w:rPr>
        <w:noProof/>
      </w:rPr>
      <w:pict w14:anchorId="3CEDA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6810921"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C7"/>
    <w:rsid w:val="00022A0E"/>
    <w:rsid w:val="00047B2F"/>
    <w:rsid w:val="0007038E"/>
    <w:rsid w:val="00091F58"/>
    <w:rsid w:val="00223B0B"/>
    <w:rsid w:val="00241C88"/>
    <w:rsid w:val="0028501B"/>
    <w:rsid w:val="00311763"/>
    <w:rsid w:val="00337171"/>
    <w:rsid w:val="003B31B8"/>
    <w:rsid w:val="004D46B2"/>
    <w:rsid w:val="00506F0A"/>
    <w:rsid w:val="00570EF6"/>
    <w:rsid w:val="005A7452"/>
    <w:rsid w:val="00801AB4"/>
    <w:rsid w:val="00862A1A"/>
    <w:rsid w:val="008F349F"/>
    <w:rsid w:val="009149D6"/>
    <w:rsid w:val="009221B8"/>
    <w:rsid w:val="00922D47"/>
    <w:rsid w:val="009348E0"/>
    <w:rsid w:val="009541B9"/>
    <w:rsid w:val="00B45798"/>
    <w:rsid w:val="00B77589"/>
    <w:rsid w:val="00BF1AA8"/>
    <w:rsid w:val="00D214E7"/>
    <w:rsid w:val="00D268DD"/>
    <w:rsid w:val="00D6432E"/>
    <w:rsid w:val="00D80E0A"/>
    <w:rsid w:val="00D91A61"/>
    <w:rsid w:val="00F057C8"/>
    <w:rsid w:val="00F578C7"/>
    <w:rsid w:val="00F86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0DBCCE"/>
  <w15:chartTrackingRefBased/>
  <w15:docId w15:val="{78727D34-15E8-44FA-BA39-F7B6EADE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78C7"/>
    <w:pPr>
      <w:spacing w:after="200" w:line="276" w:lineRule="auto"/>
    </w:pPr>
    <w:rPr>
      <w:rFonts w:eastAsiaTheme="minorEastAsia"/>
      <w:lang w:val="en-US"/>
    </w:rPr>
  </w:style>
  <w:style w:type="paragraph" w:styleId="Heading1">
    <w:name w:val="heading 1"/>
    <w:basedOn w:val="Normal"/>
    <w:next w:val="Normal"/>
    <w:link w:val="Heading1Char"/>
    <w:uiPriority w:val="9"/>
    <w:qFormat/>
    <w:rsid w:val="00F578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78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78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78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78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78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8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8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8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8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78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78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78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78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78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8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8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8C7"/>
    <w:rPr>
      <w:rFonts w:eastAsiaTheme="majorEastAsia" w:cstheme="majorBidi"/>
      <w:color w:val="272727" w:themeColor="text1" w:themeTint="D8"/>
    </w:rPr>
  </w:style>
  <w:style w:type="paragraph" w:styleId="Title">
    <w:name w:val="Title"/>
    <w:basedOn w:val="Normal"/>
    <w:next w:val="Normal"/>
    <w:link w:val="TitleChar"/>
    <w:uiPriority w:val="10"/>
    <w:qFormat/>
    <w:rsid w:val="00F57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8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8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8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8C7"/>
    <w:pPr>
      <w:spacing w:before="160"/>
      <w:jc w:val="center"/>
    </w:pPr>
    <w:rPr>
      <w:i/>
      <w:iCs/>
      <w:color w:val="404040" w:themeColor="text1" w:themeTint="BF"/>
    </w:rPr>
  </w:style>
  <w:style w:type="character" w:customStyle="1" w:styleId="QuoteChar">
    <w:name w:val="Quote Char"/>
    <w:basedOn w:val="DefaultParagraphFont"/>
    <w:link w:val="Quote"/>
    <w:uiPriority w:val="29"/>
    <w:rsid w:val="00F578C7"/>
    <w:rPr>
      <w:i/>
      <w:iCs/>
      <w:color w:val="404040" w:themeColor="text1" w:themeTint="BF"/>
    </w:rPr>
  </w:style>
  <w:style w:type="paragraph" w:styleId="ListParagraph">
    <w:name w:val="List Paragraph"/>
    <w:basedOn w:val="Normal"/>
    <w:uiPriority w:val="34"/>
    <w:qFormat/>
    <w:rsid w:val="00F578C7"/>
    <w:pPr>
      <w:ind w:left="720"/>
      <w:contextualSpacing/>
    </w:pPr>
  </w:style>
  <w:style w:type="character" w:styleId="IntenseEmphasis">
    <w:name w:val="Intense Emphasis"/>
    <w:basedOn w:val="DefaultParagraphFont"/>
    <w:uiPriority w:val="21"/>
    <w:qFormat/>
    <w:rsid w:val="00F578C7"/>
    <w:rPr>
      <w:i/>
      <w:iCs/>
      <w:color w:val="2F5496" w:themeColor="accent1" w:themeShade="BF"/>
    </w:rPr>
  </w:style>
  <w:style w:type="paragraph" w:styleId="IntenseQuote">
    <w:name w:val="Intense Quote"/>
    <w:basedOn w:val="Normal"/>
    <w:next w:val="Normal"/>
    <w:link w:val="IntenseQuoteChar"/>
    <w:uiPriority w:val="30"/>
    <w:qFormat/>
    <w:rsid w:val="00F578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78C7"/>
    <w:rPr>
      <w:i/>
      <w:iCs/>
      <w:color w:val="2F5496" w:themeColor="accent1" w:themeShade="BF"/>
    </w:rPr>
  </w:style>
  <w:style w:type="character" w:styleId="IntenseReference">
    <w:name w:val="Intense Reference"/>
    <w:basedOn w:val="DefaultParagraphFont"/>
    <w:uiPriority w:val="32"/>
    <w:qFormat/>
    <w:rsid w:val="00F578C7"/>
    <w:rPr>
      <w:b/>
      <w:bCs/>
      <w:smallCaps/>
      <w:color w:val="2F5496" w:themeColor="accent1" w:themeShade="BF"/>
      <w:spacing w:val="5"/>
    </w:rPr>
  </w:style>
  <w:style w:type="paragraph" w:styleId="NormalWeb">
    <w:name w:val="Normal (Web)"/>
    <w:basedOn w:val="Normal"/>
    <w:uiPriority w:val="99"/>
    <w:semiHidden/>
    <w:unhideWhenUsed/>
    <w:rsid w:val="00F057C8"/>
    <w:rPr>
      <w:rFonts w:ascii="Times New Roman" w:hAnsi="Times New Roman" w:cs="Times New Roman"/>
      <w:sz w:val="24"/>
      <w:szCs w:val="24"/>
    </w:rPr>
  </w:style>
  <w:style w:type="paragraph" w:styleId="Header">
    <w:name w:val="header"/>
    <w:basedOn w:val="Normal"/>
    <w:link w:val="HeaderChar"/>
    <w:uiPriority w:val="99"/>
    <w:unhideWhenUsed/>
    <w:rsid w:val="00091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F58"/>
    <w:rPr>
      <w:rFonts w:eastAsiaTheme="minorEastAsia"/>
      <w:lang w:val="en-US"/>
    </w:rPr>
  </w:style>
  <w:style w:type="paragraph" w:styleId="Footer">
    <w:name w:val="footer"/>
    <w:basedOn w:val="Normal"/>
    <w:link w:val="FooterChar"/>
    <w:uiPriority w:val="99"/>
    <w:unhideWhenUsed/>
    <w:rsid w:val="00091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F58"/>
    <w:rPr>
      <w:rFonts w:eastAsiaTheme="minorEastAsia"/>
      <w:lang w:val="en-US"/>
    </w:rPr>
  </w:style>
  <w:style w:type="paragraph" w:customStyle="1" w:styleId="s6">
    <w:name w:val="s6"/>
    <w:basedOn w:val="Normal"/>
    <w:rsid w:val="00047B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DefaultParagraphFont"/>
    <w:rsid w:val="00047B2F"/>
  </w:style>
  <w:style w:type="character" w:customStyle="1" w:styleId="apple-converted-space">
    <w:name w:val="apple-converted-space"/>
    <w:basedOn w:val="DefaultParagraphFont"/>
    <w:rsid w:val="00047B2F"/>
  </w:style>
  <w:style w:type="character" w:customStyle="1" w:styleId="s5">
    <w:name w:val="s5"/>
    <w:basedOn w:val="DefaultParagraphFont"/>
    <w:rsid w:val="00047B2F"/>
  </w:style>
  <w:style w:type="paragraph" w:customStyle="1" w:styleId="s7">
    <w:name w:val="s7"/>
    <w:basedOn w:val="Normal"/>
    <w:rsid w:val="00047B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8">
    <w:name w:val="s8"/>
    <w:basedOn w:val="Normal"/>
    <w:rsid w:val="00047B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1A61"/>
    <w:rPr>
      <w:color w:val="0563C1" w:themeColor="hyperlink"/>
      <w:u w:val="single"/>
    </w:rPr>
  </w:style>
  <w:style w:type="character" w:styleId="UnresolvedMention">
    <w:name w:val="Unresolved Mention"/>
    <w:basedOn w:val="DefaultParagraphFont"/>
    <w:uiPriority w:val="99"/>
    <w:semiHidden/>
    <w:unhideWhenUsed/>
    <w:rsid w:val="00D91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391996">
      <w:bodyDiv w:val="1"/>
      <w:marLeft w:val="0"/>
      <w:marRight w:val="0"/>
      <w:marTop w:val="0"/>
      <w:marBottom w:val="0"/>
      <w:divBdr>
        <w:top w:val="none" w:sz="0" w:space="0" w:color="auto"/>
        <w:left w:val="none" w:sz="0" w:space="0" w:color="auto"/>
        <w:bottom w:val="none" w:sz="0" w:space="0" w:color="auto"/>
        <w:right w:val="none" w:sz="0" w:space="0" w:color="auto"/>
      </w:divBdr>
    </w:div>
    <w:div w:id="680474580">
      <w:bodyDiv w:val="1"/>
      <w:marLeft w:val="0"/>
      <w:marRight w:val="0"/>
      <w:marTop w:val="0"/>
      <w:marBottom w:val="0"/>
      <w:divBdr>
        <w:top w:val="none" w:sz="0" w:space="0" w:color="auto"/>
        <w:left w:val="none" w:sz="0" w:space="0" w:color="auto"/>
        <w:bottom w:val="none" w:sz="0" w:space="0" w:color="auto"/>
        <w:right w:val="none" w:sz="0" w:space="0" w:color="auto"/>
      </w:divBdr>
    </w:div>
    <w:div w:id="980693496">
      <w:bodyDiv w:val="1"/>
      <w:marLeft w:val="0"/>
      <w:marRight w:val="0"/>
      <w:marTop w:val="0"/>
      <w:marBottom w:val="0"/>
      <w:divBdr>
        <w:top w:val="none" w:sz="0" w:space="0" w:color="auto"/>
        <w:left w:val="none" w:sz="0" w:space="0" w:color="auto"/>
        <w:bottom w:val="none" w:sz="0" w:space="0" w:color="auto"/>
        <w:right w:val="none" w:sz="0" w:space="0" w:color="auto"/>
      </w:divBdr>
    </w:div>
    <w:div w:id="1840074470">
      <w:bodyDiv w:val="1"/>
      <w:marLeft w:val="0"/>
      <w:marRight w:val="0"/>
      <w:marTop w:val="0"/>
      <w:marBottom w:val="0"/>
      <w:divBdr>
        <w:top w:val="none" w:sz="0" w:space="0" w:color="auto"/>
        <w:left w:val="none" w:sz="0" w:space="0" w:color="auto"/>
        <w:bottom w:val="none" w:sz="0" w:space="0" w:color="auto"/>
        <w:right w:val="none" w:sz="0" w:space="0" w:color="auto"/>
      </w:divBdr>
    </w:div>
    <w:div w:id="191335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en/health-canada/programs/guidelines-canadian-drinking-water-quality-operational-parameters.html" TargetMode="External"/><Relationship Id="rId18" Type="http://schemas.openxmlformats.org/officeDocument/2006/relationships/hyperlink" Target="https://frtr.gov/matrix/documents/Monitored-Natural-Attenuation/2010-A-Decision-Framework-for-Applying-MNA-Processes-to-Metals-and-Radionuclides.pdf" TargetMode="External"/><Relationship Id="rId26" Type="http://schemas.openxmlformats.org/officeDocument/2006/relationships/hyperlink" Target="https://www.epa.gov/brownfields" TargetMode="External"/><Relationship Id="rId39" Type="http://schemas.openxmlformats.org/officeDocument/2006/relationships/hyperlink" Target="https://www.epa.gov/oil-spills-prevention-and-preparedness-regulations" TargetMode="External"/><Relationship Id="rId21" Type="http://schemas.openxmlformats.org/officeDocument/2006/relationships/hyperlink" Target="https://www.archives.gov.on.ca/en/historical_documents_project/02-06/ONTARIO_2003_BUDGET.pdf" TargetMode="External"/><Relationship Id="rId34" Type="http://schemas.openxmlformats.org/officeDocument/2006/relationships/hyperlink" Target="https://www.epa.gov/environmentaljustice/justice40-initiative"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https://www.blakes.com/insights/new-b-c-rules-for-contaminated-sites-may-significa/" TargetMode="External"/><Relationship Id="rId2" Type="http://schemas.openxmlformats.org/officeDocument/2006/relationships/settings" Target="settings.xml"/><Relationship Id="rId16" Type="http://schemas.openxmlformats.org/officeDocument/2006/relationships/hyperlink" Target="https://www.rcaanc-cirnac.gc.ca/eng/1480019546952/1537554989037" TargetMode="External"/><Relationship Id="rId29" Type="http://schemas.openxmlformats.org/officeDocument/2006/relationships/hyperlink" Target="https://www.epa.gov/environmentaljustice" TargetMode="External"/><Relationship Id="rId11" Type="http://schemas.openxmlformats.org/officeDocument/2006/relationships/hyperlink" Target="https://www.canadianwatercompliance.ca/blogs/toronto-legionella-disinfecting-bacteria-water-testing-blog/heavy-metals-in-ontario-drinking-water" TargetMode="External"/><Relationship Id="rId24" Type="http://schemas.openxmlformats.org/officeDocument/2006/relationships/hyperlink" Target="https://commons.wikimedia.org/wiki/Category:NASA_Earth_Observatory_in_2006" TargetMode="External"/><Relationship Id="rId32" Type="http://schemas.openxmlformats.org/officeDocument/2006/relationships/hyperlink" Target="https://www.epa.gov/hw" TargetMode="External"/><Relationship Id="rId37" Type="http://schemas.openxmlformats.org/officeDocument/2006/relationships/hyperlink" Target="https://www.epa.gov/mold" TargetMode="External"/><Relationship Id="rId40" Type="http://schemas.openxmlformats.org/officeDocument/2006/relationships/hyperlink" Target="https://www.epa.gov/pesticide-registration" TargetMode="External"/><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csapsociety.bc.ca/about/about-contaminated-sites/" TargetMode="External"/><Relationship Id="rId23" Type="http://schemas.openxmlformats.org/officeDocument/2006/relationships/hyperlink" Target="https://natural-resources.canada.ca/" TargetMode="External"/><Relationship Id="rId28" Type="http://schemas.openxmlformats.org/officeDocument/2006/relationships/hyperlink" Target="https://www.epa.gov/dwstandards" TargetMode="External"/><Relationship Id="rId36" Type="http://schemas.openxmlformats.org/officeDocument/2006/relationships/hyperlink" Target="https://www.epa.gov/laws-regulations" TargetMode="External"/><Relationship Id="rId49" Type="http://schemas.openxmlformats.org/officeDocument/2006/relationships/theme" Target="theme/theme1.xml"/><Relationship Id="rId10" Type="http://schemas.openxmlformats.org/officeDocument/2006/relationships/hyperlink" Target="https://laws-lois.justice.gc.ca/eng/regulations/sor-2002-222/FullText.html" TargetMode="External"/><Relationship Id="rId19" Type="http://schemas.openxmlformats.org/officeDocument/2006/relationships/hyperlink" Target="https://frtr.gov/matrix/Monitored-Natural-Attenuation/" TargetMode="External"/><Relationship Id="rId31" Type="http://schemas.openxmlformats.org/officeDocument/2006/relationships/hyperlink" Target="https://www.epa.gov/greenvehicles" TargetMode="Externa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canada.ca/en/environment-climate-change/services/managing-pollution/sources-industry/mining-effluent/metal-diamond-mining-effluent/metal-diamond-mining-effluent-regulation.html" TargetMode="External"/><Relationship Id="rId14" Type="http://schemas.openxmlformats.org/officeDocument/2006/relationships/hyperlink" Target="https://changingclimate.ca/map/faro-mine/" TargetMode="External"/><Relationship Id="rId22" Type="http://schemas.openxmlformats.org/officeDocument/2006/relationships/hyperlink" Target="https://keystoneenvironmental.ca/services-environemental-consulting/contaminated-sites-risk-assessment/contaminant-remediation/" TargetMode="External"/><Relationship Id="rId27" Type="http://schemas.openxmlformats.org/officeDocument/2006/relationships/hyperlink" Target="https://www.epa.gov/climate-indicators" TargetMode="External"/><Relationship Id="rId30" Type="http://schemas.openxmlformats.org/officeDocument/2006/relationships/hyperlink" Target="https://www.epa.gov/fish-tech" TargetMode="External"/><Relationship Id="rId35" Type="http://schemas.openxmlformats.org/officeDocument/2006/relationships/hyperlink" Target="https://www.epa.gov/students"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www.bc-er.ca/files/operations-documentation/Remediation-Reclamation-and-Restoration/site-remediation-and-reclamation-manual.pdf" TargetMode="External"/><Relationship Id="rId3" Type="http://schemas.openxmlformats.org/officeDocument/2006/relationships/webSettings" Target="webSettings.xml"/><Relationship Id="rId12" Type="http://schemas.openxmlformats.org/officeDocument/2006/relationships/hyperlink" Target="https://www.canadianwatercompliance.ca/blogs/toronto-legionella-disinfecting-bacteria-water-testing-blog/ontario-drinking-water-quality-standards" TargetMode="External"/><Relationship Id="rId17" Type="http://schemas.openxmlformats.org/officeDocument/2006/relationships/hyperlink" Target="https://encyclopedia.pub/entry/17207" TargetMode="External"/><Relationship Id="rId25" Type="http://schemas.openxmlformats.org/officeDocument/2006/relationships/hyperlink" Target="https://www.epa.gov/" TargetMode="External"/><Relationship Id="rId33" Type="http://schemas.openxmlformats.org/officeDocument/2006/relationships/hyperlink" Target="https://www.epa.gov/indoor-air-quality-iaq" TargetMode="External"/><Relationship Id="rId38" Type="http://schemas.openxmlformats.org/officeDocument/2006/relationships/hyperlink" Target="https://www.epa.gov/wetlands" TargetMode="External"/><Relationship Id="rId46" Type="http://schemas.openxmlformats.org/officeDocument/2006/relationships/header" Target="header3.xml"/><Relationship Id="rId20" Type="http://schemas.openxmlformats.org/officeDocument/2006/relationships/hyperlink" Target="https://www.clu-in.org/techfocus/default.focus/sec/permeable_reactive_barriers%2C_perme" TargetMode="External"/><Relationship Id="rId41" Type="http://schemas.openxmlformats.org/officeDocument/2006/relationships/hyperlink" Target="https://www.epa.gov/community" TargetMode="External"/><Relationship Id="rId1" Type="http://schemas.openxmlformats.org/officeDocument/2006/relationships/styles" Target="styles.xml"/><Relationship Id="rId6" Type="http://schemas.openxmlformats.org/officeDocument/2006/relationships/hyperlink" Target="https://aecom.com/en-ca/projects/faro-mine-remedi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33</Pages>
  <Words>9839</Words>
  <Characters>56085</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Damilola Oladejo</dc:creator>
  <cp:keywords/>
  <dc:description/>
  <cp:lastModifiedBy>SDI 1084</cp:lastModifiedBy>
  <cp:revision>15</cp:revision>
  <dcterms:created xsi:type="dcterms:W3CDTF">2025-09-12T14:33:00Z</dcterms:created>
  <dcterms:modified xsi:type="dcterms:W3CDTF">2025-09-13T10:30:00Z</dcterms:modified>
</cp:coreProperties>
</file>