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29480" w14:textId="77777777" w:rsidR="00240FD2" w:rsidRDefault="00201F0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Influence of Weather Parameters on Sugarcane Wilt (</w:t>
      </w:r>
      <w:r>
        <w:rPr>
          <w:rFonts w:ascii="Times New Roman" w:hAnsi="Times New Roman" w:cs="Times New Roman"/>
          <w:b/>
          <w:bCs/>
          <w:i/>
          <w:iCs/>
          <w:sz w:val="24"/>
          <w:szCs w:val="24"/>
        </w:rPr>
        <w:t xml:space="preserve">Fusarium </w:t>
      </w:r>
      <w:proofErr w:type="spellStart"/>
      <w:r>
        <w:rPr>
          <w:rFonts w:ascii="Times New Roman" w:hAnsi="Times New Roman" w:cs="Times New Roman"/>
          <w:b/>
          <w:bCs/>
          <w:i/>
          <w:iCs/>
          <w:sz w:val="24"/>
          <w:szCs w:val="24"/>
        </w:rPr>
        <w:t>sacchari</w:t>
      </w:r>
      <w:proofErr w:type="spellEnd"/>
      <w:r>
        <w:rPr>
          <w:rFonts w:ascii="Times New Roman" w:hAnsi="Times New Roman" w:cs="Times New Roman"/>
          <w:b/>
          <w:bCs/>
          <w:sz w:val="24"/>
          <w:szCs w:val="24"/>
        </w:rPr>
        <w:t>) Disease Under Field Conditions</w:t>
      </w:r>
    </w:p>
    <w:p w14:paraId="74C0367B" w14:textId="77777777" w:rsidR="009E51D8" w:rsidRDefault="009E51D8">
      <w:pPr>
        <w:spacing w:line="360" w:lineRule="auto"/>
        <w:jc w:val="center"/>
        <w:rPr>
          <w:rFonts w:ascii="Times New Roman" w:hAnsi="Times New Roman" w:cs="Times New Roman"/>
          <w:b/>
          <w:bCs/>
          <w:sz w:val="24"/>
          <w:szCs w:val="24"/>
        </w:rPr>
      </w:pPr>
    </w:p>
    <w:p w14:paraId="55BFF214" w14:textId="6E740A68" w:rsidR="00240FD2" w:rsidRDefault="00201F09">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Abstract</w:t>
      </w:r>
    </w:p>
    <w:p w14:paraId="3FB6C8C3"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Sugarcane wilt disease,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is a major constraint in sugarcane production, with its incidence strongly influenced by weather parameters. This study aimed to evaluate the role of climatic factors in disease progression under field conditions during the 2023–24 cropping season. Meteo</w:t>
      </w:r>
      <w:r>
        <w:rPr>
          <w:rFonts w:ascii="Times New Roman" w:hAnsi="Times New Roman" w:cs="Times New Roman"/>
          <w:sz w:val="24"/>
          <w:szCs w:val="24"/>
        </w:rPr>
        <w:t xml:space="preserve">rological data, including maximum and minimum temperatures, relative humidity, rainfall and sunshine hours, were collected from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Meteorological Advisory Services, RPCAU,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Disease incidence was recorded fortnightly and statistical analyses, includi</w:t>
      </w:r>
      <w:r>
        <w:rPr>
          <w:rFonts w:ascii="Times New Roman" w:hAnsi="Times New Roman" w:cs="Times New Roman"/>
          <w:sz w:val="24"/>
          <w:szCs w:val="24"/>
        </w:rPr>
        <w:t>ng correlation and multiple linear regression (MLR), were employed to assess the impact of weather factors. Results indicated that disease incidence varied from 0.60% to 26.60% during the study period, with peak incidence (26.60%) recorded in the second fo</w:t>
      </w:r>
      <w:r>
        <w:rPr>
          <w:rFonts w:ascii="Times New Roman" w:hAnsi="Times New Roman" w:cs="Times New Roman"/>
          <w:sz w:val="24"/>
          <w:szCs w:val="24"/>
        </w:rPr>
        <w:t xml:space="preserve">rtnight of July 2023. This period was characterized by high relative humidity (84.40% morning, 62.60% evening), elevated minimum temperatures (25.90°C) and substantial rainfall (82.60 mm). Correlation analysis revealed that minimum temperature (r = 0.720) </w:t>
      </w:r>
      <w:r>
        <w:rPr>
          <w:rFonts w:ascii="Times New Roman" w:hAnsi="Times New Roman" w:cs="Times New Roman"/>
          <w:sz w:val="24"/>
          <w:szCs w:val="24"/>
        </w:rPr>
        <w:t>and relative humidity at 14:00 hours (r = 0.560) were significantly associated with disease incidence. The MLR model explained 87.8% (R² = 0.878) of disease variability, highlighting the crucial role of these factors in disease progression. The findings su</w:t>
      </w:r>
      <w:r>
        <w:rPr>
          <w:rFonts w:ascii="Times New Roman" w:hAnsi="Times New Roman" w:cs="Times New Roman"/>
          <w:sz w:val="24"/>
          <w:szCs w:val="24"/>
        </w:rPr>
        <w:t xml:space="preserve">ggest that environmental conditions during the rainy season significantly favour </w:t>
      </w:r>
      <w:r>
        <w:rPr>
          <w:rFonts w:ascii="Times New Roman" w:hAnsi="Times New Roman" w:cs="Times New Roman"/>
          <w:i/>
          <w:iCs/>
          <w:sz w:val="24"/>
          <w:szCs w:val="24"/>
        </w:rPr>
        <w:t xml:space="preserve">F.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xml:space="preserve"> infection. Therefore, timely disease monitoring and predictive modelling based on weather trends can enhance disease management strategies in sugarcane cultivation</w:t>
      </w:r>
      <w:r>
        <w:rPr>
          <w:rFonts w:ascii="Times New Roman" w:hAnsi="Times New Roman" w:cs="Times New Roman"/>
          <w:sz w:val="24"/>
          <w:szCs w:val="24"/>
        </w:rPr>
        <w:t xml:space="preserve">. </w:t>
      </w:r>
    </w:p>
    <w:p w14:paraId="6240BAC1"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Correlation analysis, Disease incidence Multiple linear regression, Sugarcane wilt, Weather parameters</w:t>
      </w:r>
    </w:p>
    <w:p w14:paraId="684956C0"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091FF61"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Sugarcane (</w:t>
      </w:r>
      <w:r>
        <w:rPr>
          <w:rFonts w:ascii="Times New Roman" w:hAnsi="Times New Roman" w:cs="Times New Roman"/>
          <w:i/>
          <w:iCs/>
          <w:sz w:val="24"/>
          <w:szCs w:val="24"/>
        </w:rPr>
        <w:t xml:space="preserve">Saccharum </w:t>
      </w:r>
      <w:proofErr w:type="spellStart"/>
      <w:r>
        <w:rPr>
          <w:rFonts w:ascii="Times New Roman" w:hAnsi="Times New Roman" w:cs="Times New Roman"/>
          <w:i/>
          <w:iCs/>
          <w:sz w:val="24"/>
          <w:szCs w:val="24"/>
        </w:rPr>
        <w:t>officinarum</w:t>
      </w:r>
      <w:proofErr w:type="spellEnd"/>
      <w:r>
        <w:rPr>
          <w:rFonts w:ascii="Times New Roman" w:hAnsi="Times New Roman" w:cs="Times New Roman"/>
          <w:sz w:val="24"/>
          <w:szCs w:val="24"/>
        </w:rPr>
        <w:t xml:space="preserve"> L.) is a vital commercial crop cultivated in tropical and subtropical regions for </w:t>
      </w:r>
      <w:r>
        <w:rPr>
          <w:rFonts w:ascii="Times New Roman" w:hAnsi="Times New Roman" w:cs="Times New Roman"/>
          <w:sz w:val="24"/>
          <w:szCs w:val="24"/>
        </w:rPr>
        <w:t>sugar, ethanol, and bioenergy production. Sugarcane thrives in tropical regions with warm, humid conditions, optimal at 28–32°C. Growth slows below 20°C and ceases above 45°C, while temperatures below 5°C make cultivation unsuitable. The crop requires 75–1</w:t>
      </w:r>
      <w:r>
        <w:rPr>
          <w:rFonts w:ascii="Times New Roman" w:hAnsi="Times New Roman" w:cs="Times New Roman"/>
          <w:sz w:val="24"/>
          <w:szCs w:val="24"/>
        </w:rPr>
        <w:t xml:space="preserve">20 cm of annual rainfall and a growing season of 10–18 months. Ideal relative humidity ranges from 70–85% during growth and 55–75% during ripening, while levels below </w:t>
      </w:r>
      <w:r>
        <w:rPr>
          <w:rFonts w:ascii="Times New Roman" w:hAnsi="Times New Roman" w:cs="Times New Roman"/>
          <w:sz w:val="24"/>
          <w:szCs w:val="24"/>
        </w:rPr>
        <w:lastRenderedPageBreak/>
        <w:t xml:space="preserve">50% hinder development (Shukla </w:t>
      </w:r>
      <w:r>
        <w:rPr>
          <w:rFonts w:ascii="Times New Roman" w:hAnsi="Times New Roman" w:cs="Times New Roman"/>
          <w:i/>
          <w:iCs/>
          <w:sz w:val="24"/>
          <w:szCs w:val="24"/>
        </w:rPr>
        <w:t>et al</w:t>
      </w:r>
      <w:r>
        <w:rPr>
          <w:rFonts w:ascii="Times New Roman" w:hAnsi="Times New Roman" w:cs="Times New Roman"/>
          <w:sz w:val="24"/>
          <w:szCs w:val="24"/>
        </w:rPr>
        <w:t>., 2017). Globally, it covers approximately 26.34 mil</w:t>
      </w:r>
      <w:r>
        <w:rPr>
          <w:rFonts w:ascii="Times New Roman" w:hAnsi="Times New Roman" w:cs="Times New Roman"/>
          <w:sz w:val="24"/>
          <w:szCs w:val="24"/>
        </w:rPr>
        <w:t>lion hectares, yielding 1,859.39 million tons annually, with Brazil and India being the top producers (FAO, 2022). In India, sugarcane cultivation spans 5.15 million hectares, supporting millions of farmers and contributing significantly to the economy (Ra</w:t>
      </w:r>
      <w:r>
        <w:rPr>
          <w:rFonts w:ascii="Times New Roman" w:hAnsi="Times New Roman" w:cs="Times New Roman"/>
          <w:sz w:val="24"/>
          <w:szCs w:val="24"/>
        </w:rPr>
        <w:t xml:space="preserve">m &amp; </w:t>
      </w:r>
      <w:proofErr w:type="spellStart"/>
      <w:r>
        <w:rPr>
          <w:rFonts w:ascii="Times New Roman" w:hAnsi="Times New Roman" w:cs="Times New Roman"/>
          <w:sz w:val="24"/>
          <w:szCs w:val="24"/>
        </w:rPr>
        <w:t>Hemaprabha</w:t>
      </w:r>
      <w:proofErr w:type="spellEnd"/>
      <w:r>
        <w:rPr>
          <w:rFonts w:ascii="Times New Roman" w:hAnsi="Times New Roman" w:cs="Times New Roman"/>
          <w:sz w:val="24"/>
          <w:szCs w:val="24"/>
        </w:rPr>
        <w:t>, 2020).</w:t>
      </w:r>
    </w:p>
    <w:p w14:paraId="5BFF2133"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its economic importance, sugarcane is highly susceptible to various diseases, with over 55 reported in India (Rao </w:t>
      </w:r>
      <w:r>
        <w:rPr>
          <w:rFonts w:ascii="Times New Roman" w:hAnsi="Times New Roman" w:cs="Times New Roman"/>
          <w:i/>
          <w:iCs/>
          <w:sz w:val="24"/>
          <w:szCs w:val="24"/>
        </w:rPr>
        <w:t>et al</w:t>
      </w:r>
      <w:r>
        <w:rPr>
          <w:rFonts w:ascii="Times New Roman" w:hAnsi="Times New Roman" w:cs="Times New Roman"/>
          <w:sz w:val="24"/>
          <w:szCs w:val="24"/>
        </w:rPr>
        <w:t xml:space="preserve">., 2002). Among them, wilt disease, primarily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has emerged as a ma</w:t>
      </w:r>
      <w:r>
        <w:rPr>
          <w:rFonts w:ascii="Times New Roman" w:hAnsi="Times New Roman" w:cs="Times New Roman"/>
          <w:sz w:val="24"/>
          <w:szCs w:val="24"/>
        </w:rPr>
        <w:t>jor constraint to production, leading to significant yield losses. In Bihar, the incidence of wilt varies widely, affecting up to 80% of sugarcane fields in some factory zones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2021, 2022). Abiotic factors play a crucial role in the inc</w:t>
      </w:r>
      <w:r>
        <w:rPr>
          <w:rFonts w:ascii="Times New Roman" w:hAnsi="Times New Roman" w:cs="Times New Roman"/>
          <w:sz w:val="24"/>
          <w:szCs w:val="24"/>
        </w:rPr>
        <w:t>idence and severity of sugarcane wilt disease by influencing both the host plant and the pathogen. Temperature is a key determinant, as high temperatures above 35°C promote pathogen growth and spore germination, while lower temperatures (&lt;20°C) can slow pl</w:t>
      </w:r>
      <w:r>
        <w:rPr>
          <w:rFonts w:ascii="Times New Roman" w:hAnsi="Times New Roman" w:cs="Times New Roman"/>
          <w:sz w:val="24"/>
          <w:szCs w:val="24"/>
        </w:rPr>
        <w:t>ant defence responses, making sugarcane more susceptible (Viswanathan &amp; Rao, 2011). Soil moisture also significantly affects wilt severity; drought stress weakens plant vigour and predisposes it to infection, whereas excessive soil moisture creates favoura</w:t>
      </w:r>
      <w:r>
        <w:rPr>
          <w:rFonts w:ascii="Times New Roman" w:hAnsi="Times New Roman" w:cs="Times New Roman"/>
          <w:sz w:val="24"/>
          <w:szCs w:val="24"/>
        </w:rPr>
        <w:t>ble conditions for fungal survival and spread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soil type and pH influence disease dynamics, with heavy, poorly drained soils and extreme pH levels enhancing pathogen persistence (Rao </w:t>
      </w:r>
      <w:r>
        <w:rPr>
          <w:rFonts w:ascii="Times New Roman" w:hAnsi="Times New Roman" w:cs="Times New Roman"/>
          <w:i/>
          <w:iCs/>
          <w:sz w:val="24"/>
          <w:szCs w:val="24"/>
        </w:rPr>
        <w:t>et al</w:t>
      </w:r>
      <w:r>
        <w:rPr>
          <w:rFonts w:ascii="Times New Roman" w:hAnsi="Times New Roman" w:cs="Times New Roman"/>
          <w:sz w:val="24"/>
          <w:szCs w:val="24"/>
        </w:rPr>
        <w:t>., 2002). Furthermore, rela</w:t>
      </w:r>
      <w:r>
        <w:rPr>
          <w:rFonts w:ascii="Times New Roman" w:hAnsi="Times New Roman" w:cs="Times New Roman"/>
          <w:sz w:val="24"/>
          <w:szCs w:val="24"/>
        </w:rPr>
        <w:t>tive humidity plays a role, as high humidity levels promote fungal sporulation and dissemination, while extremely low humidity can stress the plant, making it more vulnerable to infection (</w:t>
      </w:r>
      <w:proofErr w:type="spellStart"/>
      <w:r>
        <w:rPr>
          <w:rFonts w:ascii="Times New Roman" w:hAnsi="Times New Roman" w:cs="Times New Roman"/>
          <w:sz w:val="24"/>
          <w:szCs w:val="24"/>
        </w:rPr>
        <w:t>Rott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2000). These abiotic factors collectively contribute t</w:t>
      </w:r>
      <w:r>
        <w:rPr>
          <w:rFonts w:ascii="Times New Roman" w:hAnsi="Times New Roman" w:cs="Times New Roman"/>
          <w:sz w:val="24"/>
          <w:szCs w:val="24"/>
        </w:rPr>
        <w:t>o the initiation, progression, and overall impact of sugarcane wilt disease in affected regions.</w:t>
      </w:r>
    </w:p>
    <w:p w14:paraId="65A9901F" w14:textId="77777777" w:rsidR="00240FD2" w:rsidRDefault="00240FD2">
      <w:pPr>
        <w:tabs>
          <w:tab w:val="left" w:pos="720"/>
        </w:tabs>
        <w:spacing w:line="360" w:lineRule="auto"/>
        <w:jc w:val="both"/>
        <w:rPr>
          <w:rFonts w:ascii="Times New Roman" w:hAnsi="Times New Roman" w:cs="Times New Roman"/>
          <w:b/>
          <w:bCs/>
          <w:sz w:val="24"/>
          <w:szCs w:val="24"/>
        </w:rPr>
      </w:pPr>
    </w:p>
    <w:p w14:paraId="350AD2FF" w14:textId="77777777" w:rsidR="00240FD2" w:rsidRDefault="00201F09">
      <w:pPr>
        <w:tabs>
          <w:tab w:val="left"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B4D6364" w14:textId="77777777" w:rsidR="00240FD2" w:rsidRDefault="00201F0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monthly meteorological data from June 2023 to February 2024 were collected from the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Meteorological Advisory Services, RPCAU,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depicted in table 1. Weather factors such as minimum and maximum temperature (ºC), morning and evening re</w:t>
      </w:r>
      <w:r>
        <w:rPr>
          <w:rFonts w:ascii="Times New Roman" w:hAnsi="Times New Roman" w:cs="Times New Roman"/>
          <w:sz w:val="24"/>
          <w:szCs w:val="24"/>
        </w:rPr>
        <w:t>lative humidity (%), rainfall (mm), and bright sunshine hours were correlated with disease incidence. Correlation and regression analysis were conducted on disease incidence and weather parameters. Based on this analysis, the influence of weather parameter</w:t>
      </w:r>
      <w:r>
        <w:rPr>
          <w:rFonts w:ascii="Times New Roman" w:hAnsi="Times New Roman" w:cs="Times New Roman"/>
          <w:sz w:val="24"/>
          <w:szCs w:val="24"/>
        </w:rPr>
        <w:t>s on the severity of wilt disease was observed.</w:t>
      </w:r>
    </w:p>
    <w:p w14:paraId="62EADC9A" w14:textId="77777777" w:rsidR="00240FD2" w:rsidRDefault="00201F09">
      <w:pPr>
        <w:tabs>
          <w:tab w:val="left" w:pos="720"/>
        </w:tabs>
        <w:spacing w:line="360" w:lineRule="auto"/>
        <w:ind w:left="1260" w:hanging="12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Role of weather parameters on the development of sugarcane wilt disease caused by </w:t>
      </w:r>
      <w:r>
        <w:rPr>
          <w:rFonts w:ascii="Times New Roman" w:hAnsi="Times New Roman" w:cs="Times New Roman"/>
          <w:b/>
          <w:bCs/>
          <w:i/>
          <w:iCs/>
          <w:sz w:val="24"/>
          <w:szCs w:val="24"/>
        </w:rPr>
        <w:t xml:space="preserve">Fusarium </w:t>
      </w:r>
      <w:proofErr w:type="spellStart"/>
      <w:r>
        <w:rPr>
          <w:rFonts w:ascii="Times New Roman" w:hAnsi="Times New Roman" w:cs="Times New Roman"/>
          <w:b/>
          <w:bCs/>
          <w:i/>
          <w:iCs/>
          <w:sz w:val="24"/>
          <w:szCs w:val="24"/>
        </w:rPr>
        <w:t>sacchari</w:t>
      </w:r>
      <w:proofErr w:type="spellEnd"/>
    </w:p>
    <w:tbl>
      <w:tblPr>
        <w:tblStyle w:val="TableGrid"/>
        <w:tblW w:w="5135" w:type="pct"/>
        <w:tblLook w:val="04A0" w:firstRow="1" w:lastRow="0" w:firstColumn="1" w:lastColumn="0" w:noHBand="0" w:noVBand="1"/>
      </w:tblPr>
      <w:tblGrid>
        <w:gridCol w:w="1350"/>
        <w:gridCol w:w="1235"/>
        <w:gridCol w:w="1105"/>
        <w:gridCol w:w="1072"/>
        <w:gridCol w:w="972"/>
        <w:gridCol w:w="917"/>
        <w:gridCol w:w="1088"/>
        <w:gridCol w:w="1520"/>
      </w:tblGrid>
      <w:tr w:rsidR="00240FD2" w14:paraId="7B87781F" w14:textId="77777777">
        <w:trPr>
          <w:trHeight w:val="20"/>
          <w:tblHeader/>
        </w:trPr>
        <w:tc>
          <w:tcPr>
            <w:tcW w:w="782" w:type="pct"/>
            <w:vMerge w:val="restart"/>
            <w:vAlign w:val="center"/>
          </w:tcPr>
          <w:p w14:paraId="671DE1BA" w14:textId="77777777" w:rsidR="00240FD2" w:rsidRDefault="00201F09">
            <w:pPr>
              <w:spacing w:after="0" w:line="276" w:lineRule="auto"/>
              <w:jc w:val="center"/>
              <w:rPr>
                <w:rFonts w:ascii="Times New Roman" w:hAnsi="Times New Roman" w:cs="Times New Roman"/>
                <w:b/>
                <w:bCs/>
                <w:kern w:val="0"/>
                <w:sz w:val="20"/>
                <w:szCs w:val="20"/>
                <w:lang w:val="en-US"/>
                <w14:ligatures w14:val="none"/>
              </w:rPr>
            </w:pPr>
            <w:r>
              <w:rPr>
                <w:rFonts w:ascii="Times New Roman" w:hAnsi="Times New Roman" w:cs="Times New Roman"/>
                <w:b/>
                <w:bCs/>
                <w:kern w:val="0"/>
                <w:sz w:val="20"/>
                <w:szCs w:val="20"/>
                <w:lang w:val="en-US"/>
                <w14:ligatures w14:val="none"/>
              </w:rPr>
              <w:t>Fortnightly observations</w:t>
            </w:r>
          </w:p>
        </w:tc>
        <w:tc>
          <w:tcPr>
            <w:tcW w:w="720" w:type="pct"/>
            <w:vMerge w:val="restart"/>
            <w:vAlign w:val="center"/>
          </w:tcPr>
          <w:p w14:paraId="006977F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Disease incidence</w:t>
            </w:r>
          </w:p>
        </w:tc>
        <w:tc>
          <w:tcPr>
            <w:tcW w:w="1045" w:type="pct"/>
            <w:gridSpan w:val="2"/>
            <w:vAlign w:val="center"/>
          </w:tcPr>
          <w:p w14:paraId="692CC919"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 xml:space="preserve">Temperature </w:t>
            </w:r>
            <w:r>
              <w:rPr>
                <w:rFonts w:ascii="Times New Roman" w:hAnsi="Times New Roman" w:cs="Times New Roman"/>
                <w:b/>
                <w:iCs/>
                <w:kern w:val="0"/>
                <w:sz w:val="20"/>
                <w:szCs w:val="20"/>
                <w14:ligatures w14:val="none"/>
              </w:rPr>
              <w:t>(</w:t>
            </w:r>
            <w:r>
              <w:rPr>
                <w:rFonts w:ascii="Times New Roman" w:hAnsi="Times New Roman" w:cs="Times New Roman"/>
                <w:b/>
                <w:iCs/>
                <w:kern w:val="0"/>
                <w:sz w:val="20"/>
                <w:szCs w:val="20"/>
                <w14:ligatures w14:val="none"/>
              </w:rPr>
              <w:sym w:font="Symbol" w:char="F0B0"/>
            </w:r>
            <w:r>
              <w:rPr>
                <w:rFonts w:ascii="Times New Roman" w:hAnsi="Times New Roman" w:cs="Times New Roman"/>
                <w:b/>
                <w:iCs/>
                <w:kern w:val="0"/>
                <w:sz w:val="20"/>
                <w:szCs w:val="20"/>
                <w14:ligatures w14:val="none"/>
              </w:rPr>
              <w:t>C)</w:t>
            </w:r>
          </w:p>
        </w:tc>
        <w:tc>
          <w:tcPr>
            <w:tcW w:w="940" w:type="pct"/>
            <w:gridSpan w:val="2"/>
            <w:vAlign w:val="center"/>
          </w:tcPr>
          <w:p w14:paraId="762BBA05"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 xml:space="preserve">Relative humidity </w:t>
            </w:r>
            <w:r>
              <w:rPr>
                <w:rFonts w:ascii="Times New Roman" w:hAnsi="Times New Roman" w:cs="Times New Roman"/>
                <w:b/>
                <w:iCs/>
                <w:kern w:val="0"/>
                <w:sz w:val="20"/>
                <w:szCs w:val="20"/>
                <w14:ligatures w14:val="none"/>
              </w:rPr>
              <w:t>(%)</w:t>
            </w:r>
          </w:p>
        </w:tc>
        <w:tc>
          <w:tcPr>
            <w:tcW w:w="640" w:type="pct"/>
            <w:vMerge w:val="restart"/>
            <w:vAlign w:val="center"/>
          </w:tcPr>
          <w:p w14:paraId="068C364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14:ligatures w14:val="none"/>
              </w:rPr>
              <w:t>Rainfall (mm)</w:t>
            </w:r>
          </w:p>
        </w:tc>
        <w:tc>
          <w:tcPr>
            <w:tcW w:w="874" w:type="pct"/>
            <w:vMerge w:val="restart"/>
            <w:vAlign w:val="center"/>
          </w:tcPr>
          <w:p w14:paraId="4C0BCB6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
                <w:iCs/>
                <w:kern w:val="0"/>
                <w:sz w:val="20"/>
                <w:szCs w:val="20"/>
                <w14:ligatures w14:val="none"/>
              </w:rPr>
              <w:t>Bright sunshine (hr)</w:t>
            </w:r>
          </w:p>
        </w:tc>
      </w:tr>
      <w:tr w:rsidR="00240FD2" w14:paraId="59AC33E9" w14:textId="77777777">
        <w:trPr>
          <w:trHeight w:val="20"/>
          <w:tblHeader/>
        </w:trPr>
        <w:tc>
          <w:tcPr>
            <w:tcW w:w="782" w:type="pct"/>
            <w:vMerge/>
          </w:tcPr>
          <w:p w14:paraId="17183C91"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720" w:type="pct"/>
            <w:vMerge/>
          </w:tcPr>
          <w:p w14:paraId="17D85188"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530" w:type="pct"/>
          </w:tcPr>
          <w:p w14:paraId="60BC937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Maximum</w:t>
            </w:r>
          </w:p>
        </w:tc>
        <w:tc>
          <w:tcPr>
            <w:tcW w:w="515" w:type="pct"/>
          </w:tcPr>
          <w:p w14:paraId="3D730E62"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Minimum</w:t>
            </w:r>
          </w:p>
        </w:tc>
        <w:tc>
          <w:tcPr>
            <w:tcW w:w="483" w:type="pct"/>
          </w:tcPr>
          <w:p w14:paraId="01FB95A1"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Morning</w:t>
            </w:r>
          </w:p>
        </w:tc>
        <w:tc>
          <w:tcPr>
            <w:tcW w:w="457" w:type="pct"/>
          </w:tcPr>
          <w:p w14:paraId="2BA7F4AA"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Evening</w:t>
            </w:r>
          </w:p>
        </w:tc>
        <w:tc>
          <w:tcPr>
            <w:tcW w:w="640" w:type="pct"/>
            <w:vMerge/>
          </w:tcPr>
          <w:p w14:paraId="6561F9EC"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874" w:type="pct"/>
            <w:vMerge/>
          </w:tcPr>
          <w:p w14:paraId="7ABDAD3F"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r>
      <w:tr w:rsidR="00240FD2" w14:paraId="36445D14" w14:textId="77777777">
        <w:trPr>
          <w:trHeight w:val="20"/>
          <w:tblHeader/>
        </w:trPr>
        <w:tc>
          <w:tcPr>
            <w:tcW w:w="782" w:type="pct"/>
            <w:vAlign w:val="center"/>
          </w:tcPr>
          <w:p w14:paraId="3E504C6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June-I</w:t>
            </w:r>
          </w:p>
        </w:tc>
        <w:tc>
          <w:tcPr>
            <w:tcW w:w="720" w:type="pct"/>
            <w:vAlign w:val="center"/>
          </w:tcPr>
          <w:p w14:paraId="298F242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0.88 (5.38)</w:t>
            </w:r>
          </w:p>
        </w:tc>
        <w:tc>
          <w:tcPr>
            <w:tcW w:w="530" w:type="pct"/>
            <w:vAlign w:val="center"/>
          </w:tcPr>
          <w:p w14:paraId="736B53E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40.20</w:t>
            </w:r>
          </w:p>
        </w:tc>
        <w:tc>
          <w:tcPr>
            <w:tcW w:w="515" w:type="pct"/>
            <w:vAlign w:val="center"/>
          </w:tcPr>
          <w:p w14:paraId="777F577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23.80</w:t>
            </w:r>
          </w:p>
        </w:tc>
        <w:tc>
          <w:tcPr>
            <w:tcW w:w="483" w:type="pct"/>
            <w:vAlign w:val="center"/>
          </w:tcPr>
          <w:p w14:paraId="6B4AEB5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71.60</w:t>
            </w:r>
          </w:p>
        </w:tc>
        <w:tc>
          <w:tcPr>
            <w:tcW w:w="457" w:type="pct"/>
            <w:vAlign w:val="center"/>
          </w:tcPr>
          <w:p w14:paraId="343409C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34.20</w:t>
            </w:r>
          </w:p>
        </w:tc>
        <w:tc>
          <w:tcPr>
            <w:tcW w:w="640" w:type="pct"/>
            <w:vAlign w:val="center"/>
          </w:tcPr>
          <w:p w14:paraId="4B67092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4AD7076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9.60</w:t>
            </w:r>
          </w:p>
        </w:tc>
      </w:tr>
      <w:tr w:rsidR="00240FD2" w14:paraId="43B913E5" w14:textId="77777777">
        <w:trPr>
          <w:trHeight w:val="20"/>
          <w:tblHeader/>
        </w:trPr>
        <w:tc>
          <w:tcPr>
            <w:tcW w:w="782" w:type="pct"/>
            <w:vAlign w:val="center"/>
          </w:tcPr>
          <w:p w14:paraId="77B38D7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June-II</w:t>
            </w:r>
          </w:p>
        </w:tc>
        <w:tc>
          <w:tcPr>
            <w:tcW w:w="720" w:type="pct"/>
            <w:vAlign w:val="center"/>
          </w:tcPr>
          <w:p w14:paraId="3E483B0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1.20 (6.29)</w:t>
            </w:r>
          </w:p>
        </w:tc>
        <w:tc>
          <w:tcPr>
            <w:tcW w:w="530" w:type="pct"/>
            <w:vAlign w:val="center"/>
          </w:tcPr>
          <w:p w14:paraId="740E033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36.20</w:t>
            </w:r>
          </w:p>
        </w:tc>
        <w:tc>
          <w:tcPr>
            <w:tcW w:w="515" w:type="pct"/>
            <w:vAlign w:val="center"/>
          </w:tcPr>
          <w:p w14:paraId="589E363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25.30</w:t>
            </w:r>
          </w:p>
        </w:tc>
        <w:tc>
          <w:tcPr>
            <w:tcW w:w="483" w:type="pct"/>
            <w:vAlign w:val="center"/>
          </w:tcPr>
          <w:p w14:paraId="489393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86.20</w:t>
            </w:r>
          </w:p>
        </w:tc>
        <w:tc>
          <w:tcPr>
            <w:tcW w:w="457" w:type="pct"/>
            <w:vAlign w:val="center"/>
          </w:tcPr>
          <w:p w14:paraId="60870CA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56.90</w:t>
            </w:r>
          </w:p>
        </w:tc>
        <w:tc>
          <w:tcPr>
            <w:tcW w:w="640" w:type="pct"/>
            <w:vAlign w:val="center"/>
          </w:tcPr>
          <w:p w14:paraId="37FE0D8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92.60</w:t>
            </w:r>
          </w:p>
        </w:tc>
        <w:tc>
          <w:tcPr>
            <w:tcW w:w="874" w:type="pct"/>
            <w:vAlign w:val="center"/>
          </w:tcPr>
          <w:p w14:paraId="285AF01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4.90</w:t>
            </w:r>
          </w:p>
        </w:tc>
      </w:tr>
      <w:tr w:rsidR="00240FD2" w14:paraId="03EBD353" w14:textId="77777777">
        <w:trPr>
          <w:trHeight w:val="20"/>
          <w:tblHeader/>
        </w:trPr>
        <w:tc>
          <w:tcPr>
            <w:tcW w:w="782" w:type="pct"/>
            <w:vAlign w:val="center"/>
          </w:tcPr>
          <w:p w14:paraId="2E3D0FD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July-I</w:t>
            </w:r>
          </w:p>
        </w:tc>
        <w:tc>
          <w:tcPr>
            <w:tcW w:w="720" w:type="pct"/>
            <w:vAlign w:val="center"/>
          </w:tcPr>
          <w:p w14:paraId="7796325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24.30 (29.53)</w:t>
            </w:r>
          </w:p>
        </w:tc>
        <w:tc>
          <w:tcPr>
            <w:tcW w:w="530" w:type="pct"/>
            <w:vAlign w:val="center"/>
          </w:tcPr>
          <w:p w14:paraId="58159E5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32.60</w:t>
            </w:r>
          </w:p>
        </w:tc>
        <w:tc>
          <w:tcPr>
            <w:tcW w:w="515" w:type="pct"/>
            <w:vAlign w:val="center"/>
          </w:tcPr>
          <w:p w14:paraId="5067BFE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24.90</w:t>
            </w:r>
          </w:p>
        </w:tc>
        <w:tc>
          <w:tcPr>
            <w:tcW w:w="483" w:type="pct"/>
            <w:vAlign w:val="center"/>
          </w:tcPr>
          <w:p w14:paraId="3738D98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93.20</w:t>
            </w:r>
          </w:p>
        </w:tc>
        <w:tc>
          <w:tcPr>
            <w:tcW w:w="457" w:type="pct"/>
            <w:vAlign w:val="center"/>
          </w:tcPr>
          <w:p w14:paraId="1AFDF22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78.50</w:t>
            </w:r>
          </w:p>
        </w:tc>
        <w:tc>
          <w:tcPr>
            <w:tcW w:w="640" w:type="pct"/>
            <w:vAlign w:val="center"/>
          </w:tcPr>
          <w:p w14:paraId="1B3E868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63.60</w:t>
            </w:r>
          </w:p>
        </w:tc>
        <w:tc>
          <w:tcPr>
            <w:tcW w:w="874" w:type="pct"/>
            <w:vAlign w:val="center"/>
          </w:tcPr>
          <w:p w14:paraId="48BC894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2.20</w:t>
            </w:r>
          </w:p>
        </w:tc>
      </w:tr>
      <w:tr w:rsidR="00240FD2" w14:paraId="2AF367CC" w14:textId="77777777">
        <w:trPr>
          <w:trHeight w:val="20"/>
          <w:tblHeader/>
        </w:trPr>
        <w:tc>
          <w:tcPr>
            <w:tcW w:w="782" w:type="pct"/>
            <w:vAlign w:val="center"/>
          </w:tcPr>
          <w:p w14:paraId="0916B8C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July-II</w:t>
            </w:r>
          </w:p>
        </w:tc>
        <w:tc>
          <w:tcPr>
            <w:tcW w:w="720" w:type="pct"/>
            <w:vAlign w:val="center"/>
          </w:tcPr>
          <w:p w14:paraId="47BC32F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26.60 (31.04)</w:t>
            </w:r>
          </w:p>
        </w:tc>
        <w:tc>
          <w:tcPr>
            <w:tcW w:w="530" w:type="pct"/>
            <w:vAlign w:val="center"/>
          </w:tcPr>
          <w:p w14:paraId="19FB10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35.00</w:t>
            </w:r>
          </w:p>
        </w:tc>
        <w:tc>
          <w:tcPr>
            <w:tcW w:w="515" w:type="pct"/>
            <w:vAlign w:val="center"/>
          </w:tcPr>
          <w:p w14:paraId="4FAD687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25.90</w:t>
            </w:r>
          </w:p>
        </w:tc>
        <w:tc>
          <w:tcPr>
            <w:tcW w:w="483" w:type="pct"/>
            <w:vAlign w:val="center"/>
          </w:tcPr>
          <w:p w14:paraId="4A8E495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84.40</w:t>
            </w:r>
          </w:p>
        </w:tc>
        <w:tc>
          <w:tcPr>
            <w:tcW w:w="457" w:type="pct"/>
            <w:vAlign w:val="center"/>
          </w:tcPr>
          <w:p w14:paraId="4F9F945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62.60</w:t>
            </w:r>
          </w:p>
        </w:tc>
        <w:tc>
          <w:tcPr>
            <w:tcW w:w="640" w:type="pct"/>
            <w:vAlign w:val="center"/>
          </w:tcPr>
          <w:p w14:paraId="3809FD3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82.60</w:t>
            </w:r>
          </w:p>
        </w:tc>
        <w:tc>
          <w:tcPr>
            <w:tcW w:w="874" w:type="pct"/>
            <w:vAlign w:val="center"/>
          </w:tcPr>
          <w:p w14:paraId="7243B7E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7.40</w:t>
            </w:r>
          </w:p>
        </w:tc>
      </w:tr>
      <w:tr w:rsidR="00240FD2" w14:paraId="7C3291CA" w14:textId="77777777">
        <w:trPr>
          <w:trHeight w:val="20"/>
          <w:tblHeader/>
        </w:trPr>
        <w:tc>
          <w:tcPr>
            <w:tcW w:w="782" w:type="pct"/>
            <w:vAlign w:val="center"/>
          </w:tcPr>
          <w:p w14:paraId="56E1C43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August-I</w:t>
            </w:r>
          </w:p>
        </w:tc>
        <w:tc>
          <w:tcPr>
            <w:tcW w:w="720" w:type="pct"/>
            <w:vAlign w:val="center"/>
          </w:tcPr>
          <w:p w14:paraId="2E315A4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22.50 (28.31)</w:t>
            </w:r>
          </w:p>
        </w:tc>
        <w:tc>
          <w:tcPr>
            <w:tcW w:w="530" w:type="pct"/>
            <w:vAlign w:val="center"/>
          </w:tcPr>
          <w:p w14:paraId="3661500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31.80</w:t>
            </w:r>
          </w:p>
        </w:tc>
        <w:tc>
          <w:tcPr>
            <w:tcW w:w="515" w:type="pct"/>
            <w:vAlign w:val="center"/>
          </w:tcPr>
          <w:p w14:paraId="4E46F3A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24.60</w:t>
            </w:r>
          </w:p>
        </w:tc>
        <w:tc>
          <w:tcPr>
            <w:tcW w:w="483" w:type="pct"/>
            <w:vAlign w:val="center"/>
          </w:tcPr>
          <w:p w14:paraId="12FE3DD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94.30</w:t>
            </w:r>
          </w:p>
        </w:tc>
        <w:tc>
          <w:tcPr>
            <w:tcW w:w="457" w:type="pct"/>
            <w:vAlign w:val="center"/>
          </w:tcPr>
          <w:p w14:paraId="3E97115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79.60</w:t>
            </w:r>
          </w:p>
        </w:tc>
        <w:tc>
          <w:tcPr>
            <w:tcW w:w="640" w:type="pct"/>
            <w:vAlign w:val="center"/>
          </w:tcPr>
          <w:p w14:paraId="4481CF5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388.50</w:t>
            </w:r>
          </w:p>
        </w:tc>
        <w:tc>
          <w:tcPr>
            <w:tcW w:w="874" w:type="pct"/>
            <w:vAlign w:val="center"/>
          </w:tcPr>
          <w:p w14:paraId="42FCED9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2.60</w:t>
            </w:r>
          </w:p>
        </w:tc>
      </w:tr>
      <w:tr w:rsidR="00240FD2" w14:paraId="22AE6C0B" w14:textId="77777777">
        <w:trPr>
          <w:trHeight w:val="20"/>
          <w:tblHeader/>
        </w:trPr>
        <w:tc>
          <w:tcPr>
            <w:tcW w:w="782" w:type="pct"/>
            <w:vAlign w:val="center"/>
          </w:tcPr>
          <w:p w14:paraId="3B0FE27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August-II</w:t>
            </w:r>
          </w:p>
        </w:tc>
        <w:tc>
          <w:tcPr>
            <w:tcW w:w="720" w:type="pct"/>
            <w:vAlign w:val="center"/>
          </w:tcPr>
          <w:p w14:paraId="6B7031F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23.60 (29.07)</w:t>
            </w:r>
          </w:p>
        </w:tc>
        <w:tc>
          <w:tcPr>
            <w:tcW w:w="530" w:type="pct"/>
            <w:vAlign w:val="center"/>
          </w:tcPr>
          <w:p w14:paraId="4A39D42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32.50</w:t>
            </w:r>
          </w:p>
        </w:tc>
        <w:tc>
          <w:tcPr>
            <w:tcW w:w="515" w:type="pct"/>
            <w:vAlign w:val="center"/>
          </w:tcPr>
          <w:p w14:paraId="278CCD1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24.70</w:t>
            </w:r>
          </w:p>
        </w:tc>
        <w:tc>
          <w:tcPr>
            <w:tcW w:w="483" w:type="pct"/>
            <w:vAlign w:val="center"/>
          </w:tcPr>
          <w:p w14:paraId="5FA4949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92.50</w:t>
            </w:r>
          </w:p>
        </w:tc>
        <w:tc>
          <w:tcPr>
            <w:tcW w:w="457" w:type="pct"/>
            <w:vAlign w:val="center"/>
          </w:tcPr>
          <w:p w14:paraId="47E454C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74.80</w:t>
            </w:r>
          </w:p>
        </w:tc>
        <w:tc>
          <w:tcPr>
            <w:tcW w:w="640" w:type="pct"/>
            <w:vAlign w:val="center"/>
          </w:tcPr>
          <w:p w14:paraId="1D94D81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144.40</w:t>
            </w:r>
          </w:p>
        </w:tc>
        <w:tc>
          <w:tcPr>
            <w:tcW w:w="874" w:type="pct"/>
            <w:vAlign w:val="center"/>
          </w:tcPr>
          <w:p w14:paraId="7232D1F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3.60</w:t>
            </w:r>
          </w:p>
        </w:tc>
      </w:tr>
      <w:tr w:rsidR="00240FD2" w14:paraId="004F6548" w14:textId="77777777">
        <w:trPr>
          <w:trHeight w:val="20"/>
          <w:tblHeader/>
        </w:trPr>
        <w:tc>
          <w:tcPr>
            <w:tcW w:w="782" w:type="pct"/>
            <w:vAlign w:val="center"/>
          </w:tcPr>
          <w:p w14:paraId="18739E2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September-I</w:t>
            </w:r>
          </w:p>
        </w:tc>
        <w:tc>
          <w:tcPr>
            <w:tcW w:w="720" w:type="pct"/>
            <w:vAlign w:val="center"/>
          </w:tcPr>
          <w:p w14:paraId="268785A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25.50 (30.32)</w:t>
            </w:r>
          </w:p>
        </w:tc>
        <w:tc>
          <w:tcPr>
            <w:tcW w:w="530" w:type="pct"/>
            <w:vAlign w:val="center"/>
          </w:tcPr>
          <w:p w14:paraId="381E393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33.70</w:t>
            </w:r>
          </w:p>
        </w:tc>
        <w:tc>
          <w:tcPr>
            <w:tcW w:w="515" w:type="pct"/>
            <w:vAlign w:val="center"/>
          </w:tcPr>
          <w:p w14:paraId="7A85067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24.80</w:t>
            </w:r>
          </w:p>
        </w:tc>
        <w:tc>
          <w:tcPr>
            <w:tcW w:w="483" w:type="pct"/>
            <w:vAlign w:val="center"/>
          </w:tcPr>
          <w:p w14:paraId="5C569C4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92.80</w:t>
            </w:r>
          </w:p>
        </w:tc>
        <w:tc>
          <w:tcPr>
            <w:tcW w:w="457" w:type="pct"/>
            <w:vAlign w:val="center"/>
          </w:tcPr>
          <w:p w14:paraId="01B6834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75.00</w:t>
            </w:r>
          </w:p>
        </w:tc>
        <w:tc>
          <w:tcPr>
            <w:tcW w:w="640" w:type="pct"/>
            <w:vAlign w:val="center"/>
          </w:tcPr>
          <w:p w14:paraId="51D5E2D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99.00</w:t>
            </w:r>
          </w:p>
        </w:tc>
        <w:tc>
          <w:tcPr>
            <w:tcW w:w="874" w:type="pct"/>
            <w:vAlign w:val="center"/>
          </w:tcPr>
          <w:p w14:paraId="156C8C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4.40</w:t>
            </w:r>
          </w:p>
        </w:tc>
      </w:tr>
      <w:tr w:rsidR="00240FD2" w14:paraId="43364E87" w14:textId="77777777">
        <w:trPr>
          <w:trHeight w:val="20"/>
          <w:tblHeader/>
        </w:trPr>
        <w:tc>
          <w:tcPr>
            <w:tcW w:w="782" w:type="pct"/>
            <w:vAlign w:val="center"/>
          </w:tcPr>
          <w:p w14:paraId="00ED1F9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September-II</w:t>
            </w:r>
          </w:p>
        </w:tc>
        <w:tc>
          <w:tcPr>
            <w:tcW w:w="720" w:type="pct"/>
            <w:vAlign w:val="center"/>
          </w:tcPr>
          <w:p w14:paraId="23E1088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22.10 (28.04)</w:t>
            </w:r>
          </w:p>
        </w:tc>
        <w:tc>
          <w:tcPr>
            <w:tcW w:w="530" w:type="pct"/>
            <w:vAlign w:val="center"/>
          </w:tcPr>
          <w:p w14:paraId="0B10AE6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31.70</w:t>
            </w:r>
          </w:p>
        </w:tc>
        <w:tc>
          <w:tcPr>
            <w:tcW w:w="515" w:type="pct"/>
            <w:vAlign w:val="center"/>
          </w:tcPr>
          <w:p w14:paraId="1A0024B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24.00</w:t>
            </w:r>
          </w:p>
        </w:tc>
        <w:tc>
          <w:tcPr>
            <w:tcW w:w="483" w:type="pct"/>
            <w:vAlign w:val="center"/>
          </w:tcPr>
          <w:p w14:paraId="128CBB1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95.20</w:t>
            </w:r>
          </w:p>
        </w:tc>
        <w:tc>
          <w:tcPr>
            <w:tcW w:w="457" w:type="pct"/>
            <w:vAlign w:val="center"/>
          </w:tcPr>
          <w:p w14:paraId="3BF2804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78.70</w:t>
            </w:r>
          </w:p>
        </w:tc>
        <w:tc>
          <w:tcPr>
            <w:tcW w:w="640" w:type="pct"/>
            <w:vAlign w:val="center"/>
          </w:tcPr>
          <w:p w14:paraId="6130079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335.60</w:t>
            </w:r>
          </w:p>
        </w:tc>
        <w:tc>
          <w:tcPr>
            <w:tcW w:w="874" w:type="pct"/>
            <w:vAlign w:val="center"/>
          </w:tcPr>
          <w:p w14:paraId="0AA0505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4.10</w:t>
            </w:r>
          </w:p>
        </w:tc>
      </w:tr>
      <w:tr w:rsidR="00240FD2" w14:paraId="10288418" w14:textId="77777777">
        <w:trPr>
          <w:trHeight w:val="20"/>
          <w:tblHeader/>
        </w:trPr>
        <w:tc>
          <w:tcPr>
            <w:tcW w:w="782" w:type="pct"/>
            <w:vAlign w:val="center"/>
          </w:tcPr>
          <w:p w14:paraId="156F6AB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October-I</w:t>
            </w:r>
          </w:p>
        </w:tc>
        <w:tc>
          <w:tcPr>
            <w:tcW w:w="720" w:type="pct"/>
            <w:vAlign w:val="center"/>
          </w:tcPr>
          <w:p w14:paraId="6E5E720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17.20 (24.50)</w:t>
            </w:r>
          </w:p>
        </w:tc>
        <w:tc>
          <w:tcPr>
            <w:tcW w:w="530" w:type="pct"/>
            <w:vAlign w:val="center"/>
          </w:tcPr>
          <w:p w14:paraId="38497E8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32.40</w:t>
            </w:r>
          </w:p>
        </w:tc>
        <w:tc>
          <w:tcPr>
            <w:tcW w:w="515" w:type="pct"/>
            <w:vAlign w:val="center"/>
          </w:tcPr>
          <w:p w14:paraId="768841A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24.40</w:t>
            </w:r>
          </w:p>
        </w:tc>
        <w:tc>
          <w:tcPr>
            <w:tcW w:w="483" w:type="pct"/>
            <w:vAlign w:val="center"/>
          </w:tcPr>
          <w:p w14:paraId="644CB05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94.20</w:t>
            </w:r>
          </w:p>
        </w:tc>
        <w:tc>
          <w:tcPr>
            <w:tcW w:w="457" w:type="pct"/>
            <w:vAlign w:val="center"/>
          </w:tcPr>
          <w:p w14:paraId="6D15C47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71.10</w:t>
            </w:r>
          </w:p>
        </w:tc>
        <w:tc>
          <w:tcPr>
            <w:tcW w:w="640" w:type="pct"/>
            <w:vAlign w:val="center"/>
          </w:tcPr>
          <w:p w14:paraId="771EA7F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38.40</w:t>
            </w:r>
          </w:p>
        </w:tc>
        <w:tc>
          <w:tcPr>
            <w:tcW w:w="874" w:type="pct"/>
            <w:vAlign w:val="center"/>
          </w:tcPr>
          <w:p w14:paraId="6E1E016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5.80</w:t>
            </w:r>
          </w:p>
        </w:tc>
      </w:tr>
      <w:tr w:rsidR="00240FD2" w14:paraId="3B05C389" w14:textId="77777777">
        <w:trPr>
          <w:trHeight w:val="20"/>
          <w:tblHeader/>
        </w:trPr>
        <w:tc>
          <w:tcPr>
            <w:tcW w:w="782" w:type="pct"/>
            <w:vAlign w:val="center"/>
          </w:tcPr>
          <w:p w14:paraId="7D603EB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October-II</w:t>
            </w:r>
          </w:p>
        </w:tc>
        <w:tc>
          <w:tcPr>
            <w:tcW w:w="720" w:type="pct"/>
            <w:vAlign w:val="center"/>
          </w:tcPr>
          <w:p w14:paraId="7052126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12.90 (21.04)</w:t>
            </w:r>
          </w:p>
        </w:tc>
        <w:tc>
          <w:tcPr>
            <w:tcW w:w="530" w:type="pct"/>
            <w:vAlign w:val="center"/>
          </w:tcPr>
          <w:p w14:paraId="1799987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31.30</w:t>
            </w:r>
          </w:p>
        </w:tc>
        <w:tc>
          <w:tcPr>
            <w:tcW w:w="515" w:type="pct"/>
            <w:vAlign w:val="center"/>
          </w:tcPr>
          <w:p w14:paraId="7A7B085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19.50</w:t>
            </w:r>
          </w:p>
        </w:tc>
        <w:tc>
          <w:tcPr>
            <w:tcW w:w="483" w:type="pct"/>
            <w:vAlign w:val="center"/>
          </w:tcPr>
          <w:p w14:paraId="5CFBB5C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94.30</w:t>
            </w:r>
          </w:p>
        </w:tc>
        <w:tc>
          <w:tcPr>
            <w:tcW w:w="457" w:type="pct"/>
            <w:vAlign w:val="center"/>
          </w:tcPr>
          <w:p w14:paraId="3F79EB9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56.60</w:t>
            </w:r>
          </w:p>
        </w:tc>
        <w:tc>
          <w:tcPr>
            <w:tcW w:w="640" w:type="pct"/>
            <w:vAlign w:val="center"/>
          </w:tcPr>
          <w:p w14:paraId="4350A8B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1.20</w:t>
            </w:r>
          </w:p>
        </w:tc>
        <w:tc>
          <w:tcPr>
            <w:tcW w:w="874" w:type="pct"/>
            <w:vAlign w:val="center"/>
          </w:tcPr>
          <w:p w14:paraId="08658E0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8.60</w:t>
            </w:r>
          </w:p>
        </w:tc>
      </w:tr>
      <w:tr w:rsidR="00240FD2" w14:paraId="08D3D6D0" w14:textId="77777777">
        <w:trPr>
          <w:trHeight w:val="20"/>
          <w:tblHeader/>
        </w:trPr>
        <w:tc>
          <w:tcPr>
            <w:tcW w:w="782" w:type="pct"/>
            <w:vAlign w:val="center"/>
          </w:tcPr>
          <w:p w14:paraId="672B2C5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November-I</w:t>
            </w:r>
          </w:p>
        </w:tc>
        <w:tc>
          <w:tcPr>
            <w:tcW w:w="720" w:type="pct"/>
            <w:vAlign w:val="center"/>
          </w:tcPr>
          <w:p w14:paraId="7E501F8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6.80 (15.11)</w:t>
            </w:r>
          </w:p>
        </w:tc>
        <w:tc>
          <w:tcPr>
            <w:tcW w:w="530" w:type="pct"/>
            <w:vAlign w:val="center"/>
          </w:tcPr>
          <w:p w14:paraId="62D7554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30.20</w:t>
            </w:r>
          </w:p>
        </w:tc>
        <w:tc>
          <w:tcPr>
            <w:tcW w:w="515" w:type="pct"/>
            <w:vAlign w:val="center"/>
          </w:tcPr>
          <w:p w14:paraId="79EFD57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17.40</w:t>
            </w:r>
          </w:p>
        </w:tc>
        <w:tc>
          <w:tcPr>
            <w:tcW w:w="483" w:type="pct"/>
            <w:vAlign w:val="center"/>
          </w:tcPr>
          <w:p w14:paraId="00DD316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96.40</w:t>
            </w:r>
          </w:p>
        </w:tc>
        <w:tc>
          <w:tcPr>
            <w:tcW w:w="457" w:type="pct"/>
            <w:vAlign w:val="center"/>
          </w:tcPr>
          <w:p w14:paraId="40BD7AA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53.60</w:t>
            </w:r>
          </w:p>
        </w:tc>
        <w:tc>
          <w:tcPr>
            <w:tcW w:w="640" w:type="pct"/>
            <w:vAlign w:val="center"/>
          </w:tcPr>
          <w:p w14:paraId="4017865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618A11A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4.50</w:t>
            </w:r>
          </w:p>
        </w:tc>
      </w:tr>
      <w:tr w:rsidR="00240FD2" w14:paraId="66944E74" w14:textId="77777777">
        <w:trPr>
          <w:trHeight w:val="20"/>
          <w:tblHeader/>
        </w:trPr>
        <w:tc>
          <w:tcPr>
            <w:tcW w:w="782" w:type="pct"/>
            <w:vAlign w:val="center"/>
          </w:tcPr>
          <w:p w14:paraId="41E4A44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November-II</w:t>
            </w:r>
          </w:p>
        </w:tc>
        <w:tc>
          <w:tcPr>
            <w:tcW w:w="720" w:type="pct"/>
            <w:vAlign w:val="center"/>
          </w:tcPr>
          <w:p w14:paraId="7B802DC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3.80 (11.24)</w:t>
            </w:r>
          </w:p>
        </w:tc>
        <w:tc>
          <w:tcPr>
            <w:tcW w:w="530" w:type="pct"/>
            <w:vAlign w:val="center"/>
          </w:tcPr>
          <w:p w14:paraId="7F685B1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29.30</w:t>
            </w:r>
          </w:p>
        </w:tc>
        <w:tc>
          <w:tcPr>
            <w:tcW w:w="515" w:type="pct"/>
            <w:vAlign w:val="center"/>
          </w:tcPr>
          <w:p w14:paraId="617C809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15.10</w:t>
            </w:r>
          </w:p>
        </w:tc>
        <w:tc>
          <w:tcPr>
            <w:tcW w:w="483" w:type="pct"/>
            <w:vAlign w:val="center"/>
          </w:tcPr>
          <w:p w14:paraId="005EE47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93.20</w:t>
            </w:r>
          </w:p>
        </w:tc>
        <w:tc>
          <w:tcPr>
            <w:tcW w:w="457" w:type="pct"/>
            <w:vAlign w:val="center"/>
          </w:tcPr>
          <w:p w14:paraId="536FBCD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51.60</w:t>
            </w:r>
          </w:p>
        </w:tc>
        <w:tc>
          <w:tcPr>
            <w:tcW w:w="640" w:type="pct"/>
            <w:vAlign w:val="center"/>
          </w:tcPr>
          <w:p w14:paraId="00AC578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6EA5B81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5.80</w:t>
            </w:r>
          </w:p>
        </w:tc>
      </w:tr>
      <w:tr w:rsidR="00240FD2" w14:paraId="50155009" w14:textId="77777777">
        <w:trPr>
          <w:trHeight w:val="20"/>
          <w:tblHeader/>
        </w:trPr>
        <w:tc>
          <w:tcPr>
            <w:tcW w:w="782" w:type="pct"/>
            <w:vAlign w:val="center"/>
          </w:tcPr>
          <w:p w14:paraId="6292A68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December-I</w:t>
            </w:r>
          </w:p>
        </w:tc>
        <w:tc>
          <w:tcPr>
            <w:tcW w:w="720" w:type="pct"/>
            <w:vAlign w:val="center"/>
          </w:tcPr>
          <w:p w14:paraId="2F0AB86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2.60 (9.28)</w:t>
            </w:r>
          </w:p>
        </w:tc>
        <w:tc>
          <w:tcPr>
            <w:tcW w:w="530" w:type="pct"/>
            <w:vAlign w:val="center"/>
          </w:tcPr>
          <w:p w14:paraId="4951CFF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25.70</w:t>
            </w:r>
          </w:p>
        </w:tc>
        <w:tc>
          <w:tcPr>
            <w:tcW w:w="515" w:type="pct"/>
            <w:vAlign w:val="center"/>
          </w:tcPr>
          <w:p w14:paraId="62A5050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13.60</w:t>
            </w:r>
          </w:p>
        </w:tc>
        <w:tc>
          <w:tcPr>
            <w:tcW w:w="483" w:type="pct"/>
            <w:vAlign w:val="center"/>
          </w:tcPr>
          <w:p w14:paraId="6FBFFCB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96.80</w:t>
            </w:r>
          </w:p>
        </w:tc>
        <w:tc>
          <w:tcPr>
            <w:tcW w:w="457" w:type="pct"/>
            <w:vAlign w:val="center"/>
          </w:tcPr>
          <w:p w14:paraId="334F0AB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58.40</w:t>
            </w:r>
          </w:p>
        </w:tc>
        <w:tc>
          <w:tcPr>
            <w:tcW w:w="640" w:type="pct"/>
            <w:vAlign w:val="center"/>
          </w:tcPr>
          <w:p w14:paraId="7A5BE41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4.60</w:t>
            </w:r>
          </w:p>
        </w:tc>
        <w:tc>
          <w:tcPr>
            <w:tcW w:w="874" w:type="pct"/>
            <w:vAlign w:val="center"/>
          </w:tcPr>
          <w:p w14:paraId="3249B0E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3.70</w:t>
            </w:r>
          </w:p>
        </w:tc>
      </w:tr>
      <w:tr w:rsidR="00240FD2" w14:paraId="066CB592" w14:textId="77777777">
        <w:trPr>
          <w:trHeight w:val="20"/>
          <w:tblHeader/>
        </w:trPr>
        <w:tc>
          <w:tcPr>
            <w:tcW w:w="782" w:type="pct"/>
            <w:vAlign w:val="center"/>
          </w:tcPr>
          <w:p w14:paraId="5CAC3E3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December-II</w:t>
            </w:r>
          </w:p>
        </w:tc>
        <w:tc>
          <w:tcPr>
            <w:tcW w:w="720" w:type="pct"/>
            <w:vAlign w:val="center"/>
          </w:tcPr>
          <w:p w14:paraId="56DC834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1.60 (7.27)</w:t>
            </w:r>
          </w:p>
        </w:tc>
        <w:tc>
          <w:tcPr>
            <w:tcW w:w="530" w:type="pct"/>
            <w:vAlign w:val="center"/>
          </w:tcPr>
          <w:p w14:paraId="64A406F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24.10</w:t>
            </w:r>
          </w:p>
        </w:tc>
        <w:tc>
          <w:tcPr>
            <w:tcW w:w="515" w:type="pct"/>
            <w:vAlign w:val="center"/>
          </w:tcPr>
          <w:p w14:paraId="03AC0DF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10.30</w:t>
            </w:r>
          </w:p>
        </w:tc>
        <w:tc>
          <w:tcPr>
            <w:tcW w:w="483" w:type="pct"/>
            <w:vAlign w:val="center"/>
          </w:tcPr>
          <w:p w14:paraId="7AA0AD9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96.70</w:t>
            </w:r>
          </w:p>
        </w:tc>
        <w:tc>
          <w:tcPr>
            <w:tcW w:w="457" w:type="pct"/>
            <w:vAlign w:val="center"/>
          </w:tcPr>
          <w:p w14:paraId="012FA90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59.50</w:t>
            </w:r>
          </w:p>
        </w:tc>
        <w:tc>
          <w:tcPr>
            <w:tcW w:w="640" w:type="pct"/>
            <w:vAlign w:val="center"/>
          </w:tcPr>
          <w:p w14:paraId="1C738C0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17CF4A9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4.90</w:t>
            </w:r>
          </w:p>
        </w:tc>
      </w:tr>
      <w:tr w:rsidR="00240FD2" w14:paraId="59581675" w14:textId="77777777">
        <w:trPr>
          <w:trHeight w:val="20"/>
          <w:tblHeader/>
        </w:trPr>
        <w:tc>
          <w:tcPr>
            <w:tcW w:w="782" w:type="pct"/>
            <w:vAlign w:val="center"/>
          </w:tcPr>
          <w:p w14:paraId="137E5AC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January-I</w:t>
            </w:r>
          </w:p>
        </w:tc>
        <w:tc>
          <w:tcPr>
            <w:tcW w:w="720" w:type="pct"/>
            <w:vAlign w:val="center"/>
          </w:tcPr>
          <w:p w14:paraId="716E218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0.70 (4.80)</w:t>
            </w:r>
          </w:p>
        </w:tc>
        <w:tc>
          <w:tcPr>
            <w:tcW w:w="530" w:type="pct"/>
            <w:vAlign w:val="center"/>
          </w:tcPr>
          <w:p w14:paraId="29084EC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19.00</w:t>
            </w:r>
          </w:p>
        </w:tc>
        <w:tc>
          <w:tcPr>
            <w:tcW w:w="515" w:type="pct"/>
            <w:vAlign w:val="center"/>
          </w:tcPr>
          <w:p w14:paraId="3EC41D8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9.80</w:t>
            </w:r>
          </w:p>
        </w:tc>
        <w:tc>
          <w:tcPr>
            <w:tcW w:w="483" w:type="pct"/>
            <w:vAlign w:val="center"/>
          </w:tcPr>
          <w:p w14:paraId="04ACFAE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97.90</w:t>
            </w:r>
          </w:p>
        </w:tc>
        <w:tc>
          <w:tcPr>
            <w:tcW w:w="457" w:type="pct"/>
            <w:vAlign w:val="center"/>
          </w:tcPr>
          <w:p w14:paraId="7B22B20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70.60</w:t>
            </w:r>
          </w:p>
        </w:tc>
        <w:tc>
          <w:tcPr>
            <w:tcW w:w="640" w:type="pct"/>
            <w:vAlign w:val="center"/>
          </w:tcPr>
          <w:p w14:paraId="7D15B52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105.60</w:t>
            </w:r>
          </w:p>
        </w:tc>
        <w:tc>
          <w:tcPr>
            <w:tcW w:w="874" w:type="pct"/>
            <w:vAlign w:val="center"/>
          </w:tcPr>
          <w:p w14:paraId="44D2782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0.80</w:t>
            </w:r>
          </w:p>
        </w:tc>
      </w:tr>
      <w:tr w:rsidR="00240FD2" w14:paraId="7D0C2091" w14:textId="77777777">
        <w:trPr>
          <w:trHeight w:val="20"/>
          <w:tblHeader/>
        </w:trPr>
        <w:tc>
          <w:tcPr>
            <w:tcW w:w="782" w:type="pct"/>
            <w:vAlign w:val="center"/>
          </w:tcPr>
          <w:p w14:paraId="2362596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January-II</w:t>
            </w:r>
          </w:p>
        </w:tc>
        <w:tc>
          <w:tcPr>
            <w:tcW w:w="720" w:type="pct"/>
            <w:vAlign w:val="center"/>
          </w:tcPr>
          <w:p w14:paraId="0F0B8DA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0.60 (4.44)</w:t>
            </w:r>
          </w:p>
        </w:tc>
        <w:tc>
          <w:tcPr>
            <w:tcW w:w="530" w:type="pct"/>
            <w:vAlign w:val="center"/>
          </w:tcPr>
          <w:p w14:paraId="4946B22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16.10</w:t>
            </w:r>
          </w:p>
        </w:tc>
        <w:tc>
          <w:tcPr>
            <w:tcW w:w="515" w:type="pct"/>
            <w:vAlign w:val="center"/>
          </w:tcPr>
          <w:p w14:paraId="382CBA7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8.00</w:t>
            </w:r>
          </w:p>
        </w:tc>
        <w:tc>
          <w:tcPr>
            <w:tcW w:w="483" w:type="pct"/>
            <w:vAlign w:val="center"/>
          </w:tcPr>
          <w:p w14:paraId="26FA213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97.50</w:t>
            </w:r>
          </w:p>
        </w:tc>
        <w:tc>
          <w:tcPr>
            <w:tcW w:w="457" w:type="pct"/>
            <w:vAlign w:val="center"/>
          </w:tcPr>
          <w:p w14:paraId="64D9782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76.00</w:t>
            </w:r>
          </w:p>
        </w:tc>
        <w:tc>
          <w:tcPr>
            <w:tcW w:w="640" w:type="pct"/>
            <w:vAlign w:val="center"/>
          </w:tcPr>
          <w:p w14:paraId="05E4227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70.30</w:t>
            </w:r>
          </w:p>
        </w:tc>
        <w:tc>
          <w:tcPr>
            <w:tcW w:w="874" w:type="pct"/>
            <w:vAlign w:val="center"/>
          </w:tcPr>
          <w:p w14:paraId="1C0B6AC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0.90</w:t>
            </w:r>
          </w:p>
        </w:tc>
      </w:tr>
    </w:tbl>
    <w:p w14:paraId="554A576E"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0090170"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Disease incidence</w:t>
      </w:r>
    </w:p>
    <w:p w14:paraId="1488DD70" w14:textId="77777777" w:rsidR="00240FD2" w:rsidRDefault="00201F09">
      <w:pPr>
        <w:pStyle w:val="ListParagraph"/>
        <w:tabs>
          <w:tab w:val="left" w:pos="720"/>
        </w:tabs>
        <w:spacing w:line="360"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Disease incidence (%) =  </w:t>
      </w:r>
      <m:oMath>
        <m:f>
          <m:fPr>
            <m:ctrlPr>
              <w:rPr>
                <w:rFonts w:ascii="Cambria Math" w:hAnsi="Cambria Math" w:cs="Times New Roman"/>
                <w:i/>
                <w:sz w:val="24"/>
                <w:szCs w:val="24"/>
              </w:rPr>
            </m:ctrlPr>
          </m:fPr>
          <m:num>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affected</m:t>
            </m:r>
            <m:r>
              <w:rPr>
                <w:rFonts w:ascii="Cambria Math" w:hAnsi="Cambria Math" w:cs="Times New Roman"/>
                <w:sz w:val="24"/>
                <w:szCs w:val="24"/>
              </w:rPr>
              <m:t xml:space="preserve"> </m:t>
            </m:r>
            <m:r>
              <w:rPr>
                <w:rFonts w:ascii="Cambria Math" w:hAnsi="Cambria Math" w:cs="Times New Roman"/>
                <w:sz w:val="24"/>
                <w:szCs w:val="24"/>
              </w:rPr>
              <m:t>settlings</m:t>
            </m:r>
          </m:num>
          <m:den>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settlings</m:t>
            </m:r>
            <m:r>
              <w:rPr>
                <w:rFonts w:ascii="Cambria Math" w:hAnsi="Cambria Math" w:cs="Times New Roman"/>
                <w:sz w:val="24"/>
                <w:szCs w:val="24"/>
              </w:rPr>
              <m:t xml:space="preserve"> </m:t>
            </m:r>
            <m:r>
              <w:rPr>
                <w:rFonts w:ascii="Cambria Math" w:hAnsi="Cambria Math" w:cs="Times New Roman"/>
                <w:sz w:val="24"/>
                <w:szCs w:val="24"/>
              </w:rPr>
              <m:t>assessed</m:t>
            </m:r>
          </m:den>
        </m:f>
      </m:oMath>
      <w:r>
        <w:rPr>
          <w:rFonts w:ascii="Times New Roman" w:eastAsiaTheme="minorEastAsia" w:hAnsi="Times New Roman" w:cs="Times New Roman"/>
          <w:sz w:val="24"/>
          <w:szCs w:val="24"/>
        </w:rPr>
        <w:t xml:space="preserve"> × 100</w:t>
      </w:r>
    </w:p>
    <w:p w14:paraId="61A3CA8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Statistical measures </w:t>
      </w:r>
    </w:p>
    <w:p w14:paraId="639EA49E"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establish the relationship between weather paramete</w:t>
      </w:r>
      <w:r>
        <w:rPr>
          <w:rFonts w:ascii="Times New Roman" w:hAnsi="Times New Roman" w:cs="Times New Roman"/>
          <w:sz w:val="24"/>
          <w:szCs w:val="24"/>
        </w:rPr>
        <w:t xml:space="preserve">rs and the incidence of disease, as well as to develop a forecasting system, the collected data was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various statistical techniques, which are outlined below:</w:t>
      </w:r>
    </w:p>
    <w:p w14:paraId="581E24FA"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Descriptive Statistics</w:t>
      </w:r>
    </w:p>
    <w:p w14:paraId="177D7406"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Basic statistical measures such as mean, standard deviation, and range were employed to understand the variations in weather factors and their influence on pest and disease incidence.</w:t>
      </w:r>
    </w:p>
    <w:p w14:paraId="42D8BE8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Correlation Analysis</w:t>
      </w:r>
    </w:p>
    <w:p w14:paraId="10132628"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Correlation analysis was co</w:t>
      </w:r>
      <w:r>
        <w:rPr>
          <w:rFonts w:ascii="Times New Roman" w:hAnsi="Times New Roman" w:cs="Times New Roman"/>
          <w:sz w:val="24"/>
          <w:szCs w:val="24"/>
        </w:rPr>
        <w:t>nducted to assess the degree of association between two variables. In this study, Karl Pearson’s correlation coefficient was used to determine the relationship between pest incidence and various weather parameters, including: Minimum temperature, Maximum t</w:t>
      </w:r>
      <w:r>
        <w:rPr>
          <w:rFonts w:ascii="Times New Roman" w:hAnsi="Times New Roman" w:cs="Times New Roman"/>
          <w:sz w:val="24"/>
          <w:szCs w:val="24"/>
        </w:rPr>
        <w:t>emperature, Morning relative humidity, Evening relative humidity, Rainfall and Sunshine hours</w:t>
      </w:r>
    </w:p>
    <w:p w14:paraId="49AB7478"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correlation coefficient (R) was computed using the formula:</w:t>
      </w:r>
    </w:p>
    <w:p w14:paraId="519FF250" w14:textId="77777777" w:rsidR="00240FD2" w:rsidRDefault="00201F09">
      <w:pPr>
        <w:spacing w:line="360" w:lineRule="auto"/>
        <w:ind w:left="288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COV</m:t>
            </m:r>
            <m:r>
              <w:rPr>
                <w:rFonts w:ascii="Cambria Math" w:hAnsi="Cambria Math" w:cs="Times New Roman"/>
                <w:sz w:val="24"/>
                <w:szCs w:val="24"/>
              </w:rPr>
              <m:t>(</m:t>
            </m:r>
            <m:r>
              <w:rPr>
                <w:rFonts w:ascii="Cambria Math" w:hAnsi="Cambria Math" w:cs="Times New Roman"/>
                <w:sz w:val="24"/>
                <w:szCs w:val="24"/>
              </w:rPr>
              <m:t>XY</m:t>
            </m:r>
            <m:r>
              <w:rPr>
                <w:rFonts w:ascii="Cambria Math" w:hAnsi="Cambria Math" w:cs="Times New Roman"/>
                <w:sz w:val="24"/>
                <w:szCs w:val="24"/>
              </w:rPr>
              <m:t>)</m:t>
            </m:r>
          </m:num>
          <m:den>
            <m:r>
              <w:rPr>
                <w:rFonts w:ascii="Cambria Math" w:hAnsi="Cambria Math" w:cs="Times New Roman"/>
                <w:sz w:val="24"/>
                <w:szCs w:val="24"/>
              </w:rPr>
              <m:t>√</m:t>
            </m:r>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r>
              <w:rPr>
                <w:rFonts w:ascii="Cambria Math" w:hAnsi="Cambria Math" w:cs="Times New Roman"/>
                <w:sz w:val="24"/>
                <w:szCs w:val="24"/>
              </w:rPr>
              <m:t>(</m:t>
            </m:r>
            <m:r>
              <w:rPr>
                <w:rFonts w:ascii="Cambria Math" w:hAnsi="Cambria Math" w:cs="Times New Roman"/>
                <w:sz w:val="24"/>
                <w:szCs w:val="24"/>
              </w:rPr>
              <m:t>Y</m:t>
            </m:r>
            <m:r>
              <w:rPr>
                <w:rFonts w:ascii="Cambria Math" w:hAnsi="Cambria Math" w:cs="Times New Roman"/>
                <w:sz w:val="24"/>
                <w:szCs w:val="24"/>
              </w:rPr>
              <m:t>)</m:t>
            </m:r>
          </m:den>
        </m:f>
      </m:oMath>
    </w:p>
    <w:p w14:paraId="001FD549" w14:textId="77777777" w:rsidR="00240FD2" w:rsidRDefault="00201F09">
      <w:pPr>
        <w:spacing w:line="360"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rPr>
        <w:t>Significance Testing of Correlation Coefficient</w:t>
      </w:r>
    </w:p>
    <w:p w14:paraId="60460C69"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To evaluate the statistical significance of the correlation coefficient, a t-test was applied. The null hypothesis was formulated as: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Cambria Math" w:hAnsi="Cambria Math" w:cs="Cambria Math"/>
          <w:sz w:val="24"/>
          <w:szCs w:val="24"/>
        </w:rPr>
        <w:t>𝜌</w:t>
      </w:r>
      <w:r>
        <w:rPr>
          <w:rFonts w:ascii="Times New Roman" w:hAnsi="Times New Roman" w:cs="Times New Roman"/>
          <w:sz w:val="24"/>
          <w:szCs w:val="24"/>
        </w:rPr>
        <w:t xml:space="preserve"> = 0 against alternative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Cambria Math" w:hAnsi="Cambria Math" w:cs="Cambria Math"/>
          <w:sz w:val="24"/>
          <w:szCs w:val="24"/>
        </w:rPr>
        <w:t>𝜌</w:t>
      </w:r>
      <w:r>
        <w:rPr>
          <w:rFonts w:ascii="Times New Roman" w:hAnsi="Times New Roman" w:cs="Times New Roman"/>
          <w:sz w:val="24"/>
          <w:szCs w:val="24"/>
        </w:rPr>
        <w:t>≠ 0.</w:t>
      </w:r>
    </w:p>
    <w:p w14:paraId="7A570F81"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test statistic was calculated using:</w:t>
      </w:r>
    </w:p>
    <w:p w14:paraId="78FABDA6" w14:textId="77777777" w:rsidR="00240FD2" w:rsidRDefault="00201F09">
      <w:pPr>
        <w:spacing w:line="360" w:lineRule="auto"/>
        <w:ind w:left="43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cs="Times New Roman"/>
                <w:sz w:val="24"/>
                <w:szCs w:val="24"/>
              </w:rPr>
              <m:t>r</m:t>
            </m:r>
            <m:r>
              <m:rPr>
                <m:sty m:val="p"/>
              </m:rPr>
              <w:rPr>
                <w:rFonts w:ascii="Cambria Math" w:hAnsi="Cambria Math" w:cs="Times New Roman"/>
                <w:sz w:val="24"/>
                <w:szCs w:val="24"/>
                <w:vertAlign w:val="superscript"/>
              </w:rPr>
              <m:t>2</m:t>
            </m:r>
          </m:den>
        </m:f>
      </m:oMath>
    </w:p>
    <w:p w14:paraId="464A77D3"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31E3B07F"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 = Correlation coefficient</w:t>
      </w:r>
    </w:p>
    <w:p w14:paraId="06F6BF9F"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n = Number of observations</w:t>
      </w:r>
    </w:p>
    <w:p w14:paraId="4321F52D" w14:textId="77777777" w:rsidR="00240FD2" w:rsidRDefault="00240FD2">
      <w:pPr>
        <w:spacing w:line="360" w:lineRule="auto"/>
        <w:jc w:val="both"/>
        <w:rPr>
          <w:rFonts w:ascii="Times New Roman" w:hAnsi="Times New Roman" w:cs="Times New Roman"/>
          <w:b/>
          <w:bCs/>
          <w:sz w:val="24"/>
          <w:szCs w:val="24"/>
        </w:rPr>
      </w:pPr>
    </w:p>
    <w:p w14:paraId="08C7A4F4" w14:textId="77777777" w:rsidR="00240FD2" w:rsidRDefault="00240FD2">
      <w:pPr>
        <w:spacing w:line="360" w:lineRule="auto"/>
        <w:jc w:val="both"/>
        <w:rPr>
          <w:rFonts w:ascii="Times New Roman" w:hAnsi="Times New Roman" w:cs="Times New Roman"/>
          <w:b/>
          <w:bCs/>
          <w:sz w:val="24"/>
          <w:szCs w:val="24"/>
        </w:rPr>
      </w:pPr>
    </w:p>
    <w:p w14:paraId="6E0FE3CD" w14:textId="77777777" w:rsidR="00240FD2" w:rsidRDefault="00240FD2">
      <w:pPr>
        <w:spacing w:line="360" w:lineRule="auto"/>
        <w:jc w:val="both"/>
        <w:rPr>
          <w:rFonts w:ascii="Times New Roman" w:hAnsi="Times New Roman" w:cs="Times New Roman"/>
          <w:b/>
          <w:bCs/>
          <w:sz w:val="24"/>
          <w:szCs w:val="24"/>
        </w:rPr>
      </w:pPr>
    </w:p>
    <w:p w14:paraId="72A33465"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Multiple Linear Regression (MLR) Model</w:t>
      </w:r>
    </w:p>
    <w:p w14:paraId="7A1DE985" w14:textId="77777777" w:rsidR="00240FD2" w:rsidRDefault="00201F09">
      <w:pPr>
        <w:tabs>
          <w:tab w:val="left" w:pos="72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To establish the fundamental relationship between dependent and independent variables, multiple regression analysis was performed. The following statistical model was used to examine the impact of weather variables on disease incidence:</w:t>
      </w:r>
    </w:p>
    <w:p w14:paraId="689483A2" w14:textId="77777777" w:rsidR="00240FD2" w:rsidRDefault="00201F09">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Y= a +b</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b</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b</w:t>
      </w:r>
      <w:r>
        <w:rPr>
          <w:rFonts w:ascii="Times New Roman" w:hAnsi="Times New Roman" w:cs="Times New Roman"/>
          <w:sz w:val="24"/>
          <w:szCs w:val="24"/>
          <w:vertAlign w:val="subscript"/>
        </w:rPr>
        <w:t>4</w:t>
      </w: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b</w:t>
      </w:r>
      <w:r>
        <w:rPr>
          <w:rFonts w:ascii="Times New Roman" w:hAnsi="Times New Roman" w:cs="Times New Roman"/>
          <w:sz w:val="24"/>
          <w:szCs w:val="24"/>
          <w:vertAlign w:val="subscript"/>
        </w:rPr>
        <w:t>5</w:t>
      </w: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+b</w:t>
      </w:r>
      <w:r>
        <w:rPr>
          <w:rFonts w:ascii="Times New Roman" w:hAnsi="Times New Roman" w:cs="Times New Roman"/>
          <w:sz w:val="24"/>
          <w:szCs w:val="24"/>
          <w:vertAlign w:val="subscript"/>
        </w:rPr>
        <w:t>6</w:t>
      </w: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+ei </w:t>
      </w:r>
    </w:p>
    <w:p w14:paraId="248AC27B"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7A53C059"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 = Dependent variable (Disease incidence) </w:t>
      </w:r>
    </w:p>
    <w:p w14:paraId="7A070419"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 Pure constant</w:t>
      </w:r>
    </w:p>
    <w:p w14:paraId="7A353754"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 xml:space="preserve">= Regression coefficient for maximum temperature (X1) </w:t>
      </w:r>
    </w:p>
    <w:p w14:paraId="66988248"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xml:space="preserve">= Regression coefficient for minimum temperature (X2) </w:t>
      </w:r>
    </w:p>
    <w:p w14:paraId="03CAEC3C"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=Regression coefficient for RH at 7</w:t>
      </w:r>
      <w:r>
        <w:rPr>
          <w:rFonts w:ascii="Times New Roman" w:hAnsi="Times New Roman" w:cs="Times New Roman"/>
          <w:sz w:val="24"/>
          <w:szCs w:val="24"/>
        </w:rPr>
        <w:t xml:space="preserve"> hrs. (X3) </w:t>
      </w:r>
    </w:p>
    <w:p w14:paraId="1AD578BD"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4</w:t>
      </w:r>
      <w:r>
        <w:rPr>
          <w:rFonts w:ascii="Times New Roman" w:hAnsi="Times New Roman" w:cs="Times New Roman"/>
          <w:sz w:val="24"/>
          <w:szCs w:val="24"/>
        </w:rPr>
        <w:t xml:space="preserve">=Regression coefficient for RH at 14 hrs. (X4) </w:t>
      </w:r>
    </w:p>
    <w:p w14:paraId="0A85B451"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5</w:t>
      </w:r>
      <w:r>
        <w:rPr>
          <w:rFonts w:ascii="Times New Roman" w:hAnsi="Times New Roman" w:cs="Times New Roman"/>
          <w:sz w:val="24"/>
          <w:szCs w:val="24"/>
        </w:rPr>
        <w:t xml:space="preserve">= Regression coefficient for rainfall (X5) </w:t>
      </w:r>
    </w:p>
    <w:p w14:paraId="4663501B"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6</w:t>
      </w:r>
      <w:r>
        <w:rPr>
          <w:rFonts w:ascii="Times New Roman" w:hAnsi="Times New Roman" w:cs="Times New Roman"/>
          <w:sz w:val="24"/>
          <w:szCs w:val="24"/>
        </w:rPr>
        <w:t xml:space="preserve">=Regression coefficient for sunshine (X6) </w:t>
      </w:r>
    </w:p>
    <w:p w14:paraId="6B04FCFD" w14:textId="77777777" w:rsidR="00240FD2" w:rsidRDefault="00201F09">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 Random error  </w:t>
      </w:r>
    </w:p>
    <w:p w14:paraId="396A664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Coefficient of Determination (R²)</w:t>
      </w:r>
    </w:p>
    <w:p w14:paraId="41E3837F"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goodness of fit of the regression</w:t>
      </w:r>
      <w:r>
        <w:rPr>
          <w:rFonts w:ascii="Times New Roman" w:hAnsi="Times New Roman" w:cs="Times New Roman"/>
          <w:sz w:val="24"/>
          <w:szCs w:val="24"/>
        </w:rPr>
        <w:t xml:space="preserve"> equation was assessed using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This statistic represents the proportion of variation in the dependent variable (Y) that is explained by the independent variables (X2, X3....</w:t>
      </w:r>
      <w:proofErr w:type="spellStart"/>
      <w:r>
        <w:rPr>
          <w:rFonts w:ascii="Times New Roman" w:hAnsi="Times New Roman" w:cs="Times New Roman"/>
          <w:sz w:val="24"/>
          <w:szCs w:val="24"/>
        </w:rPr>
        <w:t>Xp</w:t>
      </w:r>
      <w:proofErr w:type="spellEnd"/>
      <w:r>
        <w:rPr>
          <w:rFonts w:ascii="Times New Roman" w:hAnsi="Times New Roman" w:cs="Times New Roman"/>
          <w:sz w:val="24"/>
          <w:szCs w:val="24"/>
        </w:rPr>
        <w:t>). It is calculated as:</w:t>
      </w:r>
    </w:p>
    <w:p w14:paraId="50386BB6" w14:textId="77777777" w:rsidR="00240FD2" w:rsidRDefault="00201F09">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Explained sum of</m:t>
            </m:r>
            <m:r>
              <m:rPr>
                <m:sty m:val="p"/>
              </m:rPr>
              <w:rPr>
                <w:rFonts w:ascii="Cambria Math" w:hAnsi="Cambria Math" w:cs="Times New Roman"/>
                <w:sz w:val="24"/>
                <w:szCs w:val="24"/>
              </w:rPr>
              <m:t> squares </m:t>
            </m:r>
          </m:num>
          <m:den>
            <m:r>
              <m:rPr>
                <m:sty m:val="p"/>
              </m:rPr>
              <w:rPr>
                <w:rFonts w:ascii="Cambria Math" w:hAnsi="Cambria Math" w:cs="Times New Roman"/>
                <w:sz w:val="24"/>
                <w:szCs w:val="24"/>
              </w:rPr>
              <m:t>Total sum of squares</m:t>
            </m:r>
          </m:den>
        </m:f>
      </m:oMath>
      <w:r>
        <w:rPr>
          <w:rFonts w:ascii="Times New Roman" w:hAnsi="Times New Roman" w:cs="Times New Roman"/>
          <w:sz w:val="24"/>
          <w:szCs w:val="24"/>
        </w:rPr>
        <w:t xml:space="preserve">  </w:t>
      </w:r>
    </w:p>
    <w:p w14:paraId="1F891763"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ranges from 0 to 1, indicating the strength of the model in explaining variations in disease incidence.</w:t>
      </w:r>
    </w:p>
    <w:p w14:paraId="6952E483"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2C157498" w14:textId="77777777" w:rsidR="00240FD2" w:rsidRDefault="00201F09">
      <w:pPr>
        <w:tabs>
          <w:tab w:val="left" w:pos="720"/>
        </w:tabs>
        <w:spacing w:line="360" w:lineRule="auto"/>
        <w:jc w:val="both"/>
        <w:rPr>
          <w:rFonts w:ascii="Times New Roman" w:hAnsi="Times New Roman" w:cs="Times New Roman"/>
          <w:b/>
          <w:bCs/>
          <w:i/>
          <w:iCs/>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results of these analysis are organized into two main sections. The </w:t>
      </w:r>
      <w:r>
        <w:rPr>
          <w:rFonts w:ascii="Times New Roman" w:hAnsi="Times New Roman" w:cs="Times New Roman"/>
          <w:sz w:val="24"/>
          <w:szCs w:val="24"/>
        </w:rPr>
        <w:t>first section examines the behaviour of climate factors in relation to wilt disease in sugarcane. The second section focuses on correlation analysis and Multiple Linear Regression (MLR) models developed to forecast wilt disease incidence in sugarcane depic</w:t>
      </w:r>
      <w:r>
        <w:rPr>
          <w:rFonts w:ascii="Times New Roman" w:hAnsi="Times New Roman" w:cs="Times New Roman"/>
          <w:sz w:val="24"/>
          <w:szCs w:val="24"/>
        </w:rPr>
        <w:t>ted in table 2 &amp; 3 respectively.</w:t>
      </w:r>
    </w:p>
    <w:p w14:paraId="4E26C07D" w14:textId="77777777" w:rsidR="00240FD2" w:rsidRDefault="00201F09">
      <w:pPr>
        <w:tabs>
          <w:tab w:val="left" w:pos="720"/>
        </w:tabs>
        <w:spacing w:line="360" w:lineRule="auto"/>
        <w:jc w:val="both"/>
        <w:rPr>
          <w:rFonts w:ascii="Times New Roman" w:hAnsi="Times New Roman" w:cs="Times New Roman"/>
          <w:sz w:val="24"/>
          <w:szCs w:val="24"/>
        </w:rPr>
      </w:pPr>
      <w:bookmarkStart w:id="1" w:name="_Hlk174691589"/>
      <w:r>
        <w:rPr>
          <w:rFonts w:ascii="Times New Roman" w:hAnsi="Times New Roman" w:cs="Times New Roman"/>
          <w:sz w:val="24"/>
          <w:szCs w:val="24"/>
        </w:rPr>
        <w:t xml:space="preserve">            The data (Table 1, Fig. 1) indicates that disease incidence varied from 0.60% to 26.60% throughout the study period. The highest incidence (26.60%) was observed during the second fortnight of July, followed by 2</w:t>
      </w:r>
      <w:r>
        <w:rPr>
          <w:rFonts w:ascii="Times New Roman" w:hAnsi="Times New Roman" w:cs="Times New Roman"/>
          <w:sz w:val="24"/>
          <w:szCs w:val="24"/>
        </w:rPr>
        <w:t xml:space="preserve">5.50% in the first fortnight of September and 24.30% in the first fortnight of July. Specifically, the peak incidence of 26.60% occurred during the second fortnight of July 2023, when the weather parameters were as follows: maximum temperature of 35.00°C, </w:t>
      </w:r>
      <w:r>
        <w:rPr>
          <w:rFonts w:ascii="Times New Roman" w:hAnsi="Times New Roman" w:cs="Times New Roman"/>
          <w:sz w:val="24"/>
          <w:szCs w:val="24"/>
        </w:rPr>
        <w:t>minimum temperature of 25.90°C, relative humidity of 84.40% in the morning and 62.60% in the afternoon, rainfall of 82.60 mm, and sunshine hours of 7.40. The disease was most prevalent during the rainy season (July to October), with a noticeable decline in</w:t>
      </w:r>
      <w:r>
        <w:rPr>
          <w:rFonts w:ascii="Times New Roman" w:hAnsi="Times New Roman" w:cs="Times New Roman"/>
          <w:sz w:val="24"/>
          <w:szCs w:val="24"/>
        </w:rPr>
        <w:t xml:space="preserve"> incidence </w:t>
      </w:r>
      <w:r>
        <w:rPr>
          <w:rFonts w:ascii="Times New Roman" w:hAnsi="Times New Roman" w:cs="Times New Roman"/>
          <w:sz w:val="24"/>
          <w:szCs w:val="24"/>
        </w:rPr>
        <w:lastRenderedPageBreak/>
        <w:t xml:space="preserve">following this period. This trend suggests that wilt disease,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is strongly influenced by the weather conditions prevalent during the rainy season.</w:t>
      </w:r>
    </w:p>
    <w:p w14:paraId="3FB34A03" w14:textId="77777777" w:rsidR="00240FD2" w:rsidRDefault="00201F09">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correlation analysis of weather factors and disease in</w:t>
      </w:r>
      <w:r>
        <w:rPr>
          <w:rFonts w:ascii="Times New Roman" w:hAnsi="Times New Roman" w:cs="Times New Roman"/>
          <w:sz w:val="24"/>
          <w:szCs w:val="24"/>
        </w:rPr>
        <w:t>cidence, as summarized in Table 2, and figure 2, shows that minimum temperature and relative humidity at 14:00 hours are significantly and positively correlated with disease incidence, with correlation coefficients of 0.720 and 0.560, respectively. Convers</w:t>
      </w:r>
      <w:r>
        <w:rPr>
          <w:rFonts w:ascii="Times New Roman" w:hAnsi="Times New Roman" w:cs="Times New Roman"/>
          <w:sz w:val="24"/>
          <w:szCs w:val="24"/>
        </w:rPr>
        <w:t>ely, maximum temperature, relative humidity at 07:00 hours, rainfall, and sunshine hours have positive but non-significant correlations, with coefficients of 0.463, 0.064, 0.481, and 0.055, respectively. In addition, multiple linear regression analysis was</w:t>
      </w:r>
      <w:r>
        <w:rPr>
          <w:rFonts w:ascii="Times New Roman" w:hAnsi="Times New Roman" w:cs="Times New Roman"/>
          <w:sz w:val="24"/>
          <w:szCs w:val="24"/>
        </w:rPr>
        <w:t xml:space="preserve"> performed using disease incidence as the dependent variable and climatic factors as independent variables (Table 3). The results indicated that the combined influence of all-weather parameters explained 87.8% of the variation in disease incidence (R² = 0.</w:t>
      </w:r>
      <w:r>
        <w:rPr>
          <w:rFonts w:ascii="Times New Roman" w:hAnsi="Times New Roman" w:cs="Times New Roman"/>
          <w:sz w:val="24"/>
          <w:szCs w:val="24"/>
        </w:rPr>
        <w:t>878). This analysis highlights that minimum temperature and relative humidity at 14:00 hours are particularly important weather factors for the development of the disease.</w:t>
      </w:r>
      <w:bookmarkEnd w:id="1"/>
    </w:p>
    <w:p w14:paraId="5C2B1D52" w14:textId="77777777" w:rsidR="00240FD2" w:rsidRDefault="00201F09">
      <w:pPr>
        <w:tabs>
          <w:tab w:val="left" w:pos="720"/>
        </w:tabs>
        <w:spacing w:line="360" w:lineRule="auto"/>
        <w:jc w:val="center"/>
        <w:rPr>
          <w:rFonts w:ascii="Times New Roman" w:hAnsi="Times New Roman" w:cs="Times New Roman"/>
          <w:sz w:val="24"/>
          <w:szCs w:val="24"/>
        </w:rPr>
      </w:pPr>
      <w:r>
        <w:rPr>
          <w:rFonts w:ascii="Times New Roman" w:hAnsi="Times New Roman" w:cs="Times New Roman"/>
          <w:b/>
          <w:bCs/>
          <w:sz w:val="24"/>
          <w:szCs w:val="24"/>
          <w:lang w:val="en-US"/>
        </w:rPr>
        <w:t>Table 2. Correlation matrix of weather parameters on wilt disease of sugarcane</w:t>
      </w:r>
    </w:p>
    <w:tbl>
      <w:tblPr>
        <w:tblStyle w:val="TableGrid"/>
        <w:tblW w:w="5000" w:type="pct"/>
        <w:tblLook w:val="04A0" w:firstRow="1" w:lastRow="0" w:firstColumn="1" w:lastColumn="0" w:noHBand="0" w:noVBand="1"/>
      </w:tblPr>
      <w:tblGrid>
        <w:gridCol w:w="1093"/>
        <w:gridCol w:w="1538"/>
        <w:gridCol w:w="1194"/>
        <w:gridCol w:w="1161"/>
        <w:gridCol w:w="893"/>
        <w:gridCol w:w="925"/>
        <w:gridCol w:w="1004"/>
        <w:gridCol w:w="1208"/>
      </w:tblGrid>
      <w:tr w:rsidR="00240FD2" w14:paraId="4E976D08" w14:textId="77777777">
        <w:trPr>
          <w:trHeight w:val="288"/>
        </w:trPr>
        <w:tc>
          <w:tcPr>
            <w:tcW w:w="606" w:type="pct"/>
            <w:vMerge w:val="restart"/>
            <w:vAlign w:val="center"/>
          </w:tcPr>
          <w:p w14:paraId="7D10B08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Incidence (y)</w:t>
            </w:r>
          </w:p>
        </w:tc>
        <w:tc>
          <w:tcPr>
            <w:tcW w:w="853" w:type="pct"/>
            <w:vMerge w:val="restart"/>
            <w:vAlign w:val="center"/>
          </w:tcPr>
          <w:p w14:paraId="0450E77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Number of observations</w:t>
            </w:r>
          </w:p>
        </w:tc>
        <w:tc>
          <w:tcPr>
            <w:tcW w:w="3541" w:type="pct"/>
            <w:gridSpan w:val="6"/>
            <w:vAlign w:val="center"/>
          </w:tcPr>
          <w:p w14:paraId="2ECB76C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Weather data</w:t>
            </w:r>
          </w:p>
        </w:tc>
      </w:tr>
      <w:tr w:rsidR="00240FD2" w14:paraId="16A39F92" w14:textId="77777777">
        <w:trPr>
          <w:trHeight w:val="288"/>
        </w:trPr>
        <w:tc>
          <w:tcPr>
            <w:tcW w:w="606" w:type="pct"/>
            <w:vMerge/>
            <w:vAlign w:val="center"/>
          </w:tcPr>
          <w:p w14:paraId="223E981C"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853" w:type="pct"/>
            <w:vMerge/>
            <w:vAlign w:val="center"/>
          </w:tcPr>
          <w:p w14:paraId="565E3998"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1306" w:type="pct"/>
            <w:gridSpan w:val="2"/>
            <w:vAlign w:val="center"/>
          </w:tcPr>
          <w:p w14:paraId="77D46ABC"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Temperature </w:t>
            </w:r>
            <w:r>
              <w:rPr>
                <w:rFonts w:ascii="Times New Roman" w:hAnsi="Times New Roman" w:cs="Times New Roman"/>
                <w:kern w:val="0"/>
                <w:sz w:val="20"/>
                <w:szCs w:val="20"/>
                <w:vertAlign w:val="superscript"/>
                <w:lang w:val="en-US"/>
                <w14:ligatures w14:val="none"/>
              </w:rPr>
              <w:t>0</w:t>
            </w:r>
            <w:r>
              <w:rPr>
                <w:rFonts w:ascii="Times New Roman" w:hAnsi="Times New Roman" w:cs="Times New Roman"/>
                <w:kern w:val="0"/>
                <w:sz w:val="20"/>
                <w:szCs w:val="20"/>
                <w:lang w:val="en-US"/>
                <w14:ligatures w14:val="none"/>
              </w:rPr>
              <w:t>C</w:t>
            </w:r>
          </w:p>
        </w:tc>
        <w:tc>
          <w:tcPr>
            <w:tcW w:w="1008" w:type="pct"/>
            <w:gridSpan w:val="2"/>
            <w:vAlign w:val="center"/>
          </w:tcPr>
          <w:p w14:paraId="2B0FAB6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Relative Humidity (%)</w:t>
            </w:r>
          </w:p>
        </w:tc>
        <w:tc>
          <w:tcPr>
            <w:tcW w:w="557" w:type="pct"/>
            <w:vMerge w:val="restart"/>
            <w:vAlign w:val="center"/>
          </w:tcPr>
          <w:p w14:paraId="13305BA1"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Rainfall (X</w:t>
            </w:r>
            <w:r>
              <w:rPr>
                <w:rFonts w:ascii="Times New Roman" w:hAnsi="Times New Roman" w:cs="Times New Roman"/>
                <w:kern w:val="0"/>
                <w:sz w:val="20"/>
                <w:szCs w:val="20"/>
                <w:vertAlign w:val="subscript"/>
                <w:lang w:val="en-US"/>
                <w14:ligatures w14:val="none"/>
              </w:rPr>
              <w:t>5</w:t>
            </w:r>
            <w:r>
              <w:rPr>
                <w:rFonts w:ascii="Times New Roman" w:hAnsi="Times New Roman" w:cs="Times New Roman"/>
                <w:kern w:val="0"/>
                <w:sz w:val="20"/>
                <w:szCs w:val="20"/>
                <w:lang w:val="en-US"/>
                <w14:ligatures w14:val="none"/>
              </w:rPr>
              <w:t>)</w:t>
            </w:r>
          </w:p>
        </w:tc>
        <w:tc>
          <w:tcPr>
            <w:tcW w:w="670" w:type="pct"/>
            <w:vMerge w:val="restart"/>
            <w:vAlign w:val="center"/>
          </w:tcPr>
          <w:p w14:paraId="4137D99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Sunshine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6</w:t>
            </w:r>
            <w:r>
              <w:rPr>
                <w:rFonts w:ascii="Times New Roman" w:hAnsi="Times New Roman" w:cs="Times New Roman"/>
                <w:kern w:val="0"/>
                <w:sz w:val="20"/>
                <w:szCs w:val="20"/>
                <w:lang w:val="en-US"/>
                <w14:ligatures w14:val="none"/>
              </w:rPr>
              <w:t>)</w:t>
            </w:r>
          </w:p>
        </w:tc>
      </w:tr>
      <w:tr w:rsidR="00240FD2" w14:paraId="58956160" w14:textId="77777777">
        <w:trPr>
          <w:trHeight w:val="288"/>
        </w:trPr>
        <w:tc>
          <w:tcPr>
            <w:tcW w:w="606" w:type="pct"/>
            <w:vMerge/>
            <w:vAlign w:val="center"/>
          </w:tcPr>
          <w:p w14:paraId="1E2D677A"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853" w:type="pct"/>
            <w:vMerge/>
            <w:vAlign w:val="center"/>
          </w:tcPr>
          <w:p w14:paraId="4EE77914"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62" w:type="pct"/>
            <w:vAlign w:val="center"/>
          </w:tcPr>
          <w:p w14:paraId="211CD23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Maximum (X</w:t>
            </w:r>
            <w:r>
              <w:rPr>
                <w:rFonts w:ascii="Times New Roman" w:hAnsi="Times New Roman" w:cs="Times New Roman"/>
                <w:kern w:val="0"/>
                <w:sz w:val="20"/>
                <w:szCs w:val="20"/>
                <w:vertAlign w:val="subscript"/>
                <w:lang w:val="en-US"/>
                <w14:ligatures w14:val="none"/>
              </w:rPr>
              <w:t>1</w:t>
            </w:r>
            <w:r>
              <w:rPr>
                <w:rFonts w:ascii="Times New Roman" w:hAnsi="Times New Roman" w:cs="Times New Roman"/>
                <w:kern w:val="0"/>
                <w:sz w:val="20"/>
                <w:szCs w:val="20"/>
                <w:lang w:val="en-US"/>
                <w14:ligatures w14:val="none"/>
              </w:rPr>
              <w:t>)</w:t>
            </w:r>
          </w:p>
        </w:tc>
        <w:tc>
          <w:tcPr>
            <w:tcW w:w="644" w:type="pct"/>
            <w:vAlign w:val="center"/>
          </w:tcPr>
          <w:p w14:paraId="69B9CC5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Minimum (X</w:t>
            </w:r>
            <w:r>
              <w:rPr>
                <w:rFonts w:ascii="Times New Roman" w:hAnsi="Times New Roman" w:cs="Times New Roman"/>
                <w:kern w:val="0"/>
                <w:sz w:val="20"/>
                <w:szCs w:val="20"/>
                <w:vertAlign w:val="subscript"/>
                <w:lang w:val="en-US"/>
                <w14:ligatures w14:val="none"/>
              </w:rPr>
              <w:t>2</w:t>
            </w:r>
            <w:r>
              <w:rPr>
                <w:rFonts w:ascii="Times New Roman" w:hAnsi="Times New Roman" w:cs="Times New Roman"/>
                <w:kern w:val="0"/>
                <w:sz w:val="20"/>
                <w:szCs w:val="20"/>
                <w:lang w:val="en-US"/>
                <w14:ligatures w14:val="none"/>
              </w:rPr>
              <w:t>)</w:t>
            </w:r>
          </w:p>
        </w:tc>
        <w:tc>
          <w:tcPr>
            <w:tcW w:w="495" w:type="pct"/>
            <w:vAlign w:val="center"/>
          </w:tcPr>
          <w:p w14:paraId="17E20F1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7.00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3</w:t>
            </w:r>
            <w:r>
              <w:rPr>
                <w:rFonts w:ascii="Times New Roman" w:hAnsi="Times New Roman" w:cs="Times New Roman"/>
                <w:kern w:val="0"/>
                <w:sz w:val="20"/>
                <w:szCs w:val="20"/>
                <w:lang w:val="en-US"/>
                <w14:ligatures w14:val="none"/>
              </w:rPr>
              <w:t>)</w:t>
            </w:r>
          </w:p>
        </w:tc>
        <w:tc>
          <w:tcPr>
            <w:tcW w:w="513" w:type="pct"/>
            <w:vAlign w:val="center"/>
          </w:tcPr>
          <w:p w14:paraId="5668954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14.00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4</w:t>
            </w:r>
            <w:r>
              <w:rPr>
                <w:rFonts w:ascii="Times New Roman" w:hAnsi="Times New Roman" w:cs="Times New Roman"/>
                <w:kern w:val="0"/>
                <w:sz w:val="20"/>
                <w:szCs w:val="20"/>
                <w:lang w:val="en-US"/>
                <w14:ligatures w14:val="none"/>
              </w:rPr>
              <w:t>)</w:t>
            </w:r>
          </w:p>
        </w:tc>
        <w:tc>
          <w:tcPr>
            <w:tcW w:w="557" w:type="pct"/>
            <w:vMerge/>
            <w:vAlign w:val="center"/>
          </w:tcPr>
          <w:p w14:paraId="0533B50A"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70" w:type="pct"/>
            <w:vMerge/>
            <w:vAlign w:val="center"/>
          </w:tcPr>
          <w:p w14:paraId="2BB4F7DB"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2062EC71" w14:textId="77777777">
        <w:trPr>
          <w:trHeight w:val="288"/>
        </w:trPr>
        <w:tc>
          <w:tcPr>
            <w:tcW w:w="606" w:type="pct"/>
            <w:vAlign w:val="center"/>
          </w:tcPr>
          <w:p w14:paraId="75C5916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Wilt</w:t>
            </w:r>
          </w:p>
        </w:tc>
        <w:tc>
          <w:tcPr>
            <w:tcW w:w="853" w:type="pct"/>
            <w:vAlign w:val="center"/>
          </w:tcPr>
          <w:p w14:paraId="37678A4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16</w:t>
            </w:r>
          </w:p>
        </w:tc>
        <w:tc>
          <w:tcPr>
            <w:tcW w:w="662" w:type="pct"/>
            <w:vAlign w:val="center"/>
          </w:tcPr>
          <w:p w14:paraId="1A30EE2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0.463</w:t>
            </w:r>
          </w:p>
        </w:tc>
        <w:tc>
          <w:tcPr>
            <w:tcW w:w="644" w:type="pct"/>
            <w:vAlign w:val="center"/>
          </w:tcPr>
          <w:p w14:paraId="622D53FD"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0.720</w:t>
            </w:r>
            <w:r>
              <w:rPr>
                <w:rFonts w:ascii="Times New Roman" w:hAnsi="Times New Roman" w:cs="Times New Roman"/>
                <w:kern w:val="0"/>
                <w:sz w:val="20"/>
                <w:szCs w:val="20"/>
                <w:vertAlign w:val="superscript"/>
                <w:lang w:val="en-US"/>
                <w14:ligatures w14:val="none"/>
              </w:rPr>
              <w:t>**</w:t>
            </w:r>
          </w:p>
        </w:tc>
        <w:tc>
          <w:tcPr>
            <w:tcW w:w="495" w:type="pct"/>
            <w:vAlign w:val="center"/>
          </w:tcPr>
          <w:p w14:paraId="7FFBFA7B"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0.064</w:t>
            </w:r>
          </w:p>
        </w:tc>
        <w:tc>
          <w:tcPr>
            <w:tcW w:w="513" w:type="pct"/>
            <w:vAlign w:val="center"/>
          </w:tcPr>
          <w:p w14:paraId="00C53E45"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0.560</w:t>
            </w:r>
            <w:r>
              <w:rPr>
                <w:rFonts w:ascii="Times New Roman" w:hAnsi="Times New Roman" w:cs="Times New Roman"/>
                <w:kern w:val="0"/>
                <w:sz w:val="20"/>
                <w:szCs w:val="20"/>
                <w:vertAlign w:val="superscript"/>
                <w:lang w:val="en-US"/>
                <w14:ligatures w14:val="none"/>
              </w:rPr>
              <w:t>*</w:t>
            </w:r>
          </w:p>
        </w:tc>
        <w:tc>
          <w:tcPr>
            <w:tcW w:w="557" w:type="pct"/>
            <w:vAlign w:val="center"/>
          </w:tcPr>
          <w:p w14:paraId="29F27AA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0.481</w:t>
            </w:r>
          </w:p>
        </w:tc>
        <w:tc>
          <w:tcPr>
            <w:tcW w:w="670" w:type="pct"/>
            <w:vAlign w:val="center"/>
          </w:tcPr>
          <w:p w14:paraId="56589BE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0.055</w:t>
            </w:r>
          </w:p>
        </w:tc>
      </w:tr>
    </w:tbl>
    <w:p w14:paraId="0E15674C" w14:textId="77777777" w:rsidR="00240FD2" w:rsidRDefault="00201F09">
      <w:pPr>
        <w:spacing w:line="360" w:lineRule="auto"/>
        <w:rPr>
          <w:rFonts w:ascii="Times New Roman" w:hAnsi="Times New Roman" w:cs="Times New Roman"/>
          <w:sz w:val="24"/>
          <w:szCs w:val="24"/>
        </w:rPr>
      </w:pPr>
      <w:r>
        <w:rPr>
          <w:rFonts w:ascii="Times New Roman" w:hAnsi="Times New Roman" w:cs="Times New Roman"/>
          <w:sz w:val="24"/>
          <w:szCs w:val="24"/>
        </w:rPr>
        <w:t xml:space="preserve">* &amp; ** - Significant at </w:t>
      </w:r>
      <w:r>
        <w:rPr>
          <w:rFonts w:ascii="Times New Roman" w:hAnsi="Times New Roman" w:cs="Times New Roman"/>
          <w:sz w:val="24"/>
          <w:szCs w:val="24"/>
        </w:rPr>
        <w:t>5% &amp; 1% probability</w:t>
      </w:r>
    </w:p>
    <w:p w14:paraId="66288395" w14:textId="77777777" w:rsidR="00240FD2" w:rsidRDefault="00240FD2">
      <w:pPr>
        <w:spacing w:line="360" w:lineRule="auto"/>
        <w:ind w:left="1170" w:hanging="1170"/>
        <w:jc w:val="both"/>
        <w:rPr>
          <w:rFonts w:ascii="Times New Roman" w:hAnsi="Times New Roman" w:cs="Times New Roman"/>
          <w:b/>
          <w:bCs/>
          <w:sz w:val="24"/>
          <w:szCs w:val="24"/>
          <w:lang w:val="en-US"/>
        </w:rPr>
      </w:pPr>
    </w:p>
    <w:p w14:paraId="3B4CD514" w14:textId="77777777" w:rsidR="00240FD2" w:rsidRDefault="00201F09">
      <w:pPr>
        <w:spacing w:line="360" w:lineRule="auto"/>
        <w:ind w:left="1170" w:hanging="117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 Multiple linear regression (MLR) models for weather parameters on wilt disease incidence in sugarcane</w:t>
      </w:r>
    </w:p>
    <w:tbl>
      <w:tblPr>
        <w:tblStyle w:val="TableGrid"/>
        <w:tblW w:w="5000" w:type="pct"/>
        <w:jc w:val="center"/>
        <w:tblLook w:val="04A0" w:firstRow="1" w:lastRow="0" w:firstColumn="1" w:lastColumn="0" w:noHBand="0" w:noVBand="1"/>
      </w:tblPr>
      <w:tblGrid>
        <w:gridCol w:w="902"/>
        <w:gridCol w:w="1106"/>
        <w:gridCol w:w="803"/>
        <w:gridCol w:w="950"/>
        <w:gridCol w:w="921"/>
        <w:gridCol w:w="612"/>
        <w:gridCol w:w="612"/>
        <w:gridCol w:w="784"/>
        <w:gridCol w:w="862"/>
        <w:gridCol w:w="612"/>
        <w:gridCol w:w="852"/>
      </w:tblGrid>
      <w:tr w:rsidR="00240FD2" w14:paraId="297B686C" w14:textId="77777777">
        <w:trPr>
          <w:trHeight w:val="288"/>
          <w:jc w:val="center"/>
        </w:trPr>
        <w:tc>
          <w:tcPr>
            <w:tcW w:w="485" w:type="pct"/>
            <w:vMerge w:val="restart"/>
            <w:vAlign w:val="center"/>
          </w:tcPr>
          <w:p w14:paraId="0D9733F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Incidence (y)</w:t>
            </w:r>
          </w:p>
        </w:tc>
        <w:tc>
          <w:tcPr>
            <w:tcW w:w="636" w:type="pct"/>
            <w:vMerge w:val="restart"/>
            <w:vAlign w:val="center"/>
          </w:tcPr>
          <w:p w14:paraId="7CB13A1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Number of observations</w:t>
            </w:r>
          </w:p>
        </w:tc>
        <w:tc>
          <w:tcPr>
            <w:tcW w:w="446" w:type="pct"/>
            <w:vMerge w:val="restart"/>
            <w:vAlign w:val="center"/>
          </w:tcPr>
          <w:p w14:paraId="360E300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Pure constant (a)</w:t>
            </w:r>
          </w:p>
        </w:tc>
        <w:tc>
          <w:tcPr>
            <w:tcW w:w="2653" w:type="pct"/>
            <w:gridSpan w:val="6"/>
            <w:vAlign w:val="center"/>
          </w:tcPr>
          <w:p w14:paraId="5955C59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Weather data</w:t>
            </w:r>
          </w:p>
        </w:tc>
        <w:tc>
          <w:tcPr>
            <w:tcW w:w="319" w:type="pct"/>
            <w:vMerge w:val="restart"/>
            <w:vAlign w:val="center"/>
          </w:tcPr>
          <w:p w14:paraId="4A897F5A"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R</w:t>
            </w:r>
            <w:r>
              <w:rPr>
                <w:rFonts w:ascii="Times New Roman" w:hAnsi="Times New Roman" w:cs="Times New Roman"/>
                <w:kern w:val="0"/>
                <w:sz w:val="20"/>
                <w:szCs w:val="20"/>
                <w:vertAlign w:val="superscript"/>
                <w:lang w:val="en-US"/>
                <w14:ligatures w14:val="none"/>
              </w:rPr>
              <w:t>2</w:t>
            </w:r>
          </w:p>
        </w:tc>
        <w:tc>
          <w:tcPr>
            <w:tcW w:w="461" w:type="pct"/>
            <w:vMerge w:val="restart"/>
            <w:vAlign w:val="center"/>
          </w:tcPr>
          <w:p w14:paraId="17E78F91"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Adjusted R</w:t>
            </w:r>
            <w:r>
              <w:rPr>
                <w:rFonts w:ascii="Times New Roman" w:hAnsi="Times New Roman" w:cs="Times New Roman"/>
                <w:kern w:val="0"/>
                <w:sz w:val="20"/>
                <w:szCs w:val="20"/>
                <w:vertAlign w:val="superscript"/>
                <w:lang w:val="en-US"/>
                <w14:ligatures w14:val="none"/>
              </w:rPr>
              <w:t>2</w:t>
            </w:r>
          </w:p>
        </w:tc>
      </w:tr>
      <w:tr w:rsidR="00240FD2" w14:paraId="683F2E5B" w14:textId="77777777">
        <w:trPr>
          <w:trHeight w:val="288"/>
          <w:jc w:val="center"/>
        </w:trPr>
        <w:tc>
          <w:tcPr>
            <w:tcW w:w="485" w:type="pct"/>
            <w:vMerge/>
            <w:vAlign w:val="center"/>
          </w:tcPr>
          <w:p w14:paraId="7E61BA4B"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36" w:type="pct"/>
            <w:vMerge/>
            <w:vAlign w:val="center"/>
          </w:tcPr>
          <w:p w14:paraId="0634BEE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Merge/>
            <w:vAlign w:val="center"/>
          </w:tcPr>
          <w:p w14:paraId="308BFD2E"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1027" w:type="pct"/>
            <w:gridSpan w:val="2"/>
            <w:vAlign w:val="center"/>
          </w:tcPr>
          <w:p w14:paraId="057CAB1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Temperature </w:t>
            </w:r>
            <w:r>
              <w:rPr>
                <w:rFonts w:ascii="Times New Roman" w:hAnsi="Times New Roman" w:cs="Times New Roman"/>
                <w:kern w:val="0"/>
                <w:sz w:val="20"/>
                <w:szCs w:val="20"/>
                <w:vertAlign w:val="superscript"/>
                <w:lang w:val="en-US"/>
                <w14:ligatures w14:val="none"/>
              </w:rPr>
              <w:t>0</w:t>
            </w:r>
            <w:r>
              <w:rPr>
                <w:rFonts w:ascii="Times New Roman" w:hAnsi="Times New Roman" w:cs="Times New Roman"/>
                <w:kern w:val="0"/>
                <w:sz w:val="20"/>
                <w:szCs w:val="20"/>
                <w:lang w:val="en-US"/>
                <w14:ligatures w14:val="none"/>
              </w:rPr>
              <w:t>C</w:t>
            </w:r>
          </w:p>
        </w:tc>
        <w:tc>
          <w:tcPr>
            <w:tcW w:w="743" w:type="pct"/>
            <w:gridSpan w:val="2"/>
            <w:vAlign w:val="center"/>
          </w:tcPr>
          <w:p w14:paraId="1ABBB7D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Relative Humidity (%)</w:t>
            </w:r>
          </w:p>
        </w:tc>
        <w:tc>
          <w:tcPr>
            <w:tcW w:w="437" w:type="pct"/>
            <w:vAlign w:val="center"/>
          </w:tcPr>
          <w:p w14:paraId="2E87A47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Rainfall (X</w:t>
            </w:r>
            <w:r>
              <w:rPr>
                <w:rFonts w:ascii="Times New Roman" w:hAnsi="Times New Roman" w:cs="Times New Roman"/>
                <w:kern w:val="0"/>
                <w:sz w:val="20"/>
                <w:szCs w:val="20"/>
                <w:vertAlign w:val="subscript"/>
                <w:lang w:val="en-US"/>
                <w14:ligatures w14:val="none"/>
              </w:rPr>
              <w:t>5</w:t>
            </w:r>
            <w:r>
              <w:rPr>
                <w:rFonts w:ascii="Times New Roman" w:hAnsi="Times New Roman" w:cs="Times New Roman"/>
                <w:kern w:val="0"/>
                <w:sz w:val="20"/>
                <w:szCs w:val="20"/>
                <w:lang w:val="en-US"/>
                <w14:ligatures w14:val="none"/>
              </w:rPr>
              <w:t>)</w:t>
            </w:r>
          </w:p>
        </w:tc>
        <w:tc>
          <w:tcPr>
            <w:tcW w:w="446" w:type="pct"/>
            <w:vAlign w:val="center"/>
          </w:tcPr>
          <w:p w14:paraId="24BC62E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Sunshine</w:t>
            </w:r>
          </w:p>
          <w:p w14:paraId="6A2A5E27" w14:textId="77777777" w:rsidR="00240FD2" w:rsidRDefault="00201F09">
            <w:pPr>
              <w:spacing w:after="0" w:line="276" w:lineRule="auto"/>
              <w:jc w:val="center"/>
              <w:rPr>
                <w:rFonts w:ascii="Times New Roman" w:hAnsi="Times New Roman" w:cs="Times New Roman"/>
                <w:kern w:val="0"/>
                <w:sz w:val="20"/>
                <w:szCs w:val="20"/>
                <w:lang w:val="en-US"/>
                <w14:ligatures w14:val="none"/>
              </w:rPr>
            </w:pP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6</w:t>
            </w:r>
            <w:r>
              <w:rPr>
                <w:rFonts w:ascii="Times New Roman" w:hAnsi="Times New Roman" w:cs="Times New Roman"/>
                <w:kern w:val="0"/>
                <w:sz w:val="20"/>
                <w:szCs w:val="20"/>
                <w:lang w:val="en-US"/>
                <w14:ligatures w14:val="none"/>
              </w:rPr>
              <w:t>)</w:t>
            </w:r>
          </w:p>
        </w:tc>
        <w:tc>
          <w:tcPr>
            <w:tcW w:w="319" w:type="pct"/>
            <w:vMerge/>
            <w:vAlign w:val="center"/>
          </w:tcPr>
          <w:p w14:paraId="766AE724"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61" w:type="pct"/>
            <w:vMerge/>
            <w:vAlign w:val="center"/>
          </w:tcPr>
          <w:p w14:paraId="7E323C4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18CD3618" w14:textId="77777777">
        <w:trPr>
          <w:trHeight w:val="288"/>
          <w:jc w:val="center"/>
        </w:trPr>
        <w:tc>
          <w:tcPr>
            <w:tcW w:w="485" w:type="pct"/>
            <w:vMerge/>
            <w:vAlign w:val="center"/>
          </w:tcPr>
          <w:p w14:paraId="5AE24CAC"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36" w:type="pct"/>
            <w:vMerge/>
            <w:vAlign w:val="center"/>
          </w:tcPr>
          <w:p w14:paraId="36A446BD"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Merge/>
            <w:vAlign w:val="center"/>
          </w:tcPr>
          <w:p w14:paraId="573A9BD9"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521" w:type="pct"/>
            <w:vAlign w:val="center"/>
          </w:tcPr>
          <w:p w14:paraId="7E79AFD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Maximum (X</w:t>
            </w:r>
            <w:r>
              <w:rPr>
                <w:rFonts w:ascii="Times New Roman" w:hAnsi="Times New Roman" w:cs="Times New Roman"/>
                <w:kern w:val="0"/>
                <w:sz w:val="20"/>
                <w:szCs w:val="20"/>
                <w:vertAlign w:val="subscript"/>
                <w:lang w:val="en-US"/>
                <w14:ligatures w14:val="none"/>
              </w:rPr>
              <w:t>1</w:t>
            </w:r>
            <w:r>
              <w:rPr>
                <w:rFonts w:ascii="Times New Roman" w:hAnsi="Times New Roman" w:cs="Times New Roman"/>
                <w:kern w:val="0"/>
                <w:sz w:val="20"/>
                <w:szCs w:val="20"/>
                <w:lang w:val="en-US"/>
                <w14:ligatures w14:val="none"/>
              </w:rPr>
              <w:t>)</w:t>
            </w:r>
          </w:p>
        </w:tc>
        <w:tc>
          <w:tcPr>
            <w:tcW w:w="506" w:type="pct"/>
            <w:vAlign w:val="center"/>
          </w:tcPr>
          <w:p w14:paraId="1D5BCD6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Minimum (X</w:t>
            </w:r>
            <w:r>
              <w:rPr>
                <w:rFonts w:ascii="Times New Roman" w:hAnsi="Times New Roman" w:cs="Times New Roman"/>
                <w:kern w:val="0"/>
                <w:sz w:val="20"/>
                <w:szCs w:val="20"/>
                <w:vertAlign w:val="subscript"/>
                <w:lang w:val="en-US"/>
                <w14:ligatures w14:val="none"/>
              </w:rPr>
              <w:t>2</w:t>
            </w:r>
            <w:r>
              <w:rPr>
                <w:rFonts w:ascii="Times New Roman" w:hAnsi="Times New Roman" w:cs="Times New Roman"/>
                <w:kern w:val="0"/>
                <w:sz w:val="20"/>
                <w:szCs w:val="20"/>
                <w:lang w:val="en-US"/>
                <w14:ligatures w14:val="none"/>
              </w:rPr>
              <w:t>)</w:t>
            </w:r>
          </w:p>
        </w:tc>
        <w:tc>
          <w:tcPr>
            <w:tcW w:w="368" w:type="pct"/>
            <w:vAlign w:val="center"/>
          </w:tcPr>
          <w:p w14:paraId="65E3E3D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7.00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3</w:t>
            </w:r>
            <w:r>
              <w:rPr>
                <w:rFonts w:ascii="Times New Roman" w:hAnsi="Times New Roman" w:cs="Times New Roman"/>
                <w:kern w:val="0"/>
                <w:sz w:val="20"/>
                <w:szCs w:val="20"/>
                <w:lang w:val="en-US"/>
                <w14:ligatures w14:val="none"/>
              </w:rPr>
              <w:t>)</w:t>
            </w:r>
          </w:p>
        </w:tc>
        <w:tc>
          <w:tcPr>
            <w:tcW w:w="375" w:type="pct"/>
            <w:vAlign w:val="center"/>
          </w:tcPr>
          <w:p w14:paraId="72A7F5B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14.00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4</w:t>
            </w:r>
            <w:r>
              <w:rPr>
                <w:rFonts w:ascii="Times New Roman" w:hAnsi="Times New Roman" w:cs="Times New Roman"/>
                <w:kern w:val="0"/>
                <w:sz w:val="20"/>
                <w:szCs w:val="20"/>
                <w:lang w:val="en-US"/>
                <w14:ligatures w14:val="none"/>
              </w:rPr>
              <w:t>)</w:t>
            </w:r>
          </w:p>
        </w:tc>
        <w:tc>
          <w:tcPr>
            <w:tcW w:w="437" w:type="pct"/>
            <w:vAlign w:val="center"/>
          </w:tcPr>
          <w:p w14:paraId="308A1BB6"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Align w:val="center"/>
          </w:tcPr>
          <w:p w14:paraId="3D55F1CE"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319" w:type="pct"/>
            <w:vMerge/>
            <w:vAlign w:val="center"/>
          </w:tcPr>
          <w:p w14:paraId="252A39C3"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61" w:type="pct"/>
            <w:vMerge/>
            <w:vAlign w:val="center"/>
          </w:tcPr>
          <w:p w14:paraId="5FF6C41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39622C66" w14:textId="77777777">
        <w:trPr>
          <w:trHeight w:val="288"/>
          <w:jc w:val="center"/>
        </w:trPr>
        <w:tc>
          <w:tcPr>
            <w:tcW w:w="485" w:type="pct"/>
            <w:vAlign w:val="center"/>
          </w:tcPr>
          <w:p w14:paraId="13A0EFB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Wilt</w:t>
            </w:r>
          </w:p>
        </w:tc>
        <w:tc>
          <w:tcPr>
            <w:tcW w:w="636" w:type="pct"/>
            <w:vAlign w:val="center"/>
          </w:tcPr>
          <w:p w14:paraId="201A084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16</w:t>
            </w:r>
          </w:p>
        </w:tc>
        <w:tc>
          <w:tcPr>
            <w:tcW w:w="446" w:type="pct"/>
            <w:vAlign w:val="center"/>
          </w:tcPr>
          <w:p w14:paraId="21BBF40B"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-97.80</w:t>
            </w:r>
          </w:p>
        </w:tc>
        <w:tc>
          <w:tcPr>
            <w:tcW w:w="521" w:type="pct"/>
            <w:vAlign w:val="center"/>
          </w:tcPr>
          <w:p w14:paraId="428E0D9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0.490</w:t>
            </w:r>
          </w:p>
        </w:tc>
        <w:tc>
          <w:tcPr>
            <w:tcW w:w="506" w:type="pct"/>
            <w:vAlign w:val="center"/>
          </w:tcPr>
          <w:p w14:paraId="5EABE0D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0.380</w:t>
            </w:r>
          </w:p>
        </w:tc>
        <w:tc>
          <w:tcPr>
            <w:tcW w:w="368" w:type="pct"/>
            <w:vAlign w:val="center"/>
          </w:tcPr>
          <w:p w14:paraId="02DCD46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0.328</w:t>
            </w:r>
          </w:p>
        </w:tc>
        <w:tc>
          <w:tcPr>
            <w:tcW w:w="375" w:type="pct"/>
            <w:vAlign w:val="center"/>
          </w:tcPr>
          <w:p w14:paraId="6CCC128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0.821</w:t>
            </w:r>
          </w:p>
        </w:tc>
        <w:tc>
          <w:tcPr>
            <w:tcW w:w="437" w:type="pct"/>
            <w:vAlign w:val="center"/>
          </w:tcPr>
          <w:p w14:paraId="6BF0CDD1"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-0.007</w:t>
            </w:r>
          </w:p>
        </w:tc>
        <w:tc>
          <w:tcPr>
            <w:tcW w:w="446" w:type="pct"/>
            <w:vAlign w:val="center"/>
          </w:tcPr>
          <w:p w14:paraId="1014C1FD"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2.354</w:t>
            </w:r>
          </w:p>
        </w:tc>
        <w:tc>
          <w:tcPr>
            <w:tcW w:w="319" w:type="pct"/>
            <w:vAlign w:val="center"/>
          </w:tcPr>
          <w:p w14:paraId="0762D284"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0.878</w:t>
            </w:r>
          </w:p>
        </w:tc>
        <w:tc>
          <w:tcPr>
            <w:tcW w:w="461" w:type="pct"/>
            <w:vAlign w:val="center"/>
          </w:tcPr>
          <w:p w14:paraId="7532CFF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0.937</w:t>
            </w:r>
          </w:p>
        </w:tc>
      </w:tr>
    </w:tbl>
    <w:p w14:paraId="064E18E7" w14:textId="77777777" w:rsidR="00240FD2" w:rsidRDefault="00240FD2">
      <w:pPr>
        <w:spacing w:line="360" w:lineRule="auto"/>
        <w:rPr>
          <w:rFonts w:ascii="Times New Roman" w:hAnsi="Times New Roman" w:cs="Times New Roman"/>
          <w:b/>
          <w:bCs/>
          <w:sz w:val="24"/>
          <w:szCs w:val="24"/>
        </w:rPr>
      </w:pPr>
    </w:p>
    <w:p w14:paraId="7D1E1335" w14:textId="77777777" w:rsidR="00240FD2" w:rsidRDefault="00201F09">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Multiple Linear Regression (MLR) equation</w:t>
      </w:r>
    </w:p>
    <w:p w14:paraId="05D3C86D" w14:textId="77777777" w:rsidR="00240FD2" w:rsidRDefault="00201F09">
      <w:pPr>
        <w:spacing w:line="360" w:lineRule="auto"/>
        <w:jc w:val="center"/>
        <w:rPr>
          <w:rFonts w:ascii="Times New Roman" w:hAnsi="Times New Roman" w:cs="Times New Roman"/>
          <w:b/>
          <w:bCs/>
          <w:sz w:val="24"/>
          <w:szCs w:val="24"/>
        </w:rPr>
      </w:pPr>
      <m:oMathPara>
        <m:oMathParaPr>
          <m:jc m:val="left"/>
        </m:oMathParaPr>
        <m:oMath>
          <m:acc>
            <m:accPr>
              <m:ctrlPr>
                <w:rPr>
                  <w:rFonts w:ascii="Cambria Math" w:hAnsi="Cambria Math" w:cs="Times New Roman"/>
                  <w:b/>
                  <w:bCs/>
                  <w:i/>
                  <w:sz w:val="24"/>
                  <w:szCs w:val="24"/>
                </w:rPr>
              </m:ctrlPr>
            </m:accPr>
            <m:e>
              <m:r>
                <m:rPr>
                  <m:sty m:val="bi"/>
                </m:rPr>
                <w:rPr>
                  <w:rFonts w:ascii="Cambria Math" w:hAnsi="Cambria Math" w:cs="Times New Roman"/>
                  <w:sz w:val="24"/>
                  <w:szCs w:val="24"/>
                </w:rPr>
                <m:t>Y</m:t>
              </m:r>
            </m:e>
          </m:acc>
          <m:r>
            <m:rPr>
              <m:sty m:val="bi"/>
            </m:rPr>
            <w:rPr>
              <w:rFonts w:ascii="Cambria Math" w:hAnsi="Cambria Math" w:cs="Times New Roman"/>
              <w:sz w:val="24"/>
              <w:szCs w:val="24"/>
            </w:rPr>
            <m:t>=-</m:t>
          </m:r>
          <m:r>
            <m:rPr>
              <m:sty m:val="bi"/>
            </m:rPr>
            <w:rPr>
              <w:rFonts w:ascii="Cambria Math" w:hAnsi="Cambria Math" w:cs="Times New Roman"/>
              <w:sz w:val="24"/>
              <w:szCs w:val="24"/>
            </w:rPr>
            <m:t>97</m:t>
          </m:r>
          <m:r>
            <m:rPr>
              <m:sty m:val="bi"/>
            </m:rPr>
            <w:rPr>
              <w:rFonts w:ascii="Cambria Math" w:hAnsi="Cambria Math" w:cs="Times New Roman"/>
              <w:sz w:val="24"/>
              <w:szCs w:val="24"/>
            </w:rPr>
            <m:t>.</m:t>
          </m:r>
          <m:r>
            <m:rPr>
              <m:sty m:val="bi"/>
            </m:rPr>
            <w:rPr>
              <w:rFonts w:ascii="Cambria Math" w:hAnsi="Cambria Math" w:cs="Times New Roman"/>
              <w:sz w:val="24"/>
              <w:szCs w:val="24"/>
            </w:rPr>
            <m:t>80</m:t>
          </m:r>
          <m:r>
            <m:rPr>
              <m:sty m:val="bi"/>
            </m:rPr>
            <w:rPr>
              <w:rFonts w:ascii="Cambria Math" w:hAnsi="Cambria Math" w:cs="Times New Roman"/>
              <w:sz w:val="24"/>
              <w:szCs w:val="24"/>
            </w:rPr>
            <m:t>+</m:t>
          </m:r>
          <m:r>
            <m:rPr>
              <m:sty m:val="bi"/>
            </m:rPr>
            <w:rPr>
              <w:rFonts w:ascii="Cambria Math" w:hAnsi="Cambria Math" w:cs="Times New Roman"/>
              <w:sz w:val="24"/>
              <w:szCs w:val="24"/>
            </w:rPr>
            <m:t>0</m:t>
          </m:r>
          <m:r>
            <m:rPr>
              <m:sty m:val="bi"/>
            </m:rPr>
            <w:rPr>
              <w:rFonts w:ascii="Cambria Math" w:hAnsi="Cambria Math" w:cs="Times New Roman"/>
              <w:sz w:val="24"/>
              <w:szCs w:val="24"/>
            </w:rPr>
            <m:t>.</m:t>
          </m:r>
          <m:r>
            <m:rPr>
              <m:sty m:val="bi"/>
            </m:rPr>
            <w:rPr>
              <w:rFonts w:ascii="Cambria Math" w:hAnsi="Cambria Math" w:cs="Times New Roman"/>
              <w:sz w:val="24"/>
              <w:szCs w:val="24"/>
            </w:rPr>
            <m:t>490</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r>
            <m:rPr>
              <m:sty m:val="bi"/>
            </m:rPr>
            <w:rPr>
              <w:rFonts w:ascii="Cambria Math" w:hAnsi="Cambria Math" w:cs="Times New Roman"/>
              <w:sz w:val="24"/>
              <w:szCs w:val="24"/>
            </w:rPr>
            <m:t>0</m:t>
          </m:r>
          <m:r>
            <m:rPr>
              <m:sty m:val="bi"/>
            </m:rPr>
            <w:rPr>
              <w:rFonts w:ascii="Cambria Math" w:hAnsi="Cambria Math" w:cs="Times New Roman"/>
              <w:sz w:val="24"/>
              <w:szCs w:val="24"/>
            </w:rPr>
            <m:t>.</m:t>
          </m:r>
          <m:r>
            <m:rPr>
              <m:sty m:val="bi"/>
            </m:rPr>
            <w:rPr>
              <w:rFonts w:ascii="Cambria Math" w:hAnsi="Cambria Math" w:cs="Times New Roman"/>
              <w:sz w:val="24"/>
              <w:szCs w:val="24"/>
            </w:rPr>
            <m:t>380</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r>
            <m:rPr>
              <m:sty m:val="bi"/>
            </m:rPr>
            <w:rPr>
              <w:rFonts w:ascii="Cambria Math" w:hAnsi="Cambria Math" w:cs="Times New Roman"/>
              <w:sz w:val="24"/>
              <w:szCs w:val="24"/>
            </w:rPr>
            <m:t>0</m:t>
          </m:r>
          <m:r>
            <m:rPr>
              <m:sty m:val="bi"/>
            </m:rPr>
            <w:rPr>
              <w:rFonts w:ascii="Cambria Math" w:hAnsi="Cambria Math" w:cs="Times New Roman"/>
              <w:sz w:val="24"/>
              <w:szCs w:val="24"/>
            </w:rPr>
            <m:t>.</m:t>
          </m:r>
          <m:r>
            <m:rPr>
              <m:sty m:val="bi"/>
            </m:rPr>
            <w:rPr>
              <w:rFonts w:ascii="Cambria Math" w:hAnsi="Cambria Math" w:cs="Times New Roman"/>
              <w:sz w:val="24"/>
              <w:szCs w:val="24"/>
            </w:rPr>
            <m:t>328</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r>
            <m:rPr>
              <m:sty m:val="bi"/>
            </m:rPr>
            <w:rPr>
              <w:rFonts w:ascii="Cambria Math" w:hAnsi="Cambria Math" w:cs="Times New Roman"/>
              <w:sz w:val="24"/>
              <w:szCs w:val="24"/>
            </w:rPr>
            <m:t>0</m:t>
          </m:r>
          <m:r>
            <m:rPr>
              <m:sty m:val="bi"/>
            </m:rPr>
            <w:rPr>
              <w:rFonts w:ascii="Cambria Math" w:hAnsi="Cambria Math" w:cs="Times New Roman"/>
              <w:sz w:val="24"/>
              <w:szCs w:val="24"/>
            </w:rPr>
            <m:t>.</m:t>
          </m:r>
          <m:r>
            <m:rPr>
              <m:sty m:val="bi"/>
            </m:rPr>
            <w:rPr>
              <w:rFonts w:ascii="Cambria Math" w:hAnsi="Cambria Math" w:cs="Times New Roman"/>
              <w:sz w:val="24"/>
              <w:szCs w:val="24"/>
            </w:rPr>
            <m:t>821</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r>
            <m:rPr>
              <m:sty m:val="bi"/>
            </m:rPr>
            <w:rPr>
              <w:rFonts w:ascii="Cambria Math" w:hAnsi="Cambria Math" w:cs="Times New Roman"/>
              <w:sz w:val="24"/>
              <w:szCs w:val="24"/>
            </w:rPr>
            <m:t>0</m:t>
          </m:r>
          <m:r>
            <m:rPr>
              <m:sty m:val="bi"/>
            </m:rPr>
            <w:rPr>
              <w:rFonts w:ascii="Cambria Math" w:hAnsi="Cambria Math" w:cs="Times New Roman"/>
              <w:sz w:val="24"/>
              <w:szCs w:val="24"/>
            </w:rPr>
            <m:t>.</m:t>
          </m:r>
          <m:r>
            <m:rPr>
              <m:sty m:val="bi"/>
            </m:rPr>
            <w:rPr>
              <w:rFonts w:ascii="Cambria Math" w:hAnsi="Cambria Math" w:cs="Times New Roman"/>
              <w:sz w:val="24"/>
              <w:szCs w:val="24"/>
            </w:rPr>
            <m:t>007</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m:t>
          </m:r>
          <m:r>
            <m:rPr>
              <m:sty m:val="bi"/>
            </m:rPr>
            <w:rPr>
              <w:rFonts w:ascii="Cambria Math" w:hAnsi="Cambria Math" w:cs="Times New Roman"/>
              <w:sz w:val="24"/>
              <w:szCs w:val="24"/>
            </w:rPr>
            <m:t>2</m:t>
          </m:r>
          <m:r>
            <m:rPr>
              <m:sty m:val="bi"/>
            </m:rPr>
            <w:rPr>
              <w:rFonts w:ascii="Cambria Math" w:hAnsi="Cambria Math" w:cs="Times New Roman"/>
              <w:sz w:val="24"/>
              <w:szCs w:val="24"/>
            </w:rPr>
            <m:t>.</m:t>
          </m:r>
          <m:r>
            <m:rPr>
              <m:sty m:val="bi"/>
            </m:rPr>
            <w:rPr>
              <w:rFonts w:ascii="Cambria Math" w:hAnsi="Cambria Math" w:cs="Times New Roman"/>
              <w:sz w:val="24"/>
              <w:szCs w:val="24"/>
            </w:rPr>
            <m:t>354</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6</m:t>
              </m:r>
            </m:sub>
          </m:sSub>
        </m:oMath>
      </m:oMathPara>
    </w:p>
    <w:p w14:paraId="28BCADEE"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F22BD2" wp14:editId="1387C6A6">
            <wp:extent cx="5563870" cy="2186940"/>
            <wp:effectExtent l="0" t="0" r="17780" b="3810"/>
            <wp:docPr id="13389754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9693D01" w14:textId="77777777" w:rsidR="00240FD2" w:rsidRDefault="00201F09">
      <w:pPr>
        <w:tabs>
          <w:tab w:val="left" w:pos="7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1. Fortnight wilt disease incidence on sugarcane during period 2023-24</w:t>
      </w:r>
    </w:p>
    <w:p w14:paraId="05563C63" w14:textId="77777777" w:rsidR="00240FD2" w:rsidRDefault="00201F09">
      <w:pPr>
        <w:tabs>
          <w:tab w:val="left" w:pos="3924"/>
        </w:tabs>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DC79FD" wp14:editId="5740B4C7">
            <wp:extent cx="5731510" cy="3128645"/>
            <wp:effectExtent l="0" t="0" r="2540" b="14605"/>
            <wp:docPr id="12080011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576074" w14:textId="77777777" w:rsidR="00240FD2" w:rsidRDefault="00201F09">
      <w:pPr>
        <w:tabs>
          <w:tab w:val="left" w:pos="3924"/>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2. Effect of climatic factors on the incidence of wilt on sugarcane</w:t>
      </w:r>
    </w:p>
    <w:p w14:paraId="2B1C2EB7" w14:textId="77777777" w:rsidR="00240FD2" w:rsidRDefault="00201F09">
      <w:pPr>
        <w:tabs>
          <w:tab w:val="left" w:pos="3924"/>
        </w:tabs>
        <w:spacing w:line="36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7338DD85" w14:textId="77777777" w:rsidR="00240FD2" w:rsidRDefault="00201F09">
      <w:pPr>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data reveals that disease incidence ranged from 0.60% to 26.60% over the study period. The peak incidence of 26.60% was recorded during the second fortnight of July 2023, coinciding with maximum and minimum temperatures of 35.0°C and 25.90°</w:t>
      </w:r>
      <w:r>
        <w:rPr>
          <w:rFonts w:ascii="Times New Roman" w:hAnsi="Times New Roman" w:cs="Times New Roman"/>
          <w:sz w:val="24"/>
          <w:szCs w:val="24"/>
        </w:rPr>
        <w:t xml:space="preserve">C, respectively, morning and afternoon relative humidity levels of 84.40% and 62.60%, rainfall of 82.60 mm, and 7.40 sunshine hours. This peak was observed in the rainy season (July to October), after </w:t>
      </w:r>
      <w:r>
        <w:rPr>
          <w:rFonts w:ascii="Times New Roman" w:hAnsi="Times New Roman" w:cs="Times New Roman"/>
          <w:sz w:val="24"/>
          <w:szCs w:val="24"/>
        </w:rPr>
        <w:lastRenderedPageBreak/>
        <w:t>which a significant decline in incidence was noted. Thi</w:t>
      </w:r>
      <w:r>
        <w:rPr>
          <w:rFonts w:ascii="Times New Roman" w:hAnsi="Times New Roman" w:cs="Times New Roman"/>
          <w:sz w:val="24"/>
          <w:szCs w:val="24"/>
        </w:rPr>
        <w:t xml:space="preserve">s pattern indicates that wilt disease,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is highly influenced by weather conditions prevalent during the rainy season.</w:t>
      </w:r>
    </w:p>
    <w:p w14:paraId="67973C9D" w14:textId="77777777" w:rsidR="00240FD2" w:rsidRDefault="00201F09">
      <w:pPr>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Correlation analysis reveals a significant positive correlation between disease incidence and mini</w:t>
      </w:r>
      <w:r>
        <w:rPr>
          <w:rFonts w:ascii="Times New Roman" w:hAnsi="Times New Roman" w:cs="Times New Roman"/>
          <w:sz w:val="24"/>
          <w:szCs w:val="24"/>
        </w:rPr>
        <w:t>mum temperature and relative humidity at 14:00 hours, with correlation coefficients of 0.720 and 0.560, respectively. In contrast, maximum temperature, relative humidity at 07:00 hours, rainfall, and sunshine hours showed positive but non-significant corre</w:t>
      </w:r>
      <w:r>
        <w:rPr>
          <w:rFonts w:ascii="Times New Roman" w:hAnsi="Times New Roman" w:cs="Times New Roman"/>
          <w:sz w:val="24"/>
          <w:szCs w:val="24"/>
        </w:rPr>
        <w:t>lations, with coefficients of 0.463, 0.064, 0.481, and 0.055, respectively. Furthermore, multiple linear regression analysis indicates that weather parameters collectively accounted for 87.8% of the variation in disease incidence (R² = 0.878). This analysi</w:t>
      </w:r>
      <w:r>
        <w:rPr>
          <w:rFonts w:ascii="Times New Roman" w:hAnsi="Times New Roman" w:cs="Times New Roman"/>
          <w:sz w:val="24"/>
          <w:szCs w:val="24"/>
        </w:rPr>
        <w:t xml:space="preserve">s underscores the importance of minimum temperature and relative humidity at 14:00 hours as critical factors influencing disease development, highlighting their role in managing and predicting wilt disease. This finding is supported by Irshad </w:t>
      </w:r>
      <w:r>
        <w:rPr>
          <w:rFonts w:ascii="Times New Roman" w:hAnsi="Times New Roman" w:cs="Times New Roman"/>
          <w:i/>
          <w:iCs/>
          <w:sz w:val="24"/>
          <w:szCs w:val="24"/>
        </w:rPr>
        <w:t>et al</w:t>
      </w:r>
      <w:r>
        <w:rPr>
          <w:rFonts w:ascii="Times New Roman" w:hAnsi="Times New Roman" w:cs="Times New Roman"/>
          <w:sz w:val="24"/>
          <w:szCs w:val="24"/>
        </w:rPr>
        <w:t>. (2023)</w:t>
      </w:r>
      <w:r>
        <w:rPr>
          <w:rFonts w:ascii="Times New Roman" w:hAnsi="Times New Roman" w:cs="Times New Roman"/>
          <w:sz w:val="24"/>
          <w:szCs w:val="24"/>
        </w:rPr>
        <w:t>, who found that wilt incidence in sugarcane was significantly influenced by climate factors, including relative humidity above 85%, temperatures between 26°C and 30°C, and rainfall. Their analysis showed that weather parameters explained 87.8% of the vari</w:t>
      </w:r>
      <w:r>
        <w:rPr>
          <w:rFonts w:ascii="Times New Roman" w:hAnsi="Times New Roman" w:cs="Times New Roman"/>
          <w:sz w:val="24"/>
          <w:szCs w:val="24"/>
        </w:rPr>
        <w:t xml:space="preserve">ation in disease incidence (R² = 0.969). Similar findings were reported by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w:t>
      </w:r>
      <w:proofErr w:type="spellStart"/>
      <w:r>
        <w:rPr>
          <w:rFonts w:ascii="Times New Roman" w:hAnsi="Times New Roman" w:cs="Times New Roman"/>
          <w:sz w:val="24"/>
          <w:szCs w:val="24"/>
        </w:rPr>
        <w:t>Paswan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and </w:t>
      </w:r>
      <w:proofErr w:type="spellStart"/>
      <w:r>
        <w:rPr>
          <w:rFonts w:ascii="Times New Roman" w:hAnsi="Times New Roman" w:cs="Times New Roman"/>
          <w:sz w:val="24"/>
          <w:szCs w:val="24"/>
        </w:rPr>
        <w:t>Mehra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(2015), who also observed that climatic factors such as relative humidity, temperature, and rainfall signif</w:t>
      </w:r>
      <w:r>
        <w:rPr>
          <w:rFonts w:ascii="Times New Roman" w:hAnsi="Times New Roman" w:cs="Times New Roman"/>
          <w:sz w:val="24"/>
          <w:szCs w:val="24"/>
        </w:rPr>
        <w:t>icantly impact wilt incidence.</w:t>
      </w:r>
    </w:p>
    <w:p w14:paraId="2FFD3245" w14:textId="77777777" w:rsidR="00240FD2" w:rsidRDefault="00201F09">
      <w:pPr>
        <w:tabs>
          <w:tab w:val="left" w:pos="3924"/>
        </w:tabs>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F7E55BD" w14:textId="77777777" w:rsidR="00240FD2" w:rsidRDefault="00201F09">
      <w:pPr>
        <w:tabs>
          <w:tab w:val="left" w:pos="720"/>
          <w:tab w:val="left" w:pos="392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study underscores the critical role of weather parameters in the development of sugarcane wilt disease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particularly during the rainy season. The significant association</w:t>
      </w:r>
      <w:r>
        <w:rPr>
          <w:rFonts w:ascii="Times New Roman" w:hAnsi="Times New Roman" w:cs="Times New Roman"/>
          <w:sz w:val="24"/>
          <w:szCs w:val="24"/>
        </w:rPr>
        <w:t xml:space="preserve">s between minimum temperature, afternoon relative humidity, and disease incidence highlight the need for climate-based predictive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By integrating meteorological data with disease forecasting, it becomes possible to implement proactive and timely m</w:t>
      </w:r>
      <w:r>
        <w:rPr>
          <w:rFonts w:ascii="Times New Roman" w:hAnsi="Times New Roman" w:cs="Times New Roman"/>
          <w:sz w:val="24"/>
          <w:szCs w:val="24"/>
        </w:rPr>
        <w:t>anagement strategies to reduce the impact of wilt disease on sugarcane yields. These findings also stress the importance of monitoring weather trends for early detection and intervention. Future research should focus on refining prediction models to improv</w:t>
      </w:r>
      <w:r>
        <w:rPr>
          <w:rFonts w:ascii="Times New Roman" w:hAnsi="Times New Roman" w:cs="Times New Roman"/>
          <w:sz w:val="24"/>
          <w:szCs w:val="24"/>
        </w:rPr>
        <w:t>e accuracy and exploring the development of resistant sugarcane genotypes. Such efforts will be crucial for enhancing sustainable disease management in sugarcane farming, ensuring better crop resilience and productivity under varying climatic conditions. T</w:t>
      </w:r>
      <w:r>
        <w:rPr>
          <w:rFonts w:ascii="Times New Roman" w:hAnsi="Times New Roman" w:cs="Times New Roman"/>
          <w:sz w:val="24"/>
          <w:szCs w:val="24"/>
        </w:rPr>
        <w:t>hese steps are vital for minimizing the economic losses caused by wilt disease in sugarcane cultivation.</w:t>
      </w:r>
    </w:p>
    <w:p w14:paraId="4CABF0E0" w14:textId="77777777" w:rsidR="00240FD2" w:rsidRDefault="00201F09">
      <w:pPr>
        <w:tabs>
          <w:tab w:val="left" w:pos="392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B44AA92"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FAO. (2022). Production: Crops and livestock products. </w:t>
      </w:r>
      <w:r>
        <w:rPr>
          <w:rFonts w:ascii="Times New Roman" w:hAnsi="Times New Roman" w:cs="Times New Roman"/>
          <w:i/>
          <w:iCs/>
          <w:sz w:val="24"/>
          <w:szCs w:val="24"/>
        </w:rPr>
        <w:t>In FAOSTAT. Rome</w:t>
      </w:r>
      <w:r>
        <w:rPr>
          <w:rFonts w:ascii="Times New Roman" w:hAnsi="Times New Roman" w:cs="Times New Roman"/>
          <w:sz w:val="24"/>
          <w:szCs w:val="24"/>
        </w:rPr>
        <w:t>. [Cited October 2023].</w:t>
      </w:r>
    </w:p>
    <w:p w14:paraId="1450A425"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Irshad, M., Kumar, M., Ray, M., Sattar, A., </w:t>
      </w:r>
      <w:proofErr w:type="spellStart"/>
      <w:r>
        <w:rPr>
          <w:rFonts w:ascii="Times New Roman" w:hAnsi="Times New Roman" w:cs="Times New Roman"/>
          <w:sz w:val="24"/>
          <w:szCs w:val="24"/>
        </w:rPr>
        <w:t>P</w:t>
      </w:r>
      <w:r>
        <w:rPr>
          <w:rFonts w:ascii="Times New Roman" w:hAnsi="Times New Roman" w:cs="Times New Roman"/>
          <w:sz w:val="24"/>
          <w:szCs w:val="24"/>
        </w:rPr>
        <w:t>aswan</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 (2023). Effect of meteorological elements on sugarcane wilt in Bihar. </w:t>
      </w:r>
      <w:r>
        <w:rPr>
          <w:rFonts w:ascii="Times New Roman" w:hAnsi="Times New Roman" w:cs="Times New Roman"/>
          <w:i/>
          <w:iCs/>
          <w:sz w:val="24"/>
          <w:szCs w:val="24"/>
        </w:rPr>
        <w:t>International Journal of Statistics and Applied Mathematics</w:t>
      </w:r>
      <w:r>
        <w:rPr>
          <w:rFonts w:ascii="Times New Roman" w:hAnsi="Times New Roman" w:cs="Times New Roman"/>
          <w:sz w:val="24"/>
          <w:szCs w:val="24"/>
        </w:rPr>
        <w:t>, SP-</w:t>
      </w:r>
      <w:r>
        <w:rPr>
          <w:rFonts w:ascii="Times New Roman" w:hAnsi="Times New Roman" w:cs="Times New Roman"/>
          <w:b/>
          <w:bCs/>
          <w:sz w:val="24"/>
          <w:szCs w:val="24"/>
        </w:rPr>
        <w:t>8</w:t>
      </w:r>
      <w:r>
        <w:rPr>
          <w:rFonts w:ascii="Times New Roman" w:hAnsi="Times New Roman" w:cs="Times New Roman"/>
          <w:sz w:val="24"/>
          <w:szCs w:val="24"/>
        </w:rPr>
        <w:t>(4), 128-133.</w:t>
      </w:r>
    </w:p>
    <w:p w14:paraId="74B5D1B7"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Mehra</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xml:space="preserve">, R. K. (2015). Correlation and regression of meteorological </w:t>
      </w:r>
      <w:r>
        <w:rPr>
          <w:rFonts w:ascii="Times New Roman" w:hAnsi="Times New Roman" w:cs="Times New Roman"/>
          <w:sz w:val="24"/>
          <w:szCs w:val="24"/>
        </w:rPr>
        <w:t xml:space="preserve">factors with sugarcane smut disease caused by </w:t>
      </w:r>
      <w:proofErr w:type="spellStart"/>
      <w:r>
        <w:rPr>
          <w:rFonts w:ascii="Times New Roman" w:hAnsi="Times New Roman" w:cs="Times New Roman"/>
          <w:i/>
          <w:iCs/>
          <w:sz w:val="24"/>
          <w:szCs w:val="24"/>
        </w:rPr>
        <w:t>Sporisorium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scitaminea</w:t>
      </w:r>
      <w:proofErr w:type="spellEnd"/>
      <w:r>
        <w:rPr>
          <w:rFonts w:ascii="Times New Roman" w:hAnsi="Times New Roman" w:cs="Times New Roman"/>
          <w:sz w:val="24"/>
          <w:szCs w:val="24"/>
        </w:rPr>
        <w:t xml:space="preserve"> (syn. </w:t>
      </w:r>
      <w:proofErr w:type="spellStart"/>
      <w:r>
        <w:rPr>
          <w:rFonts w:ascii="Times New Roman" w:hAnsi="Times New Roman" w:cs="Times New Roman"/>
          <w:i/>
          <w:iCs/>
          <w:sz w:val="24"/>
          <w:szCs w:val="24"/>
        </w:rPr>
        <w:t>Ustilago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scitaminea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The Bioscan</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(4), 1691-1693.</w:t>
      </w:r>
    </w:p>
    <w:p w14:paraId="7E3B551C"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Md., Chand, H., </w:t>
      </w:r>
      <w:proofErr w:type="spellStart"/>
      <w:r>
        <w:rPr>
          <w:rFonts w:ascii="Times New Roman" w:hAnsi="Times New Roman" w:cs="Times New Roman"/>
          <w:sz w:val="24"/>
          <w:szCs w:val="24"/>
        </w:rPr>
        <w:t>Paswan</w:t>
      </w:r>
      <w:proofErr w:type="spellEnd"/>
      <w:r>
        <w:rPr>
          <w:rFonts w:ascii="Times New Roman" w:hAnsi="Times New Roman" w:cs="Times New Roman"/>
          <w:sz w:val="24"/>
          <w:szCs w:val="24"/>
        </w:rPr>
        <w:t xml:space="preserve">, S., &amp; Singh, S. P. (2020). Influence of weather on </w:t>
      </w:r>
      <w:proofErr w:type="spellStart"/>
      <w:r>
        <w:rPr>
          <w:rFonts w:ascii="Times New Roman" w:hAnsi="Times New Roman" w:cs="Times New Roman"/>
          <w:sz w:val="24"/>
          <w:szCs w:val="24"/>
        </w:rPr>
        <w:t>Pokkah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Boeng</w:t>
      </w:r>
      <w:proofErr w:type="spellEnd"/>
      <w:r>
        <w:rPr>
          <w:rFonts w:ascii="Times New Roman" w:hAnsi="Times New Roman" w:cs="Times New Roman"/>
          <w:sz w:val="24"/>
          <w:szCs w:val="24"/>
        </w:rPr>
        <w:t xml:space="preserve"> disease in sugarcane under </w:t>
      </w:r>
      <w:r>
        <w:rPr>
          <w:rFonts w:ascii="Times New Roman" w:hAnsi="Times New Roman" w:cs="Times New Roman"/>
          <w:sz w:val="24"/>
          <w:szCs w:val="24"/>
        </w:rPr>
        <w:t xml:space="preserve">North-West Alluvial Plains (Zone I) of Bihar. </w:t>
      </w:r>
      <w:r>
        <w:rPr>
          <w:rFonts w:ascii="Times New Roman" w:hAnsi="Times New Roman" w:cs="Times New Roman"/>
          <w:i/>
          <w:iCs/>
          <w:sz w:val="24"/>
          <w:szCs w:val="24"/>
        </w:rPr>
        <w:t>Journal of Agrometeorology</w:t>
      </w:r>
      <w:r>
        <w:rPr>
          <w:rFonts w:ascii="Times New Roman" w:hAnsi="Times New Roman" w:cs="Times New Roman"/>
          <w:sz w:val="24"/>
          <w:szCs w:val="24"/>
        </w:rPr>
        <w:t xml:space="preserve">, </w:t>
      </w:r>
      <w:r>
        <w:rPr>
          <w:rFonts w:ascii="Times New Roman" w:hAnsi="Times New Roman" w:cs="Times New Roman"/>
          <w:b/>
          <w:bCs/>
          <w:sz w:val="24"/>
          <w:szCs w:val="24"/>
        </w:rPr>
        <w:t>22</w:t>
      </w:r>
      <w:r>
        <w:rPr>
          <w:rFonts w:ascii="Times New Roman" w:hAnsi="Times New Roman" w:cs="Times New Roman"/>
          <w:sz w:val="24"/>
          <w:szCs w:val="24"/>
        </w:rPr>
        <w:t>(1), 60-62.</w:t>
      </w:r>
    </w:p>
    <w:p w14:paraId="453D0849"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Md., Singh, P., Singh, S. P., &amp; </w:t>
      </w:r>
      <w:proofErr w:type="spellStart"/>
      <w:r>
        <w:rPr>
          <w:rFonts w:ascii="Times New Roman" w:hAnsi="Times New Roman" w:cs="Times New Roman"/>
          <w:sz w:val="24"/>
          <w:szCs w:val="24"/>
        </w:rPr>
        <w:t>Aaradhna</w:t>
      </w:r>
      <w:proofErr w:type="spellEnd"/>
      <w:r>
        <w:rPr>
          <w:rFonts w:ascii="Times New Roman" w:hAnsi="Times New Roman" w:cs="Times New Roman"/>
          <w:sz w:val="24"/>
          <w:szCs w:val="24"/>
        </w:rPr>
        <w:t xml:space="preserve">. (2022). Sugarcane disease scenario, possible reasons for their spread and suitable remedies in Bihar condition. </w:t>
      </w:r>
      <w:r>
        <w:rPr>
          <w:rFonts w:ascii="Times New Roman" w:hAnsi="Times New Roman" w:cs="Times New Roman"/>
          <w:i/>
          <w:iCs/>
          <w:sz w:val="24"/>
          <w:szCs w:val="24"/>
        </w:rPr>
        <w:t>T</w:t>
      </w:r>
      <w:r>
        <w:rPr>
          <w:rFonts w:ascii="Times New Roman" w:hAnsi="Times New Roman" w:cs="Times New Roman"/>
          <w:i/>
          <w:iCs/>
          <w:sz w:val="24"/>
          <w:szCs w:val="24"/>
        </w:rPr>
        <w:t>he Plant Pathologist International</w:t>
      </w:r>
      <w:r>
        <w:rPr>
          <w:rFonts w:ascii="Times New Roman" w:hAnsi="Times New Roman" w:cs="Times New Roman"/>
          <w:sz w:val="24"/>
          <w:szCs w:val="24"/>
        </w:rPr>
        <w:t xml:space="preserve">, </w:t>
      </w:r>
      <w:r>
        <w:rPr>
          <w:rFonts w:ascii="Times New Roman" w:hAnsi="Times New Roman" w:cs="Times New Roman"/>
          <w:b/>
          <w:bCs/>
          <w:sz w:val="24"/>
          <w:szCs w:val="24"/>
        </w:rPr>
        <w:t>11</w:t>
      </w:r>
      <w:r>
        <w:rPr>
          <w:rFonts w:ascii="Times New Roman" w:hAnsi="Times New Roman" w:cs="Times New Roman"/>
          <w:sz w:val="24"/>
          <w:szCs w:val="24"/>
        </w:rPr>
        <w:t>(6), 655-659.</w:t>
      </w:r>
    </w:p>
    <w:p w14:paraId="5173AEC3"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Md., Singh, S. P., Singh, A. K., </w:t>
      </w:r>
      <w:proofErr w:type="spellStart"/>
      <w:r>
        <w:rPr>
          <w:rFonts w:ascii="Times New Roman" w:hAnsi="Times New Roman" w:cs="Times New Roman"/>
          <w:sz w:val="24"/>
          <w:szCs w:val="24"/>
        </w:rPr>
        <w:t>Aaradhna</w:t>
      </w:r>
      <w:proofErr w:type="spellEnd"/>
      <w:r>
        <w:rPr>
          <w:rFonts w:ascii="Times New Roman" w:hAnsi="Times New Roman" w:cs="Times New Roman"/>
          <w:sz w:val="24"/>
          <w:szCs w:val="24"/>
        </w:rPr>
        <w:t xml:space="preserve">, Kumar, A., &amp; Meena, S. K. (2021). Integrated disease management in sugarcane and estimated cost of components. </w:t>
      </w:r>
      <w:proofErr w:type="spellStart"/>
      <w:r>
        <w:rPr>
          <w:rFonts w:ascii="Times New Roman" w:hAnsi="Times New Roman" w:cs="Times New Roman"/>
          <w:i/>
          <w:iCs/>
          <w:sz w:val="24"/>
          <w:szCs w:val="24"/>
        </w:rPr>
        <w:t>Agriblossom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02</w:t>
      </w:r>
      <w:r>
        <w:rPr>
          <w:rFonts w:ascii="Times New Roman" w:hAnsi="Times New Roman" w:cs="Times New Roman"/>
          <w:sz w:val="24"/>
          <w:szCs w:val="24"/>
        </w:rPr>
        <w:t>(03), 42-49.</w:t>
      </w:r>
    </w:p>
    <w:p w14:paraId="5E044B4D"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Paswan</w:t>
      </w:r>
      <w:proofErr w:type="spellEnd"/>
      <w:r>
        <w:rPr>
          <w:rFonts w:ascii="Times New Roman" w:hAnsi="Times New Roman" w:cs="Times New Roman"/>
          <w:sz w:val="24"/>
          <w:szCs w:val="24"/>
        </w:rPr>
        <w:t>, S</w:t>
      </w:r>
      <w:r>
        <w:rPr>
          <w:rFonts w:ascii="Times New Roman" w:hAnsi="Times New Roman" w:cs="Times New Roman"/>
          <w:sz w:val="24"/>
          <w:szCs w:val="24"/>
        </w:rPr>
        <w:t xml:space="preserve">.,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 Kumar, M., &amp; Sattar, A. (2018). Impact of weather factors on development of red rot disease of sugarcane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-ecosystem.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(2), 8-12. </w:t>
      </w:r>
      <w:hyperlink r:id="rId8" w:history="1">
        <w:r w:rsidR="00240FD2">
          <w:rPr>
            <w:rStyle w:val="Hyperlink"/>
            <w:rFonts w:ascii="Times New Roman" w:hAnsi="Times New Roman" w:cs="Times New Roman"/>
            <w:sz w:val="24"/>
            <w:szCs w:val="24"/>
          </w:rPr>
          <w:t>https://doi.org/10.20546/ijcmas.2018.702.002</w:t>
        </w:r>
      </w:hyperlink>
      <w:r>
        <w:rPr>
          <w:rFonts w:ascii="Times New Roman" w:hAnsi="Times New Roman" w:cs="Times New Roman"/>
          <w:sz w:val="24"/>
          <w:szCs w:val="24"/>
        </w:rPr>
        <w:t xml:space="preserve"> </w:t>
      </w:r>
    </w:p>
    <w:p w14:paraId="65C9A85B"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 B., &amp; </w:t>
      </w:r>
      <w:proofErr w:type="spellStart"/>
      <w:r>
        <w:rPr>
          <w:rFonts w:ascii="Times New Roman" w:hAnsi="Times New Roman" w:cs="Times New Roman"/>
          <w:sz w:val="24"/>
          <w:szCs w:val="24"/>
        </w:rPr>
        <w:t>Hemaprabha</w:t>
      </w:r>
      <w:proofErr w:type="spellEnd"/>
      <w:r>
        <w:rPr>
          <w:rFonts w:ascii="Times New Roman" w:hAnsi="Times New Roman" w:cs="Times New Roman"/>
          <w:sz w:val="24"/>
          <w:szCs w:val="24"/>
        </w:rPr>
        <w:t xml:space="preserve">, G. (2020). The sugarcane variety Co 0238 – A reward to farmers and elixir to India’s sugar sector.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118</w:t>
      </w:r>
      <w:r>
        <w:rPr>
          <w:rFonts w:ascii="Times New Roman" w:hAnsi="Times New Roman" w:cs="Times New Roman"/>
          <w:sz w:val="24"/>
          <w:szCs w:val="24"/>
        </w:rPr>
        <w:t>(11).</w:t>
      </w:r>
    </w:p>
    <w:p w14:paraId="044C8DAB"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Rao, G. P., Viswanathan, R., &amp; Singh, S. B. (2002). Current situation of sugarcane diseases in India. In S. B. Singh, G. P. Rao, &amp; S. </w:t>
      </w:r>
      <w:proofErr w:type="spellStart"/>
      <w:r>
        <w:rPr>
          <w:rFonts w:ascii="Times New Roman" w:hAnsi="Times New Roman" w:cs="Times New Roman"/>
          <w:sz w:val="24"/>
          <w:szCs w:val="24"/>
        </w:rPr>
        <w:t>Eswaramoorthy</w:t>
      </w:r>
      <w:proofErr w:type="spellEnd"/>
      <w:r>
        <w:rPr>
          <w:rFonts w:ascii="Times New Roman" w:hAnsi="Times New Roman" w:cs="Times New Roman"/>
          <w:sz w:val="24"/>
          <w:szCs w:val="24"/>
        </w:rPr>
        <w:t xml:space="preserve"> (Eds.), Sugarcane crop management (pp. 734). </w:t>
      </w:r>
      <w:r>
        <w:rPr>
          <w:rFonts w:ascii="Times New Roman" w:hAnsi="Times New Roman" w:cs="Times New Roman"/>
          <w:i/>
          <w:iCs/>
          <w:sz w:val="24"/>
          <w:szCs w:val="24"/>
        </w:rPr>
        <w:t>SciTech Publishing</w:t>
      </w:r>
      <w:r>
        <w:rPr>
          <w:rFonts w:ascii="Times New Roman" w:hAnsi="Times New Roman" w:cs="Times New Roman"/>
          <w:sz w:val="24"/>
          <w:szCs w:val="24"/>
        </w:rPr>
        <w:t xml:space="preserve"> LLC.</w:t>
      </w:r>
    </w:p>
    <w:p w14:paraId="07E38E19"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Shukla, S. K., Sharma, L., Awasthi, S. </w:t>
      </w:r>
      <w:r>
        <w:rPr>
          <w:rFonts w:ascii="Times New Roman" w:hAnsi="Times New Roman" w:cs="Times New Roman"/>
          <w:sz w:val="24"/>
          <w:szCs w:val="24"/>
        </w:rPr>
        <w:t xml:space="preserve">K., &amp; Pathak, A. D. (2017). Sugarcane in India: Package of Practices for Different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Zones (AICRP (S) Technical Bulletin No. 1, pp. 1-64).</w:t>
      </w:r>
    </w:p>
    <w:p w14:paraId="3FCF18AB"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Viswanathan, R., &amp; Rao, G. P. (2011). Disease scenario and management of major sugarcane diseases in Indi</w:t>
      </w:r>
      <w:r>
        <w:rPr>
          <w:rFonts w:ascii="Times New Roman" w:hAnsi="Times New Roman" w:cs="Times New Roman"/>
          <w:sz w:val="24"/>
          <w:szCs w:val="24"/>
        </w:rPr>
        <w:t xml:space="preserve">a. </w:t>
      </w:r>
      <w:r>
        <w:rPr>
          <w:rFonts w:ascii="Times New Roman" w:hAnsi="Times New Roman" w:cs="Times New Roman"/>
          <w:i/>
          <w:iCs/>
          <w:sz w:val="24"/>
          <w:szCs w:val="24"/>
        </w:rPr>
        <w:t>Sugar Tech</w:t>
      </w:r>
      <w:r>
        <w:rPr>
          <w:rFonts w:ascii="Times New Roman" w:hAnsi="Times New Roman" w:cs="Times New Roman"/>
          <w:sz w:val="24"/>
          <w:szCs w:val="24"/>
        </w:rPr>
        <w:t xml:space="preserve">, </w:t>
      </w:r>
      <w:r>
        <w:rPr>
          <w:rFonts w:ascii="Times New Roman" w:hAnsi="Times New Roman" w:cs="Times New Roman"/>
          <w:b/>
          <w:bCs/>
          <w:sz w:val="24"/>
          <w:szCs w:val="24"/>
        </w:rPr>
        <w:t>13</w:t>
      </w:r>
      <w:r>
        <w:rPr>
          <w:rFonts w:ascii="Times New Roman" w:hAnsi="Times New Roman" w:cs="Times New Roman"/>
          <w:sz w:val="24"/>
          <w:szCs w:val="24"/>
        </w:rPr>
        <w:t xml:space="preserve">(4), 336-353. </w:t>
      </w:r>
      <w:hyperlink r:id="rId9" w:history="1">
        <w:r w:rsidR="00240FD2">
          <w:rPr>
            <w:rStyle w:val="Hyperlink"/>
            <w:rFonts w:ascii="Times New Roman" w:hAnsi="Times New Roman" w:cs="Times New Roman"/>
            <w:sz w:val="24"/>
            <w:szCs w:val="24"/>
          </w:rPr>
          <w:t>https://doi.org/10.1007/s12355-011-0055-5</w:t>
        </w:r>
      </w:hyperlink>
    </w:p>
    <w:sectPr w:rsidR="00240F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F0608" w14:textId="77777777" w:rsidR="00201F09" w:rsidRDefault="00201F09">
      <w:pPr>
        <w:spacing w:line="240" w:lineRule="auto"/>
      </w:pPr>
      <w:r>
        <w:separator/>
      </w:r>
    </w:p>
  </w:endnote>
  <w:endnote w:type="continuationSeparator" w:id="0">
    <w:p w14:paraId="780AB19D" w14:textId="77777777" w:rsidR="00201F09" w:rsidRDefault="00201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D943" w14:textId="77777777" w:rsidR="009E51D8" w:rsidRDefault="009E5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EC4E" w14:textId="77777777" w:rsidR="009E51D8" w:rsidRDefault="009E5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1B94C" w14:textId="77777777" w:rsidR="009E51D8" w:rsidRDefault="009E5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5A04" w14:textId="77777777" w:rsidR="00201F09" w:rsidRDefault="00201F09">
      <w:pPr>
        <w:spacing w:after="0"/>
      </w:pPr>
      <w:r>
        <w:separator/>
      </w:r>
    </w:p>
  </w:footnote>
  <w:footnote w:type="continuationSeparator" w:id="0">
    <w:p w14:paraId="3C7BDC39" w14:textId="77777777" w:rsidR="00201F09" w:rsidRDefault="00201F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87CB" w14:textId="28A0CD7F" w:rsidR="009E51D8" w:rsidRDefault="009E51D8">
    <w:pPr>
      <w:pStyle w:val="Header"/>
    </w:pPr>
    <w:r>
      <w:rPr>
        <w:noProof/>
      </w:rPr>
      <w:pict w14:anchorId="6EA41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9F86" w14:textId="7B915285" w:rsidR="009E51D8" w:rsidRDefault="009E51D8">
    <w:pPr>
      <w:pStyle w:val="Header"/>
    </w:pPr>
    <w:r>
      <w:rPr>
        <w:noProof/>
      </w:rPr>
      <w:pict w14:anchorId="73436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83B6" w14:textId="7D868ACB" w:rsidR="009E51D8" w:rsidRDefault="009E51D8">
    <w:pPr>
      <w:pStyle w:val="Header"/>
    </w:pPr>
    <w:r>
      <w:rPr>
        <w:noProof/>
      </w:rPr>
      <w:pict w14:anchorId="507A4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28"/>
    <w:rsid w:val="00024637"/>
    <w:rsid w:val="00024849"/>
    <w:rsid w:val="00026F2D"/>
    <w:rsid w:val="00066B27"/>
    <w:rsid w:val="000E10EA"/>
    <w:rsid w:val="000F49A9"/>
    <w:rsid w:val="001146CA"/>
    <w:rsid w:val="00155912"/>
    <w:rsid w:val="00166730"/>
    <w:rsid w:val="0018095A"/>
    <w:rsid w:val="001C3B3F"/>
    <w:rsid w:val="00201F09"/>
    <w:rsid w:val="00207A28"/>
    <w:rsid w:val="00217F5C"/>
    <w:rsid w:val="0022308A"/>
    <w:rsid w:val="00240FD2"/>
    <w:rsid w:val="00263873"/>
    <w:rsid w:val="00296390"/>
    <w:rsid w:val="002A6B9C"/>
    <w:rsid w:val="0032053E"/>
    <w:rsid w:val="003743BE"/>
    <w:rsid w:val="00375A16"/>
    <w:rsid w:val="003C5438"/>
    <w:rsid w:val="003E776B"/>
    <w:rsid w:val="00440E9E"/>
    <w:rsid w:val="004A6357"/>
    <w:rsid w:val="004E458C"/>
    <w:rsid w:val="004F2A22"/>
    <w:rsid w:val="004F4348"/>
    <w:rsid w:val="004F6D6C"/>
    <w:rsid w:val="005114E6"/>
    <w:rsid w:val="0051330F"/>
    <w:rsid w:val="0052630B"/>
    <w:rsid w:val="00582981"/>
    <w:rsid w:val="00600C9F"/>
    <w:rsid w:val="00657678"/>
    <w:rsid w:val="00692474"/>
    <w:rsid w:val="006C2A99"/>
    <w:rsid w:val="006C2E9F"/>
    <w:rsid w:val="006C6AC1"/>
    <w:rsid w:val="006D23A0"/>
    <w:rsid w:val="00703F80"/>
    <w:rsid w:val="008B28AA"/>
    <w:rsid w:val="008B3D47"/>
    <w:rsid w:val="008E6247"/>
    <w:rsid w:val="009059A9"/>
    <w:rsid w:val="00923CC3"/>
    <w:rsid w:val="009551E5"/>
    <w:rsid w:val="009916BC"/>
    <w:rsid w:val="009C74F1"/>
    <w:rsid w:val="009E1D6D"/>
    <w:rsid w:val="009E51D8"/>
    <w:rsid w:val="009F5D8A"/>
    <w:rsid w:val="00A11FCF"/>
    <w:rsid w:val="00A45263"/>
    <w:rsid w:val="00A569D8"/>
    <w:rsid w:val="00A84B76"/>
    <w:rsid w:val="00AE5AB7"/>
    <w:rsid w:val="00B807E1"/>
    <w:rsid w:val="00BA15B9"/>
    <w:rsid w:val="00BB1F14"/>
    <w:rsid w:val="00BC4579"/>
    <w:rsid w:val="00BE4084"/>
    <w:rsid w:val="00C77DE6"/>
    <w:rsid w:val="00C86BFC"/>
    <w:rsid w:val="00CA3D91"/>
    <w:rsid w:val="00CB5CA6"/>
    <w:rsid w:val="00CE6B2C"/>
    <w:rsid w:val="00CF1E5B"/>
    <w:rsid w:val="00D05847"/>
    <w:rsid w:val="00E106CC"/>
    <w:rsid w:val="00E16F50"/>
    <w:rsid w:val="00E171C5"/>
    <w:rsid w:val="00E52265"/>
    <w:rsid w:val="00F05329"/>
    <w:rsid w:val="00F12E5D"/>
    <w:rsid w:val="00F34CB3"/>
    <w:rsid w:val="00FC5403"/>
    <w:rsid w:val="00FD20EF"/>
    <w:rsid w:val="00FD7E78"/>
    <w:rsid w:val="00FE2C1F"/>
    <w:rsid w:val="00FF6D35"/>
    <w:rsid w:val="624F616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B9434"/>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rPr>
      <w:kern w:val="0"/>
      <w:lang w:bidi="or-IN"/>
      <w14:ligatures w14:val="none"/>
    </w:rPr>
  </w:style>
  <w:style w:type="character" w:styleId="PlaceholderText">
    <w:name w:val="Placeholder Text"/>
    <w:basedOn w:val="DefaultParagraphFont"/>
    <w:uiPriority w:val="99"/>
    <w:semiHidden/>
    <w:rPr>
      <w:color w:val="66666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4F6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0546/ijcmas.2018.702.00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7/s12355-011-0055-5"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51de5e121040e49/Desktop/Data/DATA%201/FINAL%20DATA%20PIYUS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Data\DATA%201\FINAL%20DATA%20PIYUS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Sheet16!$L$53</c:f>
              <c:strCache>
                <c:ptCount val="1"/>
                <c:pt idx="0">
                  <c:v>Disease incidence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Sheet16!$K$55:$K$70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Sheet16!$L$55:$L$70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extLst>
            <c:ext xmlns:c16="http://schemas.microsoft.com/office/drawing/2014/chart" uri="{C3380CC4-5D6E-409C-BE32-E72D297353CC}">
              <c16:uniqueId val="{00000000-6B20-4A38-BC1E-5B1E4D60EC5E}"/>
            </c:ext>
          </c:extLst>
        </c:ser>
        <c:dLbls>
          <c:showLegendKey val="0"/>
          <c:showVal val="1"/>
          <c:showCatName val="0"/>
          <c:showSerName val="0"/>
          <c:showPercent val="0"/>
          <c:showBubbleSize val="0"/>
        </c:dLbls>
        <c:gapWidth val="164"/>
        <c:overlap val="-22"/>
        <c:axId val="473153215"/>
        <c:axId val="473137855"/>
      </c:barChart>
      <c:catAx>
        <c:axId val="473153215"/>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crossAx val="473137855"/>
        <c:crosses val="autoZero"/>
        <c:auto val="1"/>
        <c:lblAlgn val="ctr"/>
        <c:lblOffset val="100"/>
        <c:noMultiLvlLbl val="0"/>
      </c:catAx>
      <c:valAx>
        <c:axId val="47313785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b="1">
                    <a:solidFill>
                      <a:srgbClr val="FF0000"/>
                    </a:solidFill>
                    <a:latin typeface="Times New Roman" panose="02020603050405020304" charset="0"/>
                    <a:cs typeface="Times New Roman" panose="02020603050405020304" charset="0"/>
                  </a:rPr>
                  <a:t>Disease</a:t>
                </a:r>
                <a:r>
                  <a:rPr lang="en-IN" sz="1200" b="1" baseline="0">
                    <a:solidFill>
                      <a:srgbClr val="FF0000"/>
                    </a:solidFill>
                    <a:latin typeface="Times New Roman" panose="02020603050405020304" charset="0"/>
                    <a:cs typeface="Times New Roman" panose="02020603050405020304" charset="0"/>
                  </a:rPr>
                  <a:t> Incidence</a:t>
                </a:r>
                <a:endParaRPr lang="en-IN" sz="1200" b="1">
                  <a:solidFill>
                    <a:srgbClr val="FF0000"/>
                  </a:solidFill>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crossAx val="473153215"/>
        <c:crosses val="autoZero"/>
        <c:crossBetween val="between"/>
      </c:valAx>
      <c:spPr>
        <a:noFill/>
        <a:ln>
          <a:noFill/>
        </a:ln>
        <a:effectLst/>
      </c:spPr>
    </c:plotArea>
    <c:plotVisOnly val="1"/>
    <c:dispBlanksAs val="gap"/>
    <c:showDLblsOverMax val="0"/>
    <c:extLst>
      <c:ext uri="{0b15fc19-7d7d-44ad-8c2d-2c3a37ce22c3}">
        <chartProps xmlns="https://web.wps.cn/et/2018/main" chartId="{25b1e495-90df-453c-aff9-73e96f0c38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Sheet16!$L$53</c:f>
              <c:strCache>
                <c:ptCount val="1"/>
                <c:pt idx="0">
                  <c:v>Disease incidence</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Sheet16!$L$54:$L$70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smooth val="0"/>
          <c:extLst>
            <c:ext xmlns:c16="http://schemas.microsoft.com/office/drawing/2014/chart" uri="{C3380CC4-5D6E-409C-BE32-E72D297353CC}">
              <c16:uniqueId val="{00000000-AE39-40B7-A75B-2EA8B267ADC4}"/>
            </c:ext>
          </c:extLst>
        </c:ser>
        <c:ser>
          <c:idx val="1"/>
          <c:order val="1"/>
          <c:tx>
            <c:strRef>
              <c:f>Sheet16!$M$53</c:f>
              <c:strCache>
                <c:ptCount val="1"/>
                <c:pt idx="0">
                  <c:v>Temperature (°C)</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Sheet16!$M$54:$M$70</c:f>
              <c:numCache>
                <c:formatCode>General</c:formatCode>
                <c:ptCount val="16"/>
                <c:pt idx="0">
                  <c:v>40.200000000000003</c:v>
                </c:pt>
                <c:pt idx="1">
                  <c:v>36.200000000000003</c:v>
                </c:pt>
                <c:pt idx="2">
                  <c:v>32.6</c:v>
                </c:pt>
                <c:pt idx="3">
                  <c:v>35</c:v>
                </c:pt>
                <c:pt idx="4">
                  <c:v>31.8</c:v>
                </c:pt>
                <c:pt idx="5">
                  <c:v>32.5</c:v>
                </c:pt>
                <c:pt idx="6">
                  <c:v>33.700000000000003</c:v>
                </c:pt>
                <c:pt idx="7">
                  <c:v>31.7</c:v>
                </c:pt>
                <c:pt idx="8">
                  <c:v>32.4</c:v>
                </c:pt>
                <c:pt idx="9">
                  <c:v>31.3</c:v>
                </c:pt>
                <c:pt idx="10">
                  <c:v>30.2</c:v>
                </c:pt>
                <c:pt idx="11">
                  <c:v>29.3</c:v>
                </c:pt>
                <c:pt idx="12">
                  <c:v>25.7</c:v>
                </c:pt>
                <c:pt idx="13">
                  <c:v>24.1</c:v>
                </c:pt>
                <c:pt idx="14">
                  <c:v>19</c:v>
                </c:pt>
                <c:pt idx="15">
                  <c:v>16.100000000000001</c:v>
                </c:pt>
              </c:numCache>
            </c:numRef>
          </c:val>
          <c:smooth val="0"/>
          <c:extLst>
            <c:ext xmlns:c16="http://schemas.microsoft.com/office/drawing/2014/chart" uri="{C3380CC4-5D6E-409C-BE32-E72D297353CC}">
              <c16:uniqueId val="{00000001-AE39-40B7-A75B-2EA8B267ADC4}"/>
            </c:ext>
          </c:extLst>
        </c:ser>
        <c:ser>
          <c:idx val="2"/>
          <c:order val="2"/>
          <c:tx>
            <c:strRef>
              <c:f>Sheet16!$N$53</c:f>
              <c:strCache>
                <c:ptCount val="1"/>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Sheet16!$N$54:$N$70</c:f>
              <c:numCache>
                <c:formatCode>General</c:formatCode>
                <c:ptCount val="16"/>
                <c:pt idx="0">
                  <c:v>23.8</c:v>
                </c:pt>
                <c:pt idx="1">
                  <c:v>25.3</c:v>
                </c:pt>
                <c:pt idx="2">
                  <c:v>24.9</c:v>
                </c:pt>
                <c:pt idx="3">
                  <c:v>25.9</c:v>
                </c:pt>
                <c:pt idx="4">
                  <c:v>24.6</c:v>
                </c:pt>
                <c:pt idx="5">
                  <c:v>24.7</c:v>
                </c:pt>
                <c:pt idx="6">
                  <c:v>24.8</c:v>
                </c:pt>
                <c:pt idx="7">
                  <c:v>24</c:v>
                </c:pt>
                <c:pt idx="8">
                  <c:v>24.4</c:v>
                </c:pt>
                <c:pt idx="9">
                  <c:v>19.5</c:v>
                </c:pt>
                <c:pt idx="10">
                  <c:v>17.399999999999999</c:v>
                </c:pt>
                <c:pt idx="11">
                  <c:v>15.1</c:v>
                </c:pt>
                <c:pt idx="12">
                  <c:v>13.6</c:v>
                </c:pt>
                <c:pt idx="13">
                  <c:v>10.3</c:v>
                </c:pt>
                <c:pt idx="14">
                  <c:v>9.8000000000000007</c:v>
                </c:pt>
                <c:pt idx="15">
                  <c:v>8</c:v>
                </c:pt>
              </c:numCache>
            </c:numRef>
          </c:val>
          <c:smooth val="0"/>
          <c:extLst>
            <c:ext xmlns:c16="http://schemas.microsoft.com/office/drawing/2014/chart" uri="{C3380CC4-5D6E-409C-BE32-E72D297353CC}">
              <c16:uniqueId val="{00000002-AE39-40B7-A75B-2EA8B267ADC4}"/>
            </c:ext>
          </c:extLst>
        </c:ser>
        <c:ser>
          <c:idx val="3"/>
          <c:order val="3"/>
          <c:tx>
            <c:strRef>
              <c:f>Sheet16!$O$53</c:f>
              <c:strCache>
                <c:ptCount val="1"/>
                <c:pt idx="0">
                  <c:v>Relative humidity (%)</c:v>
                </c:pt>
              </c:strCache>
            </c:strRef>
          </c:tx>
          <c:spPr>
            <a:ln w="22225" cap="rnd">
              <a:solidFill>
                <a:schemeClr val="accent2">
                  <a:lumMod val="60000"/>
                </a:schemeClr>
              </a:solidFill>
              <a:round/>
            </a:ln>
            <a:effectLst/>
          </c:spPr>
          <c:marker>
            <c:symbol val="x"/>
            <c:size val="6"/>
            <c:spPr>
              <a:noFill/>
              <a:ln w="9525">
                <a:solidFill>
                  <a:schemeClr val="accent2">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Sheet16!$O$54:$O$70</c:f>
              <c:numCache>
                <c:formatCode>General</c:formatCode>
                <c:ptCount val="16"/>
                <c:pt idx="0">
                  <c:v>71.599999999999994</c:v>
                </c:pt>
                <c:pt idx="1">
                  <c:v>86.2</c:v>
                </c:pt>
                <c:pt idx="2">
                  <c:v>93.2</c:v>
                </c:pt>
                <c:pt idx="3">
                  <c:v>84.4</c:v>
                </c:pt>
                <c:pt idx="4">
                  <c:v>94.3</c:v>
                </c:pt>
                <c:pt idx="5">
                  <c:v>92.5</c:v>
                </c:pt>
                <c:pt idx="6">
                  <c:v>92.8</c:v>
                </c:pt>
                <c:pt idx="7">
                  <c:v>95.2</c:v>
                </c:pt>
                <c:pt idx="8">
                  <c:v>94.2</c:v>
                </c:pt>
                <c:pt idx="9">
                  <c:v>94.3</c:v>
                </c:pt>
                <c:pt idx="10">
                  <c:v>96.4</c:v>
                </c:pt>
                <c:pt idx="11">
                  <c:v>93.2</c:v>
                </c:pt>
                <c:pt idx="12">
                  <c:v>96.8</c:v>
                </c:pt>
                <c:pt idx="13">
                  <c:v>96.7</c:v>
                </c:pt>
                <c:pt idx="14">
                  <c:v>97.9</c:v>
                </c:pt>
                <c:pt idx="15">
                  <c:v>97.5</c:v>
                </c:pt>
              </c:numCache>
            </c:numRef>
          </c:val>
          <c:smooth val="0"/>
          <c:extLst>
            <c:ext xmlns:c16="http://schemas.microsoft.com/office/drawing/2014/chart" uri="{C3380CC4-5D6E-409C-BE32-E72D297353CC}">
              <c16:uniqueId val="{00000003-AE39-40B7-A75B-2EA8B267ADC4}"/>
            </c:ext>
          </c:extLst>
        </c:ser>
        <c:ser>
          <c:idx val="4"/>
          <c:order val="4"/>
          <c:tx>
            <c:strRef>
              <c:f>Sheet16!$P$53</c:f>
              <c:strCache>
                <c:ptCount val="1"/>
              </c:strCache>
            </c:strRef>
          </c:tx>
          <c:spPr>
            <a:ln w="22225" cap="rnd">
              <a:solidFill>
                <a:schemeClr val="accent4">
                  <a:lumMod val="60000"/>
                </a:schemeClr>
              </a:solidFill>
              <a:round/>
            </a:ln>
            <a:effectLst/>
          </c:spPr>
          <c:marker>
            <c:symbol val="star"/>
            <c:size val="6"/>
            <c:spPr>
              <a:noFill/>
              <a:ln w="9525">
                <a:solidFill>
                  <a:schemeClr val="accent4">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Sheet16!$P$54:$P$70</c:f>
              <c:numCache>
                <c:formatCode>General</c:formatCode>
                <c:ptCount val="16"/>
                <c:pt idx="0">
                  <c:v>34.200000000000003</c:v>
                </c:pt>
                <c:pt idx="1">
                  <c:v>56.9</c:v>
                </c:pt>
                <c:pt idx="2">
                  <c:v>78.5</c:v>
                </c:pt>
                <c:pt idx="3">
                  <c:v>62.6</c:v>
                </c:pt>
                <c:pt idx="4">
                  <c:v>79.599999999999994</c:v>
                </c:pt>
                <c:pt idx="5">
                  <c:v>74.8</c:v>
                </c:pt>
                <c:pt idx="6">
                  <c:v>75</c:v>
                </c:pt>
                <c:pt idx="7">
                  <c:v>78.7</c:v>
                </c:pt>
                <c:pt idx="8">
                  <c:v>71.099999999999994</c:v>
                </c:pt>
                <c:pt idx="9">
                  <c:v>56.6</c:v>
                </c:pt>
                <c:pt idx="10">
                  <c:v>53.6</c:v>
                </c:pt>
                <c:pt idx="11">
                  <c:v>51.6</c:v>
                </c:pt>
                <c:pt idx="12">
                  <c:v>58.4</c:v>
                </c:pt>
                <c:pt idx="13">
                  <c:v>59.5</c:v>
                </c:pt>
                <c:pt idx="14">
                  <c:v>70.599999999999994</c:v>
                </c:pt>
                <c:pt idx="15">
                  <c:v>76</c:v>
                </c:pt>
              </c:numCache>
            </c:numRef>
          </c:val>
          <c:smooth val="0"/>
          <c:extLst>
            <c:ext xmlns:c16="http://schemas.microsoft.com/office/drawing/2014/chart" uri="{C3380CC4-5D6E-409C-BE32-E72D297353CC}">
              <c16:uniqueId val="{00000004-AE39-40B7-A75B-2EA8B267ADC4}"/>
            </c:ext>
          </c:extLst>
        </c:ser>
        <c:ser>
          <c:idx val="5"/>
          <c:order val="5"/>
          <c:tx>
            <c:strRef>
              <c:f>Sheet16!$Q$53</c:f>
              <c:strCache>
                <c:ptCount val="1"/>
                <c:pt idx="0">
                  <c:v>Rainfall (mm)</c:v>
                </c:pt>
              </c:strCache>
            </c:strRef>
          </c:tx>
          <c:spPr>
            <a:ln w="22225" cap="rnd">
              <a:solidFill>
                <a:schemeClr val="accent6">
                  <a:lumMod val="60000"/>
                </a:schemeClr>
              </a:solidFill>
              <a:round/>
            </a:ln>
            <a:effectLst/>
          </c:spPr>
          <c:marker>
            <c:symbol val="circle"/>
            <c:size val="6"/>
            <c:spPr>
              <a:solidFill>
                <a:schemeClr val="accent6">
                  <a:lumMod val="60000"/>
                </a:schemeClr>
              </a:solidFill>
              <a:ln w="9525">
                <a:solidFill>
                  <a:schemeClr val="accent6">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Sheet16!$Q$54:$Q$70</c:f>
              <c:numCache>
                <c:formatCode>General</c:formatCode>
                <c:ptCount val="16"/>
                <c:pt idx="0">
                  <c:v>0</c:v>
                </c:pt>
                <c:pt idx="1">
                  <c:v>92.6</c:v>
                </c:pt>
                <c:pt idx="2">
                  <c:v>63.6</c:v>
                </c:pt>
                <c:pt idx="3">
                  <c:v>82.6</c:v>
                </c:pt>
                <c:pt idx="4">
                  <c:v>388.5</c:v>
                </c:pt>
                <c:pt idx="5">
                  <c:v>144.4</c:v>
                </c:pt>
                <c:pt idx="6">
                  <c:v>99</c:v>
                </c:pt>
                <c:pt idx="7">
                  <c:v>335.6</c:v>
                </c:pt>
                <c:pt idx="8">
                  <c:v>38.4</c:v>
                </c:pt>
                <c:pt idx="9">
                  <c:v>1.2</c:v>
                </c:pt>
                <c:pt idx="10">
                  <c:v>0</c:v>
                </c:pt>
                <c:pt idx="11">
                  <c:v>0</c:v>
                </c:pt>
                <c:pt idx="12">
                  <c:v>4.5999999999999996</c:v>
                </c:pt>
                <c:pt idx="13">
                  <c:v>0</c:v>
                </c:pt>
                <c:pt idx="14">
                  <c:v>105.6</c:v>
                </c:pt>
                <c:pt idx="15">
                  <c:v>70.3</c:v>
                </c:pt>
              </c:numCache>
            </c:numRef>
          </c:val>
          <c:smooth val="0"/>
          <c:extLst>
            <c:ext xmlns:c16="http://schemas.microsoft.com/office/drawing/2014/chart" uri="{C3380CC4-5D6E-409C-BE32-E72D297353CC}">
              <c16:uniqueId val="{00000005-AE39-40B7-A75B-2EA8B267ADC4}"/>
            </c:ext>
          </c:extLst>
        </c:ser>
        <c:ser>
          <c:idx val="6"/>
          <c:order val="6"/>
          <c:tx>
            <c:strRef>
              <c:f>Sheet16!$R$53</c:f>
              <c:strCache>
                <c:ptCount val="1"/>
                <c:pt idx="0">
                  <c:v>Bright sunshine (hr)</c:v>
                </c:pt>
              </c:strCache>
            </c:strRef>
          </c:tx>
          <c:spPr>
            <a:ln w="22225" cap="rnd">
              <a:solidFill>
                <a:schemeClr val="accent2">
                  <a:lumMod val="80000"/>
                  <a:lumOff val="20000"/>
                </a:schemeClr>
              </a:solidFill>
              <a:round/>
            </a:ln>
            <a:effectLst/>
          </c:spPr>
          <c:marker>
            <c:symbol val="plus"/>
            <c:size val="6"/>
            <c:spPr>
              <a:noFill/>
              <a:ln w="9525">
                <a:solidFill>
                  <a:schemeClr val="accent2">
                    <a:lumMod val="80000"/>
                    <a:lumOff val="2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Sheet16!$R$54:$R$70</c:f>
              <c:numCache>
                <c:formatCode>General</c:formatCode>
                <c:ptCount val="16"/>
                <c:pt idx="0">
                  <c:v>9.6</c:v>
                </c:pt>
                <c:pt idx="1">
                  <c:v>4.9000000000000004</c:v>
                </c:pt>
                <c:pt idx="2">
                  <c:v>2.2000000000000002</c:v>
                </c:pt>
                <c:pt idx="3">
                  <c:v>7.4</c:v>
                </c:pt>
                <c:pt idx="4">
                  <c:v>2.6</c:v>
                </c:pt>
                <c:pt idx="5">
                  <c:v>3.6</c:v>
                </c:pt>
                <c:pt idx="6">
                  <c:v>4.4000000000000004</c:v>
                </c:pt>
                <c:pt idx="7">
                  <c:v>4.0999999999999996</c:v>
                </c:pt>
                <c:pt idx="8">
                  <c:v>5.8</c:v>
                </c:pt>
                <c:pt idx="9">
                  <c:v>8.6</c:v>
                </c:pt>
                <c:pt idx="10">
                  <c:v>4.5</c:v>
                </c:pt>
                <c:pt idx="11">
                  <c:v>5.8</c:v>
                </c:pt>
                <c:pt idx="12">
                  <c:v>3.7</c:v>
                </c:pt>
                <c:pt idx="13">
                  <c:v>4.9000000000000004</c:v>
                </c:pt>
                <c:pt idx="14">
                  <c:v>0.8</c:v>
                </c:pt>
                <c:pt idx="15">
                  <c:v>0.9</c:v>
                </c:pt>
              </c:numCache>
            </c:numRef>
          </c:val>
          <c:smooth val="0"/>
          <c:extLst>
            <c:ext xmlns:c16="http://schemas.microsoft.com/office/drawing/2014/chart" uri="{C3380CC4-5D6E-409C-BE32-E72D297353CC}">
              <c16:uniqueId val="{00000006-AE39-40B7-A75B-2EA8B267ADC4}"/>
            </c:ext>
          </c:extLst>
        </c:ser>
        <c:dLbls>
          <c:showLegendKey val="0"/>
          <c:showVal val="0"/>
          <c:showCatName val="0"/>
          <c:showSerName val="0"/>
          <c:showPercent val="0"/>
          <c:showBubbleSize val="0"/>
        </c:dLbls>
        <c:marker val="1"/>
        <c:smooth val="0"/>
        <c:axId val="46560815"/>
        <c:axId val="46561295"/>
      </c:lineChart>
      <c:catAx>
        <c:axId val="465608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r>
                  <a:rPr lang="en-IN" sz="1200" b="1">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cap="all" spc="120" normalizeH="0" baseline="0">
                <a:solidFill>
                  <a:srgbClr val="0070C0"/>
                </a:solidFill>
                <a:latin typeface="Times New Roman" panose="02020603050405020304" charset="0"/>
                <a:ea typeface="+mn-ea"/>
                <a:cs typeface="Times New Roman" panose="02020603050405020304" charset="0"/>
              </a:defRPr>
            </a:pPr>
            <a:endParaRPr lang="en-US"/>
          </a:p>
        </c:txPr>
        <c:crossAx val="46561295"/>
        <c:crosses val="autoZero"/>
        <c:auto val="1"/>
        <c:lblAlgn val="ctr"/>
        <c:lblOffset val="100"/>
        <c:noMultiLvlLbl val="0"/>
      </c:catAx>
      <c:valAx>
        <c:axId val="4656129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r>
                  <a:rPr lang="en-IN" sz="1200" b="1" i="0" u="none" strike="noStrike" kern="1200" cap="all" baseline="0">
                    <a:solidFill>
                      <a:srgbClr val="FF0000"/>
                    </a:solidFill>
                    <a:latin typeface="Times New Roman" panose="02020603050405020304" charset="0"/>
                    <a:cs typeface="Times New Roman" panose="02020603050405020304" charset="0"/>
                  </a:rPr>
                  <a:t>Weather Parameters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crossAx val="4656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50010dd-3e4c-4853-a98f-a0a98efacfc3}"/>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2660</Words>
  <Characters>15162</Characters>
  <Application>Microsoft Office Word</Application>
  <DocSecurity>0</DocSecurity>
  <Lines>126</Lines>
  <Paragraphs>35</Paragraphs>
  <ScaleCrop>false</ScaleCrop>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 Kumar</dc:creator>
  <cp:lastModifiedBy>SDI 1084</cp:lastModifiedBy>
  <cp:revision>6</cp:revision>
  <dcterms:created xsi:type="dcterms:W3CDTF">2025-09-04T12:36:00Z</dcterms:created>
  <dcterms:modified xsi:type="dcterms:W3CDTF">2025-09-06T07:21:00Z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1099654244D643F981761800C6D7A8A5_12</vt:lpwstr>
  </property>
</Properties>
</file>