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6E03D" w14:textId="62BAAD6B" w:rsidR="00E15F96" w:rsidRDefault="008A7C09" w:rsidP="006D0DB0">
      <w:pPr>
        <w:pStyle w:val="Title"/>
        <w:spacing w:after="0"/>
        <w:jc w:val="left"/>
        <w:rPr>
          <w:rFonts w:ascii="Arial" w:hAnsi="Arial" w:cs="Arial"/>
          <w:szCs w:val="36"/>
        </w:rPr>
      </w:pPr>
      <w:r w:rsidRPr="008A7C09">
        <w:rPr>
          <w:rFonts w:ascii="Arial" w:hAnsi="Arial" w:cs="Arial"/>
          <w:szCs w:val="36"/>
        </w:rPr>
        <w:t xml:space="preserve">Effect of </w:t>
      </w:r>
      <w:r>
        <w:rPr>
          <w:rFonts w:ascii="Arial" w:hAnsi="Arial" w:cs="Arial"/>
          <w:szCs w:val="36"/>
        </w:rPr>
        <w:t>heavy metal</w:t>
      </w:r>
      <w:r w:rsidRPr="008A7C09">
        <w:rPr>
          <w:rFonts w:ascii="Arial" w:hAnsi="Arial" w:cs="Arial"/>
          <w:szCs w:val="36"/>
        </w:rPr>
        <w:t xml:space="preserve"> Stress on</w:t>
      </w:r>
      <w:r>
        <w:rPr>
          <w:rFonts w:ascii="Arial" w:hAnsi="Arial" w:cs="Arial"/>
          <w:szCs w:val="36"/>
        </w:rPr>
        <w:t xml:space="preserve"> seed </w:t>
      </w:r>
      <w:r w:rsidRPr="008A7C09">
        <w:rPr>
          <w:rFonts w:ascii="Arial" w:hAnsi="Arial" w:cs="Arial"/>
          <w:szCs w:val="36"/>
        </w:rPr>
        <w:t>Germination and Relative Water Content in</w:t>
      </w:r>
      <w:r>
        <w:rPr>
          <w:rFonts w:ascii="Arial" w:hAnsi="Arial" w:cs="Arial"/>
          <w:szCs w:val="36"/>
        </w:rPr>
        <w:t xml:space="preserve"> </w:t>
      </w:r>
      <w:r w:rsidRPr="008A7C09">
        <w:rPr>
          <w:rFonts w:ascii="Arial" w:hAnsi="Arial" w:cs="Arial"/>
          <w:szCs w:val="36"/>
        </w:rPr>
        <w:t>Tomato Genotypes</w:t>
      </w:r>
    </w:p>
    <w:p w14:paraId="10AA7DAE" w14:textId="77777777" w:rsidR="008A7C09" w:rsidRPr="004427FC" w:rsidRDefault="008A7C09" w:rsidP="008A7C09">
      <w:pPr>
        <w:pStyle w:val="Title"/>
        <w:spacing w:after="0"/>
        <w:jc w:val="both"/>
        <w:rPr>
          <w:rFonts w:ascii="Arial" w:hAnsi="Arial" w:cs="Arial"/>
          <w:szCs w:val="36"/>
        </w:rPr>
      </w:pPr>
    </w:p>
    <w:p w14:paraId="7AC9F754" w14:textId="77777777" w:rsidR="00E15F96" w:rsidRPr="00FB3A86" w:rsidRDefault="00E15F96" w:rsidP="00E15F96">
      <w:pPr>
        <w:pStyle w:val="Copyright"/>
        <w:spacing w:after="0" w:line="240" w:lineRule="auto"/>
        <w:jc w:val="both"/>
        <w:rPr>
          <w:rFonts w:ascii="Arial" w:hAnsi="Arial" w:cs="Arial"/>
        </w:rPr>
        <w:sectPr w:rsidR="00E15F96" w:rsidRPr="00FB3A86" w:rsidSect="00C34B8E">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6AED086" wp14:editId="6B82790C">
                <wp:extent cx="5303520" cy="635"/>
                <wp:effectExtent l="13335" t="10795" r="17145" b="17780"/>
                <wp:docPr id="6920206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87DC2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31223A57" w14:textId="77777777" w:rsidR="00E15F96" w:rsidRPr="00FB3A86" w:rsidRDefault="00E15F96" w:rsidP="00E15F96">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E15F96" w:rsidRPr="001E44FE" w14:paraId="6A956053" w14:textId="77777777" w:rsidTr="00837908">
        <w:tc>
          <w:tcPr>
            <w:tcW w:w="9576" w:type="dxa"/>
            <w:shd w:val="clear" w:color="auto" w:fill="F2F2F2"/>
          </w:tcPr>
          <w:p w14:paraId="0924F9F2" w14:textId="6724148E" w:rsidR="00E15F96" w:rsidRPr="00E15F96" w:rsidRDefault="005A21D6" w:rsidP="00E15F96">
            <w:pPr>
              <w:jc w:val="both"/>
              <w:rPr>
                <w:rFonts w:ascii="Times New Roman" w:hAnsi="Times New Roman"/>
                <w:sz w:val="24"/>
                <w:szCs w:val="24"/>
              </w:rPr>
            </w:pPr>
            <w:r w:rsidRPr="00CC7A55">
              <w:rPr>
                <w:rFonts w:ascii="Times New Roman" w:hAnsi="Times New Roman"/>
                <w:sz w:val="24"/>
                <w:szCs w:val="24"/>
              </w:rPr>
              <w:t>Six tomato genotypes were treated with four levels of lead heavy metal stress (50, 100, 200, and 300 ppm of lead nitrate) along with normal water as control. The results clearly showed that lead stress caused changes in physiological parameters, especially germination percentage and relative water content (RWC). Germination percentage decreased with the increase in lead concentration. The lowest germination percentage (2</w:t>
            </w:r>
            <w:r w:rsidR="00CC7A55" w:rsidRPr="00CC7A55">
              <w:rPr>
                <w:rFonts w:ascii="Times New Roman" w:hAnsi="Times New Roman"/>
                <w:sz w:val="24"/>
                <w:szCs w:val="24"/>
              </w:rPr>
              <w:t xml:space="preserve">9.3 </w:t>
            </w:r>
            <w:r w:rsidRPr="00CC7A55">
              <w:rPr>
                <w:rFonts w:ascii="Times New Roman" w:hAnsi="Times New Roman"/>
                <w:sz w:val="24"/>
                <w:szCs w:val="24"/>
              </w:rPr>
              <w:t>%) was recorded in JTL-2105 at 300 ppm, while the highest mean germination percentage (68.7%) was maintained by GT-1. Similarly, RWC also declined as the stress level increased. The lowest RWC (69.24%) was observed in JTL-2105 at 300 ppm, whereas the highest RWC (87.33%) was found in GT-1 across all stress levels. These results suggest that GT-1 is more tolerant to lead stress, while JTL-2105 is the most sensitive genotype.</w:t>
            </w:r>
          </w:p>
        </w:tc>
      </w:tr>
    </w:tbl>
    <w:p w14:paraId="7F9D3ED1" w14:textId="77777777" w:rsidR="00E15F96" w:rsidRDefault="00E15F96" w:rsidP="00E15F96">
      <w:pPr>
        <w:pStyle w:val="Body"/>
        <w:spacing w:after="0"/>
        <w:rPr>
          <w:rFonts w:ascii="Arial" w:hAnsi="Arial" w:cs="Arial"/>
          <w:i/>
        </w:rPr>
      </w:pPr>
    </w:p>
    <w:p w14:paraId="4E7FE2FE" w14:textId="0D8B5390" w:rsidR="00E15F96" w:rsidRDefault="00E15F96" w:rsidP="00E15F96">
      <w:pPr>
        <w:jc w:val="both"/>
        <w:rPr>
          <w:rFonts w:ascii="Arial" w:hAnsi="Arial" w:cs="Arial"/>
          <w:bCs/>
          <w:i/>
        </w:rPr>
      </w:pPr>
      <w:r>
        <w:rPr>
          <w:rFonts w:ascii="Arial" w:hAnsi="Arial" w:cs="Arial"/>
          <w:i/>
        </w:rPr>
        <w:t>Keywords:</w:t>
      </w:r>
      <w:r w:rsidR="005A21D6" w:rsidRPr="005A21D6">
        <w:t xml:space="preserve"> </w:t>
      </w:r>
      <w:r w:rsidR="005A21D6" w:rsidRPr="005A21D6">
        <w:rPr>
          <w:rFonts w:ascii="Arial" w:hAnsi="Arial" w:cs="Arial"/>
          <w:i/>
        </w:rPr>
        <w:t>Tomato genotypes,</w:t>
      </w:r>
      <w:r w:rsidR="005A21D6">
        <w:rPr>
          <w:rFonts w:ascii="Arial" w:hAnsi="Arial" w:cs="Arial"/>
          <w:i/>
        </w:rPr>
        <w:t xml:space="preserve"> Heavy metal </w:t>
      </w:r>
      <w:proofErr w:type="gramStart"/>
      <w:r w:rsidR="005A21D6">
        <w:rPr>
          <w:rFonts w:ascii="Arial" w:hAnsi="Arial" w:cs="Arial"/>
          <w:i/>
        </w:rPr>
        <w:t xml:space="preserve">stress, </w:t>
      </w:r>
      <w:r w:rsidR="005A21D6" w:rsidRPr="005A21D6">
        <w:rPr>
          <w:rFonts w:ascii="Arial" w:hAnsi="Arial" w:cs="Arial"/>
          <w:i/>
        </w:rPr>
        <w:t xml:space="preserve"> Lead</w:t>
      </w:r>
      <w:proofErr w:type="gramEnd"/>
      <w:r w:rsidR="005A21D6" w:rsidRPr="005A21D6">
        <w:rPr>
          <w:rFonts w:ascii="Arial" w:hAnsi="Arial" w:cs="Arial"/>
          <w:i/>
        </w:rPr>
        <w:t xml:space="preserve"> stress, Seed germination, Relative Water Content (RWC)</w:t>
      </w:r>
      <w:r w:rsidR="005A21D6">
        <w:rPr>
          <w:rFonts w:ascii="Arial" w:hAnsi="Arial" w:cs="Arial"/>
          <w:i/>
        </w:rPr>
        <w:t>,</w:t>
      </w:r>
    </w:p>
    <w:p w14:paraId="1B3408E9" w14:textId="77777777" w:rsidR="00E15F96" w:rsidRPr="00A24E7E" w:rsidRDefault="00E15F96" w:rsidP="00E15F96">
      <w:pPr>
        <w:pStyle w:val="Body"/>
        <w:spacing w:after="0"/>
        <w:rPr>
          <w:rFonts w:ascii="Arial" w:hAnsi="Arial" w:cs="Arial"/>
          <w:i/>
        </w:rPr>
      </w:pPr>
    </w:p>
    <w:p w14:paraId="364695EE" w14:textId="77777777" w:rsidR="00E15F96" w:rsidRDefault="00E15F96" w:rsidP="00E15F96">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764829D3" w14:textId="4FB42E6B" w:rsidR="000E6F71" w:rsidRDefault="000E6F71" w:rsidP="000E6F71">
      <w:pPr>
        <w:pStyle w:val="Textbody"/>
        <w:spacing w:line="240" w:lineRule="auto"/>
        <w:ind w:firstLine="720"/>
        <w:rPr>
          <w:b w:val="0"/>
          <w:bCs w:val="0"/>
        </w:rPr>
      </w:pPr>
      <w:r w:rsidRPr="000E6F71">
        <w:rPr>
          <w:rStyle w:val="BodyTextChar"/>
          <w:b w:val="0"/>
          <w:bCs w:val="0"/>
        </w:rPr>
        <w:t>Tomato (</w:t>
      </w:r>
      <w:r w:rsidRPr="000E6F71">
        <w:rPr>
          <w:rStyle w:val="BodyTextChar"/>
          <w:b w:val="0"/>
          <w:bCs w:val="0"/>
          <w:i/>
          <w:iCs/>
        </w:rPr>
        <w:t xml:space="preserve">Solanum </w:t>
      </w:r>
      <w:proofErr w:type="spellStart"/>
      <w:r w:rsidRPr="000E6F71">
        <w:rPr>
          <w:rStyle w:val="BodyTextChar"/>
          <w:b w:val="0"/>
          <w:bCs w:val="0"/>
          <w:i/>
          <w:iCs/>
        </w:rPr>
        <w:t>lycopersicum</w:t>
      </w:r>
      <w:proofErr w:type="spellEnd"/>
      <w:r w:rsidRPr="000E6F71">
        <w:rPr>
          <w:rStyle w:val="BodyTextChar"/>
          <w:b w:val="0"/>
          <w:bCs w:val="0"/>
        </w:rPr>
        <w:t>) is a member of the Solanaceae family, with a diploid chromosome number of 2n = 24, with a modest diploid genome size of 950 Mb.</w:t>
      </w:r>
      <w:r w:rsidRPr="000E6F71">
        <w:rPr>
          <w:b w:val="0"/>
          <w:bCs w:val="0"/>
        </w:rPr>
        <w:t xml:space="preserve"> The worldwide production of tomato is reported to be 186.82 million </w:t>
      </w:r>
      <w:proofErr w:type="spellStart"/>
      <w:r w:rsidRPr="000E6F71">
        <w:rPr>
          <w:b w:val="0"/>
          <w:bCs w:val="0"/>
        </w:rPr>
        <w:t>tonnes</w:t>
      </w:r>
      <w:proofErr w:type="spellEnd"/>
      <w:r w:rsidRPr="000E6F71">
        <w:rPr>
          <w:b w:val="0"/>
          <w:bCs w:val="0"/>
        </w:rPr>
        <w:t xml:space="preserve"> from an area of 5 million hectares, with a productivity of 36.97 </w:t>
      </w:r>
      <w:proofErr w:type="spellStart"/>
      <w:r w:rsidRPr="000E6F71">
        <w:rPr>
          <w:b w:val="0"/>
          <w:bCs w:val="0"/>
        </w:rPr>
        <w:t>tonnes</w:t>
      </w:r>
      <w:proofErr w:type="spellEnd"/>
      <w:r w:rsidRPr="000E6F71">
        <w:rPr>
          <w:b w:val="0"/>
          <w:bCs w:val="0"/>
        </w:rPr>
        <w:t>/hectare.</w:t>
      </w:r>
      <w:r w:rsidRPr="000E6F71">
        <w:rPr>
          <w:rFonts w:eastAsiaTheme="minorEastAsia"/>
          <w:b w:val="0"/>
          <w:bCs w:val="0"/>
          <w:shd w:val="clear" w:color="auto" w:fill="FFFFFF"/>
        </w:rPr>
        <w:t xml:space="preserve">  India is second </w:t>
      </w:r>
      <w:r w:rsidRPr="000E6F71">
        <w:rPr>
          <w:b w:val="0"/>
          <w:bCs w:val="0"/>
        </w:rPr>
        <w:t xml:space="preserve">leads in tomato production by contributing 20.57  million </w:t>
      </w:r>
      <w:proofErr w:type="spellStart"/>
      <w:r w:rsidRPr="000E6F71">
        <w:rPr>
          <w:b w:val="0"/>
          <w:bCs w:val="0"/>
        </w:rPr>
        <w:t>tonnes</w:t>
      </w:r>
      <w:proofErr w:type="spellEnd"/>
      <w:r w:rsidRPr="000E6F71">
        <w:rPr>
          <w:b w:val="0"/>
          <w:bCs w:val="0"/>
        </w:rPr>
        <w:t xml:space="preserve"> which is approximately 11.01 % of the total global production </w:t>
      </w:r>
      <w:r w:rsidRPr="000E6F71">
        <w:rPr>
          <w:b w:val="0"/>
          <w:bCs w:val="0"/>
        </w:rPr>
        <w:fldChar w:fldCharType="begin"/>
      </w:r>
      <w:r w:rsidR="008A7C09">
        <w:rPr>
          <w:b w:val="0"/>
          <w:bCs w:val="0"/>
        </w:rPr>
        <w:instrText xml:space="preserve"> ADDIN ZOTERO_ITEM CSL_CITATION {"citationID":"syGEW4XK","properties":{"formattedCitation":"(Lata {\\i{}et al.} 2024)","plainCitation":"(Lata et al. 2024)","noteIndex":0},"citationItems":[{"id":1842,"uris":["http://zotero.org/users/local/0V2ceVcX/items/X868PJL9"],"itemData":{"id":1842,"type":"chapter","abstract":"Tomato (Solanum lycopersicum L.) is considered one of the most significant vegetable crops globally. The worldwide production of tomato is reported to be 186.82 million tonnes from an area of 5 million hectares, with a productivity of 36.97 tonnes/hectare. China leads in tomato production by contributing 64.86 million tonnes which is approximately 34.72% of the total global production, followed by India (11.01%, 20.57 million tonnes), Turkey (7.06%, 13.20 million tonnes) and the USA (6.54%, 12.22 million tonnes). Tomato is considered as a protective food due to essential poly-nutrients and anti-oxidants, particularly lycopene and β-carotene. Despite its high nutritional value, tomato crop is highly susceptible to various bacterial, fungal and viral diseases such as the Tomato leaf curl virus (ToLCV), which causes a significant yield loss reaching up to 100%. The recent developments in functional genomics approaches, particularly whole-genome sequencing of tomato, have propelled research and enabled the application of genome editing techniques such as zinc finger nucleases (ZFN), transcription activator-like effector nucleases (TALENs) as well as clustered regularly interspaced short palindromic repeats/CRISPR-associated proteins (CRISPR/Cas). These techniques offer precision and efficiency in targeting gene sequences. Useful genes like extended shelf life (e.g., RIN—Ripening Inhibitor), carotenoid synthesis pathways (e.g., LCY-E—Lycopene ε-cyclase, SGR1—Stay Green 1, Blc—Beta-lycopene cyclase, LCY-B11—Lycopene β-cyclase 1 and LCY-B21—Lycopene β-cyclase 2) as well as genes conferring biotic and abiotic stress tolerance (e.g., DMR6–1—Downy Mildew Resistance 6–1 and GRX—CGFS-type glutaredoxin) have been targeted using genome editing techniques like CRISPR/Cas9 in tomato.","container-title":"Genetic Engineering of Crop Plants for Food and Health Security: Volume 2","event-place":"Singapore","ISBN":"978-981-9731-19-0","language":"en","note":"DOI: 10.1007/978-981-97-3119-0_7","page":"165-184","publisher":"Springer Nature","publisher-place":"Singapore","source":"Springer Link","title":"Insights into the Genetic Improvement of Tomato","URL":"https://doi.org/10.1007/978-981-97-3119-0_7","author":[{"family":"Lata","given":"Suman"},{"family":"Hussain","given":"Zakir"},{"family":"Yadav","given":"R. K."},{"family":"Jat","given":"Gograj Singh"},{"family":"Kumar","given":"Pawan"},{"family":"Tomar","given":"B. S."}],"editor":[{"family":"Tiwari","given":"Siddharth"},{"family":"Koul","given":"Bhupendra"}],"accessed":{"date-parts":[["2025",4,18]]},"issued":{"date-parts":[["2024"]]}}}],"schema":"https://github.com/citation-style-language/schema/raw/master/csl-citation.json"} </w:instrText>
      </w:r>
      <w:r w:rsidRPr="000E6F71">
        <w:rPr>
          <w:b w:val="0"/>
          <w:bCs w:val="0"/>
        </w:rPr>
        <w:fldChar w:fldCharType="separate"/>
      </w:r>
      <w:r w:rsidR="008A7C09" w:rsidRPr="008A7C09">
        <w:t xml:space="preserve">(Lata </w:t>
      </w:r>
      <w:r w:rsidR="008A7C09" w:rsidRPr="008A7C09">
        <w:rPr>
          <w:i/>
          <w:iCs/>
        </w:rPr>
        <w:t>et al.</w:t>
      </w:r>
      <w:r w:rsidR="008A7C09" w:rsidRPr="008A7C09">
        <w:t xml:space="preserve"> 2024)</w:t>
      </w:r>
      <w:r w:rsidRPr="000E6F71">
        <w:rPr>
          <w:b w:val="0"/>
          <w:bCs w:val="0"/>
        </w:rPr>
        <w:fldChar w:fldCharType="end"/>
      </w:r>
      <w:r w:rsidRPr="000E6F71">
        <w:rPr>
          <w:b w:val="0"/>
          <w:bCs w:val="0"/>
        </w:rPr>
        <w:t xml:space="preserve">. </w:t>
      </w:r>
      <w:r w:rsidRPr="000E6F71">
        <w:rPr>
          <w:b w:val="0"/>
          <w:bCs w:val="0"/>
          <w:shd w:val="clear" w:color="auto" w:fill="FFFFFF"/>
        </w:rPr>
        <w:t>Tamil Nadu, Andhra Pradesh, Karnataka, Madhya Pradesh, Gujarat, Odisha, West Bengal, Bihar, Telangana, Uttar Pradesh, Maharashtra, Chhattisgarh, Haryana, and Himachal Pradesh are the major tomato producing states in India.</w:t>
      </w:r>
      <w:r w:rsidRPr="000E6F71">
        <w:rPr>
          <w:b w:val="0"/>
          <w:bCs w:val="0"/>
        </w:rPr>
        <w:t xml:space="preserve"> In Gujarat, during the same period, the area under tomato cultivation was around 52,000 hectares, yielding approximately 1.44 million </w:t>
      </w:r>
      <w:proofErr w:type="spellStart"/>
      <w:r w:rsidRPr="000E6F71">
        <w:rPr>
          <w:b w:val="0"/>
          <w:bCs w:val="0"/>
        </w:rPr>
        <w:t>tonnes</w:t>
      </w:r>
      <w:proofErr w:type="spellEnd"/>
      <w:r w:rsidRPr="000E6F71">
        <w:rPr>
          <w:b w:val="0"/>
          <w:bCs w:val="0"/>
        </w:rPr>
        <w:t xml:space="preserve"> </w:t>
      </w:r>
      <w:r w:rsidRPr="000E6F71">
        <w:rPr>
          <w:b w:val="0"/>
          <w:bCs w:val="0"/>
        </w:rPr>
        <w:fldChar w:fldCharType="begin"/>
      </w:r>
      <w:r w:rsidR="008A7C09">
        <w:rPr>
          <w:b w:val="0"/>
          <w:bCs w:val="0"/>
        </w:rPr>
        <w:instrText xml:space="preserve"> ADDIN ZOTERO_ITEM CSL_CITATION {"citationID":"4fHbHczV","properties":{"formattedCitation":"(yasangi-pre-harvest-tomato-2023.pdf [ND])","plainCitation":"(yasangi-pre-harvest-tomato-2023.pdf [ND])","noteIndex":0},"citationItems":[{"id":1622,"uris":["http://zotero.org/users/local/0V2ceVcX/items/5Z49FS2J"],"itemData":{"id":1622,"type":"document","title":"yasangi-pre-harvest-tomato-2023.pdf","URL":"https://pjtsau.edu.in/files/AgriMkt/2023/November/yasangi-pre-harvest-tomato-2023.pdf","accessed":{"date-parts":[["2025",2,23]]}}}],"schema":"https://github.com/citation-style-language/schema/raw/master/csl-citation.json"} </w:instrText>
      </w:r>
      <w:r w:rsidRPr="000E6F71">
        <w:rPr>
          <w:b w:val="0"/>
          <w:bCs w:val="0"/>
        </w:rPr>
        <w:fldChar w:fldCharType="separate"/>
      </w:r>
      <w:r w:rsidR="008A7C09" w:rsidRPr="008A7C09">
        <w:t>(yasangi-pre-harvest-tomato-2023.pdf [ND])</w:t>
      </w:r>
      <w:r w:rsidRPr="000E6F71">
        <w:rPr>
          <w:b w:val="0"/>
          <w:bCs w:val="0"/>
        </w:rPr>
        <w:fldChar w:fldCharType="end"/>
      </w:r>
      <w:r w:rsidRPr="000E6F71">
        <w:rPr>
          <w:b w:val="0"/>
          <w:bCs w:val="0"/>
        </w:rPr>
        <w:t>.</w:t>
      </w:r>
    </w:p>
    <w:p w14:paraId="3508213A" w14:textId="05CF8D21" w:rsidR="000E6F71" w:rsidRDefault="000E6F71" w:rsidP="000E6F71">
      <w:pPr>
        <w:pStyle w:val="Textbody"/>
        <w:spacing w:line="240" w:lineRule="auto"/>
        <w:ind w:firstLine="720"/>
        <w:rPr>
          <w:b w:val="0"/>
          <w:bCs w:val="0"/>
          <w:color w:val="000000" w:themeColor="text1"/>
        </w:rPr>
      </w:pPr>
      <w:r w:rsidRPr="000E6F71">
        <w:rPr>
          <w:b w:val="0"/>
          <w:bCs w:val="0"/>
          <w:color w:val="000000" w:themeColor="text1"/>
        </w:rPr>
        <w:t>Tomato grown either in an open field or in controlled environments like greenhouse and tunnels. It requires sufficient water especially at critical stages, such as immediately after sowing and </w:t>
      </w:r>
      <w:hyperlink r:id="rId13" w:tooltip="Learn more about transplanting from ScienceDirect's AI-generated Topic Pages" w:history="1">
        <w:r w:rsidRPr="000E6F71">
          <w:rPr>
            <w:rStyle w:val="Hyperlink"/>
            <w:b w:val="0"/>
            <w:bCs w:val="0"/>
            <w:color w:val="000000" w:themeColor="text1"/>
            <w:u w:val="none"/>
          </w:rPr>
          <w:t>transplanting</w:t>
        </w:r>
      </w:hyperlink>
      <w:r w:rsidRPr="000E6F71">
        <w:rPr>
          <w:b w:val="0"/>
          <w:bCs w:val="0"/>
          <w:color w:val="000000" w:themeColor="text1"/>
        </w:rPr>
        <w:t>, and irrigation is often needed to ensure sufficient </w:t>
      </w:r>
      <w:hyperlink r:id="rId14" w:tooltip="Learn more about moisture from ScienceDirect's AI-generated Topic Pages" w:history="1">
        <w:r w:rsidRPr="000E6F71">
          <w:rPr>
            <w:rStyle w:val="Hyperlink"/>
            <w:b w:val="0"/>
            <w:bCs w:val="0"/>
            <w:color w:val="000000" w:themeColor="text1"/>
            <w:u w:val="none"/>
          </w:rPr>
          <w:t>moisture</w:t>
        </w:r>
      </w:hyperlink>
      <w:r w:rsidRPr="000E6F71">
        <w:rPr>
          <w:b w:val="0"/>
          <w:bCs w:val="0"/>
          <w:color w:val="000000" w:themeColor="text1"/>
        </w:rPr>
        <w:t>  during these delicate growth stages namely; </w:t>
      </w:r>
      <w:hyperlink r:id="rId15" w:tooltip="Learn more about vegetative growth from ScienceDirect's AI-generated Topic Pages" w:history="1">
        <w:r w:rsidRPr="000E6F71">
          <w:rPr>
            <w:rStyle w:val="Hyperlink"/>
            <w:b w:val="0"/>
            <w:bCs w:val="0"/>
            <w:color w:val="000000" w:themeColor="text1"/>
            <w:u w:val="none"/>
          </w:rPr>
          <w:t>vegetative growth</w:t>
        </w:r>
      </w:hyperlink>
      <w:r w:rsidRPr="000E6F71">
        <w:rPr>
          <w:b w:val="0"/>
          <w:bCs w:val="0"/>
          <w:color w:val="000000" w:themeColor="text1"/>
        </w:rPr>
        <w:t> stage, </w:t>
      </w:r>
      <w:hyperlink r:id="rId16" w:tooltip="Learn more about flowering from ScienceDirect's AI-generated Topic Pages" w:history="1">
        <w:r w:rsidRPr="000E6F71">
          <w:rPr>
            <w:rStyle w:val="Hyperlink"/>
            <w:b w:val="0"/>
            <w:bCs w:val="0"/>
            <w:color w:val="000000" w:themeColor="text1"/>
            <w:u w:val="none"/>
          </w:rPr>
          <w:t>flowering</w:t>
        </w:r>
      </w:hyperlink>
      <w:r w:rsidRPr="000E6F71">
        <w:rPr>
          <w:b w:val="0"/>
          <w:bCs w:val="0"/>
          <w:color w:val="000000" w:themeColor="text1"/>
        </w:rPr>
        <w:t xml:space="preserve"> and fruit set </w:t>
      </w:r>
      <w:r w:rsidRPr="000E6F71">
        <w:rPr>
          <w:b w:val="0"/>
          <w:bCs w:val="0"/>
          <w:color w:val="000000" w:themeColor="text1"/>
        </w:rPr>
        <w:fldChar w:fldCharType="begin"/>
      </w:r>
      <w:r w:rsidR="008A7C09">
        <w:rPr>
          <w:b w:val="0"/>
          <w:bCs w:val="0"/>
          <w:color w:val="000000" w:themeColor="text1"/>
        </w:rPr>
        <w:instrText xml:space="preserve"> ADDIN ZOTERO_ITEM CSL_CITATION {"citationID":"c4jW7CBY","properties":{"formattedCitation":"(Nuruddin {\\i{}et al.} 2003)","plainCitation":"(Nuruddin et al. 2003)","noteIndex":0},"citationItems":[{"id":1792,"uris":["http://zotero.org/users/local/0V2ceVcX/items/THP4CLHE"],"itemData":{"id":1792,"type":"article-journal","abstract":"Tomatoes (Lycopersicon esculentum Mill. cv. Sunstart) were grown in a greenhouse during Summer 1999 and again in Winter 2000. Two available soil water (ASW) deficit thresholds, 65% and 80%, at which plants were irrigated to field capacity were factorially combined with five irrigation timing patterns: 1) no water stress; 2) stress throughout the entire growing season; 3) stress during first cluster flowering and fruit set 4) stress during first cluster fruit growth; and 5) stress during first cluster fruit ripening. Crop yields, water use efficiency, as well as maximum and minimum equatorial fruit diameters and fruit height were measured. Quality parameters of soluble solids, pH, and fruit color were also measured. Water stress throughout the growing season significantly reduced yield and fruit size, but plants stressed only during flowering showed fewer but bigger fruit than completely non-stressed plants. Consequently, on a weight basis the stressed at flowering and nonstressed plants had similar yields. Nonstressed and flowering-stressed fruit showed lower soluble solids and a lighter color of red ripe fruit than the other stress treatments. No significant differences in yield or quality were found between the two stress levels (65% vs. 80% ASW depletion before irrigation). Water stress only during flowering resulted in better yields and quality than stress at other specific developmental stages or at all times, but equal or poorer yields and water use efficiency than nonstressed plants.","DOI":"10.21273/HORTSCI.38.7.1389","language":"en","note":"section: HortScience","source":"journals.ashs.org","title":"Effects of Water Stress at Different Growth Stages on Greenhouse Tomato Yield and Quality","URL":"https://journals.ashs.org/hortsci/view/journals/hortsci/38/7/article-p1389.xml","author":[{"family":"Nuruddin","given":"Molla Md"},{"family":"Madramootoo","given":"Chandra A."},{"family":"Dodds","given":"Georges T."}],"accessed":{"date-parts":[["2025",4,14]]},"issued":{"date-parts":[["2003",12,1]]}}}],"schema":"https://github.com/citation-style-language/schema/raw/master/csl-citation.json"} </w:instrText>
      </w:r>
      <w:r w:rsidRPr="000E6F71">
        <w:rPr>
          <w:b w:val="0"/>
          <w:bCs w:val="0"/>
          <w:color w:val="000000" w:themeColor="text1"/>
        </w:rPr>
        <w:fldChar w:fldCharType="separate"/>
      </w:r>
      <w:r w:rsidR="008A7C09" w:rsidRPr="008A7C09">
        <w:t xml:space="preserve">(Nuruddin </w:t>
      </w:r>
      <w:r w:rsidR="008A7C09" w:rsidRPr="008A7C09">
        <w:rPr>
          <w:i/>
          <w:iCs/>
        </w:rPr>
        <w:t>et al.</w:t>
      </w:r>
      <w:r w:rsidR="008A7C09" w:rsidRPr="008A7C09">
        <w:t xml:space="preserve"> 2003)</w:t>
      </w:r>
      <w:r w:rsidRPr="000E6F71">
        <w:rPr>
          <w:b w:val="0"/>
          <w:bCs w:val="0"/>
          <w:color w:val="000000" w:themeColor="text1"/>
        </w:rPr>
        <w:fldChar w:fldCharType="end"/>
      </w:r>
      <w:r w:rsidRPr="000E6F71">
        <w:rPr>
          <w:b w:val="0"/>
          <w:bCs w:val="0"/>
          <w:color w:val="000000" w:themeColor="text1"/>
        </w:rPr>
        <w:t xml:space="preserve">. </w:t>
      </w:r>
      <w:r w:rsidRPr="000E6F71">
        <w:rPr>
          <w:b w:val="0"/>
          <w:bCs w:val="0"/>
          <w:color w:val="000000" w:themeColor="text1"/>
          <w:lang w:val="en-IN"/>
        </w:rPr>
        <w:t xml:space="preserve">Irrigation often becomes necessary to maintain optimal soil moisture during these critical phases. However, when irrigation water is contaminated with heavy metals (HMs), it can significantly impair plant growth. Common heavy metals found in agricultural water </w:t>
      </w:r>
      <w:r w:rsidRPr="000E6F71">
        <w:rPr>
          <w:b w:val="0"/>
          <w:bCs w:val="0"/>
          <w:color w:val="000000" w:themeColor="text1"/>
          <w:lang w:val="en-IN"/>
        </w:rPr>
        <w:lastRenderedPageBreak/>
        <w:t xml:space="preserve">include zinc (Zn), cadmium (Cd), lead (Pb), chromium (Cr), nickel (Ni), and copper (Cu). Although certain heavy metals are essential micronutrients that contribute to key metabolic functions, excessive accumulation beyond safe thresholds turns them toxic, leading to reduced growth, poor yield, and overall plant stress </w:t>
      </w:r>
      <w:r w:rsidRPr="000E6F71">
        <w:rPr>
          <w:b w:val="0"/>
          <w:bCs w:val="0"/>
          <w:color w:val="000000" w:themeColor="text1"/>
        </w:rPr>
        <w:fldChar w:fldCharType="begin"/>
      </w:r>
      <w:r w:rsidR="008A7C09">
        <w:rPr>
          <w:b w:val="0"/>
          <w:bCs w:val="0"/>
          <w:color w:val="000000" w:themeColor="text1"/>
        </w:rPr>
        <w:instrText xml:space="preserve"> ADDIN ZOTERO_ITEM CSL_CITATION {"citationID":"yBWXBMFc","properties":{"formattedCitation":"(Ogugua {\\i{}et al.} 2022)","plainCitation":"(Ogugua et al. 2022)","noteIndex":0},"citationItems":[{"id":1794,"uris":["http://zotero.org/users/local/0V2ceVcX/items/LBT25L46"],"itemData":{"id":1794,"type":"article-journal","abstract":"This study investigated the effect of gibberellic acid (GA3) on the growth of tomato seedlings and heavy metal accumulation within seedlings tissue irrigated with acid mine water (AMW). Three experimental treatments were administered using a completely randomized design with five replicates. The experimental treatments included were gibberellic acid + acid mine water (GA3 + AMW), acid mine water (AMW), and tap water. Seedlings were irrigated directly in pots with 400 mL of 100% AMW at two-day intervals 21 days after planting. Drenching of the seedlings with GA3 was done every 24 h for eight consecutive days from 28 days after planting. Results on the physicochemical analysis showed high concentrations of heavy metals (HMs) in AMW compared to tap water and the experimental treatment significantly affected the measured plant growth parameters. Tomato plants irrigated with AMW alone were shorter (4.00 cm) than plants irrigated with tap water (14.00 cm), while plants treated with AMW and GA3 were much taller (16.50 cm) than the latter (control). Moreover, HM accumulation differed among the three treatments. Seedlings that received AMW with no GA3 accumulated more HMs (Cd, Cr, Cu, Ni, and Zn) in their roots, stems, and leaves while plants treated with GA3 had a decrease in the accumulation and distribution of HMs in the different plant tissues (roots, stems, and leaves) relative to AMW alone and the plants irrigated with tap water alone. The study revealed that GA3 boosted the growth of tomato seedlings irrigated with AMW and also altered HM accumulation with the tissues of the seedlings., Gibberellic acid; Seedling growth; Heavy metal accumulation; Tomato.","container-title":"Heliyon","DOI":"10.1016/j.heliyon.2022.e12399","ISSN":"2405-8440","issue":"12","journalAbbreviation":"Heliyon","note":"PMID: 36582707\nPMCID: PMC9793271","page":"e12399","source":"PubMed Central","title":"Gibberellic acid improves growth and reduces heavy metal accumulation: A case study in tomato (Solanum lycopersicum L.) seedlings exposed to acid mine water","title-short":"Gibberellic acid improves growth and reduces heavy metal accumulation","URL":"https://www.ncbi.nlm.nih.gov/pmc/articles/PMC9793271/","volume":"8","author":[{"family":"Ogugua","given":"Udoka Vitus"},{"family":"Kanu","given":"Sheku Alfred"},{"family":"Ntushelo","given":"Khayalethu"}],"accessed":{"date-parts":[["2025",4,14]]},"issued":{"date-parts":[["2022",12,16]]}}}],"schema":"https://github.com/citation-style-language/schema/raw/master/csl-citation.json"} </w:instrText>
      </w:r>
      <w:r w:rsidRPr="000E6F71">
        <w:rPr>
          <w:b w:val="0"/>
          <w:bCs w:val="0"/>
          <w:color w:val="000000" w:themeColor="text1"/>
        </w:rPr>
        <w:fldChar w:fldCharType="separate"/>
      </w:r>
      <w:r w:rsidR="008A7C09" w:rsidRPr="008A7C09">
        <w:t xml:space="preserve">(Ogugua </w:t>
      </w:r>
      <w:r w:rsidR="008A7C09" w:rsidRPr="008A7C09">
        <w:rPr>
          <w:i/>
          <w:iCs/>
        </w:rPr>
        <w:t>et al.</w:t>
      </w:r>
      <w:r w:rsidR="008A7C09" w:rsidRPr="008A7C09">
        <w:t xml:space="preserve"> 2022)</w:t>
      </w:r>
      <w:r w:rsidRPr="000E6F71">
        <w:rPr>
          <w:b w:val="0"/>
          <w:bCs w:val="0"/>
          <w:color w:val="000000" w:themeColor="text1"/>
        </w:rPr>
        <w:fldChar w:fldCharType="end"/>
      </w:r>
      <w:r w:rsidRPr="000E6F71">
        <w:rPr>
          <w:b w:val="0"/>
          <w:bCs w:val="0"/>
          <w:color w:val="000000" w:themeColor="text1"/>
        </w:rPr>
        <w:t>.</w:t>
      </w:r>
    </w:p>
    <w:p w14:paraId="130BE1A6" w14:textId="0456C486" w:rsidR="000E6F71" w:rsidRDefault="000E6F71" w:rsidP="000E6F71">
      <w:pPr>
        <w:pStyle w:val="Textbody"/>
        <w:spacing w:line="240" w:lineRule="auto"/>
        <w:ind w:firstLine="720"/>
        <w:rPr>
          <w:b w:val="0"/>
          <w:bCs w:val="0"/>
          <w:color w:val="000000" w:themeColor="text1"/>
        </w:rPr>
      </w:pPr>
      <w:r w:rsidRPr="000E6F71">
        <w:rPr>
          <w:b w:val="0"/>
          <w:bCs w:val="0"/>
          <w:color w:val="000000" w:themeColor="text1"/>
        </w:rPr>
        <w:t xml:space="preserve">Heavy metal contamination arises from natural and human-induced sources, posing risks to soil, water, air, crops, and human health. Naturally, metals like Cr, Pb, As, and Hg exist in mineral ores and are released during geological processes </w:t>
      </w:r>
      <w:r w:rsidRPr="000E6F71">
        <w:rPr>
          <w:b w:val="0"/>
          <w:bCs w:val="0"/>
          <w:color w:val="000000" w:themeColor="text1"/>
        </w:rPr>
        <w:fldChar w:fldCharType="begin"/>
      </w:r>
      <w:r w:rsidR="008A7C09">
        <w:rPr>
          <w:b w:val="0"/>
          <w:bCs w:val="0"/>
          <w:color w:val="000000" w:themeColor="text1"/>
        </w:rPr>
        <w:instrText xml:space="preserve"> ADDIN ZOTERO_ITEM CSL_CITATION {"citationID":"3aZoKEtt","properties":{"formattedCitation":"(Cairns {\\i{}et al.} 2023)","plainCitation":"(Cairns et al. 2023)","noteIndex":0},"citationItems":[{"id":1800,"uris":["http://zotero.org/users/local/0V2ceVcX/items/PWQY22NY"],"itemData":{"id":1800,"type":"chapter","abstract":"This chapter covers the natural occurrence of potentially toxic elements in the environment, particularly geological sources, and their impact on groundwater quality. The toxicity of the main elements is covered, as well as guidelines to their toxicity and the control limits in drinking water. Finally, the main methods for the removal of toxic elements from groundwater, drinking water, and wastewater are covered, as many of the methods are the same, and the overarching goal of each is the protection and health of the hydrosphere.","container-title":"Current Trends and Future Developments on (Bio-) Membranes","ISBN":"978-0-12-824103-5","note":"DOI: 10.1016/B978-0-12-824103-5.00005-X","page":"137-182","publisher":"Elsevier","source":"ScienceDirect","title":"Chapter 5 - Potentially toxic elements (As, Cd, Cr, Hg, and Pb), their provenance and removal from potable and wastewaters","URL":"https://www.sciencedirect.com/science/article/pii/B978012824103500005X","author":[{"family":"Cairns","given":"Warren R. L."},{"family":"Apollaro","given":"Carmine"},{"family":"Fuoco","given":"Ilaria"},{"family":"Vespasiano","given":"Giovanni"},{"family":"Procopio","given":"Antonio"},{"family":"Cavoura","given":"Olga"},{"family":"Vardè","given":"Massimiliano"}],"editor":[{"family":"Basile","given":"Angelo"},{"family":"Gensini","given":"Mario"},{"family":"Allegrini","given":"Ivo"},{"family":"Figoli","given":"Alberto"}],"accessed":{"date-parts":[["2025",4,14]]},"issued":{"date-parts":[["2023",1,1]]}}}],"schema":"https://github.com/citation-style-language/schema/raw/master/csl-citation.json"} </w:instrText>
      </w:r>
      <w:r w:rsidRPr="000E6F71">
        <w:rPr>
          <w:b w:val="0"/>
          <w:bCs w:val="0"/>
          <w:color w:val="000000" w:themeColor="text1"/>
        </w:rPr>
        <w:fldChar w:fldCharType="separate"/>
      </w:r>
      <w:r w:rsidR="008A7C09" w:rsidRPr="008A7C09">
        <w:t xml:space="preserve">(Cairns </w:t>
      </w:r>
      <w:r w:rsidR="008A7C09" w:rsidRPr="008A7C09">
        <w:rPr>
          <w:i/>
          <w:iCs/>
        </w:rPr>
        <w:t>et al.</w:t>
      </w:r>
      <w:r w:rsidR="008A7C09" w:rsidRPr="008A7C09">
        <w:t xml:space="preserve"> 2023)</w:t>
      </w:r>
      <w:r w:rsidRPr="000E6F71">
        <w:rPr>
          <w:b w:val="0"/>
          <w:bCs w:val="0"/>
          <w:color w:val="000000" w:themeColor="text1"/>
        </w:rPr>
        <w:fldChar w:fldCharType="end"/>
      </w:r>
      <w:r w:rsidRPr="000E6F71">
        <w:rPr>
          <w:b w:val="0"/>
          <w:bCs w:val="0"/>
          <w:color w:val="000000" w:themeColor="text1"/>
        </w:rPr>
        <w:t xml:space="preserve">. Ground water pollution occurs due to fertilizers, pesticides, and industrial waste seepage, with high Cd, Pb, and Hg levels detected in Eastern India and Punjab. Air pollution from vehicles and industries releases Pb, Zn, Mn, and Cd, with significant levels found in urban corridors </w:t>
      </w:r>
      <w:r w:rsidRPr="000E6F71">
        <w:rPr>
          <w:b w:val="0"/>
          <w:bCs w:val="0"/>
          <w:color w:val="000000" w:themeColor="text1"/>
        </w:rPr>
        <w:fldChar w:fldCharType="begin"/>
      </w:r>
      <w:r w:rsidR="008A7C09">
        <w:rPr>
          <w:b w:val="0"/>
          <w:bCs w:val="0"/>
          <w:color w:val="000000" w:themeColor="text1"/>
        </w:rPr>
        <w:instrText xml:space="preserve"> ADDIN ZOTERO_ITEM CSL_CITATION {"citationID":"WAUXCqje","properties":{"formattedCitation":"(Shreya Singh and Devi 2023)","plainCitation":"(Shreya Singh and Devi 2023)","noteIndex":0},"citationItems":[{"id":1807,"uris":["http://zotero.org/users/local/0V2ceVcX/items/B7WKRFIY"],"itemData":{"id":1807,"type":"chapter","abstract":"The transport sector contributes a significant source of air pollution in metro cities. It emits various types of organic and inorganic pollutants in the form of gaseous or particulate matter into the atmosphere. Heavy metals generated by automobiles can be dangerous to people and the environment because they disrupt ecosystems and contaminate air, water, and soil, and some heavy metals can cause toxicity even at a low amount of exposure. Chromium, nickel, and cadmium can cause cancer in living beings, and their distribution and depositions are heavily influenced by meteorological parameters and topographical factors. Zinc, copper, and lead were released from vehicles, approximately 90% of the overall emitted quantity. So, there is a need for the creation of an efficient sustainable policy and control plan for metropolitan zones, which includes the upgradation of new advanced technologies to reduce the pollutant emission, the implementation of sustainable biofuels, the expansion of the greenbelt development, and the public engagement to increase the quality of air. This chapter will be emphasizing the emission level of heavy metals from (a) various transportation sectors, (b) the type of fuels used in heavy and light vehicles, and (c) the type of tires used in a vehicle and also will extend the health risk assessment of people located near road sites/cities.","container-title":"Heavy Metal Toxicity: Environmental Concerns, Remediation and Opportunities","event-place":"Singapore","ISBN":"978-981-9903-97-9","note":"DOI: 10.1007/978-981-99-0397-9_9","page":"183–207","publisher":"Springer Nature Singapore","publisher-place":"Singapore","title":"Heavy Metal Pollution in Atmosphere from Vehicular Emission","URL":"https://doi.org/10.1007/978-981-99-0397-9_9","author":[{"family":"Singh","given":"Shreya"},{"family":"Devi","given":"Ningombam Linthoingambi"}],"editor":[{"family":"Singh","given":"Rajeev Pratap"},{"family":"Singh","given":"Pooja"},{"family":"Srivastava","given":"Amrita"}],"issued":{"date-parts":[["2023"]]}}}],"schema":"https://github.com/citation-style-language/schema/raw/master/csl-citation.json"} </w:instrText>
      </w:r>
      <w:r w:rsidRPr="000E6F71">
        <w:rPr>
          <w:b w:val="0"/>
          <w:bCs w:val="0"/>
          <w:color w:val="000000" w:themeColor="text1"/>
        </w:rPr>
        <w:fldChar w:fldCharType="separate"/>
      </w:r>
      <w:r w:rsidR="008A7C09" w:rsidRPr="008A7C09">
        <w:t>(Shreya Singh and Devi 2023)</w:t>
      </w:r>
      <w:r w:rsidRPr="000E6F71">
        <w:rPr>
          <w:b w:val="0"/>
          <w:bCs w:val="0"/>
          <w:color w:val="000000" w:themeColor="text1"/>
        </w:rPr>
        <w:fldChar w:fldCharType="end"/>
      </w:r>
      <w:r w:rsidRPr="000E6F71">
        <w:rPr>
          <w:b w:val="0"/>
          <w:bCs w:val="0"/>
          <w:color w:val="000000" w:themeColor="text1"/>
        </w:rPr>
        <w:t>. Agricultural activities contribute through phosphate fertilizers and manure, increasing Cd, As, and Pb in soil and crops. Industrial emissions, such as from power plants, further contaminate surrounding areas. Effective monitoring and management are essential to mitigate these environmental and health risks</w:t>
      </w:r>
      <w:r w:rsidRPr="000E6F71">
        <w:rPr>
          <w:b w:val="0"/>
          <w:bCs w:val="0"/>
          <w:color w:val="000000" w:themeColor="text1"/>
        </w:rPr>
        <w:fldChar w:fldCharType="begin"/>
      </w:r>
      <w:r w:rsidR="008A7C09">
        <w:rPr>
          <w:b w:val="0"/>
          <w:bCs w:val="0"/>
          <w:color w:val="000000" w:themeColor="text1"/>
        </w:rPr>
        <w:instrText xml:space="preserve"> ADDIN ZOTERO_ITEM CSL_CITATION {"citationID":"FQArIBS0","properties":{"formattedCitation":"(Moghimi Dehkordi {\\i{}et al.} 2024)","plainCitation":"(Moghimi Dehkordi et al. 2024)","noteIndex":0},"citationItems":[{"id":1811,"uris":["http://zotero.org/users/local/0V2ceVcX/items/2YZCS2QH"],"itemData":{"id":1811,"type":"article-journal","abstract":"Mining activities, as essential components of industrial development, play a crucial role in the economy. However, they often entail significant environmental consequences, notably soil contamination by heavy metals. This article aims to comprehensively review the issue of soil pollution with heavy metals resulting from mining operations, focusing specifically on the ions of arsenic, cadmium, lead, mercury, and zinc. It begins by examining the sources and impacts of this pollution on soil, water, vegetation, wildlife, and human health. Various methods for monitoring and assessing soil contamination with these heavy metal ions are then discussed, including sampling, chemical analysis, remote sensing, and modeling techniques. Finally, a range of management and control strategies for addressing this form of pollution are presented, encompassing biological, chemical, and physical approaches, alongside innovative and sustainable practices within the mining sector. In conclusion, soil contamination with heavy metal ions from mining activities poses a significant environmental challenge, necessitating the implementation of diverse monitoring, assessment, and mitigation measures to safeguard human health and ecosystem integrity. Future research should prioritize developing innovative technologies for mitigating and remediating contamination from lead, zinc, cadmium, mercury, and arsenic, leveraging artificial intelligence and machine learning for predictive modeling and risk assessment, and promoting sustainable and environmentally friendly mining practices.","container-title":"Results in Engineering","DOI":"10.1016/j.rineng.2024.102729","ISSN":"2590-1230","journalAbbreviation":"Results in Engineering","page":"102729","source":"ScienceDirect","title":"Soil, air, and water pollution from mining and industrial activities: Sources of pollution, environmental impacts, and prevention and control methods","title-short":"Soil, air, and water pollution from mining and industrial activities","URL":"https://www.sciencedirect.com/science/article/pii/S2590123024009848","volume":"23","author":[{"family":"Moghimi Dehkordi","given":"Mohsen"},{"family":"Pournuroz Nodeh","given":"Zahra"},{"family":"Soleimani Dehkordi","given":"Kamran"},{"family":"salmanvandi","given":"Hossein"},{"family":"Rasouli Khorjestan","given":"Reza"},{"family":"Ghaffarzadeh","given":"Mohammad"}],"accessed":{"date-parts":[["2025",4,14]]},"issued":{"date-parts":[["2024",9,1]]}}}],"schema":"https://github.com/citation-style-language/schema/raw/master/csl-citation.json"} </w:instrText>
      </w:r>
      <w:r w:rsidRPr="000E6F71">
        <w:rPr>
          <w:b w:val="0"/>
          <w:bCs w:val="0"/>
          <w:color w:val="000000" w:themeColor="text1"/>
        </w:rPr>
        <w:fldChar w:fldCharType="separate"/>
      </w:r>
      <w:r w:rsidR="008A7C09" w:rsidRPr="008A7C09">
        <w:t xml:space="preserve">(Moghimi Dehkordi </w:t>
      </w:r>
      <w:r w:rsidR="008A7C09" w:rsidRPr="008A7C09">
        <w:rPr>
          <w:i/>
          <w:iCs/>
        </w:rPr>
        <w:t>et al.</w:t>
      </w:r>
      <w:r w:rsidR="008A7C09" w:rsidRPr="008A7C09">
        <w:t xml:space="preserve"> 2024)</w:t>
      </w:r>
      <w:r w:rsidRPr="000E6F71">
        <w:rPr>
          <w:b w:val="0"/>
          <w:bCs w:val="0"/>
          <w:color w:val="000000" w:themeColor="text1"/>
        </w:rPr>
        <w:fldChar w:fldCharType="end"/>
      </w:r>
      <w:r w:rsidRPr="000E6F71">
        <w:rPr>
          <w:b w:val="0"/>
          <w:bCs w:val="0"/>
          <w:color w:val="000000" w:themeColor="text1"/>
        </w:rPr>
        <w:t>.</w:t>
      </w:r>
    </w:p>
    <w:p w14:paraId="7D856FA3" w14:textId="4236ECB4" w:rsidR="000E6F71" w:rsidRPr="00C9063B" w:rsidRDefault="00A9040C" w:rsidP="000E6F71">
      <w:pPr>
        <w:pStyle w:val="Textbody"/>
        <w:spacing w:line="240" w:lineRule="auto"/>
        <w:ind w:firstLine="720"/>
        <w:rPr>
          <w:b w:val="0"/>
          <w:bCs w:val="0"/>
          <w:color w:val="000000" w:themeColor="text1"/>
        </w:rPr>
      </w:pPr>
      <w:r w:rsidRPr="00A9040C">
        <w:rPr>
          <w:b w:val="0"/>
          <w:bCs w:val="0"/>
          <w:color w:val="000000" w:themeColor="text1"/>
          <w:kern w:val="24"/>
          <w:lang w:eastAsia="en-IN"/>
        </w:rPr>
        <w:t xml:space="preserve">Tomatoes cultivated in contaminated soils tend to accumulate elevated concentrations of heavy metals, resulting in adverse physiological effects. Toxic metals such as lead (Pb) and aluminum (Al) are known to inhibit ATP synthesis, enhance reactive oxygen species (ROS) generation, and induce DNA damage. Consequently, these metals significantly suppress seed germination, root elongation, vegetative growth, and relative water content (RWC) </w:t>
      </w:r>
      <w:r w:rsidR="000E6F71" w:rsidRPr="00C9063B">
        <w:rPr>
          <w:b w:val="0"/>
          <w:bCs w:val="0"/>
          <w:color w:val="000000" w:themeColor="text1"/>
          <w:kern w:val="24"/>
          <w:lang w:eastAsia="en-IN"/>
        </w:rPr>
        <w:fldChar w:fldCharType="begin"/>
      </w:r>
      <w:r w:rsidR="008A7C09">
        <w:rPr>
          <w:b w:val="0"/>
          <w:bCs w:val="0"/>
          <w:color w:val="000000" w:themeColor="text1"/>
          <w:kern w:val="24"/>
          <w:lang w:eastAsia="en-IN"/>
        </w:rPr>
        <w:instrText xml:space="preserve"> ADDIN ZOTERO_ITEM CSL_CITATION {"citationID":"WxWmzugB","properties":{"formattedCitation":"(Sharma and Dubey 2005)","plainCitation":"(Sharma and Dubey 2005)","noteIndex":0},"citationItems":[{"id":1211,"uris":["http://zotero.org/users/local/0V2ceVcX/items/C9VKSHTB"],"itemData":{"id":1211,"type":"article-journal","abstract":"Contamination of soils by heavy metals is of widespread occurrence as a result of human, agricultural and industrial activities. Among heavy metals, lead is a potential pollutant that readily accumulates in soils and sediments. Although lead is not an essential element for plants, it gets easily absorbed and accumulated in different plant parts. Uptake of Pb in plants is regulated by pH, particle size and cation exchange capacity of the soils as well as by root exudation and other physico-chemical parameters. Excess Pb causes a number of toxicity symptoms in plants e.g. stunted growth, chlorosis and blackening of root system. Pb inhibits photosynthesis, upsets mineral nutrition and water balance, changes hormonal status and affects membrane structure and permeability. This review addresses various morphological, physiological and biochemical effects of Pb toxicity and also strategies adopted by plants for Pb-detoxification and developing tolerance to Pb. Mechanisms of Pb-detoxification include sequestration of Pb in the vacuole, phytochelatin synthesis and binding to glutathione and aminoacids etc. Pb tolerance is associated with the capacity of plants to restrict Pb to the cell walls, synthesis of osmolytes and activation of antioxidant defense system. Remediation of soils contaminated with Pb using phytoremediation and rhizofiltration technologies appear to have great potential for cleaning of Pb-contaminated soils.","container-title":"Brazilian Journal of Plant Physiology","DOI":"10.1590/S1677-04202005000100004","ISSN":"1677-9452","journalAbbreviation":"Braz. J. Plant Physiol.","language":"en","note":"publisher: Brazilian Journal of Plant Physiology","page":"35-52","source":"SciELO","title":"Lead toxicity in plants","URL":"https://www.scielo.br/j/bjpp/a/7yTrYC5ScbBVXZrwMSvVHFg/?lang=en","volume":"17","author":[{"family":"Sharma","given":"Pallavi"},{"family":"Dubey","given":"Rama Shanker"}],"accessed":{"date-parts":[["2024",10,11]]},"issued":{"date-parts":[["2005",3]]}}}],"schema":"https://github.com/citation-style-language/schema/raw/master/csl-citation.json"} </w:instrText>
      </w:r>
      <w:r w:rsidR="000E6F71" w:rsidRPr="00C9063B">
        <w:rPr>
          <w:b w:val="0"/>
          <w:bCs w:val="0"/>
          <w:color w:val="000000" w:themeColor="text1"/>
          <w:kern w:val="24"/>
          <w:lang w:eastAsia="en-IN"/>
        </w:rPr>
        <w:fldChar w:fldCharType="separate"/>
      </w:r>
      <w:r w:rsidR="008A7C09" w:rsidRPr="008A7C09">
        <w:t>(Sharma and Dubey 2005)</w:t>
      </w:r>
      <w:r w:rsidR="000E6F71" w:rsidRPr="00C9063B">
        <w:rPr>
          <w:b w:val="0"/>
          <w:bCs w:val="0"/>
          <w:color w:val="000000" w:themeColor="text1"/>
          <w:kern w:val="24"/>
          <w:lang w:eastAsia="en-IN"/>
        </w:rPr>
        <w:fldChar w:fldCharType="end"/>
      </w:r>
      <w:r w:rsidR="000E6F71" w:rsidRPr="00C9063B">
        <w:rPr>
          <w:b w:val="0"/>
          <w:bCs w:val="0"/>
          <w:color w:val="000000" w:themeColor="text1"/>
          <w:kern w:val="2"/>
          <w14:ligatures w14:val="standardContextual"/>
        </w:rPr>
        <w:t>.</w:t>
      </w:r>
    </w:p>
    <w:p w14:paraId="1C5FBEA3" w14:textId="6768F148" w:rsidR="00E15F96" w:rsidRPr="00156C91" w:rsidRDefault="00E15F96" w:rsidP="00E15F96">
      <w:pPr>
        <w:jc w:val="both"/>
        <w:rPr>
          <w:rFonts w:ascii="Times New Roman" w:hAnsi="Times New Roman"/>
          <w:sz w:val="22"/>
          <w:szCs w:val="22"/>
        </w:rPr>
      </w:pPr>
    </w:p>
    <w:p w14:paraId="202124F8" w14:textId="799D89A2" w:rsidR="00E15F96" w:rsidRDefault="00E15F96" w:rsidP="00E15F96">
      <w:pPr>
        <w:pStyle w:val="AbstHead"/>
        <w:spacing w:after="0"/>
        <w:jc w:val="both"/>
        <w:rPr>
          <w:rFonts w:ascii="Arial" w:hAnsi="Arial" w:cs="Arial"/>
        </w:rPr>
      </w:pPr>
      <w:bookmarkStart w:id="1" w:name="_Hlk206452118"/>
      <w:r>
        <w:rPr>
          <w:rFonts w:ascii="Arial" w:hAnsi="Arial" w:cs="Arial"/>
        </w:rPr>
        <w:t>2. material and METHODS:</w:t>
      </w:r>
    </w:p>
    <w:p w14:paraId="329408F3" w14:textId="77777777" w:rsidR="00E15F96" w:rsidRDefault="00E15F96" w:rsidP="00E15F96">
      <w:pPr>
        <w:pStyle w:val="AbstHead"/>
        <w:spacing w:after="0"/>
        <w:jc w:val="both"/>
        <w:rPr>
          <w:rFonts w:ascii="Arial" w:hAnsi="Arial" w:cs="Arial"/>
        </w:rPr>
      </w:pPr>
    </w:p>
    <w:p w14:paraId="6022C2CA" w14:textId="65B72E2C" w:rsidR="00E15F96" w:rsidRDefault="00E15F96" w:rsidP="00365674">
      <w:pPr>
        <w:spacing w:line="360" w:lineRule="auto"/>
        <w:jc w:val="both"/>
        <w:rPr>
          <w:rFonts w:ascii="Times New Roman" w:hAnsi="Times New Roman"/>
          <w:b/>
          <w:bCs/>
          <w:sz w:val="24"/>
          <w:szCs w:val="24"/>
        </w:rPr>
      </w:pPr>
      <w:r w:rsidRPr="00C834C9">
        <w:rPr>
          <w:rFonts w:ascii="Times New Roman" w:hAnsi="Times New Roman"/>
          <w:b/>
          <w:bCs/>
          <w:sz w:val="24"/>
          <w:szCs w:val="24"/>
        </w:rPr>
        <w:t>Plant Material</w:t>
      </w:r>
    </w:p>
    <w:p w14:paraId="4B8F5B74" w14:textId="5611006F" w:rsidR="00A535F9" w:rsidRPr="00A535F9" w:rsidRDefault="00A535F9" w:rsidP="00A535F9">
      <w:pPr>
        <w:spacing w:line="360" w:lineRule="auto"/>
        <w:ind w:firstLine="720"/>
        <w:jc w:val="both"/>
        <w:rPr>
          <w:rFonts w:ascii="Times New Roman" w:hAnsi="Times New Roman"/>
          <w:sz w:val="24"/>
          <w:szCs w:val="24"/>
        </w:rPr>
      </w:pPr>
      <w:r w:rsidRPr="00A535F9">
        <w:rPr>
          <w:rFonts w:ascii="Times New Roman" w:hAnsi="Times New Roman"/>
          <w:sz w:val="24"/>
          <w:szCs w:val="24"/>
        </w:rPr>
        <w:t>Six tomato (</w:t>
      </w:r>
      <w:r w:rsidRPr="00A535F9">
        <w:rPr>
          <w:rFonts w:ascii="Times New Roman" w:hAnsi="Times New Roman"/>
          <w:i/>
          <w:iCs/>
          <w:sz w:val="24"/>
          <w:szCs w:val="24"/>
        </w:rPr>
        <w:t xml:space="preserve">Solanum </w:t>
      </w:r>
      <w:proofErr w:type="spellStart"/>
      <w:r w:rsidRPr="00A535F9">
        <w:rPr>
          <w:rFonts w:ascii="Times New Roman" w:hAnsi="Times New Roman"/>
          <w:i/>
          <w:iCs/>
          <w:sz w:val="24"/>
          <w:szCs w:val="24"/>
        </w:rPr>
        <w:t>lycopersicum</w:t>
      </w:r>
      <w:proofErr w:type="spellEnd"/>
      <w:r w:rsidRPr="00A535F9">
        <w:rPr>
          <w:rFonts w:ascii="Times New Roman" w:hAnsi="Times New Roman"/>
          <w:sz w:val="24"/>
          <w:szCs w:val="24"/>
        </w:rPr>
        <w:t xml:space="preserve"> L.) genotypes, namely </w:t>
      </w:r>
      <w:r w:rsidR="00A9040C" w:rsidRPr="00A9040C">
        <w:rPr>
          <w:rFonts w:ascii="Times New Roman" w:hAnsi="Times New Roman"/>
          <w:sz w:val="24"/>
          <w:szCs w:val="24"/>
        </w:rPr>
        <w:t>GT6, GT1, JT3, JTL2105, JTL1908, and JTL2103</w:t>
      </w:r>
      <w:r w:rsidR="00A9040C">
        <w:rPr>
          <w:rFonts w:ascii="Times New Roman" w:hAnsi="Times New Roman"/>
          <w:sz w:val="24"/>
          <w:szCs w:val="24"/>
        </w:rPr>
        <w:t xml:space="preserve"> seed</w:t>
      </w:r>
      <w:r w:rsidRPr="00A535F9">
        <w:rPr>
          <w:rFonts w:ascii="Times New Roman" w:hAnsi="Times New Roman"/>
          <w:sz w:val="24"/>
          <w:szCs w:val="24"/>
        </w:rPr>
        <w:t xml:space="preserve"> were collected from Vegetable Research Station, Junagadh Agricultural University, Junagadh and selected for the screening experiment. In order to screen tomato genotypes for tolerance or sensitivity to heavy metal stress, graded concentrations of lead (Pb) were applied through lead nitrate [</w:t>
      </w:r>
      <w:proofErr w:type="gramStart"/>
      <w:r w:rsidRPr="00A535F9">
        <w:rPr>
          <w:rFonts w:ascii="Times New Roman" w:hAnsi="Times New Roman"/>
          <w:sz w:val="24"/>
          <w:szCs w:val="24"/>
        </w:rPr>
        <w:t>Pb(</w:t>
      </w:r>
      <w:proofErr w:type="gramEnd"/>
      <w:r w:rsidRPr="00A535F9">
        <w:rPr>
          <w:rFonts w:ascii="Times New Roman" w:hAnsi="Times New Roman"/>
          <w:sz w:val="24"/>
          <w:szCs w:val="24"/>
        </w:rPr>
        <w:t xml:space="preserve">NO₃)₂] as the source. The treatments consisted of </w:t>
      </w:r>
      <w:r w:rsidR="00A9040C">
        <w:rPr>
          <w:rFonts w:ascii="Times New Roman" w:hAnsi="Times New Roman"/>
          <w:sz w:val="24"/>
          <w:szCs w:val="24"/>
        </w:rPr>
        <w:t>control,</w:t>
      </w:r>
      <w:r w:rsidRPr="00A535F9">
        <w:rPr>
          <w:rFonts w:ascii="Times New Roman" w:hAnsi="Times New Roman"/>
          <w:sz w:val="24"/>
          <w:szCs w:val="24"/>
        </w:rPr>
        <w:t xml:space="preserve"> 50 ppm, 100 ppm, 200 ppm, and 300 ppm Pb, which were thoroughly mixed into the soil to achieve uniform distribution.</w:t>
      </w:r>
    </w:p>
    <w:p w14:paraId="4B565A26" w14:textId="3F9783FB" w:rsidR="00A535F9" w:rsidRDefault="00A535F9" w:rsidP="00365674">
      <w:pPr>
        <w:pStyle w:val="Textbody"/>
        <w:spacing w:line="240" w:lineRule="auto"/>
        <w:ind w:firstLine="0"/>
        <w:rPr>
          <w:rFonts w:cs="Lohit Devanagari"/>
        </w:rPr>
      </w:pPr>
      <w:r>
        <w:rPr>
          <w:rFonts w:cs="Lohit Devanagari"/>
        </w:rPr>
        <w:t>Germination percentage</w:t>
      </w:r>
    </w:p>
    <w:p w14:paraId="37499D6D" w14:textId="77777777" w:rsidR="00A535F9" w:rsidRPr="00A535F9" w:rsidRDefault="00A535F9" w:rsidP="00365674">
      <w:pPr>
        <w:pStyle w:val="Textbody"/>
        <w:spacing w:line="240" w:lineRule="auto"/>
        <w:ind w:firstLine="0"/>
        <w:rPr>
          <w:rFonts w:cs="Lohit Devanagari"/>
        </w:rPr>
      </w:pPr>
    </w:p>
    <w:p w14:paraId="2AE0D38C" w14:textId="0A038594" w:rsidR="00A535F9" w:rsidRDefault="00A535F9" w:rsidP="00A535F9">
      <w:pPr>
        <w:spacing w:line="360" w:lineRule="auto"/>
        <w:jc w:val="both"/>
        <w:rPr>
          <w:rFonts w:ascii="Times New Roman" w:hAnsi="Times New Roman"/>
          <w:sz w:val="24"/>
          <w:szCs w:val="24"/>
        </w:rPr>
      </w:pPr>
      <w:bookmarkStart w:id="2" w:name="__RefHeading___Toc15826_1515474753"/>
      <w:r w:rsidRPr="00A535F9">
        <w:rPr>
          <w:rFonts w:ascii="Times New Roman" w:hAnsi="Times New Roman"/>
          <w:sz w:val="24"/>
          <w:szCs w:val="24"/>
        </w:rPr>
        <w:t>Nearly twenty-five healthy tomato seeds, devoid of any damage or disease,</w:t>
      </w:r>
      <w:r w:rsidR="00C27128">
        <w:rPr>
          <w:rFonts w:ascii="Times New Roman" w:hAnsi="Times New Roman"/>
          <w:sz w:val="24"/>
          <w:szCs w:val="24"/>
        </w:rPr>
        <w:t xml:space="preserve"> </w:t>
      </w:r>
      <w:r w:rsidRPr="00A535F9">
        <w:rPr>
          <w:rFonts w:ascii="Times New Roman" w:hAnsi="Times New Roman"/>
          <w:sz w:val="24"/>
          <w:szCs w:val="24"/>
        </w:rPr>
        <w:t>were carefully selected. Each petri dish was prepared with a base layer of moist filter paper. These seeds were distributed evenly among the petri dishes, each subjected to varying heavy metal treatments. The petri dishes were then positioned in incubator with controlled environment with appropriate temperature and light conditions,</w:t>
      </w:r>
      <w:r w:rsidR="00C27128">
        <w:rPr>
          <w:rFonts w:ascii="Times New Roman" w:hAnsi="Times New Roman"/>
          <w:sz w:val="24"/>
          <w:szCs w:val="24"/>
        </w:rPr>
        <w:t xml:space="preserve"> </w:t>
      </w:r>
      <w:r w:rsidRPr="00A535F9">
        <w:rPr>
          <w:rFonts w:ascii="Times New Roman" w:hAnsi="Times New Roman"/>
          <w:sz w:val="24"/>
          <w:szCs w:val="24"/>
        </w:rPr>
        <w:t>ideally maintained at 25-30 °C, optimal for tomato germination. Monitoring commenced, with the number of germinated seeds recorded 6 days post sowing (DAS). The germination percentage (%) was subsequently calculated following the</w:t>
      </w:r>
      <w:r w:rsidR="00673DAE">
        <w:rPr>
          <w:rFonts w:ascii="Times New Roman" w:hAnsi="Times New Roman"/>
          <w:sz w:val="24"/>
          <w:szCs w:val="24"/>
        </w:rPr>
        <w:t xml:space="preserve"> </w:t>
      </w:r>
      <w:r w:rsidRPr="00A535F9">
        <w:rPr>
          <w:rFonts w:ascii="Times New Roman" w:hAnsi="Times New Roman"/>
          <w:sz w:val="24"/>
          <w:szCs w:val="24"/>
        </w:rPr>
        <w:t>formula outlined by I.S.T.A. (1976)</w:t>
      </w:r>
      <w:r w:rsidR="00C27128">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{"citationID":"w0KUCIaE","properties":{"formattedCitation":"(International Seed Testing Association (1976) International rules for seed testing. Seed Science and Technology, 4, 51-177. - References - Scientific Research Publishing [ND])","plainCitation":"(International Seed Testing Association (1976) International rules for seed testing. Seed Science and Technology, 4, 51-177. - References - Scientific Research Publishing [ND])","noteIndex":0},"citationItems":[{"id":1986,"uris":["http://zotero.org/users/local/0V2ceVcX/items/FZL792CL"],"itemData":{"id":1986,"type":"webpage","title":"International Seed Testing Association (1976) International rules for seed testing. Seed Science and Technology, 4, 51-177. - References - Scientific Research Publishing","URL":"https://www.scirp.org/reference/referencespapers?referenceid=1045787","accessed":{"date-parts":[["2025",8,19]]}}}],"schema":"https://github.com/citation-style-language/schema/raw/master/csl-citation.json"} </w:instrText>
      </w:r>
      <w:r w:rsidR="00C27128">
        <w:rPr>
          <w:rFonts w:ascii="Times New Roman" w:hAnsi="Times New Roman"/>
          <w:sz w:val="24"/>
          <w:szCs w:val="24"/>
        </w:rPr>
        <w:fldChar w:fldCharType="separate"/>
      </w:r>
      <w:r w:rsidR="008A7C09" w:rsidRPr="008A7C09">
        <w:rPr>
          <w:rFonts w:ascii="Times New Roman" w:hAnsi="Times New Roman"/>
          <w:sz w:val="24"/>
        </w:rPr>
        <w:t>(International Seed Testing Association (1976) International rules for seed testing. Seed Science and Technology, 4, 51-177. - References - Scientific Research Publishing [ND])</w:t>
      </w:r>
      <w:r w:rsidR="00C27128">
        <w:rPr>
          <w:rFonts w:ascii="Times New Roman" w:hAnsi="Times New Roman"/>
          <w:sz w:val="24"/>
          <w:szCs w:val="24"/>
        </w:rPr>
        <w:fldChar w:fldCharType="end"/>
      </w:r>
      <w:r w:rsidRPr="00A535F9">
        <w:rPr>
          <w:rFonts w:ascii="Times New Roman" w:hAnsi="Times New Roman"/>
          <w:sz w:val="24"/>
          <w:szCs w:val="24"/>
        </w:rPr>
        <w:t>.</w:t>
      </w:r>
    </w:p>
    <w:p w14:paraId="0B314200" w14:textId="59E9A15B" w:rsidR="00A535F9" w:rsidRDefault="00A535F9" w:rsidP="00673DAE">
      <w:pPr>
        <w:spacing w:line="360" w:lineRule="auto"/>
        <w:jc w:val="center"/>
        <w:rPr>
          <w:rFonts w:ascii="Times New Roman" w:hAnsi="Times New Roman"/>
          <w:sz w:val="24"/>
          <w:szCs w:val="24"/>
        </w:rPr>
      </w:pPr>
      <w:r w:rsidRPr="00A535F9">
        <w:rPr>
          <w:rFonts w:ascii="Times New Roman" w:hAnsi="Times New Roman"/>
          <w:sz w:val="24"/>
          <w:szCs w:val="24"/>
        </w:rPr>
        <w:t>Germination Percentage (GP %) = Ng/</w:t>
      </w:r>
      <w:proofErr w:type="spellStart"/>
      <w:r w:rsidRPr="00A535F9">
        <w:rPr>
          <w:rFonts w:ascii="Times New Roman" w:hAnsi="Times New Roman"/>
          <w:sz w:val="24"/>
          <w:szCs w:val="24"/>
        </w:rPr>
        <w:t>Nt</w:t>
      </w:r>
      <w:proofErr w:type="spellEnd"/>
      <w:r w:rsidRPr="00A535F9">
        <w:rPr>
          <w:rFonts w:ascii="Times New Roman" w:hAnsi="Times New Roman"/>
          <w:sz w:val="24"/>
          <w:szCs w:val="24"/>
        </w:rPr>
        <w:t xml:space="preserve"> *100</w:t>
      </w:r>
    </w:p>
    <w:p w14:paraId="7BBDBE8E" w14:textId="77777777" w:rsidR="00A535F9" w:rsidRPr="00A535F9" w:rsidRDefault="00A535F9" w:rsidP="00A535F9">
      <w:pPr>
        <w:spacing w:line="360" w:lineRule="auto"/>
        <w:jc w:val="center"/>
        <w:rPr>
          <w:rFonts w:ascii="Times New Roman" w:hAnsi="Times New Roman"/>
          <w:sz w:val="24"/>
          <w:szCs w:val="24"/>
        </w:rPr>
      </w:pPr>
      <w:r w:rsidRPr="00A535F9">
        <w:rPr>
          <w:rFonts w:ascii="Times New Roman" w:hAnsi="Times New Roman"/>
          <w:sz w:val="24"/>
          <w:szCs w:val="24"/>
        </w:rPr>
        <w:t>Where, Ng = Total number of germinated seeds;</w:t>
      </w:r>
    </w:p>
    <w:p w14:paraId="535FDCDD" w14:textId="2B904443" w:rsidR="00365674" w:rsidRPr="00673DAE" w:rsidRDefault="00A535F9" w:rsidP="00673DAE">
      <w:pPr>
        <w:spacing w:line="360" w:lineRule="auto"/>
        <w:jc w:val="center"/>
        <w:rPr>
          <w:rFonts w:ascii="Times New Roman" w:hAnsi="Times New Roman"/>
          <w:sz w:val="24"/>
          <w:szCs w:val="24"/>
        </w:rPr>
      </w:pPr>
      <w:proofErr w:type="spellStart"/>
      <w:r w:rsidRPr="00A535F9">
        <w:rPr>
          <w:rFonts w:ascii="Times New Roman" w:hAnsi="Times New Roman"/>
          <w:sz w:val="24"/>
          <w:szCs w:val="24"/>
        </w:rPr>
        <w:t>Nt</w:t>
      </w:r>
      <w:proofErr w:type="spellEnd"/>
      <w:r w:rsidRPr="00A535F9">
        <w:rPr>
          <w:rFonts w:ascii="Times New Roman" w:hAnsi="Times New Roman"/>
          <w:sz w:val="24"/>
          <w:szCs w:val="24"/>
        </w:rPr>
        <w:t xml:space="preserve"> = Total number of seeds sown</w:t>
      </w:r>
    </w:p>
    <w:bookmarkEnd w:id="2"/>
    <w:p w14:paraId="1FA8F01D" w14:textId="0D2E006F" w:rsidR="00365674" w:rsidRPr="008E3E13" w:rsidRDefault="00A535F9" w:rsidP="00365674">
      <w:pPr>
        <w:pStyle w:val="Textbody"/>
        <w:spacing w:line="240" w:lineRule="auto"/>
        <w:ind w:firstLine="0"/>
        <w:rPr>
          <w:b w:val="0"/>
          <w:bCs w:val="0"/>
        </w:rPr>
      </w:pPr>
      <w:r>
        <w:t xml:space="preserve">Relative Water </w:t>
      </w:r>
      <w:proofErr w:type="gramStart"/>
      <w:r>
        <w:t>Content(</w:t>
      </w:r>
      <w:proofErr w:type="gramEnd"/>
      <w:r>
        <w:t>RWC)</w:t>
      </w:r>
    </w:p>
    <w:p w14:paraId="7ED391B1" w14:textId="77777777" w:rsidR="00AB5697" w:rsidRDefault="00AB5697" w:rsidP="00AB5697">
      <w:pPr>
        <w:spacing w:after="160"/>
        <w:jc w:val="both"/>
        <w:rPr>
          <w:rFonts w:ascii="Times New Roman" w:hAnsi="Times New Roman"/>
          <w:sz w:val="24"/>
          <w:szCs w:val="24"/>
        </w:rPr>
      </w:pPr>
      <w:bookmarkStart w:id="3" w:name="__RefHeading___Toc93264_1558331054"/>
    </w:p>
    <w:p w14:paraId="54B97AA3" w14:textId="61369B49" w:rsidR="00AB5697" w:rsidRDefault="00673DAE" w:rsidP="00C27128">
      <w:pPr>
        <w:spacing w:after="160"/>
        <w:ind w:firstLine="720"/>
        <w:jc w:val="both"/>
        <w:rPr>
          <w:rFonts w:ascii="Times New Roman" w:hAnsi="Times New Roman"/>
          <w:sz w:val="24"/>
          <w:szCs w:val="24"/>
        </w:rPr>
      </w:pPr>
      <w:r w:rsidRPr="00673DAE">
        <w:rPr>
          <w:rFonts w:ascii="Times New Roman" w:hAnsi="Times New Roman"/>
          <w:noProof/>
        </w:rPr>
        <mc:AlternateContent>
          <mc:Choice Requires="wps">
            <w:drawing>
              <wp:anchor distT="45720" distB="45720" distL="114300" distR="114300" simplePos="0" relativeHeight="251658239" behindDoc="0" locked="0" layoutInCell="1" allowOverlap="1" wp14:anchorId="66C5B732" wp14:editId="645CE047">
                <wp:simplePos x="0" y="0"/>
                <wp:positionH relativeFrom="column">
                  <wp:posOffset>196215</wp:posOffset>
                </wp:positionH>
                <wp:positionV relativeFrom="paragraph">
                  <wp:posOffset>1467485</wp:posOffset>
                </wp:positionV>
                <wp:extent cx="3848100" cy="1404620"/>
                <wp:effectExtent l="0" t="0" r="0" b="6350"/>
                <wp:wrapSquare wrapText="bothSides"/>
                <wp:docPr id="1706073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noFill/>
                          <a:miter lim="800000"/>
                          <a:headEnd/>
                          <a:tailEnd/>
                        </a:ln>
                      </wps:spPr>
                      <wps:txbx>
                        <w:txbxContent>
                          <w:p w14:paraId="55BF60D5" w14:textId="77777777" w:rsidR="00673DAE" w:rsidRPr="00673DAE" w:rsidRDefault="00673DAE" w:rsidP="00673DAE">
                            <w:pPr>
                              <w:jc w:val="both"/>
                              <w:rPr>
                                <w:rFonts w:ascii="Times New Roman" w:hAnsi="Times New Roman"/>
                                <w:b/>
                                <w:bCs/>
                                <w:sz w:val="24"/>
                                <w:szCs w:val="24"/>
                                <w:u w:val="single"/>
                              </w:rPr>
                            </w:pPr>
                            <w:r>
                              <w:rPr>
                                <w:rFonts w:ascii="Times New Roman" w:hAnsi="Times New Roman"/>
                              </w:rPr>
                              <w:t xml:space="preserve"> </w:t>
                            </w:r>
                            <w:r w:rsidRPr="00673DAE">
                              <w:rPr>
                                <w:rFonts w:ascii="Times New Roman" w:hAnsi="Times New Roman"/>
                                <w:b/>
                                <w:bCs/>
                                <w:sz w:val="24"/>
                                <w:szCs w:val="24"/>
                              </w:rPr>
                              <w:t xml:space="preserve"> Relative Water Content (RWC %)</w:t>
                            </w:r>
                            <w:r>
                              <w:rPr>
                                <w:rFonts w:ascii="Times New Roman" w:hAnsi="Times New Roman"/>
                                <w:b/>
                                <w:bCs/>
                                <w:sz w:val="24"/>
                                <w:szCs w:val="24"/>
                              </w:rPr>
                              <w:t xml:space="preserve"> </w:t>
                            </w:r>
                            <w:r w:rsidRPr="00673DAE">
                              <w:rPr>
                                <w:rFonts w:ascii="Times New Roman" w:hAnsi="Times New Roman"/>
                                <w:b/>
                                <w:bCs/>
                                <w:sz w:val="24"/>
                                <w:szCs w:val="24"/>
                              </w:rPr>
                              <w:t xml:space="preserve">=   </w:t>
                            </w:r>
                            <w:r w:rsidRPr="00673DAE">
                              <w:rPr>
                                <w:rFonts w:ascii="Times New Roman" w:hAnsi="Times New Roman"/>
                                <w:b/>
                                <w:bCs/>
                                <w:sz w:val="24"/>
                                <w:szCs w:val="24"/>
                                <w:u w:val="single"/>
                              </w:rPr>
                              <w:t xml:space="preserve"> TW−DW</w:t>
                            </w:r>
                          </w:p>
                          <w:p w14:paraId="29F2B3AE" w14:textId="5DC92AD6" w:rsidR="00673DAE" w:rsidRPr="00681E0F" w:rsidRDefault="00673DAE" w:rsidP="00673DAE">
                            <w:pPr>
                              <w:spacing w:after="160"/>
                              <w:jc w:val="both"/>
                              <w:rPr>
                                <w:rFonts w:ascii="Times New Roman" w:hAnsi="Times New Roman"/>
                                <w:b/>
                                <w:bCs/>
                                <w:sz w:val="24"/>
                                <w:szCs w:val="24"/>
                              </w:rPr>
                            </w:pPr>
                            <w:r w:rsidRPr="00673DAE">
                              <w:rPr>
                                <w:rFonts w:ascii="Times New Roman" w:hAnsi="Times New Roman"/>
                                <w:b/>
                                <w:bCs/>
                                <w:sz w:val="24"/>
                                <w:szCs w:val="24"/>
                              </w:rPr>
                              <w:t xml:space="preserve">                                                                    FW−DW</w:t>
                            </w:r>
                          </w:p>
                          <w:p w14:paraId="0C8C877B" w14:textId="6A747884" w:rsidR="00673DAE" w:rsidRDefault="00673D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5B732" id="_x0000_t202" coordsize="21600,21600" o:spt="202" path="m,l,21600r21600,l21600,xe">
                <v:stroke joinstyle="miter"/>
                <v:path gradientshapeok="t" o:connecttype="rect"/>
              </v:shapetype>
              <v:shape id="Text Box 2" o:spid="_x0000_s1026" type="#_x0000_t202" style="position:absolute;left:0;text-align:left;margin-left:15.45pt;margin-top:115.55pt;width:30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" stroked="f">
                <v:textbox style="mso-fit-shape-to-text:t">
                  <w:txbxContent>
                    <w:p w14:paraId="55BF60D5" w14:textId="77777777" w:rsidR="00673DAE" w:rsidRPr="00673DAE" w:rsidRDefault="00673DAE" w:rsidP="00673DAE">
                      <w:pPr>
                        <w:jc w:val="both"/>
                        <w:rPr>
                          <w:rFonts w:ascii="Times New Roman" w:hAnsi="Times New Roman"/>
                          <w:b/>
                          <w:bCs/>
                          <w:sz w:val="24"/>
                          <w:szCs w:val="24"/>
                          <w:u w:val="single"/>
                        </w:rPr>
                      </w:pPr>
                      <w:r>
                        <w:rPr>
                          <w:rFonts w:ascii="Times New Roman" w:hAnsi="Times New Roman"/>
                        </w:rPr>
                        <w:t xml:space="preserve"> </w:t>
                      </w:r>
                      <w:r w:rsidRPr="00673DAE">
                        <w:rPr>
                          <w:rFonts w:ascii="Times New Roman" w:hAnsi="Times New Roman"/>
                          <w:b/>
                          <w:bCs/>
                          <w:sz w:val="24"/>
                          <w:szCs w:val="24"/>
                        </w:rPr>
                        <w:t xml:space="preserve"> Relative Water Content (RWC %)</w:t>
                      </w:r>
                      <w:r>
                        <w:rPr>
                          <w:rFonts w:ascii="Times New Roman" w:hAnsi="Times New Roman"/>
                          <w:b/>
                          <w:bCs/>
                          <w:sz w:val="24"/>
                          <w:szCs w:val="24"/>
                        </w:rPr>
                        <w:t xml:space="preserve"> </w:t>
                      </w:r>
                      <w:r w:rsidRPr="00673DAE">
                        <w:rPr>
                          <w:rFonts w:ascii="Times New Roman" w:hAnsi="Times New Roman"/>
                          <w:b/>
                          <w:bCs/>
                          <w:sz w:val="24"/>
                          <w:szCs w:val="24"/>
                        </w:rPr>
                        <w:t xml:space="preserve">=   </w:t>
                      </w:r>
                      <w:r w:rsidRPr="00673DAE">
                        <w:rPr>
                          <w:rFonts w:ascii="Times New Roman" w:hAnsi="Times New Roman"/>
                          <w:b/>
                          <w:bCs/>
                          <w:sz w:val="24"/>
                          <w:szCs w:val="24"/>
                          <w:u w:val="single"/>
                        </w:rPr>
                        <w:t xml:space="preserve"> TW−DW</w:t>
                      </w:r>
                    </w:p>
                    <w:p w14:paraId="29F2B3AE" w14:textId="5DC92AD6" w:rsidR="00673DAE" w:rsidRPr="00681E0F" w:rsidRDefault="00673DAE" w:rsidP="00673DAE">
                      <w:pPr>
                        <w:spacing w:after="160"/>
                        <w:jc w:val="both"/>
                        <w:rPr>
                          <w:rFonts w:ascii="Times New Roman" w:hAnsi="Times New Roman"/>
                          <w:b/>
                          <w:bCs/>
                          <w:sz w:val="24"/>
                          <w:szCs w:val="24"/>
                        </w:rPr>
                      </w:pPr>
                      <w:r w:rsidRPr="00673DAE">
                        <w:rPr>
                          <w:rFonts w:ascii="Times New Roman" w:hAnsi="Times New Roman"/>
                          <w:b/>
                          <w:bCs/>
                          <w:sz w:val="24"/>
                          <w:szCs w:val="24"/>
                        </w:rPr>
                        <w:t xml:space="preserve">                                                                    FW−DW</w:t>
                      </w:r>
                    </w:p>
                    <w:p w14:paraId="0C8C877B" w14:textId="6A747884" w:rsidR="00673DAE" w:rsidRDefault="00673DAE"/>
                  </w:txbxContent>
                </v:textbox>
                <w10:wrap type="square"/>
              </v:shape>
            </w:pict>
          </mc:Fallback>
        </mc:AlternateContent>
      </w:r>
      <w:r w:rsidRPr="00673DAE">
        <w:rPr>
          <w:rFonts w:ascii="Times New Roman" w:hAnsi="Times New Roman"/>
          <w:b/>
          <w:bCs/>
          <w:noProof/>
          <w:sz w:val="24"/>
          <w:szCs w:val="24"/>
        </w:rPr>
        <mc:AlternateContent>
          <mc:Choice Requires="wps">
            <w:drawing>
              <wp:anchor distT="45720" distB="45720" distL="114300" distR="114300" simplePos="0" relativeHeight="251659264" behindDoc="0" locked="0" layoutInCell="1" allowOverlap="1" wp14:anchorId="15A5D6C9" wp14:editId="314EB96F">
                <wp:simplePos x="0" y="0"/>
                <wp:positionH relativeFrom="column">
                  <wp:posOffset>3529965</wp:posOffset>
                </wp:positionH>
                <wp:positionV relativeFrom="paragraph">
                  <wp:posOffset>1486535</wp:posOffset>
                </wp:positionV>
                <wp:extent cx="4476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noFill/>
                          <a:miter lim="800000"/>
                          <a:headEnd/>
                          <a:tailEnd/>
                        </a:ln>
                      </wps:spPr>
                      <wps:txbx>
                        <w:txbxContent>
                          <w:p w14:paraId="43811E87" w14:textId="5B10197D" w:rsidR="00673DAE" w:rsidRPr="00673DAE" w:rsidRDefault="00673DAE">
                            <w:pPr>
                              <w:rPr>
                                <w:rFonts w:ascii="Times New Roman" w:hAnsi="Times New Roman"/>
                                <w:b/>
                                <w:bCs/>
                              </w:rPr>
                            </w:pPr>
                            <m:oMathPara>
                              <m:oMath>
                                <m:r>
                                  <m:rPr>
                                    <m:sty m:val="bi"/>
                                  </m:rPr>
                                  <w:rPr>
                                    <w:rFonts w:ascii="Cambria Math" w:hAnsi="Cambria Math"/>
                                  </w:rPr>
                                  <m:t>×100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5D6C9" id="_x0000_s1027" type="#_x0000_t202" style="position:absolute;left:0;text-align:left;margin-left:277.95pt;margin-top:117.05pt;width:3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" stroked="f">
                <v:textbox style="mso-fit-shape-to-text:t">
                  <w:txbxContent>
                    <w:p w14:paraId="43811E87" w14:textId="5B10197D" w:rsidR="00673DAE" w:rsidRPr="00673DAE" w:rsidRDefault="00673DAE">
                      <w:pPr>
                        <w:rPr>
                          <w:rFonts w:ascii="Times New Roman" w:hAnsi="Times New Roman"/>
                          <w:b/>
                          <w:bCs/>
                        </w:rPr>
                      </w:pPr>
                      <m:oMathPara>
                        <m:oMath>
                          <m:r>
                            <m:rPr>
                              <m:sty m:val="bi"/>
                            </m:rPr>
                            <w:rPr>
                              <w:rFonts w:ascii="Cambria Math" w:hAnsi="Cambria Math"/>
                            </w:rPr>
                            <m:t>×100</m:t>
                          </m:r>
                        </m:oMath>
                      </m:oMathPara>
                    </w:p>
                  </w:txbxContent>
                </v:textbox>
                <w10:wrap type="square"/>
              </v:shape>
            </w:pict>
          </mc:Fallback>
        </mc:AlternateContent>
      </w:r>
      <w:r w:rsidR="00AB5697" w:rsidRPr="00681E0F">
        <w:rPr>
          <w:rFonts w:ascii="Times New Roman" w:hAnsi="Times New Roman"/>
          <w:sz w:val="24"/>
          <w:szCs w:val="24"/>
        </w:rPr>
        <w:t xml:space="preserve">To determine the relative water content (RWC) of tomato leaves, fresh leaf samples were collected at </w:t>
      </w:r>
      <w:r w:rsidR="00AB5697" w:rsidRPr="00681E0F">
        <w:rPr>
          <w:rFonts w:ascii="Times New Roman" w:hAnsi="Times New Roman"/>
          <w:b/>
          <w:bCs/>
          <w:sz w:val="24"/>
          <w:szCs w:val="24"/>
        </w:rPr>
        <w:t>20 days after germination (DAG)</w:t>
      </w:r>
      <w:r w:rsidR="00AB5697" w:rsidRPr="00681E0F">
        <w:rPr>
          <w:rFonts w:ascii="Times New Roman" w:hAnsi="Times New Roman"/>
          <w:sz w:val="24"/>
          <w:szCs w:val="24"/>
        </w:rPr>
        <w:t xml:space="preserve">. A known fresh weight (FW) of leaves was immediately recorded and transferred into Petri dishes containing </w:t>
      </w:r>
      <w:r w:rsidR="00AB5697" w:rsidRPr="00681E0F">
        <w:rPr>
          <w:rFonts w:ascii="Times New Roman" w:hAnsi="Times New Roman"/>
          <w:b/>
          <w:bCs/>
          <w:sz w:val="24"/>
          <w:szCs w:val="24"/>
        </w:rPr>
        <w:t>25 ml of distilled water</w:t>
      </w:r>
      <w:r w:rsidR="00AB5697" w:rsidRPr="00681E0F">
        <w:rPr>
          <w:rFonts w:ascii="Times New Roman" w:hAnsi="Times New Roman"/>
          <w:sz w:val="24"/>
          <w:szCs w:val="24"/>
        </w:rPr>
        <w:t xml:space="preserve">. The samples were allowed to hydrate for </w:t>
      </w:r>
      <w:r w:rsidR="00AB5697" w:rsidRPr="00681E0F">
        <w:rPr>
          <w:rFonts w:ascii="Times New Roman" w:hAnsi="Times New Roman"/>
          <w:b/>
          <w:bCs/>
          <w:sz w:val="24"/>
          <w:szCs w:val="24"/>
        </w:rPr>
        <w:t>four hours</w:t>
      </w:r>
      <w:r w:rsidR="00AB5697" w:rsidRPr="00681E0F">
        <w:rPr>
          <w:rFonts w:ascii="Times New Roman" w:hAnsi="Times New Roman"/>
          <w:sz w:val="24"/>
          <w:szCs w:val="24"/>
        </w:rPr>
        <w:t xml:space="preserve"> at room temperature. After hydration, the leaves were gently blotted dry using tissue paper, and their </w:t>
      </w:r>
      <w:r w:rsidR="00AB5697" w:rsidRPr="00681E0F">
        <w:rPr>
          <w:rFonts w:ascii="Times New Roman" w:hAnsi="Times New Roman"/>
          <w:b/>
          <w:bCs/>
          <w:sz w:val="24"/>
          <w:szCs w:val="24"/>
        </w:rPr>
        <w:t>turgid weight (TW)</w:t>
      </w:r>
      <w:r w:rsidR="00AB5697" w:rsidRPr="00681E0F">
        <w:rPr>
          <w:rFonts w:ascii="Times New Roman" w:hAnsi="Times New Roman"/>
          <w:sz w:val="24"/>
          <w:szCs w:val="24"/>
        </w:rPr>
        <w:t xml:space="preserve"> was measured. The samples were then oven-dried at </w:t>
      </w:r>
      <w:r w:rsidR="00AB5697" w:rsidRPr="00681E0F">
        <w:rPr>
          <w:rFonts w:ascii="Times New Roman" w:hAnsi="Times New Roman"/>
          <w:b/>
          <w:bCs/>
          <w:sz w:val="24"/>
          <w:szCs w:val="24"/>
        </w:rPr>
        <w:t>84 °C for 5 hours</w:t>
      </w:r>
      <w:r w:rsidR="00AB5697" w:rsidRPr="00681E0F">
        <w:rPr>
          <w:rFonts w:ascii="Times New Roman" w:hAnsi="Times New Roman"/>
          <w:sz w:val="24"/>
          <w:szCs w:val="24"/>
        </w:rPr>
        <w:t xml:space="preserve">, until a constant weight was obtained, to determine the </w:t>
      </w:r>
      <w:r w:rsidR="00AB5697" w:rsidRPr="00681E0F">
        <w:rPr>
          <w:rFonts w:ascii="Times New Roman" w:hAnsi="Times New Roman"/>
          <w:b/>
          <w:bCs/>
          <w:sz w:val="24"/>
          <w:szCs w:val="24"/>
        </w:rPr>
        <w:t>dry weight (DW)</w:t>
      </w:r>
      <w:r w:rsidR="00C27128">
        <w:rPr>
          <w:rFonts w:ascii="Times New Roman" w:hAnsi="Times New Roman"/>
          <w:b/>
          <w:bCs/>
          <w:sz w:val="24"/>
          <w:szCs w:val="24"/>
        </w:rPr>
        <w:fldChar w:fldCharType="begin"/>
      </w:r>
      <w:r w:rsidR="008A7C09">
        <w:rPr>
          <w:rFonts w:ascii="Times New Roman" w:hAnsi="Times New Roman"/>
          <w:b/>
          <w:bCs/>
          <w:sz w:val="24"/>
          <w:szCs w:val="24"/>
        </w:rPr>
        <w:instrText xml:space="preserve"> ADDIN ZOTERO_ITEM CSL_CITATION {"citationID":"Key5wqRC","properties":{"formattedCitation":"(Weatherley 1951)","plainCitation":"(Weatherley 1951)","noteIndex":0},"citationItems":[{"id":950,"uris":["http://zotero.org/users/local/0V2ceVcX/items/HJ7CZ96J"],"itemData":{"id":950,"type":"article-journal","container-title":"New Phytologist","DOI":"10.1111/j.1469-8137.1951.tb05168.x","ISSN":"1469-8137","issue":"1","language":"en","note":"_eprint: https://onlinelibrary.wiley.com/doi/pdf/10.1111/j.1469-8137.1951.tb05168.x","page":"36-51","source":"Wiley Online Library","title":"Studies in the Water Relations of the Cotton Plant","URL":"https://onlinelibrary.wiley.com/doi/abs/10.1111/j.1469-8137.1951.tb05168.x","volume":"50","author":[{"family":"Weatherley","given":"P. E."}],"accessed":{"date-parts":[["2023",12,25]]},"issued":{"date-parts":[["1951"]]}}}],"schema":"https://github.com/citation-style-language/schema/raw/master/csl-citation.json"} </w:instrText>
      </w:r>
      <w:r w:rsidR="00C27128">
        <w:rPr>
          <w:rFonts w:ascii="Times New Roman" w:hAnsi="Times New Roman"/>
          <w:b/>
          <w:bCs/>
          <w:sz w:val="24"/>
          <w:szCs w:val="24"/>
        </w:rPr>
        <w:fldChar w:fldCharType="separate"/>
      </w:r>
      <w:r w:rsidR="008A7C09" w:rsidRPr="008A7C09">
        <w:rPr>
          <w:rFonts w:ascii="Times New Roman" w:hAnsi="Times New Roman"/>
          <w:sz w:val="24"/>
        </w:rPr>
        <w:t>(Weatherley 1951)</w:t>
      </w:r>
      <w:r w:rsidR="00C27128">
        <w:rPr>
          <w:rFonts w:ascii="Times New Roman" w:hAnsi="Times New Roman"/>
          <w:b/>
          <w:bCs/>
          <w:sz w:val="24"/>
          <w:szCs w:val="24"/>
        </w:rPr>
        <w:fldChar w:fldCharType="end"/>
      </w:r>
      <w:r w:rsidR="00AB5697" w:rsidRPr="00681E0F">
        <w:rPr>
          <w:rFonts w:ascii="Times New Roman" w:hAnsi="Times New Roman"/>
          <w:sz w:val="24"/>
          <w:szCs w:val="24"/>
        </w:rPr>
        <w:t>.</w:t>
      </w:r>
    </w:p>
    <w:p w14:paraId="583DD277" w14:textId="4634248C" w:rsidR="00673DAE" w:rsidRPr="00681E0F" w:rsidRDefault="00673DAE" w:rsidP="00673DAE">
      <w:pPr>
        <w:jc w:val="both"/>
        <w:rPr>
          <w:rFonts w:ascii="Times New Roman" w:hAnsi="Times New Roman"/>
          <w:b/>
          <w:bCs/>
          <w:sz w:val="24"/>
          <w:szCs w:val="24"/>
        </w:rPr>
      </w:pPr>
      <w:r>
        <w:rPr>
          <w:rFonts w:ascii="Times New Roman" w:hAnsi="Times New Roman"/>
        </w:rPr>
        <w:t xml:space="preserve">        </w:t>
      </w:r>
      <w:r w:rsidRPr="00673DAE">
        <w:rPr>
          <w:rFonts w:ascii="Times New Roman" w:hAnsi="Times New Roman"/>
          <w:b/>
          <w:bCs/>
          <w:sz w:val="24"/>
          <w:szCs w:val="24"/>
        </w:rPr>
        <w:t xml:space="preserve"> </w:t>
      </w:r>
    </w:p>
    <w:p w14:paraId="0671530A" w14:textId="334ECEA8" w:rsidR="00673DAE" w:rsidRPr="00681E0F" w:rsidRDefault="00673DAE" w:rsidP="00AB5697">
      <w:pPr>
        <w:spacing w:after="160"/>
        <w:jc w:val="both"/>
        <w:rPr>
          <w:rFonts w:ascii="Times New Roman" w:hAnsi="Times New Roman"/>
          <w:b/>
          <w:bCs/>
          <w:sz w:val="24"/>
          <w:szCs w:val="24"/>
        </w:rPr>
      </w:pPr>
    </w:p>
    <w:bookmarkEnd w:id="1"/>
    <w:bookmarkEnd w:id="3"/>
    <w:p w14:paraId="2C293EA1" w14:textId="77777777" w:rsidR="00673DAE" w:rsidRDefault="00673DAE" w:rsidP="00E15F96">
      <w:pPr>
        <w:pStyle w:val="Head1"/>
        <w:spacing w:after="0"/>
        <w:jc w:val="both"/>
        <w:rPr>
          <w:rFonts w:ascii="Arial" w:hAnsi="Arial" w:cs="Arial"/>
          <w:szCs w:val="22"/>
        </w:rPr>
      </w:pPr>
    </w:p>
    <w:p w14:paraId="6BCDE89D" w14:textId="77777777" w:rsidR="00673DAE" w:rsidRDefault="00673DAE" w:rsidP="00E15F96">
      <w:pPr>
        <w:pStyle w:val="Head1"/>
        <w:spacing w:after="0"/>
        <w:jc w:val="both"/>
        <w:rPr>
          <w:rFonts w:ascii="Arial" w:hAnsi="Arial" w:cs="Arial"/>
          <w:szCs w:val="22"/>
        </w:rPr>
      </w:pPr>
    </w:p>
    <w:p w14:paraId="48F1DD68" w14:textId="0866D389" w:rsidR="00E15F96" w:rsidRDefault="00E15F96" w:rsidP="00E15F96">
      <w:pPr>
        <w:pStyle w:val="Head1"/>
        <w:spacing w:after="0"/>
        <w:jc w:val="both"/>
        <w:rPr>
          <w:rFonts w:ascii="Arial" w:hAnsi="Arial" w:cs="Arial"/>
          <w:szCs w:val="22"/>
        </w:rPr>
      </w:pPr>
      <w:r w:rsidRPr="006D75A8">
        <w:rPr>
          <w:rFonts w:ascii="Arial" w:hAnsi="Arial" w:cs="Arial"/>
          <w:szCs w:val="22"/>
        </w:rPr>
        <w:t>3. results and discussion</w:t>
      </w:r>
    </w:p>
    <w:p w14:paraId="4A498AA2" w14:textId="77777777" w:rsidR="00B70015" w:rsidRDefault="00B70015" w:rsidP="00B70015">
      <w:pPr>
        <w:widowControl w:val="0"/>
        <w:ind w:firstLine="720"/>
        <w:jc w:val="both"/>
        <w:rPr>
          <w:rFonts w:ascii="Times New Roman" w:hAnsi="Times New Roman"/>
          <w:sz w:val="24"/>
          <w:szCs w:val="24"/>
        </w:rPr>
      </w:pPr>
    </w:p>
    <w:p w14:paraId="5B9C0489" w14:textId="436BDF66" w:rsidR="00B70015" w:rsidRDefault="00B70015" w:rsidP="00B70015">
      <w:pPr>
        <w:widowControl w:val="0"/>
        <w:ind w:firstLine="720"/>
        <w:jc w:val="both"/>
        <w:rPr>
          <w:rFonts w:ascii="Times New Roman" w:hAnsi="Times New Roman"/>
          <w:sz w:val="24"/>
          <w:szCs w:val="24"/>
        </w:rPr>
      </w:pPr>
      <w:r w:rsidRPr="007B38C4">
        <w:rPr>
          <w:rFonts w:ascii="Times New Roman" w:hAnsi="Times New Roman"/>
          <w:sz w:val="24"/>
          <w:szCs w:val="24"/>
        </w:rPr>
        <w:t>The germination percentage data was recorded based on the seedling growth of tomato over a period of six days after sowing (DAS) in petri dishes treated with five different concentrations of lead heavy metal containing water</w:t>
      </w:r>
      <w:r w:rsidR="00866052">
        <w:rPr>
          <w:rFonts w:ascii="Times New Roman" w:hAnsi="Times New Roman"/>
          <w:sz w:val="24"/>
          <w:szCs w:val="24"/>
        </w:rPr>
        <w:t xml:space="preserve"> along with control</w:t>
      </w:r>
      <w:r w:rsidRPr="007B38C4">
        <w:rPr>
          <w:rFonts w:ascii="Times New Roman" w:hAnsi="Times New Roman"/>
          <w:sz w:val="24"/>
          <w:szCs w:val="24"/>
        </w:rPr>
        <w:t xml:space="preserve">. This data was collected for six different genotypes. The impact of various lead heavy metal </w:t>
      </w:r>
      <w:r w:rsidRPr="007B38C4">
        <w:rPr>
          <w:rFonts w:ascii="Times New Roman" w:hAnsi="Times New Roman"/>
          <w:sz w:val="24"/>
          <w:szCs w:val="24"/>
        </w:rPr>
        <w:lastRenderedPageBreak/>
        <w:t>treatments on the germination percentage of tomato varieties is presented in Table 1</w:t>
      </w:r>
    </w:p>
    <w:p w14:paraId="6EFEB294" w14:textId="7B82942F" w:rsidR="00B70015" w:rsidRPr="00B70015" w:rsidRDefault="00B70015" w:rsidP="00B70015">
      <w:pPr>
        <w:widowControl w:val="0"/>
        <w:ind w:firstLine="720"/>
        <w:jc w:val="both"/>
        <w:rPr>
          <w:rFonts w:ascii="Times New Roman" w:hAnsi="Times New Roman"/>
          <w:noProof/>
          <w:sz w:val="24"/>
          <w:szCs w:val="24"/>
        </w:rPr>
      </w:pPr>
      <w:r w:rsidRPr="00B70015">
        <w:rPr>
          <w:rFonts w:ascii="Times New Roman" w:hAnsi="Times New Roman"/>
          <w:noProof/>
          <w:sz w:val="24"/>
          <w:szCs w:val="24"/>
        </w:rPr>
        <w:t xml:space="preserve">An examination of the data </w:t>
      </w:r>
      <w:r w:rsidR="00866052">
        <w:rPr>
          <w:rFonts w:ascii="Times New Roman" w:hAnsi="Times New Roman"/>
          <w:noProof/>
          <w:sz w:val="24"/>
          <w:szCs w:val="24"/>
        </w:rPr>
        <w:t xml:space="preserve">in table 1 </w:t>
      </w:r>
      <w:r w:rsidRPr="00B70015">
        <w:rPr>
          <w:rFonts w:ascii="Times New Roman" w:hAnsi="Times New Roman"/>
          <w:noProof/>
          <w:sz w:val="24"/>
          <w:szCs w:val="24"/>
        </w:rPr>
        <w:t>indicates that various genotypes of tomato seedlings exhibited significant differences in germination percentage at 6 days after sowing (DAS). The significantly higher (</w:t>
      </w:r>
      <w:r w:rsidR="00866052">
        <w:rPr>
          <w:rFonts w:ascii="Times New Roman" w:hAnsi="Times New Roman"/>
          <w:noProof/>
          <w:sz w:val="24"/>
          <w:szCs w:val="24"/>
        </w:rPr>
        <w:t xml:space="preserve">68.77 </w:t>
      </w:r>
      <w:r w:rsidRPr="00B70015">
        <w:rPr>
          <w:rFonts w:ascii="Times New Roman" w:hAnsi="Times New Roman"/>
          <w:noProof/>
          <w:sz w:val="24"/>
          <w:szCs w:val="24"/>
        </w:rPr>
        <w:t>%) mean value of  germination percentage was recorded for the genotype GT1. The significantly lower germination percentage (2</w:t>
      </w:r>
      <w:r w:rsidR="00866052">
        <w:rPr>
          <w:rFonts w:ascii="Times New Roman" w:hAnsi="Times New Roman"/>
          <w:noProof/>
          <w:sz w:val="24"/>
          <w:szCs w:val="24"/>
        </w:rPr>
        <w:t>9.3</w:t>
      </w:r>
      <w:r w:rsidRPr="00B70015">
        <w:rPr>
          <w:rFonts w:ascii="Times New Roman" w:hAnsi="Times New Roman"/>
          <w:noProof/>
          <w:sz w:val="24"/>
          <w:szCs w:val="24"/>
        </w:rPr>
        <w:t>%) was found in GT  (V4).These variations in germination percentages can be attributed to genetic differences  among the genotypes, as well as potential variations in their tolerance to Lead heavy metal tolerant levels in , impacting seed germination rates.</w:t>
      </w:r>
    </w:p>
    <w:p w14:paraId="3C15D891" w14:textId="14DEFFC1" w:rsidR="00B70015" w:rsidRPr="00B70015" w:rsidRDefault="00B70015" w:rsidP="00B70015">
      <w:pPr>
        <w:widowControl w:val="0"/>
        <w:ind w:firstLine="720"/>
        <w:jc w:val="both"/>
        <w:rPr>
          <w:rFonts w:ascii="Times New Roman" w:hAnsi="Times New Roman"/>
          <w:noProof/>
          <w:sz w:val="24"/>
          <w:szCs w:val="24"/>
          <w:lang w:val="en-IN"/>
        </w:rPr>
      </w:pPr>
      <w:r w:rsidRPr="00B70015">
        <w:rPr>
          <w:rFonts w:ascii="Times New Roman" w:hAnsi="Times New Roman"/>
          <w:noProof/>
          <w:sz w:val="24"/>
          <w:szCs w:val="24"/>
        </w:rPr>
        <w:t xml:space="preserve">Mean effect of treatments on germination percentage was significantly varied  between 100% and 7.83 % </w:t>
      </w:r>
      <w:r w:rsidR="00866052">
        <w:rPr>
          <w:rFonts w:ascii="Times New Roman" w:hAnsi="Times New Roman"/>
          <w:noProof/>
          <w:sz w:val="24"/>
          <w:szCs w:val="24"/>
        </w:rPr>
        <w:t>as given in table 1</w:t>
      </w:r>
      <w:r w:rsidRPr="00B70015">
        <w:rPr>
          <w:rFonts w:ascii="Times New Roman" w:hAnsi="Times New Roman"/>
          <w:noProof/>
          <w:sz w:val="24"/>
          <w:szCs w:val="24"/>
        </w:rPr>
        <w:t>, and treatment irrigated with distilled  water showed highest mean value of germination percentage (</w:t>
      </w:r>
      <w:r w:rsidR="00866052">
        <w:rPr>
          <w:rFonts w:ascii="Times New Roman" w:hAnsi="Times New Roman"/>
          <w:noProof/>
          <w:sz w:val="24"/>
          <w:szCs w:val="24"/>
        </w:rPr>
        <w:t xml:space="preserve">90 </w:t>
      </w:r>
      <w:r w:rsidRPr="00B70015">
        <w:rPr>
          <w:rFonts w:ascii="Times New Roman" w:hAnsi="Times New Roman"/>
          <w:noProof/>
          <w:sz w:val="24"/>
          <w:szCs w:val="24"/>
        </w:rPr>
        <w:t>%) while the</w:t>
      </w:r>
      <w:r w:rsidR="00866052">
        <w:rPr>
          <w:rFonts w:ascii="Times New Roman" w:hAnsi="Times New Roman"/>
          <w:noProof/>
          <w:sz w:val="24"/>
          <w:szCs w:val="24"/>
        </w:rPr>
        <w:t xml:space="preserve"> </w:t>
      </w:r>
      <w:r w:rsidRPr="00B70015">
        <w:rPr>
          <w:rFonts w:ascii="Times New Roman" w:hAnsi="Times New Roman"/>
          <w:noProof/>
          <w:sz w:val="24"/>
          <w:szCs w:val="24"/>
        </w:rPr>
        <w:t xml:space="preserve"> irrigated with 300 ppm showed lowest mean value of germination percentage (7.83 %) after 6 DAS. This variation in germination percentages can be attributed to the osmotic stress induced by different levels of lead heavy metal. High heavy metal levels, such as those in treatment </w:t>
      </w:r>
      <w:r w:rsidR="00866052">
        <w:rPr>
          <w:rFonts w:ascii="Times New Roman" w:hAnsi="Times New Roman"/>
          <w:noProof/>
          <w:sz w:val="24"/>
          <w:szCs w:val="24"/>
        </w:rPr>
        <w:t>at 300 ppm</w:t>
      </w:r>
      <w:r w:rsidRPr="00B70015">
        <w:rPr>
          <w:rFonts w:ascii="Times New Roman" w:hAnsi="Times New Roman"/>
          <w:noProof/>
          <w:sz w:val="24"/>
          <w:szCs w:val="24"/>
        </w:rPr>
        <w:t>, can lead to higher osmotic stress compared to other treatments, may be due to hindering water uptake by seeds and thus  reducing germination rates.</w:t>
      </w:r>
    </w:p>
    <w:p w14:paraId="2D2215CF" w14:textId="5A8FF43B" w:rsidR="00B70015" w:rsidRDefault="00B70015" w:rsidP="00B70015">
      <w:pPr>
        <w:jc w:val="center"/>
        <w:rPr>
          <w:rFonts w:ascii="Times New Roman" w:hAnsi="Times New Roman"/>
          <w:b/>
          <w:bCs/>
          <w:sz w:val="24"/>
          <w:szCs w:val="24"/>
        </w:rPr>
      </w:pPr>
      <w:r w:rsidRPr="00B70015">
        <w:rPr>
          <w:rFonts w:ascii="Times New Roman" w:hAnsi="Times New Roman"/>
          <w:b/>
          <w:bCs/>
          <w:sz w:val="24"/>
          <w:szCs w:val="24"/>
        </w:rPr>
        <w:t xml:space="preserve">Table </w:t>
      </w:r>
      <w:proofErr w:type="gramStart"/>
      <w:r w:rsidR="00C27128">
        <w:rPr>
          <w:rFonts w:ascii="Times New Roman" w:hAnsi="Times New Roman"/>
          <w:b/>
          <w:bCs/>
          <w:sz w:val="24"/>
          <w:szCs w:val="24"/>
        </w:rPr>
        <w:t>1</w:t>
      </w:r>
      <w:r w:rsidRPr="00B70015">
        <w:rPr>
          <w:rFonts w:ascii="Times New Roman" w:hAnsi="Times New Roman"/>
          <w:b/>
          <w:bCs/>
          <w:sz w:val="24"/>
          <w:szCs w:val="24"/>
        </w:rPr>
        <w:t xml:space="preserve"> :</w:t>
      </w:r>
      <w:proofErr w:type="gramEnd"/>
      <w:r w:rsidRPr="00B70015">
        <w:rPr>
          <w:rFonts w:ascii="Times New Roman" w:hAnsi="Times New Roman"/>
          <w:b/>
          <w:bCs/>
          <w:sz w:val="24"/>
          <w:szCs w:val="24"/>
        </w:rPr>
        <w:t xml:space="preserve"> Effect of lead heavy metal stress on germination percentage of tomato genotypes at 6 DAS</w:t>
      </w:r>
    </w:p>
    <w:p w14:paraId="6EBCC6D1" w14:textId="77777777" w:rsidR="00C27128" w:rsidRPr="00B70015" w:rsidRDefault="00C27128" w:rsidP="00B70015">
      <w:pPr>
        <w:jc w:val="center"/>
        <w:rPr>
          <w:rFonts w:ascii="Times New Roman" w:hAnsi="Times New Roman"/>
          <w:b/>
          <w:bCs/>
          <w:sz w:val="24"/>
          <w:szCs w:val="24"/>
        </w:rPr>
      </w:pPr>
    </w:p>
    <w:tbl>
      <w:tblPr>
        <w:tblW w:w="5000" w:type="pct"/>
        <w:tblLook w:val="04A0" w:firstRow="1" w:lastRow="0" w:firstColumn="1" w:lastColumn="0" w:noHBand="0" w:noVBand="1"/>
      </w:tblPr>
      <w:tblGrid>
        <w:gridCol w:w="1664"/>
        <w:gridCol w:w="1020"/>
        <w:gridCol w:w="1110"/>
        <w:gridCol w:w="1099"/>
        <w:gridCol w:w="1194"/>
        <w:gridCol w:w="1209"/>
        <w:gridCol w:w="892"/>
      </w:tblGrid>
      <w:tr w:rsidR="00EE4A1B" w:rsidRPr="00B70015" w14:paraId="0DB03FA5" w14:textId="77777777" w:rsidTr="00EE4A1B">
        <w:trPr>
          <w:trHeight w:val="315"/>
        </w:trPr>
        <w:tc>
          <w:tcPr>
            <w:tcW w:w="5000" w:type="pct"/>
            <w:gridSpan w:val="7"/>
            <w:tcBorders>
              <w:top w:val="single" w:sz="8" w:space="0" w:color="auto"/>
              <w:left w:val="single" w:sz="8" w:space="0" w:color="auto"/>
              <w:bottom w:val="single" w:sz="8" w:space="0" w:color="000000"/>
              <w:right w:val="single" w:sz="8" w:space="0" w:color="auto"/>
            </w:tcBorders>
            <w:vAlign w:val="center"/>
          </w:tcPr>
          <w:p w14:paraId="556E90A7" w14:textId="52903544" w:rsidR="00EE4A1B" w:rsidRPr="00B70015" w:rsidRDefault="00EE4A1B" w:rsidP="00EE4A1B">
            <w:pPr>
              <w:jc w:val="center"/>
              <w:rPr>
                <w:rFonts w:ascii="Times New Roman" w:hAnsi="Times New Roman"/>
                <w:b/>
                <w:bCs/>
                <w:color w:val="000000"/>
                <w:sz w:val="24"/>
                <w:szCs w:val="24"/>
                <w:lang w:eastAsia="en-IN"/>
              </w:rPr>
            </w:pPr>
            <w:r>
              <w:rPr>
                <w:rFonts w:ascii="Times New Roman" w:hAnsi="Times New Roman"/>
                <w:b/>
                <w:bCs/>
                <w:color w:val="000000"/>
                <w:sz w:val="24"/>
                <w:szCs w:val="24"/>
                <w:lang w:eastAsia="en-IN"/>
              </w:rPr>
              <w:t>Relative Water Content</w:t>
            </w:r>
          </w:p>
        </w:tc>
      </w:tr>
      <w:tr w:rsidR="00EE4A1B" w:rsidRPr="00B70015" w14:paraId="7B5986C3" w14:textId="77777777" w:rsidTr="00C27128">
        <w:trPr>
          <w:trHeight w:val="477"/>
        </w:trPr>
        <w:tc>
          <w:tcPr>
            <w:tcW w:w="1016" w:type="pct"/>
            <w:vMerge w:val="restart"/>
            <w:tcBorders>
              <w:top w:val="single" w:sz="8" w:space="0" w:color="auto"/>
              <w:left w:val="single" w:sz="8" w:space="0" w:color="auto"/>
              <w:right w:val="single" w:sz="8" w:space="0" w:color="auto"/>
            </w:tcBorders>
            <w:vAlign w:val="center"/>
          </w:tcPr>
          <w:p w14:paraId="1DD5A0B2" w14:textId="6980FD17" w:rsidR="00EE4A1B" w:rsidRPr="00B70015" w:rsidRDefault="00EE4A1B" w:rsidP="00B70015">
            <w:pPr>
              <w:rPr>
                <w:rFonts w:ascii="Times New Roman" w:hAnsi="Times New Roman"/>
                <w:color w:val="000000"/>
                <w:sz w:val="24"/>
                <w:szCs w:val="24"/>
                <w:lang w:eastAsia="en-IN"/>
              </w:rPr>
            </w:pPr>
            <w:r w:rsidRPr="00B70015">
              <w:rPr>
                <w:rFonts w:ascii="Times New Roman" w:hAnsi="Times New Roman"/>
                <w:color w:val="000000"/>
                <w:sz w:val="24"/>
                <w:szCs w:val="24"/>
                <w:lang w:eastAsia="en-IN"/>
              </w:rPr>
              <w:t> </w:t>
            </w:r>
            <w:r w:rsidR="00C27128" w:rsidRPr="00DA0083">
              <w:rPr>
                <w:rFonts w:ascii="Times New Roman" w:hAnsi="Times New Roman"/>
                <w:b/>
                <w:bCs/>
                <w:color w:val="000000"/>
                <w:lang w:eastAsia="en-IN"/>
              </w:rPr>
              <w:t>Genotypes* (V)</w:t>
            </w:r>
          </w:p>
        </w:tc>
        <w:tc>
          <w:tcPr>
            <w:tcW w:w="3439" w:type="pct"/>
            <w:gridSpan w:val="5"/>
            <w:tcBorders>
              <w:top w:val="single" w:sz="8" w:space="0" w:color="auto"/>
              <w:left w:val="nil"/>
              <w:bottom w:val="nil"/>
              <w:right w:val="single" w:sz="8" w:space="0" w:color="auto"/>
            </w:tcBorders>
            <w:vAlign w:val="center"/>
          </w:tcPr>
          <w:p w14:paraId="3DEEC70C" w14:textId="548AAEAB" w:rsidR="00EE4A1B" w:rsidRPr="00B70015" w:rsidRDefault="00EE4A1B" w:rsidP="00EE4A1B">
            <w:pPr>
              <w:jc w:val="center"/>
              <w:rPr>
                <w:rFonts w:ascii="Times New Roman" w:hAnsi="Times New Roman"/>
                <w:b/>
                <w:bCs/>
                <w:color w:val="000000"/>
                <w:sz w:val="24"/>
                <w:szCs w:val="24"/>
                <w:lang w:eastAsia="en-IN"/>
              </w:rPr>
            </w:pPr>
            <w:r>
              <w:rPr>
                <w:rFonts w:ascii="Times New Roman" w:hAnsi="Times New Roman"/>
                <w:b/>
                <w:bCs/>
                <w:color w:val="000000"/>
                <w:sz w:val="24"/>
                <w:szCs w:val="24"/>
                <w:lang w:eastAsia="en-IN"/>
              </w:rPr>
              <w:t>Treatment</w:t>
            </w:r>
          </w:p>
        </w:tc>
        <w:tc>
          <w:tcPr>
            <w:tcW w:w="545" w:type="pct"/>
            <w:vMerge w:val="restart"/>
            <w:tcBorders>
              <w:top w:val="single" w:sz="8" w:space="0" w:color="auto"/>
              <w:left w:val="single" w:sz="8" w:space="0" w:color="auto"/>
              <w:right w:val="single" w:sz="8" w:space="0" w:color="auto"/>
            </w:tcBorders>
            <w:vAlign w:val="center"/>
          </w:tcPr>
          <w:p w14:paraId="0C56DC99" w14:textId="06C95E4F"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Mean V</w:t>
            </w:r>
          </w:p>
        </w:tc>
      </w:tr>
      <w:tr w:rsidR="00C27128" w:rsidRPr="00B70015" w14:paraId="3133A293" w14:textId="77777777" w:rsidTr="00C27128">
        <w:trPr>
          <w:trHeight w:val="315"/>
        </w:trPr>
        <w:tc>
          <w:tcPr>
            <w:tcW w:w="1016" w:type="pct"/>
            <w:vMerge/>
            <w:tcBorders>
              <w:left w:val="single" w:sz="8" w:space="0" w:color="auto"/>
              <w:right w:val="single" w:sz="8" w:space="0" w:color="auto"/>
            </w:tcBorders>
            <w:vAlign w:val="center"/>
            <w:hideMark/>
          </w:tcPr>
          <w:p w14:paraId="0FAB6598" w14:textId="3EE03A0A" w:rsidR="00EE4A1B" w:rsidRPr="00B70015" w:rsidRDefault="00EE4A1B" w:rsidP="00B70015">
            <w:pPr>
              <w:rPr>
                <w:rFonts w:ascii="Times New Roman" w:hAnsi="Times New Roman"/>
                <w:color w:val="000000"/>
                <w:sz w:val="24"/>
                <w:szCs w:val="24"/>
                <w:lang w:eastAsia="en-IN"/>
              </w:rPr>
            </w:pPr>
          </w:p>
        </w:tc>
        <w:tc>
          <w:tcPr>
            <w:tcW w:w="623" w:type="pct"/>
            <w:tcBorders>
              <w:top w:val="single" w:sz="8" w:space="0" w:color="auto"/>
              <w:left w:val="nil"/>
              <w:bottom w:val="nil"/>
              <w:right w:val="single" w:sz="8" w:space="0" w:color="auto"/>
            </w:tcBorders>
            <w:vAlign w:val="center"/>
            <w:hideMark/>
          </w:tcPr>
          <w:p w14:paraId="3D651EF5" w14:textId="7AADAB9A" w:rsidR="00EE4A1B" w:rsidRPr="00B70015" w:rsidRDefault="00EE4A1B" w:rsidP="00B70015">
            <w:pPr>
              <w:rPr>
                <w:rFonts w:ascii="Times New Roman" w:hAnsi="Times New Roman"/>
                <w:b/>
                <w:bCs/>
                <w:color w:val="000000"/>
                <w:sz w:val="24"/>
                <w:szCs w:val="24"/>
                <w:lang w:eastAsia="en-IN"/>
              </w:rPr>
            </w:pPr>
          </w:p>
        </w:tc>
        <w:tc>
          <w:tcPr>
            <w:tcW w:w="678" w:type="pct"/>
            <w:tcBorders>
              <w:top w:val="single" w:sz="8" w:space="0" w:color="auto"/>
              <w:left w:val="nil"/>
              <w:bottom w:val="nil"/>
              <w:right w:val="single" w:sz="8" w:space="0" w:color="auto"/>
            </w:tcBorders>
            <w:vAlign w:val="center"/>
            <w:hideMark/>
          </w:tcPr>
          <w:p w14:paraId="6B617352" w14:textId="6EF9DEFB" w:rsidR="00EE4A1B" w:rsidRPr="00B70015" w:rsidRDefault="00EE4A1B" w:rsidP="00B70015">
            <w:pPr>
              <w:rPr>
                <w:rFonts w:ascii="Times New Roman" w:hAnsi="Times New Roman"/>
                <w:b/>
                <w:bCs/>
                <w:color w:val="000000"/>
                <w:sz w:val="24"/>
                <w:szCs w:val="24"/>
                <w:lang w:eastAsia="en-IN"/>
              </w:rPr>
            </w:pPr>
          </w:p>
        </w:tc>
        <w:tc>
          <w:tcPr>
            <w:tcW w:w="671" w:type="pct"/>
            <w:tcBorders>
              <w:top w:val="single" w:sz="8" w:space="0" w:color="auto"/>
              <w:left w:val="nil"/>
              <w:bottom w:val="nil"/>
              <w:right w:val="single" w:sz="8" w:space="0" w:color="auto"/>
            </w:tcBorders>
            <w:vAlign w:val="center"/>
            <w:hideMark/>
          </w:tcPr>
          <w:p w14:paraId="1491F439" w14:textId="5617DCF1" w:rsidR="00EE4A1B" w:rsidRPr="00B70015" w:rsidRDefault="00EE4A1B" w:rsidP="00B70015">
            <w:pPr>
              <w:rPr>
                <w:rFonts w:ascii="Times New Roman" w:hAnsi="Times New Roman"/>
                <w:b/>
                <w:bCs/>
                <w:color w:val="000000"/>
                <w:sz w:val="24"/>
                <w:szCs w:val="24"/>
                <w:lang w:eastAsia="en-IN"/>
              </w:rPr>
            </w:pPr>
          </w:p>
        </w:tc>
        <w:tc>
          <w:tcPr>
            <w:tcW w:w="729" w:type="pct"/>
            <w:tcBorders>
              <w:top w:val="single" w:sz="8" w:space="0" w:color="auto"/>
              <w:left w:val="nil"/>
              <w:bottom w:val="nil"/>
              <w:right w:val="single" w:sz="8" w:space="0" w:color="auto"/>
            </w:tcBorders>
            <w:vAlign w:val="center"/>
            <w:hideMark/>
          </w:tcPr>
          <w:p w14:paraId="3E52E3AF" w14:textId="1D1009F9" w:rsidR="00EE4A1B" w:rsidRPr="00B70015" w:rsidRDefault="00EE4A1B" w:rsidP="00B70015">
            <w:pPr>
              <w:rPr>
                <w:rFonts w:ascii="Times New Roman" w:hAnsi="Times New Roman"/>
                <w:b/>
                <w:bCs/>
                <w:color w:val="000000"/>
                <w:sz w:val="24"/>
                <w:szCs w:val="24"/>
                <w:lang w:eastAsia="en-IN"/>
              </w:rPr>
            </w:pPr>
          </w:p>
        </w:tc>
        <w:tc>
          <w:tcPr>
            <w:tcW w:w="737" w:type="pct"/>
            <w:tcBorders>
              <w:top w:val="single" w:sz="8" w:space="0" w:color="auto"/>
              <w:left w:val="nil"/>
              <w:bottom w:val="nil"/>
              <w:right w:val="single" w:sz="8" w:space="0" w:color="auto"/>
            </w:tcBorders>
            <w:vAlign w:val="center"/>
            <w:hideMark/>
          </w:tcPr>
          <w:p w14:paraId="0CF5742A" w14:textId="7D898236" w:rsidR="00EE4A1B" w:rsidRPr="00B70015" w:rsidRDefault="00EE4A1B" w:rsidP="00B70015">
            <w:pPr>
              <w:rPr>
                <w:rFonts w:ascii="Times New Roman" w:hAnsi="Times New Roman"/>
                <w:b/>
                <w:bCs/>
                <w:color w:val="000000"/>
                <w:sz w:val="24"/>
                <w:szCs w:val="24"/>
                <w:lang w:eastAsia="en-IN"/>
              </w:rPr>
            </w:pPr>
          </w:p>
        </w:tc>
        <w:tc>
          <w:tcPr>
            <w:tcW w:w="545" w:type="pct"/>
            <w:vMerge/>
            <w:tcBorders>
              <w:left w:val="single" w:sz="8" w:space="0" w:color="auto"/>
              <w:right w:val="single" w:sz="8" w:space="0" w:color="auto"/>
            </w:tcBorders>
            <w:vAlign w:val="center"/>
            <w:hideMark/>
          </w:tcPr>
          <w:p w14:paraId="3F761C97" w14:textId="60C87F52" w:rsidR="00EE4A1B" w:rsidRPr="00B70015" w:rsidRDefault="00EE4A1B" w:rsidP="00B70015">
            <w:pPr>
              <w:rPr>
                <w:rFonts w:ascii="Times New Roman" w:hAnsi="Times New Roman"/>
                <w:b/>
                <w:bCs/>
                <w:color w:val="000000"/>
                <w:sz w:val="24"/>
                <w:szCs w:val="24"/>
                <w:lang w:eastAsia="en-IN"/>
              </w:rPr>
            </w:pPr>
          </w:p>
        </w:tc>
      </w:tr>
      <w:tr w:rsidR="00C27128" w:rsidRPr="00B70015" w14:paraId="3A196B91" w14:textId="77777777" w:rsidTr="00C27128">
        <w:trPr>
          <w:trHeight w:val="83"/>
        </w:trPr>
        <w:tc>
          <w:tcPr>
            <w:tcW w:w="1016" w:type="pct"/>
            <w:vMerge/>
            <w:tcBorders>
              <w:left w:val="single" w:sz="8" w:space="0" w:color="auto"/>
              <w:bottom w:val="single" w:sz="8" w:space="0" w:color="000000"/>
              <w:right w:val="single" w:sz="8" w:space="0" w:color="auto"/>
            </w:tcBorders>
            <w:vAlign w:val="center"/>
            <w:hideMark/>
          </w:tcPr>
          <w:p w14:paraId="24F0B373" w14:textId="77777777" w:rsidR="00EE4A1B" w:rsidRPr="00B70015" w:rsidRDefault="00EE4A1B" w:rsidP="00B70015">
            <w:pPr>
              <w:rPr>
                <w:rFonts w:ascii="Times New Roman" w:hAnsi="Times New Roman"/>
                <w:color w:val="000000"/>
                <w:sz w:val="24"/>
                <w:szCs w:val="24"/>
                <w:lang w:eastAsia="en-IN"/>
              </w:rPr>
            </w:pPr>
          </w:p>
        </w:tc>
        <w:tc>
          <w:tcPr>
            <w:tcW w:w="623" w:type="pct"/>
            <w:tcBorders>
              <w:top w:val="nil"/>
              <w:left w:val="nil"/>
              <w:bottom w:val="single" w:sz="4" w:space="0" w:color="auto"/>
              <w:right w:val="single" w:sz="8" w:space="0" w:color="auto"/>
            </w:tcBorders>
            <w:vAlign w:val="center"/>
            <w:hideMark/>
          </w:tcPr>
          <w:p w14:paraId="412118A5" w14:textId="4D6C3EFB"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control</w:t>
            </w:r>
          </w:p>
        </w:tc>
        <w:tc>
          <w:tcPr>
            <w:tcW w:w="678" w:type="pct"/>
            <w:tcBorders>
              <w:top w:val="nil"/>
              <w:left w:val="nil"/>
              <w:bottom w:val="single" w:sz="4" w:space="0" w:color="auto"/>
              <w:right w:val="single" w:sz="8" w:space="0" w:color="auto"/>
            </w:tcBorders>
            <w:vAlign w:val="center"/>
            <w:hideMark/>
          </w:tcPr>
          <w:p w14:paraId="2DBB51ED" w14:textId="138E3C6E"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50 ppm</w:t>
            </w:r>
          </w:p>
        </w:tc>
        <w:tc>
          <w:tcPr>
            <w:tcW w:w="671" w:type="pct"/>
            <w:tcBorders>
              <w:top w:val="nil"/>
              <w:left w:val="nil"/>
              <w:bottom w:val="single" w:sz="4" w:space="0" w:color="auto"/>
              <w:right w:val="single" w:sz="8" w:space="0" w:color="auto"/>
            </w:tcBorders>
            <w:vAlign w:val="center"/>
            <w:hideMark/>
          </w:tcPr>
          <w:p w14:paraId="0642BEBA" w14:textId="15EFBDDD" w:rsidR="00EE4A1B" w:rsidRPr="00B70015" w:rsidRDefault="00C27128" w:rsidP="00B70015">
            <w:pPr>
              <w:rPr>
                <w:rFonts w:ascii="Times New Roman" w:hAnsi="Times New Roman"/>
                <w:b/>
                <w:bCs/>
                <w:color w:val="000000"/>
                <w:sz w:val="24"/>
                <w:szCs w:val="24"/>
                <w:lang w:eastAsia="en-IN"/>
              </w:rPr>
            </w:pPr>
            <w:r>
              <w:rPr>
                <w:rFonts w:ascii="Times New Roman" w:hAnsi="Times New Roman"/>
                <w:b/>
                <w:bCs/>
                <w:color w:val="000000"/>
                <w:sz w:val="24"/>
                <w:szCs w:val="24"/>
                <w:lang w:eastAsia="en-IN"/>
              </w:rPr>
              <w:t>1</w:t>
            </w:r>
            <w:r w:rsidR="00EE4A1B" w:rsidRPr="00B70015">
              <w:rPr>
                <w:rFonts w:ascii="Times New Roman" w:hAnsi="Times New Roman"/>
                <w:b/>
                <w:bCs/>
                <w:color w:val="000000"/>
                <w:sz w:val="24"/>
                <w:szCs w:val="24"/>
                <w:lang w:eastAsia="en-IN"/>
              </w:rPr>
              <w:t>00 ppm</w:t>
            </w:r>
          </w:p>
        </w:tc>
        <w:tc>
          <w:tcPr>
            <w:tcW w:w="729" w:type="pct"/>
            <w:tcBorders>
              <w:top w:val="nil"/>
              <w:left w:val="nil"/>
              <w:bottom w:val="single" w:sz="4" w:space="0" w:color="auto"/>
              <w:right w:val="single" w:sz="8" w:space="0" w:color="auto"/>
            </w:tcBorders>
            <w:vAlign w:val="center"/>
            <w:hideMark/>
          </w:tcPr>
          <w:p w14:paraId="499B9FF0" w14:textId="5F18D3E3"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200 ppm</w:t>
            </w:r>
          </w:p>
        </w:tc>
        <w:tc>
          <w:tcPr>
            <w:tcW w:w="737" w:type="pct"/>
            <w:tcBorders>
              <w:top w:val="nil"/>
              <w:left w:val="nil"/>
              <w:bottom w:val="single" w:sz="4" w:space="0" w:color="auto"/>
              <w:right w:val="single" w:sz="8" w:space="0" w:color="auto"/>
            </w:tcBorders>
            <w:vAlign w:val="center"/>
            <w:hideMark/>
          </w:tcPr>
          <w:p w14:paraId="7253A721" w14:textId="5E740F2F"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300 ppm</w:t>
            </w:r>
          </w:p>
        </w:tc>
        <w:tc>
          <w:tcPr>
            <w:tcW w:w="545" w:type="pct"/>
            <w:vMerge/>
            <w:tcBorders>
              <w:left w:val="single" w:sz="8" w:space="0" w:color="auto"/>
              <w:bottom w:val="single" w:sz="4" w:space="0" w:color="auto"/>
              <w:right w:val="single" w:sz="8" w:space="0" w:color="auto"/>
            </w:tcBorders>
            <w:vAlign w:val="center"/>
            <w:hideMark/>
          </w:tcPr>
          <w:p w14:paraId="0E3FA13D" w14:textId="77777777" w:rsidR="00EE4A1B" w:rsidRPr="00B70015" w:rsidRDefault="00EE4A1B" w:rsidP="00B70015">
            <w:pPr>
              <w:rPr>
                <w:rFonts w:ascii="Times New Roman" w:hAnsi="Times New Roman"/>
                <w:b/>
                <w:bCs/>
                <w:color w:val="000000"/>
                <w:sz w:val="24"/>
                <w:szCs w:val="24"/>
                <w:lang w:eastAsia="en-IN"/>
              </w:rPr>
            </w:pPr>
          </w:p>
        </w:tc>
      </w:tr>
      <w:tr w:rsidR="00C27128" w:rsidRPr="00B70015" w14:paraId="687E780D"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7C405B4F" w14:textId="6E536525"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GT6</w:t>
            </w:r>
          </w:p>
        </w:tc>
        <w:tc>
          <w:tcPr>
            <w:tcW w:w="623" w:type="pct"/>
            <w:tcBorders>
              <w:top w:val="single" w:sz="4" w:space="0" w:color="auto"/>
              <w:left w:val="single" w:sz="4" w:space="0" w:color="auto"/>
              <w:bottom w:val="single" w:sz="4" w:space="0" w:color="auto"/>
              <w:right w:val="single" w:sz="4" w:space="0" w:color="auto"/>
            </w:tcBorders>
            <w:vAlign w:val="center"/>
            <w:hideMark/>
          </w:tcPr>
          <w:p w14:paraId="4BFBEA66"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1A5C18E8"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64.34</w:t>
            </w:r>
          </w:p>
        </w:tc>
        <w:tc>
          <w:tcPr>
            <w:tcW w:w="671" w:type="pct"/>
            <w:tcBorders>
              <w:top w:val="single" w:sz="4" w:space="0" w:color="auto"/>
              <w:left w:val="single" w:sz="4" w:space="0" w:color="auto"/>
              <w:bottom w:val="single" w:sz="4" w:space="0" w:color="auto"/>
              <w:right w:val="single" w:sz="4" w:space="0" w:color="auto"/>
            </w:tcBorders>
            <w:vAlign w:val="center"/>
            <w:hideMark/>
          </w:tcPr>
          <w:p w14:paraId="5A344B8E"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36.87</w:t>
            </w:r>
          </w:p>
        </w:tc>
        <w:tc>
          <w:tcPr>
            <w:tcW w:w="729" w:type="pct"/>
            <w:tcBorders>
              <w:top w:val="single" w:sz="4" w:space="0" w:color="auto"/>
              <w:left w:val="single" w:sz="4" w:space="0" w:color="auto"/>
              <w:bottom w:val="single" w:sz="4" w:space="0" w:color="auto"/>
              <w:right w:val="single" w:sz="4" w:space="0" w:color="auto"/>
            </w:tcBorders>
            <w:vAlign w:val="center"/>
            <w:hideMark/>
          </w:tcPr>
          <w:p w14:paraId="2343672C"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11.54</w:t>
            </w:r>
          </w:p>
        </w:tc>
        <w:tc>
          <w:tcPr>
            <w:tcW w:w="737" w:type="pct"/>
            <w:tcBorders>
              <w:top w:val="single" w:sz="4" w:space="0" w:color="auto"/>
              <w:left w:val="single" w:sz="4" w:space="0" w:color="auto"/>
              <w:bottom w:val="single" w:sz="4" w:space="0" w:color="auto"/>
              <w:right w:val="single" w:sz="4" w:space="0" w:color="auto"/>
            </w:tcBorders>
            <w:vAlign w:val="center"/>
            <w:hideMark/>
          </w:tcPr>
          <w:p w14:paraId="6BD9BBA1"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545" w:type="pct"/>
            <w:tcBorders>
              <w:top w:val="single" w:sz="4" w:space="0" w:color="auto"/>
              <w:left w:val="single" w:sz="4" w:space="0" w:color="auto"/>
              <w:bottom w:val="single" w:sz="4" w:space="0" w:color="auto"/>
              <w:right w:val="single" w:sz="4" w:space="0" w:color="auto"/>
            </w:tcBorders>
            <w:vAlign w:val="center"/>
            <w:hideMark/>
          </w:tcPr>
          <w:p w14:paraId="1AFFF59E"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40.15</w:t>
            </w:r>
          </w:p>
        </w:tc>
      </w:tr>
      <w:tr w:rsidR="00C27128" w:rsidRPr="00B70015" w14:paraId="1A650676"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56D079C4" w14:textId="3AAB28F4"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GT1</w:t>
            </w:r>
          </w:p>
        </w:tc>
        <w:tc>
          <w:tcPr>
            <w:tcW w:w="623" w:type="pct"/>
            <w:tcBorders>
              <w:top w:val="single" w:sz="4" w:space="0" w:color="auto"/>
              <w:left w:val="single" w:sz="4" w:space="0" w:color="auto"/>
              <w:bottom w:val="single" w:sz="4" w:space="0" w:color="auto"/>
              <w:right w:val="single" w:sz="4" w:space="0" w:color="auto"/>
            </w:tcBorders>
            <w:vAlign w:val="center"/>
            <w:hideMark/>
          </w:tcPr>
          <w:p w14:paraId="16DC3563"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18F8E0FF"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82.34</w:t>
            </w:r>
          </w:p>
        </w:tc>
        <w:tc>
          <w:tcPr>
            <w:tcW w:w="671" w:type="pct"/>
            <w:tcBorders>
              <w:top w:val="single" w:sz="4" w:space="0" w:color="auto"/>
              <w:left w:val="single" w:sz="4" w:space="0" w:color="auto"/>
              <w:bottom w:val="single" w:sz="4" w:space="0" w:color="auto"/>
              <w:right w:val="single" w:sz="4" w:space="0" w:color="auto"/>
            </w:tcBorders>
            <w:vAlign w:val="center"/>
            <w:hideMark/>
          </w:tcPr>
          <w:p w14:paraId="1EDC5BCC"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66.21</w:t>
            </w:r>
          </w:p>
        </w:tc>
        <w:tc>
          <w:tcPr>
            <w:tcW w:w="729" w:type="pct"/>
            <w:tcBorders>
              <w:top w:val="single" w:sz="4" w:space="0" w:color="auto"/>
              <w:left w:val="single" w:sz="4" w:space="0" w:color="auto"/>
              <w:bottom w:val="single" w:sz="4" w:space="0" w:color="auto"/>
              <w:right w:val="single" w:sz="4" w:space="0" w:color="auto"/>
            </w:tcBorders>
            <w:vAlign w:val="center"/>
            <w:hideMark/>
          </w:tcPr>
          <w:p w14:paraId="06BA6DB1"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69.89</w:t>
            </w:r>
          </w:p>
        </w:tc>
        <w:tc>
          <w:tcPr>
            <w:tcW w:w="737" w:type="pct"/>
            <w:tcBorders>
              <w:top w:val="single" w:sz="4" w:space="0" w:color="auto"/>
              <w:left w:val="single" w:sz="4" w:space="0" w:color="auto"/>
              <w:bottom w:val="single" w:sz="4" w:space="0" w:color="auto"/>
              <w:right w:val="single" w:sz="4" w:space="0" w:color="auto"/>
            </w:tcBorders>
            <w:vAlign w:val="center"/>
            <w:hideMark/>
          </w:tcPr>
          <w:p w14:paraId="390EC4D7"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35.42</w:t>
            </w:r>
          </w:p>
        </w:tc>
        <w:tc>
          <w:tcPr>
            <w:tcW w:w="545" w:type="pct"/>
            <w:tcBorders>
              <w:top w:val="single" w:sz="4" w:space="0" w:color="auto"/>
              <w:left w:val="single" w:sz="4" w:space="0" w:color="auto"/>
              <w:bottom w:val="single" w:sz="4" w:space="0" w:color="auto"/>
              <w:right w:val="single" w:sz="4" w:space="0" w:color="auto"/>
            </w:tcBorders>
            <w:vAlign w:val="center"/>
            <w:hideMark/>
          </w:tcPr>
          <w:p w14:paraId="06A24606"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68.77</w:t>
            </w:r>
          </w:p>
        </w:tc>
      </w:tr>
      <w:tr w:rsidR="00C27128" w:rsidRPr="00B70015" w14:paraId="1E30CC40"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30B58BC6" w14:textId="153ADB8F"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JT3</w:t>
            </w:r>
          </w:p>
        </w:tc>
        <w:tc>
          <w:tcPr>
            <w:tcW w:w="623" w:type="pct"/>
            <w:tcBorders>
              <w:top w:val="single" w:sz="4" w:space="0" w:color="auto"/>
              <w:left w:val="single" w:sz="4" w:space="0" w:color="auto"/>
              <w:bottom w:val="single" w:sz="4" w:space="0" w:color="auto"/>
              <w:right w:val="single" w:sz="4" w:space="0" w:color="auto"/>
            </w:tcBorders>
            <w:vAlign w:val="center"/>
            <w:hideMark/>
          </w:tcPr>
          <w:p w14:paraId="3FBFF988"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42D49EA3"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63.44</w:t>
            </w:r>
          </w:p>
        </w:tc>
        <w:tc>
          <w:tcPr>
            <w:tcW w:w="671" w:type="pct"/>
            <w:tcBorders>
              <w:top w:val="single" w:sz="4" w:space="0" w:color="auto"/>
              <w:left w:val="single" w:sz="4" w:space="0" w:color="auto"/>
              <w:bottom w:val="single" w:sz="4" w:space="0" w:color="auto"/>
              <w:right w:val="single" w:sz="4" w:space="0" w:color="auto"/>
            </w:tcBorders>
            <w:vAlign w:val="center"/>
            <w:hideMark/>
          </w:tcPr>
          <w:p w14:paraId="71D6B0F3"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27.63</w:t>
            </w:r>
          </w:p>
        </w:tc>
        <w:tc>
          <w:tcPr>
            <w:tcW w:w="729" w:type="pct"/>
            <w:tcBorders>
              <w:top w:val="single" w:sz="4" w:space="0" w:color="auto"/>
              <w:left w:val="single" w:sz="4" w:space="0" w:color="auto"/>
              <w:bottom w:val="single" w:sz="4" w:space="0" w:color="auto"/>
              <w:right w:val="single" w:sz="4" w:space="0" w:color="auto"/>
            </w:tcBorders>
            <w:vAlign w:val="center"/>
            <w:hideMark/>
          </w:tcPr>
          <w:p w14:paraId="544F3D08"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737" w:type="pct"/>
            <w:tcBorders>
              <w:top w:val="single" w:sz="4" w:space="0" w:color="auto"/>
              <w:left w:val="single" w:sz="4" w:space="0" w:color="auto"/>
              <w:bottom w:val="single" w:sz="4" w:space="0" w:color="auto"/>
              <w:right w:val="single" w:sz="4" w:space="0" w:color="auto"/>
            </w:tcBorders>
            <w:vAlign w:val="center"/>
            <w:hideMark/>
          </w:tcPr>
          <w:p w14:paraId="7EE54554"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545" w:type="pct"/>
            <w:tcBorders>
              <w:top w:val="single" w:sz="4" w:space="0" w:color="auto"/>
              <w:left w:val="single" w:sz="4" w:space="0" w:color="auto"/>
              <w:bottom w:val="single" w:sz="4" w:space="0" w:color="auto"/>
              <w:right w:val="single" w:sz="4" w:space="0" w:color="auto"/>
            </w:tcBorders>
            <w:vAlign w:val="center"/>
            <w:hideMark/>
          </w:tcPr>
          <w:p w14:paraId="3CA19729"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36.61</w:t>
            </w:r>
          </w:p>
        </w:tc>
      </w:tr>
      <w:tr w:rsidR="00C27128" w:rsidRPr="00B70015" w14:paraId="5411AAD5"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51186A3F" w14:textId="0CE3650A"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JTL2105</w:t>
            </w:r>
          </w:p>
        </w:tc>
        <w:tc>
          <w:tcPr>
            <w:tcW w:w="623" w:type="pct"/>
            <w:tcBorders>
              <w:top w:val="single" w:sz="4" w:space="0" w:color="auto"/>
              <w:left w:val="single" w:sz="4" w:space="0" w:color="auto"/>
              <w:bottom w:val="single" w:sz="4" w:space="0" w:color="auto"/>
              <w:right w:val="single" w:sz="4" w:space="0" w:color="auto"/>
            </w:tcBorders>
            <w:vAlign w:val="center"/>
            <w:hideMark/>
          </w:tcPr>
          <w:p w14:paraId="30B0D92A"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0B87F7C7"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39.02</w:t>
            </w:r>
          </w:p>
        </w:tc>
        <w:tc>
          <w:tcPr>
            <w:tcW w:w="671" w:type="pct"/>
            <w:tcBorders>
              <w:top w:val="single" w:sz="4" w:space="0" w:color="auto"/>
              <w:left w:val="single" w:sz="4" w:space="0" w:color="auto"/>
              <w:bottom w:val="single" w:sz="4" w:space="0" w:color="auto"/>
              <w:right w:val="single" w:sz="4" w:space="0" w:color="auto"/>
            </w:tcBorders>
            <w:vAlign w:val="center"/>
            <w:hideMark/>
          </w:tcPr>
          <w:p w14:paraId="7A3946C2"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17.46</w:t>
            </w:r>
          </w:p>
        </w:tc>
        <w:tc>
          <w:tcPr>
            <w:tcW w:w="729" w:type="pct"/>
            <w:tcBorders>
              <w:top w:val="single" w:sz="4" w:space="0" w:color="auto"/>
              <w:left w:val="single" w:sz="4" w:space="0" w:color="auto"/>
              <w:bottom w:val="single" w:sz="4" w:space="0" w:color="auto"/>
              <w:right w:val="single" w:sz="4" w:space="0" w:color="auto"/>
            </w:tcBorders>
            <w:vAlign w:val="center"/>
            <w:hideMark/>
          </w:tcPr>
          <w:p w14:paraId="025C8CE5"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737" w:type="pct"/>
            <w:tcBorders>
              <w:top w:val="single" w:sz="4" w:space="0" w:color="auto"/>
              <w:left w:val="single" w:sz="4" w:space="0" w:color="auto"/>
              <w:bottom w:val="single" w:sz="4" w:space="0" w:color="auto"/>
              <w:right w:val="single" w:sz="4" w:space="0" w:color="auto"/>
            </w:tcBorders>
            <w:vAlign w:val="center"/>
            <w:hideMark/>
          </w:tcPr>
          <w:p w14:paraId="3395EFF4"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545" w:type="pct"/>
            <w:tcBorders>
              <w:top w:val="single" w:sz="4" w:space="0" w:color="auto"/>
              <w:left w:val="single" w:sz="4" w:space="0" w:color="auto"/>
              <w:bottom w:val="single" w:sz="4" w:space="0" w:color="auto"/>
              <w:right w:val="single" w:sz="4" w:space="0" w:color="auto"/>
            </w:tcBorders>
            <w:vAlign w:val="center"/>
            <w:hideMark/>
          </w:tcPr>
          <w:p w14:paraId="1A23376A"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29.3</w:t>
            </w:r>
          </w:p>
        </w:tc>
      </w:tr>
      <w:tr w:rsidR="00C27128" w:rsidRPr="00B70015" w14:paraId="62612A54"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44D3989A" w14:textId="64FE0251"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JTL1908</w:t>
            </w:r>
          </w:p>
        </w:tc>
        <w:tc>
          <w:tcPr>
            <w:tcW w:w="623" w:type="pct"/>
            <w:tcBorders>
              <w:top w:val="single" w:sz="4" w:space="0" w:color="auto"/>
              <w:left w:val="single" w:sz="4" w:space="0" w:color="auto"/>
              <w:bottom w:val="single" w:sz="4" w:space="0" w:color="auto"/>
              <w:right w:val="single" w:sz="4" w:space="0" w:color="auto"/>
            </w:tcBorders>
            <w:vAlign w:val="center"/>
            <w:hideMark/>
          </w:tcPr>
          <w:p w14:paraId="04922304"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75560679"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68.24</w:t>
            </w:r>
          </w:p>
        </w:tc>
        <w:tc>
          <w:tcPr>
            <w:tcW w:w="671" w:type="pct"/>
            <w:tcBorders>
              <w:top w:val="single" w:sz="4" w:space="0" w:color="auto"/>
              <w:left w:val="single" w:sz="4" w:space="0" w:color="auto"/>
              <w:bottom w:val="single" w:sz="4" w:space="0" w:color="auto"/>
              <w:right w:val="single" w:sz="4" w:space="0" w:color="auto"/>
            </w:tcBorders>
            <w:vAlign w:val="center"/>
            <w:hideMark/>
          </w:tcPr>
          <w:p w14:paraId="00434EBD"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75.95</w:t>
            </w:r>
          </w:p>
        </w:tc>
        <w:tc>
          <w:tcPr>
            <w:tcW w:w="729" w:type="pct"/>
            <w:tcBorders>
              <w:top w:val="single" w:sz="4" w:space="0" w:color="auto"/>
              <w:left w:val="single" w:sz="4" w:space="0" w:color="auto"/>
              <w:bottom w:val="single" w:sz="4" w:space="0" w:color="auto"/>
              <w:right w:val="single" w:sz="4" w:space="0" w:color="auto"/>
            </w:tcBorders>
            <w:vAlign w:val="center"/>
            <w:hideMark/>
          </w:tcPr>
          <w:p w14:paraId="31306906"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71.56</w:t>
            </w:r>
          </w:p>
        </w:tc>
        <w:tc>
          <w:tcPr>
            <w:tcW w:w="737" w:type="pct"/>
            <w:tcBorders>
              <w:top w:val="single" w:sz="4" w:space="0" w:color="auto"/>
              <w:left w:val="single" w:sz="4" w:space="0" w:color="auto"/>
              <w:bottom w:val="single" w:sz="4" w:space="0" w:color="auto"/>
              <w:right w:val="single" w:sz="4" w:space="0" w:color="auto"/>
            </w:tcBorders>
            <w:vAlign w:val="center"/>
            <w:hideMark/>
          </w:tcPr>
          <w:p w14:paraId="2939E625"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20.94</w:t>
            </w:r>
          </w:p>
        </w:tc>
        <w:tc>
          <w:tcPr>
            <w:tcW w:w="545" w:type="pct"/>
            <w:tcBorders>
              <w:top w:val="single" w:sz="4" w:space="0" w:color="auto"/>
              <w:left w:val="single" w:sz="4" w:space="0" w:color="auto"/>
              <w:bottom w:val="single" w:sz="4" w:space="0" w:color="auto"/>
              <w:right w:val="single" w:sz="4" w:space="0" w:color="auto"/>
            </w:tcBorders>
            <w:vAlign w:val="center"/>
            <w:hideMark/>
          </w:tcPr>
          <w:p w14:paraId="2D3EEEF0"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65.74</w:t>
            </w:r>
          </w:p>
        </w:tc>
      </w:tr>
      <w:tr w:rsidR="00C27128" w:rsidRPr="00B70015" w14:paraId="78998B41"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44A1BABF" w14:textId="7D992FB8"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JTL2103</w:t>
            </w:r>
          </w:p>
        </w:tc>
        <w:tc>
          <w:tcPr>
            <w:tcW w:w="623" w:type="pct"/>
            <w:tcBorders>
              <w:top w:val="single" w:sz="4" w:space="0" w:color="auto"/>
              <w:left w:val="single" w:sz="4" w:space="0" w:color="auto"/>
              <w:bottom w:val="single" w:sz="4" w:space="0" w:color="auto"/>
              <w:right w:val="single" w:sz="4" w:space="0" w:color="auto"/>
            </w:tcBorders>
            <w:vAlign w:val="center"/>
            <w:hideMark/>
          </w:tcPr>
          <w:p w14:paraId="0B861040"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312A1914"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61.29</w:t>
            </w:r>
          </w:p>
        </w:tc>
        <w:tc>
          <w:tcPr>
            <w:tcW w:w="671" w:type="pct"/>
            <w:tcBorders>
              <w:top w:val="single" w:sz="4" w:space="0" w:color="auto"/>
              <w:left w:val="single" w:sz="4" w:space="0" w:color="auto"/>
              <w:bottom w:val="single" w:sz="4" w:space="0" w:color="auto"/>
              <w:right w:val="single" w:sz="4" w:space="0" w:color="auto"/>
            </w:tcBorders>
            <w:vAlign w:val="center"/>
            <w:hideMark/>
          </w:tcPr>
          <w:p w14:paraId="3710E617"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39.02</w:t>
            </w:r>
          </w:p>
        </w:tc>
        <w:tc>
          <w:tcPr>
            <w:tcW w:w="729" w:type="pct"/>
            <w:tcBorders>
              <w:top w:val="single" w:sz="4" w:space="0" w:color="auto"/>
              <w:left w:val="single" w:sz="4" w:space="0" w:color="auto"/>
              <w:bottom w:val="single" w:sz="4" w:space="0" w:color="auto"/>
              <w:right w:val="single" w:sz="4" w:space="0" w:color="auto"/>
            </w:tcBorders>
            <w:vAlign w:val="center"/>
            <w:hideMark/>
          </w:tcPr>
          <w:p w14:paraId="1E57C152"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14.32</w:t>
            </w:r>
          </w:p>
        </w:tc>
        <w:tc>
          <w:tcPr>
            <w:tcW w:w="737" w:type="pct"/>
            <w:tcBorders>
              <w:top w:val="single" w:sz="4" w:space="0" w:color="auto"/>
              <w:left w:val="single" w:sz="4" w:space="0" w:color="auto"/>
              <w:bottom w:val="single" w:sz="4" w:space="0" w:color="auto"/>
              <w:right w:val="single" w:sz="4" w:space="0" w:color="auto"/>
            </w:tcBorders>
            <w:vAlign w:val="center"/>
            <w:hideMark/>
          </w:tcPr>
          <w:p w14:paraId="27A02CC6"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545" w:type="pct"/>
            <w:tcBorders>
              <w:top w:val="single" w:sz="4" w:space="0" w:color="auto"/>
              <w:left w:val="single" w:sz="4" w:space="0" w:color="auto"/>
              <w:bottom w:val="single" w:sz="4" w:space="0" w:color="auto"/>
              <w:right w:val="single" w:sz="4" w:space="0" w:color="auto"/>
            </w:tcBorders>
            <w:vAlign w:val="center"/>
            <w:hideMark/>
          </w:tcPr>
          <w:p w14:paraId="46E2746E"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40.93</w:t>
            </w:r>
          </w:p>
        </w:tc>
      </w:tr>
      <w:tr w:rsidR="00C27128" w:rsidRPr="00B70015" w14:paraId="183F1D46"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35804103"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Mean T</w:t>
            </w:r>
          </w:p>
        </w:tc>
        <w:tc>
          <w:tcPr>
            <w:tcW w:w="623" w:type="pct"/>
            <w:tcBorders>
              <w:top w:val="single" w:sz="4" w:space="0" w:color="auto"/>
              <w:left w:val="single" w:sz="4" w:space="0" w:color="auto"/>
              <w:bottom w:val="single" w:sz="4" w:space="0" w:color="auto"/>
              <w:right w:val="single" w:sz="4" w:space="0" w:color="auto"/>
            </w:tcBorders>
            <w:vAlign w:val="center"/>
            <w:hideMark/>
          </w:tcPr>
          <w:p w14:paraId="144AE86F"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18C3A3B9"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63.78</w:t>
            </w:r>
          </w:p>
        </w:tc>
        <w:tc>
          <w:tcPr>
            <w:tcW w:w="671" w:type="pct"/>
            <w:tcBorders>
              <w:top w:val="single" w:sz="4" w:space="0" w:color="auto"/>
              <w:left w:val="single" w:sz="4" w:space="0" w:color="auto"/>
              <w:bottom w:val="single" w:sz="4" w:space="0" w:color="auto"/>
              <w:right w:val="single" w:sz="4" w:space="0" w:color="auto"/>
            </w:tcBorders>
            <w:vAlign w:val="center"/>
            <w:hideMark/>
          </w:tcPr>
          <w:p w14:paraId="246CA8EE"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43.19</w:t>
            </w:r>
          </w:p>
        </w:tc>
        <w:tc>
          <w:tcPr>
            <w:tcW w:w="729" w:type="pct"/>
            <w:tcBorders>
              <w:top w:val="single" w:sz="4" w:space="0" w:color="auto"/>
              <w:left w:val="single" w:sz="4" w:space="0" w:color="auto"/>
              <w:bottom w:val="single" w:sz="4" w:space="0" w:color="auto"/>
              <w:right w:val="single" w:sz="4" w:space="0" w:color="auto"/>
            </w:tcBorders>
            <w:vAlign w:val="center"/>
            <w:hideMark/>
          </w:tcPr>
          <w:p w14:paraId="77997931"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27.88</w:t>
            </w:r>
          </w:p>
        </w:tc>
        <w:tc>
          <w:tcPr>
            <w:tcW w:w="737" w:type="pct"/>
            <w:tcBorders>
              <w:top w:val="single" w:sz="4" w:space="0" w:color="auto"/>
              <w:left w:val="single" w:sz="4" w:space="0" w:color="auto"/>
              <w:bottom w:val="single" w:sz="4" w:space="0" w:color="auto"/>
              <w:right w:val="single" w:sz="4" w:space="0" w:color="auto"/>
            </w:tcBorders>
            <w:vAlign w:val="center"/>
            <w:hideMark/>
          </w:tcPr>
          <w:p w14:paraId="55CB389F"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9.73</w:t>
            </w:r>
          </w:p>
        </w:tc>
        <w:tc>
          <w:tcPr>
            <w:tcW w:w="545" w:type="pct"/>
            <w:tcBorders>
              <w:top w:val="single" w:sz="4" w:space="0" w:color="auto"/>
              <w:left w:val="single" w:sz="4" w:space="0" w:color="auto"/>
              <w:bottom w:val="single" w:sz="4" w:space="0" w:color="auto"/>
              <w:right w:val="single" w:sz="4" w:space="0" w:color="auto"/>
            </w:tcBorders>
            <w:vAlign w:val="center"/>
            <w:hideMark/>
          </w:tcPr>
          <w:p w14:paraId="70481449" w14:textId="77777777" w:rsidR="00B70015" w:rsidRPr="00B70015" w:rsidRDefault="00B70015" w:rsidP="00B70015">
            <w:pPr>
              <w:jc w:val="center"/>
              <w:rPr>
                <w:rFonts w:ascii="Times New Roman" w:hAnsi="Times New Roman"/>
                <w:b/>
                <w:bCs/>
                <w:color w:val="000000"/>
                <w:sz w:val="24"/>
                <w:szCs w:val="24"/>
                <w:lang w:eastAsia="en-IN"/>
              </w:rPr>
            </w:pPr>
          </w:p>
        </w:tc>
      </w:tr>
      <w:tr w:rsidR="00C27128" w:rsidRPr="00B70015" w14:paraId="118F814D" w14:textId="77777777" w:rsidTr="00C27128">
        <w:trPr>
          <w:trHeight w:val="330"/>
        </w:trPr>
        <w:tc>
          <w:tcPr>
            <w:tcW w:w="1016" w:type="pct"/>
            <w:tcBorders>
              <w:top w:val="nil"/>
              <w:left w:val="single" w:sz="8" w:space="0" w:color="auto"/>
              <w:bottom w:val="single" w:sz="8" w:space="0" w:color="auto"/>
              <w:right w:val="single" w:sz="8" w:space="0" w:color="auto"/>
            </w:tcBorders>
            <w:noWrap/>
            <w:vAlign w:val="bottom"/>
            <w:hideMark/>
          </w:tcPr>
          <w:p w14:paraId="4852B782" w14:textId="77777777" w:rsidR="00B70015" w:rsidRPr="00B70015" w:rsidRDefault="00B70015" w:rsidP="00B70015">
            <w:pPr>
              <w:rPr>
                <w:rFonts w:ascii="Times New Roman" w:hAnsi="Times New Roman"/>
                <w:color w:val="000000"/>
                <w:sz w:val="24"/>
                <w:szCs w:val="24"/>
                <w:lang w:eastAsia="en-IN"/>
              </w:rPr>
            </w:pPr>
            <w:r w:rsidRPr="00B70015">
              <w:rPr>
                <w:rFonts w:ascii="Times New Roman" w:hAnsi="Times New Roman"/>
                <w:color w:val="000000"/>
                <w:sz w:val="24"/>
                <w:szCs w:val="24"/>
                <w:lang w:eastAsia="en-IN"/>
              </w:rPr>
              <w:t> </w:t>
            </w:r>
          </w:p>
        </w:tc>
        <w:tc>
          <w:tcPr>
            <w:tcW w:w="623" w:type="pct"/>
            <w:tcBorders>
              <w:top w:val="single" w:sz="4" w:space="0" w:color="auto"/>
              <w:left w:val="nil"/>
              <w:bottom w:val="single" w:sz="8" w:space="0" w:color="auto"/>
              <w:right w:val="single" w:sz="8" w:space="0" w:color="auto"/>
            </w:tcBorders>
            <w:vAlign w:val="center"/>
            <w:hideMark/>
          </w:tcPr>
          <w:p w14:paraId="2856CF18" w14:textId="77777777" w:rsidR="00B70015" w:rsidRPr="00B70015" w:rsidRDefault="00B70015" w:rsidP="00C27128">
            <w:pPr>
              <w:jc w:val="center"/>
              <w:rPr>
                <w:rFonts w:ascii="Times New Roman" w:hAnsi="Times New Roman"/>
                <w:b/>
                <w:bCs/>
                <w:color w:val="000000"/>
                <w:sz w:val="24"/>
                <w:szCs w:val="24"/>
                <w:lang w:eastAsia="en-IN"/>
              </w:rPr>
            </w:pPr>
            <w:proofErr w:type="spellStart"/>
            <w:r w:rsidRPr="00B70015">
              <w:rPr>
                <w:rFonts w:ascii="Times New Roman" w:hAnsi="Times New Roman"/>
                <w:b/>
                <w:bCs/>
                <w:color w:val="000000"/>
                <w:sz w:val="24"/>
                <w:szCs w:val="24"/>
                <w:lang w:eastAsia="en-IN"/>
              </w:rPr>
              <w:t>SE.m</w:t>
            </w:r>
            <w:proofErr w:type="spellEnd"/>
            <w:r w:rsidRPr="00B70015">
              <w:rPr>
                <w:rFonts w:ascii="Times New Roman" w:hAnsi="Times New Roman"/>
                <w:color w:val="000000"/>
                <w:sz w:val="24"/>
                <w:szCs w:val="24"/>
                <w:lang w:eastAsia="en-IN"/>
              </w:rPr>
              <w:t xml:space="preserve"> </w:t>
            </w:r>
            <w:r w:rsidRPr="00B70015">
              <w:rPr>
                <w:rFonts w:ascii="Times New Roman" w:hAnsi="Times New Roman"/>
                <w:b/>
                <w:bCs/>
                <w:color w:val="000000"/>
                <w:sz w:val="24"/>
                <w:szCs w:val="24"/>
                <w:lang w:eastAsia="en-IN"/>
              </w:rPr>
              <w:t>±</w:t>
            </w:r>
          </w:p>
        </w:tc>
        <w:tc>
          <w:tcPr>
            <w:tcW w:w="678" w:type="pct"/>
            <w:tcBorders>
              <w:top w:val="single" w:sz="4" w:space="0" w:color="auto"/>
              <w:left w:val="nil"/>
              <w:bottom w:val="single" w:sz="8" w:space="0" w:color="auto"/>
              <w:right w:val="single" w:sz="8" w:space="0" w:color="auto"/>
            </w:tcBorders>
            <w:vAlign w:val="center"/>
            <w:hideMark/>
          </w:tcPr>
          <w:p w14:paraId="25538F88"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C.D.</w:t>
            </w:r>
          </w:p>
        </w:tc>
        <w:tc>
          <w:tcPr>
            <w:tcW w:w="2683" w:type="pct"/>
            <w:gridSpan w:val="4"/>
            <w:vMerge w:val="restart"/>
            <w:tcBorders>
              <w:top w:val="single" w:sz="4" w:space="0" w:color="auto"/>
              <w:left w:val="single" w:sz="8" w:space="0" w:color="auto"/>
              <w:bottom w:val="single" w:sz="8" w:space="0" w:color="000000"/>
              <w:right w:val="single" w:sz="8" w:space="0" w:color="000000"/>
            </w:tcBorders>
            <w:noWrap/>
            <w:vAlign w:val="center"/>
            <w:hideMark/>
          </w:tcPr>
          <w:p w14:paraId="11B616A5" w14:textId="77777777" w:rsidR="00B70015" w:rsidRPr="00B70015" w:rsidRDefault="00B70015" w:rsidP="00B70015">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C.V. %   2.62</w:t>
            </w:r>
          </w:p>
        </w:tc>
      </w:tr>
      <w:tr w:rsidR="00C27128" w:rsidRPr="00B70015" w14:paraId="34634BBF" w14:textId="77777777" w:rsidTr="00C27128">
        <w:trPr>
          <w:trHeight w:val="330"/>
        </w:trPr>
        <w:tc>
          <w:tcPr>
            <w:tcW w:w="1016" w:type="pct"/>
            <w:tcBorders>
              <w:top w:val="nil"/>
              <w:left w:val="single" w:sz="8" w:space="0" w:color="auto"/>
              <w:bottom w:val="single" w:sz="8" w:space="0" w:color="auto"/>
              <w:right w:val="single" w:sz="8" w:space="0" w:color="auto"/>
            </w:tcBorders>
            <w:vAlign w:val="center"/>
            <w:hideMark/>
          </w:tcPr>
          <w:p w14:paraId="496013C8" w14:textId="77777777" w:rsidR="00B70015" w:rsidRPr="00B70015" w:rsidRDefault="00B70015" w:rsidP="00B70015">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V</w:t>
            </w:r>
          </w:p>
        </w:tc>
        <w:tc>
          <w:tcPr>
            <w:tcW w:w="623" w:type="pct"/>
            <w:tcBorders>
              <w:top w:val="nil"/>
              <w:left w:val="nil"/>
              <w:bottom w:val="single" w:sz="8" w:space="0" w:color="auto"/>
              <w:right w:val="single" w:sz="8" w:space="0" w:color="auto"/>
            </w:tcBorders>
            <w:vAlign w:val="center"/>
            <w:hideMark/>
          </w:tcPr>
          <w:p w14:paraId="05E3AAF7" w14:textId="77777777" w:rsidR="00B70015" w:rsidRPr="00B70015" w:rsidRDefault="00B70015" w:rsidP="00C27128">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0.398</w:t>
            </w:r>
          </w:p>
        </w:tc>
        <w:tc>
          <w:tcPr>
            <w:tcW w:w="678" w:type="pct"/>
            <w:tcBorders>
              <w:top w:val="nil"/>
              <w:left w:val="nil"/>
              <w:bottom w:val="single" w:sz="8" w:space="0" w:color="auto"/>
              <w:right w:val="single" w:sz="8" w:space="0" w:color="auto"/>
            </w:tcBorders>
            <w:vAlign w:val="center"/>
            <w:hideMark/>
          </w:tcPr>
          <w:p w14:paraId="0A2267E7" w14:textId="77777777" w:rsidR="00B70015" w:rsidRPr="00B70015" w:rsidRDefault="00B70015" w:rsidP="00C27128">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0.799</w:t>
            </w:r>
          </w:p>
        </w:tc>
        <w:tc>
          <w:tcPr>
            <w:tcW w:w="2683" w:type="pct"/>
            <w:gridSpan w:val="4"/>
            <w:vMerge/>
            <w:tcBorders>
              <w:top w:val="nil"/>
              <w:left w:val="nil"/>
              <w:bottom w:val="single" w:sz="8" w:space="0" w:color="auto"/>
              <w:right w:val="single" w:sz="8" w:space="0" w:color="auto"/>
            </w:tcBorders>
            <w:vAlign w:val="center"/>
            <w:hideMark/>
          </w:tcPr>
          <w:p w14:paraId="64F8B5CC" w14:textId="77777777" w:rsidR="00B70015" w:rsidRPr="00B70015" w:rsidRDefault="00B70015" w:rsidP="00B70015">
            <w:pPr>
              <w:rPr>
                <w:rFonts w:ascii="Times New Roman" w:hAnsi="Times New Roman"/>
                <w:color w:val="000000"/>
                <w:sz w:val="24"/>
                <w:szCs w:val="24"/>
                <w:lang w:eastAsia="en-IN"/>
              </w:rPr>
            </w:pPr>
          </w:p>
        </w:tc>
      </w:tr>
      <w:tr w:rsidR="00C27128" w:rsidRPr="00B70015" w14:paraId="2E868785" w14:textId="77777777" w:rsidTr="00C27128">
        <w:trPr>
          <w:trHeight w:val="330"/>
        </w:trPr>
        <w:tc>
          <w:tcPr>
            <w:tcW w:w="1016" w:type="pct"/>
            <w:tcBorders>
              <w:top w:val="nil"/>
              <w:left w:val="single" w:sz="8" w:space="0" w:color="auto"/>
              <w:bottom w:val="single" w:sz="8" w:space="0" w:color="auto"/>
              <w:right w:val="single" w:sz="8" w:space="0" w:color="auto"/>
            </w:tcBorders>
            <w:vAlign w:val="center"/>
            <w:hideMark/>
          </w:tcPr>
          <w:p w14:paraId="605DA2CB" w14:textId="77777777" w:rsidR="00B70015" w:rsidRPr="00B70015" w:rsidRDefault="00B70015" w:rsidP="00B70015">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T</w:t>
            </w:r>
          </w:p>
        </w:tc>
        <w:tc>
          <w:tcPr>
            <w:tcW w:w="623" w:type="pct"/>
            <w:tcBorders>
              <w:top w:val="nil"/>
              <w:left w:val="nil"/>
              <w:bottom w:val="single" w:sz="8" w:space="0" w:color="auto"/>
              <w:right w:val="single" w:sz="8" w:space="0" w:color="auto"/>
            </w:tcBorders>
            <w:vAlign w:val="center"/>
            <w:hideMark/>
          </w:tcPr>
          <w:p w14:paraId="033B3FBC" w14:textId="77777777" w:rsidR="00B70015" w:rsidRPr="00B70015" w:rsidRDefault="00B70015" w:rsidP="00C27128">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0.363</w:t>
            </w:r>
          </w:p>
        </w:tc>
        <w:tc>
          <w:tcPr>
            <w:tcW w:w="678" w:type="pct"/>
            <w:tcBorders>
              <w:top w:val="nil"/>
              <w:left w:val="nil"/>
              <w:bottom w:val="single" w:sz="8" w:space="0" w:color="auto"/>
              <w:right w:val="single" w:sz="8" w:space="0" w:color="auto"/>
            </w:tcBorders>
            <w:vAlign w:val="center"/>
            <w:hideMark/>
          </w:tcPr>
          <w:p w14:paraId="1308B7B0" w14:textId="77777777" w:rsidR="00B70015" w:rsidRPr="00B70015" w:rsidRDefault="00B70015" w:rsidP="00C27128">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0.729</w:t>
            </w:r>
          </w:p>
        </w:tc>
        <w:tc>
          <w:tcPr>
            <w:tcW w:w="2683" w:type="pct"/>
            <w:gridSpan w:val="4"/>
            <w:vMerge/>
            <w:tcBorders>
              <w:top w:val="nil"/>
              <w:left w:val="nil"/>
              <w:bottom w:val="single" w:sz="8" w:space="0" w:color="auto"/>
              <w:right w:val="single" w:sz="8" w:space="0" w:color="auto"/>
            </w:tcBorders>
            <w:vAlign w:val="center"/>
            <w:hideMark/>
          </w:tcPr>
          <w:p w14:paraId="507B8ABE" w14:textId="77777777" w:rsidR="00B70015" w:rsidRPr="00B70015" w:rsidRDefault="00B70015" w:rsidP="00B70015">
            <w:pPr>
              <w:rPr>
                <w:rFonts w:ascii="Times New Roman" w:hAnsi="Times New Roman"/>
                <w:color w:val="000000"/>
                <w:sz w:val="24"/>
                <w:szCs w:val="24"/>
                <w:lang w:eastAsia="en-IN"/>
              </w:rPr>
            </w:pPr>
          </w:p>
        </w:tc>
      </w:tr>
      <w:tr w:rsidR="00C27128" w:rsidRPr="00B70015" w14:paraId="00E25917" w14:textId="77777777" w:rsidTr="00C27128">
        <w:trPr>
          <w:trHeight w:val="330"/>
        </w:trPr>
        <w:tc>
          <w:tcPr>
            <w:tcW w:w="1016" w:type="pct"/>
            <w:tcBorders>
              <w:top w:val="nil"/>
              <w:left w:val="single" w:sz="8" w:space="0" w:color="auto"/>
              <w:bottom w:val="single" w:sz="8" w:space="0" w:color="auto"/>
              <w:right w:val="single" w:sz="8" w:space="0" w:color="auto"/>
            </w:tcBorders>
            <w:vAlign w:val="center"/>
            <w:hideMark/>
          </w:tcPr>
          <w:p w14:paraId="7A09D3C0" w14:textId="77777777" w:rsidR="00B70015" w:rsidRPr="00B70015" w:rsidRDefault="00B70015" w:rsidP="00B70015">
            <w:pPr>
              <w:spacing w:before="240"/>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(V X T)</w:t>
            </w:r>
          </w:p>
        </w:tc>
        <w:tc>
          <w:tcPr>
            <w:tcW w:w="623" w:type="pct"/>
            <w:tcBorders>
              <w:top w:val="nil"/>
              <w:left w:val="nil"/>
              <w:bottom w:val="single" w:sz="8" w:space="0" w:color="auto"/>
              <w:right w:val="single" w:sz="8" w:space="0" w:color="auto"/>
            </w:tcBorders>
            <w:vAlign w:val="center"/>
            <w:hideMark/>
          </w:tcPr>
          <w:p w14:paraId="660D762B" w14:textId="77777777" w:rsidR="00B70015" w:rsidRPr="00B70015" w:rsidRDefault="00B70015" w:rsidP="00C27128">
            <w:pPr>
              <w:spacing w:before="240"/>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1.786</w:t>
            </w:r>
          </w:p>
        </w:tc>
        <w:tc>
          <w:tcPr>
            <w:tcW w:w="678" w:type="pct"/>
            <w:tcBorders>
              <w:top w:val="nil"/>
              <w:left w:val="nil"/>
              <w:bottom w:val="single" w:sz="8" w:space="0" w:color="auto"/>
              <w:right w:val="single" w:sz="8" w:space="0" w:color="auto"/>
            </w:tcBorders>
            <w:vAlign w:val="center"/>
            <w:hideMark/>
          </w:tcPr>
          <w:p w14:paraId="2D7B2E8F" w14:textId="77777777" w:rsidR="00B70015" w:rsidRPr="00B70015" w:rsidRDefault="00B70015" w:rsidP="00C27128">
            <w:pPr>
              <w:spacing w:before="240"/>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0.89</w:t>
            </w:r>
          </w:p>
        </w:tc>
        <w:tc>
          <w:tcPr>
            <w:tcW w:w="2683" w:type="pct"/>
            <w:gridSpan w:val="4"/>
            <w:vMerge/>
            <w:tcBorders>
              <w:top w:val="nil"/>
              <w:left w:val="nil"/>
              <w:bottom w:val="single" w:sz="8" w:space="0" w:color="auto"/>
              <w:right w:val="single" w:sz="8" w:space="0" w:color="auto"/>
            </w:tcBorders>
            <w:vAlign w:val="center"/>
            <w:hideMark/>
          </w:tcPr>
          <w:p w14:paraId="69B5DCBE" w14:textId="77777777" w:rsidR="00B70015" w:rsidRPr="00B70015" w:rsidRDefault="00B70015" w:rsidP="00B70015">
            <w:pPr>
              <w:spacing w:before="240"/>
              <w:rPr>
                <w:rFonts w:ascii="Times New Roman" w:hAnsi="Times New Roman"/>
                <w:color w:val="000000"/>
                <w:sz w:val="24"/>
                <w:szCs w:val="24"/>
                <w:lang w:eastAsia="en-IN"/>
              </w:rPr>
            </w:pPr>
          </w:p>
        </w:tc>
      </w:tr>
    </w:tbl>
    <w:p w14:paraId="068088B2" w14:textId="77777777" w:rsidR="00B70015" w:rsidRPr="00B70015" w:rsidRDefault="00B70015" w:rsidP="00B70015">
      <w:pPr>
        <w:jc w:val="both"/>
        <w:rPr>
          <w:rFonts w:ascii="Times New Roman" w:hAnsi="Times New Roman"/>
          <w:sz w:val="24"/>
          <w:szCs w:val="24"/>
        </w:rPr>
      </w:pPr>
    </w:p>
    <w:p w14:paraId="0C08D721" w14:textId="5B1D857F" w:rsidR="00B70015" w:rsidRDefault="00B70015" w:rsidP="00B70015">
      <w:pPr>
        <w:ind w:firstLine="720"/>
        <w:jc w:val="both"/>
        <w:rPr>
          <w:rFonts w:ascii="Times New Roman" w:hAnsi="Times New Roman"/>
          <w:sz w:val="24"/>
          <w:szCs w:val="24"/>
        </w:rPr>
      </w:pPr>
      <w:r w:rsidRPr="00B70015">
        <w:rPr>
          <w:rFonts w:ascii="Times New Roman" w:hAnsi="Times New Roman"/>
          <w:sz w:val="24"/>
          <w:szCs w:val="24"/>
        </w:rPr>
        <w:lastRenderedPageBreak/>
        <w:t xml:space="preserve">The interaction effect of genotype and treatment was found to be significant for germination percentage in </w:t>
      </w:r>
      <w:r w:rsidR="00866052">
        <w:rPr>
          <w:rFonts w:ascii="Times New Roman" w:hAnsi="Times New Roman"/>
          <w:sz w:val="24"/>
          <w:szCs w:val="24"/>
        </w:rPr>
        <w:t>tomato seedling</w:t>
      </w:r>
      <w:r w:rsidRPr="00B70015">
        <w:rPr>
          <w:rFonts w:ascii="Times New Roman" w:hAnsi="Times New Roman"/>
          <w:sz w:val="24"/>
          <w:szCs w:val="24"/>
        </w:rPr>
        <w:t xml:space="preserve">. All the genotypes showed </w:t>
      </w:r>
      <w:r w:rsidR="00866052">
        <w:rPr>
          <w:rFonts w:ascii="Times New Roman" w:hAnsi="Times New Roman"/>
          <w:sz w:val="24"/>
          <w:szCs w:val="24"/>
        </w:rPr>
        <w:t>90</w:t>
      </w:r>
      <w:r w:rsidRPr="00B70015">
        <w:rPr>
          <w:rFonts w:ascii="Times New Roman" w:hAnsi="Times New Roman"/>
          <w:sz w:val="24"/>
          <w:szCs w:val="24"/>
        </w:rPr>
        <w:t>% germination unde</w:t>
      </w:r>
      <w:r w:rsidR="00866052">
        <w:rPr>
          <w:rFonts w:ascii="Times New Roman" w:hAnsi="Times New Roman"/>
          <w:sz w:val="24"/>
          <w:szCs w:val="24"/>
        </w:rPr>
        <w:t>r control condition</w:t>
      </w:r>
      <w:r w:rsidRPr="00B70015">
        <w:rPr>
          <w:rFonts w:ascii="Times New Roman" w:hAnsi="Times New Roman"/>
          <w:sz w:val="24"/>
          <w:szCs w:val="24"/>
        </w:rPr>
        <w:t>, which decreased with an increase in heavy metal stress concentration. The lower (2</w:t>
      </w:r>
      <w:r w:rsidR="00866052">
        <w:rPr>
          <w:rFonts w:ascii="Times New Roman" w:hAnsi="Times New Roman"/>
          <w:sz w:val="24"/>
          <w:szCs w:val="24"/>
        </w:rPr>
        <w:t>9</w:t>
      </w:r>
      <w:r w:rsidRPr="00B70015">
        <w:rPr>
          <w:rFonts w:ascii="Times New Roman" w:hAnsi="Times New Roman"/>
          <w:sz w:val="24"/>
          <w:szCs w:val="24"/>
        </w:rPr>
        <w:t>.</w:t>
      </w:r>
      <w:r w:rsidR="00866052">
        <w:rPr>
          <w:rFonts w:ascii="Times New Roman" w:hAnsi="Times New Roman"/>
          <w:sz w:val="24"/>
          <w:szCs w:val="24"/>
        </w:rPr>
        <w:t>3</w:t>
      </w:r>
      <w:r w:rsidRPr="00B70015">
        <w:rPr>
          <w:rFonts w:ascii="Times New Roman" w:hAnsi="Times New Roman"/>
          <w:sz w:val="24"/>
          <w:szCs w:val="24"/>
        </w:rPr>
        <w:t xml:space="preserve"> %) germination percentage was found in genotype JTL 2105 at 300 ppm heavy metal stress concentrations. The germination percentage was found significantly higher in GT-</w:t>
      </w:r>
      <w:proofErr w:type="gramStart"/>
      <w:r w:rsidRPr="00B70015">
        <w:rPr>
          <w:rFonts w:ascii="Times New Roman" w:hAnsi="Times New Roman"/>
          <w:sz w:val="24"/>
          <w:szCs w:val="24"/>
        </w:rPr>
        <w:t>1  genotype</w:t>
      </w:r>
      <w:proofErr w:type="gramEnd"/>
      <w:r w:rsidRPr="00B70015">
        <w:rPr>
          <w:rFonts w:ascii="Times New Roman" w:hAnsi="Times New Roman"/>
          <w:sz w:val="24"/>
          <w:szCs w:val="24"/>
        </w:rPr>
        <w:t xml:space="preserve"> compared to other genotype under the influence of different level of lead heavy metal (50 ppm to 300 ppm</w:t>
      </w:r>
      <w:r w:rsidR="00866052">
        <w:rPr>
          <w:rFonts w:ascii="Times New Roman" w:hAnsi="Times New Roman"/>
          <w:sz w:val="24"/>
          <w:szCs w:val="24"/>
        </w:rPr>
        <w:t>)</w:t>
      </w:r>
      <w:r w:rsidRPr="00B70015">
        <w:rPr>
          <w:rFonts w:ascii="Times New Roman" w:hAnsi="Times New Roman"/>
          <w:sz w:val="24"/>
          <w:szCs w:val="24"/>
        </w:rPr>
        <w:t>. The rate of decreasing germination percentage was found lowest in GT1</w:t>
      </w:r>
      <w:r w:rsidR="00866052">
        <w:rPr>
          <w:rFonts w:ascii="Times New Roman" w:hAnsi="Times New Roman"/>
          <w:sz w:val="24"/>
          <w:szCs w:val="24"/>
        </w:rPr>
        <w:t xml:space="preserve"> </w:t>
      </w:r>
      <w:r w:rsidRPr="00B70015">
        <w:rPr>
          <w:rFonts w:ascii="Times New Roman" w:hAnsi="Times New Roman"/>
          <w:sz w:val="24"/>
          <w:szCs w:val="24"/>
        </w:rPr>
        <w:t xml:space="preserve">compared to other genotypes, when heavy metal stress level increased up to 300 ppm. </w:t>
      </w:r>
    </w:p>
    <w:p w14:paraId="1B63B418" w14:textId="77777777" w:rsidR="00866052" w:rsidRPr="00B70015" w:rsidRDefault="00866052" w:rsidP="00B70015">
      <w:pPr>
        <w:ind w:firstLine="720"/>
        <w:jc w:val="both"/>
        <w:rPr>
          <w:rFonts w:ascii="Times New Roman" w:hAnsi="Times New Roman"/>
          <w:sz w:val="24"/>
          <w:szCs w:val="24"/>
        </w:rPr>
      </w:pPr>
    </w:p>
    <w:p w14:paraId="4A31D062" w14:textId="2DABA588" w:rsidR="00B70015" w:rsidRPr="00B70015" w:rsidRDefault="00B70015" w:rsidP="00B70015">
      <w:pPr>
        <w:ind w:firstLine="720"/>
        <w:jc w:val="both"/>
        <w:rPr>
          <w:rFonts w:ascii="Times New Roman" w:hAnsi="Times New Roman"/>
          <w:sz w:val="24"/>
          <w:szCs w:val="24"/>
        </w:rPr>
      </w:pPr>
      <w:r w:rsidRPr="00B70015">
        <w:rPr>
          <w:rFonts w:ascii="Times New Roman" w:hAnsi="Times New Roman"/>
          <w:sz w:val="24"/>
          <w:szCs w:val="24"/>
          <w:lang w:val="en-IN"/>
        </w:rPr>
        <w:t>Several studies have reported that heavy metals adversely affect tomato seed germination in a concentration-dependent manner.</w:t>
      </w:r>
      <w:r w:rsidRPr="00B70015">
        <w:rPr>
          <w:rFonts w:ascii="Times New Roman" w:hAnsi="Times New Roman"/>
          <w:sz w:val="24"/>
          <w:szCs w:val="24"/>
        </w:rPr>
        <w:t xml:space="preserve"> </w:t>
      </w:r>
      <w:r w:rsidRPr="00B70015">
        <w:rPr>
          <w:rFonts w:ascii="Times New Roman" w:hAnsi="Times New Roman"/>
          <w:sz w:val="24"/>
          <w:szCs w:val="24"/>
        </w:rPr>
        <w:fldChar w:fldCharType="begin"/>
      </w:r>
      <w:r w:rsidR="008A7C09">
        <w:rPr>
          <w:rFonts w:ascii="Times New Roman" w:hAnsi="Times New Roman"/>
          <w:sz w:val="24"/>
          <w:szCs w:val="24"/>
          <w:lang w:val="en-IN"/>
        </w:rPr>
        <w:instrText xml:space="preserve"> ADDIN ZOTERO_ITEM CSL_CITATION {"citationID":"HSvmwMEy","properties":{"formattedCitation":"(Karthika {\\i{}et al.} 2017)","plainCitation":"(Karthika et al. 2017)","noteIndex":0},"citationItems":[{"id":1341,"uris":["http://zotero.org/users/local/0V2ceVcX/items/EQVVM9C7"],"itemData":{"id":1341,"type":"article-journal","abstract":"The effect of chromium toxicity on growth and yield attributes of tomato was studied. Tomato seeds were sown in pots treated with different concentrations of cr solutions. Observations such as plant height, root length, number of flowers, number of fruits, fruit weight etc were recorded. Increasing concentrations of chromium caused reduction in growth, percentage of seed germination, plant height, root length, flowering and yield. The potential of plants with the capacity to accumulate chromium compounds for bioremediation of Cr contamination has gained interest in recent years. It can be concluded that high concentration of Cr toxicity had strong inhibition and damage to the normal metabolism and cell implement structure, as well as on the function of tomato plant.","language":"en","source":"Zotero","title":"Investigation on Chromium Toxicity in Tomato (Solanum lycopersicum L.) Crop","author":[{"family":"Karthika","given":"V"},{"family":"Thangavel","given":"P"},{"family":"Amanullah","given":"M Mohamed"}],"issued":{"date-parts":[["2017"]]}},"label":"page"}],"schema":"https://github.com/citation-style-language/schema/raw/master/csl-citation.json"} </w:instrText>
      </w:r>
      <w:r w:rsidRPr="00B70015">
        <w:rPr>
          <w:rFonts w:ascii="Times New Roman" w:hAnsi="Times New Roman"/>
          <w:sz w:val="24"/>
          <w:szCs w:val="24"/>
        </w:rPr>
        <w:fldChar w:fldCharType="separate"/>
      </w:r>
      <w:r w:rsidR="008A7C09" w:rsidRPr="008A7C09">
        <w:rPr>
          <w:rFonts w:ascii="Times New Roman" w:hAnsi="Times New Roman"/>
          <w:sz w:val="24"/>
        </w:rPr>
        <w:t xml:space="preserve">(Karthika </w:t>
      </w:r>
      <w:r w:rsidR="008A7C09" w:rsidRPr="008A7C09">
        <w:rPr>
          <w:rFonts w:ascii="Times New Roman" w:hAnsi="Times New Roman"/>
          <w:i/>
          <w:iCs/>
          <w:sz w:val="24"/>
        </w:rPr>
        <w:t>et al.</w:t>
      </w:r>
      <w:r w:rsidR="008A7C09" w:rsidRPr="008A7C09">
        <w:rPr>
          <w:rFonts w:ascii="Times New Roman" w:hAnsi="Times New Roman"/>
          <w:sz w:val="24"/>
        </w:rPr>
        <w:t xml:space="preserve"> 2017)</w:t>
      </w:r>
      <w:r w:rsidRPr="00B70015">
        <w:rPr>
          <w:rFonts w:ascii="Times New Roman" w:hAnsi="Times New Roman"/>
          <w:sz w:val="24"/>
          <w:szCs w:val="24"/>
        </w:rPr>
        <w:fldChar w:fldCharType="end"/>
      </w:r>
      <w:r w:rsidRPr="00B70015">
        <w:rPr>
          <w:rFonts w:ascii="Times New Roman" w:hAnsi="Times New Roman"/>
          <w:sz w:val="24"/>
          <w:szCs w:val="24"/>
        </w:rPr>
        <w:t xml:space="preserve"> </w:t>
      </w:r>
      <w:r w:rsidRPr="00B70015">
        <w:rPr>
          <w:rFonts w:ascii="Times New Roman" w:hAnsi="Times New Roman"/>
          <w:sz w:val="24"/>
          <w:szCs w:val="24"/>
          <w:lang w:val="en-IN"/>
        </w:rPr>
        <w:t xml:space="preserve">observed that chromium stress (0–250 µg g⁻¹) significantly reduced germination percentage from </w:t>
      </w:r>
      <w:r w:rsidRPr="00B70015">
        <w:rPr>
          <w:rFonts w:ascii="Times New Roman" w:hAnsi="Times New Roman"/>
          <w:b/>
          <w:bCs/>
          <w:sz w:val="24"/>
          <w:szCs w:val="24"/>
          <w:lang w:val="en-IN"/>
        </w:rPr>
        <w:t>95% (control) to 55%</w:t>
      </w:r>
      <w:r w:rsidRPr="00B70015">
        <w:rPr>
          <w:rFonts w:ascii="Times New Roman" w:hAnsi="Times New Roman"/>
          <w:sz w:val="24"/>
          <w:szCs w:val="24"/>
          <w:lang w:val="en-IN"/>
        </w:rPr>
        <w:t xml:space="preserve"> at the highest concentration. Similarly,</w:t>
      </w:r>
      <w:r w:rsidRPr="00B70015">
        <w:rPr>
          <w:rFonts w:ascii="Times New Roman" w:hAnsi="Times New Roman"/>
          <w:sz w:val="24"/>
          <w:szCs w:val="24"/>
        </w:rPr>
        <w:t xml:space="preserve"> </w:t>
      </w:r>
      <w:r w:rsidRPr="00B70015">
        <w:rPr>
          <w:rFonts w:ascii="Times New Roman" w:hAnsi="Times New Roman"/>
          <w:sz w:val="24"/>
          <w:szCs w:val="24"/>
        </w:rPr>
        <w:fldChar w:fldCharType="begin"/>
      </w:r>
      <w:r w:rsidR="008A7C09">
        <w:rPr>
          <w:rFonts w:ascii="Times New Roman" w:hAnsi="Times New Roman"/>
          <w:sz w:val="24"/>
          <w:szCs w:val="24"/>
          <w:lang w:val="en-IN"/>
        </w:rPr>
        <w:instrText xml:space="preserve"> ADDIN ZOTERO_ITEM CSL_CITATION {"citationID":"5HALu00W","properties":{"formattedCitation":"(Shekar {\\i{}et al.} 2024)","plainCitation":"(Shekar et al. 2024)","noteIndex":0},"citationItems":[{"id":1349,"uris":["http://zotero.org/users/local/0V2ceVcX/items/9DN3D2PV"],"itemData":{"id":1349,"type":"article-journal","abstract":"PDF | In the present investigation, the seeds of (Lycopersicon esculentum Mill.) variety Pusa Ruby were used to evaluate as to what effect this heavy... | Find, read and cite all the research you need on ResearchGate","container-title":"ResearchGate","language":"en","source":"www.researchgate.net","title":"(PDF) Effect of mercury on tomato growth and yield attributes","URL":"https://www.researchgate.net/publication/280112236_Effect_of_mercury_on_tomato_growth_and_yield_attributes","author":[{"family":"Shekar","given":"Chandra"},{"family":"Dasari Sammaiah","given":""},{"family":"Taduri Shasthree","given":""}],"accessed":{"date-parts":[["2024",11,20]]},"issued":{"date-parts":[["2024",10,22]]}}}],"schema":"https://github.com/citation-style-language/schema/raw/master/csl-citation.json"} </w:instrText>
      </w:r>
      <w:r w:rsidRPr="00B70015">
        <w:rPr>
          <w:rFonts w:ascii="Times New Roman" w:hAnsi="Times New Roman"/>
          <w:sz w:val="24"/>
          <w:szCs w:val="24"/>
        </w:rPr>
        <w:fldChar w:fldCharType="separate"/>
      </w:r>
      <w:r w:rsidR="008A7C09" w:rsidRPr="008A7C09">
        <w:rPr>
          <w:rFonts w:ascii="Times New Roman" w:hAnsi="Times New Roman"/>
          <w:sz w:val="24"/>
        </w:rPr>
        <w:t xml:space="preserve">(Shekar </w:t>
      </w:r>
      <w:r w:rsidR="008A7C09" w:rsidRPr="008A7C09">
        <w:rPr>
          <w:rFonts w:ascii="Times New Roman" w:hAnsi="Times New Roman"/>
          <w:i/>
          <w:iCs/>
          <w:sz w:val="24"/>
        </w:rPr>
        <w:t>et al.</w:t>
      </w:r>
      <w:r w:rsidR="008A7C09" w:rsidRPr="008A7C09">
        <w:rPr>
          <w:rFonts w:ascii="Times New Roman" w:hAnsi="Times New Roman"/>
          <w:sz w:val="24"/>
        </w:rPr>
        <w:t xml:space="preserve"> 2024)</w:t>
      </w:r>
      <w:r w:rsidRPr="00B70015">
        <w:rPr>
          <w:rFonts w:ascii="Times New Roman" w:hAnsi="Times New Roman"/>
          <w:sz w:val="24"/>
          <w:szCs w:val="24"/>
        </w:rPr>
        <w:fldChar w:fldCharType="end"/>
      </w:r>
      <w:r w:rsidRPr="00B70015">
        <w:rPr>
          <w:rFonts w:ascii="Times New Roman" w:hAnsi="Times New Roman"/>
          <w:sz w:val="24"/>
          <w:szCs w:val="24"/>
        </w:rPr>
        <w:t xml:space="preserve"> </w:t>
      </w:r>
      <w:r w:rsidRPr="00B70015">
        <w:rPr>
          <w:rFonts w:ascii="Times New Roman" w:hAnsi="Times New Roman"/>
          <w:sz w:val="24"/>
          <w:szCs w:val="24"/>
          <w:lang w:val="en-IN"/>
        </w:rPr>
        <w:t xml:space="preserve">reported a progressive decline in germination under mercury stress (1–20 mg/kg), with germination decreasing from </w:t>
      </w:r>
      <w:r w:rsidRPr="00B70015">
        <w:rPr>
          <w:rFonts w:ascii="Times New Roman" w:hAnsi="Times New Roman"/>
          <w:b/>
          <w:bCs/>
          <w:sz w:val="24"/>
          <w:szCs w:val="24"/>
          <w:lang w:val="en-IN"/>
        </w:rPr>
        <w:t>95% in control to 40%</w:t>
      </w:r>
      <w:r w:rsidRPr="00B70015">
        <w:rPr>
          <w:rFonts w:ascii="Times New Roman" w:hAnsi="Times New Roman"/>
          <w:sz w:val="24"/>
          <w:szCs w:val="24"/>
          <w:lang w:val="en-IN"/>
        </w:rPr>
        <w:t xml:space="preserve"> at 20 mg/kg. In line with these findings,</w:t>
      </w:r>
      <w:r w:rsidRPr="00B70015">
        <w:rPr>
          <w:rFonts w:ascii="Times New Roman" w:hAnsi="Times New Roman"/>
          <w:b/>
          <w:bCs/>
          <w:sz w:val="24"/>
          <w:szCs w:val="24"/>
        </w:rPr>
        <w:t xml:space="preserve"> </w:t>
      </w:r>
      <w:r w:rsidRPr="00B70015">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{"citationID":"BRPiz6F5","properties":{"formattedCitation":"(SANTOSH Singh {\\i{}et al.} 2012)","plainCitation":"(SANTOSH Singh et al. 2012)","noteIndex":0},"citationItems":[{"id":1357,"uris":["http://zotero.org/users/local/0V2ceVcX/items/L6HKCCPN"],"itemData":{"id":1357,"type":"webpage","container-title":"CABI Databases","language":"en","title":"Effect of cadmium on germination and seedling growth of tomato (Lycopersicon esculentum-Mill).","URL":"https://www.cabidigitallibrary.org/doi/full/10.5555/20123402139","author":[{"family":"Singh","given":"SANTOSH"},{"family":"SINGH","given":"ANURADHA"},{"family":"BAHADUR","given":"RAJ"}],"accessed":{"date-parts":[["2024",11,20]]},"issued":{"date-parts":[["2012"]]}}}],"schema":"https://github.com/citation-style-language/schema/raw/master/csl-citation.json"} </w:instrText>
      </w:r>
      <w:r w:rsidRPr="00B70015">
        <w:rPr>
          <w:rFonts w:ascii="Times New Roman" w:hAnsi="Times New Roman"/>
          <w:sz w:val="24"/>
          <w:szCs w:val="24"/>
        </w:rPr>
        <w:fldChar w:fldCharType="separate"/>
      </w:r>
      <w:r w:rsidR="008A7C09" w:rsidRPr="008A7C09">
        <w:rPr>
          <w:rFonts w:ascii="Times New Roman" w:hAnsi="Times New Roman"/>
          <w:sz w:val="24"/>
        </w:rPr>
        <w:t xml:space="preserve">(SANTOSH Singh </w:t>
      </w:r>
      <w:r w:rsidR="008A7C09" w:rsidRPr="008A7C09">
        <w:rPr>
          <w:rFonts w:ascii="Times New Roman" w:hAnsi="Times New Roman"/>
          <w:i/>
          <w:iCs/>
          <w:sz w:val="24"/>
        </w:rPr>
        <w:t>et al.</w:t>
      </w:r>
      <w:r w:rsidR="008A7C09" w:rsidRPr="008A7C09">
        <w:rPr>
          <w:rFonts w:ascii="Times New Roman" w:hAnsi="Times New Roman"/>
          <w:sz w:val="24"/>
        </w:rPr>
        <w:t xml:space="preserve"> 2012)</w:t>
      </w:r>
      <w:r w:rsidRPr="00B70015">
        <w:rPr>
          <w:rFonts w:ascii="Times New Roman" w:hAnsi="Times New Roman"/>
          <w:sz w:val="24"/>
          <w:szCs w:val="24"/>
        </w:rPr>
        <w:fldChar w:fldCharType="end"/>
      </w:r>
      <w:r w:rsidRPr="00B70015">
        <w:rPr>
          <w:rFonts w:ascii="Times New Roman" w:hAnsi="Times New Roman"/>
          <w:sz w:val="24"/>
          <w:szCs w:val="24"/>
          <w:lang w:val="en-IN"/>
        </w:rPr>
        <w:t xml:space="preserve"> demonstrated that cadmium exposure (1–500 ppm) markedly suppressed germination of tomato seeds, with the highest concentration causing nearly a </w:t>
      </w:r>
      <w:r w:rsidRPr="00B70015">
        <w:rPr>
          <w:rFonts w:ascii="Times New Roman" w:hAnsi="Times New Roman"/>
          <w:b/>
          <w:bCs/>
          <w:sz w:val="24"/>
          <w:szCs w:val="24"/>
          <w:lang w:val="en-IN"/>
        </w:rPr>
        <w:t>52% reduction</w:t>
      </w:r>
      <w:r w:rsidRPr="00B70015">
        <w:rPr>
          <w:rFonts w:ascii="Times New Roman" w:hAnsi="Times New Roman"/>
          <w:sz w:val="24"/>
          <w:szCs w:val="24"/>
          <w:lang w:val="en-IN"/>
        </w:rPr>
        <w:t xml:space="preserve"> compared to the control.</w:t>
      </w:r>
    </w:p>
    <w:p w14:paraId="60F3D65F" w14:textId="77777777" w:rsidR="00293675" w:rsidRDefault="00293675" w:rsidP="00293675">
      <w:pPr>
        <w:pStyle w:val="Heading1"/>
        <w:rPr>
          <w:rFonts w:ascii="Times New Roman" w:hAnsi="Times New Roman" w:cs="Times New Roman"/>
          <w:b/>
          <w:bCs/>
          <w:color w:val="000000" w:themeColor="text1"/>
          <w:sz w:val="24"/>
          <w:szCs w:val="24"/>
        </w:rPr>
      </w:pPr>
      <w:r w:rsidRPr="003A2B22">
        <w:rPr>
          <w:rFonts w:ascii="Times New Roman" w:hAnsi="Times New Roman" w:cs="Times New Roman"/>
          <w:b/>
          <w:bCs/>
          <w:color w:val="000000" w:themeColor="text1"/>
          <w:sz w:val="24"/>
          <w:szCs w:val="24"/>
        </w:rPr>
        <w:t>Relative Water Content (RWC)</w:t>
      </w:r>
    </w:p>
    <w:p w14:paraId="0573D34E" w14:textId="42A8476E" w:rsidR="00293675" w:rsidRPr="00C27128" w:rsidRDefault="00293675" w:rsidP="00293675">
      <w:pPr>
        <w:ind w:firstLine="720"/>
        <w:jc w:val="both"/>
        <w:rPr>
          <w:rFonts w:ascii="Times New Roman" w:hAnsi="Times New Roman"/>
          <w:sz w:val="24"/>
          <w:szCs w:val="24"/>
        </w:rPr>
      </w:pPr>
      <w:r w:rsidRPr="00C27128">
        <w:rPr>
          <w:rFonts w:ascii="Times New Roman" w:hAnsi="Times New Roman"/>
          <w:sz w:val="24"/>
          <w:szCs w:val="24"/>
        </w:rPr>
        <w:t>An examination of the data</w:t>
      </w:r>
      <w:r w:rsidR="00866052" w:rsidRPr="00C27128">
        <w:rPr>
          <w:rFonts w:ascii="Times New Roman" w:hAnsi="Times New Roman"/>
          <w:sz w:val="24"/>
          <w:szCs w:val="24"/>
        </w:rPr>
        <w:t xml:space="preserve"> in table </w:t>
      </w:r>
      <w:r w:rsidR="00C27128" w:rsidRPr="00C27128">
        <w:rPr>
          <w:rFonts w:ascii="Times New Roman" w:hAnsi="Times New Roman"/>
          <w:sz w:val="24"/>
          <w:szCs w:val="24"/>
        </w:rPr>
        <w:t>2 indicates</w:t>
      </w:r>
      <w:r w:rsidRPr="00C27128">
        <w:rPr>
          <w:rFonts w:ascii="Times New Roman" w:hAnsi="Times New Roman"/>
          <w:sz w:val="24"/>
          <w:szCs w:val="24"/>
        </w:rPr>
        <w:t xml:space="preserve"> that various genotypes of tomato leaves exhibited significant differences in relative water content at 20 days after gemination. The significantly higher mean value (87.33%) of relative water content was recorded for the genotype GT-1. The significantly lower (77.713%) relative water content was found in JTL 2105</w:t>
      </w:r>
      <w:r w:rsidR="00866052" w:rsidRPr="00C27128">
        <w:rPr>
          <w:rFonts w:ascii="Times New Roman" w:hAnsi="Times New Roman"/>
          <w:sz w:val="24"/>
          <w:szCs w:val="24"/>
        </w:rPr>
        <w:t>.</w:t>
      </w:r>
      <w:r w:rsidRPr="00C27128">
        <w:rPr>
          <w:rFonts w:ascii="Times New Roman" w:hAnsi="Times New Roman"/>
          <w:sz w:val="24"/>
          <w:szCs w:val="24"/>
        </w:rPr>
        <w:t xml:space="preserve"> GT-</w:t>
      </w:r>
      <w:r w:rsidR="00C27128" w:rsidRPr="00C27128">
        <w:rPr>
          <w:rFonts w:ascii="Times New Roman" w:hAnsi="Times New Roman"/>
          <w:sz w:val="24"/>
          <w:szCs w:val="24"/>
        </w:rPr>
        <w:t>1 might</w:t>
      </w:r>
      <w:r w:rsidRPr="00C27128">
        <w:rPr>
          <w:rFonts w:ascii="Times New Roman" w:hAnsi="Times New Roman"/>
          <w:sz w:val="24"/>
          <w:szCs w:val="24"/>
        </w:rPr>
        <w:t xml:space="preserve"> possess efficient stress tolerance mechanisms, enabling them to maintain higher water content even under suboptimal conditions, while genotypes JTL </w:t>
      </w:r>
      <w:r w:rsidR="00C27128" w:rsidRPr="00C27128">
        <w:rPr>
          <w:rFonts w:ascii="Times New Roman" w:hAnsi="Times New Roman"/>
          <w:sz w:val="24"/>
          <w:szCs w:val="24"/>
        </w:rPr>
        <w:t>2105 may</w:t>
      </w:r>
      <w:r w:rsidRPr="00C27128">
        <w:rPr>
          <w:rFonts w:ascii="Times New Roman" w:hAnsi="Times New Roman"/>
          <w:sz w:val="24"/>
          <w:szCs w:val="24"/>
        </w:rPr>
        <w:t xml:space="preserve"> be more susceptible to water stress. Genotypes exhibiting higher relative water content likely possess mechanisms that minimize water loss via transpiration and optimize water absorption, while genotypes with lower relative water content may have less effective water uptake mechanisms or may undergo increased rates of transpiration.</w:t>
      </w:r>
    </w:p>
    <w:p w14:paraId="477E142D" w14:textId="2BD583BB" w:rsidR="00293675" w:rsidRPr="00C27128" w:rsidRDefault="00293675" w:rsidP="00293675">
      <w:pPr>
        <w:ind w:firstLine="720"/>
        <w:jc w:val="both"/>
        <w:rPr>
          <w:rFonts w:ascii="Times New Roman" w:hAnsi="Times New Roman"/>
          <w:sz w:val="24"/>
          <w:szCs w:val="24"/>
        </w:rPr>
      </w:pPr>
      <w:r w:rsidRPr="00C27128">
        <w:rPr>
          <w:rFonts w:ascii="Times New Roman" w:hAnsi="Times New Roman"/>
          <w:sz w:val="24"/>
          <w:szCs w:val="24"/>
        </w:rPr>
        <w:t xml:space="preserve">Mean effect of treatments on relative water content was significantly </w:t>
      </w:r>
      <w:r w:rsidR="00C27128" w:rsidRPr="00C27128">
        <w:rPr>
          <w:rFonts w:ascii="Times New Roman" w:hAnsi="Times New Roman"/>
          <w:sz w:val="24"/>
          <w:szCs w:val="24"/>
        </w:rPr>
        <w:t>varied between 94.39</w:t>
      </w:r>
      <w:r w:rsidRPr="00C27128">
        <w:rPr>
          <w:rFonts w:ascii="Times New Roman" w:hAnsi="Times New Roman"/>
          <w:sz w:val="24"/>
          <w:szCs w:val="24"/>
        </w:rPr>
        <w:t xml:space="preserve"> % and 69.24 </w:t>
      </w:r>
      <w:r w:rsidR="00C27128" w:rsidRPr="00C27128">
        <w:rPr>
          <w:rFonts w:ascii="Times New Roman" w:hAnsi="Times New Roman"/>
          <w:sz w:val="24"/>
          <w:szCs w:val="24"/>
        </w:rPr>
        <w:t>% as</w:t>
      </w:r>
      <w:r w:rsidR="00866052" w:rsidRPr="00C27128">
        <w:rPr>
          <w:rFonts w:ascii="Times New Roman" w:hAnsi="Times New Roman"/>
          <w:sz w:val="24"/>
          <w:szCs w:val="24"/>
        </w:rPr>
        <w:t xml:space="preserve"> given in table </w:t>
      </w:r>
      <w:r w:rsidR="00C27128" w:rsidRPr="00C27128">
        <w:rPr>
          <w:rFonts w:ascii="Times New Roman" w:hAnsi="Times New Roman"/>
          <w:sz w:val="24"/>
          <w:szCs w:val="24"/>
        </w:rPr>
        <w:t>2. Control</w:t>
      </w:r>
      <w:r w:rsidRPr="00C27128">
        <w:rPr>
          <w:rFonts w:ascii="Times New Roman" w:hAnsi="Times New Roman"/>
          <w:sz w:val="24"/>
          <w:szCs w:val="24"/>
        </w:rPr>
        <w:t xml:space="preserve"> showed highest (94.39 %) mean value of relative water content, while the </w:t>
      </w:r>
      <w:r w:rsidR="00866052" w:rsidRPr="00C27128">
        <w:rPr>
          <w:rFonts w:ascii="Times New Roman" w:hAnsi="Times New Roman"/>
          <w:sz w:val="24"/>
          <w:szCs w:val="24"/>
        </w:rPr>
        <w:t>tomato plant</w:t>
      </w:r>
      <w:r w:rsidRPr="00C27128">
        <w:rPr>
          <w:rFonts w:ascii="Times New Roman" w:hAnsi="Times New Roman"/>
          <w:sz w:val="24"/>
          <w:szCs w:val="24"/>
        </w:rPr>
        <w:t xml:space="preserve"> irrigated with 300 ppm heavy metal showed lowest (69.24 %) mean value of relative water </w:t>
      </w:r>
      <w:r w:rsidR="00C27128" w:rsidRPr="00C27128">
        <w:rPr>
          <w:rFonts w:ascii="Times New Roman" w:hAnsi="Times New Roman"/>
          <w:sz w:val="24"/>
          <w:szCs w:val="24"/>
        </w:rPr>
        <w:t>content at</w:t>
      </w:r>
      <w:r w:rsidRPr="00C27128">
        <w:rPr>
          <w:rFonts w:ascii="Times New Roman" w:hAnsi="Times New Roman"/>
          <w:sz w:val="24"/>
          <w:szCs w:val="24"/>
        </w:rPr>
        <w:t xml:space="preserve"> 20 days after germination. Similar results also observed by, they observed lower mean relative water content was probably caused by the plants absorbing less water as a result of increased osmotic stress. Relative water content can also be impacted by heavy metal stress. Plants may display modified leaf shape and decreased stomatal conductance in high salinity environments, both of which can affect relative water content.</w:t>
      </w:r>
    </w:p>
    <w:p w14:paraId="4AD8EF11" w14:textId="77777777" w:rsidR="00293675" w:rsidRDefault="00293675" w:rsidP="00293675">
      <w:pPr>
        <w:ind w:firstLine="720"/>
        <w:jc w:val="both"/>
        <w:rPr>
          <w:rFonts w:ascii="Times New Roman" w:hAnsi="Times New Roman"/>
        </w:rPr>
      </w:pPr>
    </w:p>
    <w:p w14:paraId="7F584E84" w14:textId="4C665E70" w:rsidR="00293675" w:rsidRPr="006A6752" w:rsidRDefault="00293675" w:rsidP="00293675">
      <w:pPr>
        <w:spacing w:line="360" w:lineRule="auto"/>
        <w:jc w:val="center"/>
        <w:rPr>
          <w:rFonts w:ascii="Times New Roman" w:hAnsi="Times New Roman"/>
          <w:b/>
          <w:bCs/>
        </w:rPr>
      </w:pPr>
      <w:r w:rsidRPr="00DA0083">
        <w:rPr>
          <w:rFonts w:ascii="Times New Roman" w:hAnsi="Times New Roman"/>
          <w:b/>
          <w:bCs/>
        </w:rPr>
        <w:t xml:space="preserve">Table 2 Effect of heavy metal </w:t>
      </w:r>
      <w:r w:rsidR="00C27128" w:rsidRPr="00DA0083">
        <w:rPr>
          <w:rFonts w:ascii="Times New Roman" w:hAnsi="Times New Roman"/>
          <w:b/>
          <w:bCs/>
        </w:rPr>
        <w:t>stress on</w:t>
      </w:r>
      <w:r w:rsidRPr="00DA0083">
        <w:rPr>
          <w:rFonts w:ascii="Times New Roman" w:hAnsi="Times New Roman"/>
          <w:b/>
          <w:bCs/>
        </w:rPr>
        <w:t xml:space="preserve"> Relative Water Content (RWC) in tomato </w:t>
      </w:r>
      <w:r w:rsidR="00C27128" w:rsidRPr="00DA0083">
        <w:rPr>
          <w:rFonts w:ascii="Times New Roman" w:hAnsi="Times New Roman"/>
          <w:b/>
          <w:bCs/>
        </w:rPr>
        <w:t>leaves at</w:t>
      </w:r>
      <w:r w:rsidRPr="00DA0083">
        <w:rPr>
          <w:rFonts w:ascii="Times New Roman" w:hAnsi="Times New Roman"/>
          <w:b/>
          <w:bCs/>
        </w:rPr>
        <w:t xml:space="preserve"> 20 days after germination.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087"/>
        <w:gridCol w:w="1477"/>
        <w:gridCol w:w="1144"/>
        <w:gridCol w:w="1089"/>
        <w:gridCol w:w="1062"/>
        <w:gridCol w:w="794"/>
      </w:tblGrid>
      <w:tr w:rsidR="00293675" w:rsidRPr="00DA0083" w14:paraId="204E42D2" w14:textId="77777777" w:rsidTr="00A37997">
        <w:trPr>
          <w:trHeight w:val="325"/>
        </w:trPr>
        <w:tc>
          <w:tcPr>
            <w:tcW w:w="942" w:type="pct"/>
            <w:vMerge w:val="restart"/>
            <w:noWrap/>
            <w:vAlign w:val="center"/>
            <w:hideMark/>
          </w:tcPr>
          <w:p w14:paraId="79C91B01"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lastRenderedPageBreak/>
              <w:t>Genotypes* (V)</w:t>
            </w:r>
          </w:p>
        </w:tc>
        <w:tc>
          <w:tcPr>
            <w:tcW w:w="4058" w:type="pct"/>
            <w:gridSpan w:val="6"/>
            <w:vAlign w:val="center"/>
            <w:hideMark/>
          </w:tcPr>
          <w:p w14:paraId="331DFBB6"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Relative Water Content (RWC)</w:t>
            </w:r>
          </w:p>
        </w:tc>
      </w:tr>
      <w:tr w:rsidR="00A37997" w:rsidRPr="00DA0083" w14:paraId="2EE6F86D" w14:textId="77777777" w:rsidTr="00A37997">
        <w:trPr>
          <w:trHeight w:val="325"/>
        </w:trPr>
        <w:tc>
          <w:tcPr>
            <w:tcW w:w="942" w:type="pct"/>
            <w:vMerge/>
            <w:vAlign w:val="center"/>
            <w:hideMark/>
          </w:tcPr>
          <w:p w14:paraId="756633A0" w14:textId="77777777" w:rsidR="00A37997" w:rsidRPr="00DA0083" w:rsidRDefault="00A37997" w:rsidP="007924B1">
            <w:pPr>
              <w:rPr>
                <w:rFonts w:ascii="Calibri" w:hAnsi="Calibri" w:cs="Calibri"/>
                <w:color w:val="000000"/>
                <w:lang w:eastAsia="en-IN"/>
              </w:rPr>
            </w:pPr>
          </w:p>
        </w:tc>
        <w:tc>
          <w:tcPr>
            <w:tcW w:w="3574" w:type="pct"/>
            <w:gridSpan w:val="5"/>
            <w:noWrap/>
            <w:vAlign w:val="center"/>
            <w:hideMark/>
          </w:tcPr>
          <w:p w14:paraId="4359EF3E" w14:textId="0FB76D44" w:rsidR="00A37997" w:rsidRPr="00DA0083" w:rsidRDefault="00A37997" w:rsidP="00A37997">
            <w:pPr>
              <w:jc w:val="center"/>
              <w:rPr>
                <w:rFonts w:ascii="Times New Roman" w:hAnsi="Times New Roman"/>
                <w:b/>
                <w:bCs/>
                <w:color w:val="000000"/>
                <w:lang w:eastAsia="en-IN"/>
              </w:rPr>
            </w:pPr>
            <w:r>
              <w:rPr>
                <w:rFonts w:ascii="Times New Roman" w:hAnsi="Times New Roman"/>
                <w:b/>
                <w:bCs/>
                <w:color w:val="000000"/>
                <w:lang w:eastAsia="en-IN"/>
              </w:rPr>
              <w:t>Treatment</w:t>
            </w:r>
          </w:p>
        </w:tc>
        <w:tc>
          <w:tcPr>
            <w:tcW w:w="484" w:type="pct"/>
            <w:vMerge w:val="restart"/>
            <w:noWrap/>
            <w:vAlign w:val="center"/>
            <w:hideMark/>
          </w:tcPr>
          <w:p w14:paraId="6C3BFC88" w14:textId="77777777" w:rsidR="00A37997" w:rsidRDefault="00A37997" w:rsidP="007924B1">
            <w:pPr>
              <w:jc w:val="center"/>
              <w:rPr>
                <w:rFonts w:ascii="Times New Roman" w:hAnsi="Times New Roman"/>
                <w:color w:val="000000"/>
                <w:lang w:eastAsia="en-IN"/>
              </w:rPr>
            </w:pPr>
            <w:r w:rsidRPr="00DA0083">
              <w:rPr>
                <w:rFonts w:ascii="Times New Roman" w:hAnsi="Times New Roman"/>
                <w:color w:val="000000"/>
                <w:lang w:eastAsia="en-IN"/>
              </w:rPr>
              <w:t>Mean</w:t>
            </w:r>
          </w:p>
          <w:p w14:paraId="5453D388" w14:textId="77777777" w:rsidR="00A37997" w:rsidRPr="00DA0083" w:rsidRDefault="00A37997" w:rsidP="007924B1">
            <w:pPr>
              <w:jc w:val="center"/>
              <w:rPr>
                <w:rFonts w:ascii="Times New Roman" w:hAnsi="Times New Roman"/>
                <w:color w:val="000000"/>
                <w:lang w:eastAsia="en-IN"/>
              </w:rPr>
            </w:pPr>
            <w:r w:rsidRPr="00DA0083">
              <w:rPr>
                <w:rFonts w:ascii="Times New Roman" w:hAnsi="Times New Roman"/>
                <w:color w:val="000000"/>
                <w:lang w:eastAsia="en-IN"/>
              </w:rPr>
              <w:t>(V)</w:t>
            </w:r>
          </w:p>
        </w:tc>
      </w:tr>
      <w:tr w:rsidR="00293675" w:rsidRPr="00DA0083" w14:paraId="78DB2D1B" w14:textId="77777777" w:rsidTr="00A37997">
        <w:trPr>
          <w:trHeight w:val="325"/>
        </w:trPr>
        <w:tc>
          <w:tcPr>
            <w:tcW w:w="942" w:type="pct"/>
            <w:vMerge/>
            <w:vAlign w:val="center"/>
            <w:hideMark/>
          </w:tcPr>
          <w:p w14:paraId="6DD53647" w14:textId="77777777" w:rsidR="00293675" w:rsidRPr="00DA0083" w:rsidRDefault="00293675" w:rsidP="007924B1">
            <w:pPr>
              <w:rPr>
                <w:rFonts w:ascii="Calibri" w:hAnsi="Calibri" w:cs="Calibri"/>
                <w:color w:val="000000"/>
                <w:lang w:eastAsia="en-IN"/>
              </w:rPr>
            </w:pPr>
          </w:p>
        </w:tc>
        <w:tc>
          <w:tcPr>
            <w:tcW w:w="663" w:type="pct"/>
            <w:noWrap/>
            <w:vAlign w:val="center"/>
            <w:hideMark/>
          </w:tcPr>
          <w:p w14:paraId="279022FA" w14:textId="77777777" w:rsidR="00293675" w:rsidRPr="00DA0083" w:rsidRDefault="00293675" w:rsidP="007924B1">
            <w:pPr>
              <w:jc w:val="center"/>
              <w:rPr>
                <w:rFonts w:ascii="Times New Roman" w:hAnsi="Times New Roman"/>
                <w:b/>
                <w:bCs/>
                <w:color w:val="000000"/>
                <w:sz w:val="22"/>
                <w:szCs w:val="22"/>
                <w:lang w:eastAsia="en-IN"/>
              </w:rPr>
            </w:pPr>
            <w:r w:rsidRPr="00DA0083">
              <w:rPr>
                <w:rFonts w:ascii="Times New Roman" w:hAnsi="Times New Roman"/>
                <w:b/>
                <w:bCs/>
                <w:color w:val="000000"/>
                <w:sz w:val="22"/>
                <w:szCs w:val="22"/>
                <w:lang w:eastAsia="en-IN"/>
              </w:rPr>
              <w:t>Control</w:t>
            </w:r>
          </w:p>
        </w:tc>
        <w:tc>
          <w:tcPr>
            <w:tcW w:w="901" w:type="pct"/>
            <w:noWrap/>
            <w:vAlign w:val="center"/>
            <w:hideMark/>
          </w:tcPr>
          <w:p w14:paraId="5F9A9AEC"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50 ppm</w:t>
            </w:r>
          </w:p>
        </w:tc>
        <w:tc>
          <w:tcPr>
            <w:tcW w:w="698" w:type="pct"/>
            <w:noWrap/>
            <w:vAlign w:val="center"/>
            <w:hideMark/>
          </w:tcPr>
          <w:p w14:paraId="49364239"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100 ppm</w:t>
            </w:r>
          </w:p>
        </w:tc>
        <w:tc>
          <w:tcPr>
            <w:tcW w:w="664" w:type="pct"/>
            <w:noWrap/>
            <w:vAlign w:val="center"/>
            <w:hideMark/>
          </w:tcPr>
          <w:p w14:paraId="41977387" w14:textId="77777777" w:rsidR="00293675" w:rsidRPr="00DA0083" w:rsidRDefault="00293675" w:rsidP="007924B1">
            <w:pPr>
              <w:jc w:val="center"/>
              <w:rPr>
                <w:rFonts w:ascii="Times New Roman" w:hAnsi="Times New Roman"/>
                <w:b/>
                <w:bCs/>
                <w:color w:val="000000"/>
                <w:lang w:eastAsia="en-IN"/>
              </w:rPr>
            </w:pPr>
            <w:r>
              <w:rPr>
                <w:rFonts w:ascii="Times New Roman" w:hAnsi="Times New Roman"/>
                <w:b/>
                <w:bCs/>
                <w:color w:val="000000"/>
                <w:lang w:eastAsia="en-IN"/>
              </w:rPr>
              <w:t>20</w:t>
            </w:r>
            <w:r w:rsidRPr="00DA0083">
              <w:rPr>
                <w:rFonts w:ascii="Times New Roman" w:hAnsi="Times New Roman"/>
                <w:b/>
                <w:bCs/>
                <w:color w:val="000000"/>
                <w:lang w:eastAsia="en-IN"/>
              </w:rPr>
              <w:t>0 ppm</w:t>
            </w:r>
          </w:p>
        </w:tc>
        <w:tc>
          <w:tcPr>
            <w:tcW w:w="648" w:type="pct"/>
            <w:noWrap/>
            <w:vAlign w:val="center"/>
            <w:hideMark/>
          </w:tcPr>
          <w:p w14:paraId="6A37CE51"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 xml:space="preserve">300 ppm </w:t>
            </w:r>
          </w:p>
        </w:tc>
        <w:tc>
          <w:tcPr>
            <w:tcW w:w="484" w:type="pct"/>
            <w:vMerge/>
            <w:vAlign w:val="center"/>
            <w:hideMark/>
          </w:tcPr>
          <w:p w14:paraId="79F2F62E" w14:textId="77777777" w:rsidR="00293675" w:rsidRPr="00DA0083" w:rsidRDefault="00293675" w:rsidP="007924B1">
            <w:pPr>
              <w:rPr>
                <w:rFonts w:ascii="Times New Roman" w:hAnsi="Times New Roman"/>
                <w:color w:val="000000"/>
                <w:lang w:eastAsia="en-IN"/>
              </w:rPr>
            </w:pPr>
          </w:p>
        </w:tc>
      </w:tr>
      <w:tr w:rsidR="00293675" w:rsidRPr="00DA0083" w14:paraId="533AD2B9" w14:textId="77777777" w:rsidTr="00A37997">
        <w:trPr>
          <w:trHeight w:val="325"/>
        </w:trPr>
        <w:tc>
          <w:tcPr>
            <w:tcW w:w="942" w:type="pct"/>
            <w:noWrap/>
            <w:vAlign w:val="center"/>
            <w:hideMark/>
          </w:tcPr>
          <w:p w14:paraId="0B5E6251" w14:textId="13C8527E"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GT6</w:t>
            </w:r>
          </w:p>
        </w:tc>
        <w:tc>
          <w:tcPr>
            <w:tcW w:w="663" w:type="pct"/>
            <w:noWrap/>
            <w:vAlign w:val="center"/>
            <w:hideMark/>
          </w:tcPr>
          <w:p w14:paraId="3EEE7A7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90.22</w:t>
            </w:r>
          </w:p>
        </w:tc>
        <w:tc>
          <w:tcPr>
            <w:tcW w:w="901" w:type="pct"/>
            <w:noWrap/>
            <w:vAlign w:val="center"/>
            <w:hideMark/>
          </w:tcPr>
          <w:p w14:paraId="5DDE0F09"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83.38</w:t>
            </w:r>
          </w:p>
        </w:tc>
        <w:tc>
          <w:tcPr>
            <w:tcW w:w="698" w:type="pct"/>
            <w:noWrap/>
            <w:vAlign w:val="center"/>
            <w:hideMark/>
          </w:tcPr>
          <w:p w14:paraId="2AF3AF40"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79.37</w:t>
            </w:r>
          </w:p>
        </w:tc>
        <w:tc>
          <w:tcPr>
            <w:tcW w:w="664" w:type="pct"/>
            <w:noWrap/>
            <w:vAlign w:val="center"/>
            <w:hideMark/>
          </w:tcPr>
          <w:p w14:paraId="61970210"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78.08</w:t>
            </w:r>
          </w:p>
        </w:tc>
        <w:tc>
          <w:tcPr>
            <w:tcW w:w="648" w:type="pct"/>
            <w:noWrap/>
            <w:vAlign w:val="center"/>
            <w:hideMark/>
          </w:tcPr>
          <w:p w14:paraId="79371B84"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77.89</w:t>
            </w:r>
          </w:p>
        </w:tc>
        <w:tc>
          <w:tcPr>
            <w:tcW w:w="484" w:type="pct"/>
            <w:noWrap/>
            <w:vAlign w:val="center"/>
            <w:hideMark/>
          </w:tcPr>
          <w:p w14:paraId="522792E2"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79.89</w:t>
            </w:r>
          </w:p>
        </w:tc>
      </w:tr>
      <w:tr w:rsidR="00293675" w:rsidRPr="00DA0083" w14:paraId="46B70793" w14:textId="77777777" w:rsidTr="00A37997">
        <w:trPr>
          <w:trHeight w:val="325"/>
        </w:trPr>
        <w:tc>
          <w:tcPr>
            <w:tcW w:w="942" w:type="pct"/>
            <w:noWrap/>
            <w:vAlign w:val="center"/>
            <w:hideMark/>
          </w:tcPr>
          <w:p w14:paraId="12B2EF42" w14:textId="45D4685F"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GT1</w:t>
            </w:r>
          </w:p>
        </w:tc>
        <w:tc>
          <w:tcPr>
            <w:tcW w:w="663" w:type="pct"/>
            <w:noWrap/>
            <w:vAlign w:val="center"/>
            <w:hideMark/>
          </w:tcPr>
          <w:p w14:paraId="7591679A"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96.58</w:t>
            </w:r>
          </w:p>
        </w:tc>
        <w:tc>
          <w:tcPr>
            <w:tcW w:w="901" w:type="pct"/>
            <w:noWrap/>
            <w:vAlign w:val="center"/>
            <w:hideMark/>
          </w:tcPr>
          <w:p w14:paraId="66407ABA"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89.56</w:t>
            </w:r>
          </w:p>
        </w:tc>
        <w:tc>
          <w:tcPr>
            <w:tcW w:w="698" w:type="pct"/>
            <w:noWrap/>
            <w:vAlign w:val="center"/>
            <w:hideMark/>
          </w:tcPr>
          <w:p w14:paraId="52B10E1B"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85.66</w:t>
            </w:r>
          </w:p>
        </w:tc>
        <w:tc>
          <w:tcPr>
            <w:tcW w:w="664" w:type="pct"/>
            <w:noWrap/>
            <w:vAlign w:val="center"/>
            <w:hideMark/>
          </w:tcPr>
          <w:p w14:paraId="6D77082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83.27</w:t>
            </w:r>
          </w:p>
        </w:tc>
        <w:tc>
          <w:tcPr>
            <w:tcW w:w="648" w:type="pct"/>
            <w:noWrap/>
            <w:vAlign w:val="center"/>
            <w:hideMark/>
          </w:tcPr>
          <w:p w14:paraId="0A80EB62"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81.63</w:t>
            </w:r>
          </w:p>
        </w:tc>
        <w:tc>
          <w:tcPr>
            <w:tcW w:w="484" w:type="pct"/>
            <w:noWrap/>
            <w:vAlign w:val="center"/>
            <w:hideMark/>
          </w:tcPr>
          <w:p w14:paraId="0ED2C407"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87.34</w:t>
            </w:r>
          </w:p>
        </w:tc>
      </w:tr>
      <w:tr w:rsidR="00293675" w:rsidRPr="00DA0083" w14:paraId="1D3E42B1" w14:textId="77777777" w:rsidTr="00A37997">
        <w:trPr>
          <w:trHeight w:val="325"/>
        </w:trPr>
        <w:tc>
          <w:tcPr>
            <w:tcW w:w="942" w:type="pct"/>
            <w:noWrap/>
            <w:vAlign w:val="center"/>
            <w:hideMark/>
          </w:tcPr>
          <w:p w14:paraId="76AA73BB" w14:textId="5A9F3E3E"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JT3</w:t>
            </w:r>
          </w:p>
        </w:tc>
        <w:tc>
          <w:tcPr>
            <w:tcW w:w="663" w:type="pct"/>
            <w:noWrap/>
            <w:vAlign w:val="center"/>
            <w:hideMark/>
          </w:tcPr>
          <w:p w14:paraId="0426CB44"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96.31</w:t>
            </w:r>
          </w:p>
        </w:tc>
        <w:tc>
          <w:tcPr>
            <w:tcW w:w="901" w:type="pct"/>
            <w:noWrap/>
            <w:vAlign w:val="center"/>
            <w:hideMark/>
          </w:tcPr>
          <w:p w14:paraId="5F50ACC5"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83.78</w:t>
            </w:r>
          </w:p>
        </w:tc>
        <w:tc>
          <w:tcPr>
            <w:tcW w:w="698" w:type="pct"/>
            <w:noWrap/>
            <w:vAlign w:val="center"/>
            <w:hideMark/>
          </w:tcPr>
          <w:p w14:paraId="3500DCD4"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80.97</w:t>
            </w:r>
          </w:p>
        </w:tc>
        <w:tc>
          <w:tcPr>
            <w:tcW w:w="664" w:type="pct"/>
            <w:noWrap/>
            <w:vAlign w:val="center"/>
            <w:hideMark/>
          </w:tcPr>
          <w:p w14:paraId="7D2493F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75.28</w:t>
            </w:r>
          </w:p>
        </w:tc>
        <w:tc>
          <w:tcPr>
            <w:tcW w:w="648" w:type="pct"/>
            <w:noWrap/>
            <w:vAlign w:val="center"/>
            <w:hideMark/>
          </w:tcPr>
          <w:p w14:paraId="7F4E7573"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73.95</w:t>
            </w:r>
          </w:p>
        </w:tc>
        <w:tc>
          <w:tcPr>
            <w:tcW w:w="484" w:type="pct"/>
            <w:noWrap/>
            <w:vAlign w:val="center"/>
            <w:hideMark/>
          </w:tcPr>
          <w:p w14:paraId="7FFCB87B"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82.06</w:t>
            </w:r>
          </w:p>
        </w:tc>
      </w:tr>
      <w:tr w:rsidR="00293675" w:rsidRPr="00DA0083" w14:paraId="0E1AA69E" w14:textId="77777777" w:rsidTr="00A37997">
        <w:trPr>
          <w:trHeight w:val="325"/>
        </w:trPr>
        <w:tc>
          <w:tcPr>
            <w:tcW w:w="942" w:type="pct"/>
            <w:noWrap/>
            <w:vAlign w:val="center"/>
            <w:hideMark/>
          </w:tcPr>
          <w:p w14:paraId="78914B73" w14:textId="28CFE1AA"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JTL2105</w:t>
            </w:r>
          </w:p>
        </w:tc>
        <w:tc>
          <w:tcPr>
            <w:tcW w:w="663" w:type="pct"/>
            <w:noWrap/>
            <w:vAlign w:val="center"/>
            <w:hideMark/>
          </w:tcPr>
          <w:p w14:paraId="7908821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92.83</w:t>
            </w:r>
          </w:p>
        </w:tc>
        <w:tc>
          <w:tcPr>
            <w:tcW w:w="901" w:type="pct"/>
            <w:noWrap/>
            <w:vAlign w:val="center"/>
            <w:hideMark/>
          </w:tcPr>
          <w:p w14:paraId="5673D4B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84.27</w:t>
            </w:r>
          </w:p>
        </w:tc>
        <w:tc>
          <w:tcPr>
            <w:tcW w:w="698" w:type="pct"/>
            <w:noWrap/>
            <w:vAlign w:val="center"/>
            <w:hideMark/>
          </w:tcPr>
          <w:p w14:paraId="34B47661"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80.80</w:t>
            </w:r>
          </w:p>
        </w:tc>
        <w:tc>
          <w:tcPr>
            <w:tcW w:w="664" w:type="pct"/>
            <w:noWrap/>
            <w:vAlign w:val="center"/>
            <w:hideMark/>
          </w:tcPr>
          <w:p w14:paraId="0A2E316C"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72.01</w:t>
            </w:r>
          </w:p>
        </w:tc>
        <w:tc>
          <w:tcPr>
            <w:tcW w:w="648" w:type="pct"/>
            <w:noWrap/>
            <w:vAlign w:val="center"/>
            <w:hideMark/>
          </w:tcPr>
          <w:p w14:paraId="292AA8F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58.66</w:t>
            </w:r>
          </w:p>
        </w:tc>
        <w:tc>
          <w:tcPr>
            <w:tcW w:w="484" w:type="pct"/>
            <w:noWrap/>
            <w:vAlign w:val="center"/>
            <w:hideMark/>
          </w:tcPr>
          <w:p w14:paraId="64A0F66D"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77.71</w:t>
            </w:r>
          </w:p>
        </w:tc>
      </w:tr>
      <w:tr w:rsidR="00293675" w:rsidRPr="00DA0083" w14:paraId="16A93A42" w14:textId="77777777" w:rsidTr="00A37997">
        <w:trPr>
          <w:trHeight w:val="325"/>
        </w:trPr>
        <w:tc>
          <w:tcPr>
            <w:tcW w:w="942" w:type="pct"/>
            <w:noWrap/>
            <w:vAlign w:val="center"/>
            <w:hideMark/>
          </w:tcPr>
          <w:p w14:paraId="2F76A7E8" w14:textId="61AE4ACE"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JTL1908</w:t>
            </w:r>
          </w:p>
        </w:tc>
        <w:tc>
          <w:tcPr>
            <w:tcW w:w="663" w:type="pct"/>
            <w:noWrap/>
            <w:vAlign w:val="center"/>
            <w:hideMark/>
          </w:tcPr>
          <w:p w14:paraId="76144512"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96.08</w:t>
            </w:r>
          </w:p>
        </w:tc>
        <w:tc>
          <w:tcPr>
            <w:tcW w:w="901" w:type="pct"/>
            <w:noWrap/>
            <w:vAlign w:val="center"/>
            <w:hideMark/>
          </w:tcPr>
          <w:p w14:paraId="02AAC2EC"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83.90</w:t>
            </w:r>
          </w:p>
        </w:tc>
        <w:tc>
          <w:tcPr>
            <w:tcW w:w="698" w:type="pct"/>
            <w:noWrap/>
            <w:vAlign w:val="center"/>
            <w:hideMark/>
          </w:tcPr>
          <w:p w14:paraId="6C04831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80.30</w:t>
            </w:r>
          </w:p>
        </w:tc>
        <w:tc>
          <w:tcPr>
            <w:tcW w:w="664" w:type="pct"/>
            <w:noWrap/>
            <w:vAlign w:val="center"/>
            <w:hideMark/>
          </w:tcPr>
          <w:p w14:paraId="0426F643"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77.49</w:t>
            </w:r>
          </w:p>
        </w:tc>
        <w:tc>
          <w:tcPr>
            <w:tcW w:w="648" w:type="pct"/>
            <w:noWrap/>
            <w:vAlign w:val="center"/>
            <w:hideMark/>
          </w:tcPr>
          <w:p w14:paraId="65C2232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64.44</w:t>
            </w:r>
          </w:p>
        </w:tc>
        <w:tc>
          <w:tcPr>
            <w:tcW w:w="484" w:type="pct"/>
            <w:noWrap/>
            <w:vAlign w:val="center"/>
            <w:hideMark/>
          </w:tcPr>
          <w:p w14:paraId="63CBA5EC"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80.44</w:t>
            </w:r>
          </w:p>
        </w:tc>
      </w:tr>
      <w:tr w:rsidR="00293675" w:rsidRPr="00DA0083" w14:paraId="7D14D5F4" w14:textId="77777777" w:rsidTr="00A37997">
        <w:trPr>
          <w:trHeight w:val="325"/>
        </w:trPr>
        <w:tc>
          <w:tcPr>
            <w:tcW w:w="942" w:type="pct"/>
            <w:noWrap/>
            <w:vAlign w:val="center"/>
            <w:hideMark/>
          </w:tcPr>
          <w:p w14:paraId="752CC28D" w14:textId="7992C300"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JTL2103</w:t>
            </w:r>
          </w:p>
        </w:tc>
        <w:tc>
          <w:tcPr>
            <w:tcW w:w="663" w:type="pct"/>
            <w:noWrap/>
            <w:vAlign w:val="center"/>
            <w:hideMark/>
          </w:tcPr>
          <w:p w14:paraId="51308D7D"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94.36</w:t>
            </w:r>
          </w:p>
        </w:tc>
        <w:tc>
          <w:tcPr>
            <w:tcW w:w="901" w:type="pct"/>
            <w:noWrap/>
            <w:vAlign w:val="center"/>
            <w:hideMark/>
          </w:tcPr>
          <w:p w14:paraId="4EB0CE66"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83.93</w:t>
            </w:r>
          </w:p>
        </w:tc>
        <w:tc>
          <w:tcPr>
            <w:tcW w:w="698" w:type="pct"/>
            <w:noWrap/>
            <w:vAlign w:val="center"/>
            <w:hideMark/>
          </w:tcPr>
          <w:p w14:paraId="6FEAFEA9"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80.69</w:t>
            </w:r>
          </w:p>
        </w:tc>
        <w:tc>
          <w:tcPr>
            <w:tcW w:w="664" w:type="pct"/>
            <w:noWrap/>
            <w:vAlign w:val="center"/>
            <w:hideMark/>
          </w:tcPr>
          <w:p w14:paraId="253890E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77.65</w:t>
            </w:r>
          </w:p>
        </w:tc>
        <w:tc>
          <w:tcPr>
            <w:tcW w:w="648" w:type="pct"/>
            <w:noWrap/>
            <w:vAlign w:val="center"/>
            <w:hideMark/>
          </w:tcPr>
          <w:p w14:paraId="061BE356"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64.37</w:t>
            </w:r>
          </w:p>
        </w:tc>
        <w:tc>
          <w:tcPr>
            <w:tcW w:w="484" w:type="pct"/>
            <w:noWrap/>
            <w:vAlign w:val="center"/>
            <w:hideMark/>
          </w:tcPr>
          <w:p w14:paraId="76ECFF8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80.20</w:t>
            </w:r>
          </w:p>
        </w:tc>
      </w:tr>
      <w:tr w:rsidR="00293675" w:rsidRPr="00DA0083" w14:paraId="29160F06" w14:textId="77777777" w:rsidTr="00A37997">
        <w:trPr>
          <w:trHeight w:val="325"/>
        </w:trPr>
        <w:tc>
          <w:tcPr>
            <w:tcW w:w="942" w:type="pct"/>
            <w:noWrap/>
            <w:vAlign w:val="center"/>
            <w:hideMark/>
          </w:tcPr>
          <w:p w14:paraId="2360FD16"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Mean(T)</w:t>
            </w:r>
          </w:p>
        </w:tc>
        <w:tc>
          <w:tcPr>
            <w:tcW w:w="663" w:type="pct"/>
            <w:noWrap/>
            <w:vAlign w:val="center"/>
            <w:hideMark/>
          </w:tcPr>
          <w:p w14:paraId="5AD9E9D1"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94.40</w:t>
            </w:r>
          </w:p>
        </w:tc>
        <w:tc>
          <w:tcPr>
            <w:tcW w:w="901" w:type="pct"/>
            <w:noWrap/>
            <w:vAlign w:val="center"/>
            <w:hideMark/>
          </w:tcPr>
          <w:p w14:paraId="74EBD2EF"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84.80</w:t>
            </w:r>
          </w:p>
        </w:tc>
        <w:tc>
          <w:tcPr>
            <w:tcW w:w="698" w:type="pct"/>
            <w:tcBorders>
              <w:bottom w:val="single" w:sz="4" w:space="0" w:color="auto"/>
            </w:tcBorders>
            <w:noWrap/>
            <w:vAlign w:val="center"/>
            <w:hideMark/>
          </w:tcPr>
          <w:p w14:paraId="16081D21"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81.13</w:t>
            </w:r>
          </w:p>
        </w:tc>
        <w:tc>
          <w:tcPr>
            <w:tcW w:w="664" w:type="pct"/>
            <w:tcBorders>
              <w:bottom w:val="single" w:sz="4" w:space="0" w:color="auto"/>
            </w:tcBorders>
            <w:noWrap/>
            <w:vAlign w:val="center"/>
            <w:hideMark/>
          </w:tcPr>
          <w:p w14:paraId="505229AB"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76.80</w:t>
            </w:r>
          </w:p>
        </w:tc>
        <w:tc>
          <w:tcPr>
            <w:tcW w:w="648" w:type="pct"/>
            <w:tcBorders>
              <w:bottom w:val="single" w:sz="4" w:space="0" w:color="auto"/>
            </w:tcBorders>
            <w:noWrap/>
            <w:vAlign w:val="center"/>
            <w:hideMark/>
          </w:tcPr>
          <w:p w14:paraId="7B15652D"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69.24</w:t>
            </w:r>
          </w:p>
        </w:tc>
        <w:tc>
          <w:tcPr>
            <w:tcW w:w="484" w:type="pct"/>
            <w:tcBorders>
              <w:bottom w:val="single" w:sz="4" w:space="0" w:color="auto"/>
            </w:tcBorders>
            <w:noWrap/>
            <w:vAlign w:val="bottom"/>
            <w:hideMark/>
          </w:tcPr>
          <w:p w14:paraId="7ED76A4D" w14:textId="77777777" w:rsidR="00293675" w:rsidRPr="00DA0083" w:rsidRDefault="00293675" w:rsidP="007924B1">
            <w:pPr>
              <w:rPr>
                <w:rFonts w:ascii="Calibri" w:hAnsi="Calibri" w:cs="Calibri"/>
                <w:color w:val="000000"/>
                <w:lang w:eastAsia="en-IN"/>
              </w:rPr>
            </w:pPr>
            <w:r w:rsidRPr="00DA0083">
              <w:rPr>
                <w:rFonts w:ascii="Calibri" w:hAnsi="Calibri" w:cs="Calibri"/>
                <w:color w:val="000000"/>
                <w:lang w:eastAsia="en-IN"/>
              </w:rPr>
              <w:t> </w:t>
            </w:r>
          </w:p>
        </w:tc>
      </w:tr>
      <w:tr w:rsidR="00293675" w:rsidRPr="00DA0083" w14:paraId="55C05128" w14:textId="77777777" w:rsidTr="00A37997">
        <w:trPr>
          <w:trHeight w:val="325"/>
        </w:trPr>
        <w:tc>
          <w:tcPr>
            <w:tcW w:w="942" w:type="pct"/>
            <w:noWrap/>
            <w:vAlign w:val="bottom"/>
            <w:hideMark/>
          </w:tcPr>
          <w:p w14:paraId="4E4B272E" w14:textId="77777777" w:rsidR="00293675" w:rsidRPr="00DA0083" w:rsidRDefault="00293675" w:rsidP="007924B1">
            <w:pPr>
              <w:rPr>
                <w:rFonts w:ascii="Calibri" w:hAnsi="Calibri" w:cs="Calibri"/>
                <w:color w:val="000000"/>
                <w:lang w:eastAsia="en-IN"/>
              </w:rPr>
            </w:pPr>
            <w:r w:rsidRPr="00DA0083">
              <w:rPr>
                <w:rFonts w:ascii="Calibri" w:hAnsi="Calibri" w:cs="Calibri"/>
                <w:color w:val="000000"/>
                <w:lang w:eastAsia="en-IN"/>
              </w:rPr>
              <w:t> </w:t>
            </w:r>
          </w:p>
        </w:tc>
        <w:tc>
          <w:tcPr>
            <w:tcW w:w="663" w:type="pct"/>
            <w:noWrap/>
            <w:vAlign w:val="center"/>
            <w:hideMark/>
          </w:tcPr>
          <w:p w14:paraId="342AECEC" w14:textId="77777777" w:rsidR="00293675" w:rsidRPr="00DA0083" w:rsidRDefault="00293675" w:rsidP="007924B1">
            <w:pPr>
              <w:jc w:val="center"/>
              <w:rPr>
                <w:rFonts w:ascii="Times New Roman" w:hAnsi="Times New Roman"/>
                <w:b/>
                <w:bCs/>
                <w:color w:val="000000"/>
                <w:lang w:eastAsia="en-IN"/>
              </w:rPr>
            </w:pPr>
            <w:proofErr w:type="spellStart"/>
            <w:r w:rsidRPr="00DA0083">
              <w:rPr>
                <w:rFonts w:ascii="Times New Roman" w:hAnsi="Times New Roman"/>
                <w:b/>
                <w:bCs/>
                <w:color w:val="000000"/>
                <w:lang w:eastAsia="en-IN"/>
              </w:rPr>
              <w:t>S.</w:t>
            </w:r>
            <w:proofErr w:type="gramStart"/>
            <w:r w:rsidRPr="00DA0083">
              <w:rPr>
                <w:rFonts w:ascii="Times New Roman" w:hAnsi="Times New Roman"/>
                <w:b/>
                <w:bCs/>
                <w:color w:val="000000"/>
                <w:lang w:eastAsia="en-IN"/>
              </w:rPr>
              <w:t>Em</w:t>
            </w:r>
            <w:proofErr w:type="spellEnd"/>
            <w:r w:rsidRPr="00DA0083">
              <w:rPr>
                <w:rFonts w:ascii="Times New Roman" w:hAnsi="Times New Roman"/>
                <w:b/>
                <w:bCs/>
                <w:color w:val="000000"/>
                <w:lang w:eastAsia="en-IN"/>
              </w:rPr>
              <w:t>.±</w:t>
            </w:r>
            <w:proofErr w:type="gramEnd"/>
          </w:p>
        </w:tc>
        <w:tc>
          <w:tcPr>
            <w:tcW w:w="901" w:type="pct"/>
            <w:noWrap/>
            <w:vAlign w:val="center"/>
            <w:hideMark/>
          </w:tcPr>
          <w:p w14:paraId="6DCFF213"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C.D. at 5 %</w:t>
            </w:r>
          </w:p>
        </w:tc>
        <w:tc>
          <w:tcPr>
            <w:tcW w:w="1361" w:type="pct"/>
            <w:gridSpan w:val="2"/>
            <w:vMerge w:val="restart"/>
            <w:tcBorders>
              <w:right w:val="nil"/>
            </w:tcBorders>
            <w:noWrap/>
            <w:vAlign w:val="center"/>
            <w:hideMark/>
          </w:tcPr>
          <w:p w14:paraId="5D86A2A9" w14:textId="77777777" w:rsidR="00293675" w:rsidRPr="00DA0083" w:rsidRDefault="00293675" w:rsidP="007924B1">
            <w:pPr>
              <w:jc w:val="right"/>
              <w:rPr>
                <w:rFonts w:ascii="Times New Roman" w:hAnsi="Times New Roman"/>
                <w:b/>
                <w:bCs/>
                <w:color w:val="000000"/>
                <w:lang w:eastAsia="en-IN"/>
              </w:rPr>
            </w:pPr>
            <w:r w:rsidRPr="00DA0083">
              <w:rPr>
                <w:rFonts w:ascii="Times New Roman" w:hAnsi="Times New Roman"/>
                <w:b/>
                <w:bCs/>
                <w:color w:val="000000"/>
                <w:lang w:eastAsia="en-IN"/>
              </w:rPr>
              <w:t xml:space="preserve">C.V. % </w:t>
            </w:r>
          </w:p>
        </w:tc>
        <w:tc>
          <w:tcPr>
            <w:tcW w:w="1133" w:type="pct"/>
            <w:gridSpan w:val="2"/>
            <w:vMerge w:val="restart"/>
            <w:tcBorders>
              <w:left w:val="nil"/>
            </w:tcBorders>
            <w:noWrap/>
            <w:vAlign w:val="center"/>
            <w:hideMark/>
          </w:tcPr>
          <w:p w14:paraId="111B0CA2" w14:textId="77777777" w:rsidR="00293675" w:rsidRPr="00DA0083" w:rsidRDefault="00293675" w:rsidP="007924B1">
            <w:pPr>
              <w:rPr>
                <w:rFonts w:ascii="Times New Roman" w:hAnsi="Times New Roman"/>
                <w:color w:val="000000"/>
                <w:lang w:eastAsia="en-IN"/>
              </w:rPr>
            </w:pPr>
            <w:r w:rsidRPr="00DA0083">
              <w:rPr>
                <w:rFonts w:ascii="Times New Roman" w:hAnsi="Times New Roman"/>
                <w:color w:val="000000"/>
                <w:lang w:eastAsia="en-IN"/>
              </w:rPr>
              <w:t>1.72</w:t>
            </w:r>
          </w:p>
        </w:tc>
      </w:tr>
      <w:tr w:rsidR="00293675" w:rsidRPr="00DA0083" w14:paraId="5D15358D" w14:textId="77777777" w:rsidTr="00A37997">
        <w:trPr>
          <w:trHeight w:val="325"/>
        </w:trPr>
        <w:tc>
          <w:tcPr>
            <w:tcW w:w="942" w:type="pct"/>
            <w:noWrap/>
            <w:vAlign w:val="center"/>
            <w:hideMark/>
          </w:tcPr>
          <w:p w14:paraId="4DF64F1C"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V</w:t>
            </w:r>
          </w:p>
        </w:tc>
        <w:tc>
          <w:tcPr>
            <w:tcW w:w="663" w:type="pct"/>
            <w:noWrap/>
            <w:vAlign w:val="center"/>
            <w:hideMark/>
          </w:tcPr>
          <w:p w14:paraId="7D45CE5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0.36</w:t>
            </w:r>
          </w:p>
        </w:tc>
        <w:tc>
          <w:tcPr>
            <w:tcW w:w="901" w:type="pct"/>
            <w:noWrap/>
            <w:vAlign w:val="center"/>
            <w:hideMark/>
          </w:tcPr>
          <w:p w14:paraId="7A0AED3F"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1.02</w:t>
            </w:r>
          </w:p>
        </w:tc>
        <w:tc>
          <w:tcPr>
            <w:tcW w:w="1361" w:type="pct"/>
            <w:gridSpan w:val="2"/>
            <w:vMerge/>
            <w:tcBorders>
              <w:top w:val="nil"/>
              <w:right w:val="nil"/>
            </w:tcBorders>
            <w:vAlign w:val="center"/>
            <w:hideMark/>
          </w:tcPr>
          <w:p w14:paraId="103C88E5" w14:textId="77777777" w:rsidR="00293675" w:rsidRPr="00DA0083" w:rsidRDefault="00293675" w:rsidP="007924B1">
            <w:pPr>
              <w:rPr>
                <w:rFonts w:ascii="Times New Roman" w:hAnsi="Times New Roman"/>
                <w:b/>
                <w:bCs/>
                <w:color w:val="000000"/>
                <w:lang w:eastAsia="en-IN"/>
              </w:rPr>
            </w:pPr>
          </w:p>
        </w:tc>
        <w:tc>
          <w:tcPr>
            <w:tcW w:w="1133" w:type="pct"/>
            <w:gridSpan w:val="2"/>
            <w:vMerge/>
            <w:tcBorders>
              <w:top w:val="nil"/>
              <w:left w:val="nil"/>
            </w:tcBorders>
            <w:vAlign w:val="center"/>
            <w:hideMark/>
          </w:tcPr>
          <w:p w14:paraId="7D5C682B" w14:textId="77777777" w:rsidR="00293675" w:rsidRPr="00DA0083" w:rsidRDefault="00293675" w:rsidP="007924B1">
            <w:pPr>
              <w:rPr>
                <w:rFonts w:ascii="Times New Roman" w:hAnsi="Times New Roman"/>
                <w:color w:val="000000"/>
                <w:lang w:eastAsia="en-IN"/>
              </w:rPr>
            </w:pPr>
          </w:p>
        </w:tc>
      </w:tr>
      <w:tr w:rsidR="00293675" w:rsidRPr="00DA0083" w14:paraId="59ADDADC" w14:textId="77777777" w:rsidTr="00A37997">
        <w:trPr>
          <w:trHeight w:val="325"/>
        </w:trPr>
        <w:tc>
          <w:tcPr>
            <w:tcW w:w="942" w:type="pct"/>
            <w:noWrap/>
            <w:vAlign w:val="center"/>
            <w:hideMark/>
          </w:tcPr>
          <w:p w14:paraId="11B44CD9"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T</w:t>
            </w:r>
          </w:p>
        </w:tc>
        <w:tc>
          <w:tcPr>
            <w:tcW w:w="663" w:type="pct"/>
            <w:noWrap/>
            <w:vAlign w:val="center"/>
            <w:hideMark/>
          </w:tcPr>
          <w:p w14:paraId="4CF4E684"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0.33</w:t>
            </w:r>
          </w:p>
        </w:tc>
        <w:tc>
          <w:tcPr>
            <w:tcW w:w="901" w:type="pct"/>
            <w:noWrap/>
            <w:vAlign w:val="center"/>
            <w:hideMark/>
          </w:tcPr>
          <w:p w14:paraId="6A3C2CF1"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0.93</w:t>
            </w:r>
          </w:p>
        </w:tc>
        <w:tc>
          <w:tcPr>
            <w:tcW w:w="1361" w:type="pct"/>
            <w:gridSpan w:val="2"/>
            <w:vMerge/>
            <w:tcBorders>
              <w:top w:val="nil"/>
              <w:right w:val="nil"/>
            </w:tcBorders>
            <w:vAlign w:val="center"/>
            <w:hideMark/>
          </w:tcPr>
          <w:p w14:paraId="21951556" w14:textId="77777777" w:rsidR="00293675" w:rsidRPr="00DA0083" w:rsidRDefault="00293675" w:rsidP="007924B1">
            <w:pPr>
              <w:rPr>
                <w:rFonts w:ascii="Times New Roman" w:hAnsi="Times New Roman"/>
                <w:b/>
                <w:bCs/>
                <w:color w:val="000000"/>
                <w:lang w:eastAsia="en-IN"/>
              </w:rPr>
            </w:pPr>
          </w:p>
        </w:tc>
        <w:tc>
          <w:tcPr>
            <w:tcW w:w="1133" w:type="pct"/>
            <w:gridSpan w:val="2"/>
            <w:vMerge/>
            <w:tcBorders>
              <w:top w:val="nil"/>
              <w:left w:val="nil"/>
            </w:tcBorders>
            <w:vAlign w:val="center"/>
            <w:hideMark/>
          </w:tcPr>
          <w:p w14:paraId="6F603A6A" w14:textId="77777777" w:rsidR="00293675" w:rsidRPr="00DA0083" w:rsidRDefault="00293675" w:rsidP="007924B1">
            <w:pPr>
              <w:rPr>
                <w:rFonts w:ascii="Times New Roman" w:hAnsi="Times New Roman"/>
                <w:color w:val="000000"/>
                <w:lang w:eastAsia="en-IN"/>
              </w:rPr>
            </w:pPr>
          </w:p>
        </w:tc>
      </w:tr>
      <w:tr w:rsidR="00293675" w:rsidRPr="00DA0083" w14:paraId="279FFF07" w14:textId="77777777" w:rsidTr="00A37997">
        <w:trPr>
          <w:trHeight w:val="325"/>
        </w:trPr>
        <w:tc>
          <w:tcPr>
            <w:tcW w:w="942" w:type="pct"/>
            <w:noWrap/>
            <w:vAlign w:val="center"/>
            <w:hideMark/>
          </w:tcPr>
          <w:p w14:paraId="7DB2088E"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V X T</w:t>
            </w:r>
          </w:p>
        </w:tc>
        <w:tc>
          <w:tcPr>
            <w:tcW w:w="663" w:type="pct"/>
            <w:noWrap/>
            <w:vAlign w:val="center"/>
            <w:hideMark/>
          </w:tcPr>
          <w:p w14:paraId="31FF193C"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0.80</w:t>
            </w:r>
          </w:p>
        </w:tc>
        <w:tc>
          <w:tcPr>
            <w:tcW w:w="901" w:type="pct"/>
            <w:noWrap/>
            <w:vAlign w:val="center"/>
            <w:hideMark/>
          </w:tcPr>
          <w:p w14:paraId="2277F122"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2.28</w:t>
            </w:r>
          </w:p>
        </w:tc>
        <w:tc>
          <w:tcPr>
            <w:tcW w:w="1361" w:type="pct"/>
            <w:gridSpan w:val="2"/>
            <w:vMerge/>
            <w:tcBorders>
              <w:top w:val="nil"/>
              <w:right w:val="nil"/>
            </w:tcBorders>
            <w:vAlign w:val="center"/>
            <w:hideMark/>
          </w:tcPr>
          <w:p w14:paraId="6E6A7320" w14:textId="77777777" w:rsidR="00293675" w:rsidRPr="00DA0083" w:rsidRDefault="00293675" w:rsidP="007924B1">
            <w:pPr>
              <w:rPr>
                <w:rFonts w:ascii="Times New Roman" w:hAnsi="Times New Roman"/>
                <w:b/>
                <w:bCs/>
                <w:color w:val="000000"/>
                <w:lang w:eastAsia="en-IN"/>
              </w:rPr>
            </w:pPr>
          </w:p>
        </w:tc>
        <w:tc>
          <w:tcPr>
            <w:tcW w:w="1133" w:type="pct"/>
            <w:gridSpan w:val="2"/>
            <w:vMerge/>
            <w:tcBorders>
              <w:top w:val="nil"/>
              <w:left w:val="nil"/>
            </w:tcBorders>
            <w:vAlign w:val="center"/>
            <w:hideMark/>
          </w:tcPr>
          <w:p w14:paraId="04CF814C" w14:textId="77777777" w:rsidR="00293675" w:rsidRPr="00DA0083" w:rsidRDefault="00293675" w:rsidP="007924B1">
            <w:pPr>
              <w:rPr>
                <w:rFonts w:ascii="Times New Roman" w:hAnsi="Times New Roman"/>
                <w:color w:val="000000"/>
                <w:lang w:eastAsia="en-IN"/>
              </w:rPr>
            </w:pPr>
          </w:p>
        </w:tc>
      </w:tr>
    </w:tbl>
    <w:p w14:paraId="40076EC8" w14:textId="77777777" w:rsidR="00293675" w:rsidRDefault="00293675" w:rsidP="00293675">
      <w:pPr>
        <w:jc w:val="both"/>
        <w:rPr>
          <w:rFonts w:ascii="Times New Roman" w:hAnsi="Times New Roman"/>
        </w:rPr>
      </w:pPr>
    </w:p>
    <w:p w14:paraId="7831D42E" w14:textId="419A6CFB" w:rsidR="00293675" w:rsidRPr="00C27128" w:rsidRDefault="00293675" w:rsidP="00293675">
      <w:pPr>
        <w:ind w:firstLine="720"/>
        <w:jc w:val="both"/>
        <w:rPr>
          <w:rFonts w:ascii="Times New Roman" w:hAnsi="Times New Roman"/>
          <w:sz w:val="24"/>
          <w:szCs w:val="24"/>
        </w:rPr>
      </w:pPr>
      <w:r w:rsidRPr="00C27128">
        <w:rPr>
          <w:rFonts w:ascii="Times New Roman" w:hAnsi="Times New Roman"/>
          <w:sz w:val="24"/>
          <w:szCs w:val="24"/>
        </w:rPr>
        <w:t xml:space="preserve">The interaction effect of genotype and treatment was found statistically significant for relative water content in tomato leaves (Table 2). The lower (69.24%) relative water content was found in genotype JTL-2105 at </w:t>
      </w:r>
      <w:proofErr w:type="gramStart"/>
      <w:r w:rsidRPr="00C27128">
        <w:rPr>
          <w:rFonts w:ascii="Times New Roman" w:hAnsi="Times New Roman"/>
          <w:sz w:val="24"/>
          <w:szCs w:val="24"/>
        </w:rPr>
        <w:t>300  ppm</w:t>
      </w:r>
      <w:proofErr w:type="gramEnd"/>
      <w:r w:rsidRPr="00C27128">
        <w:rPr>
          <w:rFonts w:ascii="Times New Roman" w:hAnsi="Times New Roman"/>
          <w:sz w:val="24"/>
          <w:szCs w:val="24"/>
        </w:rPr>
        <w:t xml:space="preserve"> lead heavy metal concentrations. The relative water content was found significantly higher (87.33%) in GT-1 genotype compared to other genotype under the influence of heavy metal at all level (50 ppm to 300 ppm). The rate of decreasing relative water content was found lowest in GT1</w:t>
      </w:r>
      <w:r w:rsidR="00A37997" w:rsidRPr="00C27128">
        <w:rPr>
          <w:rFonts w:ascii="Times New Roman" w:hAnsi="Times New Roman"/>
          <w:sz w:val="24"/>
          <w:szCs w:val="24"/>
        </w:rPr>
        <w:t xml:space="preserve"> </w:t>
      </w:r>
      <w:r w:rsidRPr="00C27128">
        <w:rPr>
          <w:rFonts w:ascii="Times New Roman" w:hAnsi="Times New Roman"/>
          <w:sz w:val="24"/>
          <w:szCs w:val="24"/>
        </w:rPr>
        <w:t>compared to other genotypes, when heavy metal level increased up to 300 PPM. Genotype GT 1 retains highest relative water content all the heavy metal stress treatments as compare to other genotypes.</w:t>
      </w:r>
    </w:p>
    <w:p w14:paraId="6B57389B" w14:textId="44DEF77F" w:rsidR="0000114D" w:rsidRPr="00C27128" w:rsidRDefault="00293675" w:rsidP="00293675">
      <w:pPr>
        <w:ind w:firstLine="720"/>
        <w:jc w:val="both"/>
        <w:rPr>
          <w:rFonts w:ascii="Times New Roman" w:hAnsi="Times New Roman"/>
          <w:sz w:val="24"/>
          <w:szCs w:val="24"/>
        </w:rPr>
      </w:pPr>
      <w:r w:rsidRPr="00C27128">
        <w:rPr>
          <w:rFonts w:ascii="Times New Roman" w:hAnsi="Times New Roman"/>
          <w:sz w:val="24"/>
          <w:szCs w:val="24"/>
          <w:lang w:val="en-IN"/>
        </w:rPr>
        <w:t xml:space="preserve">Heavy metals have been shown to significantly influence the relative water content (RWC) of plants, either by reducing or enhancing it depending on the metal and concentration. </w:t>
      </w:r>
      <w:r w:rsidRPr="00C27128">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{"citationID":"4SlusiSh","properties":{"formattedCitation":"(Emamverdian {\\i{}et al.} 2023)","plainCitation":"(Emamverdian et al. 2023)","noteIndex":0},"citationItems":[{"id":1377,"uris":["http://zotero.org/users/local/0V2ceVcX/items/GUTTHT7C"],"itemData":{"id":1377,"type":"article-journal","abstract":"Sodium nitroprusside (SNP), as a single minuscule signaling molecule, has been employed to alleviate plant stress in recent years. This approach has a beneficial effect on the biological and physiological processes of plants. As a result, an in vitro tissue culture experiment was carried out to investigate the effect of high and low levels of SNP on the amelioration of manganese (Mn) and chromium (Cr) toxicity in a one-year-old bamboo plant, namely Pleioblastus pygmaea L. Five different concentrations of SNP were utilized as a nitric oxide (NO) donor (0, 50, 80, 150, 250, and 400 µM) in four replications of 150 µM Mn and 150 µM Cr. The results revealed that while 150 µM Mn and 150 µM Cr induced an over-generation of reactive oxygen species (ROS) compounds, enhancing plant membrane injury, electrolyte leakage (EL), and oxidation in bamboo species, the varying levels of SNP significantly increased antioxidant and non-antioxidant activities, proline (Pro), glutathione (GSH), and glycine betaine (GB) content, photosynthesis, and plant growth parameters, while also reducing heavy metal accumulation and translocation in the shoot and stem. This resulted in an increase in the plant’s tolerance to Mn and Cr toxicity. Hence, it is inferred that NO-induced mechanisms boosted plant resistance to toxicity by increasing antioxidant capacity, inhibiting heavy metal accumulation in the aerial part of the plant, restricting heavy metal translocation from root to leaves, and enhancing the relative water content of leaves.","container-title":"International Journal of Molecular Sciences","DOI":"10.3390/ijms24031942","ISSN":"1422-0067","issue":"3","language":"en","license":"http://creativecommons.org/licenses/by/3.0/","note":"number: 3\npublisher: Multidisciplinary Digital Publishing Institute","page":"1942","source":"www.mdpi.com","title":"Sodium Nitroprusside Improves Bamboo Resistance under Mn and Cr Toxicity with Stimulation of Antioxidants Activity, Relative Water Content, and Metal Translocation and Accumulation","URL":"https://www.mdpi.com/1422-0067/24/3/1942","volume":"24","author":[{"family":"Emamverdian","given":"Abolghassem"},{"family":"Ding","given":"Yulong"},{"family":"Barker","given":"James"},{"family":"Liu","given":"Guohua"},{"family":"Li","given":"Yang"},{"family":"Mokhberdoran","given":"Farzad"}],"accessed":{"date-parts":[["2024",11,28]]},"issued":{"date-parts":[["2023",1]]}}}],"schema":"https://github.com/citation-style-language/schema/raw/master/csl-citation.json"} </w:instrText>
      </w:r>
      <w:r w:rsidRPr="00C27128">
        <w:rPr>
          <w:rFonts w:ascii="Times New Roman" w:hAnsi="Times New Roman"/>
          <w:sz w:val="24"/>
          <w:szCs w:val="24"/>
        </w:rPr>
        <w:fldChar w:fldCharType="separate"/>
      </w:r>
      <w:r w:rsidR="008A7C09" w:rsidRPr="008A7C09">
        <w:rPr>
          <w:rFonts w:ascii="Times New Roman" w:hAnsi="Times New Roman"/>
          <w:sz w:val="24"/>
        </w:rPr>
        <w:t xml:space="preserve">(Emamverdian </w:t>
      </w:r>
      <w:r w:rsidR="008A7C09" w:rsidRPr="008A7C09">
        <w:rPr>
          <w:rFonts w:ascii="Times New Roman" w:hAnsi="Times New Roman"/>
          <w:i/>
          <w:iCs/>
          <w:sz w:val="24"/>
        </w:rPr>
        <w:t>et al.</w:t>
      </w:r>
      <w:r w:rsidR="008A7C09" w:rsidRPr="008A7C09">
        <w:rPr>
          <w:rFonts w:ascii="Times New Roman" w:hAnsi="Times New Roman"/>
          <w:sz w:val="24"/>
        </w:rPr>
        <w:t xml:space="preserve"> 2023)</w:t>
      </w:r>
      <w:r w:rsidRPr="00C27128">
        <w:rPr>
          <w:rFonts w:ascii="Times New Roman" w:hAnsi="Times New Roman"/>
          <w:sz w:val="24"/>
          <w:szCs w:val="24"/>
        </w:rPr>
        <w:fldChar w:fldCharType="end"/>
      </w:r>
      <w:r w:rsidRPr="00C27128">
        <w:rPr>
          <w:rFonts w:ascii="Times New Roman" w:hAnsi="Times New Roman"/>
          <w:sz w:val="24"/>
          <w:szCs w:val="24"/>
        </w:rPr>
        <w:t xml:space="preserve"> </w:t>
      </w:r>
      <w:proofErr w:type="gramStart"/>
      <w:r w:rsidRPr="00C27128">
        <w:rPr>
          <w:rFonts w:ascii="Times New Roman" w:hAnsi="Times New Roman"/>
          <w:sz w:val="24"/>
          <w:szCs w:val="24"/>
          <w:lang w:val="en-IN"/>
        </w:rPr>
        <w:t>reported</w:t>
      </w:r>
      <w:r w:rsidRPr="00C27128">
        <w:rPr>
          <w:rFonts w:ascii="Times New Roman" w:hAnsi="Times New Roman"/>
          <w:sz w:val="24"/>
          <w:szCs w:val="24"/>
        </w:rPr>
        <w:t xml:space="preserve"> </w:t>
      </w:r>
      <w:r w:rsidRPr="00C27128">
        <w:rPr>
          <w:rFonts w:ascii="Times New Roman" w:hAnsi="Times New Roman"/>
          <w:sz w:val="24"/>
          <w:szCs w:val="24"/>
          <w:lang w:val="en-IN"/>
        </w:rPr>
        <w:t xml:space="preserve"> that</w:t>
      </w:r>
      <w:proofErr w:type="gramEnd"/>
      <w:r w:rsidRPr="00C27128">
        <w:rPr>
          <w:rFonts w:ascii="Times New Roman" w:hAnsi="Times New Roman"/>
          <w:sz w:val="24"/>
          <w:szCs w:val="24"/>
          <w:lang w:val="en-IN"/>
        </w:rPr>
        <w:t xml:space="preserve"> in </w:t>
      </w:r>
      <w:proofErr w:type="spellStart"/>
      <w:r w:rsidRPr="00C27128">
        <w:rPr>
          <w:rFonts w:ascii="Times New Roman" w:hAnsi="Times New Roman"/>
          <w:i/>
          <w:iCs/>
          <w:sz w:val="24"/>
          <w:szCs w:val="24"/>
          <w:lang w:val="en-IN"/>
        </w:rPr>
        <w:t>Pleioblastus</w:t>
      </w:r>
      <w:proofErr w:type="spellEnd"/>
      <w:r w:rsidRPr="00C27128">
        <w:rPr>
          <w:rFonts w:ascii="Times New Roman" w:hAnsi="Times New Roman"/>
          <w:i/>
          <w:iCs/>
          <w:sz w:val="24"/>
          <w:szCs w:val="24"/>
          <w:lang w:val="en-IN"/>
        </w:rPr>
        <w:t xml:space="preserve"> </w:t>
      </w:r>
      <w:proofErr w:type="spellStart"/>
      <w:r w:rsidRPr="00C27128">
        <w:rPr>
          <w:rFonts w:ascii="Times New Roman" w:hAnsi="Times New Roman"/>
          <w:i/>
          <w:iCs/>
          <w:sz w:val="24"/>
          <w:szCs w:val="24"/>
          <w:lang w:val="en-IN"/>
        </w:rPr>
        <w:t>pygmaeus</w:t>
      </w:r>
      <w:proofErr w:type="spellEnd"/>
      <w:r w:rsidRPr="00C27128">
        <w:rPr>
          <w:rFonts w:ascii="Times New Roman" w:hAnsi="Times New Roman"/>
          <w:sz w:val="24"/>
          <w:szCs w:val="24"/>
          <w:lang w:val="en-IN"/>
        </w:rPr>
        <w:t xml:space="preserve">, RWC decreased by </w:t>
      </w:r>
      <w:r w:rsidRPr="00C27128">
        <w:rPr>
          <w:rFonts w:ascii="Times New Roman" w:hAnsi="Times New Roman"/>
          <w:b/>
          <w:bCs/>
          <w:sz w:val="24"/>
          <w:szCs w:val="24"/>
          <w:lang w:val="en-IN"/>
        </w:rPr>
        <w:t>26% under 150 µM Mn</w:t>
      </w:r>
      <w:r w:rsidRPr="00C27128">
        <w:rPr>
          <w:rFonts w:ascii="Times New Roman" w:hAnsi="Times New Roman"/>
          <w:sz w:val="24"/>
          <w:szCs w:val="24"/>
          <w:lang w:val="en-IN"/>
        </w:rPr>
        <w:t xml:space="preserve"> and by </w:t>
      </w:r>
      <w:r w:rsidRPr="00C27128">
        <w:rPr>
          <w:rFonts w:ascii="Times New Roman" w:hAnsi="Times New Roman"/>
          <w:b/>
          <w:bCs/>
          <w:sz w:val="24"/>
          <w:szCs w:val="24"/>
          <w:lang w:val="en-IN"/>
        </w:rPr>
        <w:t>31% under 150 µM Cr</w:t>
      </w:r>
      <w:r w:rsidRPr="00C27128">
        <w:rPr>
          <w:rFonts w:ascii="Times New Roman" w:hAnsi="Times New Roman"/>
          <w:sz w:val="24"/>
          <w:szCs w:val="24"/>
          <w:lang w:val="en-IN"/>
        </w:rPr>
        <w:t xml:space="preserve"> compared to control. Similarly, </w:t>
      </w:r>
      <w:r w:rsidRPr="00C27128">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{"citationID":"CdjoLDOL","properties":{"formattedCitation":"(Alyemeni {\\i{}et al.} 2018)","plainCitation":"(Alyemeni et al. 2018)","noteIndex":0},"citationItems":[{"id":1601,"uris":["http://zotero.org/users/local/0V2ceVcX/items/LVUAW82E"],"itemData":{"id":1601,"type":"article-journal","abstract":"Pot experiments were conducted to investigate the role of selenium in alleviating cadmium stress in Solanum lycopersicum seedlings. Cadmium (150 mg L−1) treatment caused a significant reduction in growth in terms of height and biomass accumulation and affected chlorophyll pigments, gas exchange parameters, and chlorophyll fluorescence. Selenium (10 μM) application mitigated the adverse effects of cadmium on growth, chlorophyll and carotenoid contents, leaf relative water content, and other physiological attributes. Lipid peroxidation and electrolyte leakage increased because of cadmium treatment and selenium-treated plants exhibited considerable reduction because of the decreased production of hydrogen peroxide in them. Cadmium-treated plants exhibited enhanced activity of antioxidant enzymes that protected cellular structures by neutralizing reactive free radicals. Supplementation of selenium to cadmium-treated plants (Cd + Se) further enhanced the activity of superoxide dismutase (SOD), catalase (CAT), ascorbate peroxidase (APX), and glutathione reductase (GR) by 19.69, 31.68, 33.14, and 54.47%, respectively. Osmolytes, including proline and glycine betaine, increased with selenium application, illustrating their role in improving the osmotic stability of S. lycopersicum under cadmium stress. More importantly, selenium application significantly reduced cadmium uptake. From these results, it is clear that application of selenium alleviates the negative effects of cadmium stress in S. lycopersicum through the modifications of osmolytes and antioxidant enzymes.","container-title":"Protoplasma","DOI":"10.1007/s00709-017-1162-4","ISSN":"1615-6102","issue":"2","journalAbbreviation":"Protoplasma","language":"en","page":"459-469","source":"Springer Link","title":"Selenium mitigates cadmium-induced oxidative stress in tomato (Solanum lycopersicum L.) plants by modulating chlorophyll fluorescence, osmolyte accumulation, and antioxidant system","URL":"https://doi.org/10.1007/s00709-017-1162-4","volume":"255","author":[{"family":"Alyemeni","given":"Mohammed Nasser"},{"family":"Ahanger","given":"Mohammad Abass"},{"family":"Wijaya","given":"Leonard"},{"family":"Alam","given":"Pravej"},{"family":"Bhardwaj","given":"Renu"},{"family":"Ahmad","given":"Parvaiz"}],"accessed":{"date-parts":[["2025",2,16]]},"issued":{"date-parts":[["2018",3,1]]}}}],"schema":"https://github.com/citation-style-language/schema/raw/master/csl-citation.json"} </w:instrText>
      </w:r>
      <w:r w:rsidRPr="00C27128">
        <w:rPr>
          <w:rFonts w:ascii="Times New Roman" w:hAnsi="Times New Roman"/>
          <w:sz w:val="24"/>
          <w:szCs w:val="24"/>
        </w:rPr>
        <w:fldChar w:fldCharType="separate"/>
      </w:r>
      <w:r w:rsidR="008A7C09" w:rsidRPr="008A7C09">
        <w:rPr>
          <w:rFonts w:ascii="Times New Roman" w:hAnsi="Times New Roman"/>
          <w:sz w:val="24"/>
        </w:rPr>
        <w:t xml:space="preserve">(Alyemeni </w:t>
      </w:r>
      <w:r w:rsidR="008A7C09" w:rsidRPr="008A7C09">
        <w:rPr>
          <w:rFonts w:ascii="Times New Roman" w:hAnsi="Times New Roman"/>
          <w:i/>
          <w:iCs/>
          <w:sz w:val="24"/>
        </w:rPr>
        <w:t>et al.</w:t>
      </w:r>
      <w:r w:rsidR="008A7C09" w:rsidRPr="008A7C09">
        <w:rPr>
          <w:rFonts w:ascii="Times New Roman" w:hAnsi="Times New Roman"/>
          <w:sz w:val="24"/>
        </w:rPr>
        <w:t xml:space="preserve"> 2018)</w:t>
      </w:r>
      <w:r w:rsidRPr="00C27128">
        <w:rPr>
          <w:rFonts w:ascii="Times New Roman" w:hAnsi="Times New Roman"/>
          <w:sz w:val="24"/>
          <w:szCs w:val="24"/>
        </w:rPr>
        <w:fldChar w:fldCharType="end"/>
      </w:r>
      <w:r w:rsidRPr="00C27128">
        <w:rPr>
          <w:rFonts w:ascii="Times New Roman" w:hAnsi="Times New Roman"/>
          <w:sz w:val="24"/>
          <w:szCs w:val="24"/>
          <w:lang w:val="en-IN"/>
        </w:rPr>
        <w:t xml:space="preserve">found that cadmium exposure (150 mg/L) in </w:t>
      </w:r>
      <w:r w:rsidRPr="00C27128">
        <w:rPr>
          <w:rFonts w:ascii="Times New Roman" w:hAnsi="Times New Roman"/>
          <w:i/>
          <w:iCs/>
          <w:sz w:val="24"/>
          <w:szCs w:val="24"/>
          <w:lang w:val="en-IN"/>
        </w:rPr>
        <w:t xml:space="preserve">Solanum </w:t>
      </w:r>
      <w:proofErr w:type="spellStart"/>
      <w:r w:rsidRPr="00C27128">
        <w:rPr>
          <w:rFonts w:ascii="Times New Roman" w:hAnsi="Times New Roman"/>
          <w:i/>
          <w:iCs/>
          <w:sz w:val="24"/>
          <w:szCs w:val="24"/>
          <w:lang w:val="en-IN"/>
        </w:rPr>
        <w:t>lycopersicon</w:t>
      </w:r>
      <w:proofErr w:type="spellEnd"/>
      <w:r w:rsidRPr="00C27128">
        <w:rPr>
          <w:rFonts w:ascii="Times New Roman" w:hAnsi="Times New Roman"/>
          <w:sz w:val="24"/>
          <w:szCs w:val="24"/>
          <w:lang w:val="en-IN"/>
        </w:rPr>
        <w:t xml:space="preserve"> cv. K-21 reduced RWC by </w:t>
      </w:r>
      <w:r w:rsidRPr="00C27128">
        <w:rPr>
          <w:rFonts w:ascii="Times New Roman" w:hAnsi="Times New Roman"/>
          <w:b/>
          <w:bCs/>
          <w:sz w:val="24"/>
          <w:szCs w:val="24"/>
          <w:lang w:val="en-IN"/>
        </w:rPr>
        <w:t>31.57%</w:t>
      </w:r>
      <w:r w:rsidRPr="00C27128">
        <w:rPr>
          <w:rFonts w:ascii="Times New Roman" w:hAnsi="Times New Roman"/>
          <w:sz w:val="24"/>
          <w:szCs w:val="24"/>
          <w:lang w:val="en-IN"/>
        </w:rPr>
        <w:t xml:space="preserve">. In contrast, </w:t>
      </w:r>
      <w:r w:rsidRPr="00C27128">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{"citationID":"xJhCPqUt","properties":{"formattedCitation":"(Kohli {\\i{}et al.} 2018)","plainCitation":"(Kohli et al. 2018)","noteIndex":0},"citationItems":[{"id":1379,"uris":["http://zotero.org/users/local/0V2ceVcX/items/XSTM3KPA"],"itemData":{"id":1379,"type":"article-journal","abstract":"The present study demonstrated the combined effect of 24-epibrassinolide and salicylic acid against lead (Pb, 0.25, 0.50, and 0.75 mM) toxicity in Brassica juncea seedlings. Various parameters including water status, metal uptake, total water- and lipid-soluble antioxidants, metal chelator content (total thiols, protein-bound thiols, and non-protein-bound thiols), phenolic compounds (flavonoids, anthocyanins, and polyphenols), and organic acids were studied in 10-day-old seedlings. Dry matter content and the heavy metal tolerance index were reduced by 42.24 and 52.3%, respectively, in response to Pb treatment. Metal uptake, metal-chelating compounds, phenolic compounds, and organic acids were increased in Pb-treated seedlings as compared to control plants. The treatment of Pb-stressed seedlings with combination of EBL and SA resulted in enhancement of heavy metal tolerance index by 40.07%, water content by 1.84%, and relative water content by 23.45%. The total water- and lipid-soluble antioxidants were enhanced by 21.01 and 2.21%, respectively. In contrast, a significant decline in dry weight, metal uptake, thiol, and polyphenol contents was observed following the application of 24-epibrassinolide and salicylic acid. These observations indicate that Pb treatment has an adverse effect on B. juncea seedlings. However, co-application of 24-epibrassinolide and salicylic acid mitigates the negative effects of Pb, by lowering Pb metal uptake and enhancing the heavy metal tolerance index, water content, relative water content, antioxidative capacities, phenolic content, and organic acid levels.","container-title":"Protoplasma","DOI":"10.1007/s00709-017-1124-x","ISSN":"1615-6102","issue":"1","journalAbbreviation":"Protoplasma","language":"en","page":"11-24","source":"Springer Link","title":"Combined effect of 24-epibrassinolide and salicylic acid mitigates lead (Pb) toxicity by modulating various metabolites in Brassica juncea L. seedlings","URL":"https://doi.org/10.1007/s00709-017-1124-x","volume":"255","author":[{"family":"Kohli","given":"Sukhmeen Kaur"},{"family":"Handa","given":"Neha"},{"family":"Sharma","given":"Anket"},{"family":"Gautam","given":"Vandana"},{"family":"Arora","given":"Saroj"},{"family":"Bhardwaj","given":"Renu"},{"family":"Alyemeni","given":"Mohammed Nasser"},{"family":"Wijaya","given":"Leonard"},{"family":"Ahmad","given":"Parvaiz"}],"accessed":{"date-parts":[["2024",11,28]]},"issued":{"date-parts":[["2018",1,1]]}}}],"schema":"https://github.com/citation-style-language/schema/raw/master/csl-citation.json"} </w:instrText>
      </w:r>
      <w:r w:rsidRPr="00C27128">
        <w:rPr>
          <w:rFonts w:ascii="Times New Roman" w:hAnsi="Times New Roman"/>
          <w:sz w:val="24"/>
          <w:szCs w:val="24"/>
        </w:rPr>
        <w:fldChar w:fldCharType="separate"/>
      </w:r>
      <w:r w:rsidR="008A7C09" w:rsidRPr="008A7C09">
        <w:rPr>
          <w:rFonts w:ascii="Times New Roman" w:hAnsi="Times New Roman"/>
          <w:sz w:val="24"/>
        </w:rPr>
        <w:t xml:space="preserve">(Kohli </w:t>
      </w:r>
      <w:r w:rsidR="008A7C09" w:rsidRPr="008A7C09">
        <w:rPr>
          <w:rFonts w:ascii="Times New Roman" w:hAnsi="Times New Roman"/>
          <w:i/>
          <w:iCs/>
          <w:sz w:val="24"/>
        </w:rPr>
        <w:t>et al.</w:t>
      </w:r>
      <w:r w:rsidR="008A7C09" w:rsidRPr="008A7C09">
        <w:rPr>
          <w:rFonts w:ascii="Times New Roman" w:hAnsi="Times New Roman"/>
          <w:sz w:val="24"/>
        </w:rPr>
        <w:t xml:space="preserve"> 2018)</w:t>
      </w:r>
      <w:r w:rsidRPr="00C27128">
        <w:rPr>
          <w:rFonts w:ascii="Times New Roman" w:hAnsi="Times New Roman"/>
          <w:sz w:val="24"/>
          <w:szCs w:val="24"/>
        </w:rPr>
        <w:fldChar w:fldCharType="end"/>
      </w:r>
      <w:r w:rsidRPr="00C27128">
        <w:rPr>
          <w:rFonts w:ascii="Times New Roman" w:hAnsi="Times New Roman"/>
          <w:sz w:val="24"/>
          <w:szCs w:val="24"/>
        </w:rPr>
        <w:t xml:space="preserve"> </w:t>
      </w:r>
      <w:r w:rsidRPr="00C27128">
        <w:rPr>
          <w:rFonts w:ascii="Times New Roman" w:hAnsi="Times New Roman"/>
          <w:sz w:val="24"/>
          <w:szCs w:val="24"/>
          <w:lang w:val="en-IN"/>
        </w:rPr>
        <w:t xml:space="preserve">observed that lead treatments (0.25–0.75 mM) in </w:t>
      </w:r>
      <w:r w:rsidRPr="00C27128">
        <w:rPr>
          <w:rFonts w:ascii="Times New Roman" w:hAnsi="Times New Roman"/>
          <w:i/>
          <w:iCs/>
          <w:sz w:val="24"/>
          <w:szCs w:val="24"/>
          <w:lang w:val="en-IN"/>
        </w:rPr>
        <w:t>Brassica juncea</w:t>
      </w:r>
      <w:r w:rsidRPr="00C27128">
        <w:rPr>
          <w:rFonts w:ascii="Times New Roman" w:hAnsi="Times New Roman"/>
          <w:sz w:val="24"/>
          <w:szCs w:val="24"/>
          <w:lang w:val="en-IN"/>
        </w:rPr>
        <w:t xml:space="preserve"> significantly increased RWC, with the highest Pb concentration (0.75 mM) enhancing RWC by </w:t>
      </w:r>
      <w:r w:rsidRPr="00C27128">
        <w:rPr>
          <w:rFonts w:ascii="Times New Roman" w:hAnsi="Times New Roman"/>
          <w:b/>
          <w:bCs/>
          <w:sz w:val="24"/>
          <w:szCs w:val="24"/>
          <w:lang w:val="en-IN"/>
        </w:rPr>
        <w:t>20.45%</w:t>
      </w:r>
      <w:r w:rsidRPr="00C27128">
        <w:rPr>
          <w:rFonts w:ascii="Times New Roman" w:hAnsi="Times New Roman"/>
          <w:sz w:val="24"/>
          <w:szCs w:val="24"/>
          <w:lang w:val="en-IN"/>
        </w:rPr>
        <w:t xml:space="preserve"> over the control. These findings suggest that while Cd, Mn, and Cr generally impair water status in plants, Pb may exert a stimulatory effect on RWC under certain conditions</w:t>
      </w:r>
      <w:r w:rsidRPr="00C27128">
        <w:rPr>
          <w:rFonts w:ascii="Times New Roman" w:hAnsi="Times New Roman"/>
          <w:sz w:val="24"/>
          <w:szCs w:val="24"/>
        </w:rPr>
        <w:t>.</w:t>
      </w:r>
    </w:p>
    <w:p w14:paraId="0C239237" w14:textId="30DF7B59" w:rsidR="0000114D" w:rsidRDefault="0000114D" w:rsidP="0000114D">
      <w:pPr>
        <w:pStyle w:val="Textbody"/>
        <w:spacing w:line="240" w:lineRule="auto"/>
        <w:ind w:firstLine="0"/>
      </w:pPr>
      <w:r>
        <w:t>CONCLUSION</w:t>
      </w:r>
    </w:p>
    <w:p w14:paraId="5FB1C117" w14:textId="266E68BD" w:rsidR="00293675" w:rsidRDefault="00293675" w:rsidP="00C27128">
      <w:pPr>
        <w:ind w:firstLine="720"/>
        <w:jc w:val="both"/>
        <w:rPr>
          <w:rFonts w:ascii="Times New Roman" w:hAnsi="Times New Roman"/>
          <w:sz w:val="24"/>
          <w:szCs w:val="24"/>
        </w:rPr>
      </w:pPr>
      <w:r w:rsidRPr="00293675">
        <w:rPr>
          <w:rFonts w:ascii="Times New Roman" w:hAnsi="Times New Roman"/>
          <w:sz w:val="24"/>
          <w:szCs w:val="24"/>
        </w:rPr>
        <w:t xml:space="preserve">The present study demonstrated that </w:t>
      </w:r>
      <w:r w:rsidRPr="00293675">
        <w:rPr>
          <w:rFonts w:ascii="Times New Roman" w:hAnsi="Times New Roman"/>
          <w:b/>
          <w:bCs/>
          <w:sz w:val="24"/>
          <w:szCs w:val="24"/>
        </w:rPr>
        <w:t>lead (Pb) stress exerts a dose-dependent inhibitory effect on tomato seed germination and relative water content (RWC)</w:t>
      </w:r>
      <w:r w:rsidRPr="00293675">
        <w:rPr>
          <w:rFonts w:ascii="Times New Roman" w:hAnsi="Times New Roman"/>
          <w:sz w:val="24"/>
          <w:szCs w:val="24"/>
        </w:rPr>
        <w:t xml:space="preserve">. All genotypes exhibited reduced germination percentages and lower RWC values with increasing Pb concentrations, though the extent of reduction varied across genotypes. </w:t>
      </w:r>
      <w:r w:rsidRPr="00293675">
        <w:rPr>
          <w:rFonts w:ascii="Times New Roman" w:hAnsi="Times New Roman"/>
          <w:sz w:val="24"/>
          <w:szCs w:val="24"/>
        </w:rPr>
        <w:lastRenderedPageBreak/>
        <w:t xml:space="preserve">Among the tested varieties, </w:t>
      </w:r>
      <w:r w:rsidRPr="00293675">
        <w:rPr>
          <w:rFonts w:ascii="Times New Roman" w:hAnsi="Times New Roman"/>
          <w:b/>
          <w:bCs/>
          <w:sz w:val="24"/>
          <w:szCs w:val="24"/>
        </w:rPr>
        <w:t xml:space="preserve">GT-1 </w:t>
      </w:r>
      <w:r w:rsidRPr="00293675">
        <w:rPr>
          <w:rFonts w:ascii="Times New Roman" w:hAnsi="Times New Roman"/>
          <w:sz w:val="24"/>
          <w:szCs w:val="24"/>
        </w:rPr>
        <w:t xml:space="preserve">consistently maintained the highest germination percentage and RWC across treatments, indicating a comparatively greater tolerance to Pb stress, while </w:t>
      </w:r>
      <w:r w:rsidRPr="00293675">
        <w:rPr>
          <w:rFonts w:ascii="Times New Roman" w:hAnsi="Times New Roman"/>
          <w:b/>
          <w:bCs/>
          <w:sz w:val="24"/>
          <w:szCs w:val="24"/>
        </w:rPr>
        <w:t>JTL-</w:t>
      </w:r>
      <w:proofErr w:type="gramStart"/>
      <w:r w:rsidRPr="00293675">
        <w:rPr>
          <w:rFonts w:ascii="Times New Roman" w:hAnsi="Times New Roman"/>
          <w:b/>
          <w:bCs/>
          <w:sz w:val="24"/>
          <w:szCs w:val="24"/>
        </w:rPr>
        <w:t xml:space="preserve">2105 </w:t>
      </w:r>
      <w:r w:rsidRPr="00293675">
        <w:rPr>
          <w:rFonts w:ascii="Times New Roman" w:hAnsi="Times New Roman"/>
          <w:sz w:val="24"/>
          <w:szCs w:val="24"/>
        </w:rPr>
        <w:t xml:space="preserve"> was</w:t>
      </w:r>
      <w:proofErr w:type="gramEnd"/>
      <w:r w:rsidRPr="00293675">
        <w:rPr>
          <w:rFonts w:ascii="Times New Roman" w:hAnsi="Times New Roman"/>
          <w:sz w:val="24"/>
          <w:szCs w:val="24"/>
        </w:rPr>
        <w:t xml:space="preserve"> the most sensitive genotype. The observed decline in germination and RWC under higher Pb concentrations can be attributed to osmotic stress, impaired water uptake, and toxic effects of Pb on seed metabolism and cell function.</w:t>
      </w:r>
    </w:p>
    <w:p w14:paraId="034B05E8" w14:textId="77777777" w:rsidR="003324C2" w:rsidRDefault="003324C2" w:rsidP="00C27128">
      <w:pPr>
        <w:ind w:firstLine="720"/>
        <w:jc w:val="both"/>
        <w:rPr>
          <w:rFonts w:ascii="Times New Roman" w:hAnsi="Times New Roman"/>
          <w:sz w:val="24"/>
          <w:szCs w:val="24"/>
        </w:rPr>
      </w:pPr>
    </w:p>
    <w:p w14:paraId="07AEA937" w14:textId="77777777" w:rsidR="003324C2" w:rsidRPr="003324C2" w:rsidRDefault="003324C2" w:rsidP="003324C2">
      <w:pPr>
        <w:spacing w:after="200" w:line="276" w:lineRule="auto"/>
        <w:jc w:val="both"/>
        <w:outlineLvl w:val="0"/>
        <w:rPr>
          <w:rFonts w:ascii="Arial" w:hAnsi="Arial" w:cs="Arial"/>
          <w:sz w:val="22"/>
          <w:szCs w:val="22"/>
          <w:lang w:val="en-GB" w:eastAsia="en-GB"/>
        </w:rPr>
      </w:pPr>
      <w:r w:rsidRPr="003324C2">
        <w:rPr>
          <w:rFonts w:ascii="Arial" w:hAnsi="Arial" w:cs="Arial"/>
          <w:b/>
          <w:bCs/>
          <w:sz w:val="22"/>
          <w:szCs w:val="22"/>
          <w:lang w:val="en-GB" w:eastAsia="en-GB"/>
        </w:rPr>
        <w:t>COMPETING INTERESTS DISCLAIMER:</w:t>
      </w:r>
    </w:p>
    <w:p w14:paraId="529E522F" w14:textId="77777777" w:rsidR="003324C2" w:rsidRPr="003324C2" w:rsidRDefault="003324C2" w:rsidP="003324C2">
      <w:pPr>
        <w:spacing w:after="200" w:line="276" w:lineRule="auto"/>
        <w:rPr>
          <w:rFonts w:ascii="Calibri" w:hAnsi="Calibri"/>
          <w:sz w:val="22"/>
          <w:szCs w:val="22"/>
          <w:lang w:val="en-GB" w:eastAsia="en-GB"/>
        </w:rPr>
      </w:pPr>
      <w:r w:rsidRPr="003324C2">
        <w:rPr>
          <w:rFonts w:ascii="Calibri" w:hAnsi="Calibr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155402C" w14:textId="77777777" w:rsidR="003324C2" w:rsidRDefault="003324C2" w:rsidP="00C27128">
      <w:pPr>
        <w:ind w:firstLine="720"/>
        <w:jc w:val="both"/>
        <w:rPr>
          <w:rFonts w:ascii="Times New Roman" w:hAnsi="Times New Roman"/>
          <w:sz w:val="24"/>
          <w:szCs w:val="24"/>
        </w:rPr>
      </w:pPr>
    </w:p>
    <w:p w14:paraId="5D250588" w14:textId="77777777" w:rsidR="00C27128" w:rsidRPr="00C27128" w:rsidRDefault="00C27128" w:rsidP="00C27128">
      <w:pPr>
        <w:ind w:firstLine="720"/>
        <w:jc w:val="both"/>
        <w:rPr>
          <w:rFonts w:ascii="Times New Roman" w:hAnsi="Times New Roman"/>
          <w:sz w:val="24"/>
          <w:szCs w:val="24"/>
        </w:rPr>
      </w:pPr>
    </w:p>
    <w:p w14:paraId="5DC3E387" w14:textId="70B8BA24" w:rsidR="0000114D" w:rsidRDefault="007D16BF" w:rsidP="0000114D">
      <w:pPr>
        <w:rPr>
          <w:rFonts w:ascii="Times New Roman" w:hAnsi="Times New Roman"/>
          <w:b/>
          <w:bCs/>
          <w:sz w:val="24"/>
          <w:szCs w:val="24"/>
        </w:rPr>
      </w:pPr>
      <w:r w:rsidRPr="00C27128">
        <w:rPr>
          <w:rFonts w:ascii="Times New Roman" w:hAnsi="Times New Roman"/>
          <w:b/>
          <w:bCs/>
          <w:sz w:val="24"/>
          <w:szCs w:val="24"/>
        </w:rPr>
        <w:t>REFRENCES</w:t>
      </w:r>
    </w:p>
    <w:p w14:paraId="0C3E6652" w14:textId="77777777" w:rsidR="00C27128" w:rsidRDefault="00C27128" w:rsidP="0000114D">
      <w:pPr>
        <w:rPr>
          <w:rFonts w:ascii="Times New Roman" w:hAnsi="Times New Roman"/>
          <w:b/>
          <w:bCs/>
          <w:sz w:val="24"/>
          <w:szCs w:val="24"/>
        </w:rPr>
      </w:pPr>
    </w:p>
    <w:p w14:paraId="49C5EF56" w14:textId="77777777" w:rsidR="008A7C09" w:rsidRDefault="00C27128" w:rsidP="008A7C09">
      <w:pPr>
        <w:pStyle w:val="Bibliography"/>
        <w:spacing w:before="240"/>
        <w:ind w:left="720" w:hanging="720"/>
        <w:jc w:val="both"/>
        <w:rPr>
          <w:rFonts w:ascii="Times New Roman" w:hAnsi="Times New Roman"/>
          <w:sz w:val="24"/>
        </w:rPr>
      </w:pPr>
      <w:r>
        <w:rPr>
          <w:b/>
          <w:bCs/>
          <w:sz w:val="24"/>
          <w:szCs w:val="24"/>
        </w:rPr>
        <w:fldChar w:fldCharType="begin"/>
      </w:r>
      <w:r w:rsidR="008A7C09" w:rsidRPr="008A7C09">
        <w:rPr>
          <w:b/>
          <w:bCs/>
          <w:sz w:val="24"/>
          <w:szCs w:val="24"/>
          <w:lang w:val="en-IN"/>
        </w:rPr>
        <w:instrText xml:space="preserve"> ADDIN ZOTERO_BIBL {"uncited":[],"omitted":[],"custom":[]} CSL_BIBLIOGRAPHY </w:instrText>
      </w:r>
      <w:r>
        <w:rPr>
          <w:b/>
          <w:bCs/>
          <w:sz w:val="24"/>
          <w:szCs w:val="24"/>
        </w:rPr>
        <w:fldChar w:fldCharType="separate"/>
      </w:r>
      <w:r w:rsidR="008A7C09" w:rsidRPr="008A7C09">
        <w:rPr>
          <w:rFonts w:ascii="Times New Roman" w:hAnsi="Times New Roman"/>
          <w:sz w:val="24"/>
        </w:rPr>
        <w:t xml:space="preserve">Alyemeni M N, Ahanger M A, Wijaya L, Alam P, Bhardwaj R and Ahmad P. 2018. Selenium mitigates cadmium-induced oxidative stress in tomato (Solanum lycopersicum L.) plants by modulating chlorophyll fluorescence, osmolyte accumulation, and antioxidant system. </w:t>
      </w:r>
      <w:r w:rsidR="008A7C09" w:rsidRPr="008A7C09">
        <w:rPr>
          <w:rFonts w:ascii="Times New Roman" w:hAnsi="Times New Roman"/>
          <w:i/>
          <w:iCs/>
          <w:sz w:val="24"/>
        </w:rPr>
        <w:t>Protoplasma</w:t>
      </w:r>
      <w:r w:rsidR="008A7C09" w:rsidRPr="008A7C09">
        <w:rPr>
          <w:rFonts w:ascii="Times New Roman" w:hAnsi="Times New Roman"/>
          <w:sz w:val="24"/>
        </w:rPr>
        <w:t xml:space="preserve"> </w:t>
      </w:r>
      <w:r w:rsidR="008A7C09" w:rsidRPr="008A7C09">
        <w:rPr>
          <w:rFonts w:ascii="Times New Roman" w:hAnsi="Times New Roman"/>
          <w:b/>
          <w:bCs/>
          <w:sz w:val="24"/>
        </w:rPr>
        <w:t>255</w:t>
      </w:r>
      <w:r w:rsidR="008A7C09" w:rsidRPr="008A7C09">
        <w:rPr>
          <w:rFonts w:ascii="Times New Roman" w:hAnsi="Times New Roman"/>
          <w:sz w:val="24"/>
        </w:rPr>
        <w:t>(2): 459–469.</w:t>
      </w:r>
    </w:p>
    <w:p w14:paraId="7351E18B"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Cairns W R L, Apollaro C, Fuoco I, Vespasiano G, Procopio A, Cavoura O and Vardè M. 2023. Chapter 5 - Potentially toxic elements (As, Cd, Cr, Hg, and Pb), their provenance and removal from potable and wastewaters. </w:t>
      </w:r>
      <w:r w:rsidRPr="008A7C09">
        <w:rPr>
          <w:rFonts w:ascii="Times New Roman" w:hAnsi="Times New Roman"/>
          <w:i/>
          <w:iCs/>
          <w:sz w:val="24"/>
        </w:rPr>
        <w:t>Current Trends and Future Developments on (Bio-) Membranes</w:t>
      </w:r>
      <w:r w:rsidRPr="008A7C09">
        <w:rPr>
          <w:rFonts w:ascii="Times New Roman" w:hAnsi="Times New Roman"/>
          <w:sz w:val="24"/>
        </w:rPr>
        <w:t>, pp137–182. Basile A, Gensini M, Allegrini I and Figoli A(Eds). Elsevier.</w:t>
      </w:r>
    </w:p>
    <w:p w14:paraId="5B63431A"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Emamverdian A, Ding Y, Barker J, Liu G, Li Y and Mokhberdoran F. 2023. Sodium Nitroprusside Improves Bamboo Resistance under Mn and Cr Toxicity with Stimulation of Antioxidants Activity, Relative Water Content, and Metal Translocation and Accumulation. </w:t>
      </w:r>
      <w:r w:rsidRPr="008A7C09">
        <w:rPr>
          <w:rFonts w:ascii="Times New Roman" w:hAnsi="Times New Roman"/>
          <w:i/>
          <w:iCs/>
          <w:sz w:val="24"/>
        </w:rPr>
        <w:t>International Journal of Molecular Sciences</w:t>
      </w:r>
      <w:r w:rsidRPr="008A7C09">
        <w:rPr>
          <w:rFonts w:ascii="Times New Roman" w:hAnsi="Times New Roman"/>
          <w:sz w:val="24"/>
        </w:rPr>
        <w:t xml:space="preserve"> </w:t>
      </w:r>
      <w:r w:rsidRPr="008A7C09">
        <w:rPr>
          <w:rFonts w:ascii="Times New Roman" w:hAnsi="Times New Roman"/>
          <w:b/>
          <w:bCs/>
          <w:sz w:val="24"/>
        </w:rPr>
        <w:t>24</w:t>
      </w:r>
      <w:r w:rsidRPr="008A7C09">
        <w:rPr>
          <w:rFonts w:ascii="Times New Roman" w:hAnsi="Times New Roman"/>
          <w:sz w:val="24"/>
        </w:rPr>
        <w:t>(3): 1942.</w:t>
      </w:r>
    </w:p>
    <w:p w14:paraId="093FC456"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International Seed Testing Association (1976) International rules for seed testing. Seed Science and Technology, 4, 51-177. - References - Scientific Research Publishing. </w:t>
      </w:r>
    </w:p>
    <w:p w14:paraId="393F100B"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Karthika V, Thangavel P and Amanullah M M. 2017. Investigation on Chromium Toxicity in Tomato (Solanum lycopersicum L.) Crop.</w:t>
      </w:r>
    </w:p>
    <w:p w14:paraId="3620DCEE"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Kohli S K, Handa N, Sharma A, Gautam V, Arora S, Bhardwaj R, Alyemeni M N, Wijaya L and Ahmad P. 2018. Combined effect of 24-epibrassinolide and </w:t>
      </w:r>
      <w:r w:rsidRPr="008A7C09">
        <w:rPr>
          <w:rFonts w:ascii="Times New Roman" w:hAnsi="Times New Roman"/>
          <w:sz w:val="24"/>
        </w:rPr>
        <w:lastRenderedPageBreak/>
        <w:t xml:space="preserve">salicylic acid mitigates lead (Pb) toxicity by modulating various metabolites in Brassica juncea L. seedlings. </w:t>
      </w:r>
      <w:r w:rsidRPr="008A7C09">
        <w:rPr>
          <w:rFonts w:ascii="Times New Roman" w:hAnsi="Times New Roman"/>
          <w:i/>
          <w:iCs/>
          <w:sz w:val="24"/>
        </w:rPr>
        <w:t>Protoplasma</w:t>
      </w:r>
      <w:r w:rsidRPr="008A7C09">
        <w:rPr>
          <w:rFonts w:ascii="Times New Roman" w:hAnsi="Times New Roman"/>
          <w:sz w:val="24"/>
        </w:rPr>
        <w:t xml:space="preserve"> </w:t>
      </w:r>
      <w:r w:rsidRPr="008A7C09">
        <w:rPr>
          <w:rFonts w:ascii="Times New Roman" w:hAnsi="Times New Roman"/>
          <w:b/>
          <w:bCs/>
          <w:sz w:val="24"/>
        </w:rPr>
        <w:t>255</w:t>
      </w:r>
      <w:r w:rsidRPr="008A7C09">
        <w:rPr>
          <w:rFonts w:ascii="Times New Roman" w:hAnsi="Times New Roman"/>
          <w:sz w:val="24"/>
        </w:rPr>
        <w:t>(1): 11–24.</w:t>
      </w:r>
    </w:p>
    <w:p w14:paraId="17A9665A"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Lata S, Hussain Z, Yadav R K, Jat G S, Kumar P and Tomar B S. 2024. Insights into the Genetic Improvement of Tomato. </w:t>
      </w:r>
      <w:r w:rsidRPr="008A7C09">
        <w:rPr>
          <w:rFonts w:ascii="Times New Roman" w:hAnsi="Times New Roman"/>
          <w:i/>
          <w:iCs/>
          <w:sz w:val="24"/>
        </w:rPr>
        <w:t>Genetic Engineering of Crop Plants for Food and Health Security: Volume 2</w:t>
      </w:r>
      <w:r w:rsidRPr="008A7C09">
        <w:rPr>
          <w:rFonts w:ascii="Times New Roman" w:hAnsi="Times New Roman"/>
          <w:sz w:val="24"/>
        </w:rPr>
        <w:t>, pp165–184.</w:t>
      </w:r>
    </w:p>
    <w:p w14:paraId="14888B36"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Moghimi Dehkordi M, Pournuroz Nodeh Z, Soleimani Dehkordi K, salmanvandi H, Rasouli Khorjestan R and Ghaffarzadeh M. 2024. Soil, air, and water pollution from mining and industrial activities: Sources of pollution, environmental impacts, and prevention and control methods. </w:t>
      </w:r>
      <w:r w:rsidRPr="008A7C09">
        <w:rPr>
          <w:rFonts w:ascii="Times New Roman" w:hAnsi="Times New Roman"/>
          <w:i/>
          <w:iCs/>
          <w:sz w:val="24"/>
        </w:rPr>
        <w:t>Results in Engineering</w:t>
      </w:r>
      <w:r w:rsidRPr="008A7C09">
        <w:rPr>
          <w:rFonts w:ascii="Times New Roman" w:hAnsi="Times New Roman"/>
          <w:sz w:val="24"/>
        </w:rPr>
        <w:t xml:space="preserve"> </w:t>
      </w:r>
      <w:r w:rsidRPr="008A7C09">
        <w:rPr>
          <w:rFonts w:ascii="Times New Roman" w:hAnsi="Times New Roman"/>
          <w:b/>
          <w:bCs/>
          <w:sz w:val="24"/>
        </w:rPr>
        <w:t>23</w:t>
      </w:r>
      <w:r w:rsidRPr="008A7C09">
        <w:rPr>
          <w:rFonts w:ascii="Times New Roman" w:hAnsi="Times New Roman"/>
          <w:sz w:val="24"/>
        </w:rPr>
        <w:t>: 102729.</w:t>
      </w:r>
    </w:p>
    <w:p w14:paraId="5EC739EF"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Nuruddin M M, Madramootoo C A and Dodds G T. 2003. Effects of Water Stress at Different Growth Stages on Greenhouse Tomato Yield and Quality.</w:t>
      </w:r>
    </w:p>
    <w:p w14:paraId="5176D7A1"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Ogugua U V, Kanu S A and Ntushelo K. 2022. Gibberellic acid improves growth and reduces heavy metal accumulation: A case study in tomato (Solanum lycopersicum L.) seedlings exposed to acid mine water. </w:t>
      </w:r>
      <w:r w:rsidRPr="008A7C09">
        <w:rPr>
          <w:rFonts w:ascii="Times New Roman" w:hAnsi="Times New Roman"/>
          <w:i/>
          <w:iCs/>
          <w:sz w:val="24"/>
        </w:rPr>
        <w:t>Heliyon</w:t>
      </w:r>
      <w:r w:rsidRPr="008A7C09">
        <w:rPr>
          <w:rFonts w:ascii="Times New Roman" w:hAnsi="Times New Roman"/>
          <w:sz w:val="24"/>
        </w:rPr>
        <w:t xml:space="preserve"> </w:t>
      </w:r>
      <w:r w:rsidRPr="008A7C09">
        <w:rPr>
          <w:rFonts w:ascii="Times New Roman" w:hAnsi="Times New Roman"/>
          <w:b/>
          <w:bCs/>
          <w:sz w:val="24"/>
        </w:rPr>
        <w:t>8</w:t>
      </w:r>
      <w:r w:rsidRPr="008A7C09">
        <w:rPr>
          <w:rFonts w:ascii="Times New Roman" w:hAnsi="Times New Roman"/>
          <w:sz w:val="24"/>
        </w:rPr>
        <w:t>(12): e12399.</w:t>
      </w:r>
    </w:p>
    <w:p w14:paraId="532C2051"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Sharma P and Dubey R S. 2005. Lead toxicity in plants. </w:t>
      </w:r>
      <w:r w:rsidRPr="008A7C09">
        <w:rPr>
          <w:rFonts w:ascii="Times New Roman" w:hAnsi="Times New Roman"/>
          <w:i/>
          <w:iCs/>
          <w:sz w:val="24"/>
        </w:rPr>
        <w:t>Brazilian Journal of Plant Physiology</w:t>
      </w:r>
      <w:r w:rsidRPr="008A7C09">
        <w:rPr>
          <w:rFonts w:ascii="Times New Roman" w:hAnsi="Times New Roman"/>
          <w:sz w:val="24"/>
        </w:rPr>
        <w:t xml:space="preserve"> </w:t>
      </w:r>
      <w:r w:rsidRPr="008A7C09">
        <w:rPr>
          <w:rFonts w:ascii="Times New Roman" w:hAnsi="Times New Roman"/>
          <w:b/>
          <w:bCs/>
          <w:sz w:val="24"/>
        </w:rPr>
        <w:t>17</w:t>
      </w:r>
      <w:r w:rsidRPr="008A7C09">
        <w:rPr>
          <w:rFonts w:ascii="Times New Roman" w:hAnsi="Times New Roman"/>
          <w:sz w:val="24"/>
        </w:rPr>
        <w:t>: 35–52.</w:t>
      </w:r>
    </w:p>
    <w:p w14:paraId="22468E2B"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Shekar C, Dasari Sammaiah and Taduri Shasthree. 2024. (PDF) Effect of mercury on tomato growth and yield attributes. </w:t>
      </w:r>
      <w:r w:rsidRPr="008A7C09">
        <w:rPr>
          <w:rFonts w:ascii="Times New Roman" w:hAnsi="Times New Roman"/>
          <w:i/>
          <w:iCs/>
          <w:sz w:val="24"/>
        </w:rPr>
        <w:t>ResearchGate</w:t>
      </w:r>
      <w:r w:rsidRPr="008A7C09">
        <w:rPr>
          <w:rFonts w:ascii="Times New Roman" w:hAnsi="Times New Roman"/>
          <w:sz w:val="24"/>
        </w:rPr>
        <w:t>.</w:t>
      </w:r>
    </w:p>
    <w:p w14:paraId="2BA87866" w14:textId="747F6663"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Singh SANTOSH, SINGH A and BAHADUR R. 2012. Effect of cadmium on germination and seedling growth of tomato (Lycopersicon esculentum-Mill). CABI </w:t>
      </w:r>
    </w:p>
    <w:p w14:paraId="190E4743"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Singh Shreya and Devi N L. 2023. Heavy Metal Pollution in Atmosphere from Vehicular Emission. </w:t>
      </w:r>
      <w:r w:rsidRPr="008A7C09">
        <w:rPr>
          <w:rFonts w:ascii="Times New Roman" w:hAnsi="Times New Roman"/>
          <w:i/>
          <w:iCs/>
          <w:sz w:val="24"/>
        </w:rPr>
        <w:t>Heavy Metal Toxicity: Environmental Concerns, Remediation and Opportunities</w:t>
      </w:r>
      <w:r w:rsidRPr="008A7C09">
        <w:rPr>
          <w:rFonts w:ascii="Times New Roman" w:hAnsi="Times New Roman"/>
          <w:sz w:val="24"/>
        </w:rPr>
        <w:t xml:space="preserve">, pp183–207. </w:t>
      </w:r>
    </w:p>
    <w:p w14:paraId="3749A778" w14:textId="77777777" w:rsid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 xml:space="preserve">Weatherley P E. 1951. Studies in the Water Relations of the Cotton Plant. </w:t>
      </w:r>
      <w:r w:rsidRPr="008A7C09">
        <w:rPr>
          <w:rFonts w:ascii="Times New Roman" w:hAnsi="Times New Roman"/>
          <w:i/>
          <w:iCs/>
          <w:sz w:val="24"/>
        </w:rPr>
        <w:t>New Phytologist</w:t>
      </w:r>
      <w:r w:rsidRPr="008A7C09">
        <w:rPr>
          <w:rFonts w:ascii="Times New Roman" w:hAnsi="Times New Roman"/>
          <w:sz w:val="24"/>
        </w:rPr>
        <w:t xml:space="preserve"> </w:t>
      </w:r>
      <w:r w:rsidRPr="008A7C09">
        <w:rPr>
          <w:rFonts w:ascii="Times New Roman" w:hAnsi="Times New Roman"/>
          <w:b/>
          <w:bCs/>
          <w:sz w:val="24"/>
        </w:rPr>
        <w:t>50</w:t>
      </w:r>
      <w:r w:rsidRPr="008A7C09">
        <w:rPr>
          <w:rFonts w:ascii="Times New Roman" w:hAnsi="Times New Roman"/>
          <w:sz w:val="24"/>
        </w:rPr>
        <w:t>(1): 36–51.</w:t>
      </w:r>
    </w:p>
    <w:p w14:paraId="515D2DF0" w14:textId="73D3A567" w:rsidR="008A7C09" w:rsidRPr="008A7C09" w:rsidRDefault="008A7C09" w:rsidP="008A7C09">
      <w:pPr>
        <w:pStyle w:val="Bibliography"/>
        <w:spacing w:before="240"/>
        <w:ind w:left="720" w:hanging="720"/>
        <w:jc w:val="both"/>
        <w:rPr>
          <w:rFonts w:ascii="Times New Roman" w:hAnsi="Times New Roman"/>
          <w:sz w:val="24"/>
        </w:rPr>
      </w:pPr>
      <w:r w:rsidRPr="008A7C09">
        <w:rPr>
          <w:rFonts w:ascii="Times New Roman" w:hAnsi="Times New Roman"/>
          <w:sz w:val="24"/>
        </w:rPr>
        <w:t>yasangi-pre-harvest-tomato-2023.pdf.</w:t>
      </w:r>
    </w:p>
    <w:p w14:paraId="7A6D5264" w14:textId="7B92B04E" w:rsidR="00C27128" w:rsidRPr="00C27128" w:rsidRDefault="00C27128" w:rsidP="0000114D">
      <w:pPr>
        <w:rPr>
          <w:rFonts w:ascii="Times New Roman" w:hAnsi="Times New Roman"/>
          <w:b/>
          <w:bCs/>
          <w:sz w:val="24"/>
          <w:szCs w:val="24"/>
        </w:rPr>
      </w:pPr>
      <w:r>
        <w:rPr>
          <w:rFonts w:ascii="Times New Roman" w:hAnsi="Times New Roman"/>
          <w:b/>
          <w:bCs/>
          <w:sz w:val="24"/>
          <w:szCs w:val="24"/>
        </w:rPr>
        <w:fldChar w:fldCharType="end"/>
      </w:r>
    </w:p>
    <w:p w14:paraId="493ABE32" w14:textId="77777777" w:rsidR="007A262D" w:rsidRDefault="007A262D" w:rsidP="0000114D">
      <w:pPr>
        <w:rPr>
          <w:rFonts w:ascii="Times New Roman" w:hAnsi="Times New Roman"/>
          <w:sz w:val="24"/>
          <w:szCs w:val="24"/>
        </w:rPr>
      </w:pPr>
    </w:p>
    <w:sectPr w:rsidR="007A262D" w:rsidSect="00C34B8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1EBC" w14:textId="77777777" w:rsidR="00A1299B" w:rsidRDefault="00A1299B">
      <w:r>
        <w:separator/>
      </w:r>
    </w:p>
  </w:endnote>
  <w:endnote w:type="continuationSeparator" w:id="0">
    <w:p w14:paraId="6C6C552E" w14:textId="77777777" w:rsidR="00A1299B" w:rsidRDefault="00A1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8202" w14:textId="77777777" w:rsidR="00C34B8E" w:rsidRDefault="00C34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40C9" w14:textId="77777777" w:rsidR="00C34B8E" w:rsidRDefault="00C34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BF9B" w14:textId="77943B4D" w:rsidR="009B4934" w:rsidRPr="00C34B8E" w:rsidRDefault="009B4934" w:rsidP="00C34B8E">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32F4F" w14:textId="77777777" w:rsidR="00A1299B" w:rsidRDefault="00A1299B">
      <w:r>
        <w:separator/>
      </w:r>
    </w:p>
  </w:footnote>
  <w:footnote w:type="continuationSeparator" w:id="0">
    <w:p w14:paraId="79B355C4" w14:textId="77777777" w:rsidR="00A1299B" w:rsidRDefault="00A12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DB5C" w14:textId="3A3CAB38" w:rsidR="00C34B8E" w:rsidRDefault="00C34B8E">
    <w:pPr>
      <w:pStyle w:val="Header"/>
    </w:pPr>
    <w:r>
      <w:rPr>
        <w:noProof/>
      </w:rPr>
      <w:pict w14:anchorId="71007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65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0E49" w14:textId="4EB92969" w:rsidR="00C34B8E" w:rsidRDefault="00C34B8E">
    <w:pPr>
      <w:pStyle w:val="Header"/>
    </w:pPr>
    <w:r>
      <w:rPr>
        <w:noProof/>
      </w:rPr>
      <w:pict w14:anchorId="5EE33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65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26C7" w14:textId="6043605C" w:rsidR="009B4934" w:rsidRPr="00296529" w:rsidRDefault="00C34B8E" w:rsidP="00296529">
    <w:pPr>
      <w:ind w:left="2160"/>
      <w:jc w:val="center"/>
      <w:rPr>
        <w:rFonts w:ascii="Times New Roman" w:eastAsia="Calibri" w:hAnsi="Times New Roman"/>
        <w:i/>
        <w:sz w:val="18"/>
        <w:szCs w:val="22"/>
      </w:rPr>
    </w:pPr>
    <w:r>
      <w:rPr>
        <w:noProof/>
      </w:rPr>
      <w:pict w14:anchorId="70860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65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628F7D" w14:textId="77777777" w:rsidR="009B4934" w:rsidRPr="00296529" w:rsidRDefault="00A1299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27772B" w14:textId="77777777" w:rsidR="009B4934" w:rsidRPr="00296529" w:rsidRDefault="00A1299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136E6A" w14:textId="77777777" w:rsidR="009B4934" w:rsidRPr="00296529" w:rsidRDefault="00A1299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7F780D" w14:textId="77777777" w:rsidR="009B4934" w:rsidRDefault="00A1299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2D769E" w14:textId="77777777" w:rsidR="009B4934" w:rsidRDefault="00A1299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42C7AD1" w14:textId="77777777" w:rsidR="009B4934" w:rsidRDefault="00A1299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31ED9"/>
    <w:multiLevelType w:val="multilevel"/>
    <w:tmpl w:val="257E9A4A"/>
    <w:styleLink w:val="Numbering123"/>
    <w:lvl w:ilvl="0">
      <w:start w:val="1"/>
      <w:numFmt w:val="decimal"/>
      <w:pStyle w:val="benlev1"/>
      <w:suff w:val="space"/>
      <w:lvlText w:val="%1."/>
      <w:lvlJc w:val="left"/>
      <w:pPr>
        <w:ind w:left="709" w:hanging="709"/>
      </w:pPr>
      <w:rPr>
        <w:b/>
        <w:bCs/>
      </w:rPr>
    </w:lvl>
    <w:lvl w:ilvl="1">
      <w:start w:val="1"/>
      <w:numFmt w:val="decimal"/>
      <w:suff w:val="space"/>
      <w:lvlText w:val="%1.%2."/>
      <w:lvlJc w:val="left"/>
      <w:pPr>
        <w:ind w:left="709" w:hanging="709"/>
      </w:pPr>
      <w:rPr>
        <w:b/>
        <w:bCs/>
      </w:rPr>
    </w:lvl>
    <w:lvl w:ilvl="2">
      <w:start w:val="1"/>
      <w:numFmt w:val="decimal"/>
      <w:suff w:val="space"/>
      <w:lvlText w:val="%1.%2.%3."/>
      <w:lvlJc w:val="left"/>
      <w:pPr>
        <w:ind w:left="709" w:hanging="709"/>
      </w:pPr>
      <w:rPr>
        <w:b/>
        <w:bCs/>
      </w:rPr>
    </w:lvl>
    <w:lvl w:ilvl="3">
      <w:start w:val="1"/>
      <w:numFmt w:val="decimal"/>
      <w:suff w:val="space"/>
      <w:lvlText w:val="%1.%2.%3.%4."/>
      <w:lvlJc w:val="left"/>
      <w:pPr>
        <w:ind w:left="709" w:hanging="709"/>
      </w:pPr>
      <w:rPr>
        <w:b/>
        <w:bCs/>
      </w:rPr>
    </w:lvl>
    <w:lvl w:ilvl="4">
      <w:start w:val="1"/>
      <w:numFmt w:val="decimal"/>
      <w:suff w:val="space"/>
      <w:lvlText w:val="%1.%2.%3.%4.%5."/>
      <w:lvlJc w:val="left"/>
      <w:pPr>
        <w:ind w:left="709" w:hanging="709"/>
      </w:pPr>
      <w:rPr>
        <w:b/>
        <w:bCs/>
      </w:rPr>
    </w:lvl>
    <w:lvl w:ilvl="5">
      <w:start w:val="1"/>
      <w:numFmt w:val="decimal"/>
      <w:lvlText w:val="%1.%2.%3.%4.%5.%6."/>
      <w:lvlJc w:val="left"/>
      <w:pPr>
        <w:ind w:left="2738" w:hanging="397"/>
      </w:pPr>
      <w:rPr>
        <w:b/>
        <w:bCs/>
      </w:rPr>
    </w:lvl>
    <w:lvl w:ilvl="6">
      <w:start w:val="1"/>
      <w:numFmt w:val="decimal"/>
      <w:lvlText w:val="%7."/>
      <w:lvlJc w:val="left"/>
      <w:pPr>
        <w:ind w:left="3135" w:hanging="397"/>
      </w:pPr>
      <w:rPr>
        <w:b/>
        <w:bCs/>
      </w:rPr>
    </w:lvl>
    <w:lvl w:ilvl="7">
      <w:start w:val="1"/>
      <w:numFmt w:val="decimal"/>
      <w:lvlText w:val="%8."/>
      <w:lvlJc w:val="left"/>
      <w:pPr>
        <w:ind w:left="3532" w:hanging="397"/>
      </w:pPr>
      <w:rPr>
        <w:b/>
        <w:bCs/>
      </w:rPr>
    </w:lvl>
    <w:lvl w:ilvl="8">
      <w:start w:val="1"/>
      <w:numFmt w:val="decimal"/>
      <w:lvlText w:val="%9."/>
      <w:lvlJc w:val="left"/>
      <w:pPr>
        <w:ind w:left="3929" w:hanging="397"/>
      </w:pPr>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96"/>
    <w:rsid w:val="0000114D"/>
    <w:rsid w:val="000E6F71"/>
    <w:rsid w:val="00116A2A"/>
    <w:rsid w:val="00123A71"/>
    <w:rsid w:val="00137F4B"/>
    <w:rsid w:val="00192907"/>
    <w:rsid w:val="001B344C"/>
    <w:rsid w:val="00206761"/>
    <w:rsid w:val="002367A4"/>
    <w:rsid w:val="00293675"/>
    <w:rsid w:val="002B2C2C"/>
    <w:rsid w:val="003324C2"/>
    <w:rsid w:val="00365674"/>
    <w:rsid w:val="00365CDA"/>
    <w:rsid w:val="004427FC"/>
    <w:rsid w:val="004C51CC"/>
    <w:rsid w:val="005A21D6"/>
    <w:rsid w:val="00673DAE"/>
    <w:rsid w:val="006D0DB0"/>
    <w:rsid w:val="006D7B07"/>
    <w:rsid w:val="006E77D5"/>
    <w:rsid w:val="00763890"/>
    <w:rsid w:val="00775C24"/>
    <w:rsid w:val="007A262D"/>
    <w:rsid w:val="007B38C4"/>
    <w:rsid w:val="007D16BF"/>
    <w:rsid w:val="007E0159"/>
    <w:rsid w:val="007F60E4"/>
    <w:rsid w:val="00830F47"/>
    <w:rsid w:val="00866052"/>
    <w:rsid w:val="008A7C09"/>
    <w:rsid w:val="009B384B"/>
    <w:rsid w:val="009B4934"/>
    <w:rsid w:val="00A1299B"/>
    <w:rsid w:val="00A37997"/>
    <w:rsid w:val="00A535F9"/>
    <w:rsid w:val="00A9040C"/>
    <w:rsid w:val="00AB5697"/>
    <w:rsid w:val="00AF5146"/>
    <w:rsid w:val="00B671A2"/>
    <w:rsid w:val="00B70015"/>
    <w:rsid w:val="00B834CE"/>
    <w:rsid w:val="00B846B2"/>
    <w:rsid w:val="00C27128"/>
    <w:rsid w:val="00C34B8E"/>
    <w:rsid w:val="00C9063B"/>
    <w:rsid w:val="00CA6B3F"/>
    <w:rsid w:val="00CC7A55"/>
    <w:rsid w:val="00DD1FAA"/>
    <w:rsid w:val="00DF07D8"/>
    <w:rsid w:val="00E05681"/>
    <w:rsid w:val="00E15F96"/>
    <w:rsid w:val="00E17AD0"/>
    <w:rsid w:val="00E401A0"/>
    <w:rsid w:val="00ED22A4"/>
    <w:rsid w:val="00EE4A1B"/>
    <w:rsid w:val="00FF26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C2BC82"/>
  <w15:chartTrackingRefBased/>
  <w15:docId w15:val="{36000C5D-2680-422F-BBAF-4DFF6F90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F96"/>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29367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Normal"/>
    <w:rsid w:val="00E15F96"/>
    <w:pPr>
      <w:spacing w:after="240" w:line="240" w:lineRule="exact"/>
      <w:jc w:val="right"/>
    </w:pPr>
  </w:style>
  <w:style w:type="paragraph" w:customStyle="1" w:styleId="Body">
    <w:name w:val="Body"/>
    <w:basedOn w:val="Normal"/>
    <w:rsid w:val="00E15F96"/>
    <w:pPr>
      <w:spacing w:after="240"/>
      <w:jc w:val="both"/>
    </w:pPr>
  </w:style>
  <w:style w:type="paragraph" w:customStyle="1" w:styleId="AbstHead">
    <w:name w:val="Abst Head"/>
    <w:basedOn w:val="Normal"/>
    <w:rsid w:val="00E15F96"/>
    <w:pPr>
      <w:keepNext/>
      <w:spacing w:after="240"/>
    </w:pPr>
    <w:rPr>
      <w:b/>
      <w:caps/>
      <w:sz w:val="22"/>
    </w:rPr>
  </w:style>
  <w:style w:type="paragraph" w:customStyle="1" w:styleId="Copyright">
    <w:name w:val="Copyright"/>
    <w:basedOn w:val="Normal"/>
    <w:rsid w:val="00E15F96"/>
    <w:pPr>
      <w:spacing w:after="960" w:line="200" w:lineRule="exact"/>
    </w:pPr>
    <w:rPr>
      <w:sz w:val="16"/>
    </w:rPr>
  </w:style>
  <w:style w:type="paragraph" w:styleId="Title">
    <w:name w:val="Title"/>
    <w:basedOn w:val="Normal"/>
    <w:link w:val="TitleChar"/>
    <w:qFormat/>
    <w:rsid w:val="00E15F96"/>
    <w:pPr>
      <w:spacing w:after="360"/>
      <w:jc w:val="right"/>
    </w:pPr>
    <w:rPr>
      <w:b/>
      <w:kern w:val="28"/>
      <w:sz w:val="36"/>
    </w:rPr>
  </w:style>
  <w:style w:type="character" w:customStyle="1" w:styleId="TitleChar">
    <w:name w:val="Title Char"/>
    <w:basedOn w:val="DefaultParagraphFont"/>
    <w:link w:val="Title"/>
    <w:rsid w:val="00E15F96"/>
    <w:rPr>
      <w:rFonts w:ascii="Helvetica" w:eastAsia="Times New Roman" w:hAnsi="Helvetica" w:cs="Times New Roman"/>
      <w:b/>
      <w:kern w:val="28"/>
      <w:sz w:val="36"/>
      <w:szCs w:val="20"/>
      <w:lang w:val="en-US"/>
      <w14:ligatures w14:val="none"/>
    </w:rPr>
  </w:style>
  <w:style w:type="paragraph" w:customStyle="1" w:styleId="Head1">
    <w:name w:val="Head1"/>
    <w:basedOn w:val="Normal"/>
    <w:rsid w:val="00E15F96"/>
    <w:pPr>
      <w:keepNext/>
      <w:spacing w:after="240"/>
    </w:pPr>
    <w:rPr>
      <w:b/>
      <w:caps/>
      <w:sz w:val="22"/>
    </w:rPr>
  </w:style>
  <w:style w:type="paragraph" w:styleId="Footer">
    <w:name w:val="footer"/>
    <w:basedOn w:val="Normal"/>
    <w:link w:val="FooterChar"/>
    <w:rsid w:val="00E15F96"/>
    <w:pPr>
      <w:tabs>
        <w:tab w:val="center" w:pos="4320"/>
        <w:tab w:val="right" w:pos="8640"/>
      </w:tabs>
    </w:pPr>
  </w:style>
  <w:style w:type="character" w:customStyle="1" w:styleId="FooterChar">
    <w:name w:val="Footer Char"/>
    <w:basedOn w:val="DefaultParagraphFont"/>
    <w:link w:val="Footer"/>
    <w:rsid w:val="00E15F96"/>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E15F96"/>
    <w:pPr>
      <w:tabs>
        <w:tab w:val="center" w:pos="4320"/>
        <w:tab w:val="right" w:pos="8640"/>
      </w:tabs>
    </w:pPr>
  </w:style>
  <w:style w:type="character" w:customStyle="1" w:styleId="HeaderChar">
    <w:name w:val="Header Char"/>
    <w:basedOn w:val="DefaultParagraphFont"/>
    <w:link w:val="Header"/>
    <w:rsid w:val="00E15F96"/>
    <w:rPr>
      <w:rFonts w:ascii="Helvetica" w:eastAsia="Times New Roman" w:hAnsi="Helvetica" w:cs="Times New Roman"/>
      <w:kern w:val="0"/>
      <w:sz w:val="20"/>
      <w:szCs w:val="20"/>
      <w:lang w:val="en-US"/>
      <w14:ligatures w14:val="none"/>
    </w:rPr>
  </w:style>
  <w:style w:type="paragraph" w:styleId="BodyText">
    <w:name w:val="Body Text"/>
    <w:basedOn w:val="Normal"/>
    <w:link w:val="BodyTextChar"/>
    <w:uiPriority w:val="99"/>
    <w:semiHidden/>
    <w:unhideWhenUsed/>
    <w:rsid w:val="00E15F96"/>
    <w:pPr>
      <w:spacing w:after="120" w:line="259" w:lineRule="auto"/>
    </w:pPr>
    <w:rPr>
      <w:rFonts w:asciiTheme="minorHAnsi" w:eastAsiaTheme="minorHAnsi" w:hAnsiTheme="minorHAnsi" w:cstheme="minorBidi"/>
      <w:sz w:val="22"/>
      <w:szCs w:val="22"/>
      <w:lang w:val="en-IN"/>
    </w:rPr>
  </w:style>
  <w:style w:type="character" w:customStyle="1" w:styleId="BodyTextChar">
    <w:name w:val="Body Text Char"/>
    <w:basedOn w:val="DefaultParagraphFont"/>
    <w:link w:val="BodyText"/>
    <w:uiPriority w:val="1"/>
    <w:rsid w:val="00E15F96"/>
    <w:rPr>
      <w:kern w:val="0"/>
      <w14:ligatures w14:val="none"/>
    </w:rPr>
  </w:style>
  <w:style w:type="paragraph" w:customStyle="1" w:styleId="benlev1">
    <w:name w:val="ben_lev_1"/>
    <w:basedOn w:val="Normal"/>
    <w:rsid w:val="00E15F96"/>
    <w:pPr>
      <w:numPr>
        <w:numId w:val="1"/>
      </w:numPr>
      <w:suppressLineNumbers/>
      <w:tabs>
        <w:tab w:val="right" w:leader="dot" w:pos="10318"/>
      </w:tabs>
      <w:suppressAutoHyphens/>
      <w:autoSpaceDN w:val="0"/>
      <w:snapToGrid w:val="0"/>
      <w:spacing w:before="283"/>
      <w:textAlignment w:val="baseline"/>
      <w:outlineLvl w:val="0"/>
    </w:pPr>
    <w:rPr>
      <w:rFonts w:ascii="Liberation Serif" w:eastAsia="Noto Serif CJK SC" w:hAnsi="Liberation Serif" w:cs="Lohit Devanagari"/>
      <w:b/>
      <w:kern w:val="3"/>
      <w:sz w:val="24"/>
      <w:szCs w:val="24"/>
      <w:lang w:eastAsia="zh-CN" w:bidi="hi-IN"/>
    </w:rPr>
  </w:style>
  <w:style w:type="numbering" w:customStyle="1" w:styleId="Numbering123">
    <w:name w:val="Numbering 123"/>
    <w:basedOn w:val="NoList"/>
    <w:rsid w:val="00E15F96"/>
    <w:pPr>
      <w:numPr>
        <w:numId w:val="1"/>
      </w:numPr>
    </w:pPr>
  </w:style>
  <w:style w:type="paragraph" w:customStyle="1" w:styleId="Standard">
    <w:name w:val="Standard"/>
    <w:rsid w:val="00E15F96"/>
    <w:pPr>
      <w:suppressAutoHyphens/>
      <w:autoSpaceDN w:val="0"/>
      <w:spacing w:before="57" w:after="57" w:line="360" w:lineRule="auto"/>
      <w:jc w:val="both"/>
      <w:textAlignment w:val="baseline"/>
    </w:pPr>
    <w:rPr>
      <w:rFonts w:ascii="Liberation Serif" w:eastAsia="Noto Serif CJK SC" w:hAnsi="Liberation Serif" w:cs="Lohit Devanagari"/>
      <w:kern w:val="3"/>
      <w:sz w:val="24"/>
      <w:szCs w:val="24"/>
      <w:lang w:val="en-US" w:eastAsia="zh-CN" w:bidi="hi-IN"/>
      <w14:ligatures w14:val="none"/>
    </w:rPr>
  </w:style>
  <w:style w:type="paragraph" w:customStyle="1" w:styleId="Textbody">
    <w:name w:val="Text body"/>
    <w:basedOn w:val="Normal"/>
    <w:rsid w:val="00E15F96"/>
    <w:pPr>
      <w:suppressAutoHyphens/>
      <w:autoSpaceDN w:val="0"/>
      <w:snapToGrid w:val="0"/>
      <w:spacing w:before="283" w:line="360" w:lineRule="auto"/>
      <w:ind w:firstLine="850"/>
      <w:jc w:val="both"/>
      <w:textAlignment w:val="baseline"/>
    </w:pPr>
    <w:rPr>
      <w:rFonts w:ascii="Times New Roman" w:hAnsi="Times New Roman"/>
      <w:b/>
      <w:bCs/>
      <w:spacing w:val="2"/>
      <w:sz w:val="24"/>
      <w:szCs w:val="24"/>
      <w:lang w:eastAsia="zh-CN" w:bidi="hi-IN"/>
    </w:rPr>
  </w:style>
  <w:style w:type="paragraph" w:styleId="Bibliography">
    <w:name w:val="Bibliography"/>
    <w:basedOn w:val="Normal"/>
    <w:next w:val="Normal"/>
    <w:uiPriority w:val="37"/>
    <w:unhideWhenUsed/>
    <w:rsid w:val="00E15F96"/>
    <w:pPr>
      <w:spacing w:after="240"/>
    </w:pPr>
  </w:style>
  <w:style w:type="paragraph" w:customStyle="1" w:styleId="Table">
    <w:name w:val="Table"/>
    <w:basedOn w:val="Caption"/>
    <w:rsid w:val="00E15F96"/>
    <w:pPr>
      <w:suppressLineNumbers/>
      <w:suppressAutoHyphens/>
      <w:autoSpaceDN w:val="0"/>
      <w:spacing w:before="120" w:after="120" w:line="360" w:lineRule="auto"/>
      <w:jc w:val="both"/>
      <w:textAlignment w:val="baseline"/>
    </w:pPr>
    <w:rPr>
      <w:rFonts w:ascii="Liberation Serif" w:eastAsia="Noto Serif CJK SC" w:hAnsi="Liberation Serif" w:cs="Lohit Devanagari"/>
      <w:color w:val="auto"/>
      <w:kern w:val="3"/>
      <w:sz w:val="24"/>
      <w:szCs w:val="24"/>
      <w:lang w:eastAsia="zh-CN" w:bidi="hi-IN"/>
    </w:rPr>
  </w:style>
  <w:style w:type="paragraph" w:styleId="Caption">
    <w:name w:val="caption"/>
    <w:basedOn w:val="Normal"/>
    <w:next w:val="Normal"/>
    <w:uiPriority w:val="35"/>
    <w:semiHidden/>
    <w:unhideWhenUsed/>
    <w:qFormat/>
    <w:rsid w:val="00E15F96"/>
    <w:pPr>
      <w:spacing w:after="200"/>
    </w:pPr>
    <w:rPr>
      <w:i/>
      <w:iCs/>
      <w:color w:val="44546A" w:themeColor="text2"/>
      <w:sz w:val="18"/>
      <w:szCs w:val="18"/>
    </w:rPr>
  </w:style>
  <w:style w:type="character" w:styleId="LineNumber">
    <w:name w:val="line number"/>
    <w:basedOn w:val="DefaultParagraphFont"/>
    <w:uiPriority w:val="99"/>
    <w:semiHidden/>
    <w:unhideWhenUsed/>
    <w:rsid w:val="00E15F96"/>
  </w:style>
  <w:style w:type="paragraph" w:customStyle="1" w:styleId="Fig">
    <w:name w:val="Fig"/>
    <w:basedOn w:val="Caption"/>
    <w:rsid w:val="00763890"/>
    <w:pPr>
      <w:suppressLineNumbers/>
      <w:suppressAutoHyphens/>
      <w:autoSpaceDN w:val="0"/>
      <w:spacing w:before="120" w:after="120" w:line="276" w:lineRule="auto"/>
      <w:jc w:val="both"/>
      <w:textAlignment w:val="baseline"/>
    </w:pPr>
    <w:rPr>
      <w:rFonts w:ascii="Liberation Serif" w:eastAsia="Noto Serif CJK SC" w:hAnsi="Liberation Serif" w:cs="Lohit Devanagari"/>
      <w:b/>
      <w:i w:val="0"/>
      <w:color w:val="auto"/>
      <w:kern w:val="3"/>
      <w:sz w:val="20"/>
      <w:szCs w:val="24"/>
      <w:lang w:eastAsia="zh-CN" w:bidi="hi-IN"/>
    </w:rPr>
  </w:style>
  <w:style w:type="character" w:styleId="Hyperlink">
    <w:name w:val="Hyperlink"/>
    <w:basedOn w:val="DefaultParagraphFont"/>
    <w:uiPriority w:val="99"/>
    <w:unhideWhenUsed/>
    <w:rsid w:val="000E6F71"/>
    <w:rPr>
      <w:color w:val="0563C1" w:themeColor="hyperlink"/>
      <w:u w:val="single"/>
    </w:rPr>
  </w:style>
  <w:style w:type="character" w:customStyle="1" w:styleId="Heading1Char">
    <w:name w:val="Heading 1 Char"/>
    <w:basedOn w:val="DefaultParagraphFont"/>
    <w:link w:val="Heading1"/>
    <w:uiPriority w:val="9"/>
    <w:rsid w:val="00293675"/>
    <w:rPr>
      <w:rFonts w:asciiTheme="majorHAnsi" w:eastAsiaTheme="majorEastAsia" w:hAnsiTheme="majorHAnsi" w:cstheme="majorBidi"/>
      <w:color w:val="2F5496" w:themeColor="accent1" w:themeShade="BF"/>
      <w:sz w:val="40"/>
      <w:szCs w:val="40"/>
    </w:rPr>
  </w:style>
  <w:style w:type="character" w:customStyle="1" w:styleId="mord">
    <w:name w:val="mord"/>
    <w:basedOn w:val="DefaultParagraphFont"/>
    <w:rsid w:val="00673DAE"/>
  </w:style>
  <w:style w:type="character" w:customStyle="1" w:styleId="mrel">
    <w:name w:val="mrel"/>
    <w:basedOn w:val="DefaultParagraphFont"/>
    <w:rsid w:val="00673DAE"/>
  </w:style>
  <w:style w:type="character" w:customStyle="1" w:styleId="vlist-s">
    <w:name w:val="vlist-s"/>
    <w:basedOn w:val="DefaultParagraphFont"/>
    <w:rsid w:val="00673DAE"/>
  </w:style>
  <w:style w:type="character" w:customStyle="1" w:styleId="mbin">
    <w:name w:val="mbin"/>
    <w:basedOn w:val="DefaultParagraphFont"/>
    <w:rsid w:val="00673DAE"/>
  </w:style>
  <w:style w:type="character" w:styleId="PlaceholderText">
    <w:name w:val="Placeholder Text"/>
    <w:basedOn w:val="DefaultParagraphFont"/>
    <w:uiPriority w:val="99"/>
    <w:semiHidden/>
    <w:rsid w:val="00673DAE"/>
    <w:rPr>
      <w:color w:val="666666"/>
    </w:rPr>
  </w:style>
  <w:style w:type="character" w:styleId="UnresolvedMention">
    <w:name w:val="Unresolved Mention"/>
    <w:basedOn w:val="DefaultParagraphFont"/>
    <w:uiPriority w:val="99"/>
    <w:semiHidden/>
    <w:unhideWhenUsed/>
    <w:rsid w:val="00CA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iencedirect.com/topics/agricultural-and-biological-sciences/transplan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topics/agricultural-and-biological-sciences/anthe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iencedirect.com/topics/agricultural-and-biological-sciences/vegetative-growth"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direct.com/topics/agricultural-and-biological-sciences/mois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7714</Words>
  <Characters>43976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amilakhanio4@outlook.com</dc:creator>
  <cp:keywords/>
  <dc:description/>
  <cp:lastModifiedBy>SDI 1084</cp:lastModifiedBy>
  <cp:revision>14</cp:revision>
  <dcterms:created xsi:type="dcterms:W3CDTF">2025-08-19T07:04:00Z</dcterms:created>
  <dcterms:modified xsi:type="dcterms:W3CDTF">2025-08-19T13:49:00Z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id="6yGKiJCI"/&gt;&lt;style id="http://www.zotero.org/styles/indian-journal-of-agricultural-sciences" hasBibliography="1" bibliographyStyleHasBeenSet="1"/&gt;&lt;prefs&gt;&lt;pref name="fieldType" value="Field"/&gt;&lt;/pre</vt:lpwstr>
  </property>
  <property fmtid="{D5CDD505-2E9C-101B-9397-08002B2CF9AE}" pid="3" name="ZOTERO_PREF_2">
    <vt:lpwstr>fs&gt;&lt;/data&gt;</vt:lpwstr>
  </property>
</Properties>
</file>