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A983D" w14:textId="68B9D25D" w:rsidR="00754C9A" w:rsidRDefault="00E112C7" w:rsidP="00441B6F">
      <w:pPr>
        <w:pStyle w:val="Title"/>
        <w:spacing w:after="0"/>
        <w:jc w:val="both"/>
        <w:rPr>
          <w:rFonts w:ascii="Arial" w:hAnsi="Arial" w:cs="Arial"/>
        </w:rPr>
      </w:pPr>
      <w:r w:rsidRPr="00E112C7">
        <w:rPr>
          <w:rFonts w:ascii="Arial" w:hAnsi="Arial" w:cs="Arial"/>
          <w:bCs/>
          <w:i/>
          <w:iCs/>
          <w:u w:val="single"/>
        </w:rPr>
        <w:t>Original Research Article</w:t>
      </w:r>
    </w:p>
    <w:p w14:paraId="0C8F4A4F" w14:textId="77777777" w:rsidR="00FD3DD5" w:rsidRDefault="00FD3DD5" w:rsidP="00FD3DD5">
      <w:pPr>
        <w:pStyle w:val="Heading1"/>
        <w:jc w:val="center"/>
        <w:rPr>
          <w:rFonts w:ascii="Times New Roman" w:hAnsi="Times New Roman"/>
          <w:sz w:val="36"/>
          <w:lang w:eastAsia="fr-FR"/>
        </w:rPr>
      </w:pPr>
      <w:r w:rsidRPr="0019795D">
        <w:rPr>
          <w:rFonts w:ascii="Times New Roman" w:hAnsi="Times New Roman"/>
          <w:sz w:val="36"/>
          <w:lang w:eastAsia="fr-FR"/>
        </w:rPr>
        <w:t xml:space="preserve">The Dual Burden of Chronic Hepatitis and Metabolic Dysfunction in Lomé, </w:t>
      </w:r>
      <w:proofErr w:type="gramStart"/>
      <w:r w:rsidRPr="0019795D">
        <w:rPr>
          <w:rFonts w:ascii="Times New Roman" w:hAnsi="Times New Roman"/>
          <w:b w:val="0"/>
          <w:sz w:val="36"/>
          <w:lang w:eastAsia="fr-FR"/>
        </w:rPr>
        <w:t>Togo :</w:t>
      </w:r>
      <w:proofErr w:type="gramEnd"/>
      <w:r w:rsidRPr="0019795D">
        <w:rPr>
          <w:rFonts w:ascii="Times New Roman" w:hAnsi="Times New Roman"/>
          <w:sz w:val="36"/>
          <w:lang w:eastAsia="fr-FR"/>
        </w:rPr>
        <w:t xml:space="preserve"> A Cross-Sectional Study of Sarcopenic Obesity and Pro-Inflammatory Dietary Patterns</w:t>
      </w:r>
    </w:p>
    <w:p w14:paraId="56E39561" w14:textId="77777777" w:rsidR="006C1179" w:rsidRPr="006C1179" w:rsidRDefault="006C1179" w:rsidP="006C1179">
      <w:pPr>
        <w:rPr>
          <w:lang w:eastAsia="fr-FR"/>
        </w:rPr>
      </w:pPr>
    </w:p>
    <w:p w14:paraId="2052483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1E44FE" w14:paraId="507008CA" w14:textId="77777777" w:rsidTr="0067382D">
        <w:tc>
          <w:tcPr>
            <w:tcW w:w="9396" w:type="dxa"/>
            <w:shd w:val="clear" w:color="auto" w:fill="F2F2F2"/>
          </w:tcPr>
          <w:p w14:paraId="0FA928E5" w14:textId="77777777" w:rsidR="00704E60" w:rsidRPr="00704E60" w:rsidRDefault="00704E60" w:rsidP="00704E60">
            <w:pPr>
              <w:pStyle w:val="NormalWeb"/>
              <w:jc w:val="both"/>
              <w:rPr>
                <w:rFonts w:ascii="Arial" w:hAnsi="Arial" w:cs="Arial"/>
                <w:sz w:val="20"/>
                <w:szCs w:val="20"/>
              </w:rPr>
            </w:pPr>
            <w:proofErr w:type="gramStart"/>
            <w:r w:rsidRPr="00704E60">
              <w:rPr>
                <w:rStyle w:val="citation-25"/>
                <w:rFonts w:ascii="Arial" w:hAnsi="Arial" w:cs="Arial"/>
                <w:b/>
                <w:bCs/>
                <w:sz w:val="20"/>
                <w:szCs w:val="20"/>
              </w:rPr>
              <w:t>Introduction</w:t>
            </w:r>
            <w:r w:rsidRPr="00704E60">
              <w:rPr>
                <w:rStyle w:val="citation-25"/>
                <w:rFonts w:ascii="Arial" w:hAnsi="Arial" w:cs="Arial"/>
                <w:sz w:val="20"/>
                <w:szCs w:val="20"/>
              </w:rPr>
              <w:t>:</w:t>
            </w:r>
            <w:proofErr w:type="gramEnd"/>
            <w:r w:rsidRPr="00704E60">
              <w:rPr>
                <w:rStyle w:val="citation-25"/>
                <w:rFonts w:ascii="Arial" w:hAnsi="Arial" w:cs="Arial"/>
                <w:sz w:val="20"/>
                <w:szCs w:val="20"/>
              </w:rPr>
              <w:t xml:space="preserve"> In </w:t>
            </w:r>
            <w:proofErr w:type="spellStart"/>
            <w:r w:rsidRPr="00704E60">
              <w:rPr>
                <w:rStyle w:val="citation-25"/>
                <w:rFonts w:ascii="Arial" w:hAnsi="Arial" w:cs="Arial"/>
                <w:sz w:val="20"/>
                <w:szCs w:val="20"/>
              </w:rPr>
              <w:t>urban</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sub-Saharan</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Africa</w:t>
            </w:r>
            <w:proofErr w:type="spellEnd"/>
            <w:r w:rsidRPr="00704E60">
              <w:rPr>
                <w:rStyle w:val="citation-25"/>
                <w:rFonts w:ascii="Arial" w:hAnsi="Arial" w:cs="Arial"/>
                <w:sz w:val="20"/>
                <w:szCs w:val="20"/>
              </w:rPr>
              <w:t xml:space="preserve">, the convergence of </w:t>
            </w:r>
            <w:proofErr w:type="spellStart"/>
            <w:r w:rsidRPr="00704E60">
              <w:rPr>
                <w:rStyle w:val="citation-25"/>
                <w:rFonts w:ascii="Arial" w:hAnsi="Arial" w:cs="Arial"/>
                <w:sz w:val="20"/>
                <w:szCs w:val="20"/>
              </w:rPr>
              <w:t>endemic</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chronic</w:t>
            </w:r>
            <w:proofErr w:type="spellEnd"/>
            <w:r w:rsidRPr="00704E60">
              <w:rPr>
                <w:rStyle w:val="citation-25"/>
                <w:rFonts w:ascii="Arial" w:hAnsi="Arial" w:cs="Arial"/>
                <w:sz w:val="20"/>
                <w:szCs w:val="20"/>
              </w:rPr>
              <w:t xml:space="preserve"> viral </w:t>
            </w:r>
            <w:proofErr w:type="spellStart"/>
            <w:r w:rsidRPr="00704E60">
              <w:rPr>
                <w:rStyle w:val="citation-25"/>
                <w:rFonts w:ascii="Arial" w:hAnsi="Arial" w:cs="Arial"/>
                <w:sz w:val="20"/>
                <w:szCs w:val="20"/>
              </w:rPr>
              <w:t>hepatitis</w:t>
            </w:r>
            <w:proofErr w:type="spellEnd"/>
            <w:r w:rsidRPr="00704E60">
              <w:rPr>
                <w:rStyle w:val="citation-25"/>
                <w:rFonts w:ascii="Arial" w:hAnsi="Arial" w:cs="Arial"/>
                <w:sz w:val="20"/>
                <w:szCs w:val="20"/>
              </w:rPr>
              <w:t xml:space="preserve"> and a </w:t>
            </w:r>
            <w:proofErr w:type="spellStart"/>
            <w:r w:rsidRPr="00704E60">
              <w:rPr>
                <w:rStyle w:val="citation-25"/>
                <w:rFonts w:ascii="Arial" w:hAnsi="Arial" w:cs="Arial"/>
                <w:sz w:val="20"/>
                <w:szCs w:val="20"/>
              </w:rPr>
              <w:t>rising</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metabolic</w:t>
            </w:r>
            <w:proofErr w:type="spellEnd"/>
            <w:r w:rsidRPr="00704E60">
              <w:rPr>
                <w:rStyle w:val="citation-25"/>
                <w:rFonts w:ascii="Arial" w:hAnsi="Arial" w:cs="Arial"/>
                <w:sz w:val="20"/>
                <w:szCs w:val="20"/>
              </w:rPr>
              <w:t xml:space="preserve"> syndrome </w:t>
            </w:r>
            <w:proofErr w:type="spellStart"/>
            <w:r w:rsidRPr="00704E60">
              <w:rPr>
                <w:rStyle w:val="citation-25"/>
                <w:rFonts w:ascii="Arial" w:hAnsi="Arial" w:cs="Arial"/>
                <w:sz w:val="20"/>
                <w:szCs w:val="20"/>
              </w:rPr>
              <w:t>creates</w:t>
            </w:r>
            <w:proofErr w:type="spellEnd"/>
            <w:r w:rsidRPr="00704E60">
              <w:rPr>
                <w:rStyle w:val="citation-25"/>
                <w:rFonts w:ascii="Arial" w:hAnsi="Arial" w:cs="Arial"/>
                <w:sz w:val="20"/>
                <w:szCs w:val="20"/>
              </w:rPr>
              <w:t xml:space="preserve"> a "dual </w:t>
            </w:r>
            <w:proofErr w:type="spellStart"/>
            <w:r w:rsidRPr="00704E60">
              <w:rPr>
                <w:rStyle w:val="citation-25"/>
                <w:rFonts w:ascii="Arial" w:hAnsi="Arial" w:cs="Arial"/>
                <w:sz w:val="20"/>
                <w:szCs w:val="20"/>
              </w:rPr>
              <w:t>burden</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that</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may</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accelerate</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liver</w:t>
            </w:r>
            <w:proofErr w:type="spellEnd"/>
            <w:r w:rsidRPr="00704E60">
              <w:rPr>
                <w:rStyle w:val="citation-25"/>
                <w:rFonts w:ascii="Arial" w:hAnsi="Arial" w:cs="Arial"/>
                <w:sz w:val="20"/>
                <w:szCs w:val="20"/>
              </w:rPr>
              <w:t xml:space="preserve"> </w:t>
            </w:r>
            <w:proofErr w:type="spellStart"/>
            <w:r w:rsidRPr="00704E60">
              <w:rPr>
                <w:rStyle w:val="citation-25"/>
                <w:rFonts w:ascii="Arial" w:hAnsi="Arial" w:cs="Arial"/>
                <w:sz w:val="20"/>
                <w:szCs w:val="20"/>
              </w:rPr>
              <w:t>disease</w:t>
            </w:r>
            <w:proofErr w:type="spellEnd"/>
            <w:r w:rsidRPr="00704E60">
              <w:rPr>
                <w:rFonts w:ascii="Arial" w:hAnsi="Arial" w:cs="Arial"/>
                <w:sz w:val="20"/>
                <w:szCs w:val="20"/>
              </w:rPr>
              <w:t xml:space="preserve">. </w:t>
            </w:r>
            <w:r w:rsidRPr="00704E60">
              <w:rPr>
                <w:rStyle w:val="citation-24"/>
                <w:rFonts w:ascii="Arial" w:hAnsi="Arial" w:cs="Arial"/>
                <w:sz w:val="20"/>
                <w:szCs w:val="20"/>
              </w:rPr>
              <w:t xml:space="preserve">In Lomé, Togo, </w:t>
            </w:r>
            <w:proofErr w:type="spellStart"/>
            <w:r w:rsidRPr="00704E60">
              <w:rPr>
                <w:rStyle w:val="citation-24"/>
                <w:rFonts w:ascii="Arial" w:hAnsi="Arial" w:cs="Arial"/>
                <w:sz w:val="20"/>
                <w:szCs w:val="20"/>
              </w:rPr>
              <w:t>where</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chronic</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hepatitis</w:t>
            </w:r>
            <w:proofErr w:type="spellEnd"/>
            <w:r w:rsidRPr="00704E60">
              <w:rPr>
                <w:rStyle w:val="citation-24"/>
                <w:rFonts w:ascii="Arial" w:hAnsi="Arial" w:cs="Arial"/>
                <w:sz w:val="20"/>
                <w:szCs w:val="20"/>
              </w:rPr>
              <w:t xml:space="preserve"> B virus (HBV) infection </w:t>
            </w:r>
            <w:proofErr w:type="spellStart"/>
            <w:r w:rsidRPr="00704E60">
              <w:rPr>
                <w:rStyle w:val="citation-24"/>
                <w:rFonts w:ascii="Arial" w:hAnsi="Arial" w:cs="Arial"/>
                <w:sz w:val="20"/>
                <w:szCs w:val="20"/>
              </w:rPr>
              <w:t>is</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highly</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prevalent</w:t>
            </w:r>
            <w:proofErr w:type="spellEnd"/>
            <w:r w:rsidRPr="00704E60">
              <w:rPr>
                <w:rStyle w:val="citation-24"/>
                <w:rFonts w:ascii="Arial" w:hAnsi="Arial" w:cs="Arial"/>
                <w:sz w:val="20"/>
                <w:szCs w:val="20"/>
              </w:rPr>
              <w:t xml:space="preserve">, a </w:t>
            </w:r>
            <w:proofErr w:type="spellStart"/>
            <w:r w:rsidRPr="00704E60">
              <w:rPr>
                <w:rStyle w:val="citation-24"/>
                <w:rFonts w:ascii="Arial" w:hAnsi="Arial" w:cs="Arial"/>
                <w:sz w:val="20"/>
                <w:szCs w:val="20"/>
              </w:rPr>
              <w:t>nutritional</w:t>
            </w:r>
            <w:proofErr w:type="spellEnd"/>
            <w:r w:rsidRPr="00704E60">
              <w:rPr>
                <w:rStyle w:val="citation-24"/>
                <w:rFonts w:ascii="Arial" w:hAnsi="Arial" w:cs="Arial"/>
                <w:sz w:val="20"/>
                <w:szCs w:val="20"/>
              </w:rPr>
              <w:t xml:space="preserve"> transition </w:t>
            </w:r>
            <w:proofErr w:type="spellStart"/>
            <w:r w:rsidRPr="00704E60">
              <w:rPr>
                <w:rStyle w:val="citation-24"/>
                <w:rFonts w:ascii="Arial" w:hAnsi="Arial" w:cs="Arial"/>
                <w:sz w:val="20"/>
                <w:szCs w:val="20"/>
              </w:rPr>
              <w:t>towards</w:t>
            </w:r>
            <w:proofErr w:type="spellEnd"/>
            <w:r w:rsidRPr="00704E60">
              <w:rPr>
                <w:rStyle w:val="citation-24"/>
                <w:rFonts w:ascii="Arial" w:hAnsi="Arial" w:cs="Arial"/>
                <w:sz w:val="20"/>
                <w:szCs w:val="20"/>
              </w:rPr>
              <w:t xml:space="preserve"> pro-</w:t>
            </w:r>
            <w:proofErr w:type="spellStart"/>
            <w:r w:rsidRPr="00704E60">
              <w:rPr>
                <w:rStyle w:val="citation-24"/>
                <w:rFonts w:ascii="Arial" w:hAnsi="Arial" w:cs="Arial"/>
                <w:sz w:val="20"/>
                <w:szCs w:val="20"/>
              </w:rPr>
              <w:t>inflammatory</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diets</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is</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fueling</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metabolic</w:t>
            </w:r>
            <w:proofErr w:type="spellEnd"/>
            <w:r w:rsidRPr="00704E60">
              <w:rPr>
                <w:rStyle w:val="citation-24"/>
                <w:rFonts w:ascii="Arial" w:hAnsi="Arial" w:cs="Arial"/>
                <w:sz w:val="20"/>
                <w:szCs w:val="20"/>
              </w:rPr>
              <w:t xml:space="preserve"> </w:t>
            </w:r>
            <w:proofErr w:type="spellStart"/>
            <w:r w:rsidRPr="00704E60">
              <w:rPr>
                <w:rStyle w:val="citation-24"/>
                <w:rFonts w:ascii="Arial" w:hAnsi="Arial" w:cs="Arial"/>
                <w:sz w:val="20"/>
                <w:szCs w:val="20"/>
              </w:rPr>
              <w:t>dysfunction</w:t>
            </w:r>
            <w:proofErr w:type="spellEnd"/>
            <w:r w:rsidRPr="00704E60">
              <w:rPr>
                <w:rFonts w:ascii="Arial" w:hAnsi="Arial" w:cs="Arial"/>
                <w:sz w:val="20"/>
                <w:szCs w:val="20"/>
              </w:rPr>
              <w:t xml:space="preserve">. </w:t>
            </w:r>
            <w:r w:rsidRPr="00704E60">
              <w:rPr>
                <w:rStyle w:val="citation-23"/>
                <w:rFonts w:ascii="Arial" w:hAnsi="Arial" w:cs="Arial"/>
                <w:sz w:val="20"/>
                <w:szCs w:val="20"/>
              </w:rPr>
              <w:t xml:space="preserve">This </w:t>
            </w:r>
            <w:proofErr w:type="spellStart"/>
            <w:r w:rsidRPr="00704E60">
              <w:rPr>
                <w:rStyle w:val="citation-23"/>
                <w:rFonts w:ascii="Arial" w:hAnsi="Arial" w:cs="Arial"/>
                <w:sz w:val="20"/>
                <w:szCs w:val="20"/>
              </w:rPr>
              <w:t>study</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aimed</w:t>
            </w:r>
            <w:proofErr w:type="spellEnd"/>
            <w:r w:rsidRPr="00704E60">
              <w:rPr>
                <w:rStyle w:val="citation-23"/>
                <w:rFonts w:ascii="Arial" w:hAnsi="Arial" w:cs="Arial"/>
                <w:sz w:val="20"/>
                <w:szCs w:val="20"/>
              </w:rPr>
              <w:t xml:space="preserve"> to </w:t>
            </w:r>
            <w:proofErr w:type="spellStart"/>
            <w:r w:rsidRPr="00704E60">
              <w:rPr>
                <w:rStyle w:val="citation-23"/>
                <w:rFonts w:ascii="Arial" w:hAnsi="Arial" w:cs="Arial"/>
                <w:sz w:val="20"/>
                <w:szCs w:val="20"/>
              </w:rPr>
              <w:t>characterize</w:t>
            </w:r>
            <w:proofErr w:type="spellEnd"/>
            <w:r w:rsidRPr="00704E60">
              <w:rPr>
                <w:rStyle w:val="citation-23"/>
                <w:rFonts w:ascii="Arial" w:hAnsi="Arial" w:cs="Arial"/>
                <w:sz w:val="20"/>
                <w:szCs w:val="20"/>
              </w:rPr>
              <w:t xml:space="preserve"> the </w:t>
            </w:r>
            <w:proofErr w:type="spellStart"/>
            <w:r w:rsidRPr="00704E60">
              <w:rPr>
                <w:rStyle w:val="citation-23"/>
                <w:rFonts w:ascii="Arial" w:hAnsi="Arial" w:cs="Arial"/>
                <w:sz w:val="20"/>
                <w:szCs w:val="20"/>
              </w:rPr>
              <w:t>nutritional</w:t>
            </w:r>
            <w:proofErr w:type="spellEnd"/>
            <w:r w:rsidRPr="00704E60">
              <w:rPr>
                <w:rStyle w:val="citation-23"/>
                <w:rFonts w:ascii="Arial" w:hAnsi="Arial" w:cs="Arial"/>
                <w:sz w:val="20"/>
                <w:szCs w:val="20"/>
              </w:rPr>
              <w:t xml:space="preserve"> and </w:t>
            </w:r>
            <w:proofErr w:type="spellStart"/>
            <w:r w:rsidRPr="00704E60">
              <w:rPr>
                <w:rStyle w:val="citation-23"/>
                <w:rFonts w:ascii="Arial" w:hAnsi="Arial" w:cs="Arial"/>
                <w:sz w:val="20"/>
                <w:szCs w:val="20"/>
              </w:rPr>
              <w:t>metabolic</w:t>
            </w:r>
            <w:proofErr w:type="spellEnd"/>
            <w:r w:rsidRPr="00704E60">
              <w:rPr>
                <w:rStyle w:val="citation-23"/>
                <w:rFonts w:ascii="Arial" w:hAnsi="Arial" w:cs="Arial"/>
                <w:sz w:val="20"/>
                <w:szCs w:val="20"/>
              </w:rPr>
              <w:t xml:space="preserve"> profiles of patients </w:t>
            </w:r>
            <w:proofErr w:type="spellStart"/>
            <w:r w:rsidRPr="00704E60">
              <w:rPr>
                <w:rStyle w:val="citation-23"/>
                <w:rFonts w:ascii="Arial" w:hAnsi="Arial" w:cs="Arial"/>
                <w:sz w:val="20"/>
                <w:szCs w:val="20"/>
              </w:rPr>
              <w:t>with</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chronic</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hepatitis</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focusing</w:t>
            </w:r>
            <w:proofErr w:type="spellEnd"/>
            <w:r w:rsidRPr="00704E60">
              <w:rPr>
                <w:rStyle w:val="citation-23"/>
                <w:rFonts w:ascii="Arial" w:hAnsi="Arial" w:cs="Arial"/>
                <w:sz w:val="20"/>
                <w:szCs w:val="20"/>
              </w:rPr>
              <w:t xml:space="preserve"> on </w:t>
            </w:r>
            <w:proofErr w:type="spellStart"/>
            <w:r w:rsidRPr="00704E60">
              <w:rPr>
                <w:rStyle w:val="citation-23"/>
                <w:rFonts w:ascii="Arial" w:hAnsi="Arial" w:cs="Arial"/>
                <w:sz w:val="20"/>
                <w:szCs w:val="20"/>
              </w:rPr>
              <w:t>sarcopenic</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obesity</w:t>
            </w:r>
            <w:proofErr w:type="spellEnd"/>
            <w:r w:rsidRPr="00704E60">
              <w:rPr>
                <w:rStyle w:val="citation-23"/>
                <w:rFonts w:ascii="Arial" w:hAnsi="Arial" w:cs="Arial"/>
                <w:sz w:val="20"/>
                <w:szCs w:val="20"/>
              </w:rPr>
              <w:t xml:space="preserve"> and </w:t>
            </w:r>
            <w:proofErr w:type="spellStart"/>
            <w:r w:rsidRPr="00704E60">
              <w:rPr>
                <w:rStyle w:val="citation-23"/>
                <w:rFonts w:ascii="Arial" w:hAnsi="Arial" w:cs="Arial"/>
                <w:sz w:val="20"/>
                <w:szCs w:val="20"/>
              </w:rPr>
              <w:t>associated</w:t>
            </w:r>
            <w:proofErr w:type="spellEnd"/>
            <w:r w:rsidRPr="00704E60">
              <w:rPr>
                <w:rStyle w:val="citation-23"/>
                <w:rFonts w:ascii="Arial" w:hAnsi="Arial" w:cs="Arial"/>
                <w:sz w:val="20"/>
                <w:szCs w:val="20"/>
              </w:rPr>
              <w:t xml:space="preserve"> </w:t>
            </w:r>
            <w:proofErr w:type="spellStart"/>
            <w:r w:rsidRPr="00704E60">
              <w:rPr>
                <w:rStyle w:val="citation-23"/>
                <w:rFonts w:ascii="Arial" w:hAnsi="Arial" w:cs="Arial"/>
                <w:sz w:val="20"/>
                <w:szCs w:val="20"/>
              </w:rPr>
              <w:t>dietary</w:t>
            </w:r>
            <w:proofErr w:type="spellEnd"/>
            <w:r w:rsidRPr="00704E60">
              <w:rPr>
                <w:rStyle w:val="citation-23"/>
                <w:rFonts w:ascii="Arial" w:hAnsi="Arial" w:cs="Arial"/>
                <w:sz w:val="20"/>
                <w:szCs w:val="20"/>
              </w:rPr>
              <w:t xml:space="preserve"> patterns</w:t>
            </w:r>
            <w:r w:rsidRPr="00704E60">
              <w:rPr>
                <w:rFonts w:ascii="Arial" w:hAnsi="Arial" w:cs="Arial"/>
                <w:sz w:val="20"/>
                <w:szCs w:val="20"/>
              </w:rPr>
              <w:t>.</w:t>
            </w:r>
          </w:p>
          <w:p w14:paraId="67929488" w14:textId="77777777" w:rsidR="00704E60" w:rsidRPr="00704E60" w:rsidRDefault="00704E60" w:rsidP="00704E60">
            <w:pPr>
              <w:pStyle w:val="NormalWeb"/>
              <w:jc w:val="both"/>
              <w:rPr>
                <w:rFonts w:ascii="Arial" w:hAnsi="Arial" w:cs="Arial"/>
                <w:sz w:val="20"/>
                <w:szCs w:val="20"/>
              </w:rPr>
            </w:pPr>
            <w:r w:rsidRPr="00704E60">
              <w:rPr>
                <w:rStyle w:val="citation-22"/>
                <w:rFonts w:ascii="Arial" w:hAnsi="Arial" w:cs="Arial"/>
                <w:b/>
                <w:bCs/>
                <w:sz w:val="20"/>
                <w:szCs w:val="20"/>
              </w:rPr>
              <w:t xml:space="preserve">Materials and </w:t>
            </w:r>
            <w:proofErr w:type="gramStart"/>
            <w:r w:rsidRPr="00704E60">
              <w:rPr>
                <w:rStyle w:val="citation-22"/>
                <w:rFonts w:ascii="Arial" w:hAnsi="Arial" w:cs="Arial"/>
                <w:b/>
                <w:bCs/>
                <w:sz w:val="20"/>
                <w:szCs w:val="20"/>
              </w:rPr>
              <w:t>Methods</w:t>
            </w:r>
            <w:r w:rsidRPr="00704E60">
              <w:rPr>
                <w:rStyle w:val="citation-22"/>
                <w:rFonts w:ascii="Arial" w:hAnsi="Arial" w:cs="Arial"/>
                <w:sz w:val="20"/>
                <w:szCs w:val="20"/>
              </w:rPr>
              <w:t>:</w:t>
            </w:r>
            <w:proofErr w:type="gramEnd"/>
            <w:r w:rsidRPr="00704E60">
              <w:rPr>
                <w:rStyle w:val="citation-22"/>
                <w:rFonts w:ascii="Arial" w:hAnsi="Arial" w:cs="Arial"/>
                <w:sz w:val="20"/>
                <w:szCs w:val="20"/>
              </w:rPr>
              <w:t xml:space="preserve"> A cross-sectional </w:t>
            </w:r>
            <w:proofErr w:type="spellStart"/>
            <w:r w:rsidRPr="00704E60">
              <w:rPr>
                <w:rStyle w:val="citation-22"/>
                <w:rFonts w:ascii="Arial" w:hAnsi="Arial" w:cs="Arial"/>
                <w:sz w:val="20"/>
                <w:szCs w:val="20"/>
              </w:rPr>
              <w:t>study</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was</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conducted</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between</w:t>
            </w:r>
            <w:proofErr w:type="spellEnd"/>
            <w:r w:rsidRPr="00704E60">
              <w:rPr>
                <w:rStyle w:val="citation-22"/>
                <w:rFonts w:ascii="Arial" w:hAnsi="Arial" w:cs="Arial"/>
                <w:sz w:val="20"/>
                <w:szCs w:val="20"/>
              </w:rPr>
              <w:t xml:space="preserve"> June and </w:t>
            </w:r>
            <w:proofErr w:type="spellStart"/>
            <w:r w:rsidRPr="00704E60">
              <w:rPr>
                <w:rStyle w:val="citation-22"/>
                <w:rFonts w:ascii="Arial" w:hAnsi="Arial" w:cs="Arial"/>
                <w:sz w:val="20"/>
                <w:szCs w:val="20"/>
              </w:rPr>
              <w:t>October</w:t>
            </w:r>
            <w:proofErr w:type="spellEnd"/>
            <w:r w:rsidRPr="00704E60">
              <w:rPr>
                <w:rStyle w:val="citation-22"/>
                <w:rFonts w:ascii="Arial" w:hAnsi="Arial" w:cs="Arial"/>
                <w:sz w:val="20"/>
                <w:szCs w:val="20"/>
              </w:rPr>
              <w:t xml:space="preserve"> 2024, </w:t>
            </w:r>
            <w:proofErr w:type="spellStart"/>
            <w:r w:rsidRPr="00704E60">
              <w:rPr>
                <w:rStyle w:val="citation-22"/>
                <w:rFonts w:ascii="Arial" w:hAnsi="Arial" w:cs="Arial"/>
                <w:sz w:val="20"/>
                <w:szCs w:val="20"/>
              </w:rPr>
              <w:t>recruiting</w:t>
            </w:r>
            <w:proofErr w:type="spellEnd"/>
            <w:r w:rsidRPr="00704E60">
              <w:rPr>
                <w:rStyle w:val="citation-22"/>
                <w:rFonts w:ascii="Arial" w:hAnsi="Arial" w:cs="Arial"/>
                <w:sz w:val="20"/>
                <w:szCs w:val="20"/>
              </w:rPr>
              <w:t xml:space="preserve"> 363 patients </w:t>
            </w:r>
            <w:proofErr w:type="spellStart"/>
            <w:r w:rsidRPr="00704E60">
              <w:rPr>
                <w:rStyle w:val="citation-22"/>
                <w:rFonts w:ascii="Arial" w:hAnsi="Arial" w:cs="Arial"/>
                <w:sz w:val="20"/>
                <w:szCs w:val="20"/>
              </w:rPr>
              <w:t>with</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chronic</w:t>
            </w:r>
            <w:proofErr w:type="spellEnd"/>
            <w:r w:rsidRPr="00704E60">
              <w:rPr>
                <w:rStyle w:val="citation-22"/>
                <w:rFonts w:ascii="Arial" w:hAnsi="Arial" w:cs="Arial"/>
                <w:sz w:val="20"/>
                <w:szCs w:val="20"/>
              </w:rPr>
              <w:t xml:space="preserve"> </w:t>
            </w:r>
            <w:proofErr w:type="spellStart"/>
            <w:r w:rsidRPr="00704E60">
              <w:rPr>
                <w:rStyle w:val="citation-22"/>
                <w:rFonts w:ascii="Arial" w:hAnsi="Arial" w:cs="Arial"/>
                <w:sz w:val="20"/>
                <w:szCs w:val="20"/>
              </w:rPr>
              <w:t>hepatitis</w:t>
            </w:r>
            <w:proofErr w:type="spellEnd"/>
            <w:r w:rsidRPr="00704E60">
              <w:rPr>
                <w:rStyle w:val="citation-22"/>
                <w:rFonts w:ascii="Arial" w:hAnsi="Arial" w:cs="Arial"/>
                <w:sz w:val="20"/>
                <w:szCs w:val="20"/>
              </w:rPr>
              <w:t xml:space="preserve"> B </w:t>
            </w:r>
            <w:proofErr w:type="spellStart"/>
            <w:r w:rsidRPr="00704E60">
              <w:rPr>
                <w:rStyle w:val="citation-22"/>
                <w:rFonts w:ascii="Arial" w:hAnsi="Arial" w:cs="Arial"/>
                <w:sz w:val="20"/>
                <w:szCs w:val="20"/>
              </w:rPr>
              <w:t>or</w:t>
            </w:r>
            <w:proofErr w:type="spellEnd"/>
            <w:r w:rsidRPr="00704E60">
              <w:rPr>
                <w:rStyle w:val="citation-22"/>
                <w:rFonts w:ascii="Arial" w:hAnsi="Arial" w:cs="Arial"/>
                <w:sz w:val="20"/>
                <w:szCs w:val="20"/>
              </w:rPr>
              <w:t xml:space="preserve"> C at the Lomé </w:t>
            </w:r>
            <w:proofErr w:type="spellStart"/>
            <w:r w:rsidRPr="00704E60">
              <w:rPr>
                <w:rStyle w:val="citation-22"/>
                <w:rFonts w:ascii="Arial" w:hAnsi="Arial" w:cs="Arial"/>
                <w:sz w:val="20"/>
                <w:szCs w:val="20"/>
              </w:rPr>
              <w:t>University</w:t>
            </w:r>
            <w:proofErr w:type="spellEnd"/>
            <w:r w:rsidRPr="00704E60">
              <w:rPr>
                <w:rStyle w:val="citation-22"/>
                <w:rFonts w:ascii="Arial" w:hAnsi="Arial" w:cs="Arial"/>
                <w:sz w:val="20"/>
                <w:szCs w:val="20"/>
              </w:rPr>
              <w:t xml:space="preserve"> Hospital Centre</w:t>
            </w:r>
            <w:r w:rsidRPr="00704E60">
              <w:rPr>
                <w:rFonts w:ascii="Arial" w:hAnsi="Arial" w:cs="Arial"/>
                <w:sz w:val="20"/>
                <w:szCs w:val="20"/>
              </w:rPr>
              <w:t xml:space="preserve">. </w:t>
            </w:r>
            <w:r w:rsidRPr="00704E60">
              <w:rPr>
                <w:rStyle w:val="citation-21"/>
                <w:rFonts w:ascii="Arial" w:hAnsi="Arial" w:cs="Arial"/>
                <w:sz w:val="20"/>
                <w:szCs w:val="20"/>
              </w:rPr>
              <w:t xml:space="preserve">Body composition </w:t>
            </w:r>
            <w:proofErr w:type="spellStart"/>
            <w:r w:rsidRPr="00704E60">
              <w:rPr>
                <w:rStyle w:val="citation-21"/>
                <w:rFonts w:ascii="Arial" w:hAnsi="Arial" w:cs="Arial"/>
                <w:sz w:val="20"/>
                <w:szCs w:val="20"/>
              </w:rPr>
              <w:t>was</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assessed</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using</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bioelectrical</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impedance</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analysis</w:t>
            </w:r>
            <w:proofErr w:type="spellEnd"/>
            <w:r w:rsidRPr="00704E60">
              <w:rPr>
                <w:rStyle w:val="citation-21"/>
                <w:rFonts w:ascii="Arial" w:hAnsi="Arial" w:cs="Arial"/>
                <w:sz w:val="20"/>
                <w:szCs w:val="20"/>
              </w:rPr>
              <w:t xml:space="preserve"> (BIA) to </w:t>
            </w:r>
            <w:proofErr w:type="spellStart"/>
            <w:r w:rsidRPr="00704E60">
              <w:rPr>
                <w:rStyle w:val="citation-21"/>
                <w:rFonts w:ascii="Arial" w:hAnsi="Arial" w:cs="Arial"/>
                <w:sz w:val="20"/>
                <w:szCs w:val="20"/>
              </w:rPr>
              <w:t>measu</w:t>
            </w:r>
            <w:bookmarkStart w:id="0" w:name="_GoBack"/>
            <w:bookmarkEnd w:id="0"/>
            <w:r w:rsidRPr="00704E60">
              <w:rPr>
                <w:rStyle w:val="citation-21"/>
                <w:rFonts w:ascii="Arial" w:hAnsi="Arial" w:cs="Arial"/>
                <w:sz w:val="20"/>
                <w:szCs w:val="20"/>
              </w:rPr>
              <w:t>re</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visceral</w:t>
            </w:r>
            <w:proofErr w:type="spellEnd"/>
            <w:r w:rsidRPr="00704E60">
              <w:rPr>
                <w:rStyle w:val="citation-21"/>
                <w:rFonts w:ascii="Arial" w:hAnsi="Arial" w:cs="Arial"/>
                <w:sz w:val="20"/>
                <w:szCs w:val="20"/>
              </w:rPr>
              <w:t xml:space="preserve"> fat and </w:t>
            </w:r>
            <w:proofErr w:type="spellStart"/>
            <w:r w:rsidRPr="00704E60">
              <w:rPr>
                <w:rStyle w:val="citation-21"/>
                <w:rFonts w:ascii="Arial" w:hAnsi="Arial" w:cs="Arial"/>
                <w:sz w:val="20"/>
                <w:szCs w:val="20"/>
              </w:rPr>
              <w:t>protein</w:t>
            </w:r>
            <w:proofErr w:type="spellEnd"/>
            <w:r w:rsidRPr="00704E60">
              <w:rPr>
                <w:rStyle w:val="citation-21"/>
                <w:rFonts w:ascii="Arial" w:hAnsi="Arial" w:cs="Arial"/>
                <w:sz w:val="20"/>
                <w:szCs w:val="20"/>
              </w:rPr>
              <w:t xml:space="preserve"> mass, </w:t>
            </w:r>
            <w:proofErr w:type="spellStart"/>
            <w:r w:rsidRPr="00704E60">
              <w:rPr>
                <w:rStyle w:val="citation-21"/>
                <w:rFonts w:ascii="Arial" w:hAnsi="Arial" w:cs="Arial"/>
                <w:sz w:val="20"/>
                <w:szCs w:val="20"/>
              </w:rPr>
              <w:t>moving</w:t>
            </w:r>
            <w:proofErr w:type="spellEnd"/>
            <w:r w:rsidRPr="00704E60">
              <w:rPr>
                <w:rStyle w:val="citation-21"/>
                <w:rFonts w:ascii="Arial" w:hAnsi="Arial" w:cs="Arial"/>
                <w:sz w:val="20"/>
                <w:szCs w:val="20"/>
              </w:rPr>
              <w:t xml:space="preserve"> </w:t>
            </w:r>
            <w:proofErr w:type="spellStart"/>
            <w:r w:rsidRPr="00704E60">
              <w:rPr>
                <w:rStyle w:val="citation-21"/>
                <w:rFonts w:ascii="Arial" w:hAnsi="Arial" w:cs="Arial"/>
                <w:sz w:val="20"/>
                <w:szCs w:val="20"/>
              </w:rPr>
              <w:t>beyond</w:t>
            </w:r>
            <w:proofErr w:type="spellEnd"/>
            <w:r w:rsidRPr="00704E60">
              <w:rPr>
                <w:rStyle w:val="citation-21"/>
                <w:rFonts w:ascii="Arial" w:hAnsi="Arial" w:cs="Arial"/>
                <w:sz w:val="20"/>
                <w:szCs w:val="20"/>
              </w:rPr>
              <w:t xml:space="preserve"> the limitations of BMI</w:t>
            </w:r>
            <w:r w:rsidRPr="00704E60">
              <w:rPr>
                <w:rFonts w:ascii="Arial" w:hAnsi="Arial" w:cs="Arial"/>
                <w:sz w:val="20"/>
                <w:szCs w:val="20"/>
              </w:rPr>
              <w:t xml:space="preserve">. </w:t>
            </w:r>
            <w:r w:rsidRPr="00704E60">
              <w:rPr>
                <w:rStyle w:val="citation-20"/>
                <w:rFonts w:ascii="Arial" w:hAnsi="Arial" w:cs="Arial"/>
                <w:sz w:val="20"/>
                <w:szCs w:val="20"/>
              </w:rPr>
              <w:t xml:space="preserve">A semi-quantitative </w:t>
            </w:r>
            <w:proofErr w:type="spellStart"/>
            <w:r w:rsidRPr="00704E60">
              <w:rPr>
                <w:rStyle w:val="citation-20"/>
                <w:rFonts w:ascii="Arial" w:hAnsi="Arial" w:cs="Arial"/>
                <w:sz w:val="20"/>
                <w:szCs w:val="20"/>
              </w:rPr>
              <w:t>food</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frequency</w:t>
            </w:r>
            <w:proofErr w:type="spellEnd"/>
            <w:r w:rsidRPr="00704E60">
              <w:rPr>
                <w:rStyle w:val="citation-20"/>
                <w:rFonts w:ascii="Arial" w:hAnsi="Arial" w:cs="Arial"/>
                <w:sz w:val="20"/>
                <w:szCs w:val="20"/>
              </w:rPr>
              <w:t xml:space="preserve"> questionnaire </w:t>
            </w:r>
            <w:proofErr w:type="spellStart"/>
            <w:r w:rsidRPr="00704E60">
              <w:rPr>
                <w:rStyle w:val="citation-20"/>
                <w:rFonts w:ascii="Arial" w:hAnsi="Arial" w:cs="Arial"/>
                <w:sz w:val="20"/>
                <w:szCs w:val="20"/>
              </w:rPr>
              <w:t>evaluated</w:t>
            </w:r>
            <w:proofErr w:type="spellEnd"/>
            <w:r w:rsidRPr="00704E60">
              <w:rPr>
                <w:rStyle w:val="citation-20"/>
                <w:rFonts w:ascii="Arial" w:hAnsi="Arial" w:cs="Arial"/>
                <w:sz w:val="20"/>
                <w:szCs w:val="20"/>
              </w:rPr>
              <w:t xml:space="preserve"> pro-</w:t>
            </w:r>
            <w:proofErr w:type="spellStart"/>
            <w:r w:rsidRPr="00704E60">
              <w:rPr>
                <w:rStyle w:val="citation-20"/>
                <w:rFonts w:ascii="Arial" w:hAnsi="Arial" w:cs="Arial"/>
                <w:sz w:val="20"/>
                <w:szCs w:val="20"/>
              </w:rPr>
              <w:t>inflammatory</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dietary</w:t>
            </w:r>
            <w:proofErr w:type="spellEnd"/>
            <w:r w:rsidRPr="00704E60">
              <w:rPr>
                <w:rStyle w:val="citation-20"/>
                <w:rFonts w:ascii="Arial" w:hAnsi="Arial" w:cs="Arial"/>
                <w:sz w:val="20"/>
                <w:szCs w:val="20"/>
              </w:rPr>
              <w:t xml:space="preserve"> habits, and </w:t>
            </w:r>
            <w:proofErr w:type="spellStart"/>
            <w:r w:rsidRPr="00704E60">
              <w:rPr>
                <w:rStyle w:val="citation-20"/>
                <w:rFonts w:ascii="Arial" w:hAnsi="Arial" w:cs="Arial"/>
                <w:sz w:val="20"/>
                <w:szCs w:val="20"/>
              </w:rPr>
              <w:t>clinical</w:t>
            </w:r>
            <w:proofErr w:type="spellEnd"/>
            <w:r w:rsidRPr="00704E60">
              <w:rPr>
                <w:rStyle w:val="citation-20"/>
                <w:rFonts w:ascii="Arial" w:hAnsi="Arial" w:cs="Arial"/>
                <w:sz w:val="20"/>
                <w:szCs w:val="20"/>
              </w:rPr>
              <w:t xml:space="preserve"> data, </w:t>
            </w:r>
            <w:proofErr w:type="spellStart"/>
            <w:r w:rsidRPr="00704E60">
              <w:rPr>
                <w:rStyle w:val="citation-20"/>
                <w:rFonts w:ascii="Arial" w:hAnsi="Arial" w:cs="Arial"/>
                <w:sz w:val="20"/>
                <w:szCs w:val="20"/>
              </w:rPr>
              <w:t>including</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hepatic</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steatosis</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were</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extracted</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from</w:t>
            </w:r>
            <w:proofErr w:type="spellEnd"/>
            <w:r w:rsidRPr="00704E60">
              <w:rPr>
                <w:rStyle w:val="citation-20"/>
                <w:rFonts w:ascii="Arial" w:hAnsi="Arial" w:cs="Arial"/>
                <w:sz w:val="20"/>
                <w:szCs w:val="20"/>
              </w:rPr>
              <w:t xml:space="preserve"> </w:t>
            </w:r>
            <w:proofErr w:type="spellStart"/>
            <w:r w:rsidRPr="00704E60">
              <w:rPr>
                <w:rStyle w:val="citation-20"/>
                <w:rFonts w:ascii="Arial" w:hAnsi="Arial" w:cs="Arial"/>
                <w:sz w:val="20"/>
                <w:szCs w:val="20"/>
              </w:rPr>
              <w:t>medical</w:t>
            </w:r>
            <w:proofErr w:type="spellEnd"/>
            <w:r w:rsidRPr="00704E60">
              <w:rPr>
                <w:rStyle w:val="citation-20"/>
                <w:rFonts w:ascii="Arial" w:hAnsi="Arial" w:cs="Arial"/>
                <w:sz w:val="20"/>
                <w:szCs w:val="20"/>
              </w:rPr>
              <w:t xml:space="preserve"> records</w:t>
            </w:r>
            <w:r w:rsidRPr="00704E60">
              <w:rPr>
                <w:rFonts w:ascii="Arial" w:hAnsi="Arial" w:cs="Arial"/>
                <w:sz w:val="20"/>
                <w:szCs w:val="20"/>
              </w:rPr>
              <w:t>.</w:t>
            </w:r>
          </w:p>
          <w:p w14:paraId="7D592036" w14:textId="77777777" w:rsidR="00704E60" w:rsidRPr="00704E60" w:rsidRDefault="00704E60" w:rsidP="00704E60">
            <w:pPr>
              <w:pStyle w:val="NormalWeb"/>
              <w:jc w:val="both"/>
              <w:rPr>
                <w:rFonts w:ascii="Arial" w:hAnsi="Arial" w:cs="Arial"/>
                <w:sz w:val="20"/>
                <w:szCs w:val="20"/>
              </w:rPr>
            </w:pPr>
            <w:proofErr w:type="spellStart"/>
            <w:proofErr w:type="gramStart"/>
            <w:r w:rsidRPr="00704E60">
              <w:rPr>
                <w:rStyle w:val="citation-19"/>
                <w:rFonts w:ascii="Arial" w:hAnsi="Arial" w:cs="Arial"/>
                <w:b/>
                <w:bCs/>
                <w:sz w:val="20"/>
                <w:szCs w:val="20"/>
              </w:rPr>
              <w:t>Results</w:t>
            </w:r>
            <w:proofErr w:type="spellEnd"/>
            <w:r w:rsidRPr="00704E60">
              <w:rPr>
                <w:rStyle w:val="citation-19"/>
                <w:rFonts w:ascii="Arial" w:hAnsi="Arial" w:cs="Arial"/>
                <w:sz w:val="20"/>
                <w:szCs w:val="20"/>
              </w:rPr>
              <w:t>:</w:t>
            </w:r>
            <w:proofErr w:type="gramEnd"/>
            <w:r w:rsidRPr="00704E60">
              <w:rPr>
                <w:rStyle w:val="citation-19"/>
                <w:rFonts w:ascii="Arial" w:hAnsi="Arial" w:cs="Arial"/>
                <w:sz w:val="20"/>
                <w:szCs w:val="20"/>
              </w:rPr>
              <w:t xml:space="preserve"> The </w:t>
            </w:r>
            <w:proofErr w:type="spellStart"/>
            <w:r w:rsidRPr="00704E60">
              <w:rPr>
                <w:rStyle w:val="citation-19"/>
                <w:rFonts w:ascii="Arial" w:hAnsi="Arial" w:cs="Arial"/>
                <w:sz w:val="20"/>
                <w:szCs w:val="20"/>
              </w:rPr>
              <w:t>cohort</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was</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predominantly</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infected</w:t>
            </w:r>
            <w:proofErr w:type="spellEnd"/>
            <w:r w:rsidRPr="00704E60">
              <w:rPr>
                <w:rStyle w:val="citation-19"/>
                <w:rFonts w:ascii="Arial" w:hAnsi="Arial" w:cs="Arial"/>
                <w:sz w:val="20"/>
                <w:szCs w:val="20"/>
              </w:rPr>
              <w:t xml:space="preserve"> </w:t>
            </w:r>
            <w:proofErr w:type="spellStart"/>
            <w:r w:rsidRPr="00704E60">
              <w:rPr>
                <w:rStyle w:val="citation-19"/>
                <w:rFonts w:ascii="Arial" w:hAnsi="Arial" w:cs="Arial"/>
                <w:sz w:val="20"/>
                <w:szCs w:val="20"/>
              </w:rPr>
              <w:t>with</w:t>
            </w:r>
            <w:proofErr w:type="spellEnd"/>
            <w:r w:rsidRPr="00704E60">
              <w:rPr>
                <w:rStyle w:val="citation-19"/>
                <w:rFonts w:ascii="Arial" w:hAnsi="Arial" w:cs="Arial"/>
                <w:sz w:val="20"/>
                <w:szCs w:val="20"/>
              </w:rPr>
              <w:t xml:space="preserve"> HBV (81.5%)</w:t>
            </w:r>
            <w:r w:rsidRPr="00704E60">
              <w:rPr>
                <w:rFonts w:ascii="Arial" w:hAnsi="Arial" w:cs="Arial"/>
                <w:sz w:val="20"/>
                <w:szCs w:val="20"/>
              </w:rPr>
              <w:t xml:space="preserve">. </w:t>
            </w:r>
            <w:r w:rsidRPr="00704E60">
              <w:rPr>
                <w:rStyle w:val="citation-18"/>
                <w:rFonts w:ascii="Arial" w:hAnsi="Arial" w:cs="Arial"/>
                <w:sz w:val="20"/>
                <w:szCs w:val="20"/>
              </w:rPr>
              <w:t xml:space="preserve">A </w:t>
            </w:r>
            <w:proofErr w:type="spellStart"/>
            <w:r w:rsidRPr="00704E60">
              <w:rPr>
                <w:rStyle w:val="citation-18"/>
                <w:rFonts w:ascii="Arial" w:hAnsi="Arial" w:cs="Arial"/>
                <w:sz w:val="20"/>
                <w:szCs w:val="20"/>
              </w:rPr>
              <w:t>significant</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metabolic</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comorbidity</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was</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evident</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with</w:t>
            </w:r>
            <w:proofErr w:type="spellEnd"/>
            <w:r w:rsidRPr="00704E60">
              <w:rPr>
                <w:rStyle w:val="citation-18"/>
                <w:rFonts w:ascii="Arial" w:hAnsi="Arial" w:cs="Arial"/>
                <w:sz w:val="20"/>
                <w:szCs w:val="20"/>
              </w:rPr>
              <w:t xml:space="preserve"> 55.2% of patients </w:t>
            </w:r>
            <w:proofErr w:type="spellStart"/>
            <w:r w:rsidRPr="00704E60">
              <w:rPr>
                <w:rStyle w:val="citation-18"/>
                <w:rFonts w:ascii="Arial" w:hAnsi="Arial" w:cs="Arial"/>
                <w:sz w:val="20"/>
                <w:szCs w:val="20"/>
              </w:rPr>
              <w:t>exhibiting</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hepatic</w:t>
            </w:r>
            <w:proofErr w:type="spellEnd"/>
            <w:r w:rsidRPr="00704E60">
              <w:rPr>
                <w:rStyle w:val="citation-18"/>
                <w:rFonts w:ascii="Arial" w:hAnsi="Arial" w:cs="Arial"/>
                <w:sz w:val="20"/>
                <w:szCs w:val="20"/>
              </w:rPr>
              <w:t xml:space="preserve"> </w:t>
            </w:r>
            <w:proofErr w:type="spellStart"/>
            <w:r w:rsidRPr="00704E60">
              <w:rPr>
                <w:rStyle w:val="citation-18"/>
                <w:rFonts w:ascii="Arial" w:hAnsi="Arial" w:cs="Arial"/>
                <w:sz w:val="20"/>
                <w:szCs w:val="20"/>
              </w:rPr>
              <w:t>steatosis</w:t>
            </w:r>
            <w:proofErr w:type="spellEnd"/>
            <w:r w:rsidRPr="00704E60">
              <w:rPr>
                <w:rFonts w:ascii="Arial" w:hAnsi="Arial" w:cs="Arial"/>
                <w:sz w:val="20"/>
                <w:szCs w:val="20"/>
              </w:rPr>
              <w:t xml:space="preserve">. </w:t>
            </w:r>
            <w:r w:rsidRPr="00704E60">
              <w:rPr>
                <w:rStyle w:val="citation-17"/>
                <w:rFonts w:ascii="Arial" w:hAnsi="Arial" w:cs="Arial"/>
                <w:sz w:val="20"/>
                <w:szCs w:val="20"/>
              </w:rPr>
              <w:t xml:space="preserve">BIA </w:t>
            </w:r>
            <w:proofErr w:type="spellStart"/>
            <w:r w:rsidRPr="00704E60">
              <w:rPr>
                <w:rStyle w:val="citation-17"/>
                <w:rFonts w:ascii="Arial" w:hAnsi="Arial" w:cs="Arial"/>
                <w:sz w:val="20"/>
                <w:szCs w:val="20"/>
              </w:rPr>
              <w:t>revealed</w:t>
            </w:r>
            <w:proofErr w:type="spellEnd"/>
            <w:r w:rsidRPr="00704E60">
              <w:rPr>
                <w:rStyle w:val="citation-17"/>
                <w:rFonts w:ascii="Arial" w:hAnsi="Arial" w:cs="Arial"/>
                <w:sz w:val="20"/>
                <w:szCs w:val="20"/>
              </w:rPr>
              <w:t xml:space="preserve"> a </w:t>
            </w:r>
            <w:proofErr w:type="spellStart"/>
            <w:r w:rsidRPr="00704E60">
              <w:rPr>
                <w:rStyle w:val="citation-17"/>
                <w:rFonts w:ascii="Arial" w:hAnsi="Arial" w:cs="Arial"/>
                <w:sz w:val="20"/>
                <w:szCs w:val="20"/>
              </w:rPr>
              <w:t>nutritional</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paradox</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masked</w:t>
            </w:r>
            <w:proofErr w:type="spellEnd"/>
            <w:r w:rsidRPr="00704E60">
              <w:rPr>
                <w:rStyle w:val="citation-17"/>
                <w:rFonts w:ascii="Arial" w:hAnsi="Arial" w:cs="Arial"/>
                <w:sz w:val="20"/>
                <w:szCs w:val="20"/>
              </w:rPr>
              <w:t xml:space="preserve"> by </w:t>
            </w:r>
            <w:proofErr w:type="gramStart"/>
            <w:r w:rsidRPr="00704E60">
              <w:rPr>
                <w:rStyle w:val="citation-17"/>
                <w:rFonts w:ascii="Arial" w:hAnsi="Arial" w:cs="Arial"/>
                <w:sz w:val="20"/>
                <w:szCs w:val="20"/>
              </w:rPr>
              <w:t>BMI:</w:t>
            </w:r>
            <w:proofErr w:type="gramEnd"/>
            <w:r w:rsidRPr="00704E60">
              <w:rPr>
                <w:rStyle w:val="citation-17"/>
                <w:rFonts w:ascii="Arial" w:hAnsi="Arial" w:cs="Arial"/>
                <w:sz w:val="20"/>
                <w:szCs w:val="20"/>
              </w:rPr>
              <w:t xml:space="preserve"> a high </w:t>
            </w:r>
            <w:proofErr w:type="spellStart"/>
            <w:r w:rsidRPr="00704E60">
              <w:rPr>
                <w:rStyle w:val="citation-17"/>
                <w:rFonts w:ascii="Arial" w:hAnsi="Arial" w:cs="Arial"/>
                <w:sz w:val="20"/>
                <w:szCs w:val="20"/>
              </w:rPr>
              <w:t>prevalence</w:t>
            </w:r>
            <w:proofErr w:type="spellEnd"/>
            <w:r w:rsidRPr="00704E60">
              <w:rPr>
                <w:rStyle w:val="citation-17"/>
                <w:rFonts w:ascii="Arial" w:hAnsi="Arial" w:cs="Arial"/>
                <w:sz w:val="20"/>
                <w:szCs w:val="20"/>
              </w:rPr>
              <w:t xml:space="preserve"> of </w:t>
            </w:r>
            <w:proofErr w:type="spellStart"/>
            <w:r w:rsidRPr="00704E60">
              <w:rPr>
                <w:rStyle w:val="citation-17"/>
                <w:rFonts w:ascii="Arial" w:hAnsi="Arial" w:cs="Arial"/>
                <w:sz w:val="20"/>
                <w:szCs w:val="20"/>
              </w:rPr>
              <w:t>visceral</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obesity</w:t>
            </w:r>
            <w:proofErr w:type="spellEnd"/>
            <w:r w:rsidRPr="00704E60">
              <w:rPr>
                <w:rStyle w:val="citation-17"/>
                <w:rFonts w:ascii="Arial" w:hAnsi="Arial" w:cs="Arial"/>
                <w:sz w:val="20"/>
                <w:szCs w:val="20"/>
              </w:rPr>
              <w:t xml:space="preserve"> (59.4% of men; 76.7% of </w:t>
            </w:r>
            <w:proofErr w:type="spellStart"/>
            <w:r w:rsidRPr="00704E60">
              <w:rPr>
                <w:rStyle w:val="citation-17"/>
                <w:rFonts w:ascii="Arial" w:hAnsi="Arial" w:cs="Arial"/>
                <w:sz w:val="20"/>
                <w:szCs w:val="20"/>
              </w:rPr>
              <w:t>women</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coexisted</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with</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severe</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protein</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depletion</w:t>
            </w:r>
            <w:proofErr w:type="spellEnd"/>
            <w:r w:rsidRPr="00704E60">
              <w:rPr>
                <w:rStyle w:val="citation-17"/>
                <w:rFonts w:ascii="Arial" w:hAnsi="Arial" w:cs="Arial"/>
                <w:sz w:val="20"/>
                <w:szCs w:val="20"/>
              </w:rPr>
              <w:t xml:space="preserve"> (59.4% of men; 82.9% of </w:t>
            </w:r>
            <w:proofErr w:type="spellStart"/>
            <w:r w:rsidRPr="00704E60">
              <w:rPr>
                <w:rStyle w:val="citation-17"/>
                <w:rFonts w:ascii="Arial" w:hAnsi="Arial" w:cs="Arial"/>
                <w:sz w:val="20"/>
                <w:szCs w:val="20"/>
              </w:rPr>
              <w:t>women</w:t>
            </w:r>
            <w:proofErr w:type="spellEnd"/>
            <w:r w:rsidRPr="00704E60">
              <w:rPr>
                <w:rStyle w:val="citation-17"/>
                <w:rFonts w:ascii="Arial" w:hAnsi="Arial" w:cs="Arial"/>
                <w:sz w:val="20"/>
                <w:szCs w:val="20"/>
              </w:rPr>
              <w:t xml:space="preserve">), a </w:t>
            </w:r>
            <w:proofErr w:type="spellStart"/>
            <w:r w:rsidRPr="00704E60">
              <w:rPr>
                <w:rStyle w:val="citation-17"/>
                <w:rFonts w:ascii="Arial" w:hAnsi="Arial" w:cs="Arial"/>
                <w:sz w:val="20"/>
                <w:szCs w:val="20"/>
              </w:rPr>
              <w:t>classic</w:t>
            </w:r>
            <w:proofErr w:type="spellEnd"/>
            <w:r w:rsidRPr="00704E60">
              <w:rPr>
                <w:rStyle w:val="citation-17"/>
                <w:rFonts w:ascii="Arial" w:hAnsi="Arial" w:cs="Arial"/>
                <w:sz w:val="20"/>
                <w:szCs w:val="20"/>
              </w:rPr>
              <w:t xml:space="preserve"> signature of </w:t>
            </w:r>
            <w:proofErr w:type="spellStart"/>
            <w:r w:rsidRPr="00704E60">
              <w:rPr>
                <w:rStyle w:val="citation-17"/>
                <w:rFonts w:ascii="Arial" w:hAnsi="Arial" w:cs="Arial"/>
                <w:sz w:val="20"/>
                <w:szCs w:val="20"/>
              </w:rPr>
              <w:t>sarcopenic</w:t>
            </w:r>
            <w:proofErr w:type="spellEnd"/>
            <w:r w:rsidRPr="00704E60">
              <w:rPr>
                <w:rStyle w:val="citation-17"/>
                <w:rFonts w:ascii="Arial" w:hAnsi="Arial" w:cs="Arial"/>
                <w:sz w:val="20"/>
                <w:szCs w:val="20"/>
              </w:rPr>
              <w:t xml:space="preserve"> </w:t>
            </w:r>
            <w:proofErr w:type="spellStart"/>
            <w:r w:rsidRPr="00704E60">
              <w:rPr>
                <w:rStyle w:val="citation-17"/>
                <w:rFonts w:ascii="Arial" w:hAnsi="Arial" w:cs="Arial"/>
                <w:sz w:val="20"/>
                <w:szCs w:val="20"/>
              </w:rPr>
              <w:t>obesity</w:t>
            </w:r>
            <w:proofErr w:type="spellEnd"/>
            <w:r w:rsidRPr="00704E60">
              <w:rPr>
                <w:rFonts w:ascii="Arial" w:hAnsi="Arial" w:cs="Arial"/>
                <w:sz w:val="20"/>
                <w:szCs w:val="20"/>
              </w:rPr>
              <w:t xml:space="preserve">. </w:t>
            </w:r>
            <w:r w:rsidRPr="00704E60">
              <w:rPr>
                <w:rStyle w:val="citation-16"/>
                <w:rFonts w:ascii="Arial" w:hAnsi="Arial" w:cs="Arial"/>
                <w:sz w:val="20"/>
                <w:szCs w:val="20"/>
              </w:rPr>
              <w:t xml:space="preserve">This adverse </w:t>
            </w:r>
            <w:proofErr w:type="spellStart"/>
            <w:r w:rsidRPr="00704E60">
              <w:rPr>
                <w:rStyle w:val="citation-16"/>
                <w:rFonts w:ascii="Arial" w:hAnsi="Arial" w:cs="Arial"/>
                <w:sz w:val="20"/>
                <w:szCs w:val="20"/>
              </w:rPr>
              <w:t>phenotype</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was</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linked</w:t>
            </w:r>
            <w:proofErr w:type="spellEnd"/>
            <w:r w:rsidRPr="00704E60">
              <w:rPr>
                <w:rStyle w:val="citation-16"/>
                <w:rFonts w:ascii="Arial" w:hAnsi="Arial" w:cs="Arial"/>
                <w:sz w:val="20"/>
                <w:szCs w:val="20"/>
              </w:rPr>
              <w:t xml:space="preserve"> to a pro-</w:t>
            </w:r>
            <w:proofErr w:type="spellStart"/>
            <w:r w:rsidRPr="00704E60">
              <w:rPr>
                <w:rStyle w:val="citation-16"/>
                <w:rFonts w:ascii="Arial" w:hAnsi="Arial" w:cs="Arial"/>
                <w:sz w:val="20"/>
                <w:szCs w:val="20"/>
              </w:rPr>
              <w:t>inflammatory</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diet</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including</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near-universal</w:t>
            </w:r>
            <w:proofErr w:type="spellEnd"/>
            <w:r w:rsidRPr="00704E60">
              <w:rPr>
                <w:rStyle w:val="citation-16"/>
                <w:rFonts w:ascii="Arial" w:hAnsi="Arial" w:cs="Arial"/>
                <w:sz w:val="20"/>
                <w:szCs w:val="20"/>
              </w:rPr>
              <w:t xml:space="preserve"> use of </w:t>
            </w:r>
            <w:proofErr w:type="spellStart"/>
            <w:r w:rsidRPr="00704E60">
              <w:rPr>
                <w:rStyle w:val="citation-16"/>
                <w:rFonts w:ascii="Arial" w:hAnsi="Arial" w:cs="Arial"/>
                <w:sz w:val="20"/>
                <w:szCs w:val="20"/>
              </w:rPr>
              <w:t>industrial</w:t>
            </w:r>
            <w:proofErr w:type="spellEnd"/>
            <w:r w:rsidRPr="00704E60">
              <w:rPr>
                <w:rStyle w:val="citation-16"/>
                <w:rFonts w:ascii="Arial" w:hAnsi="Arial" w:cs="Arial"/>
                <w:sz w:val="20"/>
                <w:szCs w:val="20"/>
              </w:rPr>
              <w:t xml:space="preserve"> bouillon cubes (&gt;86%), </w:t>
            </w:r>
            <w:proofErr w:type="spellStart"/>
            <w:r w:rsidRPr="00704E60">
              <w:rPr>
                <w:rStyle w:val="citation-16"/>
                <w:rFonts w:ascii="Arial" w:hAnsi="Arial" w:cs="Arial"/>
                <w:sz w:val="20"/>
                <w:szCs w:val="20"/>
              </w:rPr>
              <w:t>regular</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consumption</w:t>
            </w:r>
            <w:proofErr w:type="spellEnd"/>
            <w:r w:rsidRPr="00704E60">
              <w:rPr>
                <w:rStyle w:val="citation-16"/>
                <w:rFonts w:ascii="Arial" w:hAnsi="Arial" w:cs="Arial"/>
                <w:sz w:val="20"/>
                <w:szCs w:val="20"/>
              </w:rPr>
              <w:t xml:space="preserve"> of </w:t>
            </w:r>
            <w:proofErr w:type="spellStart"/>
            <w:r w:rsidRPr="00704E60">
              <w:rPr>
                <w:rStyle w:val="citation-16"/>
                <w:rFonts w:ascii="Arial" w:hAnsi="Arial" w:cs="Arial"/>
                <w:sz w:val="20"/>
                <w:szCs w:val="20"/>
              </w:rPr>
              <w:t>sugary</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products</w:t>
            </w:r>
            <w:proofErr w:type="spellEnd"/>
            <w:r w:rsidRPr="00704E60">
              <w:rPr>
                <w:rStyle w:val="citation-16"/>
                <w:rFonts w:ascii="Arial" w:hAnsi="Arial" w:cs="Arial"/>
                <w:sz w:val="20"/>
                <w:szCs w:val="20"/>
              </w:rPr>
              <w:t xml:space="preserve"> (&gt;88%), and high </w:t>
            </w:r>
            <w:proofErr w:type="spellStart"/>
            <w:r w:rsidRPr="00704E60">
              <w:rPr>
                <w:rStyle w:val="citation-16"/>
                <w:rFonts w:ascii="Arial" w:hAnsi="Arial" w:cs="Arial"/>
                <w:sz w:val="20"/>
                <w:szCs w:val="20"/>
              </w:rPr>
              <w:t>dependency</w:t>
            </w:r>
            <w:proofErr w:type="spellEnd"/>
            <w:r w:rsidRPr="00704E60">
              <w:rPr>
                <w:rStyle w:val="citation-16"/>
                <w:rFonts w:ascii="Arial" w:hAnsi="Arial" w:cs="Arial"/>
                <w:sz w:val="20"/>
                <w:szCs w:val="20"/>
              </w:rPr>
              <w:t xml:space="preserve"> on "</w:t>
            </w:r>
            <w:proofErr w:type="spellStart"/>
            <w:r w:rsidRPr="00704E60">
              <w:rPr>
                <w:rStyle w:val="citation-16"/>
                <w:rFonts w:ascii="Arial" w:hAnsi="Arial" w:cs="Arial"/>
                <w:sz w:val="20"/>
                <w:szCs w:val="20"/>
              </w:rPr>
              <w:t>street</w:t>
            </w:r>
            <w:proofErr w:type="spellEnd"/>
            <w:r w:rsidRPr="00704E60">
              <w:rPr>
                <w:rStyle w:val="citation-16"/>
                <w:rFonts w:ascii="Arial" w:hAnsi="Arial" w:cs="Arial"/>
                <w:sz w:val="20"/>
                <w:szCs w:val="20"/>
              </w:rPr>
              <w:t xml:space="preserve"> </w:t>
            </w:r>
            <w:proofErr w:type="spellStart"/>
            <w:r w:rsidRPr="00704E60">
              <w:rPr>
                <w:rStyle w:val="citation-16"/>
                <w:rFonts w:ascii="Arial" w:hAnsi="Arial" w:cs="Arial"/>
                <w:sz w:val="20"/>
                <w:szCs w:val="20"/>
              </w:rPr>
              <w:t>food</w:t>
            </w:r>
            <w:proofErr w:type="spellEnd"/>
            <w:r w:rsidRPr="00704E60">
              <w:rPr>
                <w:rStyle w:val="citation-16"/>
                <w:rFonts w:ascii="Arial" w:hAnsi="Arial" w:cs="Arial"/>
                <w:sz w:val="20"/>
                <w:szCs w:val="20"/>
              </w:rPr>
              <w:t>" (76.9%)</w:t>
            </w:r>
            <w:r w:rsidRPr="00704E60">
              <w:rPr>
                <w:rFonts w:ascii="Arial" w:hAnsi="Arial" w:cs="Arial"/>
                <w:sz w:val="20"/>
                <w:szCs w:val="20"/>
              </w:rPr>
              <w:t>.</w:t>
            </w:r>
          </w:p>
          <w:p w14:paraId="5F35ACA7" w14:textId="77777777" w:rsidR="00704E60" w:rsidRPr="00704E60" w:rsidRDefault="00704E60" w:rsidP="00704E60">
            <w:pPr>
              <w:pStyle w:val="NormalWeb"/>
              <w:jc w:val="both"/>
              <w:rPr>
                <w:rFonts w:ascii="Arial" w:hAnsi="Arial" w:cs="Arial"/>
                <w:sz w:val="20"/>
                <w:szCs w:val="20"/>
              </w:rPr>
            </w:pPr>
            <w:proofErr w:type="gramStart"/>
            <w:r w:rsidRPr="00704E60">
              <w:rPr>
                <w:rStyle w:val="citation-15"/>
                <w:rFonts w:ascii="Arial" w:hAnsi="Arial" w:cs="Arial"/>
                <w:b/>
                <w:bCs/>
                <w:sz w:val="20"/>
                <w:szCs w:val="20"/>
              </w:rPr>
              <w:t>Conclusion</w:t>
            </w:r>
            <w:r w:rsidRPr="00704E60">
              <w:rPr>
                <w:rStyle w:val="citation-15"/>
                <w:rFonts w:ascii="Arial" w:hAnsi="Arial" w:cs="Arial"/>
                <w:sz w:val="20"/>
                <w:szCs w:val="20"/>
              </w:rPr>
              <w:t>:</w:t>
            </w:r>
            <w:proofErr w:type="gramEnd"/>
            <w:r w:rsidRPr="00704E60">
              <w:rPr>
                <w:rStyle w:val="citation-15"/>
                <w:rFonts w:ascii="Arial" w:hAnsi="Arial" w:cs="Arial"/>
                <w:sz w:val="20"/>
                <w:szCs w:val="20"/>
              </w:rPr>
              <w:t xml:space="preserve"> Patients </w:t>
            </w:r>
            <w:proofErr w:type="spellStart"/>
            <w:r w:rsidRPr="00704E60">
              <w:rPr>
                <w:rStyle w:val="citation-15"/>
                <w:rFonts w:ascii="Arial" w:hAnsi="Arial" w:cs="Arial"/>
                <w:sz w:val="20"/>
                <w:szCs w:val="20"/>
              </w:rPr>
              <w:t>with</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chronic</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hepatitis</w:t>
            </w:r>
            <w:proofErr w:type="spellEnd"/>
            <w:r w:rsidRPr="00704E60">
              <w:rPr>
                <w:rStyle w:val="citation-15"/>
                <w:rFonts w:ascii="Arial" w:hAnsi="Arial" w:cs="Arial"/>
                <w:sz w:val="20"/>
                <w:szCs w:val="20"/>
              </w:rPr>
              <w:t xml:space="preserve"> in Lomé face </w:t>
            </w:r>
            <w:proofErr w:type="spellStart"/>
            <w:r w:rsidRPr="00704E60">
              <w:rPr>
                <w:rStyle w:val="citation-15"/>
                <w:rFonts w:ascii="Arial" w:hAnsi="Arial" w:cs="Arial"/>
                <w:sz w:val="20"/>
                <w:szCs w:val="20"/>
              </w:rPr>
              <w:t>a</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synergistic</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threat</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from</w:t>
            </w:r>
            <w:proofErr w:type="spellEnd"/>
            <w:r w:rsidRPr="00704E60">
              <w:rPr>
                <w:rStyle w:val="citation-15"/>
                <w:rFonts w:ascii="Arial" w:hAnsi="Arial" w:cs="Arial"/>
                <w:sz w:val="20"/>
                <w:szCs w:val="20"/>
              </w:rPr>
              <w:t xml:space="preserve"> viral infection and a </w:t>
            </w:r>
            <w:proofErr w:type="spellStart"/>
            <w:r w:rsidRPr="00704E60">
              <w:rPr>
                <w:rStyle w:val="citation-15"/>
                <w:rFonts w:ascii="Arial" w:hAnsi="Arial" w:cs="Arial"/>
                <w:sz w:val="20"/>
                <w:szCs w:val="20"/>
              </w:rPr>
              <w:t>diet-driven</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metabolic</w:t>
            </w:r>
            <w:proofErr w:type="spellEnd"/>
            <w:r w:rsidRPr="00704E60">
              <w:rPr>
                <w:rStyle w:val="citation-15"/>
                <w:rFonts w:ascii="Arial" w:hAnsi="Arial" w:cs="Arial"/>
                <w:sz w:val="20"/>
                <w:szCs w:val="20"/>
              </w:rPr>
              <w:t xml:space="preserve"> syndrome, </w:t>
            </w:r>
            <w:proofErr w:type="spellStart"/>
            <w:r w:rsidRPr="00704E60">
              <w:rPr>
                <w:rStyle w:val="citation-15"/>
                <w:rFonts w:ascii="Arial" w:hAnsi="Arial" w:cs="Arial"/>
                <w:sz w:val="20"/>
                <w:szCs w:val="20"/>
              </w:rPr>
              <w:t>manifesting</w:t>
            </w:r>
            <w:proofErr w:type="spellEnd"/>
            <w:r w:rsidRPr="00704E60">
              <w:rPr>
                <w:rStyle w:val="citation-15"/>
                <w:rFonts w:ascii="Arial" w:hAnsi="Arial" w:cs="Arial"/>
                <w:sz w:val="20"/>
                <w:szCs w:val="20"/>
              </w:rPr>
              <w:t xml:space="preserve"> as </w:t>
            </w:r>
            <w:proofErr w:type="spellStart"/>
            <w:r w:rsidRPr="00704E60">
              <w:rPr>
                <w:rStyle w:val="citation-15"/>
                <w:rFonts w:ascii="Arial" w:hAnsi="Arial" w:cs="Arial"/>
                <w:sz w:val="20"/>
                <w:szCs w:val="20"/>
              </w:rPr>
              <w:t>highly</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prevalent</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clinically</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occult</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sarcopenic</w:t>
            </w:r>
            <w:proofErr w:type="spellEnd"/>
            <w:r w:rsidRPr="00704E60">
              <w:rPr>
                <w:rStyle w:val="citation-15"/>
                <w:rFonts w:ascii="Arial" w:hAnsi="Arial" w:cs="Arial"/>
                <w:sz w:val="20"/>
                <w:szCs w:val="20"/>
              </w:rPr>
              <w:t xml:space="preserve"> </w:t>
            </w:r>
            <w:proofErr w:type="spellStart"/>
            <w:r w:rsidRPr="00704E60">
              <w:rPr>
                <w:rStyle w:val="citation-15"/>
                <w:rFonts w:ascii="Arial" w:hAnsi="Arial" w:cs="Arial"/>
                <w:sz w:val="20"/>
                <w:szCs w:val="20"/>
              </w:rPr>
              <w:t>obesity</w:t>
            </w:r>
            <w:proofErr w:type="spellEnd"/>
            <w:r w:rsidRPr="00704E60">
              <w:rPr>
                <w:rFonts w:ascii="Arial" w:hAnsi="Arial" w:cs="Arial"/>
                <w:sz w:val="20"/>
                <w:szCs w:val="20"/>
              </w:rPr>
              <w:t xml:space="preserve">. </w:t>
            </w:r>
            <w:r w:rsidRPr="00704E60">
              <w:rPr>
                <w:rStyle w:val="citation-14"/>
                <w:rFonts w:ascii="Arial" w:hAnsi="Arial" w:cs="Arial"/>
                <w:sz w:val="20"/>
                <w:szCs w:val="20"/>
              </w:rPr>
              <w:t xml:space="preserve">The </w:t>
            </w:r>
            <w:proofErr w:type="spellStart"/>
            <w:r w:rsidRPr="00704E60">
              <w:rPr>
                <w:rStyle w:val="citation-14"/>
                <w:rFonts w:ascii="Arial" w:hAnsi="Arial" w:cs="Arial"/>
                <w:sz w:val="20"/>
                <w:szCs w:val="20"/>
              </w:rPr>
              <w:t>reliance</w:t>
            </w:r>
            <w:proofErr w:type="spellEnd"/>
            <w:r w:rsidRPr="00704E60">
              <w:rPr>
                <w:rStyle w:val="citation-14"/>
                <w:rFonts w:ascii="Arial" w:hAnsi="Arial" w:cs="Arial"/>
                <w:sz w:val="20"/>
                <w:szCs w:val="20"/>
              </w:rPr>
              <w:t xml:space="preserve"> on BMI for </w:t>
            </w:r>
            <w:proofErr w:type="spellStart"/>
            <w:r w:rsidRPr="00704E60">
              <w:rPr>
                <w:rStyle w:val="citation-14"/>
                <w:rFonts w:ascii="Arial" w:hAnsi="Arial" w:cs="Arial"/>
                <w:sz w:val="20"/>
                <w:szCs w:val="20"/>
              </w:rPr>
              <w:t>nutritional</w:t>
            </w:r>
            <w:proofErr w:type="spellEnd"/>
            <w:r w:rsidRPr="00704E60">
              <w:rPr>
                <w:rStyle w:val="citation-14"/>
                <w:rFonts w:ascii="Arial" w:hAnsi="Arial" w:cs="Arial"/>
                <w:sz w:val="20"/>
                <w:szCs w:val="20"/>
              </w:rPr>
              <w:t xml:space="preserve"> </w:t>
            </w:r>
            <w:proofErr w:type="spellStart"/>
            <w:r w:rsidRPr="00704E60">
              <w:rPr>
                <w:rStyle w:val="citation-14"/>
                <w:rFonts w:ascii="Arial" w:hAnsi="Arial" w:cs="Arial"/>
                <w:sz w:val="20"/>
                <w:szCs w:val="20"/>
              </w:rPr>
              <w:t>assessment</w:t>
            </w:r>
            <w:proofErr w:type="spellEnd"/>
            <w:r w:rsidRPr="00704E60">
              <w:rPr>
                <w:rStyle w:val="citation-14"/>
                <w:rFonts w:ascii="Arial" w:hAnsi="Arial" w:cs="Arial"/>
                <w:sz w:val="20"/>
                <w:szCs w:val="20"/>
              </w:rPr>
              <w:t xml:space="preserve"> </w:t>
            </w:r>
            <w:proofErr w:type="spellStart"/>
            <w:r w:rsidRPr="00704E60">
              <w:rPr>
                <w:rStyle w:val="citation-14"/>
                <w:rFonts w:ascii="Arial" w:hAnsi="Arial" w:cs="Arial"/>
                <w:sz w:val="20"/>
                <w:szCs w:val="20"/>
              </w:rPr>
              <w:t>is</w:t>
            </w:r>
            <w:proofErr w:type="spellEnd"/>
            <w:r w:rsidRPr="00704E60">
              <w:rPr>
                <w:rStyle w:val="citation-14"/>
                <w:rFonts w:ascii="Arial" w:hAnsi="Arial" w:cs="Arial"/>
                <w:sz w:val="20"/>
                <w:szCs w:val="20"/>
              </w:rPr>
              <w:t xml:space="preserve"> a </w:t>
            </w:r>
            <w:proofErr w:type="spellStart"/>
            <w:r w:rsidRPr="00704E60">
              <w:rPr>
                <w:rStyle w:val="citation-14"/>
                <w:rFonts w:ascii="Arial" w:hAnsi="Arial" w:cs="Arial"/>
                <w:sz w:val="20"/>
                <w:szCs w:val="20"/>
              </w:rPr>
              <w:t>clinical</w:t>
            </w:r>
            <w:proofErr w:type="spellEnd"/>
            <w:r w:rsidRPr="00704E60">
              <w:rPr>
                <w:rStyle w:val="citation-14"/>
                <w:rFonts w:ascii="Arial" w:hAnsi="Arial" w:cs="Arial"/>
                <w:sz w:val="20"/>
                <w:szCs w:val="20"/>
              </w:rPr>
              <w:t xml:space="preserve"> </w:t>
            </w:r>
            <w:proofErr w:type="spellStart"/>
            <w:r w:rsidRPr="00704E60">
              <w:rPr>
                <w:rStyle w:val="citation-14"/>
                <w:rFonts w:ascii="Arial" w:hAnsi="Arial" w:cs="Arial"/>
                <w:sz w:val="20"/>
                <w:szCs w:val="20"/>
              </w:rPr>
              <w:t>failure</w:t>
            </w:r>
            <w:proofErr w:type="spellEnd"/>
            <w:r w:rsidRPr="00704E60">
              <w:rPr>
                <w:rStyle w:val="citation-14"/>
                <w:rFonts w:ascii="Arial" w:hAnsi="Arial" w:cs="Arial"/>
                <w:sz w:val="20"/>
                <w:szCs w:val="20"/>
              </w:rPr>
              <w:t xml:space="preserve"> in </w:t>
            </w:r>
            <w:proofErr w:type="spellStart"/>
            <w:r w:rsidRPr="00704E60">
              <w:rPr>
                <w:rStyle w:val="citation-14"/>
                <w:rFonts w:ascii="Arial" w:hAnsi="Arial" w:cs="Arial"/>
                <w:sz w:val="20"/>
                <w:szCs w:val="20"/>
              </w:rPr>
              <w:t>this</w:t>
            </w:r>
            <w:proofErr w:type="spellEnd"/>
            <w:r w:rsidRPr="00704E60">
              <w:rPr>
                <w:rStyle w:val="citation-14"/>
                <w:rFonts w:ascii="Arial" w:hAnsi="Arial" w:cs="Arial"/>
                <w:sz w:val="20"/>
                <w:szCs w:val="20"/>
              </w:rPr>
              <w:t xml:space="preserve"> population</w:t>
            </w:r>
            <w:r w:rsidRPr="00704E60">
              <w:rPr>
                <w:rFonts w:ascii="Arial" w:hAnsi="Arial" w:cs="Arial"/>
                <w:sz w:val="20"/>
                <w:szCs w:val="20"/>
              </w:rPr>
              <w:t xml:space="preserve">. </w:t>
            </w:r>
            <w:r w:rsidRPr="00704E60">
              <w:rPr>
                <w:rStyle w:val="citation-13"/>
                <w:rFonts w:ascii="Arial" w:hAnsi="Arial" w:cs="Arial"/>
                <w:sz w:val="20"/>
                <w:szCs w:val="20"/>
              </w:rPr>
              <w:t xml:space="preserve">A </w:t>
            </w:r>
            <w:proofErr w:type="spellStart"/>
            <w:r w:rsidRPr="00704E60">
              <w:rPr>
                <w:rStyle w:val="citation-13"/>
                <w:rFonts w:ascii="Arial" w:hAnsi="Arial" w:cs="Arial"/>
                <w:sz w:val="20"/>
                <w:szCs w:val="20"/>
              </w:rPr>
              <w:t>paradigm</w:t>
            </w:r>
            <w:proofErr w:type="spellEnd"/>
            <w:r w:rsidRPr="00704E60">
              <w:rPr>
                <w:rStyle w:val="citation-13"/>
                <w:rFonts w:ascii="Arial" w:hAnsi="Arial" w:cs="Arial"/>
                <w:sz w:val="20"/>
                <w:szCs w:val="20"/>
              </w:rPr>
              <w:t xml:space="preserve"> shift in management </w:t>
            </w:r>
            <w:proofErr w:type="spellStart"/>
            <w:r w:rsidRPr="00704E60">
              <w:rPr>
                <w:rStyle w:val="citation-13"/>
                <w:rFonts w:ascii="Arial" w:hAnsi="Arial" w:cs="Arial"/>
                <w:sz w:val="20"/>
                <w:szCs w:val="20"/>
              </w:rPr>
              <w:t>is</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imperative</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requiring</w:t>
            </w:r>
            <w:proofErr w:type="spellEnd"/>
            <w:r w:rsidRPr="00704E60">
              <w:rPr>
                <w:rStyle w:val="citation-13"/>
                <w:rFonts w:ascii="Arial" w:hAnsi="Arial" w:cs="Arial"/>
                <w:sz w:val="20"/>
                <w:szCs w:val="20"/>
              </w:rPr>
              <w:t xml:space="preserve"> the </w:t>
            </w:r>
            <w:proofErr w:type="spellStart"/>
            <w:r w:rsidRPr="00704E60">
              <w:rPr>
                <w:rStyle w:val="citation-13"/>
                <w:rFonts w:ascii="Arial" w:hAnsi="Arial" w:cs="Arial"/>
                <w:sz w:val="20"/>
                <w:szCs w:val="20"/>
              </w:rPr>
              <w:t>integration</w:t>
            </w:r>
            <w:proofErr w:type="spellEnd"/>
            <w:r w:rsidRPr="00704E60">
              <w:rPr>
                <w:rStyle w:val="citation-13"/>
                <w:rFonts w:ascii="Arial" w:hAnsi="Arial" w:cs="Arial"/>
                <w:sz w:val="20"/>
                <w:szCs w:val="20"/>
              </w:rPr>
              <w:t xml:space="preserve"> of body composition </w:t>
            </w:r>
            <w:proofErr w:type="spellStart"/>
            <w:r w:rsidRPr="00704E60">
              <w:rPr>
                <w:rStyle w:val="citation-13"/>
                <w:rFonts w:ascii="Arial" w:hAnsi="Arial" w:cs="Arial"/>
                <w:sz w:val="20"/>
                <w:szCs w:val="20"/>
              </w:rPr>
              <w:t>analysis</w:t>
            </w:r>
            <w:proofErr w:type="spellEnd"/>
            <w:r w:rsidRPr="00704E60">
              <w:rPr>
                <w:rStyle w:val="citation-13"/>
                <w:rFonts w:ascii="Arial" w:hAnsi="Arial" w:cs="Arial"/>
                <w:sz w:val="20"/>
                <w:szCs w:val="20"/>
              </w:rPr>
              <w:t xml:space="preserve"> and </w:t>
            </w:r>
            <w:proofErr w:type="spellStart"/>
            <w:r w:rsidRPr="00704E60">
              <w:rPr>
                <w:rStyle w:val="citation-13"/>
                <w:rFonts w:ascii="Arial" w:hAnsi="Arial" w:cs="Arial"/>
                <w:sz w:val="20"/>
                <w:szCs w:val="20"/>
              </w:rPr>
              <w:t>elevating</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culturally</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adapted</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nutritional</w:t>
            </w:r>
            <w:proofErr w:type="spellEnd"/>
            <w:r w:rsidRPr="00704E60">
              <w:rPr>
                <w:rStyle w:val="citation-13"/>
                <w:rFonts w:ascii="Arial" w:hAnsi="Arial" w:cs="Arial"/>
                <w:sz w:val="20"/>
                <w:szCs w:val="20"/>
              </w:rPr>
              <w:t xml:space="preserve"> </w:t>
            </w:r>
            <w:proofErr w:type="spellStart"/>
            <w:r w:rsidRPr="00704E60">
              <w:rPr>
                <w:rStyle w:val="citation-13"/>
                <w:rFonts w:ascii="Arial" w:hAnsi="Arial" w:cs="Arial"/>
                <w:sz w:val="20"/>
                <w:szCs w:val="20"/>
              </w:rPr>
              <w:t>therapy</w:t>
            </w:r>
            <w:proofErr w:type="spellEnd"/>
            <w:r w:rsidRPr="00704E60">
              <w:rPr>
                <w:rStyle w:val="citation-13"/>
                <w:rFonts w:ascii="Arial" w:hAnsi="Arial" w:cs="Arial"/>
                <w:sz w:val="20"/>
                <w:szCs w:val="20"/>
              </w:rPr>
              <w:t xml:space="preserve"> to a central </w:t>
            </w:r>
            <w:proofErr w:type="spellStart"/>
            <w:r w:rsidRPr="00704E60">
              <w:rPr>
                <w:rStyle w:val="citation-13"/>
                <w:rFonts w:ascii="Arial" w:hAnsi="Arial" w:cs="Arial"/>
                <w:sz w:val="20"/>
                <w:szCs w:val="20"/>
              </w:rPr>
              <w:t>pillar</w:t>
            </w:r>
            <w:proofErr w:type="spellEnd"/>
            <w:r w:rsidRPr="00704E60">
              <w:rPr>
                <w:rStyle w:val="citation-13"/>
                <w:rFonts w:ascii="Arial" w:hAnsi="Arial" w:cs="Arial"/>
                <w:sz w:val="20"/>
                <w:szCs w:val="20"/>
              </w:rPr>
              <w:t xml:space="preserve"> of </w:t>
            </w:r>
            <w:proofErr w:type="spellStart"/>
            <w:r w:rsidRPr="00704E60">
              <w:rPr>
                <w:rStyle w:val="citation-13"/>
                <w:rFonts w:ascii="Arial" w:hAnsi="Arial" w:cs="Arial"/>
                <w:sz w:val="20"/>
                <w:szCs w:val="20"/>
              </w:rPr>
              <w:t>treatment</w:t>
            </w:r>
            <w:proofErr w:type="spellEnd"/>
            <w:r w:rsidRPr="00704E60">
              <w:rPr>
                <w:rFonts w:ascii="Arial" w:hAnsi="Arial" w:cs="Arial"/>
                <w:sz w:val="20"/>
                <w:szCs w:val="20"/>
              </w:rPr>
              <w:t>.</w:t>
            </w:r>
          </w:p>
          <w:p w14:paraId="292D7862" w14:textId="77777777" w:rsidR="00505F06" w:rsidRPr="00BA1B01" w:rsidRDefault="00505F06" w:rsidP="00441B6F">
            <w:pPr>
              <w:pStyle w:val="Body"/>
              <w:spacing w:after="0"/>
              <w:rPr>
                <w:rFonts w:ascii="Arial" w:eastAsia="Calibri" w:hAnsi="Arial" w:cs="Arial"/>
                <w:szCs w:val="22"/>
              </w:rPr>
            </w:pPr>
          </w:p>
        </w:tc>
      </w:tr>
    </w:tbl>
    <w:p w14:paraId="750E0845" w14:textId="77777777" w:rsidR="00505F06" w:rsidRPr="005B73E9" w:rsidRDefault="00A24E7E" w:rsidP="005B73E9">
      <w:pPr>
        <w:pStyle w:val="NormalWeb"/>
      </w:pPr>
      <w:proofErr w:type="gramStart"/>
      <w:r>
        <w:rPr>
          <w:rFonts w:ascii="Arial" w:hAnsi="Arial" w:cs="Arial"/>
          <w:i/>
        </w:rPr>
        <w:t>Keywords:</w:t>
      </w:r>
      <w:proofErr w:type="gramEnd"/>
      <w:r>
        <w:rPr>
          <w:rFonts w:ascii="Arial" w:hAnsi="Arial" w:cs="Arial"/>
          <w:i/>
        </w:rPr>
        <w:t xml:space="preserve"> </w:t>
      </w:r>
      <w:proofErr w:type="spellStart"/>
      <w:r w:rsidR="007C37E6" w:rsidRPr="007C37E6">
        <w:rPr>
          <w:rFonts w:ascii="Arial" w:hAnsi="Arial" w:cs="Arial"/>
          <w:i/>
          <w:sz w:val="20"/>
          <w:szCs w:val="20"/>
        </w:rPr>
        <w:t>Chronic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Hepatitis</w:t>
      </w:r>
      <w:proofErr w:type="spellEnd"/>
      <w:r w:rsidR="007C37E6" w:rsidRPr="007C37E6">
        <w:rPr>
          <w:rFonts w:ascii="Arial" w:hAnsi="Arial" w:cs="Arial"/>
          <w:i/>
          <w:sz w:val="20"/>
          <w:szCs w:val="20"/>
        </w:rPr>
        <w:t xml:space="preserve"> B, </w:t>
      </w:r>
      <w:proofErr w:type="spellStart"/>
      <w:r w:rsidR="007C37E6" w:rsidRPr="007C37E6">
        <w:rPr>
          <w:rFonts w:ascii="Arial" w:hAnsi="Arial" w:cs="Arial"/>
          <w:i/>
          <w:sz w:val="20"/>
          <w:szCs w:val="20"/>
        </w:rPr>
        <w:t>Sarcopenic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Obesity</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Metabolic</w:t>
      </w:r>
      <w:proofErr w:type="spellEnd"/>
      <w:r w:rsidR="007C37E6" w:rsidRPr="007C37E6">
        <w:rPr>
          <w:rFonts w:ascii="Arial" w:hAnsi="Arial" w:cs="Arial"/>
          <w:i/>
          <w:sz w:val="20"/>
          <w:szCs w:val="20"/>
        </w:rPr>
        <w:t xml:space="preserve"> Syndrome, </w:t>
      </w:r>
      <w:proofErr w:type="spellStart"/>
      <w:r w:rsidR="007C37E6" w:rsidRPr="007C37E6">
        <w:rPr>
          <w:rFonts w:ascii="Arial" w:hAnsi="Arial" w:cs="Arial"/>
          <w:i/>
          <w:sz w:val="20"/>
          <w:szCs w:val="20"/>
        </w:rPr>
        <w:t>Dietary</w:t>
      </w:r>
      <w:proofErr w:type="spellEnd"/>
      <w:r w:rsidR="007C37E6" w:rsidRPr="007C37E6">
        <w:rPr>
          <w:rFonts w:ascii="Arial" w:hAnsi="Arial" w:cs="Arial"/>
          <w:i/>
          <w:sz w:val="20"/>
          <w:szCs w:val="20"/>
        </w:rPr>
        <w:t xml:space="preserve"> Patterns, Body Composition, </w:t>
      </w:r>
      <w:proofErr w:type="spellStart"/>
      <w:r w:rsidR="007C37E6" w:rsidRPr="007C37E6">
        <w:rPr>
          <w:rFonts w:ascii="Arial" w:hAnsi="Arial" w:cs="Arial"/>
          <w:i/>
          <w:sz w:val="20"/>
          <w:szCs w:val="20"/>
        </w:rPr>
        <w:t>Hepatic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Steatosis</w:t>
      </w:r>
      <w:proofErr w:type="spellEnd"/>
      <w:r w:rsidR="007C37E6" w:rsidRPr="007C37E6">
        <w:rPr>
          <w:rFonts w:ascii="Arial" w:hAnsi="Arial" w:cs="Arial"/>
          <w:i/>
          <w:sz w:val="20"/>
          <w:szCs w:val="20"/>
        </w:rPr>
        <w:t>, Togo</w:t>
      </w:r>
    </w:p>
    <w:p w14:paraId="36602592" w14:textId="77777777" w:rsidR="007F7B32" w:rsidRDefault="00902823" w:rsidP="0067382D">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8E1819" w14:textId="77777777" w:rsidR="007C37E6" w:rsidRPr="007C37E6"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Chronic viral hepatitis remains a crucial global health challenge, with the World Health Organization estimating that hepatitis B (VHB) and C (VHC) viruses cause approximately 3,500 deaths daily worldwide [World Health Organization, 2024]. Sub-Saharan Africa bears a disproportionate share of this burden, particularly for VHB, where it is highly endemic [Schweitzer et al., 2015]. Togo exemplifies this regional challenge, with a national seroprevalence of chronic VHB infection estimated from 9.6% to 20%, positioning it as a country of high endemicity [Lawson-</w:t>
      </w:r>
      <w:proofErr w:type="spellStart"/>
      <w:r w:rsidRPr="007C37E6">
        <w:rPr>
          <w:rFonts w:ascii="Arial" w:hAnsi="Arial" w:cs="Arial"/>
          <w:lang w:eastAsia="fr-FR"/>
        </w:rPr>
        <w:t>Ananissah</w:t>
      </w:r>
      <w:proofErr w:type="spellEnd"/>
      <w:r w:rsidRPr="007C37E6">
        <w:rPr>
          <w:rFonts w:ascii="Arial" w:hAnsi="Arial" w:cs="Arial"/>
          <w:lang w:eastAsia="fr-FR"/>
        </w:rPr>
        <w:t xml:space="preserve"> et al., </w:t>
      </w:r>
      <w:proofErr w:type="gramStart"/>
      <w:r w:rsidRPr="007C37E6">
        <w:rPr>
          <w:rFonts w:ascii="Arial" w:hAnsi="Arial" w:cs="Arial"/>
          <w:lang w:eastAsia="fr-FR"/>
        </w:rPr>
        <w:t>2017 ;</w:t>
      </w:r>
      <w:proofErr w:type="gramEnd"/>
      <w:r w:rsidRPr="007C37E6">
        <w:rPr>
          <w:rFonts w:ascii="Arial" w:hAnsi="Arial" w:cs="Arial"/>
          <w:lang w:eastAsia="fr-FR"/>
        </w:rPr>
        <w:t xml:space="preserve"> Degbe et al., 2025]. This epidemiological landscape is consistent with observations across West Africa, where prevalence rates frequently exceed 8% [</w:t>
      </w:r>
      <w:proofErr w:type="spellStart"/>
      <w:r w:rsidRPr="007C37E6">
        <w:rPr>
          <w:rFonts w:ascii="Arial" w:hAnsi="Arial" w:cs="Arial"/>
          <w:lang w:eastAsia="fr-FR"/>
        </w:rPr>
        <w:t>Kouamé</w:t>
      </w:r>
      <w:proofErr w:type="spellEnd"/>
      <w:r w:rsidRPr="007C37E6">
        <w:rPr>
          <w:rFonts w:ascii="Arial" w:hAnsi="Arial" w:cs="Arial"/>
          <w:lang w:eastAsia="fr-FR"/>
        </w:rPr>
        <w:t xml:space="preserve"> et al., </w:t>
      </w:r>
      <w:proofErr w:type="gramStart"/>
      <w:r w:rsidRPr="007C37E6">
        <w:rPr>
          <w:rFonts w:ascii="Arial" w:hAnsi="Arial" w:cs="Arial"/>
          <w:lang w:eastAsia="fr-FR"/>
        </w:rPr>
        <w:t>2021 ;</w:t>
      </w:r>
      <w:proofErr w:type="gramEnd"/>
      <w:r w:rsidRPr="007C37E6">
        <w:rPr>
          <w:rFonts w:ascii="Arial" w:hAnsi="Arial" w:cs="Arial"/>
          <w:lang w:eastAsia="fr-FR"/>
        </w:rPr>
        <w:t xml:space="preserve"> </w:t>
      </w:r>
      <w:proofErr w:type="spellStart"/>
      <w:r w:rsidRPr="007C37E6">
        <w:rPr>
          <w:rFonts w:ascii="Arial" w:hAnsi="Arial" w:cs="Arial"/>
          <w:lang w:eastAsia="fr-FR"/>
        </w:rPr>
        <w:t>Sangaré</w:t>
      </w:r>
      <w:proofErr w:type="spellEnd"/>
      <w:r w:rsidRPr="007C37E6">
        <w:rPr>
          <w:rFonts w:ascii="Arial" w:hAnsi="Arial" w:cs="Arial"/>
          <w:lang w:eastAsia="fr-FR"/>
        </w:rPr>
        <w:t xml:space="preserve"> et al., 2020]. The insidious progression of chronic VHB infection towards </w:t>
      </w:r>
      <w:r w:rsidRPr="007C37E6">
        <w:rPr>
          <w:rFonts w:ascii="Arial" w:hAnsi="Arial" w:cs="Arial"/>
          <w:lang w:eastAsia="fr-FR"/>
        </w:rPr>
        <w:lastRenderedPageBreak/>
        <w:t>cirrhosis and hepatocellular carcinoma (CHC) solidifies its status as a leading cause of morbidity and mortality in the region [</w:t>
      </w:r>
      <w:proofErr w:type="spellStart"/>
      <w:r w:rsidRPr="007C37E6">
        <w:rPr>
          <w:rFonts w:ascii="Arial" w:hAnsi="Arial" w:cs="Arial"/>
          <w:lang w:eastAsia="fr-FR"/>
        </w:rPr>
        <w:t>Terrault</w:t>
      </w:r>
      <w:proofErr w:type="spellEnd"/>
      <w:r w:rsidRPr="007C37E6">
        <w:rPr>
          <w:rFonts w:ascii="Arial" w:hAnsi="Arial" w:cs="Arial"/>
          <w:lang w:eastAsia="fr-FR"/>
        </w:rPr>
        <w:t xml:space="preserve"> et al., 2023].</w:t>
      </w:r>
    </w:p>
    <w:p w14:paraId="633F4A8D" w14:textId="77777777" w:rsidR="007C37E6" w:rsidRPr="007C37E6"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 xml:space="preserve">Running parallel to this persistent infectious disease burden is the rapid emergence of a second </w:t>
      </w:r>
      <w:r w:rsidR="0067382D" w:rsidRPr="007C37E6">
        <w:rPr>
          <w:rFonts w:ascii="Arial" w:hAnsi="Arial" w:cs="Arial"/>
          <w:lang w:eastAsia="fr-FR"/>
        </w:rPr>
        <w:t>pandemic:</w:t>
      </w:r>
      <w:r w:rsidRPr="007C37E6">
        <w:rPr>
          <w:rFonts w:ascii="Arial" w:hAnsi="Arial" w:cs="Arial"/>
          <w:lang w:eastAsia="fr-FR"/>
        </w:rPr>
        <w:t xml:space="preserve"> metabolic syndrome. Urban centers across Africa, including Lomé, are at the epicenter of a profound nutritional transition. This shift is characterized by the displacement of traditional diets (rich in fiber and complex carbohydrates) by Westernized dietary patterns high in energy density, refined sugars, and saturated fats [Popkin et al., 2012]. This transition, coupled with increasing sedentarism, has fueled a dramatic rise in the prevalence of abdominal obesity, type 2 diabetes, and dyslipidemia [</w:t>
      </w:r>
      <w:proofErr w:type="spellStart"/>
      <w:r w:rsidRPr="007C37E6">
        <w:rPr>
          <w:rFonts w:ascii="Arial" w:hAnsi="Arial" w:cs="Arial"/>
          <w:lang w:eastAsia="fr-FR"/>
        </w:rPr>
        <w:t>Aminde</w:t>
      </w:r>
      <w:proofErr w:type="spellEnd"/>
      <w:r w:rsidRPr="007C37E6">
        <w:rPr>
          <w:rFonts w:ascii="Arial" w:hAnsi="Arial" w:cs="Arial"/>
          <w:lang w:eastAsia="fr-FR"/>
        </w:rPr>
        <w:t xml:space="preserve"> et al., 2017]. The primary hepatic manifestation of this metabolic dysregulation is non-alcoholic fatty liver disease (NAFLD), which has become a leading cause of chronic liver disease globally and is increasingly recognized in African populations [</w:t>
      </w:r>
      <w:proofErr w:type="spellStart"/>
      <w:r w:rsidRPr="007C37E6">
        <w:rPr>
          <w:rFonts w:ascii="Arial" w:hAnsi="Arial" w:cs="Arial"/>
          <w:lang w:eastAsia="fr-FR"/>
        </w:rPr>
        <w:t>Younossi</w:t>
      </w:r>
      <w:proofErr w:type="spellEnd"/>
      <w:r w:rsidRPr="007C37E6">
        <w:rPr>
          <w:rFonts w:ascii="Arial" w:hAnsi="Arial" w:cs="Arial"/>
          <w:lang w:eastAsia="fr-FR"/>
        </w:rPr>
        <w:t xml:space="preserve"> et al., 2016].</w:t>
      </w:r>
    </w:p>
    <w:p w14:paraId="0E1BEA67" w14:textId="77777777" w:rsidR="007C37E6" w:rsidRPr="007C37E6"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The convergence of these two pandemics within the Togolese population creates a critical "dual burden," where chronic viral hepatitis and metabolic dysfunction intersect, potentially creating a synergy that accelerates liver damage [</w:t>
      </w:r>
      <w:proofErr w:type="spellStart"/>
      <w:r w:rsidRPr="007C37E6">
        <w:rPr>
          <w:rFonts w:ascii="Arial" w:hAnsi="Arial" w:cs="Arial"/>
          <w:lang w:eastAsia="fr-FR"/>
        </w:rPr>
        <w:t>Targher</w:t>
      </w:r>
      <w:proofErr w:type="spellEnd"/>
      <w:r w:rsidRPr="007C37E6">
        <w:rPr>
          <w:rFonts w:ascii="Arial" w:hAnsi="Arial" w:cs="Arial"/>
          <w:lang w:eastAsia="fr-FR"/>
        </w:rPr>
        <w:t xml:space="preserve"> et al., 2012]. A significant knowledge gap exists, however, regarding the precise nature and extent of this interaction in the West African context. Specifically, the impact of this dual burden on true body composition remains poorly characterized. The Body Mass Index (BMI), a widely used but crude metric, is fundamentally incapable of distinguishing between adipose and lean muscle mass, thereby masking potentially dangerous phenotypes [Prentice &amp; Jebb, 2001]. This limitation is particularly relevant for identifying sarcopenic obesity, a condition defined by the coexistence of excess fat mass and depleted muscle mass, which may represent a more accurate and ominous prognostic indicator than either condition alone [Cruz-Jentoft et al., 2019]. To date, scientific literature from Togo that employs detailed body composition analysis to investigate this phenomenon among patients with chronic hepatitis is virtually non-existent.</w:t>
      </w:r>
    </w:p>
    <w:p w14:paraId="5FFC2976" w14:textId="77777777" w:rsidR="007C37E6" w:rsidRPr="007C37E6"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Therefore, the objective of this study was to characterize the nutritional and metabolic profiles of patients with chronic hepatitis at the Lomé University Hospital Centre (CHU Campus). Specifically, this research aimed to determine the prevalence of steatosis and sarcopenic obesity and to describe the dietary patterns and food consumption habits prevalent in this vulnerable population.</w:t>
      </w:r>
    </w:p>
    <w:p w14:paraId="67CF8EF9" w14:textId="77777777" w:rsidR="00790ADA" w:rsidRPr="00FB3A86" w:rsidRDefault="00790ADA" w:rsidP="00441B6F">
      <w:pPr>
        <w:pStyle w:val="Body"/>
        <w:spacing w:after="0"/>
        <w:rPr>
          <w:rFonts w:ascii="Arial" w:hAnsi="Arial" w:cs="Arial"/>
        </w:rPr>
      </w:pPr>
    </w:p>
    <w:p w14:paraId="20ACD102" w14:textId="77777777" w:rsidR="00790ADA" w:rsidRPr="00FB3A86" w:rsidRDefault="00902823" w:rsidP="0067382D">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20DAF872"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w:t>
      </w:r>
      <w:proofErr w:type="gramStart"/>
      <w:r w:rsidRPr="00540720">
        <w:rPr>
          <w:rFonts w:ascii="Arial" w:hAnsi="Arial" w:cs="Arial"/>
          <w:b/>
          <w:bCs/>
          <w:sz w:val="22"/>
          <w:lang w:eastAsia="fr-FR"/>
        </w:rPr>
        <w:t>1.Study</w:t>
      </w:r>
      <w:proofErr w:type="gramEnd"/>
      <w:r w:rsidRPr="00540720">
        <w:rPr>
          <w:rFonts w:ascii="Arial" w:hAnsi="Arial" w:cs="Arial"/>
          <w:b/>
          <w:bCs/>
          <w:sz w:val="22"/>
          <w:lang w:eastAsia="fr-FR"/>
        </w:rPr>
        <w:t xml:space="preserve"> design and setting</w:t>
      </w:r>
      <w:r w:rsidRPr="00540720">
        <w:rPr>
          <w:rFonts w:ascii="Arial" w:hAnsi="Arial" w:cs="Arial"/>
          <w:sz w:val="22"/>
          <w:lang w:eastAsia="fr-FR"/>
        </w:rPr>
        <w:t xml:space="preserve"> </w:t>
      </w:r>
    </w:p>
    <w:p w14:paraId="0B79E22B"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A cross-sectional study with descriptive and analytical components was conducted between June and October 2024. The study took place at the Department of </w:t>
      </w:r>
      <w:proofErr w:type="spellStart"/>
      <w:r w:rsidRPr="00540720">
        <w:rPr>
          <w:rFonts w:ascii="Arial" w:hAnsi="Arial" w:cs="Arial"/>
          <w:lang w:eastAsia="fr-FR"/>
        </w:rPr>
        <w:t>Hepatogastroenterology</w:t>
      </w:r>
      <w:proofErr w:type="spellEnd"/>
      <w:r w:rsidRPr="00540720">
        <w:rPr>
          <w:rFonts w:ascii="Arial" w:hAnsi="Arial" w:cs="Arial"/>
          <w:lang w:eastAsia="fr-FR"/>
        </w:rPr>
        <w:t xml:space="preserve"> of the Lomé University Hospital Centre (CHU Campus). This facility was selected as it is the national tertiary referral center for digestive diseases in Togo, ensuring a large and representative patient cohort.</w:t>
      </w:r>
    </w:p>
    <w:p w14:paraId="5DE63A4D"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2.2. Study population</w:t>
      </w:r>
      <w:r w:rsidRPr="00540720">
        <w:rPr>
          <w:rFonts w:ascii="Arial" w:hAnsi="Arial" w:cs="Arial"/>
          <w:sz w:val="22"/>
          <w:lang w:eastAsia="fr-FR"/>
        </w:rPr>
        <w:t xml:space="preserve"> </w:t>
      </w:r>
    </w:p>
    <w:p w14:paraId="64577C07"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The study population consisted of patients of both sexes attending the clinic for the management of chronic hepatitis. From this population, a cohort of 363 patients who met the eligibility criteria was consecutively recruited.</w:t>
      </w:r>
    </w:p>
    <w:p w14:paraId="0B3E1381" w14:textId="77777777" w:rsidR="00540720" w:rsidRPr="00540720" w:rsidRDefault="00540720" w:rsidP="00540720">
      <w:pPr>
        <w:spacing w:before="100" w:beforeAutospacing="1" w:after="100" w:afterAutospacing="1"/>
        <w:jc w:val="right"/>
        <w:rPr>
          <w:rFonts w:ascii="Arial" w:hAnsi="Arial" w:cs="Arial"/>
          <w:b/>
          <w:i/>
          <w:sz w:val="22"/>
          <w:lang w:eastAsia="fr-FR"/>
        </w:rPr>
      </w:pPr>
      <w:r w:rsidRPr="00540720">
        <w:rPr>
          <w:rFonts w:ascii="Arial" w:hAnsi="Arial" w:cs="Arial"/>
          <w:b/>
          <w:bCs/>
          <w:sz w:val="22"/>
          <w:lang w:eastAsia="fr-FR"/>
        </w:rPr>
        <w:t xml:space="preserve">2.2.1. </w:t>
      </w:r>
      <w:r w:rsidRPr="00540720">
        <w:rPr>
          <w:rFonts w:ascii="Arial" w:hAnsi="Arial" w:cs="Arial"/>
          <w:b/>
          <w:i/>
          <w:sz w:val="22"/>
          <w:lang w:eastAsia="fr-FR"/>
        </w:rPr>
        <w:t>Inclusion criteria</w:t>
      </w:r>
    </w:p>
    <w:p w14:paraId="677EF21C" w14:textId="77777777" w:rsidR="00540720" w:rsidRPr="00540720" w:rsidRDefault="00540720" w:rsidP="00540720">
      <w:pPr>
        <w:jc w:val="both"/>
        <w:rPr>
          <w:rFonts w:ascii="Arial" w:hAnsi="Arial" w:cs="Arial"/>
          <w:lang w:eastAsia="fr-FR"/>
        </w:rPr>
      </w:pPr>
      <w:r w:rsidRPr="00540720">
        <w:rPr>
          <w:rFonts w:ascii="Arial" w:hAnsi="Arial" w:cs="Arial"/>
          <w:lang w:eastAsia="fr-FR"/>
        </w:rPr>
        <w:t xml:space="preserve">Inclusion criteria were: </w:t>
      </w:r>
    </w:p>
    <w:p w14:paraId="0C1B097F" w14:textId="77777777" w:rsidR="00540720" w:rsidRPr="00540720" w:rsidRDefault="00540720" w:rsidP="00540720">
      <w:pPr>
        <w:jc w:val="both"/>
        <w:rPr>
          <w:rFonts w:ascii="Arial" w:hAnsi="Arial" w:cs="Arial"/>
          <w:lang w:eastAsia="fr-FR"/>
        </w:rPr>
      </w:pPr>
      <w:r w:rsidRPr="00540720">
        <w:rPr>
          <w:rFonts w:ascii="Arial" w:hAnsi="Arial" w:cs="Arial"/>
          <w:lang w:eastAsia="fr-FR"/>
        </w:rPr>
        <w:t>- a confirmed diagnosis of chronic hepatitis B (positive HBsAg) or hepatitis C (positive anti-HCV antibodies with detectable HCV RNA</w:t>
      </w:r>
      <w:proofErr w:type="gramStart"/>
      <w:r w:rsidRPr="00540720">
        <w:rPr>
          <w:rFonts w:ascii="Arial" w:hAnsi="Arial" w:cs="Arial"/>
          <w:lang w:eastAsia="fr-FR"/>
        </w:rPr>
        <w:t>) ;</w:t>
      </w:r>
      <w:proofErr w:type="gramEnd"/>
      <w:r w:rsidRPr="00540720">
        <w:rPr>
          <w:rFonts w:ascii="Arial" w:hAnsi="Arial" w:cs="Arial"/>
          <w:lang w:eastAsia="fr-FR"/>
        </w:rPr>
        <w:t xml:space="preserve"> </w:t>
      </w:r>
    </w:p>
    <w:p w14:paraId="04480124" w14:textId="77777777" w:rsidR="00540720" w:rsidRPr="00540720" w:rsidRDefault="00540720" w:rsidP="00540720">
      <w:pPr>
        <w:jc w:val="both"/>
        <w:rPr>
          <w:rFonts w:ascii="Arial" w:hAnsi="Arial" w:cs="Arial"/>
          <w:lang w:eastAsia="fr-FR"/>
        </w:rPr>
      </w:pPr>
      <w:r w:rsidRPr="00540720">
        <w:rPr>
          <w:rFonts w:ascii="Arial" w:hAnsi="Arial" w:cs="Arial"/>
          <w:lang w:eastAsia="fr-FR"/>
        </w:rPr>
        <w:t>- providing informed consent to participate.</w:t>
      </w:r>
    </w:p>
    <w:p w14:paraId="596077CD" w14:textId="77777777" w:rsidR="00540720" w:rsidRPr="00540720" w:rsidRDefault="00540720" w:rsidP="00540720">
      <w:pPr>
        <w:jc w:val="both"/>
        <w:rPr>
          <w:rFonts w:ascii="Arial" w:hAnsi="Arial" w:cs="Arial"/>
          <w:lang w:eastAsia="fr-FR"/>
        </w:rPr>
      </w:pPr>
    </w:p>
    <w:p w14:paraId="64E0D660" w14:textId="77777777" w:rsidR="00540720" w:rsidRPr="00540720" w:rsidRDefault="00540720" w:rsidP="00540720">
      <w:pPr>
        <w:spacing w:before="100" w:beforeAutospacing="1" w:after="100" w:afterAutospacing="1"/>
        <w:jc w:val="right"/>
        <w:rPr>
          <w:rFonts w:ascii="Arial" w:hAnsi="Arial" w:cs="Arial"/>
          <w:i/>
          <w:sz w:val="22"/>
          <w:lang w:eastAsia="fr-FR"/>
        </w:rPr>
      </w:pPr>
      <w:r w:rsidRPr="00540720">
        <w:rPr>
          <w:rFonts w:ascii="Arial" w:hAnsi="Arial" w:cs="Arial"/>
          <w:bCs/>
          <w:sz w:val="22"/>
          <w:lang w:eastAsia="fr-FR"/>
        </w:rPr>
        <w:t>2.2.2.</w:t>
      </w:r>
      <w:r w:rsidRPr="00540720">
        <w:rPr>
          <w:rFonts w:ascii="Arial" w:hAnsi="Arial" w:cs="Arial"/>
          <w:i/>
          <w:sz w:val="22"/>
          <w:lang w:eastAsia="fr-FR"/>
        </w:rPr>
        <w:t xml:space="preserve"> Exclusion criteria</w:t>
      </w:r>
    </w:p>
    <w:p w14:paraId="208D1817" w14:textId="77777777" w:rsidR="00540720" w:rsidRPr="00540720" w:rsidRDefault="00540720" w:rsidP="00540720">
      <w:pPr>
        <w:jc w:val="both"/>
        <w:rPr>
          <w:rFonts w:ascii="Arial" w:hAnsi="Arial" w:cs="Arial"/>
          <w:lang w:eastAsia="fr-FR"/>
        </w:rPr>
      </w:pPr>
      <w:r w:rsidRPr="00540720">
        <w:rPr>
          <w:rFonts w:ascii="Arial" w:hAnsi="Arial" w:cs="Arial"/>
          <w:lang w:eastAsia="fr-FR"/>
        </w:rPr>
        <w:t xml:space="preserve">Exclusion criteria </w:t>
      </w:r>
      <w:proofErr w:type="gramStart"/>
      <w:r w:rsidRPr="00540720">
        <w:rPr>
          <w:rFonts w:ascii="Arial" w:hAnsi="Arial" w:cs="Arial"/>
          <w:lang w:eastAsia="fr-FR"/>
        </w:rPr>
        <w:t>included :</w:t>
      </w:r>
      <w:proofErr w:type="gramEnd"/>
      <w:r w:rsidRPr="00540720">
        <w:rPr>
          <w:rFonts w:ascii="Arial" w:hAnsi="Arial" w:cs="Arial"/>
          <w:lang w:eastAsia="fr-FR"/>
        </w:rPr>
        <w:t xml:space="preserve"> </w:t>
      </w:r>
    </w:p>
    <w:p w14:paraId="5FE1DD74" w14:textId="77777777" w:rsidR="00540720" w:rsidRPr="00540720" w:rsidRDefault="00540720" w:rsidP="00540720">
      <w:pPr>
        <w:jc w:val="both"/>
        <w:rPr>
          <w:rFonts w:ascii="Arial" w:hAnsi="Arial" w:cs="Arial"/>
          <w:lang w:eastAsia="fr-FR"/>
        </w:rPr>
      </w:pPr>
      <w:r w:rsidRPr="00540720">
        <w:rPr>
          <w:rFonts w:ascii="Arial" w:hAnsi="Arial" w:cs="Arial"/>
          <w:lang w:eastAsia="fr-FR"/>
        </w:rPr>
        <w:t xml:space="preserve">- the presence of a predominant, severe extra-digestive pathology (e.g., decompensated heart or renal failure) that could confound the </w:t>
      </w:r>
      <w:proofErr w:type="gramStart"/>
      <w:r w:rsidRPr="00540720">
        <w:rPr>
          <w:rFonts w:ascii="Arial" w:hAnsi="Arial" w:cs="Arial"/>
          <w:lang w:eastAsia="fr-FR"/>
        </w:rPr>
        <w:t>results ;</w:t>
      </w:r>
      <w:proofErr w:type="gramEnd"/>
      <w:r w:rsidRPr="00540720">
        <w:rPr>
          <w:rFonts w:ascii="Arial" w:hAnsi="Arial" w:cs="Arial"/>
          <w:lang w:eastAsia="fr-FR"/>
        </w:rPr>
        <w:t xml:space="preserve"> </w:t>
      </w:r>
    </w:p>
    <w:p w14:paraId="76F9A6B2" w14:textId="77777777" w:rsidR="00540720" w:rsidRPr="00540720" w:rsidRDefault="00540720" w:rsidP="00540720">
      <w:pPr>
        <w:jc w:val="both"/>
        <w:rPr>
          <w:rFonts w:ascii="Arial" w:hAnsi="Arial" w:cs="Arial"/>
          <w:lang w:eastAsia="fr-FR"/>
        </w:rPr>
      </w:pPr>
      <w:r w:rsidRPr="00540720">
        <w:rPr>
          <w:rFonts w:ascii="Arial" w:hAnsi="Arial" w:cs="Arial"/>
          <w:lang w:eastAsia="fr-FR"/>
        </w:rPr>
        <w:t xml:space="preserve">- a critical clinical state that prevented a reliable nutritional assessment or dietary </w:t>
      </w:r>
      <w:proofErr w:type="gramStart"/>
      <w:r w:rsidRPr="00540720">
        <w:rPr>
          <w:rFonts w:ascii="Arial" w:hAnsi="Arial" w:cs="Arial"/>
          <w:lang w:eastAsia="fr-FR"/>
        </w:rPr>
        <w:t>interview ;</w:t>
      </w:r>
      <w:proofErr w:type="gramEnd"/>
      <w:r w:rsidRPr="00540720">
        <w:rPr>
          <w:rFonts w:ascii="Arial" w:hAnsi="Arial" w:cs="Arial"/>
          <w:lang w:eastAsia="fr-FR"/>
        </w:rPr>
        <w:t xml:space="preserve"> and (3) the presence of clinically significant ascites or peripheral edema, which interferes with the accuracy of bioelectrical impedance analysis.</w:t>
      </w:r>
    </w:p>
    <w:p w14:paraId="627CE8A8" w14:textId="77777777" w:rsidR="00540720" w:rsidRPr="00540720" w:rsidRDefault="00540720" w:rsidP="00540720">
      <w:pPr>
        <w:jc w:val="both"/>
        <w:rPr>
          <w:rFonts w:ascii="Arial" w:hAnsi="Arial" w:cs="Arial"/>
          <w:lang w:eastAsia="fr-FR"/>
        </w:rPr>
      </w:pPr>
    </w:p>
    <w:p w14:paraId="6CF667BE"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2.3. Data collection</w:t>
      </w:r>
      <w:r w:rsidRPr="00540720">
        <w:rPr>
          <w:rFonts w:ascii="Arial" w:hAnsi="Arial" w:cs="Arial"/>
          <w:sz w:val="22"/>
          <w:lang w:eastAsia="fr-FR"/>
        </w:rPr>
        <w:t xml:space="preserve"> </w:t>
      </w:r>
    </w:p>
    <w:p w14:paraId="43F6E7BF"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Data were collected prospectively using a structured questionnaire.</w:t>
      </w:r>
    </w:p>
    <w:p w14:paraId="722570D0" w14:textId="77777777" w:rsidR="00540720" w:rsidRPr="00540720" w:rsidRDefault="00540720" w:rsidP="00540720">
      <w:pPr>
        <w:spacing w:before="100" w:beforeAutospacing="1" w:after="100" w:afterAutospacing="1"/>
        <w:jc w:val="right"/>
        <w:rPr>
          <w:rFonts w:ascii="Arial" w:hAnsi="Arial" w:cs="Arial"/>
          <w:lang w:eastAsia="fr-FR"/>
        </w:rPr>
      </w:pPr>
      <w:r w:rsidRPr="00540720">
        <w:rPr>
          <w:rFonts w:ascii="Arial" w:hAnsi="Arial" w:cs="Arial"/>
          <w:b/>
          <w:bCs/>
          <w:sz w:val="22"/>
          <w:lang w:eastAsia="fr-FR"/>
        </w:rPr>
        <w:t>2.3.1. Sociodemographic and clinical data</w:t>
      </w:r>
      <w:r w:rsidRPr="00540720">
        <w:rPr>
          <w:rFonts w:ascii="Arial" w:hAnsi="Arial" w:cs="Arial"/>
          <w:sz w:val="22"/>
          <w:lang w:eastAsia="fr-FR"/>
        </w:rPr>
        <w:t xml:space="preserve"> </w:t>
      </w:r>
    </w:p>
    <w:p w14:paraId="2165C105"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Information on age, sex, and socioeconomic status was collected through direct interviews. Clinical data, including the etiology of hepatitis, comorbidities, and results from abdominal ultrasonography used to detect hepatic steatosis, were extracted from patient medical records.</w:t>
      </w:r>
    </w:p>
    <w:p w14:paraId="57AA8E31"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2.3.2. Nutritional assessment</w:t>
      </w:r>
    </w:p>
    <w:p w14:paraId="451DE28A"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Body composition was assessed using a ZOETOUCH, brand bioelectrical impedance analysis (BIA) device, Model CF 398BLE, made in CHINA. Measurements were taken in the morning after an overnight fast to minimize variability and adhere to the manufacturer's recommendations. Patients were measured in light clothing and without shoes. The following parameters were </w:t>
      </w:r>
      <w:proofErr w:type="gramStart"/>
      <w:r w:rsidRPr="00540720">
        <w:rPr>
          <w:rFonts w:ascii="Arial" w:hAnsi="Arial" w:cs="Arial"/>
          <w:lang w:eastAsia="fr-FR"/>
        </w:rPr>
        <w:t>recorded :</w:t>
      </w:r>
      <w:proofErr w:type="gramEnd"/>
      <w:r w:rsidRPr="00540720">
        <w:rPr>
          <w:rFonts w:ascii="Arial" w:hAnsi="Arial" w:cs="Arial"/>
          <w:lang w:eastAsia="fr-FR"/>
        </w:rPr>
        <w:t xml:space="preserve"> body fat percentage, skeletal muscle mass, visceral fat level, and total body water. BMI was also calculated as weight (kg) divided by height squared (m²). </w:t>
      </w:r>
    </w:p>
    <w:p w14:paraId="2688A1D3"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Visceral obesity was defined as a visceral fat level of ≥10, a threshold indicated by the manufacturer to be associated with a high metabolic risk. Protein depletion was identified when the protein mass index was categorized as 'Low' based on the manufacturer's integrated reference standards   The use of these non-population-specific thresholds for a West African population is acknowledged as a limitation and warrants future research to establish local norms</w:t>
      </w:r>
    </w:p>
    <w:p w14:paraId="62B4DF63" w14:textId="77777777" w:rsidR="00540720" w:rsidRPr="00540720" w:rsidRDefault="00540720" w:rsidP="00540720">
      <w:pPr>
        <w:spacing w:before="100" w:beforeAutospacing="1" w:after="100" w:afterAutospacing="1"/>
        <w:jc w:val="right"/>
        <w:rPr>
          <w:rFonts w:ascii="Arial" w:hAnsi="Arial" w:cs="Arial"/>
          <w:lang w:eastAsia="fr-FR"/>
        </w:rPr>
      </w:pPr>
      <w:r w:rsidRPr="00540720">
        <w:rPr>
          <w:rFonts w:ascii="Arial" w:hAnsi="Arial" w:cs="Arial"/>
          <w:b/>
          <w:bCs/>
          <w:sz w:val="22"/>
          <w:lang w:eastAsia="fr-FR"/>
        </w:rPr>
        <w:t>2.3.3. Dietary assessment</w:t>
      </w:r>
      <w:r w:rsidRPr="00540720">
        <w:rPr>
          <w:rFonts w:ascii="Arial" w:hAnsi="Arial" w:cs="Arial"/>
          <w:sz w:val="22"/>
          <w:lang w:eastAsia="fr-FR"/>
        </w:rPr>
        <w:t xml:space="preserve"> </w:t>
      </w:r>
    </w:p>
    <w:p w14:paraId="4FEABA99"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A semi-quantitative Food Frequency Questionnaire (FFQ) was specifically developed for this study. The questionnaire was pre-tested with 20 patients to ensure its clarity and cultural relevance. It should be noted that a formal validation against a reference method, such as 24-hour recalls, was not conducted in this study, which represents a limitation. The questionnaire was designed to assess the consumption frequency of key local food items, including primary sources of carbohydrates (maize, rice, yam), proteins, and fats (e.g., palm oil, refined oils). It also specifically queried the intake of sugary products (sodas, juices), the use of industrial bouillon cubes for seasoning, and the reliance on out-of-home meals, particularly from street food vendors. </w:t>
      </w:r>
    </w:p>
    <w:p w14:paraId="7B054D0E" w14:textId="77777777" w:rsidR="00540720" w:rsidRPr="00540720" w:rsidRDefault="00540720" w:rsidP="00540720">
      <w:pPr>
        <w:spacing w:before="100" w:beforeAutospacing="1" w:after="100" w:afterAutospacing="1"/>
        <w:jc w:val="right"/>
        <w:rPr>
          <w:rFonts w:ascii="Arial" w:hAnsi="Arial" w:cs="Arial"/>
          <w:b/>
          <w:bCs/>
          <w:sz w:val="22"/>
          <w:lang w:eastAsia="fr-FR"/>
        </w:rPr>
      </w:pPr>
      <w:r w:rsidRPr="00540720">
        <w:rPr>
          <w:rFonts w:ascii="Arial" w:hAnsi="Arial" w:cs="Arial"/>
          <w:b/>
          <w:bCs/>
          <w:sz w:val="22"/>
          <w:lang w:eastAsia="fr-FR"/>
        </w:rPr>
        <w:t>2.4. Biochemical analysis</w:t>
      </w:r>
    </w:p>
    <w:p w14:paraId="156A0B3F"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 Venous blood samples were collected from each participant. Serological markers, including HBsAg and anti-HCV antibodies, were used to confirm the etiology of the viral hepatitis. </w:t>
      </w:r>
    </w:p>
    <w:p w14:paraId="203E3ECA"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lastRenderedPageBreak/>
        <w:t>2.5. Statistical analysis</w:t>
      </w:r>
      <w:r w:rsidRPr="00540720">
        <w:rPr>
          <w:rFonts w:ascii="Arial" w:hAnsi="Arial" w:cs="Arial"/>
          <w:sz w:val="22"/>
          <w:lang w:eastAsia="fr-FR"/>
        </w:rPr>
        <w:t xml:space="preserve"> </w:t>
      </w:r>
    </w:p>
    <w:p w14:paraId="0EFB8921"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Data were analyzed using SPSS software (version 20.1) and GraphPad Prism 8.2. Descriptive statistics were used to summarize the characteristics of the cohort; frequencies and percentages were calculated for categorical variables, while means and standard deviations (SD) were calculated for continuous variables. To compare profiles between groups (e.g., men versus women), Student’s </w:t>
      </w:r>
      <w:proofErr w:type="spellStart"/>
      <w:r w:rsidRPr="00540720">
        <w:rPr>
          <w:rFonts w:ascii="Arial" w:hAnsi="Arial" w:cs="Arial"/>
          <w:lang w:eastAsia="fr-FR"/>
        </w:rPr>
        <w:t>umpair</w:t>
      </w:r>
      <w:proofErr w:type="spellEnd"/>
      <w:r w:rsidRPr="00540720">
        <w:rPr>
          <w:rFonts w:ascii="Arial" w:hAnsi="Arial" w:cs="Arial"/>
          <w:lang w:eastAsia="fr-FR"/>
        </w:rPr>
        <w:t xml:space="preserve"> t-test, the Chi-square (χ²) test were used for categorical variables and the independent samples Student's t-test was used for continuous variables. The threshold for statistical significance was set at p &lt; 0.05 for all tests.</w:t>
      </w:r>
    </w:p>
    <w:p w14:paraId="62C85DE0"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2.6. Ethical considerations</w:t>
      </w:r>
      <w:r w:rsidRPr="00540720">
        <w:rPr>
          <w:rFonts w:ascii="Arial" w:hAnsi="Arial" w:cs="Arial"/>
          <w:sz w:val="22"/>
          <w:lang w:eastAsia="fr-FR"/>
        </w:rPr>
        <w:t xml:space="preserve"> </w:t>
      </w:r>
    </w:p>
    <w:p w14:paraId="3BC63EA1"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3F5D81AD" w14:textId="77777777" w:rsidR="00790ADA" w:rsidRPr="00FB3A86" w:rsidRDefault="00790ADA" w:rsidP="00441B6F">
      <w:pPr>
        <w:pStyle w:val="Body"/>
        <w:spacing w:after="0"/>
        <w:rPr>
          <w:rFonts w:ascii="Arial" w:hAnsi="Arial" w:cs="Arial"/>
        </w:rPr>
      </w:pPr>
    </w:p>
    <w:p w14:paraId="0144A5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9BC4DC" w14:textId="77777777" w:rsidR="00731D8C" w:rsidRPr="00731D8C" w:rsidRDefault="00731D8C" w:rsidP="00731D8C">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t>3.RESULTS</w:t>
      </w:r>
    </w:p>
    <w:p w14:paraId="0FDC00E5" w14:textId="77777777" w:rsidR="00731D8C" w:rsidRPr="00731D8C" w:rsidRDefault="00731D8C" w:rsidP="00731D8C">
      <w:pPr>
        <w:pStyle w:val="Heading2"/>
        <w:jc w:val="right"/>
        <w:rPr>
          <w:rFonts w:ascii="Arial" w:hAnsi="Arial" w:cs="Arial"/>
          <w:b/>
          <w:color w:val="auto"/>
          <w:sz w:val="20"/>
          <w:szCs w:val="20"/>
        </w:rPr>
      </w:pPr>
      <w:r w:rsidRPr="00731D8C">
        <w:rPr>
          <w:rFonts w:ascii="Arial" w:hAnsi="Arial" w:cs="Arial"/>
          <w:b/>
          <w:color w:val="auto"/>
          <w:sz w:val="20"/>
          <w:szCs w:val="20"/>
        </w:rPr>
        <w:t xml:space="preserve">3.1. </w:t>
      </w:r>
      <w:proofErr w:type="spellStart"/>
      <w:r w:rsidRPr="00731D8C">
        <w:rPr>
          <w:rFonts w:ascii="Arial" w:hAnsi="Arial" w:cs="Arial"/>
          <w:b/>
          <w:color w:val="auto"/>
          <w:sz w:val="20"/>
          <w:szCs w:val="20"/>
        </w:rPr>
        <w:t>Sociodemographic</w:t>
      </w:r>
      <w:proofErr w:type="spellEnd"/>
      <w:r w:rsidRPr="00731D8C">
        <w:rPr>
          <w:rFonts w:ascii="Arial" w:hAnsi="Arial" w:cs="Arial"/>
          <w:b/>
          <w:color w:val="auto"/>
          <w:sz w:val="20"/>
          <w:szCs w:val="20"/>
        </w:rPr>
        <w:t xml:space="preserve"> profile of patients</w:t>
      </w:r>
    </w:p>
    <w:p w14:paraId="061B0F63" w14:textId="77777777" w:rsidR="00731D8C" w:rsidRPr="00731D8C" w:rsidRDefault="00731D8C" w:rsidP="00731D8C">
      <w:pPr>
        <w:pStyle w:val="NormalWeb"/>
        <w:jc w:val="both"/>
        <w:rPr>
          <w:rFonts w:ascii="Arial" w:hAnsi="Arial" w:cs="Arial"/>
          <w:sz w:val="20"/>
          <w:szCs w:val="20"/>
        </w:rPr>
      </w:pPr>
      <w:r w:rsidRPr="00731D8C">
        <w:rPr>
          <w:rFonts w:ascii="Arial" w:hAnsi="Arial" w:cs="Arial"/>
          <w:sz w:val="20"/>
          <w:szCs w:val="20"/>
        </w:rPr>
        <w:t xml:space="preserve">The </w:t>
      </w:r>
      <w:proofErr w:type="spellStart"/>
      <w:r w:rsidRPr="00731D8C">
        <w:rPr>
          <w:rFonts w:ascii="Arial" w:hAnsi="Arial" w:cs="Arial"/>
          <w:sz w:val="20"/>
          <w:szCs w:val="20"/>
        </w:rPr>
        <w:t>analysis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sociodemographic</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study</w:t>
      </w:r>
      <w:proofErr w:type="spellEnd"/>
      <w:r w:rsidRPr="00731D8C">
        <w:rPr>
          <w:rFonts w:ascii="Arial" w:hAnsi="Arial" w:cs="Arial"/>
          <w:sz w:val="20"/>
          <w:szCs w:val="20"/>
        </w:rPr>
        <w:t xml:space="preserve"> population (</w:t>
      </w:r>
      <w:r w:rsidRPr="00731D8C">
        <w:rPr>
          <w:rStyle w:val="mord"/>
          <w:rFonts w:ascii="Arial" w:hAnsi="Arial" w:cs="Arial"/>
          <w:sz w:val="20"/>
          <w:szCs w:val="20"/>
        </w:rPr>
        <w:t>N</w:t>
      </w:r>
      <w:r w:rsidRPr="00731D8C">
        <w:rPr>
          <w:rStyle w:val="mrel"/>
          <w:rFonts w:ascii="Arial" w:hAnsi="Arial" w:cs="Arial"/>
          <w:sz w:val="20"/>
          <w:szCs w:val="20"/>
        </w:rPr>
        <w:t>=</w:t>
      </w:r>
      <w:r w:rsidRPr="00731D8C">
        <w:rPr>
          <w:rStyle w:val="mord"/>
          <w:rFonts w:ascii="Arial" w:hAnsi="Arial" w:cs="Arial"/>
          <w:sz w:val="20"/>
          <w:szCs w:val="20"/>
        </w:rPr>
        <w:t>363</w:t>
      </w:r>
      <w:r w:rsidRPr="00731D8C">
        <w:rPr>
          <w:rFonts w:ascii="Arial" w:hAnsi="Arial" w:cs="Arial"/>
          <w:sz w:val="20"/>
          <w:szCs w:val="20"/>
        </w:rPr>
        <w:t xml:space="preserve">) </w:t>
      </w:r>
      <w:proofErr w:type="spellStart"/>
      <w:r w:rsidRPr="00731D8C">
        <w:rPr>
          <w:rFonts w:ascii="Arial" w:hAnsi="Arial" w:cs="Arial"/>
          <w:sz w:val="20"/>
          <w:szCs w:val="20"/>
        </w:rPr>
        <w:t>reveals</w:t>
      </w:r>
      <w:proofErr w:type="spellEnd"/>
      <w:r w:rsidRPr="00731D8C">
        <w:rPr>
          <w:rFonts w:ascii="Arial" w:hAnsi="Arial" w:cs="Arial"/>
          <w:sz w:val="20"/>
          <w:szCs w:val="20"/>
        </w:rPr>
        <w:t xml:space="preserve"> a </w:t>
      </w:r>
      <w:proofErr w:type="spellStart"/>
      <w:r w:rsidRPr="00731D8C">
        <w:rPr>
          <w:rFonts w:ascii="Arial" w:hAnsi="Arial" w:cs="Arial"/>
          <w:sz w:val="20"/>
          <w:szCs w:val="20"/>
        </w:rPr>
        <w:t>heterogeneous</w:t>
      </w:r>
      <w:proofErr w:type="spellEnd"/>
      <w:r w:rsidRPr="00731D8C">
        <w:rPr>
          <w:rFonts w:ascii="Arial" w:hAnsi="Arial" w:cs="Arial"/>
          <w:sz w:val="20"/>
          <w:szCs w:val="20"/>
        </w:rPr>
        <w:t xml:space="preserve"> profile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notable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sexes. The </w:t>
      </w:r>
      <w:proofErr w:type="spellStart"/>
      <w:r w:rsidRPr="00731D8C">
        <w:rPr>
          <w:rFonts w:ascii="Arial" w:hAnsi="Arial" w:cs="Arial"/>
          <w:sz w:val="20"/>
          <w:szCs w:val="20"/>
        </w:rPr>
        <w:t>overall</w:t>
      </w:r>
      <w:proofErr w:type="spellEnd"/>
      <w:r w:rsidRPr="00731D8C">
        <w:rPr>
          <w:rFonts w:ascii="Arial" w:hAnsi="Arial" w:cs="Arial"/>
          <w:sz w:val="20"/>
          <w:szCs w:val="20"/>
        </w:rPr>
        <w:t xml:space="preserve"> population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predominantly</w:t>
      </w:r>
      <w:proofErr w:type="spellEnd"/>
      <w:r w:rsidRPr="00731D8C">
        <w:rPr>
          <w:rFonts w:ascii="Arial" w:hAnsi="Arial" w:cs="Arial"/>
          <w:sz w:val="20"/>
          <w:szCs w:val="20"/>
        </w:rPr>
        <w:t xml:space="preserve"> male, </w:t>
      </w:r>
      <w:proofErr w:type="spellStart"/>
      <w:r w:rsidRPr="00731D8C">
        <w:rPr>
          <w:rFonts w:ascii="Arial" w:hAnsi="Arial" w:cs="Arial"/>
          <w:sz w:val="20"/>
          <w:szCs w:val="20"/>
        </w:rPr>
        <w:t>consisting</w:t>
      </w:r>
      <w:proofErr w:type="spellEnd"/>
      <w:r w:rsidRPr="00731D8C">
        <w:rPr>
          <w:rFonts w:ascii="Arial" w:hAnsi="Arial" w:cs="Arial"/>
          <w:sz w:val="20"/>
          <w:szCs w:val="20"/>
        </w:rPr>
        <w:t xml:space="preserve"> of </w:t>
      </w:r>
      <w:r w:rsidRPr="00731D8C">
        <w:rPr>
          <w:rFonts w:ascii="Arial" w:hAnsi="Arial" w:cs="Arial"/>
          <w:bCs/>
          <w:sz w:val="20"/>
          <w:szCs w:val="20"/>
        </w:rPr>
        <w:t xml:space="preserve">234 men (64.5%) and 129 </w:t>
      </w:r>
      <w:proofErr w:type="spellStart"/>
      <w:r w:rsidRPr="00731D8C">
        <w:rPr>
          <w:rFonts w:ascii="Arial" w:hAnsi="Arial" w:cs="Arial"/>
          <w:bCs/>
          <w:sz w:val="20"/>
          <w:szCs w:val="20"/>
        </w:rPr>
        <w:t>women</w:t>
      </w:r>
      <w:proofErr w:type="spellEnd"/>
      <w:r w:rsidRPr="00731D8C">
        <w:rPr>
          <w:rFonts w:ascii="Arial" w:hAnsi="Arial" w:cs="Arial"/>
          <w:bCs/>
          <w:sz w:val="20"/>
          <w:szCs w:val="20"/>
        </w:rPr>
        <w:t xml:space="preserve"> (35.5%)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a </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of </w:t>
      </w:r>
      <w:r w:rsidRPr="00731D8C">
        <w:rPr>
          <w:rStyle w:val="mord"/>
          <w:rFonts w:ascii="Arial" w:hAnsi="Arial" w:cs="Arial"/>
          <w:sz w:val="20"/>
          <w:szCs w:val="20"/>
        </w:rPr>
        <w:t>35.8</w:t>
      </w:r>
      <w:r w:rsidRPr="00731D8C">
        <w:rPr>
          <w:rStyle w:val="mbin"/>
          <w:rFonts w:ascii="Arial" w:hAnsi="Arial" w:cs="Arial"/>
          <w:sz w:val="20"/>
          <w:szCs w:val="20"/>
        </w:rPr>
        <w:t>±</w:t>
      </w:r>
      <w:r w:rsidRPr="00731D8C">
        <w:rPr>
          <w:rStyle w:val="mord"/>
          <w:rFonts w:ascii="Arial" w:hAnsi="Arial" w:cs="Arial"/>
          <w:sz w:val="20"/>
          <w:szCs w:val="20"/>
        </w:rPr>
        <w:t>15. 1years.A</w:t>
      </w:r>
      <w:r w:rsidRPr="00731D8C">
        <w:rPr>
          <w:rFonts w:ascii="Arial" w:hAnsi="Arial" w:cs="Arial"/>
          <w:sz w:val="20"/>
          <w:szCs w:val="20"/>
        </w:rPr>
        <w:t xml:space="preserve">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sexes (</w:t>
      </w:r>
      <w:r w:rsidRPr="00731D8C">
        <w:rPr>
          <w:rStyle w:val="mord"/>
          <w:rFonts w:ascii="Arial" w:hAnsi="Arial" w:cs="Arial"/>
          <w:sz w:val="20"/>
          <w:szCs w:val="20"/>
        </w:rPr>
        <w:t>p</w:t>
      </w:r>
      <w:r w:rsidRPr="00731D8C">
        <w:rPr>
          <w:rStyle w:val="mrel"/>
          <w:rFonts w:ascii="Arial" w:hAnsi="Arial" w:cs="Arial"/>
          <w:sz w:val="20"/>
          <w:szCs w:val="20"/>
        </w:rPr>
        <w:t>=</w:t>
      </w:r>
      <w:r w:rsidRPr="00731D8C">
        <w:rPr>
          <w:rStyle w:val="mord"/>
          <w:rFonts w:ascii="Arial" w:hAnsi="Arial" w:cs="Arial"/>
          <w:sz w:val="20"/>
          <w:szCs w:val="20"/>
        </w:rPr>
        <w:t>0.0005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in </w:t>
      </w:r>
      <w:proofErr w:type="spellStart"/>
      <w:r w:rsidRPr="00731D8C">
        <w:rPr>
          <w:rFonts w:ascii="Arial" w:hAnsi="Arial" w:cs="Arial"/>
          <w:sz w:val="20"/>
          <w:szCs w:val="20"/>
        </w:rPr>
        <w:t>our</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being</w:t>
      </w:r>
      <w:proofErr w:type="spellEnd"/>
      <w:r w:rsidRPr="00731D8C">
        <w:rPr>
          <w:rFonts w:ascii="Arial" w:hAnsi="Arial" w:cs="Arial"/>
          <w:sz w:val="20"/>
          <w:szCs w:val="20"/>
        </w:rPr>
        <w:t xml:space="preserve">, on </w:t>
      </w:r>
      <w:proofErr w:type="spellStart"/>
      <w:r w:rsidRPr="00731D8C">
        <w:rPr>
          <w:rFonts w:ascii="Arial" w:hAnsi="Arial" w:cs="Arial"/>
          <w:sz w:val="20"/>
          <w:szCs w:val="20"/>
        </w:rPr>
        <w:t>average</w:t>
      </w:r>
      <w:proofErr w:type="spellEnd"/>
      <w:r w:rsidRPr="00731D8C">
        <w:rPr>
          <w:rFonts w:ascii="Arial" w:hAnsi="Arial" w:cs="Arial"/>
          <w:sz w:val="20"/>
          <w:szCs w:val="20"/>
        </w:rPr>
        <w:t xml:space="preserve">, </w:t>
      </w:r>
      <w:proofErr w:type="spellStart"/>
      <w:r w:rsidRPr="00731D8C">
        <w:rPr>
          <w:rFonts w:ascii="Arial" w:hAnsi="Arial" w:cs="Arial"/>
          <w:sz w:val="20"/>
          <w:szCs w:val="20"/>
        </w:rPr>
        <w:t>older</w:t>
      </w:r>
      <w:proofErr w:type="spellEnd"/>
      <w:r w:rsidRPr="00731D8C">
        <w:rPr>
          <w:rFonts w:ascii="Arial" w:hAnsi="Arial" w:cs="Arial"/>
          <w:sz w:val="20"/>
          <w:szCs w:val="20"/>
        </w:rPr>
        <w:t xml:space="preserve"> (</w:t>
      </w:r>
      <w:r w:rsidRPr="00731D8C">
        <w:rPr>
          <w:rStyle w:val="mord"/>
          <w:rFonts w:ascii="Arial" w:hAnsi="Arial" w:cs="Arial"/>
          <w:sz w:val="20"/>
          <w:szCs w:val="20"/>
        </w:rPr>
        <w:t>39.2</w:t>
      </w:r>
      <w:r w:rsidRPr="00731D8C">
        <w:rPr>
          <w:rStyle w:val="mbin"/>
          <w:rFonts w:ascii="Arial" w:hAnsi="Arial" w:cs="Arial"/>
          <w:sz w:val="20"/>
          <w:szCs w:val="20"/>
        </w:rPr>
        <w:t>±</w:t>
      </w:r>
      <w:r w:rsidRPr="00731D8C">
        <w:rPr>
          <w:rStyle w:val="mord"/>
          <w:rFonts w:ascii="Arial" w:hAnsi="Arial" w:cs="Arial"/>
          <w:sz w:val="20"/>
          <w:szCs w:val="20"/>
        </w:rPr>
        <w:t>15.5</w:t>
      </w:r>
      <w:r w:rsidRPr="00731D8C">
        <w:rPr>
          <w:rFonts w:ascii="Arial" w:hAnsi="Arial" w:cs="Arial"/>
          <w:sz w:val="20"/>
          <w:szCs w:val="20"/>
        </w:rPr>
        <w:t xml:space="preserve">years) </w:t>
      </w:r>
      <w:proofErr w:type="spellStart"/>
      <w:r w:rsidRPr="00731D8C">
        <w:rPr>
          <w:rFonts w:ascii="Arial" w:hAnsi="Arial" w:cs="Arial"/>
          <w:sz w:val="20"/>
          <w:szCs w:val="20"/>
        </w:rPr>
        <w:t>than</w:t>
      </w:r>
      <w:proofErr w:type="spellEnd"/>
      <w:r w:rsidRPr="00731D8C">
        <w:rPr>
          <w:rFonts w:ascii="Arial" w:hAnsi="Arial" w:cs="Arial"/>
          <w:sz w:val="20"/>
          <w:szCs w:val="20"/>
        </w:rPr>
        <w:t xml:space="preserve"> men (</w:t>
      </w:r>
      <w:r w:rsidRPr="00731D8C">
        <w:rPr>
          <w:rStyle w:val="mord"/>
          <w:rFonts w:ascii="Arial" w:hAnsi="Arial" w:cs="Arial"/>
          <w:sz w:val="20"/>
          <w:szCs w:val="20"/>
        </w:rPr>
        <w:t>34.0</w:t>
      </w:r>
      <w:r w:rsidRPr="00731D8C">
        <w:rPr>
          <w:rStyle w:val="mbin"/>
          <w:rFonts w:ascii="Arial" w:hAnsi="Arial" w:cs="Arial"/>
          <w:sz w:val="20"/>
          <w:szCs w:val="20"/>
        </w:rPr>
        <w:t>±</w:t>
      </w:r>
      <w:r w:rsidRPr="00731D8C">
        <w:rPr>
          <w:rStyle w:val="mord"/>
          <w:rFonts w:ascii="Arial" w:hAnsi="Arial" w:cs="Arial"/>
          <w:sz w:val="20"/>
          <w:szCs w:val="20"/>
        </w:rPr>
        <w:t>14.8</w:t>
      </w:r>
      <w:r w:rsidRPr="00731D8C">
        <w:rPr>
          <w:rFonts w:ascii="Arial" w:hAnsi="Arial" w:cs="Arial"/>
          <w:sz w:val="20"/>
          <w:szCs w:val="20"/>
        </w:rPr>
        <w:t xml:space="preserve"> </w:t>
      </w:r>
      <w:proofErr w:type="spellStart"/>
      <w:r w:rsidRPr="00731D8C">
        <w:rPr>
          <w:rFonts w:ascii="Arial" w:hAnsi="Arial" w:cs="Arial"/>
          <w:sz w:val="20"/>
          <w:szCs w:val="20"/>
        </w:rPr>
        <w:t>years</w:t>
      </w:r>
      <w:proofErr w:type="spellEnd"/>
      <w:r w:rsidRPr="00731D8C">
        <w:rPr>
          <w:rFonts w:ascii="Arial" w:hAnsi="Arial" w:cs="Arial"/>
          <w:sz w:val="20"/>
          <w:szCs w:val="20"/>
        </w:rPr>
        <w:t xml:space="preserve">). Marital </w:t>
      </w:r>
      <w:proofErr w:type="spellStart"/>
      <w:r w:rsidRPr="00731D8C">
        <w:rPr>
          <w:rFonts w:ascii="Arial" w:hAnsi="Arial" w:cs="Arial"/>
          <w:sz w:val="20"/>
          <w:szCs w:val="20"/>
        </w:rPr>
        <w:t>status</w:t>
      </w:r>
      <w:proofErr w:type="spellEnd"/>
      <w:r w:rsidRPr="00731D8C">
        <w:rPr>
          <w:rFonts w:ascii="Arial" w:hAnsi="Arial" w:cs="Arial"/>
          <w:sz w:val="20"/>
          <w:szCs w:val="20"/>
        </w:rPr>
        <w:t xml:space="preserve"> </w:t>
      </w:r>
      <w:proofErr w:type="spellStart"/>
      <w:r w:rsidRPr="00731D8C">
        <w:rPr>
          <w:rFonts w:ascii="Arial" w:hAnsi="Arial" w:cs="Arial"/>
          <w:sz w:val="20"/>
          <w:szCs w:val="20"/>
        </w:rPr>
        <w:t>also</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differed</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significantly</w:t>
      </w:r>
      <w:proofErr w:type="spellEnd"/>
      <w:r w:rsidRPr="00731D8C">
        <w:rPr>
          <w:rFonts w:ascii="Arial" w:hAnsi="Arial" w:cs="Arial"/>
          <w:sz w:val="20"/>
          <w:szCs w:val="20"/>
        </w:rPr>
        <w:t xml:space="preserve"> (</w:t>
      </w:r>
      <w:r w:rsidRPr="00731D8C">
        <w:rPr>
          <w:rStyle w:val="mord"/>
          <w:rFonts w:ascii="Arial" w:hAnsi="Arial" w:cs="Arial"/>
          <w:sz w:val="20"/>
          <w:szCs w:val="20"/>
        </w:rPr>
        <w:t>p</w:t>
      </w:r>
      <w:r w:rsidRPr="00731D8C">
        <w:rPr>
          <w:rStyle w:val="mrel"/>
          <w:rFonts w:ascii="Arial" w:hAnsi="Arial" w:cs="Arial"/>
          <w:sz w:val="20"/>
          <w:szCs w:val="20"/>
        </w:rPr>
        <w:t>&lt;</w:t>
      </w:r>
      <w:r w:rsidRPr="00731D8C">
        <w:rPr>
          <w:rStyle w:val="mord"/>
          <w:rFonts w:ascii="Arial" w:hAnsi="Arial" w:cs="Arial"/>
          <w:sz w:val="20"/>
          <w:szCs w:val="20"/>
        </w:rPr>
        <w:t>0.001</w:t>
      </w:r>
      <w:r w:rsidRPr="00731D8C">
        <w:rPr>
          <w:rFonts w:ascii="Arial" w:hAnsi="Arial" w:cs="Arial"/>
          <w:sz w:val="20"/>
          <w:szCs w:val="20"/>
        </w:rPr>
        <w:t xml:space="preserve">). A </w:t>
      </w:r>
      <w:proofErr w:type="spellStart"/>
      <w:r w:rsidRPr="00731D8C">
        <w:rPr>
          <w:rFonts w:ascii="Arial" w:hAnsi="Arial" w:cs="Arial"/>
          <w:sz w:val="20"/>
          <w:szCs w:val="20"/>
        </w:rPr>
        <w:t>higher</w:t>
      </w:r>
      <w:proofErr w:type="spellEnd"/>
      <w:r w:rsidRPr="00731D8C">
        <w:rPr>
          <w:rFonts w:ascii="Arial" w:hAnsi="Arial" w:cs="Arial"/>
          <w:sz w:val="20"/>
          <w:szCs w:val="20"/>
        </w:rPr>
        <w:t xml:space="preserve"> proportion of single men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r w:rsidRPr="00731D8C">
        <w:rPr>
          <w:rFonts w:ascii="Arial" w:hAnsi="Arial" w:cs="Arial"/>
          <w:bCs/>
          <w:sz w:val="20"/>
          <w:szCs w:val="20"/>
        </w:rPr>
        <w:t>48.7%</w:t>
      </w:r>
      <w:r w:rsidRPr="00731D8C">
        <w:rPr>
          <w:rFonts w:ascii="Arial" w:hAnsi="Arial" w:cs="Arial"/>
          <w:sz w:val="20"/>
          <w:szCs w:val="20"/>
        </w:rPr>
        <w:t xml:space="preserve"> vs. </w:t>
      </w:r>
      <w:r w:rsidRPr="00731D8C">
        <w:rPr>
          <w:rFonts w:ascii="Arial" w:hAnsi="Arial" w:cs="Arial"/>
          <w:bCs/>
          <w:sz w:val="20"/>
          <w:szCs w:val="20"/>
        </w:rPr>
        <w:t>23.3%</w:t>
      </w:r>
      <w:r w:rsidRPr="00731D8C">
        <w:rPr>
          <w:rFonts w:ascii="Arial" w:hAnsi="Arial" w:cs="Arial"/>
          <w:sz w:val="20"/>
          <w:szCs w:val="20"/>
        </w:rPr>
        <w:t xml:space="preserve"> in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while</w:t>
      </w:r>
      <w:proofErr w:type="spellEnd"/>
      <w:r w:rsidRPr="00731D8C">
        <w:rPr>
          <w:rFonts w:ascii="Arial" w:hAnsi="Arial" w:cs="Arial"/>
          <w:sz w:val="20"/>
          <w:szCs w:val="20"/>
        </w:rPr>
        <w:t xml:space="preserve"> </w:t>
      </w:r>
      <w:proofErr w:type="spellStart"/>
      <w:r w:rsidRPr="00731D8C">
        <w:rPr>
          <w:rFonts w:ascii="Arial" w:hAnsi="Arial" w:cs="Arial"/>
          <w:sz w:val="20"/>
          <w:szCs w:val="20"/>
        </w:rPr>
        <w:t>widowhood</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significantly</w:t>
      </w:r>
      <w:proofErr w:type="spellEnd"/>
      <w:r w:rsidRPr="00731D8C">
        <w:rPr>
          <w:rFonts w:ascii="Arial" w:hAnsi="Arial" w:cs="Arial"/>
          <w:sz w:val="20"/>
          <w:szCs w:val="20"/>
        </w:rPr>
        <w:t xml:space="preserve"> more </w:t>
      </w:r>
      <w:proofErr w:type="spellStart"/>
      <w:r w:rsidRPr="00731D8C">
        <w:rPr>
          <w:rFonts w:ascii="Arial" w:hAnsi="Arial" w:cs="Arial"/>
          <w:sz w:val="20"/>
          <w:szCs w:val="20"/>
        </w:rPr>
        <w:t>frequent</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r w:rsidRPr="00731D8C">
        <w:rPr>
          <w:rFonts w:ascii="Arial" w:hAnsi="Arial" w:cs="Arial"/>
          <w:bCs/>
          <w:sz w:val="20"/>
          <w:szCs w:val="20"/>
        </w:rPr>
        <w:t>20.2%</w:t>
      </w:r>
      <w:r w:rsidRPr="00731D8C">
        <w:rPr>
          <w:rFonts w:ascii="Arial" w:hAnsi="Arial" w:cs="Arial"/>
          <w:sz w:val="20"/>
          <w:szCs w:val="20"/>
        </w:rPr>
        <w:t xml:space="preserve"> vs. </w:t>
      </w:r>
      <w:proofErr w:type="spellStart"/>
      <w:proofErr w:type="gramStart"/>
      <w:r w:rsidRPr="00731D8C">
        <w:rPr>
          <w:rFonts w:ascii="Arial" w:hAnsi="Arial" w:cs="Arial"/>
          <w:sz w:val="20"/>
          <w:szCs w:val="20"/>
        </w:rPr>
        <w:t>only</w:t>
      </w:r>
      <w:proofErr w:type="spellEnd"/>
      <w:proofErr w:type="gramEnd"/>
      <w:r w:rsidRPr="00731D8C">
        <w:rPr>
          <w:rFonts w:ascii="Arial" w:hAnsi="Arial" w:cs="Arial"/>
          <w:sz w:val="20"/>
          <w:szCs w:val="20"/>
        </w:rPr>
        <w:t xml:space="preserve"> </w:t>
      </w:r>
      <w:r w:rsidRPr="00731D8C">
        <w:rPr>
          <w:rFonts w:ascii="Arial" w:hAnsi="Arial" w:cs="Arial"/>
          <w:bCs/>
          <w:sz w:val="20"/>
          <w:szCs w:val="20"/>
        </w:rPr>
        <w:t>3.4%</w:t>
      </w:r>
      <w:r w:rsidRPr="00731D8C">
        <w:rPr>
          <w:rFonts w:ascii="Arial" w:hAnsi="Arial" w:cs="Arial"/>
          <w:sz w:val="20"/>
          <w:szCs w:val="20"/>
        </w:rPr>
        <w:t xml:space="preserve"> in men).</w:t>
      </w:r>
    </w:p>
    <w:p w14:paraId="5729F34C" w14:textId="77777777" w:rsidR="00731D8C" w:rsidRPr="00731D8C" w:rsidRDefault="00731D8C" w:rsidP="00731D8C">
      <w:pPr>
        <w:pStyle w:val="NormalWeb"/>
        <w:jc w:val="both"/>
        <w:rPr>
          <w:rFonts w:ascii="Arial" w:hAnsi="Arial" w:cs="Arial"/>
          <w:sz w:val="20"/>
          <w:szCs w:val="20"/>
        </w:rPr>
      </w:pPr>
      <w:proofErr w:type="spellStart"/>
      <w:r w:rsidRPr="00731D8C">
        <w:rPr>
          <w:rFonts w:ascii="Arial" w:hAnsi="Arial" w:cs="Arial"/>
          <w:sz w:val="20"/>
          <w:szCs w:val="20"/>
        </w:rPr>
        <w:t>Regarding</w:t>
      </w:r>
      <w:proofErr w:type="spellEnd"/>
      <w:r w:rsidRPr="00731D8C">
        <w:rPr>
          <w:rFonts w:ascii="Arial" w:hAnsi="Arial" w:cs="Arial"/>
          <w:sz w:val="20"/>
          <w:szCs w:val="20"/>
        </w:rPr>
        <w:t xml:space="preserve"> </w:t>
      </w: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a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disparity</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highlighted</w:t>
      </w:r>
      <w:proofErr w:type="spellEnd"/>
      <w:r w:rsidRPr="00731D8C">
        <w:rPr>
          <w:rFonts w:ascii="Arial" w:hAnsi="Arial" w:cs="Arial"/>
          <w:sz w:val="20"/>
          <w:szCs w:val="20"/>
        </w:rPr>
        <w:t xml:space="preserve"> (</w:t>
      </w:r>
      <w:r w:rsidRPr="00731D8C">
        <w:rPr>
          <w:rStyle w:val="mord"/>
          <w:rFonts w:ascii="Arial" w:hAnsi="Arial" w:cs="Arial"/>
          <w:sz w:val="20"/>
          <w:szCs w:val="20"/>
        </w:rPr>
        <w:t>p</w:t>
      </w:r>
      <w:r w:rsidRPr="00731D8C">
        <w:rPr>
          <w:rStyle w:val="mrel"/>
          <w:rFonts w:ascii="Arial" w:hAnsi="Arial" w:cs="Arial"/>
          <w:sz w:val="20"/>
          <w:szCs w:val="20"/>
        </w:rPr>
        <w:t>&lt;</w:t>
      </w:r>
      <w:r w:rsidRPr="00731D8C">
        <w:rPr>
          <w:rStyle w:val="mord"/>
          <w:rFonts w:ascii="Arial" w:hAnsi="Arial" w:cs="Arial"/>
          <w:sz w:val="20"/>
          <w:szCs w:val="20"/>
        </w:rPr>
        <w:t>0.001</w:t>
      </w:r>
      <w:r w:rsidRPr="00731D8C">
        <w:rPr>
          <w:rFonts w:ascii="Arial" w:hAnsi="Arial" w:cs="Arial"/>
          <w:sz w:val="20"/>
          <w:szCs w:val="20"/>
        </w:rPr>
        <w:t xml:space="preserve">). Men </w:t>
      </w:r>
      <w:proofErr w:type="spellStart"/>
      <w:r w:rsidRPr="00731D8C">
        <w:rPr>
          <w:rFonts w:ascii="Arial" w:hAnsi="Arial" w:cs="Arial"/>
          <w:sz w:val="20"/>
          <w:szCs w:val="20"/>
        </w:rPr>
        <w:t>generally</w:t>
      </w:r>
      <w:proofErr w:type="spellEnd"/>
      <w:r w:rsidRPr="00731D8C">
        <w:rPr>
          <w:rFonts w:ascii="Arial" w:hAnsi="Arial" w:cs="Arial"/>
          <w:sz w:val="20"/>
          <w:szCs w:val="20"/>
        </w:rPr>
        <w:t xml:space="preserve"> </w:t>
      </w:r>
      <w:proofErr w:type="spellStart"/>
      <w:r w:rsidRPr="00731D8C">
        <w:rPr>
          <w:rFonts w:ascii="Arial" w:hAnsi="Arial" w:cs="Arial"/>
          <w:sz w:val="20"/>
          <w:szCs w:val="20"/>
        </w:rPr>
        <w:t>had</w:t>
      </w:r>
      <w:proofErr w:type="spellEnd"/>
      <w:r w:rsidRPr="00731D8C">
        <w:rPr>
          <w:rFonts w:ascii="Arial" w:hAnsi="Arial" w:cs="Arial"/>
          <w:sz w:val="20"/>
          <w:szCs w:val="20"/>
        </w:rPr>
        <w:t xml:space="preserve"> a </w:t>
      </w:r>
      <w:proofErr w:type="spellStart"/>
      <w:r w:rsidRPr="00731D8C">
        <w:rPr>
          <w:rFonts w:ascii="Arial" w:hAnsi="Arial" w:cs="Arial"/>
          <w:sz w:val="20"/>
          <w:szCs w:val="20"/>
        </w:rPr>
        <w:t>higher</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of </w:t>
      </w:r>
      <w:proofErr w:type="spellStart"/>
      <w:r w:rsidRPr="00731D8C">
        <w:rPr>
          <w:rFonts w:ascii="Arial" w:hAnsi="Arial" w:cs="Arial"/>
          <w:sz w:val="20"/>
          <w:szCs w:val="20"/>
        </w:rPr>
        <w:t>education</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61.5%</w:t>
      </w:r>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w:t>
      </w:r>
      <w:proofErr w:type="spellStart"/>
      <w:r w:rsidRPr="00731D8C">
        <w:rPr>
          <w:rFonts w:ascii="Arial" w:hAnsi="Arial" w:cs="Arial"/>
          <w:sz w:val="20"/>
          <w:szCs w:val="20"/>
        </w:rPr>
        <w:t>reached</w:t>
      </w:r>
      <w:proofErr w:type="spellEnd"/>
      <w:r w:rsidRPr="00731D8C">
        <w:rPr>
          <w:rFonts w:ascii="Arial" w:hAnsi="Arial" w:cs="Arial"/>
          <w:sz w:val="20"/>
          <w:szCs w:val="20"/>
        </w:rPr>
        <w:t xml:space="preserve"> at least a </w:t>
      </w:r>
      <w:proofErr w:type="spellStart"/>
      <w:r w:rsidRPr="00731D8C">
        <w:rPr>
          <w:rFonts w:ascii="Arial" w:hAnsi="Arial" w:cs="Arial"/>
          <w:sz w:val="20"/>
          <w:szCs w:val="20"/>
        </w:rPr>
        <w:t>secondary</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w:t>
      </w:r>
      <w:proofErr w:type="spellStart"/>
      <w:r w:rsidRPr="00731D8C">
        <w:rPr>
          <w:rFonts w:ascii="Arial" w:hAnsi="Arial" w:cs="Arial"/>
          <w:sz w:val="20"/>
          <w:szCs w:val="20"/>
        </w:rPr>
        <w:t>compared</w:t>
      </w:r>
      <w:proofErr w:type="spellEnd"/>
      <w:r w:rsidRPr="00731D8C">
        <w:rPr>
          <w:rFonts w:ascii="Arial" w:hAnsi="Arial" w:cs="Arial"/>
          <w:sz w:val="20"/>
          <w:szCs w:val="20"/>
        </w:rPr>
        <w:t xml:space="preserve"> to </w:t>
      </w:r>
      <w:r w:rsidRPr="00731D8C">
        <w:rPr>
          <w:rFonts w:ascii="Arial" w:hAnsi="Arial" w:cs="Arial"/>
          <w:bCs/>
          <w:sz w:val="20"/>
          <w:szCs w:val="20"/>
        </w:rPr>
        <w:t>34.2%</w:t>
      </w:r>
      <w:r w:rsidRPr="00731D8C">
        <w:rPr>
          <w:rFonts w:ascii="Arial" w:hAnsi="Arial" w:cs="Arial"/>
          <w:sz w:val="20"/>
          <w:szCs w:val="20"/>
        </w:rPr>
        <w:t xml:space="preserve"> for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Conversely</w:t>
      </w:r>
      <w:proofErr w:type="spellEnd"/>
      <w:r w:rsidRPr="00731D8C">
        <w:rPr>
          <w:rFonts w:ascii="Arial" w:hAnsi="Arial" w:cs="Arial"/>
          <w:sz w:val="20"/>
          <w:szCs w:val="20"/>
        </w:rPr>
        <w:t xml:space="preserve">, the proportion of </w:t>
      </w:r>
      <w:proofErr w:type="spellStart"/>
      <w:r w:rsidRPr="00731D8C">
        <w:rPr>
          <w:rFonts w:ascii="Arial" w:hAnsi="Arial" w:cs="Arial"/>
          <w:sz w:val="20"/>
          <w:szCs w:val="20"/>
        </w:rPr>
        <w:t>uneducated</w:t>
      </w:r>
      <w:proofErr w:type="spellEnd"/>
      <w:r w:rsidRPr="00731D8C">
        <w:rPr>
          <w:rFonts w:ascii="Arial" w:hAnsi="Arial" w:cs="Arial"/>
          <w:sz w:val="20"/>
          <w:szCs w:val="20"/>
        </w:rPr>
        <w:t xml:space="preserve"> </w:t>
      </w:r>
      <w:proofErr w:type="spellStart"/>
      <w:r w:rsidRPr="00731D8C">
        <w:rPr>
          <w:rFonts w:ascii="Arial" w:hAnsi="Arial" w:cs="Arial"/>
          <w:sz w:val="20"/>
          <w:szCs w:val="20"/>
        </w:rPr>
        <w:t>individuals</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nearly</w:t>
      </w:r>
      <w:proofErr w:type="spellEnd"/>
      <w:r w:rsidRPr="00731D8C">
        <w:rPr>
          <w:rFonts w:ascii="Arial" w:hAnsi="Arial" w:cs="Arial"/>
          <w:sz w:val="20"/>
          <w:szCs w:val="20"/>
        </w:rPr>
        <w:t xml:space="preserve"> </w:t>
      </w:r>
      <w:proofErr w:type="spellStart"/>
      <w:r w:rsidRPr="00731D8C">
        <w:rPr>
          <w:rFonts w:ascii="Arial" w:hAnsi="Arial" w:cs="Arial"/>
          <w:sz w:val="20"/>
          <w:szCs w:val="20"/>
        </w:rPr>
        <w:t>three</w:t>
      </w:r>
      <w:proofErr w:type="spellEnd"/>
      <w:r w:rsidRPr="00731D8C">
        <w:rPr>
          <w:rFonts w:ascii="Arial" w:hAnsi="Arial" w:cs="Arial"/>
          <w:sz w:val="20"/>
          <w:szCs w:val="20"/>
        </w:rPr>
        <w:t xml:space="preserve"> times </w:t>
      </w:r>
      <w:proofErr w:type="spellStart"/>
      <w:r w:rsidRPr="00731D8C">
        <w:rPr>
          <w:rFonts w:ascii="Arial" w:hAnsi="Arial" w:cs="Arial"/>
          <w:sz w:val="20"/>
          <w:szCs w:val="20"/>
        </w:rPr>
        <w:t>greater</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r w:rsidRPr="00731D8C">
        <w:rPr>
          <w:rFonts w:ascii="Arial" w:hAnsi="Arial" w:cs="Arial"/>
          <w:bCs/>
          <w:sz w:val="20"/>
          <w:szCs w:val="20"/>
        </w:rPr>
        <w:t>31.8%</w:t>
      </w:r>
      <w:r w:rsidRPr="00731D8C">
        <w:rPr>
          <w:rFonts w:ascii="Arial" w:hAnsi="Arial" w:cs="Arial"/>
          <w:sz w:val="20"/>
          <w:szCs w:val="20"/>
        </w:rPr>
        <w:t xml:space="preserve">) </w:t>
      </w:r>
      <w:proofErr w:type="spellStart"/>
      <w:r w:rsidRPr="00731D8C">
        <w:rPr>
          <w:rFonts w:ascii="Arial" w:hAnsi="Arial" w:cs="Arial"/>
          <w:sz w:val="20"/>
          <w:szCs w:val="20"/>
        </w:rPr>
        <w:t>than</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men (</w:t>
      </w:r>
      <w:r w:rsidRPr="00731D8C">
        <w:rPr>
          <w:rFonts w:ascii="Arial" w:hAnsi="Arial" w:cs="Arial"/>
          <w:bCs/>
          <w:sz w:val="20"/>
          <w:szCs w:val="20"/>
        </w:rPr>
        <w:t>12.0%</w:t>
      </w:r>
      <w:r w:rsidRPr="00731D8C">
        <w:rPr>
          <w:rFonts w:ascii="Arial" w:hAnsi="Arial" w:cs="Arial"/>
          <w:sz w:val="20"/>
          <w:szCs w:val="20"/>
        </w:rPr>
        <w:t>).</w:t>
      </w:r>
    </w:p>
    <w:p w14:paraId="7F679C7F" w14:textId="77777777" w:rsidR="00731D8C" w:rsidRPr="00731D8C" w:rsidRDefault="00731D8C" w:rsidP="00731D8C">
      <w:pPr>
        <w:pStyle w:val="NormalWeb"/>
        <w:jc w:val="both"/>
        <w:rPr>
          <w:rFonts w:ascii="Arial" w:hAnsi="Arial" w:cs="Arial"/>
          <w:sz w:val="20"/>
          <w:szCs w:val="20"/>
        </w:rPr>
      </w:pPr>
      <w:proofErr w:type="spellStart"/>
      <w:r w:rsidRPr="00731D8C">
        <w:rPr>
          <w:rFonts w:ascii="Arial" w:hAnsi="Arial" w:cs="Arial"/>
          <w:sz w:val="20"/>
          <w:szCs w:val="20"/>
        </w:rPr>
        <w:t>From</w:t>
      </w:r>
      <w:proofErr w:type="spellEnd"/>
      <w:r w:rsidRPr="00731D8C">
        <w:rPr>
          <w:rFonts w:ascii="Arial" w:hAnsi="Arial" w:cs="Arial"/>
          <w:sz w:val="20"/>
          <w:szCs w:val="20"/>
        </w:rPr>
        <w:t xml:space="preserve"> a </w:t>
      </w:r>
      <w:proofErr w:type="spellStart"/>
      <w:r w:rsidRPr="00731D8C">
        <w:rPr>
          <w:rFonts w:ascii="Arial" w:hAnsi="Arial" w:cs="Arial"/>
          <w:sz w:val="20"/>
          <w:szCs w:val="20"/>
        </w:rPr>
        <w:t>socioeconomic</w:t>
      </w:r>
      <w:proofErr w:type="spellEnd"/>
      <w:r w:rsidRPr="00731D8C">
        <w:rPr>
          <w:rFonts w:ascii="Arial" w:hAnsi="Arial" w:cs="Arial"/>
          <w:sz w:val="20"/>
          <w:szCs w:val="20"/>
        </w:rPr>
        <w:t xml:space="preserve"> perspective, </w:t>
      </w:r>
      <w:proofErr w:type="spellStart"/>
      <w:r w:rsidRPr="00731D8C">
        <w:rPr>
          <w:rFonts w:ascii="Arial" w:hAnsi="Arial" w:cs="Arial"/>
          <w:sz w:val="20"/>
          <w:szCs w:val="20"/>
        </w:rPr>
        <w:t>despite</w:t>
      </w:r>
      <w:proofErr w:type="spellEnd"/>
      <w:r w:rsidRPr="00731D8C">
        <w:rPr>
          <w:rFonts w:ascii="Arial" w:hAnsi="Arial" w:cs="Arial"/>
          <w:sz w:val="20"/>
          <w:szCs w:val="20"/>
        </w:rPr>
        <w:t xml:space="preserve"> the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elsewhere</w:t>
      </w:r>
      <w:proofErr w:type="spellEnd"/>
      <w:r w:rsidRPr="00731D8C">
        <w:rPr>
          <w:rFonts w:ascii="Arial" w:hAnsi="Arial" w:cs="Arial"/>
          <w:sz w:val="20"/>
          <w:szCs w:val="20"/>
        </w:rPr>
        <w:t xml:space="preserve">, the distribution of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did</w:t>
      </w:r>
      <w:proofErr w:type="spellEnd"/>
      <w:r w:rsidRPr="00731D8C">
        <w:rPr>
          <w:rFonts w:ascii="Arial" w:hAnsi="Arial" w:cs="Arial"/>
          <w:sz w:val="20"/>
          <w:szCs w:val="20"/>
        </w:rPr>
        <w:t xml:space="preserve"> not show a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w:t>
      </w:r>
      <w:proofErr w:type="spellStart"/>
      <w:r w:rsidRPr="00731D8C">
        <w:rPr>
          <w:rFonts w:ascii="Arial" w:hAnsi="Arial" w:cs="Arial"/>
          <w:sz w:val="20"/>
          <w:szCs w:val="20"/>
        </w:rPr>
        <w:t>two</w:t>
      </w:r>
      <w:proofErr w:type="spellEnd"/>
      <w:r w:rsidRPr="00731D8C">
        <w:rPr>
          <w:rFonts w:ascii="Arial" w:hAnsi="Arial" w:cs="Arial"/>
          <w:sz w:val="20"/>
          <w:szCs w:val="20"/>
        </w:rPr>
        <w:t xml:space="preserve"> groups (</w:t>
      </w:r>
      <w:r w:rsidRPr="00731D8C">
        <w:rPr>
          <w:rStyle w:val="mord"/>
          <w:rFonts w:ascii="Arial" w:hAnsi="Arial" w:cs="Arial"/>
          <w:sz w:val="20"/>
          <w:szCs w:val="20"/>
        </w:rPr>
        <w:t>p</w:t>
      </w:r>
      <w:r w:rsidRPr="00731D8C">
        <w:rPr>
          <w:rStyle w:val="mrel"/>
          <w:rFonts w:ascii="Arial" w:hAnsi="Arial" w:cs="Arial"/>
          <w:sz w:val="20"/>
          <w:szCs w:val="20"/>
        </w:rPr>
        <w:t>&gt;</w:t>
      </w:r>
      <w:r w:rsidRPr="00731D8C">
        <w:rPr>
          <w:rStyle w:val="mord"/>
          <w:rFonts w:ascii="Arial" w:hAnsi="Arial" w:cs="Arial"/>
          <w:sz w:val="20"/>
          <w:szCs w:val="20"/>
        </w:rPr>
        <w:t>0.05</w:t>
      </w:r>
      <w:r w:rsidRPr="00731D8C">
        <w:rPr>
          <w:rFonts w:ascii="Arial" w:hAnsi="Arial" w:cs="Arial"/>
          <w:sz w:val="20"/>
          <w:szCs w:val="20"/>
        </w:rPr>
        <w:t xml:space="preserve">). </w:t>
      </w:r>
      <w:proofErr w:type="spellStart"/>
      <w:r w:rsidRPr="00731D8C">
        <w:rPr>
          <w:rFonts w:ascii="Arial" w:hAnsi="Arial" w:cs="Arial"/>
          <w:sz w:val="20"/>
          <w:szCs w:val="20"/>
        </w:rPr>
        <w:t>Economic</w:t>
      </w:r>
      <w:proofErr w:type="spellEnd"/>
      <w:r w:rsidRPr="00731D8C">
        <w:rPr>
          <w:rFonts w:ascii="Arial" w:hAnsi="Arial" w:cs="Arial"/>
          <w:sz w:val="20"/>
          <w:szCs w:val="20"/>
        </w:rPr>
        <w:t xml:space="preserve"> </w:t>
      </w:r>
      <w:proofErr w:type="spellStart"/>
      <w:r w:rsidRPr="00731D8C">
        <w:rPr>
          <w:rFonts w:ascii="Arial" w:hAnsi="Arial" w:cs="Arial"/>
          <w:sz w:val="20"/>
          <w:szCs w:val="20"/>
        </w:rPr>
        <w:t>precariousness</w:t>
      </w:r>
      <w:proofErr w:type="spellEnd"/>
      <w:r w:rsidRPr="00731D8C">
        <w:rPr>
          <w:rFonts w:ascii="Arial" w:hAnsi="Arial" w:cs="Arial"/>
          <w:sz w:val="20"/>
          <w:szCs w:val="20"/>
        </w:rPr>
        <w:t xml:space="preserve"> </w:t>
      </w:r>
      <w:proofErr w:type="spellStart"/>
      <w:r w:rsidRPr="00731D8C">
        <w:rPr>
          <w:rFonts w:ascii="Arial" w:hAnsi="Arial" w:cs="Arial"/>
          <w:sz w:val="20"/>
          <w:szCs w:val="20"/>
        </w:rPr>
        <w:t>affected</w:t>
      </w:r>
      <w:proofErr w:type="spellEnd"/>
      <w:r w:rsidRPr="00731D8C">
        <w:rPr>
          <w:rFonts w:ascii="Arial" w:hAnsi="Arial" w:cs="Arial"/>
          <w:sz w:val="20"/>
          <w:szCs w:val="20"/>
        </w:rPr>
        <w:t xml:space="preserve"> the </w:t>
      </w:r>
      <w:proofErr w:type="spellStart"/>
      <w:r w:rsidRPr="00731D8C">
        <w:rPr>
          <w:rFonts w:ascii="Arial" w:hAnsi="Arial" w:cs="Arial"/>
          <w:sz w:val="20"/>
          <w:szCs w:val="20"/>
        </w:rPr>
        <w:t>entire</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over 85%</w:t>
      </w:r>
      <w:r w:rsidRPr="00731D8C">
        <w:rPr>
          <w:rFonts w:ascii="Arial" w:hAnsi="Arial" w:cs="Arial"/>
          <w:sz w:val="20"/>
          <w:szCs w:val="20"/>
        </w:rPr>
        <w:t xml:space="preserve"> of patients (</w:t>
      </w:r>
      <w:proofErr w:type="spellStart"/>
      <w:r w:rsidRPr="00731D8C">
        <w:rPr>
          <w:rFonts w:ascii="Arial" w:hAnsi="Arial" w:cs="Arial"/>
          <w:sz w:val="20"/>
          <w:szCs w:val="20"/>
        </w:rPr>
        <w:t>both</w:t>
      </w:r>
      <w:proofErr w:type="spellEnd"/>
      <w:r w:rsidRPr="00731D8C">
        <w:rPr>
          <w:rFonts w:ascii="Arial" w:hAnsi="Arial" w:cs="Arial"/>
          <w:sz w:val="20"/>
          <w:szCs w:val="20"/>
        </w:rPr>
        <w:t xml:space="preserve"> men and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a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below</w:t>
      </w:r>
      <w:proofErr w:type="spellEnd"/>
      <w:r w:rsidRPr="00731D8C">
        <w:rPr>
          <w:rFonts w:ascii="Arial" w:hAnsi="Arial" w:cs="Arial"/>
          <w:sz w:val="20"/>
          <w:szCs w:val="20"/>
        </w:rPr>
        <w:t xml:space="preserve"> 100,000 CFA francs. The </w:t>
      </w:r>
      <w:proofErr w:type="spellStart"/>
      <w:r w:rsidRPr="00731D8C">
        <w:rPr>
          <w:rFonts w:ascii="Arial" w:hAnsi="Arial" w:cs="Arial"/>
          <w:sz w:val="20"/>
          <w:szCs w:val="20"/>
        </w:rPr>
        <w:t>detailed</w:t>
      </w:r>
      <w:proofErr w:type="spellEnd"/>
      <w:r w:rsidRPr="00731D8C">
        <w:rPr>
          <w:rFonts w:ascii="Arial" w:hAnsi="Arial" w:cs="Arial"/>
          <w:sz w:val="20"/>
          <w:szCs w:val="20"/>
        </w:rPr>
        <w:t xml:space="preserve"> distribution of </w:t>
      </w:r>
      <w:proofErr w:type="spellStart"/>
      <w:r w:rsidRPr="00731D8C">
        <w:rPr>
          <w:rFonts w:ascii="Arial" w:hAnsi="Arial" w:cs="Arial"/>
          <w:sz w:val="20"/>
          <w:szCs w:val="20"/>
        </w:rPr>
        <w:t>these</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w:t>
      </w:r>
      <w:proofErr w:type="spellStart"/>
      <w:r w:rsidRPr="00731D8C">
        <w:rPr>
          <w:rFonts w:ascii="Arial" w:hAnsi="Arial" w:cs="Arial"/>
          <w:sz w:val="20"/>
          <w:szCs w:val="20"/>
        </w:rPr>
        <w:t>is</w:t>
      </w:r>
      <w:proofErr w:type="spellEnd"/>
      <w:r w:rsidRPr="00731D8C">
        <w:rPr>
          <w:rFonts w:ascii="Arial" w:hAnsi="Arial" w:cs="Arial"/>
          <w:sz w:val="20"/>
          <w:szCs w:val="20"/>
        </w:rPr>
        <w:t xml:space="preserve"> </w:t>
      </w:r>
      <w:proofErr w:type="spellStart"/>
      <w:r w:rsidRPr="00731D8C">
        <w:rPr>
          <w:rFonts w:ascii="Arial" w:hAnsi="Arial" w:cs="Arial"/>
          <w:sz w:val="20"/>
          <w:szCs w:val="20"/>
        </w:rPr>
        <w:t>presented</w:t>
      </w:r>
      <w:proofErr w:type="spellEnd"/>
      <w:r w:rsidRPr="00731D8C">
        <w:rPr>
          <w:rFonts w:ascii="Arial" w:hAnsi="Arial" w:cs="Arial"/>
          <w:sz w:val="20"/>
          <w:szCs w:val="20"/>
        </w:rPr>
        <w:t xml:space="preserve"> in Table 1.</w:t>
      </w:r>
    </w:p>
    <w:p w14:paraId="44EBB7F0" w14:textId="77777777" w:rsidR="00731D8C" w:rsidRPr="00731D8C" w:rsidRDefault="00731D8C" w:rsidP="00731D8C">
      <w:pPr>
        <w:pStyle w:val="NormalWeb"/>
        <w:jc w:val="both"/>
        <w:rPr>
          <w:rFonts w:ascii="Arial" w:hAnsi="Arial" w:cs="Arial"/>
          <w:b/>
          <w:sz w:val="20"/>
          <w:szCs w:val="20"/>
        </w:rPr>
      </w:pPr>
      <w:r w:rsidRPr="00731D8C">
        <w:rPr>
          <w:rFonts w:ascii="Arial" w:hAnsi="Arial" w:cs="Arial"/>
          <w:b/>
          <w:sz w:val="20"/>
          <w:szCs w:val="20"/>
        </w:rPr>
        <w:t xml:space="preserve">Table </w:t>
      </w:r>
      <w:proofErr w:type="gramStart"/>
      <w:r w:rsidRPr="00731D8C">
        <w:rPr>
          <w:rFonts w:ascii="Arial" w:hAnsi="Arial" w:cs="Arial"/>
          <w:b/>
          <w:sz w:val="20"/>
          <w:szCs w:val="20"/>
        </w:rPr>
        <w:t>1:</w:t>
      </w:r>
      <w:proofErr w:type="gramEnd"/>
      <w:r w:rsidRPr="00731D8C">
        <w:rPr>
          <w:rFonts w:ascii="Arial" w:hAnsi="Arial" w:cs="Arial"/>
          <w:b/>
          <w:sz w:val="20"/>
          <w:szCs w:val="20"/>
        </w:rPr>
        <w:t xml:space="preserve"> </w:t>
      </w:r>
      <w:proofErr w:type="spellStart"/>
      <w:r w:rsidRPr="00731D8C">
        <w:rPr>
          <w:rFonts w:ascii="Arial" w:hAnsi="Arial" w:cs="Arial"/>
          <w:b/>
          <w:sz w:val="20"/>
          <w:szCs w:val="20"/>
        </w:rPr>
        <w:t>Sociodemographic</w:t>
      </w:r>
      <w:proofErr w:type="spellEnd"/>
      <w:r w:rsidRPr="00731D8C">
        <w:rPr>
          <w:rFonts w:ascii="Arial" w:hAnsi="Arial" w:cs="Arial"/>
          <w:b/>
          <w:sz w:val="20"/>
          <w:szCs w:val="20"/>
        </w:rPr>
        <w:t xml:space="preserve"> </w:t>
      </w:r>
      <w:proofErr w:type="spellStart"/>
      <w:r w:rsidRPr="00731D8C">
        <w:rPr>
          <w:rFonts w:ascii="Arial" w:hAnsi="Arial" w:cs="Arial"/>
          <w:b/>
          <w:sz w:val="20"/>
          <w:szCs w:val="20"/>
        </w:rPr>
        <w:t>characteristics</w:t>
      </w:r>
      <w:proofErr w:type="spellEnd"/>
      <w:r w:rsidRPr="00731D8C">
        <w:rPr>
          <w:rFonts w:ascii="Arial" w:hAnsi="Arial" w:cs="Arial"/>
          <w:b/>
          <w:sz w:val="20"/>
          <w:szCs w:val="20"/>
        </w:rPr>
        <w:t xml:space="preserve"> of the </w:t>
      </w:r>
      <w:proofErr w:type="spellStart"/>
      <w:r w:rsidRPr="00731D8C">
        <w:rPr>
          <w:rFonts w:ascii="Arial" w:hAnsi="Arial" w:cs="Arial"/>
          <w:b/>
          <w:sz w:val="20"/>
          <w:szCs w:val="20"/>
        </w:rPr>
        <w:t>study</w:t>
      </w:r>
      <w:proofErr w:type="spellEnd"/>
      <w:r w:rsidRPr="00731D8C">
        <w:rPr>
          <w:rFonts w:ascii="Arial" w:hAnsi="Arial" w:cs="Arial"/>
          <w:b/>
          <w:sz w:val="20"/>
          <w:szCs w:val="20"/>
        </w:rPr>
        <w:t xml:space="preserve"> population by </w:t>
      </w:r>
      <w:proofErr w:type="spellStart"/>
      <w:r w:rsidRPr="00731D8C">
        <w:rPr>
          <w:rFonts w:ascii="Arial" w:hAnsi="Arial" w:cs="Arial"/>
          <w:b/>
          <w:sz w:val="20"/>
          <w:szCs w:val="20"/>
        </w:rPr>
        <w:t>sex</w:t>
      </w:r>
      <w:proofErr w:type="spellEnd"/>
      <w:r w:rsidRPr="00731D8C">
        <w:rPr>
          <w:rFonts w:ascii="Arial" w:hAnsi="Arial" w:cs="Arial"/>
          <w:b/>
          <w:sz w:val="20"/>
          <w:szCs w:val="20"/>
        </w:rPr>
        <w:t xml:space="preserve"> (</w:t>
      </w:r>
      <w:r w:rsidRPr="00731D8C">
        <w:rPr>
          <w:rStyle w:val="mord"/>
          <w:rFonts w:ascii="Arial" w:hAnsi="Arial" w:cs="Arial"/>
          <w:b/>
          <w:sz w:val="20"/>
          <w:szCs w:val="20"/>
        </w:rPr>
        <w:t>n</w:t>
      </w:r>
      <w:r w:rsidRPr="00731D8C">
        <w:rPr>
          <w:rStyle w:val="mrel"/>
          <w:rFonts w:ascii="Arial" w:hAnsi="Arial" w:cs="Arial"/>
          <w:b/>
          <w:sz w:val="20"/>
          <w:szCs w:val="20"/>
        </w:rPr>
        <w:t>=</w:t>
      </w:r>
      <w:r w:rsidRPr="00731D8C">
        <w:rPr>
          <w:rStyle w:val="mord"/>
          <w:rFonts w:ascii="Arial" w:hAnsi="Arial" w:cs="Arial"/>
          <w:b/>
          <w:sz w:val="20"/>
          <w:szCs w:val="20"/>
        </w:rPr>
        <w:t>363</w:t>
      </w:r>
      <w:r w:rsidRPr="00731D8C">
        <w:rPr>
          <w:rFonts w:ascii="Arial" w:hAnsi="Arial" w:cs="Arial"/>
          <w:b/>
          <w:sz w:val="20"/>
          <w:szCs w:val="20"/>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1012"/>
        <w:gridCol w:w="1562"/>
        <w:gridCol w:w="1012"/>
        <w:gridCol w:w="1562"/>
        <w:gridCol w:w="2315"/>
      </w:tblGrid>
      <w:tr w:rsidR="00731D8C" w:rsidRPr="00731D8C" w14:paraId="07F1306E" w14:textId="77777777" w:rsidTr="005B73E9">
        <w:tc>
          <w:tcPr>
            <w:tcW w:w="0" w:type="auto"/>
            <w:vMerge w:val="restart"/>
            <w:hideMark/>
          </w:tcPr>
          <w:p w14:paraId="21FC3926" w14:textId="77777777" w:rsidR="00731D8C" w:rsidRPr="00731D8C" w:rsidRDefault="00731D8C" w:rsidP="00537802">
            <w:pPr>
              <w:pStyle w:val="NormalWeb"/>
              <w:jc w:val="both"/>
              <w:rPr>
                <w:rFonts w:ascii="Arial" w:hAnsi="Arial" w:cs="Arial"/>
                <w:b/>
                <w:bCs/>
                <w:sz w:val="20"/>
                <w:szCs w:val="20"/>
              </w:rPr>
            </w:pPr>
            <w:r w:rsidRPr="00731D8C">
              <w:rPr>
                <w:rStyle w:val="selected"/>
                <w:rFonts w:ascii="Arial" w:hAnsi="Arial" w:cs="Arial"/>
                <w:b/>
                <w:bCs/>
                <w:sz w:val="20"/>
                <w:szCs w:val="20"/>
              </w:rPr>
              <w:t>Caractéristiques</w:t>
            </w:r>
          </w:p>
        </w:tc>
        <w:tc>
          <w:tcPr>
            <w:tcW w:w="0" w:type="auto"/>
            <w:gridSpan w:val="2"/>
            <w:hideMark/>
          </w:tcPr>
          <w:p w14:paraId="64291ACE" w14:textId="77777777" w:rsidR="00731D8C" w:rsidRPr="00731D8C" w:rsidRDefault="00731D8C" w:rsidP="00537802">
            <w:pPr>
              <w:pStyle w:val="NormalWeb"/>
              <w:jc w:val="both"/>
              <w:rPr>
                <w:rFonts w:ascii="Arial" w:hAnsi="Arial" w:cs="Arial"/>
                <w:b/>
                <w:bCs/>
                <w:sz w:val="20"/>
                <w:szCs w:val="20"/>
              </w:rPr>
            </w:pPr>
            <w:r w:rsidRPr="00731D8C">
              <w:rPr>
                <w:rStyle w:val="selected"/>
                <w:rFonts w:ascii="Arial" w:hAnsi="Arial" w:cs="Arial"/>
                <w:b/>
                <w:bCs/>
                <w:sz w:val="20"/>
                <w:szCs w:val="20"/>
              </w:rPr>
              <w:t>Men (n=234)}</w:t>
            </w:r>
          </w:p>
        </w:tc>
        <w:tc>
          <w:tcPr>
            <w:tcW w:w="0" w:type="auto"/>
            <w:gridSpan w:val="2"/>
            <w:hideMark/>
          </w:tcPr>
          <w:p w14:paraId="17F62CED" w14:textId="77777777" w:rsidR="00731D8C" w:rsidRPr="00731D8C" w:rsidRDefault="00731D8C" w:rsidP="00537802">
            <w:pPr>
              <w:pStyle w:val="NormalWeb"/>
              <w:jc w:val="both"/>
              <w:rPr>
                <w:rFonts w:ascii="Arial" w:hAnsi="Arial" w:cs="Arial"/>
                <w:b/>
                <w:bCs/>
                <w:sz w:val="20"/>
                <w:szCs w:val="20"/>
              </w:rPr>
            </w:pPr>
            <w:proofErr w:type="spellStart"/>
            <w:r w:rsidRPr="00731D8C">
              <w:rPr>
                <w:rStyle w:val="selected"/>
                <w:rFonts w:ascii="Arial" w:hAnsi="Arial" w:cs="Arial"/>
                <w:b/>
                <w:bCs/>
                <w:sz w:val="20"/>
                <w:szCs w:val="20"/>
              </w:rPr>
              <w:t>Women</w:t>
            </w:r>
            <w:proofErr w:type="spellEnd"/>
            <w:r w:rsidRPr="00731D8C">
              <w:rPr>
                <w:rStyle w:val="selected"/>
                <w:rFonts w:ascii="Arial" w:hAnsi="Arial" w:cs="Arial"/>
                <w:b/>
                <w:bCs/>
                <w:sz w:val="20"/>
                <w:szCs w:val="20"/>
              </w:rPr>
              <w:t xml:space="preserve"> (n=129)</w:t>
            </w:r>
          </w:p>
        </w:tc>
        <w:tc>
          <w:tcPr>
            <w:tcW w:w="0" w:type="auto"/>
            <w:hideMark/>
          </w:tcPr>
          <w:p w14:paraId="5A263CA3" w14:textId="77777777" w:rsidR="00731D8C" w:rsidRPr="00731D8C" w:rsidRDefault="00731D8C" w:rsidP="00537802">
            <w:pPr>
              <w:pStyle w:val="NormalWeb"/>
              <w:jc w:val="both"/>
              <w:rPr>
                <w:rFonts w:ascii="Arial" w:hAnsi="Arial" w:cs="Arial"/>
                <w:b/>
                <w:bCs/>
                <w:sz w:val="20"/>
                <w:szCs w:val="20"/>
              </w:rPr>
            </w:pPr>
            <w:r w:rsidRPr="00731D8C">
              <w:rPr>
                <w:rStyle w:val="selected"/>
                <w:rFonts w:ascii="Arial" w:hAnsi="Arial" w:cs="Arial"/>
                <w:b/>
                <w:bCs/>
                <w:sz w:val="20"/>
                <w:szCs w:val="20"/>
              </w:rPr>
              <w:t xml:space="preserve">Comparaisons </w:t>
            </w:r>
            <w:r w:rsidRPr="00731D8C">
              <w:rPr>
                <w:rStyle w:val="selected"/>
                <w:rFonts w:ascii="Arial" w:hAnsi="Arial" w:cs="Arial"/>
                <w:b/>
                <w:bCs/>
                <w:i/>
                <w:sz w:val="20"/>
                <w:szCs w:val="20"/>
              </w:rPr>
              <w:t xml:space="preserve">Men versus </w:t>
            </w:r>
            <w:proofErr w:type="spellStart"/>
            <w:r w:rsidRPr="00731D8C">
              <w:rPr>
                <w:rStyle w:val="selected"/>
                <w:rFonts w:ascii="Arial" w:hAnsi="Arial" w:cs="Arial"/>
                <w:b/>
                <w:bCs/>
                <w:i/>
                <w:sz w:val="20"/>
                <w:szCs w:val="20"/>
              </w:rPr>
              <w:t>Women</w:t>
            </w:r>
            <w:proofErr w:type="spellEnd"/>
          </w:p>
        </w:tc>
      </w:tr>
      <w:tr w:rsidR="00731D8C" w:rsidRPr="00731D8C" w14:paraId="1A9E9928" w14:textId="77777777" w:rsidTr="005B73E9">
        <w:tc>
          <w:tcPr>
            <w:tcW w:w="0" w:type="auto"/>
            <w:vMerge/>
            <w:hideMark/>
          </w:tcPr>
          <w:p w14:paraId="4ADB9F10" w14:textId="77777777" w:rsidR="00731D8C" w:rsidRPr="00731D8C" w:rsidRDefault="00731D8C" w:rsidP="00537802">
            <w:pPr>
              <w:pStyle w:val="NormalWeb"/>
              <w:jc w:val="both"/>
              <w:rPr>
                <w:rFonts w:ascii="Arial" w:hAnsi="Arial" w:cs="Arial"/>
                <w:sz w:val="20"/>
                <w:szCs w:val="20"/>
              </w:rPr>
            </w:pPr>
          </w:p>
        </w:tc>
        <w:tc>
          <w:tcPr>
            <w:tcW w:w="0" w:type="auto"/>
            <w:hideMark/>
          </w:tcPr>
          <w:p w14:paraId="6671FE01"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Effectif (n)</w:t>
            </w:r>
          </w:p>
        </w:tc>
        <w:tc>
          <w:tcPr>
            <w:tcW w:w="0" w:type="auto"/>
            <w:hideMark/>
          </w:tcPr>
          <w:p w14:paraId="3E2A5A5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14:paraId="79D947C5"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Effectif (n)</w:t>
            </w:r>
          </w:p>
        </w:tc>
        <w:tc>
          <w:tcPr>
            <w:tcW w:w="0" w:type="auto"/>
            <w:hideMark/>
          </w:tcPr>
          <w:p w14:paraId="1FA3544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14:paraId="57E5814F" w14:textId="77777777" w:rsidR="00731D8C" w:rsidRPr="00731D8C" w:rsidRDefault="00731D8C" w:rsidP="00537802">
            <w:pPr>
              <w:pStyle w:val="NormalWeb"/>
              <w:jc w:val="both"/>
              <w:rPr>
                <w:rFonts w:ascii="Arial" w:hAnsi="Arial" w:cs="Arial"/>
                <w:sz w:val="20"/>
                <w:szCs w:val="20"/>
              </w:rPr>
            </w:pPr>
            <w:r w:rsidRPr="00731D8C">
              <w:rPr>
                <w:rFonts w:ascii="Arial" w:hAnsi="Arial" w:cs="Arial"/>
                <w:sz w:val="20"/>
                <w:szCs w:val="20"/>
              </w:rPr>
              <w:t>p-value</w:t>
            </w:r>
          </w:p>
        </w:tc>
      </w:tr>
      <w:tr w:rsidR="00731D8C" w:rsidRPr="00731D8C" w14:paraId="481D12CF" w14:textId="77777777" w:rsidTr="005B73E9">
        <w:tc>
          <w:tcPr>
            <w:tcW w:w="0" w:type="auto"/>
            <w:hideMark/>
          </w:tcPr>
          <w:p w14:paraId="516644C2"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lastRenderedPageBreak/>
              <w:t xml:space="preserve">Âge </w:t>
            </w:r>
            <w:r w:rsidRPr="00731D8C">
              <w:rPr>
                <w:rFonts w:ascii="Arial" w:hAnsi="Arial" w:cs="Arial"/>
                <w:sz w:val="20"/>
                <w:szCs w:val="20"/>
              </w:rPr>
              <w:t>(</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r w:rsidRPr="00731D8C">
              <w:rPr>
                <w:rStyle w:val="selected"/>
                <w:rFonts w:ascii="Arial" w:hAnsi="Arial" w:cs="Arial"/>
                <w:sz w:val="20"/>
                <w:szCs w:val="20"/>
              </w:rPr>
              <w:t>± SD)</w:t>
            </w:r>
          </w:p>
        </w:tc>
        <w:tc>
          <w:tcPr>
            <w:tcW w:w="0" w:type="auto"/>
            <w:hideMark/>
          </w:tcPr>
          <w:p w14:paraId="5B68AD4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34.0 ± 14.8</w:t>
            </w:r>
          </w:p>
        </w:tc>
        <w:tc>
          <w:tcPr>
            <w:tcW w:w="0" w:type="auto"/>
            <w:hideMark/>
          </w:tcPr>
          <w:p w14:paraId="59CC5EB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w:t>
            </w:r>
          </w:p>
        </w:tc>
        <w:tc>
          <w:tcPr>
            <w:tcW w:w="0" w:type="auto"/>
            <w:hideMark/>
          </w:tcPr>
          <w:p w14:paraId="105AC88F"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39.2 ± 15.5</w:t>
            </w:r>
          </w:p>
        </w:tc>
        <w:tc>
          <w:tcPr>
            <w:tcW w:w="0" w:type="auto"/>
            <w:hideMark/>
          </w:tcPr>
          <w:p w14:paraId="05CCD84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w:t>
            </w:r>
          </w:p>
        </w:tc>
        <w:tc>
          <w:tcPr>
            <w:tcW w:w="0" w:type="auto"/>
            <w:hideMark/>
          </w:tcPr>
          <w:p w14:paraId="1E9152A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0.0005</w:t>
            </w:r>
          </w:p>
        </w:tc>
      </w:tr>
      <w:tr w:rsidR="00731D8C" w:rsidRPr="00731D8C" w14:paraId="764336C2" w14:textId="77777777" w:rsidTr="005B73E9">
        <w:tc>
          <w:tcPr>
            <w:tcW w:w="0" w:type="auto"/>
            <w:hideMark/>
          </w:tcPr>
          <w:p w14:paraId="1E675AE1" w14:textId="77777777" w:rsidR="00731D8C" w:rsidRPr="00731D8C" w:rsidRDefault="00731D8C" w:rsidP="00537802">
            <w:pPr>
              <w:pStyle w:val="NormalWeb"/>
              <w:jc w:val="both"/>
              <w:rPr>
                <w:rFonts w:ascii="Arial" w:hAnsi="Arial" w:cs="Arial"/>
                <w:sz w:val="20"/>
                <w:szCs w:val="20"/>
              </w:rPr>
            </w:pPr>
            <w:r w:rsidRPr="00731D8C">
              <w:rPr>
                <w:rFonts w:ascii="Arial" w:hAnsi="Arial" w:cs="Arial"/>
                <w:sz w:val="20"/>
                <w:szCs w:val="20"/>
              </w:rPr>
              <w:t xml:space="preserve">Marital </w:t>
            </w:r>
            <w:proofErr w:type="spellStart"/>
            <w:r w:rsidRPr="00731D8C">
              <w:rPr>
                <w:rFonts w:ascii="Arial" w:hAnsi="Arial" w:cs="Arial"/>
                <w:sz w:val="20"/>
                <w:szCs w:val="20"/>
              </w:rPr>
              <w:t>Status</w:t>
            </w:r>
            <w:proofErr w:type="spellEnd"/>
          </w:p>
        </w:tc>
        <w:tc>
          <w:tcPr>
            <w:tcW w:w="0" w:type="auto"/>
            <w:hideMark/>
          </w:tcPr>
          <w:p w14:paraId="7E162EBE" w14:textId="77777777" w:rsidR="00731D8C" w:rsidRPr="00731D8C" w:rsidRDefault="00731D8C" w:rsidP="00537802">
            <w:pPr>
              <w:pStyle w:val="NormalWeb"/>
              <w:jc w:val="both"/>
              <w:rPr>
                <w:rFonts w:ascii="Arial" w:hAnsi="Arial" w:cs="Arial"/>
                <w:sz w:val="20"/>
                <w:szCs w:val="20"/>
              </w:rPr>
            </w:pPr>
          </w:p>
        </w:tc>
        <w:tc>
          <w:tcPr>
            <w:tcW w:w="0" w:type="auto"/>
            <w:hideMark/>
          </w:tcPr>
          <w:p w14:paraId="340C3A64" w14:textId="77777777" w:rsidR="00731D8C" w:rsidRPr="00731D8C" w:rsidRDefault="00731D8C" w:rsidP="00537802">
            <w:pPr>
              <w:pStyle w:val="NormalWeb"/>
              <w:jc w:val="both"/>
              <w:rPr>
                <w:rFonts w:ascii="Arial" w:hAnsi="Arial" w:cs="Arial"/>
                <w:sz w:val="20"/>
                <w:szCs w:val="20"/>
              </w:rPr>
            </w:pPr>
          </w:p>
        </w:tc>
        <w:tc>
          <w:tcPr>
            <w:tcW w:w="0" w:type="auto"/>
            <w:hideMark/>
          </w:tcPr>
          <w:p w14:paraId="5428E279" w14:textId="77777777" w:rsidR="00731D8C" w:rsidRPr="00731D8C" w:rsidRDefault="00731D8C" w:rsidP="00537802">
            <w:pPr>
              <w:pStyle w:val="NormalWeb"/>
              <w:jc w:val="both"/>
              <w:rPr>
                <w:rFonts w:ascii="Arial" w:hAnsi="Arial" w:cs="Arial"/>
                <w:sz w:val="20"/>
                <w:szCs w:val="20"/>
              </w:rPr>
            </w:pPr>
          </w:p>
        </w:tc>
        <w:tc>
          <w:tcPr>
            <w:tcW w:w="0" w:type="auto"/>
            <w:hideMark/>
          </w:tcPr>
          <w:p w14:paraId="3F85151F" w14:textId="77777777" w:rsidR="00731D8C" w:rsidRPr="00731D8C" w:rsidRDefault="00731D8C" w:rsidP="00537802">
            <w:pPr>
              <w:pStyle w:val="NormalWeb"/>
              <w:jc w:val="both"/>
              <w:rPr>
                <w:rFonts w:ascii="Arial" w:hAnsi="Arial" w:cs="Arial"/>
                <w:sz w:val="20"/>
                <w:szCs w:val="20"/>
              </w:rPr>
            </w:pPr>
          </w:p>
        </w:tc>
        <w:tc>
          <w:tcPr>
            <w:tcW w:w="0" w:type="auto"/>
            <w:vMerge w:val="restart"/>
            <w:hideMark/>
          </w:tcPr>
          <w:p w14:paraId="6F8825F1" w14:textId="77777777" w:rsidR="00731D8C" w:rsidRPr="00731D8C" w:rsidRDefault="00731D8C" w:rsidP="00537802">
            <w:pPr>
              <w:pStyle w:val="NormalWeb"/>
              <w:jc w:val="both"/>
              <w:rPr>
                <w:rStyle w:val="selected"/>
                <w:rFonts w:ascii="Arial" w:hAnsi="Arial" w:cs="Arial"/>
                <w:b/>
                <w:bCs/>
                <w:sz w:val="20"/>
                <w:szCs w:val="20"/>
              </w:rPr>
            </w:pPr>
          </w:p>
          <w:p w14:paraId="55248D0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&lt; 0.001</w:t>
            </w:r>
          </w:p>
        </w:tc>
      </w:tr>
      <w:tr w:rsidR="00731D8C" w:rsidRPr="00731D8C" w14:paraId="39A6A46A" w14:textId="77777777" w:rsidTr="005B73E9">
        <w:tc>
          <w:tcPr>
            <w:tcW w:w="0" w:type="auto"/>
            <w:hideMark/>
          </w:tcPr>
          <w:p w14:paraId="0B989BED"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Single</w:t>
            </w:r>
          </w:p>
        </w:tc>
        <w:tc>
          <w:tcPr>
            <w:tcW w:w="0" w:type="auto"/>
            <w:hideMark/>
          </w:tcPr>
          <w:p w14:paraId="78A298D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114</w:t>
            </w:r>
          </w:p>
        </w:tc>
        <w:tc>
          <w:tcPr>
            <w:tcW w:w="0" w:type="auto"/>
            <w:hideMark/>
          </w:tcPr>
          <w:p w14:paraId="10CEE78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48.7</w:t>
            </w:r>
          </w:p>
        </w:tc>
        <w:tc>
          <w:tcPr>
            <w:tcW w:w="0" w:type="auto"/>
            <w:hideMark/>
          </w:tcPr>
          <w:p w14:paraId="6C94AAC3"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30</w:t>
            </w:r>
          </w:p>
        </w:tc>
        <w:tc>
          <w:tcPr>
            <w:tcW w:w="0" w:type="auto"/>
            <w:hideMark/>
          </w:tcPr>
          <w:p w14:paraId="1E67E5B1"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23.3</w:t>
            </w:r>
          </w:p>
        </w:tc>
        <w:tc>
          <w:tcPr>
            <w:tcW w:w="0" w:type="auto"/>
            <w:vMerge/>
            <w:hideMark/>
          </w:tcPr>
          <w:p w14:paraId="12E36BAE" w14:textId="77777777" w:rsidR="00731D8C" w:rsidRPr="00731D8C" w:rsidRDefault="00731D8C" w:rsidP="00537802">
            <w:pPr>
              <w:pStyle w:val="NormalWeb"/>
              <w:jc w:val="both"/>
              <w:rPr>
                <w:rFonts w:ascii="Arial" w:hAnsi="Arial" w:cs="Arial"/>
                <w:sz w:val="20"/>
                <w:szCs w:val="20"/>
              </w:rPr>
            </w:pPr>
          </w:p>
        </w:tc>
      </w:tr>
      <w:tr w:rsidR="00731D8C" w:rsidRPr="00731D8C" w14:paraId="0DB29927" w14:textId="77777777" w:rsidTr="005B73E9">
        <w:tc>
          <w:tcPr>
            <w:tcW w:w="0" w:type="auto"/>
            <w:hideMark/>
          </w:tcPr>
          <w:p w14:paraId="48FE44CF"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Married</w:t>
            </w:r>
          </w:p>
        </w:tc>
        <w:tc>
          <w:tcPr>
            <w:tcW w:w="0" w:type="auto"/>
            <w:hideMark/>
          </w:tcPr>
          <w:p w14:paraId="5DA28BE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112</w:t>
            </w:r>
          </w:p>
        </w:tc>
        <w:tc>
          <w:tcPr>
            <w:tcW w:w="0" w:type="auto"/>
            <w:hideMark/>
          </w:tcPr>
          <w:p w14:paraId="3FDEA49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47.9</w:t>
            </w:r>
          </w:p>
        </w:tc>
        <w:tc>
          <w:tcPr>
            <w:tcW w:w="0" w:type="auto"/>
            <w:hideMark/>
          </w:tcPr>
          <w:p w14:paraId="5B5D161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73</w:t>
            </w:r>
          </w:p>
        </w:tc>
        <w:tc>
          <w:tcPr>
            <w:tcW w:w="0" w:type="auto"/>
            <w:hideMark/>
          </w:tcPr>
          <w:p w14:paraId="1D26278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56.6</w:t>
            </w:r>
          </w:p>
        </w:tc>
        <w:tc>
          <w:tcPr>
            <w:tcW w:w="0" w:type="auto"/>
            <w:vMerge/>
            <w:hideMark/>
          </w:tcPr>
          <w:p w14:paraId="5BC773CE" w14:textId="77777777" w:rsidR="00731D8C" w:rsidRPr="00731D8C" w:rsidRDefault="00731D8C" w:rsidP="00537802">
            <w:pPr>
              <w:pStyle w:val="NormalWeb"/>
              <w:jc w:val="both"/>
              <w:rPr>
                <w:rFonts w:ascii="Arial" w:hAnsi="Arial" w:cs="Arial"/>
                <w:sz w:val="20"/>
                <w:szCs w:val="20"/>
              </w:rPr>
            </w:pPr>
          </w:p>
        </w:tc>
      </w:tr>
      <w:tr w:rsidR="00731D8C" w:rsidRPr="00731D8C" w14:paraId="4B527345" w14:textId="77777777" w:rsidTr="005B73E9">
        <w:tc>
          <w:tcPr>
            <w:tcW w:w="0" w:type="auto"/>
            <w:hideMark/>
          </w:tcPr>
          <w:p w14:paraId="17AA358D"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Widowed</w:t>
            </w:r>
          </w:p>
        </w:tc>
        <w:tc>
          <w:tcPr>
            <w:tcW w:w="0" w:type="auto"/>
            <w:hideMark/>
          </w:tcPr>
          <w:p w14:paraId="77D5278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8</w:t>
            </w:r>
          </w:p>
        </w:tc>
        <w:tc>
          <w:tcPr>
            <w:tcW w:w="0" w:type="auto"/>
            <w:hideMark/>
          </w:tcPr>
          <w:p w14:paraId="475A66E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3.4</w:t>
            </w:r>
          </w:p>
        </w:tc>
        <w:tc>
          <w:tcPr>
            <w:tcW w:w="0" w:type="auto"/>
            <w:hideMark/>
          </w:tcPr>
          <w:p w14:paraId="722B2F6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14:paraId="7DC6105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20.1</w:t>
            </w:r>
          </w:p>
        </w:tc>
        <w:tc>
          <w:tcPr>
            <w:tcW w:w="0" w:type="auto"/>
            <w:vMerge/>
            <w:hideMark/>
          </w:tcPr>
          <w:p w14:paraId="326E44CE" w14:textId="77777777" w:rsidR="00731D8C" w:rsidRPr="00731D8C" w:rsidRDefault="00731D8C" w:rsidP="00537802">
            <w:pPr>
              <w:pStyle w:val="NormalWeb"/>
              <w:jc w:val="both"/>
              <w:rPr>
                <w:rFonts w:ascii="Arial" w:hAnsi="Arial" w:cs="Arial"/>
                <w:sz w:val="20"/>
                <w:szCs w:val="20"/>
              </w:rPr>
            </w:pPr>
          </w:p>
        </w:tc>
      </w:tr>
      <w:tr w:rsidR="00731D8C" w:rsidRPr="00731D8C" w14:paraId="73A7136E" w14:textId="77777777" w:rsidTr="005B73E9">
        <w:tc>
          <w:tcPr>
            <w:tcW w:w="0" w:type="auto"/>
            <w:hideMark/>
          </w:tcPr>
          <w:p w14:paraId="351CEF24" w14:textId="77777777" w:rsidR="00731D8C" w:rsidRPr="00731D8C" w:rsidRDefault="00731D8C" w:rsidP="00537802">
            <w:pPr>
              <w:pStyle w:val="NormalWeb"/>
              <w:jc w:val="both"/>
              <w:rPr>
                <w:rFonts w:ascii="Arial" w:hAnsi="Arial" w:cs="Arial"/>
                <w:sz w:val="20"/>
                <w:szCs w:val="20"/>
              </w:rPr>
            </w:pP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p>
        </w:tc>
        <w:tc>
          <w:tcPr>
            <w:tcW w:w="0" w:type="auto"/>
            <w:hideMark/>
          </w:tcPr>
          <w:p w14:paraId="320F0016" w14:textId="77777777" w:rsidR="00731D8C" w:rsidRPr="00731D8C" w:rsidRDefault="00731D8C" w:rsidP="00537802">
            <w:pPr>
              <w:pStyle w:val="NormalWeb"/>
              <w:jc w:val="both"/>
              <w:rPr>
                <w:rFonts w:ascii="Arial" w:hAnsi="Arial" w:cs="Arial"/>
                <w:sz w:val="20"/>
                <w:szCs w:val="20"/>
              </w:rPr>
            </w:pPr>
          </w:p>
        </w:tc>
        <w:tc>
          <w:tcPr>
            <w:tcW w:w="0" w:type="auto"/>
            <w:hideMark/>
          </w:tcPr>
          <w:p w14:paraId="048314D4" w14:textId="77777777" w:rsidR="00731D8C" w:rsidRPr="00731D8C" w:rsidRDefault="00731D8C" w:rsidP="00537802">
            <w:pPr>
              <w:pStyle w:val="NormalWeb"/>
              <w:jc w:val="both"/>
              <w:rPr>
                <w:rFonts w:ascii="Arial" w:hAnsi="Arial" w:cs="Arial"/>
                <w:sz w:val="20"/>
                <w:szCs w:val="20"/>
              </w:rPr>
            </w:pPr>
          </w:p>
        </w:tc>
        <w:tc>
          <w:tcPr>
            <w:tcW w:w="0" w:type="auto"/>
            <w:hideMark/>
          </w:tcPr>
          <w:p w14:paraId="33C2AB69" w14:textId="77777777" w:rsidR="00731D8C" w:rsidRPr="00731D8C" w:rsidRDefault="00731D8C" w:rsidP="00537802">
            <w:pPr>
              <w:pStyle w:val="NormalWeb"/>
              <w:jc w:val="both"/>
              <w:rPr>
                <w:rFonts w:ascii="Arial" w:hAnsi="Arial" w:cs="Arial"/>
                <w:sz w:val="20"/>
                <w:szCs w:val="20"/>
              </w:rPr>
            </w:pPr>
          </w:p>
        </w:tc>
        <w:tc>
          <w:tcPr>
            <w:tcW w:w="0" w:type="auto"/>
            <w:hideMark/>
          </w:tcPr>
          <w:p w14:paraId="4E369CEE" w14:textId="77777777" w:rsidR="00731D8C" w:rsidRPr="00731D8C" w:rsidRDefault="00731D8C" w:rsidP="00537802">
            <w:pPr>
              <w:pStyle w:val="NormalWeb"/>
              <w:jc w:val="both"/>
              <w:rPr>
                <w:rFonts w:ascii="Arial" w:hAnsi="Arial" w:cs="Arial"/>
                <w:sz w:val="20"/>
                <w:szCs w:val="20"/>
              </w:rPr>
            </w:pPr>
          </w:p>
        </w:tc>
        <w:tc>
          <w:tcPr>
            <w:tcW w:w="0" w:type="auto"/>
            <w:vMerge w:val="restart"/>
            <w:hideMark/>
          </w:tcPr>
          <w:p w14:paraId="202F42BC" w14:textId="77777777" w:rsidR="00731D8C" w:rsidRPr="00731D8C" w:rsidRDefault="00731D8C" w:rsidP="00537802">
            <w:pPr>
              <w:pStyle w:val="NormalWeb"/>
              <w:jc w:val="both"/>
              <w:rPr>
                <w:rStyle w:val="selected"/>
                <w:rFonts w:ascii="Arial" w:hAnsi="Arial" w:cs="Arial"/>
                <w:b/>
                <w:bCs/>
                <w:sz w:val="20"/>
                <w:szCs w:val="20"/>
              </w:rPr>
            </w:pPr>
          </w:p>
          <w:p w14:paraId="501FEBD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 xml:space="preserve"> 0.001</w:t>
            </w:r>
          </w:p>
        </w:tc>
      </w:tr>
      <w:tr w:rsidR="00731D8C" w:rsidRPr="00731D8C" w14:paraId="68897C67" w14:textId="77777777" w:rsidTr="005B73E9">
        <w:tc>
          <w:tcPr>
            <w:tcW w:w="0" w:type="auto"/>
            <w:hideMark/>
          </w:tcPr>
          <w:p w14:paraId="6BA166FB"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No formal education</w:t>
            </w:r>
          </w:p>
        </w:tc>
        <w:tc>
          <w:tcPr>
            <w:tcW w:w="0" w:type="auto"/>
            <w:hideMark/>
          </w:tcPr>
          <w:p w14:paraId="29F8AD7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28</w:t>
            </w:r>
          </w:p>
        </w:tc>
        <w:tc>
          <w:tcPr>
            <w:tcW w:w="0" w:type="auto"/>
            <w:hideMark/>
          </w:tcPr>
          <w:p w14:paraId="4424431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12.0</w:t>
            </w:r>
          </w:p>
        </w:tc>
        <w:tc>
          <w:tcPr>
            <w:tcW w:w="0" w:type="auto"/>
            <w:hideMark/>
          </w:tcPr>
          <w:p w14:paraId="3E2EA96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41</w:t>
            </w:r>
          </w:p>
        </w:tc>
        <w:tc>
          <w:tcPr>
            <w:tcW w:w="0" w:type="auto"/>
            <w:hideMark/>
          </w:tcPr>
          <w:p w14:paraId="1F261C1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31.8</w:t>
            </w:r>
          </w:p>
        </w:tc>
        <w:tc>
          <w:tcPr>
            <w:tcW w:w="0" w:type="auto"/>
            <w:vMerge/>
            <w:hideMark/>
          </w:tcPr>
          <w:p w14:paraId="1410EE0F" w14:textId="77777777" w:rsidR="00731D8C" w:rsidRPr="00731D8C" w:rsidRDefault="00731D8C" w:rsidP="00537802">
            <w:pPr>
              <w:pStyle w:val="NormalWeb"/>
              <w:jc w:val="both"/>
              <w:rPr>
                <w:rFonts w:ascii="Arial" w:hAnsi="Arial" w:cs="Arial"/>
                <w:sz w:val="20"/>
                <w:szCs w:val="20"/>
              </w:rPr>
            </w:pPr>
          </w:p>
        </w:tc>
      </w:tr>
      <w:tr w:rsidR="00731D8C" w:rsidRPr="00731D8C" w14:paraId="02A3633B" w14:textId="77777777" w:rsidTr="005B73E9">
        <w:tc>
          <w:tcPr>
            <w:tcW w:w="0" w:type="auto"/>
            <w:hideMark/>
          </w:tcPr>
          <w:p w14:paraId="7D767C24"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Primary</w:t>
            </w:r>
          </w:p>
        </w:tc>
        <w:tc>
          <w:tcPr>
            <w:tcW w:w="0" w:type="auto"/>
            <w:hideMark/>
          </w:tcPr>
          <w:p w14:paraId="4585738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62</w:t>
            </w:r>
          </w:p>
        </w:tc>
        <w:tc>
          <w:tcPr>
            <w:tcW w:w="0" w:type="auto"/>
            <w:hideMark/>
          </w:tcPr>
          <w:p w14:paraId="2BADE50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26.5</w:t>
            </w:r>
          </w:p>
        </w:tc>
        <w:tc>
          <w:tcPr>
            <w:tcW w:w="0" w:type="auto"/>
            <w:hideMark/>
          </w:tcPr>
          <w:p w14:paraId="4937EEFF"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44</w:t>
            </w:r>
          </w:p>
        </w:tc>
        <w:tc>
          <w:tcPr>
            <w:tcW w:w="0" w:type="auto"/>
            <w:hideMark/>
          </w:tcPr>
          <w:p w14:paraId="01D881F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34.1</w:t>
            </w:r>
          </w:p>
        </w:tc>
        <w:tc>
          <w:tcPr>
            <w:tcW w:w="0" w:type="auto"/>
            <w:vMerge/>
            <w:hideMark/>
          </w:tcPr>
          <w:p w14:paraId="69FF4FC0" w14:textId="77777777" w:rsidR="00731D8C" w:rsidRPr="00731D8C" w:rsidRDefault="00731D8C" w:rsidP="00537802">
            <w:pPr>
              <w:pStyle w:val="NormalWeb"/>
              <w:jc w:val="both"/>
              <w:rPr>
                <w:rFonts w:ascii="Arial" w:hAnsi="Arial" w:cs="Arial"/>
                <w:sz w:val="20"/>
                <w:szCs w:val="20"/>
              </w:rPr>
            </w:pPr>
          </w:p>
        </w:tc>
      </w:tr>
      <w:tr w:rsidR="00731D8C" w:rsidRPr="00731D8C" w14:paraId="16B4F72A" w14:textId="77777777" w:rsidTr="005B73E9">
        <w:tc>
          <w:tcPr>
            <w:tcW w:w="0" w:type="auto"/>
            <w:hideMark/>
          </w:tcPr>
          <w:p w14:paraId="512276D2"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Secondary</w:t>
            </w:r>
          </w:p>
        </w:tc>
        <w:tc>
          <w:tcPr>
            <w:tcW w:w="0" w:type="auto"/>
            <w:hideMark/>
          </w:tcPr>
          <w:p w14:paraId="32352C7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82</w:t>
            </w:r>
          </w:p>
        </w:tc>
        <w:tc>
          <w:tcPr>
            <w:tcW w:w="0" w:type="auto"/>
            <w:hideMark/>
          </w:tcPr>
          <w:p w14:paraId="3CF77100"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35.0</w:t>
            </w:r>
          </w:p>
        </w:tc>
        <w:tc>
          <w:tcPr>
            <w:tcW w:w="0" w:type="auto"/>
            <w:hideMark/>
          </w:tcPr>
          <w:p w14:paraId="7BB6E76F"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14:paraId="32D996BE"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20.2</w:t>
            </w:r>
          </w:p>
        </w:tc>
        <w:tc>
          <w:tcPr>
            <w:tcW w:w="0" w:type="auto"/>
            <w:vMerge/>
            <w:hideMark/>
          </w:tcPr>
          <w:p w14:paraId="6078D5F5" w14:textId="77777777" w:rsidR="00731D8C" w:rsidRPr="00731D8C" w:rsidRDefault="00731D8C" w:rsidP="00537802">
            <w:pPr>
              <w:pStyle w:val="NormalWeb"/>
              <w:jc w:val="both"/>
              <w:rPr>
                <w:rFonts w:ascii="Arial" w:hAnsi="Arial" w:cs="Arial"/>
                <w:sz w:val="20"/>
                <w:szCs w:val="20"/>
              </w:rPr>
            </w:pPr>
          </w:p>
        </w:tc>
      </w:tr>
      <w:tr w:rsidR="00731D8C" w:rsidRPr="00731D8C" w14:paraId="660EF1DE" w14:textId="77777777" w:rsidTr="005B73E9">
        <w:tc>
          <w:tcPr>
            <w:tcW w:w="0" w:type="auto"/>
            <w:hideMark/>
          </w:tcPr>
          <w:p w14:paraId="377AD3F6"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University</w:t>
            </w:r>
          </w:p>
        </w:tc>
        <w:tc>
          <w:tcPr>
            <w:tcW w:w="0" w:type="auto"/>
            <w:hideMark/>
          </w:tcPr>
          <w:p w14:paraId="7E2245B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62</w:t>
            </w:r>
          </w:p>
        </w:tc>
        <w:tc>
          <w:tcPr>
            <w:tcW w:w="0" w:type="auto"/>
            <w:hideMark/>
          </w:tcPr>
          <w:p w14:paraId="03D8F338"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26.5</w:t>
            </w:r>
          </w:p>
        </w:tc>
        <w:tc>
          <w:tcPr>
            <w:tcW w:w="0" w:type="auto"/>
            <w:hideMark/>
          </w:tcPr>
          <w:p w14:paraId="34F76351"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18</w:t>
            </w:r>
          </w:p>
        </w:tc>
        <w:tc>
          <w:tcPr>
            <w:tcW w:w="0" w:type="auto"/>
            <w:hideMark/>
          </w:tcPr>
          <w:p w14:paraId="11A9E83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13.9</w:t>
            </w:r>
          </w:p>
        </w:tc>
        <w:tc>
          <w:tcPr>
            <w:tcW w:w="0" w:type="auto"/>
            <w:vMerge/>
            <w:hideMark/>
          </w:tcPr>
          <w:p w14:paraId="3E3DDB32" w14:textId="77777777" w:rsidR="00731D8C" w:rsidRPr="00731D8C" w:rsidRDefault="00731D8C" w:rsidP="00537802">
            <w:pPr>
              <w:pStyle w:val="NormalWeb"/>
              <w:jc w:val="both"/>
              <w:rPr>
                <w:rFonts w:ascii="Arial" w:hAnsi="Arial" w:cs="Arial"/>
                <w:sz w:val="20"/>
                <w:szCs w:val="20"/>
              </w:rPr>
            </w:pPr>
          </w:p>
        </w:tc>
      </w:tr>
      <w:tr w:rsidR="00731D8C" w:rsidRPr="00731D8C" w14:paraId="7FD36156" w14:textId="77777777" w:rsidTr="005B73E9">
        <w:tc>
          <w:tcPr>
            <w:tcW w:w="0" w:type="auto"/>
            <w:hideMark/>
          </w:tcPr>
          <w:p w14:paraId="6661B048" w14:textId="77777777" w:rsidR="00731D8C" w:rsidRPr="00731D8C" w:rsidRDefault="00731D8C" w:rsidP="00537802">
            <w:pPr>
              <w:pStyle w:val="NormalWeb"/>
              <w:jc w:val="both"/>
              <w:rPr>
                <w:rFonts w:ascii="Arial" w:hAnsi="Arial" w:cs="Arial"/>
                <w:sz w:val="20"/>
                <w:szCs w:val="20"/>
              </w:rPr>
            </w:pP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(CFA)</w:t>
            </w:r>
          </w:p>
        </w:tc>
        <w:tc>
          <w:tcPr>
            <w:tcW w:w="0" w:type="auto"/>
            <w:hideMark/>
          </w:tcPr>
          <w:p w14:paraId="4CB4A3CE" w14:textId="77777777" w:rsidR="00731D8C" w:rsidRPr="00731D8C" w:rsidRDefault="00731D8C" w:rsidP="00537802">
            <w:pPr>
              <w:pStyle w:val="NormalWeb"/>
              <w:jc w:val="both"/>
              <w:rPr>
                <w:rFonts w:ascii="Arial" w:hAnsi="Arial" w:cs="Arial"/>
                <w:sz w:val="20"/>
                <w:szCs w:val="20"/>
              </w:rPr>
            </w:pPr>
          </w:p>
        </w:tc>
        <w:tc>
          <w:tcPr>
            <w:tcW w:w="0" w:type="auto"/>
            <w:hideMark/>
          </w:tcPr>
          <w:p w14:paraId="48FCF405" w14:textId="77777777" w:rsidR="00731D8C" w:rsidRPr="00731D8C" w:rsidRDefault="00731D8C" w:rsidP="00537802">
            <w:pPr>
              <w:pStyle w:val="NormalWeb"/>
              <w:jc w:val="both"/>
              <w:rPr>
                <w:rFonts w:ascii="Arial" w:hAnsi="Arial" w:cs="Arial"/>
                <w:sz w:val="20"/>
                <w:szCs w:val="20"/>
              </w:rPr>
            </w:pPr>
          </w:p>
        </w:tc>
        <w:tc>
          <w:tcPr>
            <w:tcW w:w="0" w:type="auto"/>
            <w:hideMark/>
          </w:tcPr>
          <w:p w14:paraId="2B2A4A05" w14:textId="77777777" w:rsidR="00731D8C" w:rsidRPr="00731D8C" w:rsidRDefault="00731D8C" w:rsidP="00537802">
            <w:pPr>
              <w:pStyle w:val="NormalWeb"/>
              <w:jc w:val="both"/>
              <w:rPr>
                <w:rFonts w:ascii="Arial" w:hAnsi="Arial" w:cs="Arial"/>
                <w:sz w:val="20"/>
                <w:szCs w:val="20"/>
              </w:rPr>
            </w:pPr>
          </w:p>
        </w:tc>
        <w:tc>
          <w:tcPr>
            <w:tcW w:w="0" w:type="auto"/>
            <w:hideMark/>
          </w:tcPr>
          <w:p w14:paraId="1066725E" w14:textId="77777777" w:rsidR="00731D8C" w:rsidRPr="00731D8C" w:rsidRDefault="00731D8C" w:rsidP="00537802">
            <w:pPr>
              <w:pStyle w:val="NormalWeb"/>
              <w:jc w:val="both"/>
              <w:rPr>
                <w:rFonts w:ascii="Arial" w:hAnsi="Arial" w:cs="Arial"/>
                <w:sz w:val="20"/>
                <w:szCs w:val="20"/>
              </w:rPr>
            </w:pPr>
          </w:p>
        </w:tc>
        <w:tc>
          <w:tcPr>
            <w:tcW w:w="0" w:type="auto"/>
            <w:hideMark/>
          </w:tcPr>
          <w:p w14:paraId="453E3DBD"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NS</w:t>
            </w:r>
          </w:p>
        </w:tc>
      </w:tr>
      <w:tr w:rsidR="00731D8C" w:rsidRPr="00731D8C" w14:paraId="048315E9" w14:textId="77777777" w:rsidTr="005B73E9">
        <w:tc>
          <w:tcPr>
            <w:tcW w:w="0" w:type="auto"/>
            <w:hideMark/>
          </w:tcPr>
          <w:p w14:paraId="6B4A0CB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 52 500</w:t>
            </w:r>
          </w:p>
        </w:tc>
        <w:tc>
          <w:tcPr>
            <w:tcW w:w="0" w:type="auto"/>
            <w:hideMark/>
          </w:tcPr>
          <w:p w14:paraId="12D7891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120</w:t>
            </w:r>
          </w:p>
        </w:tc>
        <w:tc>
          <w:tcPr>
            <w:tcW w:w="0" w:type="auto"/>
            <w:hideMark/>
          </w:tcPr>
          <w:p w14:paraId="71B3673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51.3</w:t>
            </w:r>
          </w:p>
        </w:tc>
        <w:tc>
          <w:tcPr>
            <w:tcW w:w="0" w:type="auto"/>
            <w:hideMark/>
          </w:tcPr>
          <w:p w14:paraId="0A8B6860"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60</w:t>
            </w:r>
          </w:p>
        </w:tc>
        <w:tc>
          <w:tcPr>
            <w:tcW w:w="0" w:type="auto"/>
            <w:hideMark/>
          </w:tcPr>
          <w:p w14:paraId="212FD1C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46.5</w:t>
            </w:r>
          </w:p>
        </w:tc>
        <w:tc>
          <w:tcPr>
            <w:tcW w:w="0" w:type="auto"/>
            <w:hideMark/>
          </w:tcPr>
          <w:p w14:paraId="428F0A18" w14:textId="77777777" w:rsidR="00731D8C" w:rsidRPr="00731D8C" w:rsidRDefault="00731D8C" w:rsidP="00537802">
            <w:pPr>
              <w:pStyle w:val="NormalWeb"/>
              <w:jc w:val="both"/>
              <w:rPr>
                <w:rFonts w:ascii="Arial" w:hAnsi="Arial" w:cs="Arial"/>
                <w:sz w:val="20"/>
                <w:szCs w:val="20"/>
              </w:rPr>
            </w:pPr>
          </w:p>
        </w:tc>
      </w:tr>
      <w:tr w:rsidR="00731D8C" w:rsidRPr="00731D8C" w14:paraId="21A326C1" w14:textId="77777777" w:rsidTr="005B73E9">
        <w:tc>
          <w:tcPr>
            <w:tcW w:w="0" w:type="auto"/>
            <w:hideMark/>
          </w:tcPr>
          <w:p w14:paraId="33EC414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52 501 - 100 000</w:t>
            </w:r>
          </w:p>
        </w:tc>
        <w:tc>
          <w:tcPr>
            <w:tcW w:w="0" w:type="auto"/>
            <w:hideMark/>
          </w:tcPr>
          <w:p w14:paraId="0991B630"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93</w:t>
            </w:r>
          </w:p>
        </w:tc>
        <w:tc>
          <w:tcPr>
            <w:tcW w:w="0" w:type="auto"/>
            <w:hideMark/>
          </w:tcPr>
          <w:p w14:paraId="3606FE0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39.7</w:t>
            </w:r>
          </w:p>
        </w:tc>
        <w:tc>
          <w:tcPr>
            <w:tcW w:w="0" w:type="auto"/>
            <w:hideMark/>
          </w:tcPr>
          <w:p w14:paraId="454CC51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51</w:t>
            </w:r>
          </w:p>
        </w:tc>
        <w:tc>
          <w:tcPr>
            <w:tcW w:w="0" w:type="auto"/>
            <w:hideMark/>
          </w:tcPr>
          <w:p w14:paraId="2D31B5B5"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39.5</w:t>
            </w:r>
          </w:p>
        </w:tc>
        <w:tc>
          <w:tcPr>
            <w:tcW w:w="0" w:type="auto"/>
            <w:hideMark/>
          </w:tcPr>
          <w:p w14:paraId="6714BCFD" w14:textId="77777777" w:rsidR="00731D8C" w:rsidRPr="00731D8C" w:rsidRDefault="00731D8C" w:rsidP="00537802">
            <w:pPr>
              <w:pStyle w:val="NormalWeb"/>
              <w:jc w:val="both"/>
              <w:rPr>
                <w:rFonts w:ascii="Arial" w:hAnsi="Arial" w:cs="Arial"/>
                <w:sz w:val="20"/>
                <w:szCs w:val="20"/>
              </w:rPr>
            </w:pPr>
          </w:p>
        </w:tc>
      </w:tr>
      <w:tr w:rsidR="00731D8C" w:rsidRPr="00731D8C" w14:paraId="11FBF76C" w14:textId="77777777" w:rsidTr="005B73E9">
        <w:tc>
          <w:tcPr>
            <w:tcW w:w="0" w:type="auto"/>
            <w:hideMark/>
          </w:tcPr>
          <w:p w14:paraId="0B1282B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100 001 - 250 000</w:t>
            </w:r>
          </w:p>
        </w:tc>
        <w:tc>
          <w:tcPr>
            <w:tcW w:w="0" w:type="auto"/>
            <w:hideMark/>
          </w:tcPr>
          <w:p w14:paraId="602DA70E"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15</w:t>
            </w:r>
          </w:p>
        </w:tc>
        <w:tc>
          <w:tcPr>
            <w:tcW w:w="0" w:type="auto"/>
            <w:hideMark/>
          </w:tcPr>
          <w:p w14:paraId="526EB89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6.4</w:t>
            </w:r>
          </w:p>
        </w:tc>
        <w:tc>
          <w:tcPr>
            <w:tcW w:w="0" w:type="auto"/>
            <w:hideMark/>
          </w:tcPr>
          <w:p w14:paraId="7CACB0B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17</w:t>
            </w:r>
          </w:p>
        </w:tc>
        <w:tc>
          <w:tcPr>
            <w:tcW w:w="0" w:type="auto"/>
            <w:hideMark/>
          </w:tcPr>
          <w:p w14:paraId="0804C60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13.2</w:t>
            </w:r>
          </w:p>
        </w:tc>
        <w:tc>
          <w:tcPr>
            <w:tcW w:w="0" w:type="auto"/>
            <w:hideMark/>
          </w:tcPr>
          <w:p w14:paraId="3A2E017D" w14:textId="77777777" w:rsidR="00731D8C" w:rsidRPr="00731D8C" w:rsidRDefault="00731D8C" w:rsidP="00537802">
            <w:pPr>
              <w:pStyle w:val="NormalWeb"/>
              <w:jc w:val="both"/>
              <w:rPr>
                <w:rFonts w:ascii="Arial" w:hAnsi="Arial" w:cs="Arial"/>
                <w:sz w:val="20"/>
                <w:szCs w:val="20"/>
              </w:rPr>
            </w:pPr>
          </w:p>
        </w:tc>
      </w:tr>
      <w:tr w:rsidR="00731D8C" w:rsidRPr="00731D8C" w14:paraId="2E966880" w14:textId="77777777" w:rsidTr="005B73E9">
        <w:tc>
          <w:tcPr>
            <w:tcW w:w="0" w:type="auto"/>
            <w:hideMark/>
          </w:tcPr>
          <w:p w14:paraId="0A4FAA01"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 250 001</w:t>
            </w:r>
          </w:p>
        </w:tc>
        <w:tc>
          <w:tcPr>
            <w:tcW w:w="0" w:type="auto"/>
            <w:hideMark/>
          </w:tcPr>
          <w:p w14:paraId="2D398B95"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w:t>
            </w:r>
          </w:p>
        </w:tc>
        <w:tc>
          <w:tcPr>
            <w:tcW w:w="0" w:type="auto"/>
            <w:hideMark/>
          </w:tcPr>
          <w:p w14:paraId="13AC94D8"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14:paraId="5ED6E168"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w:t>
            </w:r>
          </w:p>
        </w:tc>
        <w:tc>
          <w:tcPr>
            <w:tcW w:w="0" w:type="auto"/>
            <w:hideMark/>
          </w:tcPr>
          <w:p w14:paraId="749242C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0.8</w:t>
            </w:r>
          </w:p>
        </w:tc>
        <w:tc>
          <w:tcPr>
            <w:tcW w:w="0" w:type="auto"/>
            <w:hideMark/>
          </w:tcPr>
          <w:p w14:paraId="2A197B28" w14:textId="77777777" w:rsidR="00731D8C" w:rsidRPr="00731D8C" w:rsidRDefault="00731D8C" w:rsidP="00537802">
            <w:pPr>
              <w:pStyle w:val="NormalWeb"/>
              <w:jc w:val="both"/>
              <w:rPr>
                <w:rFonts w:ascii="Arial" w:hAnsi="Arial" w:cs="Arial"/>
                <w:sz w:val="20"/>
                <w:szCs w:val="20"/>
              </w:rPr>
            </w:pPr>
          </w:p>
        </w:tc>
      </w:tr>
    </w:tbl>
    <w:p w14:paraId="5B33CE77"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3.2. Cohort profile and metabolic comorbidities</w:t>
      </w:r>
    </w:p>
    <w:p w14:paraId="6D848E82"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Table 2 summarizes the primary clinical and morphological characteristics of the 363 patients with chronic hepatitis. It details the viral etiology and highlights the prevalence of key structural abnormalities of the liver identified through ultrasonography.</w:t>
      </w:r>
    </w:p>
    <w:p w14:paraId="115C04EB"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
          <w:bCs/>
          <w:lang w:eastAsia="fr-FR"/>
        </w:rPr>
        <w:t xml:space="preserve">Table </w:t>
      </w:r>
      <w:proofErr w:type="gramStart"/>
      <w:r w:rsidRPr="00731D8C">
        <w:rPr>
          <w:rFonts w:ascii="Arial" w:hAnsi="Arial" w:cs="Arial"/>
          <w:b/>
          <w:bCs/>
          <w:lang w:eastAsia="fr-FR"/>
        </w:rPr>
        <w:t>2 :</w:t>
      </w:r>
      <w:proofErr w:type="gramEnd"/>
      <w:r w:rsidRPr="00731D8C">
        <w:rPr>
          <w:rFonts w:ascii="Arial" w:hAnsi="Arial" w:cs="Arial"/>
          <w:b/>
          <w:bCs/>
          <w:lang w:eastAsia="fr-FR"/>
        </w:rPr>
        <w:t xml:space="preserve"> Clinical and ultrasonographic profile of the hepatitis cohort (n=363)</w:t>
      </w:r>
    </w:p>
    <w:tbl>
      <w:tblPr>
        <w:tblStyle w:val="TableGrid"/>
        <w:tblW w:w="9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622"/>
        <w:gridCol w:w="1081"/>
        <w:gridCol w:w="1484"/>
      </w:tblGrid>
      <w:tr w:rsidR="00731D8C" w:rsidRPr="00731D8C" w14:paraId="0DA4BF46" w14:textId="77777777" w:rsidTr="00537802">
        <w:trPr>
          <w:trHeight w:val="551"/>
        </w:trPr>
        <w:tc>
          <w:tcPr>
            <w:tcW w:w="0" w:type="auto"/>
            <w:hideMark/>
          </w:tcPr>
          <w:p w14:paraId="1235703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Parameter</w:t>
            </w:r>
          </w:p>
        </w:tc>
        <w:tc>
          <w:tcPr>
            <w:tcW w:w="0" w:type="auto"/>
            <w:hideMark/>
          </w:tcPr>
          <w:p w14:paraId="271F5E81"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797930E2" w14:textId="77777777" w:rsidR="00731D8C" w:rsidRPr="00731D8C" w:rsidRDefault="00731D8C" w:rsidP="00537802">
            <w:pPr>
              <w:jc w:val="both"/>
              <w:rPr>
                <w:rFonts w:ascii="Arial" w:eastAsia="Times New Roman" w:hAnsi="Arial" w:cs="Arial"/>
                <w:b/>
                <w:bCs/>
                <w:sz w:val="20"/>
                <w:szCs w:val="20"/>
                <w:lang w:eastAsia="fr-FR"/>
              </w:rPr>
            </w:pPr>
            <w:proofErr w:type="spellStart"/>
            <w:r w:rsidRPr="00731D8C">
              <w:rPr>
                <w:rFonts w:ascii="Arial" w:eastAsia="Times New Roman" w:hAnsi="Arial" w:cs="Arial"/>
                <w:b/>
                <w:bCs/>
                <w:sz w:val="20"/>
                <w:szCs w:val="20"/>
                <w:lang w:eastAsia="fr-FR"/>
              </w:rPr>
              <w:t>Effectif</w:t>
            </w:r>
            <w:proofErr w:type="spellEnd"/>
            <w:r w:rsidRPr="00731D8C">
              <w:rPr>
                <w:rFonts w:ascii="Arial" w:eastAsia="Times New Roman" w:hAnsi="Arial" w:cs="Arial"/>
                <w:b/>
                <w:bCs/>
                <w:sz w:val="20"/>
                <w:szCs w:val="20"/>
                <w:lang w:eastAsia="fr-FR"/>
              </w:rPr>
              <w:t xml:space="preserve"> </w:t>
            </w:r>
          </w:p>
          <w:p w14:paraId="39554CE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 xml:space="preserve"> (n)</w:t>
            </w:r>
          </w:p>
        </w:tc>
        <w:tc>
          <w:tcPr>
            <w:tcW w:w="0" w:type="auto"/>
            <w:hideMark/>
          </w:tcPr>
          <w:p w14:paraId="18733A78" w14:textId="77777777" w:rsidR="00731D8C" w:rsidRPr="00731D8C" w:rsidRDefault="00731D8C" w:rsidP="00537802">
            <w:pPr>
              <w:jc w:val="both"/>
              <w:rPr>
                <w:rFonts w:ascii="Arial" w:eastAsia="Times New Roman" w:hAnsi="Arial" w:cs="Arial"/>
                <w:b/>
                <w:bCs/>
                <w:sz w:val="20"/>
                <w:szCs w:val="20"/>
                <w:lang w:eastAsia="fr-FR"/>
              </w:rPr>
            </w:pPr>
            <w:r w:rsidRPr="00731D8C">
              <w:rPr>
                <w:rFonts w:ascii="Arial" w:eastAsia="Times New Roman" w:hAnsi="Arial" w:cs="Arial"/>
                <w:b/>
                <w:bCs/>
                <w:sz w:val="20"/>
                <w:szCs w:val="20"/>
                <w:lang w:eastAsia="fr-FR"/>
              </w:rPr>
              <w:t xml:space="preserve">Frequency </w:t>
            </w:r>
          </w:p>
          <w:p w14:paraId="1796C23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w:t>
            </w:r>
          </w:p>
        </w:tc>
      </w:tr>
      <w:tr w:rsidR="00731D8C" w:rsidRPr="00731D8C" w14:paraId="1FCDB3BB" w14:textId="77777777" w:rsidTr="00537802">
        <w:trPr>
          <w:trHeight w:val="280"/>
        </w:trPr>
        <w:tc>
          <w:tcPr>
            <w:tcW w:w="0" w:type="auto"/>
            <w:vMerge w:val="restart"/>
            <w:hideMark/>
          </w:tcPr>
          <w:p w14:paraId="044AA25F" w14:textId="77777777" w:rsidR="00731D8C" w:rsidRPr="00731D8C" w:rsidRDefault="00731D8C" w:rsidP="00537802">
            <w:pPr>
              <w:jc w:val="both"/>
              <w:rPr>
                <w:rFonts w:ascii="Arial" w:eastAsia="Times New Roman" w:hAnsi="Arial" w:cs="Arial"/>
                <w:b/>
                <w:bCs/>
                <w:sz w:val="20"/>
                <w:szCs w:val="20"/>
                <w:lang w:eastAsia="fr-FR"/>
              </w:rPr>
            </w:pPr>
          </w:p>
          <w:p w14:paraId="3E43C3F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Viral etiology</w:t>
            </w:r>
          </w:p>
        </w:tc>
        <w:tc>
          <w:tcPr>
            <w:tcW w:w="0" w:type="auto"/>
            <w:hideMark/>
          </w:tcPr>
          <w:p w14:paraId="48C2CAE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Hepatitis B virus (HBV)</w:t>
            </w:r>
          </w:p>
        </w:tc>
        <w:tc>
          <w:tcPr>
            <w:tcW w:w="0" w:type="auto"/>
            <w:hideMark/>
          </w:tcPr>
          <w:p w14:paraId="73EFD64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296</w:t>
            </w:r>
          </w:p>
        </w:tc>
        <w:tc>
          <w:tcPr>
            <w:tcW w:w="0" w:type="auto"/>
            <w:hideMark/>
          </w:tcPr>
          <w:p w14:paraId="52FBC55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81.5%</w:t>
            </w:r>
          </w:p>
        </w:tc>
      </w:tr>
      <w:tr w:rsidR="00731D8C" w:rsidRPr="00731D8C" w14:paraId="21154741" w14:textId="77777777" w:rsidTr="00537802">
        <w:trPr>
          <w:trHeight w:val="280"/>
        </w:trPr>
        <w:tc>
          <w:tcPr>
            <w:tcW w:w="0" w:type="auto"/>
            <w:vMerge/>
            <w:hideMark/>
          </w:tcPr>
          <w:p w14:paraId="3174D7B7"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6A84459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Hepatitis C virus (HCV)</w:t>
            </w:r>
          </w:p>
        </w:tc>
        <w:tc>
          <w:tcPr>
            <w:tcW w:w="0" w:type="auto"/>
            <w:hideMark/>
          </w:tcPr>
          <w:p w14:paraId="6F6EC84F"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44</w:t>
            </w:r>
          </w:p>
        </w:tc>
        <w:tc>
          <w:tcPr>
            <w:tcW w:w="0" w:type="auto"/>
            <w:hideMark/>
          </w:tcPr>
          <w:p w14:paraId="080774B7"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12.1%</w:t>
            </w:r>
          </w:p>
        </w:tc>
      </w:tr>
      <w:tr w:rsidR="00731D8C" w:rsidRPr="00731D8C" w14:paraId="730D4AB4" w14:textId="77777777" w:rsidTr="00537802">
        <w:trPr>
          <w:trHeight w:val="270"/>
        </w:trPr>
        <w:tc>
          <w:tcPr>
            <w:tcW w:w="0" w:type="auto"/>
            <w:vMerge/>
            <w:hideMark/>
          </w:tcPr>
          <w:p w14:paraId="485B59FC"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7397FC6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HBV/HCV co-infection</w:t>
            </w:r>
          </w:p>
        </w:tc>
        <w:tc>
          <w:tcPr>
            <w:tcW w:w="0" w:type="auto"/>
            <w:hideMark/>
          </w:tcPr>
          <w:p w14:paraId="28BBC04F"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23</w:t>
            </w:r>
          </w:p>
        </w:tc>
        <w:tc>
          <w:tcPr>
            <w:tcW w:w="0" w:type="auto"/>
            <w:hideMark/>
          </w:tcPr>
          <w:p w14:paraId="45CD60F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6.3%</w:t>
            </w:r>
          </w:p>
        </w:tc>
      </w:tr>
      <w:tr w:rsidR="00731D8C" w:rsidRPr="00731D8C" w14:paraId="7E1E47E9" w14:textId="77777777" w:rsidTr="00537802">
        <w:trPr>
          <w:trHeight w:val="280"/>
        </w:trPr>
        <w:tc>
          <w:tcPr>
            <w:tcW w:w="0" w:type="auto"/>
            <w:vMerge w:val="restart"/>
            <w:hideMark/>
          </w:tcPr>
          <w:p w14:paraId="5FF7C1F7" w14:textId="77777777" w:rsidR="00731D8C" w:rsidRPr="00731D8C" w:rsidRDefault="00731D8C" w:rsidP="00537802">
            <w:pPr>
              <w:jc w:val="both"/>
              <w:rPr>
                <w:rFonts w:ascii="Arial" w:eastAsia="Times New Roman" w:hAnsi="Arial" w:cs="Arial"/>
                <w:b/>
                <w:bCs/>
                <w:sz w:val="20"/>
                <w:szCs w:val="20"/>
                <w:lang w:eastAsia="fr-FR"/>
              </w:rPr>
            </w:pPr>
          </w:p>
          <w:p w14:paraId="3ED91432" w14:textId="77777777" w:rsidR="00731D8C" w:rsidRPr="00731D8C" w:rsidRDefault="00731D8C" w:rsidP="00537802">
            <w:pPr>
              <w:jc w:val="both"/>
              <w:rPr>
                <w:rFonts w:ascii="Arial" w:eastAsia="Times New Roman" w:hAnsi="Arial" w:cs="Arial"/>
                <w:b/>
                <w:bCs/>
                <w:sz w:val="20"/>
                <w:szCs w:val="20"/>
                <w:lang w:eastAsia="fr-FR"/>
              </w:rPr>
            </w:pPr>
          </w:p>
          <w:p w14:paraId="28E8987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Ultrasonographic findings</w:t>
            </w:r>
          </w:p>
        </w:tc>
        <w:tc>
          <w:tcPr>
            <w:tcW w:w="0" w:type="auto"/>
            <w:hideMark/>
          </w:tcPr>
          <w:p w14:paraId="7E2E8A1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Hepatomegaly</w:t>
            </w:r>
          </w:p>
        </w:tc>
        <w:tc>
          <w:tcPr>
            <w:tcW w:w="0" w:type="auto"/>
            <w:hideMark/>
          </w:tcPr>
          <w:p w14:paraId="5A7555C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217</w:t>
            </w:r>
          </w:p>
        </w:tc>
        <w:tc>
          <w:tcPr>
            <w:tcW w:w="0" w:type="auto"/>
            <w:hideMark/>
          </w:tcPr>
          <w:p w14:paraId="6269563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59.9%</w:t>
            </w:r>
          </w:p>
        </w:tc>
      </w:tr>
      <w:tr w:rsidR="00731D8C" w:rsidRPr="00731D8C" w14:paraId="16395F69" w14:textId="77777777" w:rsidTr="00537802">
        <w:trPr>
          <w:trHeight w:val="280"/>
        </w:trPr>
        <w:tc>
          <w:tcPr>
            <w:tcW w:w="0" w:type="auto"/>
            <w:vMerge/>
            <w:hideMark/>
          </w:tcPr>
          <w:p w14:paraId="6AB9A91B"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6F996D9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Hepatic steatosis</w:t>
            </w:r>
          </w:p>
        </w:tc>
        <w:tc>
          <w:tcPr>
            <w:tcW w:w="0" w:type="auto"/>
            <w:hideMark/>
          </w:tcPr>
          <w:p w14:paraId="6C0D17B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200</w:t>
            </w:r>
          </w:p>
        </w:tc>
        <w:tc>
          <w:tcPr>
            <w:tcW w:w="0" w:type="auto"/>
            <w:hideMark/>
          </w:tcPr>
          <w:p w14:paraId="4D53784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55.2%</w:t>
            </w:r>
          </w:p>
        </w:tc>
      </w:tr>
      <w:tr w:rsidR="00731D8C" w:rsidRPr="00731D8C" w14:paraId="23A55785" w14:textId="77777777" w:rsidTr="00537802">
        <w:trPr>
          <w:trHeight w:val="551"/>
        </w:trPr>
        <w:tc>
          <w:tcPr>
            <w:tcW w:w="0" w:type="auto"/>
            <w:vMerge/>
            <w:hideMark/>
          </w:tcPr>
          <w:p w14:paraId="320DF40C"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5C582CF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Signs of compensated cirrhosis</w:t>
            </w:r>
          </w:p>
        </w:tc>
        <w:tc>
          <w:tcPr>
            <w:tcW w:w="0" w:type="auto"/>
            <w:hideMark/>
          </w:tcPr>
          <w:p w14:paraId="3DC24AA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48</w:t>
            </w:r>
          </w:p>
        </w:tc>
        <w:tc>
          <w:tcPr>
            <w:tcW w:w="0" w:type="auto"/>
            <w:hideMark/>
          </w:tcPr>
          <w:p w14:paraId="61B6248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13.3%</w:t>
            </w:r>
          </w:p>
        </w:tc>
      </w:tr>
      <w:tr w:rsidR="00731D8C" w:rsidRPr="00731D8C" w14:paraId="5B616158" w14:textId="77777777" w:rsidTr="00537802">
        <w:trPr>
          <w:trHeight w:val="280"/>
        </w:trPr>
        <w:tc>
          <w:tcPr>
            <w:tcW w:w="0" w:type="auto"/>
            <w:vMerge/>
            <w:hideMark/>
          </w:tcPr>
          <w:p w14:paraId="191B4D6E"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47762CB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Presence of nodule(s)</w:t>
            </w:r>
          </w:p>
        </w:tc>
        <w:tc>
          <w:tcPr>
            <w:tcW w:w="0" w:type="auto"/>
            <w:hideMark/>
          </w:tcPr>
          <w:p w14:paraId="1B9DFAF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36</w:t>
            </w:r>
          </w:p>
        </w:tc>
        <w:tc>
          <w:tcPr>
            <w:tcW w:w="0" w:type="auto"/>
            <w:hideMark/>
          </w:tcPr>
          <w:p w14:paraId="16B2909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9.9%</w:t>
            </w:r>
          </w:p>
        </w:tc>
      </w:tr>
      <w:tr w:rsidR="00731D8C" w:rsidRPr="00731D8C" w14:paraId="1D17DD57" w14:textId="77777777" w:rsidTr="00537802">
        <w:trPr>
          <w:trHeight w:val="270"/>
        </w:trPr>
        <w:tc>
          <w:tcPr>
            <w:tcW w:w="0" w:type="auto"/>
            <w:vMerge/>
            <w:hideMark/>
          </w:tcPr>
          <w:p w14:paraId="41E0562B"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56568A5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Signs of fibrosis</w:t>
            </w:r>
          </w:p>
        </w:tc>
        <w:tc>
          <w:tcPr>
            <w:tcW w:w="0" w:type="auto"/>
            <w:hideMark/>
          </w:tcPr>
          <w:p w14:paraId="5106C3F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23</w:t>
            </w:r>
          </w:p>
        </w:tc>
        <w:tc>
          <w:tcPr>
            <w:tcW w:w="0" w:type="auto"/>
            <w:hideMark/>
          </w:tcPr>
          <w:p w14:paraId="0B998F37"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6.4%</w:t>
            </w:r>
          </w:p>
        </w:tc>
      </w:tr>
    </w:tbl>
    <w:p w14:paraId="37931A76"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The data presented in Table</w:t>
      </w:r>
      <w:r w:rsidRPr="00731D8C">
        <w:rPr>
          <w:rFonts w:ascii="Arial" w:hAnsi="Arial" w:cs="Arial"/>
          <w:bCs/>
          <w:lang w:eastAsia="fr-FR"/>
        </w:rPr>
        <w:t xml:space="preserve"> 2</w:t>
      </w:r>
      <w:r w:rsidRPr="00731D8C">
        <w:rPr>
          <w:rFonts w:ascii="Arial" w:hAnsi="Arial" w:cs="Arial"/>
          <w:lang w:eastAsia="fr-FR"/>
        </w:rPr>
        <w:t xml:space="preserve"> confirms the profound endemicity of </w:t>
      </w:r>
      <w:r w:rsidRPr="00731D8C">
        <w:rPr>
          <w:rFonts w:ascii="Arial" w:hAnsi="Arial" w:cs="Arial"/>
          <w:bCs/>
          <w:lang w:eastAsia="fr-FR"/>
        </w:rPr>
        <w:t>Hepatitis B Virus</w:t>
      </w:r>
      <w:r w:rsidRPr="00731D8C">
        <w:rPr>
          <w:rFonts w:ascii="Arial" w:hAnsi="Arial" w:cs="Arial"/>
          <w:lang w:eastAsia="fr-FR"/>
        </w:rPr>
        <w:t xml:space="preserve">, which is the etiological agent in over 81% of cases in this cohort. This aligns with national and regional epidemiological data, establishing a clear infectious disease burden. The most critical finding, however, is the remarkably high prevalence of </w:t>
      </w:r>
      <w:r w:rsidRPr="00731D8C">
        <w:rPr>
          <w:rFonts w:ascii="Arial" w:hAnsi="Arial" w:cs="Arial"/>
          <w:bCs/>
          <w:lang w:eastAsia="fr-FR"/>
        </w:rPr>
        <w:t>hepatic steatosis</w:t>
      </w:r>
      <w:r w:rsidRPr="00731D8C">
        <w:rPr>
          <w:rFonts w:ascii="Arial" w:hAnsi="Arial" w:cs="Arial"/>
          <w:lang w:eastAsia="fr-FR"/>
        </w:rPr>
        <w:t>, identified in 55.2% of the patients. This rate suggests a significant metabolic comorbidity that is superimposed upon the primary viral pathology. The frequent observation of hepatomegaly (59.9%) further supports the existence of a substantial inflammatory and/or infiltrative liver process. This "dual burden" of viral and metabolic injury likely creates a synergistic effect, potentially accelerating the progression toward advanced liver disease, as evidenced by the notable percentage of patients already showing signs of compensated cirrhosis (13.3%) and fibrosis (6.4%).</w:t>
      </w:r>
    </w:p>
    <w:p w14:paraId="216B0220"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3.3. The nutritional paradox</w:t>
      </w:r>
    </w:p>
    <w:p w14:paraId="213D56A0"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 xml:space="preserve"> 3.3.1. High visceral obesity coexisting with </w:t>
      </w:r>
      <w:proofErr w:type="spellStart"/>
      <w:r w:rsidRPr="00731D8C">
        <w:rPr>
          <w:rFonts w:ascii="Arial" w:hAnsi="Arial" w:cs="Arial"/>
          <w:b/>
          <w:bCs/>
          <w:lang w:eastAsia="fr-FR"/>
        </w:rPr>
        <w:t>muscl</w:t>
      </w:r>
      <w:proofErr w:type="spellEnd"/>
      <w:r w:rsidRPr="00731D8C">
        <w:rPr>
          <w:rFonts w:ascii="Arial" w:hAnsi="Arial" w:cs="Arial"/>
          <w:b/>
          <w:bCs/>
          <w:lang w:eastAsia="fr-FR"/>
        </w:rPr>
        <w:t xml:space="preserve"> mass depletion</w:t>
      </w:r>
    </w:p>
    <w:p w14:paraId="4930F92A"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lastRenderedPageBreak/>
        <w:t>Analysis of body composition via BIA unveiled a profound nutritional paradox that was obscured by standard anthropometry. While the majority of patients were classified as either normal weight or overweight based on their BMI, the BIA data painted a far more concerning picture.</w:t>
      </w:r>
    </w:p>
    <w:p w14:paraId="76D38D35"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Table 3 shows that, there was a high prevalence of visceral obesity, affecting 59.4% of men and 76.7% of women. This accumulation of metabolically active abdominal fat coexisted with clear evidence of severe protein depletion. A low protein index, was observed in 59.4% of men and a striking 82.9% of women. This combination of excess visceral adiposity and a deficit in muscle mass is characteristic of a sarcopenic obesity phenotype.</w:t>
      </w:r>
    </w:p>
    <w:p w14:paraId="2CDD1900"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As described above, Table 3 details the body composition of the patient cohort as determined by bioelectrical impedance analysis (BIA), stratified by sex. It contrasts the classifications from the standard Body Mass Index (BMI) with more precise metrics of adiposity and protein mass to unmask the underlying nutritional status.</w:t>
      </w:r>
    </w:p>
    <w:p w14:paraId="3914DA76"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
          <w:bCs/>
          <w:lang w:eastAsia="fr-FR"/>
        </w:rPr>
        <w:t>Table 3: Body composition profile by sex, revealing a sarcopenic obesity phenotype (n=363)</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84"/>
        <w:gridCol w:w="1329"/>
        <w:gridCol w:w="1619"/>
        <w:gridCol w:w="1246"/>
      </w:tblGrid>
      <w:tr w:rsidR="00731D8C" w:rsidRPr="00731D8C" w14:paraId="67E0316E" w14:textId="77777777" w:rsidTr="00537802">
        <w:tc>
          <w:tcPr>
            <w:tcW w:w="0" w:type="auto"/>
            <w:hideMark/>
          </w:tcPr>
          <w:p w14:paraId="700DA2F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Parameter</w:t>
            </w:r>
          </w:p>
        </w:tc>
        <w:tc>
          <w:tcPr>
            <w:tcW w:w="0" w:type="auto"/>
            <w:hideMark/>
          </w:tcPr>
          <w:p w14:paraId="56314C6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3C4DA6B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Men (n=234)</w:t>
            </w:r>
          </w:p>
        </w:tc>
        <w:tc>
          <w:tcPr>
            <w:tcW w:w="0" w:type="auto"/>
            <w:hideMark/>
          </w:tcPr>
          <w:p w14:paraId="0A01D8B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Women (n=129)</w:t>
            </w:r>
          </w:p>
        </w:tc>
        <w:tc>
          <w:tcPr>
            <w:tcW w:w="0" w:type="auto"/>
            <w:hideMark/>
          </w:tcPr>
          <w:p w14:paraId="03E4496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p-value</w:t>
            </w:r>
          </w:p>
        </w:tc>
      </w:tr>
      <w:tr w:rsidR="00731D8C" w:rsidRPr="00731D8C" w14:paraId="5E46334D" w14:textId="77777777" w:rsidTr="00537802">
        <w:tc>
          <w:tcPr>
            <w:tcW w:w="0" w:type="auto"/>
            <w:hideMark/>
          </w:tcPr>
          <w:p w14:paraId="1ED53A5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BMI</w:t>
            </w:r>
          </w:p>
        </w:tc>
        <w:tc>
          <w:tcPr>
            <w:tcW w:w="0" w:type="auto"/>
            <w:hideMark/>
          </w:tcPr>
          <w:p w14:paraId="752B7B8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Overweight/Obese (≥25.0 kg/m²)</w:t>
            </w:r>
          </w:p>
        </w:tc>
        <w:tc>
          <w:tcPr>
            <w:tcW w:w="0" w:type="auto"/>
            <w:hideMark/>
          </w:tcPr>
          <w:p w14:paraId="202F1A8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125 (53.4%)</w:t>
            </w:r>
          </w:p>
        </w:tc>
        <w:tc>
          <w:tcPr>
            <w:tcW w:w="0" w:type="auto"/>
            <w:hideMark/>
          </w:tcPr>
          <w:p w14:paraId="4A18715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71 (55.0%)</w:t>
            </w:r>
          </w:p>
        </w:tc>
        <w:tc>
          <w:tcPr>
            <w:tcW w:w="0" w:type="auto"/>
            <w:hideMark/>
          </w:tcPr>
          <w:p w14:paraId="26C13CC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0.6929 (NS)</w:t>
            </w:r>
          </w:p>
        </w:tc>
      </w:tr>
      <w:tr w:rsidR="00731D8C" w:rsidRPr="00731D8C" w14:paraId="30E93955" w14:textId="77777777" w:rsidTr="00537802">
        <w:tc>
          <w:tcPr>
            <w:tcW w:w="0" w:type="auto"/>
            <w:hideMark/>
          </w:tcPr>
          <w:p w14:paraId="462AFEF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Visceral fat</w:t>
            </w:r>
          </w:p>
        </w:tc>
        <w:tc>
          <w:tcPr>
            <w:tcW w:w="0" w:type="auto"/>
            <w:hideMark/>
          </w:tcPr>
          <w:p w14:paraId="7A843C71"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Visceral obesity</w:t>
            </w:r>
          </w:p>
        </w:tc>
        <w:tc>
          <w:tcPr>
            <w:tcW w:w="0" w:type="auto"/>
            <w:hideMark/>
          </w:tcPr>
          <w:p w14:paraId="3E0FBEC6"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139 (59.4%)</w:t>
            </w:r>
          </w:p>
        </w:tc>
        <w:tc>
          <w:tcPr>
            <w:tcW w:w="0" w:type="auto"/>
            <w:hideMark/>
          </w:tcPr>
          <w:p w14:paraId="7D16985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99 (76.7%)</w:t>
            </w:r>
          </w:p>
        </w:tc>
        <w:tc>
          <w:tcPr>
            <w:tcW w:w="0" w:type="auto"/>
            <w:hideMark/>
          </w:tcPr>
          <w:p w14:paraId="66DFC08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&lt;0.01</w:t>
            </w:r>
          </w:p>
        </w:tc>
      </w:tr>
      <w:tr w:rsidR="00731D8C" w:rsidRPr="00731D8C" w14:paraId="081081DF" w14:textId="77777777" w:rsidTr="00537802">
        <w:tc>
          <w:tcPr>
            <w:tcW w:w="0" w:type="auto"/>
            <w:hideMark/>
          </w:tcPr>
          <w:p w14:paraId="7E49404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Skeletal muscle mass)</w:t>
            </w:r>
          </w:p>
        </w:tc>
        <w:tc>
          <w:tcPr>
            <w:tcW w:w="0" w:type="auto"/>
            <w:hideMark/>
          </w:tcPr>
          <w:p w14:paraId="5B32D74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Low (depletion)</w:t>
            </w:r>
          </w:p>
        </w:tc>
        <w:tc>
          <w:tcPr>
            <w:tcW w:w="0" w:type="auto"/>
            <w:hideMark/>
          </w:tcPr>
          <w:p w14:paraId="487A8F2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158 (54.4%)</w:t>
            </w:r>
          </w:p>
        </w:tc>
        <w:tc>
          <w:tcPr>
            <w:tcW w:w="0" w:type="auto"/>
            <w:hideMark/>
          </w:tcPr>
          <w:p w14:paraId="20D2670B"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107 (82.9%)</w:t>
            </w:r>
          </w:p>
        </w:tc>
        <w:tc>
          <w:tcPr>
            <w:tcW w:w="0" w:type="auto"/>
            <w:hideMark/>
          </w:tcPr>
          <w:p w14:paraId="42C7DA5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r w:rsidR="00731D8C" w:rsidRPr="00731D8C" w14:paraId="3555DFE1" w14:textId="77777777" w:rsidTr="00537802">
        <w:tc>
          <w:tcPr>
            <w:tcW w:w="0" w:type="auto"/>
            <w:hideMark/>
          </w:tcPr>
          <w:p w14:paraId="7C52ECF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Body fat %</w:t>
            </w:r>
          </w:p>
        </w:tc>
        <w:tc>
          <w:tcPr>
            <w:tcW w:w="0" w:type="auto"/>
            <w:hideMark/>
          </w:tcPr>
          <w:p w14:paraId="1459152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Elevated</w:t>
            </w:r>
          </w:p>
        </w:tc>
        <w:tc>
          <w:tcPr>
            <w:tcW w:w="0" w:type="auto"/>
            <w:hideMark/>
          </w:tcPr>
          <w:p w14:paraId="388E0C3B"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63 (26.9%)</w:t>
            </w:r>
          </w:p>
        </w:tc>
        <w:tc>
          <w:tcPr>
            <w:tcW w:w="0" w:type="auto"/>
            <w:hideMark/>
          </w:tcPr>
          <w:p w14:paraId="3C7805B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79 (61.2%)</w:t>
            </w:r>
          </w:p>
        </w:tc>
        <w:tc>
          <w:tcPr>
            <w:tcW w:w="0" w:type="auto"/>
            <w:hideMark/>
          </w:tcPr>
          <w:p w14:paraId="637FB52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bl>
    <w:p w14:paraId="3A7A897D"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Cs/>
          <w:lang w:eastAsia="fr-FR"/>
        </w:rPr>
        <w:t>Table 3</w:t>
      </w:r>
      <w:r w:rsidRPr="00731D8C">
        <w:rPr>
          <w:rFonts w:ascii="Arial" w:hAnsi="Arial" w:cs="Arial"/>
          <w:lang w:eastAsia="fr-FR"/>
        </w:rPr>
        <w:t xml:space="preserve"> uncovers a critical nutritional paradox that is entirely obscured by the Body Mass Index (BMI). While over half of the cohort falls into the "overweight" or "obese" BMI categories, the BIA data reveals a more dangerous underlying </w:t>
      </w:r>
      <w:proofErr w:type="gramStart"/>
      <w:r w:rsidRPr="00731D8C">
        <w:rPr>
          <w:rFonts w:ascii="Arial" w:hAnsi="Arial" w:cs="Arial"/>
          <w:lang w:eastAsia="fr-FR"/>
        </w:rPr>
        <w:t>phenotype :</w:t>
      </w:r>
      <w:proofErr w:type="gramEnd"/>
      <w:r w:rsidRPr="00731D8C">
        <w:rPr>
          <w:rFonts w:ascii="Arial" w:hAnsi="Arial" w:cs="Arial"/>
          <w:lang w:eastAsia="fr-FR"/>
        </w:rPr>
        <w:t xml:space="preserve"> </w:t>
      </w:r>
      <w:r w:rsidRPr="00731D8C">
        <w:rPr>
          <w:rFonts w:ascii="Arial" w:hAnsi="Arial" w:cs="Arial"/>
          <w:bCs/>
          <w:lang w:eastAsia="fr-FR"/>
        </w:rPr>
        <w:t>sarcopenic obesity</w:t>
      </w:r>
      <w:r w:rsidRPr="00731D8C">
        <w:rPr>
          <w:rFonts w:ascii="Arial" w:hAnsi="Arial" w:cs="Arial"/>
          <w:lang w:eastAsia="fr-FR"/>
        </w:rPr>
        <w:t xml:space="preserve">. This is characterized by the coexistence of high visceral adiposity and severe </w:t>
      </w:r>
      <w:proofErr w:type="spellStart"/>
      <w:r w:rsidRPr="00731D8C">
        <w:rPr>
          <w:rFonts w:ascii="Arial" w:hAnsi="Arial" w:cs="Arial"/>
          <w:lang w:eastAsia="fr-FR"/>
        </w:rPr>
        <w:t>muscl</w:t>
      </w:r>
      <w:proofErr w:type="spellEnd"/>
      <w:r w:rsidRPr="00731D8C">
        <w:rPr>
          <w:rFonts w:ascii="Arial" w:hAnsi="Arial" w:cs="Arial"/>
          <w:lang w:eastAsia="fr-FR"/>
        </w:rPr>
        <w:t xml:space="preserve"> mass depletion. The prevalence of visceral obesity is high, affecting 59.4% of men and soaring to 76.7% in women. Simultaneously, a low SMM, indicating significant muscle and protein loss, was identified in 59.4% of men and a striking 82.9% of women. This "double burden" of malnutrition is particularly pernicious, as visceral fat is a key driver of systemic inflammation and insulin resistance, while sarcopenia compromises functional capacity and is an independent predictor of poor outcomes in liver disease. The highly significant gender disparities, with women exhibiting worse profiles for both visceral obesity and protein depletion, underscore their heightened vulnerability. These findings powerfully demonstrate the inadequacy of BMI in this clinical context and advocate for the systematic use of body composition analysis to accurately assess metabolic risk.</w:t>
      </w:r>
    </w:p>
    <w:p w14:paraId="09F95695"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3.3.2. Signature of a pro-inflammatory dietary pattern</w:t>
      </w:r>
    </w:p>
    <w:p w14:paraId="3D7B4142"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dietary assessment identified a consistent and potentially deleterious food consumption signature across the cohort. Key findings </w:t>
      </w:r>
      <w:r w:rsidR="0067382D" w:rsidRPr="00731D8C">
        <w:rPr>
          <w:rFonts w:ascii="Arial" w:hAnsi="Arial" w:cs="Arial"/>
          <w:lang w:eastAsia="fr-FR"/>
        </w:rPr>
        <w:t>included:</w:t>
      </w:r>
    </w:p>
    <w:p w14:paraId="3C83647B" w14:textId="77777777" w:rsidR="00731D8C" w:rsidRPr="00731D8C" w:rsidRDefault="00731D8C" w:rsidP="00731D8C">
      <w:pPr>
        <w:pStyle w:val="ListParagraph"/>
        <w:numPr>
          <w:ilvl w:val="0"/>
          <w:numId w:val="3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sodium and additive </w:t>
      </w:r>
      <w:proofErr w:type="spellStart"/>
      <w:r w:rsidRPr="00731D8C">
        <w:rPr>
          <w:rFonts w:ascii="Arial" w:eastAsia="Times New Roman" w:hAnsi="Arial" w:cs="Arial"/>
          <w:bCs/>
          <w:sz w:val="20"/>
          <w:szCs w:val="20"/>
          <w:lang w:eastAsia="fr-FR"/>
        </w:rPr>
        <w:t>intake</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The use of </w:t>
      </w:r>
      <w:proofErr w:type="spellStart"/>
      <w:r w:rsidRPr="00731D8C">
        <w:rPr>
          <w:rFonts w:ascii="Arial" w:eastAsia="Times New Roman" w:hAnsi="Arial" w:cs="Arial"/>
          <w:sz w:val="20"/>
          <w:szCs w:val="20"/>
          <w:lang w:eastAsia="fr-FR"/>
        </w:rPr>
        <w:t>industrial</w:t>
      </w:r>
      <w:proofErr w:type="spellEnd"/>
      <w:r w:rsidRPr="00731D8C">
        <w:rPr>
          <w:rFonts w:ascii="Arial" w:eastAsia="Times New Roman" w:hAnsi="Arial" w:cs="Arial"/>
          <w:sz w:val="20"/>
          <w:szCs w:val="20"/>
          <w:lang w:eastAsia="fr-FR"/>
        </w:rPr>
        <w:t xml:space="preserve"> bouillon cubes </w:t>
      </w:r>
      <w:proofErr w:type="spellStart"/>
      <w:r w:rsidRPr="00731D8C">
        <w:rPr>
          <w:rFonts w:ascii="Arial" w:eastAsia="Times New Roman" w:hAnsi="Arial" w:cs="Arial"/>
          <w:sz w:val="20"/>
          <w:szCs w:val="20"/>
          <w:lang w:eastAsia="fr-FR"/>
        </w:rPr>
        <w:t>was</w:t>
      </w:r>
      <w:proofErr w:type="spellEnd"/>
      <w:r w:rsidRPr="00731D8C">
        <w:rPr>
          <w:rFonts w:ascii="Arial" w:eastAsia="Times New Roman" w:hAnsi="Arial" w:cs="Arial"/>
          <w:sz w:val="20"/>
          <w:szCs w:val="20"/>
          <w:lang w:eastAsia="fr-FR"/>
        </w:rPr>
        <w:t xml:space="preserve"> quasi-</w:t>
      </w:r>
      <w:proofErr w:type="spellStart"/>
      <w:r w:rsidRPr="00731D8C">
        <w:rPr>
          <w:rFonts w:ascii="Arial" w:eastAsia="Times New Roman" w:hAnsi="Arial" w:cs="Arial"/>
          <w:sz w:val="20"/>
          <w:szCs w:val="20"/>
          <w:lang w:eastAsia="fr-FR"/>
        </w:rPr>
        <w:t>universal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by 86.3% of men and 93.8%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as a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seasoning</w:t>
      </w:r>
      <w:proofErr w:type="spellEnd"/>
      <w:r w:rsidRPr="00731D8C">
        <w:rPr>
          <w:rFonts w:ascii="Arial" w:eastAsia="Times New Roman" w:hAnsi="Arial" w:cs="Arial"/>
          <w:sz w:val="20"/>
          <w:szCs w:val="20"/>
          <w:lang w:eastAsia="fr-FR"/>
        </w:rPr>
        <w:t xml:space="preserve"> agent.</w:t>
      </w:r>
    </w:p>
    <w:p w14:paraId="17B2A4EB" w14:textId="77777777" w:rsidR="00731D8C" w:rsidRPr="00731D8C" w:rsidRDefault="00731D8C" w:rsidP="00731D8C">
      <w:pPr>
        <w:pStyle w:val="ListParagraph"/>
        <w:numPr>
          <w:ilvl w:val="0"/>
          <w:numId w:val="3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w:t>
      </w:r>
      <w:proofErr w:type="spellStart"/>
      <w:r w:rsidRPr="00731D8C">
        <w:rPr>
          <w:rFonts w:ascii="Arial" w:eastAsia="Times New Roman" w:hAnsi="Arial" w:cs="Arial"/>
          <w:bCs/>
          <w:sz w:val="20"/>
          <w:szCs w:val="20"/>
          <w:lang w:eastAsia="fr-FR"/>
        </w:rPr>
        <w:t>sugar</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consumption</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vast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majority</w:t>
      </w:r>
      <w:proofErr w:type="spellEnd"/>
      <w:r w:rsidRPr="00731D8C">
        <w:rPr>
          <w:rFonts w:ascii="Arial" w:eastAsia="Times New Roman" w:hAnsi="Arial" w:cs="Arial"/>
          <w:sz w:val="20"/>
          <w:szCs w:val="20"/>
          <w:lang w:eastAsia="fr-FR"/>
        </w:rPr>
        <w:t xml:space="preserve"> of participants (88.0% of men and 91.5%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regularly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consumed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sugary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products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with</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sweetened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energy</w:t>
      </w:r>
      <w:proofErr w:type="spellEnd"/>
      <w:r w:rsidRPr="00731D8C">
        <w:rPr>
          <w:rFonts w:ascii="Arial" w:eastAsia="Times New Roman" w:hAnsi="Arial" w:cs="Arial"/>
          <w:sz w:val="20"/>
          <w:szCs w:val="20"/>
          <w:lang w:eastAsia="fr-FR"/>
        </w:rPr>
        <w:t xml:space="preserve"> drinks </w:t>
      </w:r>
      <w:proofErr w:type="spellStart"/>
      <w:r w:rsidRPr="00731D8C">
        <w:rPr>
          <w:rFonts w:ascii="Arial" w:eastAsia="Times New Roman" w:hAnsi="Arial" w:cs="Arial"/>
          <w:sz w:val="20"/>
          <w:szCs w:val="20"/>
          <w:lang w:eastAsia="fr-FR"/>
        </w:rPr>
        <w:t>being</w:t>
      </w:r>
      <w:proofErr w:type="spellEnd"/>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source.</w:t>
      </w:r>
    </w:p>
    <w:p w14:paraId="3B6D83DE" w14:textId="77777777" w:rsidR="00731D8C" w:rsidRPr="00731D8C" w:rsidRDefault="00731D8C" w:rsidP="00731D8C">
      <w:pPr>
        <w:pStyle w:val="ListParagraph"/>
        <w:numPr>
          <w:ilvl w:val="0"/>
          <w:numId w:val="3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Cooking fat profile :</w:t>
      </w:r>
      <w:r w:rsidRPr="00731D8C">
        <w:rPr>
          <w:rFonts w:ascii="Arial" w:eastAsia="Times New Roman" w:hAnsi="Arial" w:cs="Arial"/>
          <w:sz w:val="20"/>
          <w:szCs w:val="20"/>
          <w:lang w:eastAsia="fr-FR"/>
        </w:rPr>
        <w:t xml:space="preserve"> The </w:t>
      </w:r>
      <w:proofErr w:type="spellStart"/>
      <w:r w:rsidRPr="00731D8C">
        <w:rPr>
          <w:rFonts w:ascii="Arial" w:eastAsia="Times New Roman" w:hAnsi="Arial" w:cs="Arial"/>
          <w:sz w:val="20"/>
          <w:szCs w:val="20"/>
          <w:lang w:eastAsia="fr-FR"/>
        </w:rPr>
        <w:t>predominant</w:t>
      </w:r>
      <w:proofErr w:type="spellEnd"/>
      <w:r w:rsidRPr="00731D8C">
        <w:rPr>
          <w:rFonts w:ascii="Arial" w:eastAsia="Times New Roman" w:hAnsi="Arial" w:cs="Arial"/>
          <w:sz w:val="20"/>
          <w:szCs w:val="20"/>
          <w:lang w:eastAsia="fr-FR"/>
        </w:rPr>
        <w:t xml:space="preserve"> cooking fats </w:t>
      </w:r>
      <w:proofErr w:type="spellStart"/>
      <w:r w:rsidRPr="00731D8C">
        <w:rPr>
          <w:rFonts w:ascii="Arial" w:eastAsia="Times New Roman" w:hAnsi="Arial" w:cs="Arial"/>
          <w:sz w:val="20"/>
          <w:szCs w:val="20"/>
          <w:lang w:eastAsia="fr-FR"/>
        </w:rPr>
        <w:t>were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refined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vegetable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oils</w:t>
      </w:r>
      <w:proofErr w:type="spellEnd"/>
      <w:r w:rsidRPr="00731D8C">
        <w:rPr>
          <w:rFonts w:ascii="Arial" w:eastAsia="Times New Roman" w:hAnsi="Arial" w:cs="Arial"/>
          <w:sz w:val="20"/>
          <w:szCs w:val="20"/>
          <w:lang w:eastAsia="fr-FR"/>
        </w:rPr>
        <w:t xml:space="preserve"> and palm </w:t>
      </w:r>
      <w:proofErr w:type="spellStart"/>
      <w:r w:rsidRPr="00731D8C">
        <w:rPr>
          <w:rFonts w:ascii="Arial" w:eastAsia="Times New Roman" w:hAnsi="Arial" w:cs="Arial"/>
          <w:sz w:val="20"/>
          <w:szCs w:val="20"/>
          <w:lang w:eastAsia="fr-FR"/>
        </w:rPr>
        <w:t>oil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significant</w:t>
      </w:r>
      <w:proofErr w:type="spellEnd"/>
      <w:r w:rsidRPr="00731D8C">
        <w:rPr>
          <w:rFonts w:ascii="Arial" w:eastAsia="Times New Roman" w:hAnsi="Arial" w:cs="Arial"/>
          <w:sz w:val="20"/>
          <w:szCs w:val="20"/>
          <w:lang w:eastAsia="fr-FR"/>
        </w:rPr>
        <w:t xml:space="preserve"> source of </w:t>
      </w:r>
      <w:proofErr w:type="spellStart"/>
      <w:r w:rsidRPr="00731D8C">
        <w:rPr>
          <w:rFonts w:ascii="Arial" w:eastAsia="Times New Roman" w:hAnsi="Arial" w:cs="Arial"/>
          <w:sz w:val="20"/>
          <w:szCs w:val="20"/>
          <w:lang w:eastAsia="fr-FR"/>
        </w:rPr>
        <w:t>saturated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fatty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acids</w:t>
      </w:r>
      <w:proofErr w:type="spellEnd"/>
      <w:r w:rsidRPr="00731D8C">
        <w:rPr>
          <w:rFonts w:ascii="Arial" w:eastAsia="Times New Roman" w:hAnsi="Arial" w:cs="Arial"/>
          <w:sz w:val="20"/>
          <w:szCs w:val="20"/>
          <w:lang w:eastAsia="fr-FR"/>
        </w:rPr>
        <w:t>.</w:t>
      </w:r>
    </w:p>
    <w:p w14:paraId="7368B3D6" w14:textId="77777777" w:rsidR="00731D8C" w:rsidRPr="00731D8C" w:rsidRDefault="00731D8C" w:rsidP="00731D8C">
      <w:pPr>
        <w:pStyle w:val="ListParagraph"/>
        <w:numPr>
          <w:ilvl w:val="0"/>
          <w:numId w:val="31"/>
        </w:numPr>
        <w:spacing w:before="100" w:beforeAutospacing="1" w:after="100" w:afterAutospacing="1" w:line="240" w:lineRule="auto"/>
        <w:jc w:val="both"/>
        <w:rPr>
          <w:rFonts w:ascii="Arial" w:eastAsia="Times New Roman" w:hAnsi="Arial" w:cs="Arial"/>
          <w:sz w:val="20"/>
          <w:szCs w:val="20"/>
          <w:lang w:eastAsia="fr-FR"/>
        </w:rPr>
      </w:pPr>
      <w:proofErr w:type="spellStart"/>
      <w:r w:rsidRPr="00731D8C">
        <w:rPr>
          <w:rFonts w:ascii="Arial" w:eastAsia="Times New Roman" w:hAnsi="Arial" w:cs="Arial"/>
          <w:bCs/>
          <w:sz w:val="20"/>
          <w:szCs w:val="20"/>
          <w:lang w:eastAsia="fr-FR"/>
        </w:rPr>
        <w:t>Dependence</w:t>
      </w:r>
      <w:proofErr w:type="spellEnd"/>
      <w:r w:rsidRPr="00731D8C">
        <w:rPr>
          <w:rFonts w:ascii="Arial" w:eastAsia="Times New Roman" w:hAnsi="Arial" w:cs="Arial"/>
          <w:bCs/>
          <w:sz w:val="20"/>
          <w:szCs w:val="20"/>
          <w:lang w:eastAsia="fr-FR"/>
        </w:rPr>
        <w:t xml:space="preserve"> on </w:t>
      </w:r>
      <w:proofErr w:type="spellStart"/>
      <w:r w:rsidRPr="00731D8C">
        <w:rPr>
          <w:rFonts w:ascii="Arial" w:eastAsia="Times New Roman" w:hAnsi="Arial" w:cs="Arial"/>
          <w:bCs/>
          <w:sz w:val="20"/>
          <w:szCs w:val="20"/>
          <w:lang w:eastAsia="fr-FR"/>
        </w:rPr>
        <w:t>external</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food</w:t>
      </w:r>
      <w:proofErr w:type="spellEnd"/>
      <w:r w:rsidRPr="00731D8C">
        <w:rPr>
          <w:rFonts w:ascii="Arial" w:eastAsia="Times New Roman" w:hAnsi="Arial" w:cs="Arial"/>
          <w:bCs/>
          <w:sz w:val="20"/>
          <w:szCs w:val="20"/>
          <w:lang w:eastAsia="fr-FR"/>
        </w:rPr>
        <w:t xml:space="preserve"> sources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substantial</w:t>
      </w:r>
      <w:proofErr w:type="spellEnd"/>
      <w:r w:rsidRPr="00731D8C">
        <w:rPr>
          <w:rFonts w:ascii="Arial" w:eastAsia="Times New Roman" w:hAnsi="Arial" w:cs="Arial"/>
          <w:sz w:val="20"/>
          <w:szCs w:val="20"/>
          <w:lang w:eastAsia="fr-FR"/>
        </w:rPr>
        <w:t xml:space="preserve"> portion of the </w:t>
      </w:r>
      <w:proofErr w:type="spellStart"/>
      <w:r w:rsidRPr="00731D8C">
        <w:rPr>
          <w:rFonts w:ascii="Arial" w:eastAsia="Times New Roman" w:hAnsi="Arial" w:cs="Arial"/>
          <w:sz w:val="20"/>
          <w:szCs w:val="20"/>
          <w:lang w:eastAsia="fr-FR"/>
        </w:rPr>
        <w:t>cohort</w:t>
      </w:r>
      <w:proofErr w:type="spellEnd"/>
      <w:r w:rsidRPr="00731D8C">
        <w:rPr>
          <w:rFonts w:ascii="Arial" w:eastAsia="Times New Roman" w:hAnsi="Arial" w:cs="Arial"/>
          <w:sz w:val="20"/>
          <w:szCs w:val="20"/>
          <w:lang w:eastAsia="fr-FR"/>
        </w:rPr>
        <w:t xml:space="preserve"> (76.9%)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a high </w:t>
      </w:r>
      <w:proofErr w:type="spellStart"/>
      <w:r w:rsidRPr="00731D8C">
        <w:rPr>
          <w:rFonts w:ascii="Arial" w:eastAsia="Times New Roman" w:hAnsi="Arial" w:cs="Arial"/>
          <w:sz w:val="20"/>
          <w:szCs w:val="20"/>
          <w:lang w:eastAsia="fr-FR"/>
        </w:rPr>
        <w:t>dependency</w:t>
      </w:r>
      <w:proofErr w:type="spellEnd"/>
      <w:r w:rsidRPr="00731D8C">
        <w:rPr>
          <w:rFonts w:ascii="Arial" w:eastAsia="Times New Roman" w:hAnsi="Arial" w:cs="Arial"/>
          <w:sz w:val="20"/>
          <w:szCs w:val="20"/>
          <w:lang w:eastAsia="fr-FR"/>
        </w:rPr>
        <w:t xml:space="preserve"> on </w:t>
      </w:r>
      <w:proofErr w:type="spellStart"/>
      <w:r w:rsidRPr="00731D8C">
        <w:rPr>
          <w:rFonts w:ascii="Arial" w:eastAsia="Times New Roman" w:hAnsi="Arial" w:cs="Arial"/>
          <w:sz w:val="20"/>
          <w:szCs w:val="20"/>
          <w:lang w:eastAsia="fr-FR"/>
        </w:rPr>
        <w:t>food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prepared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sold</w:t>
      </w:r>
      <w:proofErr w:type="spellEnd"/>
      <w:r w:rsidRPr="00731D8C">
        <w:rPr>
          <w:rFonts w:ascii="Arial" w:eastAsia="Times New Roman" w:hAnsi="Arial" w:cs="Arial"/>
          <w:sz w:val="20"/>
          <w:szCs w:val="20"/>
          <w:lang w:eastAsia="fr-FR"/>
        </w:rPr>
        <w:t xml:space="preserve"> by </w:t>
      </w:r>
      <w:proofErr w:type="spellStart"/>
      <w:r w:rsidRPr="00731D8C">
        <w:rPr>
          <w:rFonts w:ascii="Arial" w:eastAsia="Times New Roman" w:hAnsi="Arial" w:cs="Arial"/>
          <w:sz w:val="20"/>
          <w:szCs w:val="20"/>
          <w:lang w:eastAsia="fr-FR"/>
        </w:rPr>
        <w:t>street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vendors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indicating</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limited</w:t>
      </w:r>
      <w:proofErr w:type="spellEnd"/>
      <w:r w:rsidRPr="00731D8C">
        <w:rPr>
          <w:rFonts w:ascii="Arial" w:eastAsia="Times New Roman" w:hAnsi="Arial" w:cs="Arial"/>
          <w:sz w:val="20"/>
          <w:szCs w:val="20"/>
          <w:lang w:eastAsia="fr-FR"/>
        </w:rPr>
        <w:t xml:space="preserve"> control over </w:t>
      </w:r>
      <w:proofErr w:type="spellStart"/>
      <w:r w:rsidRPr="00731D8C">
        <w:rPr>
          <w:rFonts w:ascii="Arial" w:eastAsia="Times New Roman" w:hAnsi="Arial" w:cs="Arial"/>
          <w:sz w:val="20"/>
          <w:szCs w:val="20"/>
          <w:lang w:eastAsia="fr-FR"/>
        </w:rPr>
        <w:t>ingredients</w:t>
      </w:r>
      <w:proofErr w:type="spellEnd"/>
      <w:r w:rsidRPr="00731D8C">
        <w:rPr>
          <w:rFonts w:ascii="Arial" w:eastAsia="Times New Roman" w:hAnsi="Arial" w:cs="Arial"/>
          <w:sz w:val="20"/>
          <w:szCs w:val="20"/>
          <w:lang w:eastAsia="fr-FR"/>
        </w:rPr>
        <w:t xml:space="preserve">, cooking </w:t>
      </w:r>
      <w:proofErr w:type="spellStart"/>
      <w:r w:rsidRPr="00731D8C">
        <w:rPr>
          <w:rFonts w:ascii="Arial" w:eastAsia="Times New Roman" w:hAnsi="Arial" w:cs="Arial"/>
          <w:sz w:val="20"/>
          <w:szCs w:val="20"/>
          <w:lang w:eastAsia="fr-FR"/>
        </w:rPr>
        <w:t>methods</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nutritional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quality</w:t>
      </w:r>
      <w:proofErr w:type="spellEnd"/>
      <w:r w:rsidRPr="00731D8C">
        <w:rPr>
          <w:rFonts w:ascii="Arial" w:eastAsia="Times New Roman" w:hAnsi="Arial" w:cs="Arial"/>
          <w:sz w:val="20"/>
          <w:szCs w:val="20"/>
          <w:lang w:eastAsia="fr-FR"/>
        </w:rPr>
        <w:t>.</w:t>
      </w:r>
    </w:p>
    <w:p w14:paraId="12C810EE" w14:textId="77777777" w:rsidR="00731D8C" w:rsidRPr="00731D8C" w:rsidRDefault="00731D8C" w:rsidP="00731D8C">
      <w:pPr>
        <w:spacing w:before="100" w:beforeAutospacing="1" w:after="100" w:afterAutospacing="1"/>
        <w:jc w:val="both"/>
        <w:outlineLvl w:val="2"/>
        <w:rPr>
          <w:rFonts w:ascii="Arial" w:hAnsi="Arial" w:cs="Arial"/>
          <w:b/>
          <w:bCs/>
          <w:lang w:eastAsia="fr-FR"/>
        </w:rPr>
      </w:pPr>
      <w:r w:rsidRPr="00731D8C">
        <w:rPr>
          <w:rFonts w:ascii="Arial" w:hAnsi="Arial" w:cs="Arial"/>
          <w:b/>
          <w:bCs/>
          <w:lang w:eastAsia="fr-FR"/>
        </w:rPr>
        <w:lastRenderedPageBreak/>
        <w:t>Table 4: Profile of pro-inflammatory dietary habits by sex</w:t>
      </w:r>
    </w:p>
    <w:p w14:paraId="203E3B6D"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 Table 4 outlines the consumption patterns of specific foods and ingredients associated with a pro-inflammatory diet. It </w:t>
      </w:r>
      <w:proofErr w:type="spellStart"/>
      <w:r w:rsidRPr="00731D8C">
        <w:rPr>
          <w:rFonts w:ascii="Arial" w:hAnsi="Arial" w:cs="Arial"/>
          <w:lang w:eastAsia="fr-FR"/>
        </w:rPr>
        <w:t>quantifie</w:t>
      </w:r>
      <w:proofErr w:type="spellEnd"/>
      <w:r w:rsidRPr="00731D8C">
        <w:rPr>
          <w:rFonts w:ascii="Arial" w:hAnsi="Arial" w:cs="Arial"/>
          <w:lang w:eastAsia="fr-FR"/>
        </w:rPr>
        <w:t xml:space="preserve"> the intake of added sugars, the type of cooking fats used, and the reliance on industrial seasonings and out-of-home meals, with comparisons between male and female participants.</w:t>
      </w:r>
    </w:p>
    <w:p w14:paraId="0E7A8A96"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
          <w:bCs/>
          <w:lang w:eastAsia="fr-FR"/>
        </w:rPr>
        <w:t xml:space="preserve">Table </w:t>
      </w:r>
      <w:proofErr w:type="gramStart"/>
      <w:r w:rsidRPr="00731D8C">
        <w:rPr>
          <w:rFonts w:ascii="Arial" w:hAnsi="Arial" w:cs="Arial"/>
          <w:b/>
          <w:bCs/>
          <w:lang w:eastAsia="fr-FR"/>
        </w:rPr>
        <w:t>4 :</w:t>
      </w:r>
      <w:proofErr w:type="gramEnd"/>
      <w:r w:rsidRPr="00731D8C">
        <w:rPr>
          <w:rFonts w:ascii="Arial" w:hAnsi="Arial" w:cs="Arial"/>
          <w:b/>
          <w:bCs/>
          <w:lang w:eastAsia="fr-FR"/>
        </w:rPr>
        <w:t xml:space="preserve"> Profile of pro-inflammatory dietary habits by sex (n=363)</w:t>
      </w:r>
    </w:p>
    <w:tbl>
      <w:tblPr>
        <w:tblStyle w:val="TableGrid"/>
        <w:tblW w:w="95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852"/>
        <w:gridCol w:w="1251"/>
        <w:gridCol w:w="1488"/>
        <w:gridCol w:w="1006"/>
      </w:tblGrid>
      <w:tr w:rsidR="00731D8C" w:rsidRPr="00731D8C" w14:paraId="4C83024B" w14:textId="77777777" w:rsidTr="00537802">
        <w:trPr>
          <w:trHeight w:val="552"/>
        </w:trPr>
        <w:tc>
          <w:tcPr>
            <w:tcW w:w="0" w:type="auto"/>
            <w:hideMark/>
          </w:tcPr>
          <w:p w14:paraId="0E2342A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Dietary habit</w:t>
            </w:r>
          </w:p>
        </w:tc>
        <w:tc>
          <w:tcPr>
            <w:tcW w:w="0" w:type="auto"/>
            <w:hideMark/>
          </w:tcPr>
          <w:p w14:paraId="79C005C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56AACE0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Men (n=234)</w:t>
            </w:r>
          </w:p>
        </w:tc>
        <w:tc>
          <w:tcPr>
            <w:tcW w:w="0" w:type="auto"/>
            <w:hideMark/>
          </w:tcPr>
          <w:p w14:paraId="71AFC76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Women (n=129)</w:t>
            </w:r>
          </w:p>
        </w:tc>
        <w:tc>
          <w:tcPr>
            <w:tcW w:w="0" w:type="auto"/>
            <w:hideMark/>
          </w:tcPr>
          <w:p w14:paraId="7F82805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p-value</w:t>
            </w:r>
          </w:p>
        </w:tc>
      </w:tr>
      <w:tr w:rsidR="00731D8C" w:rsidRPr="00731D8C" w14:paraId="6D3748E3" w14:textId="77777777" w:rsidTr="00537802">
        <w:trPr>
          <w:trHeight w:val="563"/>
        </w:trPr>
        <w:tc>
          <w:tcPr>
            <w:tcW w:w="0" w:type="auto"/>
            <w:vMerge w:val="restart"/>
            <w:hideMark/>
          </w:tcPr>
          <w:p w14:paraId="58FBCBFD" w14:textId="77777777" w:rsidR="00731D8C" w:rsidRPr="00731D8C" w:rsidRDefault="00731D8C" w:rsidP="00537802">
            <w:pPr>
              <w:jc w:val="both"/>
              <w:rPr>
                <w:rFonts w:ascii="Arial" w:eastAsia="Times New Roman" w:hAnsi="Arial" w:cs="Arial"/>
                <w:b/>
                <w:bCs/>
                <w:sz w:val="20"/>
                <w:szCs w:val="20"/>
                <w:lang w:eastAsia="fr-FR"/>
              </w:rPr>
            </w:pPr>
          </w:p>
          <w:p w14:paraId="4ECD937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Added sugar Intake</w:t>
            </w:r>
          </w:p>
        </w:tc>
        <w:tc>
          <w:tcPr>
            <w:tcW w:w="0" w:type="auto"/>
            <w:hideMark/>
          </w:tcPr>
          <w:p w14:paraId="3F9ED49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Regular consumption of sugary products</w:t>
            </w:r>
          </w:p>
        </w:tc>
        <w:tc>
          <w:tcPr>
            <w:tcW w:w="0" w:type="auto"/>
            <w:hideMark/>
          </w:tcPr>
          <w:p w14:paraId="4B4E333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206 (88.0%)</w:t>
            </w:r>
          </w:p>
        </w:tc>
        <w:tc>
          <w:tcPr>
            <w:tcW w:w="0" w:type="auto"/>
            <w:hideMark/>
          </w:tcPr>
          <w:p w14:paraId="1210A69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118 (91.5%)</w:t>
            </w:r>
          </w:p>
        </w:tc>
        <w:tc>
          <w:tcPr>
            <w:tcW w:w="0" w:type="auto"/>
            <w:hideMark/>
          </w:tcPr>
          <w:p w14:paraId="23D2E8B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0.32 (NS)</w:t>
            </w:r>
          </w:p>
        </w:tc>
      </w:tr>
      <w:tr w:rsidR="00731D8C" w:rsidRPr="00731D8C" w14:paraId="1D84DF0F" w14:textId="77777777" w:rsidTr="00537802">
        <w:trPr>
          <w:trHeight w:val="563"/>
        </w:trPr>
        <w:tc>
          <w:tcPr>
            <w:tcW w:w="0" w:type="auto"/>
            <w:vMerge/>
            <w:hideMark/>
          </w:tcPr>
          <w:p w14:paraId="7CF42F70"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3ECCC90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i/>
                <w:iCs/>
                <w:sz w:val="20"/>
                <w:szCs w:val="20"/>
                <w:lang w:eastAsia="fr-FR"/>
              </w:rPr>
              <w:t>Source: Sweetened/Energy drinks</w:t>
            </w:r>
          </w:p>
        </w:tc>
        <w:tc>
          <w:tcPr>
            <w:tcW w:w="0" w:type="auto"/>
            <w:hideMark/>
          </w:tcPr>
          <w:p w14:paraId="51482C2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124 (53.0%)</w:t>
            </w:r>
          </w:p>
        </w:tc>
        <w:tc>
          <w:tcPr>
            <w:tcW w:w="0" w:type="auto"/>
            <w:hideMark/>
          </w:tcPr>
          <w:p w14:paraId="58D32A5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44 (34.1%)</w:t>
            </w:r>
          </w:p>
        </w:tc>
        <w:tc>
          <w:tcPr>
            <w:tcW w:w="0" w:type="auto"/>
            <w:hideMark/>
          </w:tcPr>
          <w:p w14:paraId="380B1DD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r w:rsidR="00731D8C" w:rsidRPr="00731D8C" w14:paraId="734A945B" w14:textId="77777777" w:rsidTr="00537802">
        <w:trPr>
          <w:trHeight w:val="552"/>
        </w:trPr>
        <w:tc>
          <w:tcPr>
            <w:tcW w:w="0" w:type="auto"/>
            <w:vMerge w:val="restart"/>
            <w:hideMark/>
          </w:tcPr>
          <w:p w14:paraId="0D6DF208" w14:textId="77777777" w:rsidR="00731D8C" w:rsidRPr="00731D8C" w:rsidRDefault="00731D8C" w:rsidP="00537802">
            <w:pPr>
              <w:jc w:val="both"/>
              <w:rPr>
                <w:rFonts w:ascii="Arial" w:eastAsia="Times New Roman" w:hAnsi="Arial" w:cs="Arial"/>
                <w:b/>
                <w:bCs/>
                <w:sz w:val="20"/>
                <w:szCs w:val="20"/>
                <w:lang w:eastAsia="fr-FR"/>
              </w:rPr>
            </w:pPr>
          </w:p>
          <w:p w14:paraId="4DEADD7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Primary cooking fats</w:t>
            </w:r>
          </w:p>
        </w:tc>
        <w:tc>
          <w:tcPr>
            <w:tcW w:w="0" w:type="auto"/>
            <w:hideMark/>
          </w:tcPr>
          <w:p w14:paraId="46401AA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Palm oil</w:t>
            </w:r>
          </w:p>
        </w:tc>
        <w:tc>
          <w:tcPr>
            <w:tcW w:w="0" w:type="auto"/>
            <w:hideMark/>
          </w:tcPr>
          <w:p w14:paraId="244AE6B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85 (36.3%)</w:t>
            </w:r>
          </w:p>
        </w:tc>
        <w:tc>
          <w:tcPr>
            <w:tcW w:w="0" w:type="auto"/>
            <w:hideMark/>
          </w:tcPr>
          <w:p w14:paraId="6880B0FF"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36 (27.9%)</w:t>
            </w:r>
          </w:p>
        </w:tc>
        <w:tc>
          <w:tcPr>
            <w:tcW w:w="0" w:type="auto"/>
            <w:hideMark/>
          </w:tcPr>
          <w:p w14:paraId="2C13164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0.11 (NS)</w:t>
            </w:r>
          </w:p>
        </w:tc>
      </w:tr>
      <w:tr w:rsidR="00731D8C" w:rsidRPr="00731D8C" w14:paraId="6E766E09" w14:textId="77777777" w:rsidTr="00537802">
        <w:trPr>
          <w:trHeight w:val="563"/>
        </w:trPr>
        <w:tc>
          <w:tcPr>
            <w:tcW w:w="0" w:type="auto"/>
            <w:vMerge/>
            <w:hideMark/>
          </w:tcPr>
          <w:p w14:paraId="0F2A5CD9"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6738B8F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Refined oil</w:t>
            </w:r>
          </w:p>
        </w:tc>
        <w:tc>
          <w:tcPr>
            <w:tcW w:w="0" w:type="auto"/>
            <w:hideMark/>
          </w:tcPr>
          <w:p w14:paraId="061D98A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142 (60.7%)</w:t>
            </w:r>
          </w:p>
        </w:tc>
        <w:tc>
          <w:tcPr>
            <w:tcW w:w="0" w:type="auto"/>
            <w:hideMark/>
          </w:tcPr>
          <w:p w14:paraId="38770BB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73 (56.6%)</w:t>
            </w:r>
          </w:p>
        </w:tc>
        <w:tc>
          <w:tcPr>
            <w:tcW w:w="0" w:type="auto"/>
            <w:hideMark/>
          </w:tcPr>
          <w:p w14:paraId="4A09A11B"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0.46 (NS)</w:t>
            </w:r>
          </w:p>
        </w:tc>
      </w:tr>
      <w:tr w:rsidR="00731D8C" w:rsidRPr="00731D8C" w14:paraId="4F5B50AC" w14:textId="77777777" w:rsidTr="00537802">
        <w:trPr>
          <w:trHeight w:val="563"/>
        </w:trPr>
        <w:tc>
          <w:tcPr>
            <w:tcW w:w="0" w:type="auto"/>
            <w:hideMark/>
          </w:tcPr>
          <w:p w14:paraId="50683851"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Seasoning</w:t>
            </w:r>
          </w:p>
        </w:tc>
        <w:tc>
          <w:tcPr>
            <w:tcW w:w="0" w:type="auto"/>
            <w:hideMark/>
          </w:tcPr>
          <w:p w14:paraId="49456EB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Use of Industrial Bouillon Cubes</w:t>
            </w:r>
          </w:p>
        </w:tc>
        <w:tc>
          <w:tcPr>
            <w:tcW w:w="0" w:type="auto"/>
            <w:hideMark/>
          </w:tcPr>
          <w:p w14:paraId="07B6376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202 (86.3%)</w:t>
            </w:r>
          </w:p>
        </w:tc>
        <w:tc>
          <w:tcPr>
            <w:tcW w:w="0" w:type="auto"/>
            <w:hideMark/>
          </w:tcPr>
          <w:p w14:paraId="74785616"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121 (93.8%)</w:t>
            </w:r>
          </w:p>
        </w:tc>
        <w:tc>
          <w:tcPr>
            <w:tcW w:w="0" w:type="auto"/>
            <w:hideMark/>
          </w:tcPr>
          <w:p w14:paraId="478B8AD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&lt;0.05</w:t>
            </w:r>
          </w:p>
        </w:tc>
      </w:tr>
      <w:tr w:rsidR="00731D8C" w:rsidRPr="00731D8C" w14:paraId="09E15606" w14:textId="77777777" w:rsidTr="00537802">
        <w:trPr>
          <w:trHeight w:val="552"/>
        </w:trPr>
        <w:tc>
          <w:tcPr>
            <w:tcW w:w="0" w:type="auto"/>
            <w:hideMark/>
          </w:tcPr>
          <w:p w14:paraId="7D32B12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Meal Source</w:t>
            </w:r>
          </w:p>
        </w:tc>
        <w:tc>
          <w:tcPr>
            <w:tcW w:w="0" w:type="auto"/>
            <w:hideMark/>
          </w:tcPr>
          <w:p w14:paraId="1CC2D067"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Regular consumption of out-of-home "street food"</w:t>
            </w:r>
          </w:p>
        </w:tc>
        <w:tc>
          <w:tcPr>
            <w:tcW w:w="0" w:type="auto"/>
            <w:hideMark/>
          </w:tcPr>
          <w:p w14:paraId="78C1D1E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180 (76.9%)</w:t>
            </w:r>
          </w:p>
        </w:tc>
        <w:tc>
          <w:tcPr>
            <w:tcW w:w="0" w:type="auto"/>
            <w:hideMark/>
          </w:tcPr>
          <w:p w14:paraId="3E9ED75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99 (76.7%)</w:t>
            </w:r>
          </w:p>
        </w:tc>
        <w:tc>
          <w:tcPr>
            <w:tcW w:w="0" w:type="auto"/>
            <w:hideMark/>
          </w:tcPr>
          <w:p w14:paraId="6EB7526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0.96 (NS)</w:t>
            </w:r>
          </w:p>
        </w:tc>
      </w:tr>
    </w:tbl>
    <w:p w14:paraId="24ADC992"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dietary patterns detailed in </w:t>
      </w:r>
      <w:r w:rsidRPr="00731D8C">
        <w:rPr>
          <w:rFonts w:ascii="Arial" w:hAnsi="Arial" w:cs="Arial"/>
          <w:bCs/>
          <w:lang w:eastAsia="fr-FR"/>
        </w:rPr>
        <w:t>Table 4</w:t>
      </w:r>
      <w:r w:rsidRPr="00731D8C">
        <w:rPr>
          <w:rFonts w:ascii="Arial" w:hAnsi="Arial" w:cs="Arial"/>
          <w:lang w:eastAsia="fr-FR"/>
        </w:rPr>
        <w:t xml:space="preserve"> provide a clear etiological basis for the metabolic dysfunction observed in the cohort. The data reveals a dietary signature that is unequivocally pro</w:t>
      </w:r>
      <w:r w:rsidRPr="00731D8C">
        <w:rPr>
          <w:rFonts w:ascii="Arial" w:hAnsi="Arial" w:cs="Arial"/>
          <w:bCs/>
          <w:lang w:eastAsia="fr-FR"/>
        </w:rPr>
        <w:t>-inflammatory and metabolically disruptive</w:t>
      </w:r>
      <w:r w:rsidRPr="00731D8C">
        <w:rPr>
          <w:rFonts w:ascii="Arial" w:hAnsi="Arial" w:cs="Arial"/>
          <w:lang w:eastAsia="fr-FR"/>
        </w:rPr>
        <w:t xml:space="preserve">. The consumption of added sugars is nearly universal, with a notable and significantly higher intake of sweetened and energy drinks among men. This high fructose load is a primary driver of </w:t>
      </w:r>
      <w:r w:rsidRPr="00731D8C">
        <w:rPr>
          <w:rFonts w:ascii="Arial" w:hAnsi="Arial" w:cs="Arial"/>
          <w:i/>
          <w:iCs/>
          <w:lang w:eastAsia="fr-FR"/>
        </w:rPr>
        <w:t>de novo</w:t>
      </w:r>
      <w:r w:rsidRPr="00731D8C">
        <w:rPr>
          <w:rFonts w:ascii="Arial" w:hAnsi="Arial" w:cs="Arial"/>
          <w:lang w:eastAsia="fr-FR"/>
        </w:rPr>
        <w:t xml:space="preserve"> lipogenesis and hepatic steatosis. The reliance on cooking fats such as palm oil and other refined oils contributes a high load of saturated and potentially inflammatory fatty acids. Furthermore, the quasi-universal use of industrial bouillon cubes, reported by nearly 90% of the cohort, ensures a high intake of sodium and other additives, which is particularly detrimental for patients at risk of fluid retention. Crucially, the heavy dependence on out-of-home street food (76.9%) consolidates these risks, as it implies a systemic loss of control over the quality and quantity of ingredients consumed. This dietary profile is a powerful catalyst that likely fuels the steatosis and visceral obesity identified as central to the patients' pathology.</w:t>
      </w:r>
    </w:p>
    <w:p w14:paraId="3A1AB204" w14:textId="77777777" w:rsidR="00731D8C" w:rsidRPr="00731D8C" w:rsidRDefault="00731D8C" w:rsidP="00731D8C">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t>Discussion</w:t>
      </w:r>
    </w:p>
    <w:p w14:paraId="2D2C2456"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This study provides a compelling clinical snapshot of the "dual burden" facing patients with chronic hepatitis in Lomé, where a high-endemicity infectious disease converges with profound metabolic dysfunction. Our results confirm the continued predominance of Hepatitis B Virus (HBV) as the primary etiology, accounting for 81.5% of cases in our cohort. Critically, this viral pathology is superimposed with a remarkably high prevalence of metabolic comorbidities. This is underscored by the key finding that more than half of the patients (55.2%) exhibited hepatic steatosis on ultrasonography, indicating a significant and concurrent burden of fatty liver disease. This observation sets the stage for understanding the potential synergy between viral and metabolic injury in accelerating liver disease progression in this population</w:t>
      </w:r>
    </w:p>
    <w:p w14:paraId="117ACBC4"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findings of this study illuminate the complex clinical reality facing patients with chronic hepatitis in Lomé, which is defined by a "dual burden" of infectious disease and metabolic dysregulation. Our results confirm the continued high endemicity of HBV in Togo, but the novelty and critical importance of our work lie in the demonstration of a synergistic </w:t>
      </w:r>
      <w:r w:rsidR="0067382D" w:rsidRPr="00731D8C">
        <w:rPr>
          <w:rFonts w:ascii="Arial" w:hAnsi="Arial" w:cs="Arial"/>
          <w:lang w:eastAsia="fr-FR"/>
        </w:rPr>
        <w:t>threat:</w:t>
      </w:r>
      <w:r w:rsidRPr="00731D8C">
        <w:rPr>
          <w:rFonts w:ascii="Arial" w:hAnsi="Arial" w:cs="Arial"/>
          <w:lang w:eastAsia="fr-FR"/>
        </w:rPr>
        <w:t xml:space="preserve"> the convergence of this viral aggression with a highly prevalent, diet-driven metabolic dysfunction, evidenced by the 55.2% rate of hepatic steatosis. This interaction likely </w:t>
      </w:r>
      <w:r w:rsidRPr="00731D8C">
        <w:rPr>
          <w:rFonts w:ascii="Arial" w:hAnsi="Arial" w:cs="Arial"/>
          <w:lang w:eastAsia="fr-FR"/>
        </w:rPr>
        <w:lastRenderedPageBreak/>
        <w:t xml:space="preserve">creates a vicious cycle, where viral inflammation and metabolic </w:t>
      </w:r>
      <w:proofErr w:type="spellStart"/>
      <w:r w:rsidRPr="00731D8C">
        <w:rPr>
          <w:rFonts w:ascii="Arial" w:hAnsi="Arial" w:cs="Arial"/>
          <w:lang w:eastAsia="fr-FR"/>
        </w:rPr>
        <w:t>lipotoxicity</w:t>
      </w:r>
      <w:proofErr w:type="spellEnd"/>
      <w:r w:rsidRPr="00731D8C">
        <w:rPr>
          <w:rFonts w:ascii="Arial" w:hAnsi="Arial" w:cs="Arial"/>
          <w:lang w:eastAsia="fr-FR"/>
        </w:rPr>
        <w:t xml:space="preserve"> potentiate one another, accelerating the progression towards advanced liver disease.</w:t>
      </w:r>
    </w:p>
    <w:p w14:paraId="2EE7CD7C"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most critical finding of this research is the unmasking of a widespread sarcopenic obesity phenotype, a perilous nutritional paradox defined by the coexistence of high visceral adiposity with significant protein-energy malnutrition [Cruz-Jentoft et al., 2019]. This condition, characteristic of an advanced nutritional transition, launches a dual pathophysiological assault on the patient with chronic liver disease. On one hand, the excess visceral adipose tissue functions not as an inert energy store but as a metabolically active organ secreting a spectrum of pro-inflammatory adipokines, such as TNF-α and IL-6, which perpetuate a state of chronic low-grade inflammation and drive systemic insulin resistance [Fain, 2010]. This creates an aggressive lipotoxic milieu within the liver, which is further aggravated by the persistent inflammation from the underlying viral hepatitis, establishing a vicious cycle that accelerates liver injury [Cruz-Jentoft et al., 2019]. On the other hand, the concomitant sarcopenia reflects a profound catabolic state that compromises not only functional capacity but also critical hepatic support functions, notably ammonia detoxification [Wong &amp; Chan, </w:t>
      </w:r>
      <w:r w:rsidR="0067382D" w:rsidRPr="00731D8C">
        <w:rPr>
          <w:rFonts w:ascii="Arial" w:hAnsi="Arial" w:cs="Arial"/>
          <w:lang w:eastAsia="fr-FR"/>
        </w:rPr>
        <w:t>2017;</w:t>
      </w:r>
      <w:r w:rsidRPr="00731D8C">
        <w:rPr>
          <w:rFonts w:ascii="Arial" w:hAnsi="Arial" w:cs="Arial"/>
          <w:lang w:eastAsia="fr-FR"/>
        </w:rPr>
        <w:t xml:space="preserve">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 Consequently, sarcopenia has been firmly established as a potent, independent predictor of morbidity, decompensation, and mortality in patients with chronic liver disease, regardless of their BMI classification [Montano-Loza et al., </w:t>
      </w:r>
      <w:r w:rsidR="0067382D" w:rsidRPr="00731D8C">
        <w:rPr>
          <w:rFonts w:ascii="Arial" w:hAnsi="Arial" w:cs="Arial"/>
          <w:lang w:eastAsia="fr-FR"/>
        </w:rPr>
        <w:t>2012;</w:t>
      </w:r>
      <w:r w:rsidRPr="00731D8C">
        <w:rPr>
          <w:rFonts w:ascii="Arial" w:hAnsi="Arial" w:cs="Arial"/>
          <w:lang w:eastAsia="fr-FR"/>
        </w:rPr>
        <w:t xml:space="preserve"> Meza-Junco et al., 2013]. These findings powerfully demonstrate the inadequacy of the Body Mass Index as a standalone assessment tool in this population. By classifying the majority of these high-risk patients as having a "normal" or "overweight" status, BMI effectively masks the underlying dual pathology of muscle loss and dangerous visceral fat accumulation [Prentice &amp; Jebb, 2001]. This argue forcefully for an urgent evolution in clinical practice towards the routine integration of more sophisticated body composition analysis to accurately identify and manage patients at the highest metabolic risk [Prentice &amp; Jebb, 2001]. Concurrently, the metabolic insults stemming from a pro-inflammatory diet drive ectopic fat deposition. This creates a vicious cycle where viral-induced inflammation potentiates metabolic dysfunction, and </w:t>
      </w:r>
      <w:proofErr w:type="spellStart"/>
      <w:r w:rsidRPr="00731D8C">
        <w:rPr>
          <w:rFonts w:ascii="Arial" w:hAnsi="Arial" w:cs="Arial"/>
          <w:lang w:eastAsia="fr-FR"/>
        </w:rPr>
        <w:t>lipotoxicity</w:t>
      </w:r>
      <w:proofErr w:type="spellEnd"/>
      <w:r w:rsidRPr="00731D8C">
        <w:rPr>
          <w:rFonts w:ascii="Arial" w:hAnsi="Arial" w:cs="Arial"/>
          <w:lang w:eastAsia="fr-FR"/>
        </w:rPr>
        <w:t xml:space="preserve"> (mediated by the accumulation of cytotoxic lipid species such as ceramides and diacylglycerols) exacerbates liver injury, thereby accelerating the progression towards fibrosis and hepatocellular carcinoma [Wong &amp; Chan, </w:t>
      </w:r>
      <w:r w:rsidR="0067382D" w:rsidRPr="00731D8C">
        <w:rPr>
          <w:rFonts w:ascii="Arial" w:hAnsi="Arial" w:cs="Arial"/>
          <w:lang w:eastAsia="fr-FR"/>
        </w:rPr>
        <w:t>2017;</w:t>
      </w:r>
      <w:r w:rsidRPr="00731D8C">
        <w:rPr>
          <w:rFonts w:ascii="Arial" w:hAnsi="Arial" w:cs="Arial"/>
          <w:lang w:eastAsia="fr-FR"/>
        </w:rPr>
        <w:t xml:space="preserve">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w:t>
      </w:r>
    </w:p>
    <w:p w14:paraId="0DC2D921"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etiology of this adverse metabolic phenotype is clearly linked to the observed dietary patterns, which are characteristic of the nutritional transition occurring across urban Africa [Popkin et al., 2012]. The near-universal consumption of high-sugar products, particularly sweetened beverages, provides a substantial substrate load for hepatic </w:t>
      </w:r>
      <w:r w:rsidRPr="00731D8C">
        <w:rPr>
          <w:rFonts w:ascii="Arial" w:hAnsi="Arial" w:cs="Arial"/>
          <w:i/>
          <w:iCs/>
          <w:lang w:eastAsia="fr-FR"/>
        </w:rPr>
        <w:t>de novo lipogenesis</w:t>
      </w:r>
      <w:r w:rsidRPr="00731D8C">
        <w:rPr>
          <w:rFonts w:ascii="Arial" w:hAnsi="Arial" w:cs="Arial"/>
          <w:lang w:eastAsia="fr-FR"/>
        </w:rPr>
        <w:t xml:space="preserve"> (DNL). The high fructose content of these products potently activates key transcriptional regulators of lipogenesis, such as the Sterol Regulatory Element-Binding Protein-1c (SREBP-1c) and the Carbohydrate-Responsive Element-Binding Protein (</w:t>
      </w:r>
      <w:proofErr w:type="spellStart"/>
      <w:r w:rsidRPr="00731D8C">
        <w:rPr>
          <w:rFonts w:ascii="Arial" w:hAnsi="Arial" w:cs="Arial"/>
          <w:lang w:eastAsia="fr-FR"/>
        </w:rPr>
        <w:t>ChREBP</w:t>
      </w:r>
      <w:proofErr w:type="spellEnd"/>
      <w:r w:rsidRPr="00731D8C">
        <w:rPr>
          <w:rFonts w:ascii="Arial" w:hAnsi="Arial" w:cs="Arial"/>
          <w:lang w:eastAsia="fr-FR"/>
        </w:rPr>
        <w:t xml:space="preserve">), leading directly to the synthesis and accumulation of triglycerides in hepatocytes [Softic et al., 2017]. This is compounded by a high intake of saturated fatty acids from sources like palm oil and the unregulated street food sector, which further contributes to hepatocyte </w:t>
      </w:r>
      <w:proofErr w:type="spellStart"/>
      <w:r w:rsidRPr="00731D8C">
        <w:rPr>
          <w:rFonts w:ascii="Arial" w:hAnsi="Arial" w:cs="Arial"/>
          <w:lang w:eastAsia="fr-FR"/>
        </w:rPr>
        <w:t>lipotoxicity</w:t>
      </w:r>
      <w:proofErr w:type="spellEnd"/>
      <w:r w:rsidRPr="00731D8C">
        <w:rPr>
          <w:rFonts w:ascii="Arial" w:hAnsi="Arial" w:cs="Arial"/>
          <w:lang w:eastAsia="fr-FR"/>
        </w:rPr>
        <w:t xml:space="preserve"> and inflammation. Finally, the quasi-systematic use of industrial bouillon cubes ensures a chronically high sodium load, a critical concern for patients with liver disease who are predisposed to fluid retention and ascites.</w:t>
      </w:r>
    </w:p>
    <w:p w14:paraId="07107A9E" w14:textId="77777777" w:rsidR="00731D8C" w:rsidRPr="00731D8C" w:rsidRDefault="00731D8C" w:rsidP="00731D8C">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t xml:space="preserve">Study limitations  </w:t>
      </w:r>
    </w:p>
    <w:p w14:paraId="1E3CB8A5"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Nonetheless, certain limitations must be acknowledged to contextualize the interpretation of our results. Firstly, the cross-sectional design of the study intrinsically precludes any inference of causality. While we have demonstrated a powerful association between pro-inflammatory dietary patterns, sarcopenic obesity, and the dual burden of viral and metabolic liver insults, the temporal relationship and causal pathways among these variables cannot be definitively established. A longitudinal prospective study is warranted to elucidate the trajectory by which these factors potentiate one another to accelerate the progression of liver disease. Secondly, our dietary evaluation, though detailed, was based on a semi-quantitative food frequency questionnaire. This methodology, while standard, is susceptible to recall bias and may not precisely quantify macronutrient and micronutrient consumption with the same accuracy as weighed food records. Finally, the single-center design, while ensuring a homogenous and well-defined patient group, may limit the generalizability of our findings to the entire Togolese population with chronic hepatitis, particularly those in rural settings or individuals who are not yet integrated into the tertiary care system. Future multi-center, </w:t>
      </w:r>
      <w:r w:rsidRPr="00731D8C">
        <w:rPr>
          <w:rFonts w:ascii="Arial" w:hAnsi="Arial" w:cs="Arial"/>
          <w:lang w:eastAsia="fr-FR"/>
        </w:rPr>
        <w:lastRenderedPageBreak/>
        <w:t>community-based studies would be instrumental in validating these findings across a broader demographic spectrum.</w:t>
      </w:r>
    </w:p>
    <w:p w14:paraId="1A846317"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This methodological constraint highlights a broader, critical challenge in the field. While research has sought to develop more accurate bioelectrical impedance analysis (BIA) predictive equations for populations of African descent [Luke et al., 2013], a significant obstacle </w:t>
      </w:r>
      <w:r w:rsidR="0067382D" w:rsidRPr="00731D8C">
        <w:rPr>
          <w:rFonts w:ascii="Arial" w:hAnsi="Arial" w:cs="Arial"/>
          <w:lang w:eastAsia="fr-FR"/>
        </w:rPr>
        <w:t>remains:</w:t>
      </w:r>
      <w:r w:rsidRPr="00731D8C">
        <w:rPr>
          <w:rFonts w:ascii="Arial" w:hAnsi="Arial" w:cs="Arial"/>
          <w:lang w:eastAsia="fr-FR"/>
        </w:rPr>
        <w:t xml:space="preserve"> the near-total absence of specific normative data for parameters like body fat percentage, visceral fat, and muscle mass in Sub-Saharan African populations. The reference values currently embedded in most devices, such as those derived from the work of Gallagher et al. [2000], were established in cohorts lacking significant African representation, rendering their application in our context problematic. Consequently, in the absence of validated regional standards, clinical interpretation must be approached with caution, prioritizing the longitudinal tracking of an individual's body composition changes over comparisons to these potentially inappropriate norms</w:t>
      </w:r>
    </w:p>
    <w:p w14:paraId="63DA3854" w14:textId="77777777" w:rsidR="00790ADA" w:rsidRPr="00FB3A86" w:rsidRDefault="00790ADA" w:rsidP="00441B6F">
      <w:pPr>
        <w:pStyle w:val="Body"/>
        <w:spacing w:after="0"/>
        <w:rPr>
          <w:rFonts w:ascii="Arial" w:hAnsi="Arial" w:cs="Arial"/>
        </w:rPr>
      </w:pPr>
    </w:p>
    <w:p w14:paraId="45AFD997" w14:textId="77777777" w:rsidR="00B01FCD" w:rsidRDefault="00000F8F" w:rsidP="00B2179F">
      <w:pPr>
        <w:pStyle w:val="ConcHead"/>
        <w:spacing w:after="0"/>
        <w:jc w:val="right"/>
        <w:rPr>
          <w:rFonts w:ascii="Arial" w:hAnsi="Arial" w:cs="Arial"/>
        </w:rPr>
      </w:pPr>
      <w:r>
        <w:rPr>
          <w:rFonts w:ascii="Arial" w:hAnsi="Arial" w:cs="Arial"/>
        </w:rPr>
        <w:t xml:space="preserve">4. </w:t>
      </w:r>
      <w:r w:rsidR="00B01FCD" w:rsidRPr="00FB3A86">
        <w:rPr>
          <w:rFonts w:ascii="Arial" w:hAnsi="Arial" w:cs="Arial"/>
        </w:rPr>
        <w:t>Conclusion</w:t>
      </w:r>
    </w:p>
    <w:p w14:paraId="063B3EFD" w14:textId="77777777" w:rsidR="00731D8C" w:rsidRPr="00731D8C" w:rsidRDefault="00731D8C" w:rsidP="00731D8C">
      <w:pPr>
        <w:pStyle w:val="NormalWeb"/>
        <w:jc w:val="both"/>
        <w:rPr>
          <w:rFonts w:ascii="Arial" w:hAnsi="Arial" w:cs="Arial"/>
          <w:sz w:val="20"/>
          <w:szCs w:val="20"/>
        </w:rPr>
      </w:pPr>
      <w:r w:rsidRPr="00731D8C">
        <w:rPr>
          <w:rStyle w:val="citation-35"/>
          <w:rFonts w:ascii="Arial" w:hAnsi="Arial" w:cs="Arial"/>
          <w:sz w:val="20"/>
          <w:szCs w:val="20"/>
        </w:rPr>
        <w:t xml:space="preserve">This </w:t>
      </w:r>
      <w:proofErr w:type="spellStart"/>
      <w:r w:rsidRPr="00731D8C">
        <w:rPr>
          <w:rStyle w:val="citation-35"/>
          <w:rFonts w:ascii="Arial" w:hAnsi="Arial" w:cs="Arial"/>
          <w:sz w:val="20"/>
          <w:szCs w:val="20"/>
        </w:rPr>
        <w:t>study</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concludes</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that</w:t>
      </w:r>
      <w:proofErr w:type="spellEnd"/>
      <w:r w:rsidRPr="00731D8C">
        <w:rPr>
          <w:rStyle w:val="citation-35"/>
          <w:rFonts w:ascii="Arial" w:hAnsi="Arial" w:cs="Arial"/>
          <w:sz w:val="20"/>
          <w:szCs w:val="20"/>
        </w:rPr>
        <w:t xml:space="preserve"> patients </w:t>
      </w:r>
      <w:proofErr w:type="spellStart"/>
      <w:r w:rsidRPr="00731D8C">
        <w:rPr>
          <w:rStyle w:val="citation-35"/>
          <w:rFonts w:ascii="Arial" w:hAnsi="Arial" w:cs="Arial"/>
          <w:sz w:val="20"/>
          <w:szCs w:val="20"/>
        </w:rPr>
        <w:t>with</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chronic</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hepatitis</w:t>
      </w:r>
      <w:proofErr w:type="spellEnd"/>
      <w:r w:rsidRPr="00731D8C">
        <w:rPr>
          <w:rStyle w:val="citation-35"/>
          <w:rFonts w:ascii="Arial" w:hAnsi="Arial" w:cs="Arial"/>
          <w:sz w:val="20"/>
          <w:szCs w:val="20"/>
        </w:rPr>
        <w:t xml:space="preserve"> in Lomé are </w:t>
      </w:r>
      <w:proofErr w:type="spellStart"/>
      <w:r w:rsidRPr="00731D8C">
        <w:rPr>
          <w:rStyle w:val="citation-35"/>
          <w:rFonts w:ascii="Arial" w:hAnsi="Arial" w:cs="Arial"/>
          <w:sz w:val="20"/>
          <w:szCs w:val="20"/>
        </w:rPr>
        <w:t>navigating</w:t>
      </w:r>
      <w:proofErr w:type="spellEnd"/>
      <w:r w:rsidRPr="00731D8C">
        <w:rPr>
          <w:rStyle w:val="citation-35"/>
          <w:rFonts w:ascii="Arial" w:hAnsi="Arial" w:cs="Arial"/>
          <w:sz w:val="20"/>
          <w:szCs w:val="20"/>
        </w:rPr>
        <w:t xml:space="preserve"> a </w:t>
      </w:r>
      <w:proofErr w:type="spellStart"/>
      <w:r w:rsidRPr="00731D8C">
        <w:rPr>
          <w:rStyle w:val="citation-35"/>
          <w:rFonts w:ascii="Arial" w:hAnsi="Arial" w:cs="Arial"/>
          <w:sz w:val="20"/>
          <w:szCs w:val="20"/>
        </w:rPr>
        <w:t>perilous</w:t>
      </w:r>
      <w:proofErr w:type="spellEnd"/>
      <w:r w:rsidRPr="00731D8C">
        <w:rPr>
          <w:rStyle w:val="citation-35"/>
          <w:rFonts w:ascii="Arial" w:hAnsi="Arial" w:cs="Arial"/>
          <w:sz w:val="20"/>
          <w:szCs w:val="20"/>
        </w:rPr>
        <w:t xml:space="preserve"> and </w:t>
      </w:r>
      <w:proofErr w:type="spellStart"/>
      <w:r w:rsidRPr="00731D8C">
        <w:rPr>
          <w:rStyle w:val="citation-35"/>
          <w:rFonts w:ascii="Arial" w:hAnsi="Arial" w:cs="Arial"/>
          <w:sz w:val="20"/>
          <w:szCs w:val="20"/>
        </w:rPr>
        <w:t>complex</w:t>
      </w:r>
      <w:proofErr w:type="spellEnd"/>
      <w:r w:rsidRPr="00731D8C">
        <w:rPr>
          <w:rStyle w:val="citation-35"/>
          <w:rFonts w:ascii="Arial" w:hAnsi="Arial" w:cs="Arial"/>
          <w:sz w:val="20"/>
          <w:szCs w:val="20"/>
        </w:rPr>
        <w:t xml:space="preserve"> public </w:t>
      </w:r>
      <w:proofErr w:type="spellStart"/>
      <w:r w:rsidRPr="00731D8C">
        <w:rPr>
          <w:rStyle w:val="citation-35"/>
          <w:rFonts w:ascii="Arial" w:hAnsi="Arial" w:cs="Arial"/>
          <w:sz w:val="20"/>
          <w:szCs w:val="20"/>
        </w:rPr>
        <w:t>health</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crisis</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defined</w:t>
      </w:r>
      <w:proofErr w:type="spellEnd"/>
      <w:r w:rsidRPr="00731D8C">
        <w:rPr>
          <w:rStyle w:val="citation-35"/>
          <w:rFonts w:ascii="Arial" w:hAnsi="Arial" w:cs="Arial"/>
          <w:sz w:val="20"/>
          <w:szCs w:val="20"/>
        </w:rPr>
        <w:t xml:space="preserve"> by the convergence of high-</w:t>
      </w:r>
      <w:proofErr w:type="spellStart"/>
      <w:r w:rsidRPr="00731D8C">
        <w:rPr>
          <w:rStyle w:val="citation-35"/>
          <w:rFonts w:ascii="Arial" w:hAnsi="Arial" w:cs="Arial"/>
          <w:sz w:val="20"/>
          <w:szCs w:val="20"/>
        </w:rPr>
        <w:t>endemicity</w:t>
      </w:r>
      <w:proofErr w:type="spellEnd"/>
      <w:r w:rsidRPr="00731D8C">
        <w:rPr>
          <w:rStyle w:val="citation-35"/>
          <w:rFonts w:ascii="Arial" w:hAnsi="Arial" w:cs="Arial"/>
          <w:sz w:val="20"/>
          <w:szCs w:val="20"/>
        </w:rPr>
        <w:t xml:space="preserve"> viral </w:t>
      </w:r>
      <w:proofErr w:type="spellStart"/>
      <w:r w:rsidRPr="00731D8C">
        <w:rPr>
          <w:rStyle w:val="citation-35"/>
          <w:rFonts w:ascii="Arial" w:hAnsi="Arial" w:cs="Arial"/>
          <w:sz w:val="20"/>
          <w:szCs w:val="20"/>
        </w:rPr>
        <w:t>hepatitis</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with</w:t>
      </w:r>
      <w:proofErr w:type="spellEnd"/>
      <w:r w:rsidRPr="00731D8C">
        <w:rPr>
          <w:rStyle w:val="citation-35"/>
          <w:rFonts w:ascii="Arial" w:hAnsi="Arial" w:cs="Arial"/>
          <w:sz w:val="20"/>
          <w:szCs w:val="20"/>
        </w:rPr>
        <w:t xml:space="preserve"> a rampant, </w:t>
      </w:r>
      <w:proofErr w:type="spellStart"/>
      <w:r w:rsidRPr="00731D8C">
        <w:rPr>
          <w:rStyle w:val="citation-35"/>
          <w:rFonts w:ascii="Arial" w:hAnsi="Arial" w:cs="Arial"/>
          <w:sz w:val="20"/>
          <w:szCs w:val="20"/>
        </w:rPr>
        <w:t>diet-driven</w:t>
      </w:r>
      <w:proofErr w:type="spellEnd"/>
      <w:r w:rsidRPr="00731D8C">
        <w:rPr>
          <w:rStyle w:val="citation-35"/>
          <w:rFonts w:ascii="Arial" w:hAnsi="Arial" w:cs="Arial"/>
          <w:sz w:val="20"/>
          <w:szCs w:val="20"/>
        </w:rPr>
        <w:t xml:space="preserve"> </w:t>
      </w:r>
      <w:proofErr w:type="spellStart"/>
      <w:r w:rsidRPr="00731D8C">
        <w:rPr>
          <w:rStyle w:val="citation-35"/>
          <w:rFonts w:ascii="Arial" w:hAnsi="Arial" w:cs="Arial"/>
          <w:sz w:val="20"/>
          <w:szCs w:val="20"/>
        </w:rPr>
        <w:t>metabolic</w:t>
      </w:r>
      <w:proofErr w:type="spellEnd"/>
      <w:r w:rsidRPr="00731D8C">
        <w:rPr>
          <w:rStyle w:val="citation-35"/>
          <w:rFonts w:ascii="Arial" w:hAnsi="Arial" w:cs="Arial"/>
          <w:sz w:val="20"/>
          <w:szCs w:val="20"/>
        </w:rPr>
        <w:t xml:space="preserve"> syndrome</w:t>
      </w:r>
      <w:r w:rsidRPr="00731D8C">
        <w:rPr>
          <w:rFonts w:ascii="Arial" w:hAnsi="Arial" w:cs="Arial"/>
          <w:sz w:val="20"/>
          <w:szCs w:val="20"/>
        </w:rPr>
        <w:t xml:space="preserve">. </w:t>
      </w:r>
      <w:r w:rsidRPr="00731D8C">
        <w:rPr>
          <w:rStyle w:val="citation-34"/>
          <w:rFonts w:ascii="Arial" w:hAnsi="Arial" w:cs="Arial"/>
          <w:sz w:val="20"/>
          <w:szCs w:val="20"/>
        </w:rPr>
        <w:t xml:space="preserve">The </w:t>
      </w:r>
      <w:proofErr w:type="spellStart"/>
      <w:r w:rsidRPr="00731D8C">
        <w:rPr>
          <w:rStyle w:val="citation-34"/>
          <w:rFonts w:ascii="Arial" w:hAnsi="Arial" w:cs="Arial"/>
          <w:sz w:val="20"/>
          <w:szCs w:val="20"/>
        </w:rPr>
        <w:t>investigation's</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critical</w:t>
      </w:r>
      <w:proofErr w:type="spellEnd"/>
      <w:r w:rsidRPr="00731D8C">
        <w:rPr>
          <w:rStyle w:val="citation-34"/>
          <w:rFonts w:ascii="Arial" w:hAnsi="Arial" w:cs="Arial"/>
          <w:sz w:val="20"/>
          <w:szCs w:val="20"/>
        </w:rPr>
        <w:t xml:space="preserve"> contribution </w:t>
      </w:r>
      <w:proofErr w:type="spellStart"/>
      <w:r w:rsidRPr="00731D8C">
        <w:rPr>
          <w:rStyle w:val="citation-34"/>
          <w:rFonts w:ascii="Arial" w:hAnsi="Arial" w:cs="Arial"/>
          <w:sz w:val="20"/>
          <w:szCs w:val="20"/>
        </w:rPr>
        <w:t>is</w:t>
      </w:r>
      <w:proofErr w:type="spellEnd"/>
      <w:r w:rsidRPr="00731D8C">
        <w:rPr>
          <w:rStyle w:val="citation-34"/>
          <w:rFonts w:ascii="Arial" w:hAnsi="Arial" w:cs="Arial"/>
          <w:sz w:val="20"/>
          <w:szCs w:val="20"/>
        </w:rPr>
        <w:t xml:space="preserve"> the </w:t>
      </w:r>
      <w:proofErr w:type="spellStart"/>
      <w:r w:rsidRPr="00731D8C">
        <w:rPr>
          <w:rStyle w:val="citation-34"/>
          <w:rFonts w:ascii="Arial" w:hAnsi="Arial" w:cs="Arial"/>
          <w:sz w:val="20"/>
          <w:szCs w:val="20"/>
        </w:rPr>
        <w:t>unmasking</w:t>
      </w:r>
      <w:proofErr w:type="spellEnd"/>
      <w:r w:rsidRPr="00731D8C">
        <w:rPr>
          <w:rStyle w:val="citation-34"/>
          <w:rFonts w:ascii="Arial" w:hAnsi="Arial" w:cs="Arial"/>
          <w:sz w:val="20"/>
          <w:szCs w:val="20"/>
        </w:rPr>
        <w:t xml:space="preserve"> of a </w:t>
      </w:r>
      <w:proofErr w:type="spellStart"/>
      <w:r w:rsidRPr="00731D8C">
        <w:rPr>
          <w:rStyle w:val="citation-34"/>
          <w:rFonts w:ascii="Arial" w:hAnsi="Arial" w:cs="Arial"/>
          <w:sz w:val="20"/>
          <w:szCs w:val="20"/>
        </w:rPr>
        <w:t>highly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prevalent</w:t>
      </w:r>
      <w:proofErr w:type="spellEnd"/>
      <w:r w:rsidRPr="00731D8C">
        <w:rPr>
          <w:rStyle w:val="citation-34"/>
          <w:rFonts w:ascii="Arial" w:hAnsi="Arial" w:cs="Arial"/>
          <w:sz w:val="20"/>
          <w:szCs w:val="20"/>
        </w:rPr>
        <w:t xml:space="preserve"> and </w:t>
      </w:r>
      <w:proofErr w:type="spellStart"/>
      <w:r w:rsidRPr="00731D8C">
        <w:rPr>
          <w:rStyle w:val="citation-34"/>
          <w:rFonts w:ascii="Arial" w:hAnsi="Arial" w:cs="Arial"/>
          <w:sz w:val="20"/>
          <w:szCs w:val="20"/>
        </w:rPr>
        <w:t>clinically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occult</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sarcopenic</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obesity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phenotype</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a</w:t>
      </w:r>
      <w:proofErr w:type="spellEnd"/>
      <w:r w:rsidRPr="00731D8C">
        <w:rPr>
          <w:rStyle w:val="citation-34"/>
          <w:rFonts w:ascii="Arial" w:hAnsi="Arial" w:cs="Arial"/>
          <w:sz w:val="20"/>
          <w:szCs w:val="20"/>
        </w:rPr>
        <w:t xml:space="preserve"> condition of </w:t>
      </w:r>
      <w:proofErr w:type="spellStart"/>
      <w:r w:rsidRPr="00731D8C">
        <w:rPr>
          <w:rStyle w:val="citation-34"/>
          <w:rFonts w:ascii="Arial" w:hAnsi="Arial" w:cs="Arial"/>
          <w:sz w:val="20"/>
          <w:szCs w:val="20"/>
        </w:rPr>
        <w:t>profound</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prognostic</w:t>
      </w:r>
      <w:proofErr w:type="spellEnd"/>
      <w:r w:rsidRPr="00731D8C">
        <w:rPr>
          <w:rStyle w:val="citation-34"/>
          <w:rFonts w:ascii="Arial" w:hAnsi="Arial" w:cs="Arial"/>
          <w:sz w:val="20"/>
          <w:szCs w:val="20"/>
        </w:rPr>
        <w:t xml:space="preserve"> importance </w:t>
      </w:r>
      <w:proofErr w:type="spellStart"/>
      <w:r w:rsidRPr="00731D8C">
        <w:rPr>
          <w:rStyle w:val="citation-34"/>
          <w:rFonts w:ascii="Arial" w:hAnsi="Arial" w:cs="Arial"/>
          <w:sz w:val="20"/>
          <w:szCs w:val="20"/>
        </w:rPr>
        <w:t>that</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is</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entirely</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masked</w:t>
      </w:r>
      <w:proofErr w:type="spellEnd"/>
      <w:r w:rsidRPr="00731D8C">
        <w:rPr>
          <w:rStyle w:val="citation-34"/>
          <w:rFonts w:ascii="Arial" w:hAnsi="Arial" w:cs="Arial"/>
          <w:sz w:val="20"/>
          <w:szCs w:val="20"/>
        </w:rPr>
        <w:t xml:space="preserve"> by </w:t>
      </w:r>
      <w:proofErr w:type="spellStart"/>
      <w:r w:rsidRPr="00731D8C">
        <w:rPr>
          <w:rStyle w:val="citation-34"/>
          <w:rFonts w:ascii="Arial" w:hAnsi="Arial" w:cs="Arial"/>
          <w:sz w:val="20"/>
          <w:szCs w:val="20"/>
        </w:rPr>
        <w:t>conventional</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anthropometric</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measures</w:t>
      </w:r>
      <w:proofErr w:type="spellEnd"/>
      <w:r w:rsidRPr="00731D8C">
        <w:rPr>
          <w:rStyle w:val="citation-34"/>
          <w:rFonts w:ascii="Arial" w:hAnsi="Arial" w:cs="Arial"/>
          <w:sz w:val="20"/>
          <w:szCs w:val="20"/>
        </w:rPr>
        <w:t xml:space="preserve"> </w:t>
      </w:r>
      <w:proofErr w:type="spellStart"/>
      <w:r w:rsidRPr="00731D8C">
        <w:rPr>
          <w:rStyle w:val="citation-34"/>
          <w:rFonts w:ascii="Arial" w:hAnsi="Arial" w:cs="Arial"/>
          <w:sz w:val="20"/>
          <w:szCs w:val="20"/>
        </w:rPr>
        <w:t>such</w:t>
      </w:r>
      <w:proofErr w:type="spellEnd"/>
      <w:r w:rsidRPr="00731D8C">
        <w:rPr>
          <w:rStyle w:val="citation-34"/>
          <w:rFonts w:ascii="Arial" w:hAnsi="Arial" w:cs="Arial"/>
          <w:sz w:val="20"/>
          <w:szCs w:val="20"/>
        </w:rPr>
        <w:t xml:space="preserve"> as the Body Mass Index (BMI)</w:t>
      </w:r>
      <w:r w:rsidRPr="00731D8C">
        <w:rPr>
          <w:rFonts w:ascii="Arial" w:hAnsi="Arial" w:cs="Arial"/>
          <w:sz w:val="20"/>
          <w:szCs w:val="20"/>
        </w:rPr>
        <w:t xml:space="preserve">. </w:t>
      </w:r>
      <w:r w:rsidRPr="00731D8C">
        <w:rPr>
          <w:rStyle w:val="citation-33"/>
          <w:rFonts w:ascii="Arial" w:hAnsi="Arial" w:cs="Arial"/>
          <w:sz w:val="20"/>
          <w:szCs w:val="20"/>
        </w:rPr>
        <w:t xml:space="preserve">Our </w:t>
      </w:r>
      <w:proofErr w:type="spellStart"/>
      <w:r w:rsidRPr="00731D8C">
        <w:rPr>
          <w:rStyle w:val="citation-33"/>
          <w:rFonts w:ascii="Arial" w:hAnsi="Arial" w:cs="Arial"/>
          <w:sz w:val="20"/>
          <w:szCs w:val="20"/>
        </w:rPr>
        <w:t>findings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demonstrate</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that</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this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dangerous</w:t>
      </w:r>
      <w:proofErr w:type="spellEnd"/>
      <w:r w:rsidRPr="00731D8C">
        <w:rPr>
          <w:rStyle w:val="citation-33"/>
          <w:rFonts w:ascii="Arial" w:hAnsi="Arial" w:cs="Arial"/>
          <w:sz w:val="20"/>
          <w:szCs w:val="20"/>
        </w:rPr>
        <w:t xml:space="preserve"> combination of high </w:t>
      </w:r>
      <w:proofErr w:type="spellStart"/>
      <w:r w:rsidRPr="00731D8C">
        <w:rPr>
          <w:rStyle w:val="citation-33"/>
          <w:rFonts w:ascii="Arial" w:hAnsi="Arial" w:cs="Arial"/>
          <w:sz w:val="20"/>
          <w:szCs w:val="20"/>
        </w:rPr>
        <w:t>visceral</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adiposity</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affecting</w:t>
      </w:r>
      <w:proofErr w:type="spellEnd"/>
      <w:r w:rsidRPr="00731D8C">
        <w:rPr>
          <w:rStyle w:val="citation-33"/>
          <w:rFonts w:ascii="Arial" w:hAnsi="Arial" w:cs="Arial"/>
          <w:sz w:val="20"/>
          <w:szCs w:val="20"/>
        </w:rPr>
        <w:t xml:space="preserve"> up to 76.7% of </w:t>
      </w:r>
      <w:proofErr w:type="spellStart"/>
      <w:r w:rsidRPr="00731D8C">
        <w:rPr>
          <w:rStyle w:val="citation-33"/>
          <w:rFonts w:ascii="Arial" w:hAnsi="Arial" w:cs="Arial"/>
          <w:sz w:val="20"/>
          <w:szCs w:val="20"/>
        </w:rPr>
        <w:t>women</w:t>
      </w:r>
      <w:proofErr w:type="spellEnd"/>
      <w:r w:rsidRPr="00731D8C">
        <w:rPr>
          <w:rStyle w:val="citation-33"/>
          <w:rFonts w:ascii="Arial" w:hAnsi="Arial" w:cs="Arial"/>
          <w:sz w:val="20"/>
          <w:szCs w:val="20"/>
        </w:rPr>
        <w:t xml:space="preserve">) and </w:t>
      </w:r>
      <w:proofErr w:type="spellStart"/>
      <w:r w:rsidRPr="00731D8C">
        <w:rPr>
          <w:rStyle w:val="citation-33"/>
          <w:rFonts w:ascii="Arial" w:hAnsi="Arial" w:cs="Arial"/>
          <w:sz w:val="20"/>
          <w:szCs w:val="20"/>
        </w:rPr>
        <w:t>severe</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protein</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depletion</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observed</w:t>
      </w:r>
      <w:proofErr w:type="spellEnd"/>
      <w:r w:rsidRPr="00731D8C">
        <w:rPr>
          <w:rStyle w:val="citation-33"/>
          <w:rFonts w:ascii="Arial" w:hAnsi="Arial" w:cs="Arial"/>
          <w:sz w:val="20"/>
          <w:szCs w:val="20"/>
        </w:rPr>
        <w:t xml:space="preserve"> in up to 82.9% of </w:t>
      </w:r>
      <w:proofErr w:type="spellStart"/>
      <w:r w:rsidRPr="00731D8C">
        <w:rPr>
          <w:rStyle w:val="citation-33"/>
          <w:rFonts w:ascii="Arial" w:hAnsi="Arial" w:cs="Arial"/>
          <w:sz w:val="20"/>
          <w:szCs w:val="20"/>
        </w:rPr>
        <w:t>women</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is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inextricably</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linked</w:t>
      </w:r>
      <w:proofErr w:type="spellEnd"/>
      <w:r w:rsidRPr="00731D8C">
        <w:rPr>
          <w:rStyle w:val="citation-33"/>
          <w:rFonts w:ascii="Arial" w:hAnsi="Arial" w:cs="Arial"/>
          <w:sz w:val="20"/>
          <w:szCs w:val="20"/>
        </w:rPr>
        <w:t xml:space="preserve"> to a pro-</w:t>
      </w:r>
      <w:proofErr w:type="spellStart"/>
      <w:r w:rsidRPr="00731D8C">
        <w:rPr>
          <w:rStyle w:val="citation-33"/>
          <w:rFonts w:ascii="Arial" w:hAnsi="Arial" w:cs="Arial"/>
          <w:sz w:val="20"/>
          <w:szCs w:val="20"/>
        </w:rPr>
        <w:t>inflammatory</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dietary</w:t>
      </w:r>
      <w:proofErr w:type="spellEnd"/>
      <w:r w:rsidRPr="00731D8C">
        <w:rPr>
          <w:rStyle w:val="citation-33"/>
          <w:rFonts w:ascii="Arial" w:hAnsi="Arial" w:cs="Arial"/>
          <w:sz w:val="20"/>
          <w:szCs w:val="20"/>
        </w:rPr>
        <w:t xml:space="preserve"> signature </w:t>
      </w:r>
      <w:proofErr w:type="spellStart"/>
      <w:r w:rsidRPr="00731D8C">
        <w:rPr>
          <w:rStyle w:val="citation-33"/>
          <w:rFonts w:ascii="Arial" w:hAnsi="Arial" w:cs="Arial"/>
          <w:sz w:val="20"/>
          <w:szCs w:val="20"/>
        </w:rPr>
        <w:t>characteristic</w:t>
      </w:r>
      <w:proofErr w:type="spellEnd"/>
      <w:r w:rsidRPr="00731D8C">
        <w:rPr>
          <w:rStyle w:val="citation-33"/>
          <w:rFonts w:ascii="Arial" w:hAnsi="Arial" w:cs="Arial"/>
          <w:sz w:val="20"/>
          <w:szCs w:val="20"/>
        </w:rPr>
        <w:t xml:space="preserve"> of the </w:t>
      </w:r>
      <w:proofErr w:type="spellStart"/>
      <w:r w:rsidRPr="00731D8C">
        <w:rPr>
          <w:rStyle w:val="citation-33"/>
          <w:rFonts w:ascii="Arial" w:hAnsi="Arial" w:cs="Arial"/>
          <w:sz w:val="20"/>
          <w:szCs w:val="20"/>
        </w:rPr>
        <w:t>region's</w:t>
      </w:r>
      <w:proofErr w:type="spellEnd"/>
      <w:r w:rsidRPr="00731D8C">
        <w:rPr>
          <w:rStyle w:val="citation-33"/>
          <w:rFonts w:ascii="Arial" w:hAnsi="Arial" w:cs="Arial"/>
          <w:sz w:val="20"/>
          <w:szCs w:val="20"/>
        </w:rPr>
        <w:t xml:space="preserve"> </w:t>
      </w:r>
      <w:proofErr w:type="spellStart"/>
      <w:r w:rsidRPr="00731D8C">
        <w:rPr>
          <w:rStyle w:val="citation-33"/>
          <w:rFonts w:ascii="Arial" w:hAnsi="Arial" w:cs="Arial"/>
          <w:sz w:val="20"/>
          <w:szCs w:val="20"/>
        </w:rPr>
        <w:t>nutritional</w:t>
      </w:r>
      <w:proofErr w:type="spellEnd"/>
      <w:r w:rsidRPr="00731D8C">
        <w:rPr>
          <w:rStyle w:val="citation-33"/>
          <w:rFonts w:ascii="Arial" w:hAnsi="Arial" w:cs="Arial"/>
          <w:sz w:val="20"/>
          <w:szCs w:val="20"/>
        </w:rPr>
        <w:t xml:space="preserve"> transition</w:t>
      </w:r>
      <w:r w:rsidRPr="00731D8C">
        <w:rPr>
          <w:rFonts w:ascii="Arial" w:hAnsi="Arial" w:cs="Arial"/>
          <w:sz w:val="20"/>
          <w:szCs w:val="20"/>
        </w:rPr>
        <w:t xml:space="preserve">. </w:t>
      </w:r>
      <w:r w:rsidRPr="00731D8C">
        <w:rPr>
          <w:rStyle w:val="citation-32"/>
          <w:rFonts w:ascii="Arial" w:hAnsi="Arial" w:cs="Arial"/>
          <w:sz w:val="20"/>
          <w:szCs w:val="20"/>
        </w:rPr>
        <w:t xml:space="preserve">This </w:t>
      </w:r>
      <w:proofErr w:type="spellStart"/>
      <w:r w:rsidRPr="00731D8C">
        <w:rPr>
          <w:rStyle w:val="citation-32"/>
          <w:rFonts w:ascii="Arial" w:hAnsi="Arial" w:cs="Arial"/>
          <w:sz w:val="20"/>
          <w:szCs w:val="20"/>
        </w:rPr>
        <w:t>diet</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is</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typified</w:t>
      </w:r>
      <w:proofErr w:type="spellEnd"/>
      <w:r w:rsidRPr="00731D8C">
        <w:rPr>
          <w:rStyle w:val="citation-32"/>
          <w:rFonts w:ascii="Arial" w:hAnsi="Arial" w:cs="Arial"/>
          <w:sz w:val="20"/>
          <w:szCs w:val="20"/>
        </w:rPr>
        <w:t xml:space="preserve"> by the quasi-</w:t>
      </w:r>
      <w:proofErr w:type="spellStart"/>
      <w:r w:rsidRPr="00731D8C">
        <w:rPr>
          <w:rStyle w:val="citation-32"/>
          <w:rFonts w:ascii="Arial" w:hAnsi="Arial" w:cs="Arial"/>
          <w:sz w:val="20"/>
          <w:szCs w:val="20"/>
        </w:rPr>
        <w:t>universal</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consumption</w:t>
      </w:r>
      <w:proofErr w:type="spellEnd"/>
      <w:r w:rsidRPr="00731D8C">
        <w:rPr>
          <w:rStyle w:val="citation-32"/>
          <w:rFonts w:ascii="Arial" w:hAnsi="Arial" w:cs="Arial"/>
          <w:sz w:val="20"/>
          <w:szCs w:val="20"/>
        </w:rPr>
        <w:t xml:space="preserve"> of </w:t>
      </w:r>
      <w:proofErr w:type="spellStart"/>
      <w:r w:rsidRPr="00731D8C">
        <w:rPr>
          <w:rStyle w:val="citation-32"/>
          <w:rFonts w:ascii="Arial" w:hAnsi="Arial" w:cs="Arial"/>
          <w:sz w:val="20"/>
          <w:szCs w:val="20"/>
        </w:rPr>
        <w:t>added</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sugars</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industrial</w:t>
      </w:r>
      <w:proofErr w:type="spellEnd"/>
      <w:r w:rsidRPr="00731D8C">
        <w:rPr>
          <w:rStyle w:val="citation-32"/>
          <w:rFonts w:ascii="Arial" w:hAnsi="Arial" w:cs="Arial"/>
          <w:sz w:val="20"/>
          <w:szCs w:val="20"/>
        </w:rPr>
        <w:t xml:space="preserve"> bouillon cubes, and a </w:t>
      </w:r>
      <w:proofErr w:type="spellStart"/>
      <w:r w:rsidRPr="00731D8C">
        <w:rPr>
          <w:rStyle w:val="citation-32"/>
          <w:rFonts w:ascii="Arial" w:hAnsi="Arial" w:cs="Arial"/>
          <w:sz w:val="20"/>
          <w:szCs w:val="20"/>
        </w:rPr>
        <w:t>heavy</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reliance</w:t>
      </w:r>
      <w:proofErr w:type="spellEnd"/>
      <w:r w:rsidRPr="00731D8C">
        <w:rPr>
          <w:rStyle w:val="citation-32"/>
          <w:rFonts w:ascii="Arial" w:hAnsi="Arial" w:cs="Arial"/>
          <w:sz w:val="20"/>
          <w:szCs w:val="20"/>
        </w:rPr>
        <w:t xml:space="preserve"> on out-of-home "</w:t>
      </w:r>
      <w:proofErr w:type="spellStart"/>
      <w:r w:rsidRPr="00731D8C">
        <w:rPr>
          <w:rStyle w:val="citation-32"/>
          <w:rFonts w:ascii="Arial" w:hAnsi="Arial" w:cs="Arial"/>
          <w:sz w:val="20"/>
          <w:szCs w:val="20"/>
        </w:rPr>
        <w:t>street</w:t>
      </w:r>
      <w:proofErr w:type="spellEnd"/>
      <w:r w:rsidRPr="00731D8C">
        <w:rPr>
          <w:rStyle w:val="citation-32"/>
          <w:rFonts w:ascii="Arial" w:hAnsi="Arial" w:cs="Arial"/>
          <w:sz w:val="20"/>
          <w:szCs w:val="20"/>
        </w:rPr>
        <w:t xml:space="preserve"> </w:t>
      </w:r>
      <w:proofErr w:type="spellStart"/>
      <w:r w:rsidRPr="00731D8C">
        <w:rPr>
          <w:rStyle w:val="citation-32"/>
          <w:rFonts w:ascii="Arial" w:hAnsi="Arial" w:cs="Arial"/>
          <w:sz w:val="20"/>
          <w:szCs w:val="20"/>
        </w:rPr>
        <w:t>food</w:t>
      </w:r>
      <w:proofErr w:type="spellEnd"/>
      <w:r w:rsidRPr="00731D8C">
        <w:rPr>
          <w:rStyle w:val="citation-32"/>
          <w:rFonts w:ascii="Arial" w:hAnsi="Arial" w:cs="Arial"/>
          <w:sz w:val="20"/>
          <w:szCs w:val="20"/>
        </w:rPr>
        <w:t>"</w:t>
      </w:r>
      <w:r w:rsidRPr="00731D8C">
        <w:rPr>
          <w:rFonts w:ascii="Arial" w:hAnsi="Arial" w:cs="Arial"/>
          <w:sz w:val="20"/>
          <w:szCs w:val="20"/>
        </w:rPr>
        <w:t>.</w:t>
      </w:r>
    </w:p>
    <w:p w14:paraId="29EC2E2D" w14:textId="77777777" w:rsidR="00731D8C" w:rsidRPr="00731D8C" w:rsidRDefault="00731D8C" w:rsidP="00731D8C">
      <w:pPr>
        <w:pStyle w:val="NormalWeb"/>
        <w:jc w:val="both"/>
        <w:rPr>
          <w:rFonts w:ascii="Arial" w:hAnsi="Arial" w:cs="Arial"/>
          <w:sz w:val="20"/>
          <w:szCs w:val="20"/>
        </w:rPr>
      </w:pPr>
      <w:r w:rsidRPr="00731D8C">
        <w:rPr>
          <w:rFonts w:ascii="Arial" w:hAnsi="Arial" w:cs="Arial"/>
          <w:sz w:val="20"/>
          <w:szCs w:val="20"/>
        </w:rPr>
        <w:t xml:space="preserve">The </w:t>
      </w:r>
      <w:proofErr w:type="spellStart"/>
      <w:r w:rsidRPr="00731D8C">
        <w:rPr>
          <w:rFonts w:ascii="Arial" w:hAnsi="Arial" w:cs="Arial"/>
          <w:sz w:val="20"/>
          <w:szCs w:val="20"/>
        </w:rPr>
        <w:t>clinical</w:t>
      </w:r>
      <w:proofErr w:type="spellEnd"/>
      <w:r w:rsidRPr="00731D8C">
        <w:rPr>
          <w:rFonts w:ascii="Arial" w:hAnsi="Arial" w:cs="Arial"/>
          <w:sz w:val="20"/>
          <w:szCs w:val="20"/>
        </w:rPr>
        <w:t xml:space="preserve"> implications of </w:t>
      </w:r>
      <w:proofErr w:type="spellStart"/>
      <w:r w:rsidRPr="00731D8C">
        <w:rPr>
          <w:rFonts w:ascii="Arial" w:hAnsi="Arial" w:cs="Arial"/>
          <w:sz w:val="20"/>
          <w:szCs w:val="20"/>
        </w:rPr>
        <w:t>this</w:t>
      </w:r>
      <w:proofErr w:type="spellEnd"/>
      <w:r w:rsidRPr="00731D8C">
        <w:rPr>
          <w:rFonts w:ascii="Arial" w:hAnsi="Arial" w:cs="Arial"/>
          <w:sz w:val="20"/>
          <w:szCs w:val="20"/>
        </w:rPr>
        <w:t xml:space="preserve"> dual </w:t>
      </w:r>
      <w:proofErr w:type="spellStart"/>
      <w:r w:rsidRPr="00731D8C">
        <w:rPr>
          <w:rFonts w:ascii="Arial" w:hAnsi="Arial" w:cs="Arial"/>
          <w:sz w:val="20"/>
          <w:szCs w:val="20"/>
        </w:rPr>
        <w:t>burden</w:t>
      </w:r>
      <w:proofErr w:type="spellEnd"/>
      <w:r w:rsidRPr="00731D8C">
        <w:rPr>
          <w:rFonts w:ascii="Arial" w:hAnsi="Arial" w:cs="Arial"/>
          <w:sz w:val="20"/>
          <w:szCs w:val="20"/>
        </w:rPr>
        <w:t xml:space="preserve"> are </w:t>
      </w:r>
      <w:proofErr w:type="spellStart"/>
      <w:r w:rsidRPr="00731D8C">
        <w:rPr>
          <w:rFonts w:ascii="Arial" w:hAnsi="Arial" w:cs="Arial"/>
          <w:sz w:val="20"/>
          <w:szCs w:val="20"/>
        </w:rPr>
        <w:t>profound</w:t>
      </w:r>
      <w:proofErr w:type="spellEnd"/>
      <w:r w:rsidRPr="00731D8C">
        <w:rPr>
          <w:rFonts w:ascii="Arial" w:hAnsi="Arial" w:cs="Arial"/>
          <w:sz w:val="20"/>
          <w:szCs w:val="20"/>
        </w:rPr>
        <w:t xml:space="preserve">. </w:t>
      </w:r>
      <w:r w:rsidRPr="00731D8C">
        <w:rPr>
          <w:rStyle w:val="citation-31"/>
          <w:rFonts w:ascii="Arial" w:hAnsi="Arial" w:cs="Arial"/>
          <w:sz w:val="20"/>
          <w:szCs w:val="20"/>
        </w:rPr>
        <w:t>The coexistence of viral-</w:t>
      </w:r>
      <w:proofErr w:type="spellStart"/>
      <w:r w:rsidRPr="00731D8C">
        <w:rPr>
          <w:rStyle w:val="citation-31"/>
          <w:rFonts w:ascii="Arial" w:hAnsi="Arial" w:cs="Arial"/>
          <w:sz w:val="20"/>
          <w:szCs w:val="20"/>
        </w:rPr>
        <w:t>mediated</w:t>
      </w:r>
      <w:proofErr w:type="spellEnd"/>
      <w:r w:rsidRPr="00731D8C">
        <w:rPr>
          <w:rStyle w:val="citation-31"/>
          <w:rFonts w:ascii="Arial" w:hAnsi="Arial" w:cs="Arial"/>
          <w:sz w:val="20"/>
          <w:szCs w:val="20"/>
        </w:rPr>
        <w:t xml:space="preserve"> inflammation </w:t>
      </w:r>
      <w:proofErr w:type="spellStart"/>
      <w:r w:rsidRPr="00731D8C">
        <w:rPr>
          <w:rStyle w:val="citation-31"/>
          <w:rFonts w:ascii="Arial" w:hAnsi="Arial" w:cs="Arial"/>
          <w:sz w:val="20"/>
          <w:szCs w:val="20"/>
        </w:rPr>
        <w:t>with</w:t>
      </w:r>
      <w:proofErr w:type="spellEnd"/>
      <w:r w:rsidRPr="00731D8C">
        <w:rPr>
          <w:rStyle w:val="citation-31"/>
          <w:rFonts w:ascii="Arial" w:hAnsi="Arial" w:cs="Arial"/>
          <w:sz w:val="20"/>
          <w:szCs w:val="20"/>
        </w:rPr>
        <w:t xml:space="preserve"> the </w:t>
      </w:r>
      <w:proofErr w:type="spellStart"/>
      <w:r w:rsidRPr="00731D8C">
        <w:rPr>
          <w:rStyle w:val="citation-31"/>
          <w:rFonts w:ascii="Arial" w:hAnsi="Arial" w:cs="Arial"/>
          <w:sz w:val="20"/>
          <w:szCs w:val="20"/>
        </w:rPr>
        <w:t>metabolic</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lipotoxicity</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driven</w:t>
      </w:r>
      <w:proofErr w:type="spellEnd"/>
      <w:r w:rsidRPr="00731D8C">
        <w:rPr>
          <w:rStyle w:val="citation-31"/>
          <w:rFonts w:ascii="Arial" w:hAnsi="Arial" w:cs="Arial"/>
          <w:sz w:val="20"/>
          <w:szCs w:val="20"/>
        </w:rPr>
        <w:t xml:space="preserve"> by </w:t>
      </w:r>
      <w:proofErr w:type="spellStart"/>
      <w:r w:rsidRPr="00731D8C">
        <w:rPr>
          <w:rStyle w:val="citation-31"/>
          <w:rFonts w:ascii="Arial" w:hAnsi="Arial" w:cs="Arial"/>
          <w:sz w:val="20"/>
          <w:szCs w:val="20"/>
        </w:rPr>
        <w:t>hepatic</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steatosis</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present</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in</w:t>
      </w:r>
      <w:proofErr w:type="spellEnd"/>
      <w:r w:rsidRPr="00731D8C">
        <w:rPr>
          <w:rStyle w:val="citation-31"/>
          <w:rFonts w:ascii="Arial" w:hAnsi="Arial" w:cs="Arial"/>
          <w:sz w:val="20"/>
          <w:szCs w:val="20"/>
        </w:rPr>
        <w:t xml:space="preserve"> 55.2% of the </w:t>
      </w:r>
      <w:proofErr w:type="spellStart"/>
      <w:r w:rsidRPr="00731D8C">
        <w:rPr>
          <w:rStyle w:val="citation-31"/>
          <w:rFonts w:ascii="Arial" w:hAnsi="Arial" w:cs="Arial"/>
          <w:sz w:val="20"/>
          <w:szCs w:val="20"/>
        </w:rPr>
        <w:t>cohort</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likely</w:t>
      </w:r>
      <w:proofErr w:type="spellEnd"/>
      <w:r w:rsidRPr="00731D8C">
        <w:rPr>
          <w:rStyle w:val="citation-31"/>
          <w:rFonts w:ascii="Arial" w:hAnsi="Arial" w:cs="Arial"/>
          <w:sz w:val="20"/>
          <w:szCs w:val="20"/>
        </w:rPr>
        <w:t xml:space="preserve"> </w:t>
      </w:r>
      <w:proofErr w:type="spellStart"/>
      <w:r w:rsidRPr="00731D8C">
        <w:rPr>
          <w:rStyle w:val="citation-31"/>
          <w:rFonts w:ascii="Arial" w:hAnsi="Arial" w:cs="Arial"/>
          <w:sz w:val="20"/>
          <w:szCs w:val="20"/>
        </w:rPr>
        <w:t>establishes</w:t>
      </w:r>
      <w:proofErr w:type="spellEnd"/>
      <w:r w:rsidRPr="00731D8C">
        <w:rPr>
          <w:rStyle w:val="citation-31"/>
          <w:rFonts w:ascii="Arial" w:hAnsi="Arial" w:cs="Arial"/>
          <w:sz w:val="20"/>
          <w:szCs w:val="20"/>
        </w:rPr>
        <w:t xml:space="preserve"> a </w:t>
      </w:r>
      <w:proofErr w:type="spellStart"/>
      <w:r w:rsidRPr="00731D8C">
        <w:rPr>
          <w:rStyle w:val="citation-31"/>
          <w:rFonts w:ascii="Arial" w:hAnsi="Arial" w:cs="Arial"/>
          <w:sz w:val="20"/>
          <w:szCs w:val="20"/>
        </w:rPr>
        <w:t>vicious</w:t>
      </w:r>
      <w:proofErr w:type="spellEnd"/>
      <w:r w:rsidRPr="00731D8C">
        <w:rPr>
          <w:rStyle w:val="citation-31"/>
          <w:rFonts w:ascii="Arial" w:hAnsi="Arial" w:cs="Arial"/>
          <w:sz w:val="20"/>
          <w:szCs w:val="20"/>
        </w:rPr>
        <w:t xml:space="preserve"> cycle</w:t>
      </w:r>
      <w:r w:rsidRPr="00731D8C">
        <w:rPr>
          <w:rFonts w:ascii="Arial" w:hAnsi="Arial" w:cs="Arial"/>
          <w:sz w:val="20"/>
          <w:szCs w:val="20"/>
        </w:rPr>
        <w:t xml:space="preserve">. </w:t>
      </w:r>
      <w:r w:rsidRPr="00731D8C">
        <w:rPr>
          <w:rStyle w:val="citation-30"/>
          <w:rFonts w:ascii="Arial" w:hAnsi="Arial" w:cs="Arial"/>
          <w:sz w:val="20"/>
          <w:szCs w:val="20"/>
        </w:rPr>
        <w:t xml:space="preserve">This </w:t>
      </w:r>
      <w:proofErr w:type="spellStart"/>
      <w:r w:rsidRPr="00731D8C">
        <w:rPr>
          <w:rStyle w:val="citation-30"/>
          <w:rFonts w:ascii="Arial" w:hAnsi="Arial" w:cs="Arial"/>
          <w:sz w:val="20"/>
          <w:szCs w:val="20"/>
        </w:rPr>
        <w:t>synergy</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potentiates</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liver</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injury</w:t>
      </w:r>
      <w:proofErr w:type="spellEnd"/>
      <w:r w:rsidRPr="00731D8C">
        <w:rPr>
          <w:rStyle w:val="citation-30"/>
          <w:rFonts w:ascii="Arial" w:hAnsi="Arial" w:cs="Arial"/>
          <w:sz w:val="20"/>
          <w:szCs w:val="20"/>
        </w:rPr>
        <w:t xml:space="preserve"> and </w:t>
      </w:r>
      <w:proofErr w:type="spellStart"/>
      <w:r w:rsidRPr="00731D8C">
        <w:rPr>
          <w:rStyle w:val="citation-30"/>
          <w:rFonts w:ascii="Arial" w:hAnsi="Arial" w:cs="Arial"/>
          <w:sz w:val="20"/>
          <w:szCs w:val="20"/>
        </w:rPr>
        <w:t>almost</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certainly</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accelerates</w:t>
      </w:r>
      <w:proofErr w:type="spellEnd"/>
      <w:r w:rsidRPr="00731D8C">
        <w:rPr>
          <w:rStyle w:val="citation-30"/>
          <w:rFonts w:ascii="Arial" w:hAnsi="Arial" w:cs="Arial"/>
          <w:sz w:val="20"/>
          <w:szCs w:val="20"/>
        </w:rPr>
        <w:t xml:space="preserve"> the progression </w:t>
      </w:r>
      <w:proofErr w:type="spellStart"/>
      <w:r w:rsidRPr="00731D8C">
        <w:rPr>
          <w:rStyle w:val="citation-30"/>
          <w:rFonts w:ascii="Arial" w:hAnsi="Arial" w:cs="Arial"/>
          <w:sz w:val="20"/>
          <w:szCs w:val="20"/>
        </w:rPr>
        <w:t>towards</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advanced</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fibrosis</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cirrhosis</w:t>
      </w:r>
      <w:proofErr w:type="spellEnd"/>
      <w:r w:rsidRPr="00731D8C">
        <w:rPr>
          <w:rStyle w:val="citation-30"/>
          <w:rFonts w:ascii="Arial" w:hAnsi="Arial" w:cs="Arial"/>
          <w:sz w:val="20"/>
          <w:szCs w:val="20"/>
        </w:rPr>
        <w:t xml:space="preserve">, and </w:t>
      </w:r>
      <w:proofErr w:type="spellStart"/>
      <w:r w:rsidRPr="00731D8C">
        <w:rPr>
          <w:rStyle w:val="citation-30"/>
          <w:rFonts w:ascii="Arial" w:hAnsi="Arial" w:cs="Arial"/>
          <w:sz w:val="20"/>
          <w:szCs w:val="20"/>
        </w:rPr>
        <w:t>hepatocellular</w:t>
      </w:r>
      <w:proofErr w:type="spellEnd"/>
      <w:r w:rsidRPr="00731D8C">
        <w:rPr>
          <w:rStyle w:val="citation-30"/>
          <w:rFonts w:ascii="Arial" w:hAnsi="Arial" w:cs="Arial"/>
          <w:sz w:val="20"/>
          <w:szCs w:val="20"/>
        </w:rPr>
        <w:t xml:space="preserve"> </w:t>
      </w:r>
      <w:proofErr w:type="spellStart"/>
      <w:r w:rsidRPr="00731D8C">
        <w:rPr>
          <w:rStyle w:val="citation-30"/>
          <w:rFonts w:ascii="Arial" w:hAnsi="Arial" w:cs="Arial"/>
          <w:sz w:val="20"/>
          <w:szCs w:val="20"/>
        </w:rPr>
        <w:t>carcinoma</w:t>
      </w:r>
      <w:proofErr w:type="spellEnd"/>
      <w:r w:rsidRPr="00731D8C">
        <w:rPr>
          <w:rFonts w:ascii="Arial" w:hAnsi="Arial" w:cs="Arial"/>
          <w:sz w:val="20"/>
          <w:szCs w:val="20"/>
        </w:rPr>
        <w:t xml:space="preserve">. </w:t>
      </w:r>
      <w:proofErr w:type="spellStart"/>
      <w:r w:rsidRPr="00731D8C">
        <w:rPr>
          <w:rStyle w:val="citation-29"/>
          <w:rFonts w:ascii="Arial" w:hAnsi="Arial" w:cs="Arial"/>
          <w:sz w:val="20"/>
          <w:szCs w:val="20"/>
        </w:rPr>
        <w:t>Consequently</w:t>
      </w:r>
      <w:proofErr w:type="spellEnd"/>
      <w:r w:rsidRPr="00731D8C">
        <w:rPr>
          <w:rStyle w:val="citation-29"/>
          <w:rFonts w:ascii="Arial" w:hAnsi="Arial" w:cs="Arial"/>
          <w:sz w:val="20"/>
          <w:szCs w:val="20"/>
        </w:rPr>
        <w:t xml:space="preserve">, the </w:t>
      </w:r>
      <w:proofErr w:type="spellStart"/>
      <w:r w:rsidRPr="00731D8C">
        <w:rPr>
          <w:rStyle w:val="citation-29"/>
          <w:rFonts w:ascii="Arial" w:hAnsi="Arial" w:cs="Arial"/>
          <w:sz w:val="20"/>
          <w:szCs w:val="20"/>
        </w:rPr>
        <w:t>continued</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reliance</w:t>
      </w:r>
      <w:proofErr w:type="spellEnd"/>
      <w:r w:rsidRPr="00731D8C">
        <w:rPr>
          <w:rStyle w:val="citation-29"/>
          <w:rFonts w:ascii="Arial" w:hAnsi="Arial" w:cs="Arial"/>
          <w:sz w:val="20"/>
          <w:szCs w:val="20"/>
        </w:rPr>
        <w:t xml:space="preserve"> on BMI </w:t>
      </w:r>
      <w:proofErr w:type="gramStart"/>
      <w:r w:rsidRPr="00731D8C">
        <w:rPr>
          <w:rStyle w:val="citation-29"/>
          <w:rFonts w:ascii="Arial" w:hAnsi="Arial" w:cs="Arial"/>
          <w:sz w:val="20"/>
          <w:szCs w:val="20"/>
        </w:rPr>
        <w:t>as a</w:t>
      </w:r>
      <w:proofErr w:type="gram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primary</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tool</w:t>
      </w:r>
      <w:proofErr w:type="spellEnd"/>
      <w:r w:rsidRPr="00731D8C">
        <w:rPr>
          <w:rStyle w:val="citation-29"/>
          <w:rFonts w:ascii="Arial" w:hAnsi="Arial" w:cs="Arial"/>
          <w:sz w:val="20"/>
          <w:szCs w:val="20"/>
        </w:rPr>
        <w:t xml:space="preserve"> for </w:t>
      </w:r>
      <w:proofErr w:type="spellStart"/>
      <w:r w:rsidRPr="00731D8C">
        <w:rPr>
          <w:rStyle w:val="citation-29"/>
          <w:rFonts w:ascii="Arial" w:hAnsi="Arial" w:cs="Arial"/>
          <w:sz w:val="20"/>
          <w:szCs w:val="20"/>
        </w:rPr>
        <w:t>nutritional</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assessment</w:t>
      </w:r>
      <w:proofErr w:type="spellEnd"/>
      <w:r w:rsidRPr="00731D8C">
        <w:rPr>
          <w:rStyle w:val="citation-29"/>
          <w:rFonts w:ascii="Arial" w:hAnsi="Arial" w:cs="Arial"/>
          <w:sz w:val="20"/>
          <w:szCs w:val="20"/>
        </w:rPr>
        <w:t xml:space="preserve"> in </w:t>
      </w:r>
      <w:proofErr w:type="spellStart"/>
      <w:r w:rsidRPr="00731D8C">
        <w:rPr>
          <w:rStyle w:val="citation-29"/>
          <w:rFonts w:ascii="Arial" w:hAnsi="Arial" w:cs="Arial"/>
          <w:sz w:val="20"/>
          <w:szCs w:val="20"/>
        </w:rPr>
        <w:t>this</w:t>
      </w:r>
      <w:proofErr w:type="spellEnd"/>
      <w:r w:rsidRPr="00731D8C">
        <w:rPr>
          <w:rStyle w:val="citation-29"/>
          <w:rFonts w:ascii="Arial" w:hAnsi="Arial" w:cs="Arial"/>
          <w:sz w:val="20"/>
          <w:szCs w:val="20"/>
        </w:rPr>
        <w:t xml:space="preserve"> population </w:t>
      </w:r>
      <w:proofErr w:type="spellStart"/>
      <w:r w:rsidRPr="00731D8C">
        <w:rPr>
          <w:rStyle w:val="citation-29"/>
          <w:rFonts w:ascii="Arial" w:hAnsi="Arial" w:cs="Arial"/>
          <w:sz w:val="20"/>
          <w:szCs w:val="20"/>
        </w:rPr>
        <w:t>is</w:t>
      </w:r>
      <w:proofErr w:type="spellEnd"/>
      <w:r w:rsidRPr="00731D8C">
        <w:rPr>
          <w:rStyle w:val="citation-29"/>
          <w:rFonts w:ascii="Arial" w:hAnsi="Arial" w:cs="Arial"/>
          <w:sz w:val="20"/>
          <w:szCs w:val="20"/>
        </w:rPr>
        <w:t xml:space="preserve"> not </w:t>
      </w:r>
      <w:proofErr w:type="spellStart"/>
      <w:r w:rsidRPr="00731D8C">
        <w:rPr>
          <w:rStyle w:val="citation-29"/>
          <w:rFonts w:ascii="Arial" w:hAnsi="Arial" w:cs="Arial"/>
          <w:sz w:val="20"/>
          <w:szCs w:val="20"/>
        </w:rPr>
        <w:t>merely</w:t>
      </w:r>
      <w:proofErr w:type="spellEnd"/>
      <w:r w:rsidRPr="00731D8C">
        <w:rPr>
          <w:rStyle w:val="citation-29"/>
          <w:rFonts w:ascii="Arial" w:hAnsi="Arial" w:cs="Arial"/>
          <w:sz w:val="20"/>
          <w:szCs w:val="20"/>
        </w:rPr>
        <w:t xml:space="preserve"> a limitation but a </w:t>
      </w:r>
      <w:proofErr w:type="spellStart"/>
      <w:r w:rsidRPr="00731D8C">
        <w:rPr>
          <w:rStyle w:val="citation-29"/>
          <w:rFonts w:ascii="Arial" w:hAnsi="Arial" w:cs="Arial"/>
          <w:sz w:val="20"/>
          <w:szCs w:val="20"/>
        </w:rPr>
        <w:t>clinical</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failure</w:t>
      </w:r>
      <w:proofErr w:type="spellEnd"/>
      <w:r w:rsidRPr="00731D8C">
        <w:rPr>
          <w:rStyle w:val="citation-29"/>
          <w:rFonts w:ascii="Arial" w:hAnsi="Arial" w:cs="Arial"/>
          <w:sz w:val="20"/>
          <w:szCs w:val="20"/>
        </w:rPr>
        <w:t xml:space="preserve">, as </w:t>
      </w:r>
      <w:proofErr w:type="spellStart"/>
      <w:r w:rsidRPr="00731D8C">
        <w:rPr>
          <w:rStyle w:val="citation-29"/>
          <w:rFonts w:ascii="Arial" w:hAnsi="Arial" w:cs="Arial"/>
          <w:sz w:val="20"/>
          <w:szCs w:val="20"/>
        </w:rPr>
        <w:t>it</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misclassifies</w:t>
      </w:r>
      <w:proofErr w:type="spellEnd"/>
      <w:r w:rsidRPr="00731D8C">
        <w:rPr>
          <w:rStyle w:val="citation-29"/>
          <w:rFonts w:ascii="Arial" w:hAnsi="Arial" w:cs="Arial"/>
          <w:sz w:val="20"/>
          <w:szCs w:val="20"/>
        </w:rPr>
        <w:t xml:space="preserve"> high-</w:t>
      </w:r>
      <w:proofErr w:type="spellStart"/>
      <w:r w:rsidRPr="00731D8C">
        <w:rPr>
          <w:rStyle w:val="citation-29"/>
          <w:rFonts w:ascii="Arial" w:hAnsi="Arial" w:cs="Arial"/>
          <w:sz w:val="20"/>
          <w:szCs w:val="20"/>
        </w:rPr>
        <w:t>risk</w:t>
      </w:r>
      <w:proofErr w:type="spellEnd"/>
      <w:r w:rsidRPr="00731D8C">
        <w:rPr>
          <w:rStyle w:val="citation-29"/>
          <w:rFonts w:ascii="Arial" w:hAnsi="Arial" w:cs="Arial"/>
          <w:sz w:val="20"/>
          <w:szCs w:val="20"/>
        </w:rPr>
        <w:t xml:space="preserve"> </w:t>
      </w:r>
      <w:proofErr w:type="spellStart"/>
      <w:r w:rsidRPr="00731D8C">
        <w:rPr>
          <w:rStyle w:val="citation-29"/>
          <w:rFonts w:ascii="Arial" w:hAnsi="Arial" w:cs="Arial"/>
          <w:sz w:val="20"/>
          <w:szCs w:val="20"/>
        </w:rPr>
        <w:t>individuals</w:t>
      </w:r>
      <w:proofErr w:type="spellEnd"/>
      <w:r w:rsidRPr="00731D8C">
        <w:rPr>
          <w:rStyle w:val="citation-29"/>
          <w:rFonts w:ascii="Arial" w:hAnsi="Arial" w:cs="Arial"/>
          <w:sz w:val="20"/>
          <w:szCs w:val="20"/>
        </w:rPr>
        <w:t xml:space="preserve"> and </w:t>
      </w:r>
      <w:proofErr w:type="spellStart"/>
      <w:r w:rsidRPr="00731D8C">
        <w:rPr>
          <w:rStyle w:val="citation-29"/>
          <w:rFonts w:ascii="Arial" w:hAnsi="Arial" w:cs="Arial"/>
          <w:sz w:val="20"/>
          <w:szCs w:val="20"/>
        </w:rPr>
        <w:t>delays</w:t>
      </w:r>
      <w:proofErr w:type="spellEnd"/>
      <w:r w:rsidRPr="00731D8C">
        <w:rPr>
          <w:rStyle w:val="citation-29"/>
          <w:rFonts w:ascii="Arial" w:hAnsi="Arial" w:cs="Arial"/>
          <w:sz w:val="20"/>
          <w:szCs w:val="20"/>
        </w:rPr>
        <w:t xml:space="preserve"> essential interventions</w:t>
      </w:r>
      <w:r w:rsidRPr="00731D8C">
        <w:rPr>
          <w:rFonts w:ascii="Arial" w:hAnsi="Arial" w:cs="Arial"/>
          <w:sz w:val="20"/>
          <w:szCs w:val="20"/>
        </w:rPr>
        <w:t>.</w:t>
      </w:r>
    </w:p>
    <w:p w14:paraId="64B44C03" w14:textId="77777777" w:rsidR="00790ADA" w:rsidRDefault="00731D8C" w:rsidP="00731D8C">
      <w:pPr>
        <w:pStyle w:val="Body"/>
        <w:spacing w:after="0"/>
        <w:rPr>
          <w:rStyle w:val="citation-24"/>
          <w:rFonts w:ascii="Arial" w:hAnsi="Arial" w:cs="Arial"/>
        </w:rPr>
      </w:pPr>
      <w:r w:rsidRPr="00731D8C">
        <w:rPr>
          <w:rStyle w:val="citation-28"/>
          <w:rFonts w:ascii="Arial" w:hAnsi="Arial" w:cs="Arial"/>
        </w:rPr>
        <w:t>Therefore, a fundamental paradigm shift in the clinical management of chronic hepatitis in this setting is not merely advisable but imperative</w:t>
      </w:r>
      <w:r w:rsidRPr="00731D8C">
        <w:rPr>
          <w:rFonts w:ascii="Arial" w:hAnsi="Arial" w:cs="Arial"/>
        </w:rPr>
        <w:t xml:space="preserve">. </w:t>
      </w:r>
      <w:r w:rsidRPr="00731D8C">
        <w:rPr>
          <w:rStyle w:val="citation-27"/>
          <w:rFonts w:ascii="Arial" w:hAnsi="Arial" w:cs="Arial"/>
        </w:rPr>
        <w:t>Firstly, patient evaluation must evolve beyond crude anthropometry to systematically incorporate body composition analysis as a standard of care to accurately identify the hidden risk of sarcopenic obesity</w:t>
      </w:r>
      <w:r w:rsidRPr="00731D8C">
        <w:rPr>
          <w:rFonts w:ascii="Arial" w:hAnsi="Arial" w:cs="Arial"/>
        </w:rPr>
        <w:t xml:space="preserve">. </w:t>
      </w:r>
      <w:r w:rsidRPr="00731D8C">
        <w:rPr>
          <w:rStyle w:val="citation-26"/>
          <w:rFonts w:ascii="Arial" w:hAnsi="Arial" w:cs="Arial"/>
        </w:rPr>
        <w:t>Secondly, and most critically, nutritional therapy must be elevated from an ancillary recommendation to a central pillar of treatment</w:t>
      </w:r>
      <w:r w:rsidRPr="00731D8C">
        <w:rPr>
          <w:rFonts w:ascii="Arial" w:hAnsi="Arial" w:cs="Arial"/>
        </w:rPr>
        <w:t xml:space="preserve">. </w:t>
      </w:r>
      <w:r w:rsidRPr="00731D8C">
        <w:rPr>
          <w:rStyle w:val="citation-25"/>
          <w:rFonts w:ascii="Arial" w:hAnsi="Arial" w:cs="Arial"/>
        </w:rPr>
        <w:t>This requires the urgent development and implementation of targeted, culturally adapted interventions that directly address the deleterious dietary patterns fueling this dual pathology</w:t>
      </w:r>
      <w:r w:rsidRPr="00731D8C">
        <w:rPr>
          <w:rFonts w:ascii="Arial" w:hAnsi="Arial" w:cs="Arial"/>
        </w:rPr>
        <w:t xml:space="preserve">. </w:t>
      </w:r>
      <w:r w:rsidRPr="00731D8C">
        <w:rPr>
          <w:rStyle w:val="citation-24"/>
          <w:rFonts w:ascii="Arial" w:hAnsi="Arial" w:cs="Arial"/>
        </w:rPr>
        <w:t>Future longitudinal research is essential to definitively establish the causal pathways linking these factors to disease progression, while broader public health initiatives are needed to address the obesogenic environment that underlies this crisis</w:t>
      </w:r>
    </w:p>
    <w:p w14:paraId="73D4FCDB" w14:textId="77777777" w:rsidR="00B2179F" w:rsidRPr="00731D8C" w:rsidRDefault="00B2179F" w:rsidP="00731D8C">
      <w:pPr>
        <w:pStyle w:val="Body"/>
        <w:spacing w:after="0"/>
        <w:rPr>
          <w:rFonts w:ascii="Arial" w:hAnsi="Arial" w:cs="Arial"/>
        </w:rPr>
      </w:pPr>
    </w:p>
    <w:p w14:paraId="775ADC60" w14:textId="77777777" w:rsidR="002B685A" w:rsidRDefault="002B685A" w:rsidP="005B73E9">
      <w:pPr>
        <w:pStyle w:val="ReferHead"/>
        <w:spacing w:after="0"/>
        <w:jc w:val="right"/>
        <w:rPr>
          <w:rFonts w:ascii="Arial" w:hAnsi="Arial" w:cs="Arial"/>
          <w:bCs/>
        </w:rPr>
      </w:pPr>
      <w:r w:rsidRPr="002B685A">
        <w:rPr>
          <w:rFonts w:ascii="Arial" w:hAnsi="Arial" w:cs="Arial"/>
          <w:bCs/>
        </w:rPr>
        <w:t>Consent</w:t>
      </w:r>
      <w:r>
        <w:rPr>
          <w:rFonts w:ascii="Arial" w:hAnsi="Arial" w:cs="Arial"/>
          <w:bCs/>
        </w:rPr>
        <w:t xml:space="preserve"> </w:t>
      </w:r>
    </w:p>
    <w:p w14:paraId="73C53F44" w14:textId="77777777" w:rsidR="0067382D" w:rsidRPr="005B73E9" w:rsidRDefault="0067382D" w:rsidP="0067382D">
      <w:pPr>
        <w:pStyle w:val="ReferHead"/>
        <w:spacing w:after="0"/>
        <w:jc w:val="both"/>
        <w:rPr>
          <w:rFonts w:ascii="Arial" w:hAnsi="Arial" w:cs="Arial"/>
          <w:b w:val="0"/>
          <w:caps w:val="0"/>
          <w:sz w:val="20"/>
          <w:lang w:eastAsia="fr-FR"/>
        </w:rPr>
      </w:pPr>
      <w:r>
        <w:rPr>
          <w:rFonts w:ascii="Arial" w:hAnsi="Arial" w:cs="Arial"/>
          <w:b w:val="0"/>
          <w:caps w:val="0"/>
          <w:sz w:val="20"/>
          <w:lang w:eastAsia="fr-FR"/>
        </w:rPr>
        <w:t>I</w:t>
      </w:r>
      <w:r w:rsidRPr="005B73E9">
        <w:rPr>
          <w:rFonts w:ascii="Arial" w:hAnsi="Arial" w:cs="Arial"/>
          <w:b w:val="0"/>
          <w:caps w:val="0"/>
          <w:sz w:val="20"/>
          <w:lang w:eastAsia="fr-FR"/>
        </w:rPr>
        <w:t>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7118FF39" w14:textId="77777777" w:rsidR="005C784C" w:rsidRDefault="005C784C" w:rsidP="00441B6F">
      <w:pPr>
        <w:pStyle w:val="ReferHead"/>
        <w:spacing w:after="0"/>
        <w:jc w:val="both"/>
        <w:rPr>
          <w:rFonts w:ascii="Arial" w:hAnsi="Arial" w:cs="Arial"/>
          <w:b w:val="0"/>
          <w:caps w:val="0"/>
          <w:sz w:val="20"/>
        </w:rPr>
      </w:pPr>
    </w:p>
    <w:p w14:paraId="670420B8"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4682C28" w14:textId="77777777" w:rsidR="00860000" w:rsidRDefault="00B2179F" w:rsidP="00441B6F">
      <w:pPr>
        <w:pStyle w:val="ReferHead"/>
        <w:spacing w:after="0"/>
        <w:jc w:val="both"/>
        <w:rPr>
          <w:rFonts w:ascii="Arial" w:hAnsi="Arial" w:cs="Arial"/>
          <w:b w:val="0"/>
          <w:caps w:val="0"/>
          <w:sz w:val="20"/>
          <w:lang w:eastAsia="fr-FR"/>
        </w:rPr>
      </w:pPr>
      <w:r w:rsidRPr="005B73E9">
        <w:rPr>
          <w:rFonts w:ascii="Arial" w:hAnsi="Arial" w:cs="Arial"/>
          <w:b w:val="0"/>
          <w:caps w:val="0"/>
          <w:sz w:val="20"/>
          <w:lang w:eastAsia="fr-FR"/>
        </w:rPr>
        <w:t xml:space="preserve">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verbal consent was obtained from individuals who were unable to read or write. this approach was approved by the ethics committee due to </w:t>
      </w:r>
      <w:r w:rsidRPr="005B73E9">
        <w:rPr>
          <w:rFonts w:ascii="Arial" w:hAnsi="Arial" w:cs="Arial"/>
          <w:b w:val="0"/>
          <w:caps w:val="0"/>
          <w:sz w:val="20"/>
          <w:lang w:eastAsia="fr-FR"/>
        </w:rPr>
        <w:lastRenderedPageBreak/>
        <w:t>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4B72B0EE" w14:textId="77777777" w:rsidR="0067382D" w:rsidRPr="005B73E9" w:rsidRDefault="0067382D" w:rsidP="00441B6F">
      <w:pPr>
        <w:pStyle w:val="ReferHead"/>
        <w:spacing w:after="0"/>
        <w:jc w:val="both"/>
        <w:rPr>
          <w:rFonts w:ascii="Arial" w:hAnsi="Arial" w:cs="Arial"/>
          <w:b w:val="0"/>
          <w:caps w:val="0"/>
          <w:sz w:val="20"/>
          <w:lang w:eastAsia="fr-FR"/>
        </w:rPr>
      </w:pPr>
    </w:p>
    <w:p w14:paraId="09FA6F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8EC82E" w14:textId="77777777" w:rsidR="00B2179F" w:rsidRPr="00B2179F" w:rsidRDefault="00B2179F" w:rsidP="00B2179F">
      <w:pPr>
        <w:spacing w:after="210" w:line="360" w:lineRule="auto"/>
        <w:jc w:val="both"/>
        <w:rPr>
          <w:rFonts w:ascii="Arial" w:hAnsi="Arial" w:cs="Arial"/>
        </w:rPr>
      </w:pPr>
      <w:proofErr w:type="spellStart"/>
      <w:r w:rsidRPr="00B2179F">
        <w:rPr>
          <w:rFonts w:ascii="Arial" w:eastAsia="inter" w:hAnsi="Arial" w:cs="Arial"/>
          <w:color w:val="000000"/>
        </w:rPr>
        <w:t>Aminde</w:t>
      </w:r>
      <w:proofErr w:type="spellEnd"/>
      <w:r w:rsidRPr="00B2179F">
        <w:rPr>
          <w:rFonts w:ascii="Arial" w:eastAsia="inter" w:hAnsi="Arial" w:cs="Arial"/>
          <w:color w:val="000000"/>
        </w:rPr>
        <w:t xml:space="preserve">, L. N., </w:t>
      </w:r>
      <w:proofErr w:type="spellStart"/>
      <w:r w:rsidRPr="00B2179F">
        <w:rPr>
          <w:rFonts w:ascii="Arial" w:eastAsia="inter" w:hAnsi="Arial" w:cs="Arial"/>
          <w:color w:val="000000"/>
        </w:rPr>
        <w:t>Tindong</w:t>
      </w:r>
      <w:proofErr w:type="spellEnd"/>
      <w:r w:rsidRPr="00B2179F">
        <w:rPr>
          <w:rFonts w:ascii="Arial" w:eastAsia="inter" w:hAnsi="Arial" w:cs="Arial"/>
          <w:color w:val="000000"/>
        </w:rPr>
        <w:t xml:space="preserve">, M., Ngwasiri, C. A., Ambe, L. A., &amp; </w:t>
      </w:r>
      <w:proofErr w:type="spellStart"/>
      <w:r w:rsidRPr="00B2179F">
        <w:rPr>
          <w:rFonts w:ascii="Arial" w:eastAsia="inter" w:hAnsi="Arial" w:cs="Arial"/>
          <w:color w:val="000000"/>
        </w:rPr>
        <w:t>Njim</w:t>
      </w:r>
      <w:proofErr w:type="spellEnd"/>
      <w:r w:rsidRPr="00B2179F">
        <w:rPr>
          <w:rFonts w:ascii="Arial" w:eastAsia="inter" w:hAnsi="Arial" w:cs="Arial"/>
          <w:color w:val="000000"/>
        </w:rPr>
        <w:t xml:space="preserve">, T. (2017). The epidemiology of metabolic syndrome in </w:t>
      </w:r>
      <w:proofErr w:type="gramStart"/>
      <w:r w:rsidRPr="00B2179F">
        <w:rPr>
          <w:rFonts w:ascii="Arial" w:eastAsia="inter" w:hAnsi="Arial" w:cs="Arial"/>
          <w:color w:val="000000"/>
        </w:rPr>
        <w:t>Cameroon :</w:t>
      </w:r>
      <w:proofErr w:type="gramEnd"/>
      <w:r w:rsidRPr="00B2179F">
        <w:rPr>
          <w:rFonts w:ascii="Arial" w:eastAsia="inter" w:hAnsi="Arial" w:cs="Arial"/>
          <w:color w:val="000000"/>
        </w:rPr>
        <w:t xml:space="preserve"> A systematic review. </w:t>
      </w:r>
      <w:r w:rsidRPr="00B2179F">
        <w:rPr>
          <w:rFonts w:ascii="Arial" w:eastAsia="inter" w:hAnsi="Arial" w:cs="Arial"/>
          <w:i/>
          <w:color w:val="000000"/>
        </w:rPr>
        <w:t>BMC Cardiovascular Disorders, 17</w:t>
      </w:r>
      <w:r w:rsidRPr="00B2179F">
        <w:rPr>
          <w:rFonts w:ascii="Arial" w:eastAsia="inter" w:hAnsi="Arial" w:cs="Arial"/>
          <w:color w:val="000000"/>
        </w:rPr>
        <w:t xml:space="preserve">(1), 44.  </w:t>
      </w:r>
      <w:hyperlink r:id="rId8">
        <w:r w:rsidRPr="00B2179F">
          <w:rPr>
            <w:rFonts w:ascii="Arial" w:eastAsia="inter" w:hAnsi="Arial" w:cs="Arial"/>
            <w:u w:val="single"/>
          </w:rPr>
          <w:t>https://doi.org/10.1186/s12872-017-0476-5</w:t>
        </w:r>
      </w:hyperlink>
      <w:r w:rsidRPr="00B2179F">
        <w:rPr>
          <w:rFonts w:ascii="Arial" w:eastAsia="inter" w:hAnsi="Arial" w:cs="Arial"/>
          <w:u w:val="single"/>
        </w:rPr>
        <w:t xml:space="preserve"> </w:t>
      </w:r>
    </w:p>
    <w:p w14:paraId="6BA2698B" w14:textId="77777777" w:rsidR="00B2179F" w:rsidRPr="00B2179F" w:rsidRDefault="00B2179F" w:rsidP="00B2179F">
      <w:pPr>
        <w:spacing w:after="210" w:line="360" w:lineRule="auto"/>
        <w:jc w:val="both"/>
        <w:rPr>
          <w:rFonts w:ascii="Arial" w:eastAsia="inter" w:hAnsi="Arial" w:cs="Arial"/>
          <w:u w:val="single"/>
        </w:rPr>
      </w:pPr>
      <w:r w:rsidRPr="00B2179F">
        <w:rPr>
          <w:rFonts w:ascii="Arial" w:eastAsia="inter" w:hAnsi="Arial" w:cs="Arial"/>
          <w:color w:val="000000"/>
        </w:rPr>
        <w:t xml:space="preserve">Cruz-Jentoft, A. J., Bahat, G., Bauer, J., </w:t>
      </w:r>
      <w:proofErr w:type="spellStart"/>
      <w:r w:rsidRPr="00B2179F">
        <w:rPr>
          <w:rFonts w:ascii="Arial" w:eastAsia="inter" w:hAnsi="Arial" w:cs="Arial"/>
          <w:color w:val="000000"/>
        </w:rPr>
        <w:t>Boirie</w:t>
      </w:r>
      <w:proofErr w:type="spellEnd"/>
      <w:r w:rsidRPr="00B2179F">
        <w:rPr>
          <w:rFonts w:ascii="Arial" w:eastAsia="inter" w:hAnsi="Arial" w:cs="Arial"/>
          <w:color w:val="000000"/>
        </w:rPr>
        <w:t xml:space="preserve">, Y., Bruyère, O., Cederholm, T., ... &amp; Cesari, M. (2019). </w:t>
      </w:r>
      <w:proofErr w:type="gramStart"/>
      <w:r w:rsidRPr="00B2179F">
        <w:rPr>
          <w:rFonts w:ascii="Arial" w:eastAsia="inter" w:hAnsi="Arial" w:cs="Arial"/>
          <w:color w:val="000000"/>
        </w:rPr>
        <w:t>Sarcopenia :</w:t>
      </w:r>
      <w:proofErr w:type="gramEnd"/>
      <w:r w:rsidRPr="00B2179F">
        <w:rPr>
          <w:rFonts w:ascii="Arial" w:eastAsia="inter" w:hAnsi="Arial" w:cs="Arial"/>
          <w:color w:val="000000"/>
        </w:rPr>
        <w:t xml:space="preserve"> Revised European consensus on definition and diagnosis. </w:t>
      </w:r>
      <w:r w:rsidRPr="00B2179F">
        <w:rPr>
          <w:rFonts w:ascii="Arial" w:eastAsia="inter" w:hAnsi="Arial" w:cs="Arial"/>
          <w:i/>
          <w:color w:val="000000"/>
        </w:rPr>
        <w:t>Age and Ageing, 48</w:t>
      </w:r>
      <w:r w:rsidRPr="00B2179F">
        <w:rPr>
          <w:rFonts w:ascii="Arial" w:eastAsia="inter" w:hAnsi="Arial" w:cs="Arial"/>
          <w:color w:val="000000"/>
        </w:rPr>
        <w:t xml:space="preserve">(1), 16–31. </w:t>
      </w:r>
      <w:hyperlink r:id="rId9">
        <w:r w:rsidRPr="00B2179F">
          <w:rPr>
            <w:rFonts w:ascii="Arial" w:eastAsia="inter" w:hAnsi="Arial" w:cs="Arial"/>
            <w:u w:val="single"/>
          </w:rPr>
          <w:t>https://doi.org/10.1093/ageing/afy169</w:t>
        </w:r>
      </w:hyperlink>
      <w:r w:rsidRPr="00B2179F">
        <w:rPr>
          <w:rFonts w:ascii="Arial" w:eastAsia="inter" w:hAnsi="Arial" w:cs="Arial"/>
          <w:u w:val="single"/>
        </w:rPr>
        <w:t xml:space="preserve"> </w:t>
      </w:r>
    </w:p>
    <w:p w14:paraId="50B7FBB9" w14:textId="77777777" w:rsidR="00B2179F" w:rsidRPr="00B2179F" w:rsidRDefault="00B2179F" w:rsidP="00B2179F">
      <w:pPr>
        <w:spacing w:after="210" w:line="360" w:lineRule="auto"/>
        <w:jc w:val="both"/>
        <w:rPr>
          <w:rFonts w:ascii="Arial" w:hAnsi="Arial" w:cs="Arial"/>
        </w:rPr>
      </w:pPr>
      <w:r w:rsidRPr="00B2179F">
        <w:rPr>
          <w:rFonts w:ascii="Arial" w:hAnsi="Arial" w:cs="Arial"/>
        </w:rPr>
        <w:t xml:space="preserve">Degbe, M., Doh, N., Akakpo, A. W. M., Melila, M., Tete-Benissan, A. K., &amp; </w:t>
      </w:r>
      <w:proofErr w:type="spellStart"/>
      <w:r w:rsidRPr="00B2179F">
        <w:rPr>
          <w:rFonts w:ascii="Arial" w:hAnsi="Arial" w:cs="Arial"/>
        </w:rPr>
        <w:t>Metowogo</w:t>
      </w:r>
      <w:proofErr w:type="spellEnd"/>
      <w:r w:rsidRPr="00B2179F">
        <w:rPr>
          <w:rFonts w:ascii="Arial" w:hAnsi="Arial" w:cs="Arial"/>
        </w:rPr>
        <w:t xml:space="preserve">, K. (2025). Prevalence of hepatitis B and C viral infections among biology undergraduates at the University of Lomé (Togo) and associated risk factors., Int. J. Biol. Chem. Sci., June 2025, Volume 19, Number 3.  </w:t>
      </w:r>
    </w:p>
    <w:p w14:paraId="3D40B65C" w14:textId="77777777" w:rsidR="00B2179F" w:rsidRPr="00B2179F" w:rsidRDefault="00B2179F" w:rsidP="00B2179F">
      <w:pPr>
        <w:spacing w:after="210" w:line="360" w:lineRule="auto"/>
        <w:jc w:val="both"/>
        <w:rPr>
          <w:rFonts w:ascii="Arial" w:eastAsia="inter" w:hAnsi="Arial" w:cs="Arial"/>
          <w:u w:val="single"/>
        </w:rPr>
      </w:pPr>
      <w:r w:rsidRPr="00B2179F">
        <w:rPr>
          <w:rFonts w:ascii="Arial" w:eastAsia="inter" w:hAnsi="Arial" w:cs="Arial"/>
          <w:color w:val="000000"/>
        </w:rPr>
        <w:t xml:space="preserve">Fain, J. N. (2010). Release of inflammatory mediators by human adipose tissue is enhanced in obesity and primarily by the nonfat </w:t>
      </w:r>
      <w:proofErr w:type="gramStart"/>
      <w:r w:rsidRPr="00B2179F">
        <w:rPr>
          <w:rFonts w:ascii="Arial" w:eastAsia="inter" w:hAnsi="Arial" w:cs="Arial"/>
          <w:color w:val="000000"/>
        </w:rPr>
        <w:t>cells :</w:t>
      </w:r>
      <w:proofErr w:type="gramEnd"/>
      <w:r w:rsidRPr="00B2179F">
        <w:rPr>
          <w:rFonts w:ascii="Arial" w:eastAsia="inter" w:hAnsi="Arial" w:cs="Arial"/>
          <w:color w:val="000000"/>
        </w:rPr>
        <w:t xml:space="preserve"> A review. </w:t>
      </w:r>
      <w:r w:rsidRPr="00B2179F">
        <w:rPr>
          <w:rFonts w:ascii="Arial" w:eastAsia="inter" w:hAnsi="Arial" w:cs="Arial"/>
          <w:i/>
          <w:color w:val="000000"/>
        </w:rPr>
        <w:t>Mediators of Inflammation, 2010</w:t>
      </w:r>
      <w:r w:rsidRPr="00B2179F">
        <w:rPr>
          <w:rFonts w:ascii="Arial" w:eastAsia="inter" w:hAnsi="Arial" w:cs="Arial"/>
          <w:color w:val="000000"/>
        </w:rPr>
        <w:t xml:space="preserve">, 513948. </w:t>
      </w:r>
      <w:hyperlink r:id="rId10">
        <w:r w:rsidRPr="00B2179F">
          <w:rPr>
            <w:rFonts w:ascii="Arial" w:eastAsia="inter" w:hAnsi="Arial" w:cs="Arial"/>
            <w:u w:val="single"/>
          </w:rPr>
          <w:t>https://doi.org/10.1155/2010/513948</w:t>
        </w:r>
      </w:hyperlink>
    </w:p>
    <w:p w14:paraId="76A0AC34" w14:textId="77777777" w:rsidR="00B2179F" w:rsidRPr="00B2179F" w:rsidRDefault="00B2179F" w:rsidP="00B2179F">
      <w:pPr>
        <w:spacing w:after="210" w:line="360" w:lineRule="auto"/>
        <w:jc w:val="both"/>
        <w:rPr>
          <w:rFonts w:ascii="Arial" w:hAnsi="Arial" w:cs="Arial"/>
        </w:rPr>
      </w:pPr>
      <w:r w:rsidRPr="00B2179F">
        <w:rPr>
          <w:rFonts w:ascii="Arial" w:hAnsi="Arial" w:cs="Arial"/>
        </w:rPr>
        <w:t xml:space="preserve">Gallagher, D., </w:t>
      </w:r>
      <w:proofErr w:type="spellStart"/>
      <w:r w:rsidRPr="00B2179F">
        <w:rPr>
          <w:rFonts w:ascii="Arial" w:hAnsi="Arial" w:cs="Arial"/>
        </w:rPr>
        <w:t>Heymsfield</w:t>
      </w:r>
      <w:proofErr w:type="spellEnd"/>
      <w:r w:rsidRPr="00B2179F">
        <w:rPr>
          <w:rFonts w:ascii="Arial" w:hAnsi="Arial" w:cs="Arial"/>
        </w:rPr>
        <w:t>, S. B., Heo, M., Jebb, S. A., Murgatroyd, P. R., &amp; Sakamoto, Y. (2000). Healthy percentage body fat ranges: an approach for developing guidelines based on body mass index. The American Journal of Clinical Nutrition, 72(3), 694–701. https://doi.org/10.1093/ajcn/72.3.694</w:t>
      </w:r>
    </w:p>
    <w:p w14:paraId="0CFB3D5B" w14:textId="77777777" w:rsidR="00B2179F" w:rsidRPr="00B2179F" w:rsidRDefault="00B2179F" w:rsidP="00B2179F">
      <w:pPr>
        <w:spacing w:after="210" w:line="360" w:lineRule="auto"/>
        <w:jc w:val="both"/>
        <w:rPr>
          <w:rFonts w:ascii="Arial" w:hAnsi="Arial" w:cs="Arial"/>
        </w:rPr>
      </w:pPr>
      <w:proofErr w:type="spellStart"/>
      <w:r w:rsidRPr="00B2179F">
        <w:rPr>
          <w:rFonts w:ascii="Arial" w:eastAsia="inter" w:hAnsi="Arial" w:cs="Arial"/>
          <w:color w:val="000000"/>
        </w:rPr>
        <w:t>Kouamé</w:t>
      </w:r>
      <w:proofErr w:type="spellEnd"/>
      <w:r w:rsidRPr="00B2179F">
        <w:rPr>
          <w:rFonts w:ascii="Arial" w:eastAsia="inter" w:hAnsi="Arial" w:cs="Arial"/>
          <w:color w:val="000000"/>
        </w:rPr>
        <w:t xml:space="preserve">, C., Faye, A., </w:t>
      </w:r>
      <w:proofErr w:type="spellStart"/>
      <w:r w:rsidRPr="00B2179F">
        <w:rPr>
          <w:rFonts w:ascii="Arial" w:eastAsia="inter" w:hAnsi="Arial" w:cs="Arial"/>
          <w:color w:val="000000"/>
        </w:rPr>
        <w:t>Debonne</w:t>
      </w:r>
      <w:proofErr w:type="spellEnd"/>
      <w:r w:rsidRPr="00B2179F">
        <w:rPr>
          <w:rFonts w:ascii="Arial" w:eastAsia="inter" w:hAnsi="Arial" w:cs="Arial"/>
          <w:color w:val="000000"/>
        </w:rPr>
        <w:t xml:space="preserve">, J. M., Vanga-Bosson, A. H., &amp; N'Dri-Yoman, T. (2021). </w:t>
      </w:r>
      <w:proofErr w:type="spellStart"/>
      <w:r w:rsidRPr="00B2179F">
        <w:rPr>
          <w:rFonts w:ascii="Arial" w:eastAsia="inter" w:hAnsi="Arial" w:cs="Arial"/>
          <w:color w:val="000000"/>
        </w:rPr>
        <w:t>Séroprévalence</w:t>
      </w:r>
      <w:proofErr w:type="spellEnd"/>
      <w:r w:rsidRPr="00B2179F">
        <w:rPr>
          <w:rFonts w:ascii="Arial" w:eastAsia="inter" w:hAnsi="Arial" w:cs="Arial"/>
          <w:color w:val="000000"/>
        </w:rPr>
        <w:t xml:space="preserve"> de </w:t>
      </w:r>
      <w:proofErr w:type="spellStart"/>
      <w:r w:rsidRPr="00B2179F">
        <w:rPr>
          <w:rFonts w:ascii="Arial" w:eastAsia="inter" w:hAnsi="Arial" w:cs="Arial"/>
          <w:color w:val="000000"/>
        </w:rPr>
        <w:t>l’hépatite</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virale</w:t>
      </w:r>
      <w:proofErr w:type="spellEnd"/>
      <w:r w:rsidRPr="00B2179F">
        <w:rPr>
          <w:rFonts w:ascii="Arial" w:eastAsia="inter" w:hAnsi="Arial" w:cs="Arial"/>
          <w:color w:val="000000"/>
        </w:rPr>
        <w:t xml:space="preserve"> B et </w:t>
      </w:r>
      <w:proofErr w:type="spellStart"/>
      <w:r w:rsidRPr="00B2179F">
        <w:rPr>
          <w:rFonts w:ascii="Arial" w:eastAsia="inter" w:hAnsi="Arial" w:cs="Arial"/>
          <w:color w:val="000000"/>
        </w:rPr>
        <w:t>facteurs</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associés</w:t>
      </w:r>
      <w:proofErr w:type="spellEnd"/>
      <w:r w:rsidRPr="00B2179F">
        <w:rPr>
          <w:rFonts w:ascii="Arial" w:eastAsia="inter" w:hAnsi="Arial" w:cs="Arial"/>
          <w:color w:val="000000"/>
        </w:rPr>
        <w:t xml:space="preserve"> chez les </w:t>
      </w:r>
      <w:proofErr w:type="gramStart"/>
      <w:r w:rsidRPr="00B2179F">
        <w:rPr>
          <w:rFonts w:ascii="Arial" w:eastAsia="inter" w:hAnsi="Arial" w:cs="Arial"/>
          <w:color w:val="000000"/>
        </w:rPr>
        <w:t>femmes</w:t>
      </w:r>
      <w:proofErr w:type="gramEnd"/>
      <w:r w:rsidRPr="00B2179F">
        <w:rPr>
          <w:rFonts w:ascii="Arial" w:eastAsia="inter" w:hAnsi="Arial" w:cs="Arial"/>
          <w:color w:val="000000"/>
        </w:rPr>
        <w:t xml:space="preserve"> enceintes à Abidjan, Côte d’Ivoire. </w:t>
      </w:r>
      <w:r w:rsidRPr="00B2179F">
        <w:rPr>
          <w:rFonts w:ascii="Arial" w:eastAsia="inter" w:hAnsi="Arial" w:cs="Arial"/>
          <w:i/>
          <w:color w:val="000000"/>
        </w:rPr>
        <w:t xml:space="preserve">Revue de </w:t>
      </w:r>
      <w:proofErr w:type="spellStart"/>
      <w:r w:rsidRPr="00B2179F">
        <w:rPr>
          <w:rFonts w:ascii="Arial" w:eastAsia="inter" w:hAnsi="Arial" w:cs="Arial"/>
          <w:i/>
          <w:color w:val="000000"/>
        </w:rPr>
        <w:t>Médecine</w:t>
      </w:r>
      <w:proofErr w:type="spellEnd"/>
      <w:r w:rsidRPr="00B2179F">
        <w:rPr>
          <w:rFonts w:ascii="Arial" w:eastAsia="inter" w:hAnsi="Arial" w:cs="Arial"/>
          <w:i/>
          <w:color w:val="000000"/>
        </w:rPr>
        <w:t xml:space="preserve"> et de </w:t>
      </w:r>
      <w:proofErr w:type="spellStart"/>
      <w:r w:rsidRPr="00B2179F">
        <w:rPr>
          <w:rFonts w:ascii="Arial" w:eastAsia="inter" w:hAnsi="Arial" w:cs="Arial"/>
          <w:i/>
          <w:color w:val="000000"/>
        </w:rPr>
        <w:t>Pharmacie</w:t>
      </w:r>
      <w:proofErr w:type="spellEnd"/>
      <w:r w:rsidRPr="00B2179F">
        <w:rPr>
          <w:rFonts w:ascii="Arial" w:eastAsia="inter" w:hAnsi="Arial" w:cs="Arial"/>
          <w:i/>
          <w:color w:val="000000"/>
        </w:rPr>
        <w:t>, 11</w:t>
      </w:r>
      <w:r w:rsidRPr="00B2179F">
        <w:rPr>
          <w:rFonts w:ascii="Arial" w:eastAsia="inter" w:hAnsi="Arial" w:cs="Arial"/>
          <w:color w:val="000000"/>
        </w:rPr>
        <w:t xml:space="preserve">(1).  </w:t>
      </w:r>
    </w:p>
    <w:p w14:paraId="1D6D8648" w14:textId="77777777" w:rsidR="00B2179F" w:rsidRPr="00B2179F" w:rsidRDefault="00B2179F" w:rsidP="00B2179F">
      <w:pPr>
        <w:spacing w:after="210" w:line="360" w:lineRule="auto"/>
        <w:jc w:val="both"/>
        <w:rPr>
          <w:rFonts w:ascii="Arial" w:eastAsia="inter" w:hAnsi="Arial" w:cs="Arial"/>
          <w:color w:val="000000"/>
        </w:rPr>
      </w:pPr>
      <w:r w:rsidRPr="00B2179F">
        <w:rPr>
          <w:rFonts w:ascii="Arial" w:eastAsia="inter" w:hAnsi="Arial" w:cs="Arial"/>
          <w:color w:val="000000"/>
        </w:rPr>
        <w:t xml:space="preserve">Lawson-Ananissah, L. M., </w:t>
      </w:r>
      <w:proofErr w:type="spellStart"/>
      <w:r w:rsidRPr="00B2179F">
        <w:rPr>
          <w:rFonts w:ascii="Arial" w:eastAsia="inter" w:hAnsi="Arial" w:cs="Arial"/>
          <w:color w:val="000000"/>
        </w:rPr>
        <w:t>Bagny</w:t>
      </w:r>
      <w:proofErr w:type="spellEnd"/>
      <w:r w:rsidRPr="00B2179F">
        <w:rPr>
          <w:rFonts w:ascii="Arial" w:eastAsia="inter" w:hAnsi="Arial" w:cs="Arial"/>
          <w:color w:val="000000"/>
        </w:rPr>
        <w:t xml:space="preserve">, A., </w:t>
      </w:r>
      <w:proofErr w:type="spellStart"/>
      <w:r w:rsidRPr="00B2179F">
        <w:rPr>
          <w:rFonts w:ascii="Arial" w:eastAsia="inter" w:hAnsi="Arial" w:cs="Arial"/>
          <w:color w:val="000000"/>
        </w:rPr>
        <w:t>Bouglouga</w:t>
      </w:r>
      <w:proofErr w:type="spellEnd"/>
      <w:r w:rsidRPr="00B2179F">
        <w:rPr>
          <w:rFonts w:ascii="Arial" w:eastAsia="inter" w:hAnsi="Arial" w:cs="Arial"/>
          <w:color w:val="000000"/>
        </w:rPr>
        <w:t xml:space="preserve">, O., Kaaga, L., El-Hadj Yakoubou, R., &amp; Redah, D. (2017). </w:t>
      </w:r>
      <w:proofErr w:type="spellStart"/>
      <w:r w:rsidRPr="00B2179F">
        <w:rPr>
          <w:rFonts w:ascii="Arial" w:eastAsia="inter" w:hAnsi="Arial" w:cs="Arial"/>
          <w:color w:val="000000"/>
        </w:rPr>
        <w:t>Séroprévalence</w:t>
      </w:r>
      <w:proofErr w:type="spellEnd"/>
      <w:r w:rsidRPr="00B2179F">
        <w:rPr>
          <w:rFonts w:ascii="Arial" w:eastAsia="inter" w:hAnsi="Arial" w:cs="Arial"/>
          <w:color w:val="000000"/>
        </w:rPr>
        <w:t xml:space="preserve"> et </w:t>
      </w:r>
      <w:proofErr w:type="spellStart"/>
      <w:r w:rsidRPr="00B2179F">
        <w:rPr>
          <w:rFonts w:ascii="Arial" w:eastAsia="inter" w:hAnsi="Arial" w:cs="Arial"/>
          <w:color w:val="000000"/>
        </w:rPr>
        <w:t>facteurs</w:t>
      </w:r>
      <w:proofErr w:type="spellEnd"/>
      <w:r w:rsidRPr="00B2179F">
        <w:rPr>
          <w:rFonts w:ascii="Arial" w:eastAsia="inter" w:hAnsi="Arial" w:cs="Arial"/>
          <w:color w:val="000000"/>
        </w:rPr>
        <w:t xml:space="preserve"> </w:t>
      </w:r>
      <w:proofErr w:type="spellStart"/>
      <w:r w:rsidRPr="00B2179F">
        <w:rPr>
          <w:rFonts w:ascii="Arial" w:eastAsia="inter" w:hAnsi="Arial" w:cs="Arial"/>
          <w:color w:val="000000"/>
        </w:rPr>
        <w:t>associés</w:t>
      </w:r>
      <w:proofErr w:type="spellEnd"/>
      <w:r w:rsidRPr="00B2179F">
        <w:rPr>
          <w:rFonts w:ascii="Arial" w:eastAsia="inter" w:hAnsi="Arial" w:cs="Arial"/>
          <w:color w:val="000000"/>
        </w:rPr>
        <w:t xml:space="preserve"> à </w:t>
      </w:r>
      <w:proofErr w:type="spellStart"/>
      <w:r w:rsidRPr="00B2179F">
        <w:rPr>
          <w:rFonts w:ascii="Arial" w:eastAsia="inter" w:hAnsi="Arial" w:cs="Arial"/>
          <w:color w:val="000000"/>
        </w:rPr>
        <w:t>l’infection</w:t>
      </w:r>
      <w:proofErr w:type="spellEnd"/>
      <w:r w:rsidRPr="00B2179F">
        <w:rPr>
          <w:rFonts w:ascii="Arial" w:eastAsia="inter" w:hAnsi="Arial" w:cs="Arial"/>
          <w:color w:val="000000"/>
        </w:rPr>
        <w:t xml:space="preserve"> par le virus de </w:t>
      </w:r>
      <w:proofErr w:type="spellStart"/>
      <w:r w:rsidRPr="00B2179F">
        <w:rPr>
          <w:rFonts w:ascii="Arial" w:eastAsia="inter" w:hAnsi="Arial" w:cs="Arial"/>
          <w:color w:val="000000"/>
        </w:rPr>
        <w:t>l’hépatite</w:t>
      </w:r>
      <w:proofErr w:type="spellEnd"/>
      <w:r w:rsidRPr="00B2179F">
        <w:rPr>
          <w:rFonts w:ascii="Arial" w:eastAsia="inter" w:hAnsi="Arial" w:cs="Arial"/>
          <w:color w:val="000000"/>
        </w:rPr>
        <w:t xml:space="preserve"> B dans la population </w:t>
      </w:r>
      <w:proofErr w:type="spellStart"/>
      <w:r w:rsidRPr="00B2179F">
        <w:rPr>
          <w:rFonts w:ascii="Arial" w:eastAsia="inter" w:hAnsi="Arial" w:cs="Arial"/>
          <w:color w:val="000000"/>
        </w:rPr>
        <w:t>générale</w:t>
      </w:r>
      <w:proofErr w:type="spellEnd"/>
      <w:r w:rsidRPr="00B2179F">
        <w:rPr>
          <w:rFonts w:ascii="Arial" w:eastAsia="inter" w:hAnsi="Arial" w:cs="Arial"/>
          <w:color w:val="000000"/>
        </w:rPr>
        <w:t xml:space="preserve"> à Lomé, Togo. </w:t>
      </w:r>
      <w:r w:rsidRPr="00B2179F">
        <w:rPr>
          <w:rFonts w:ascii="Arial" w:eastAsia="inter" w:hAnsi="Arial" w:cs="Arial"/>
          <w:i/>
          <w:color w:val="000000"/>
        </w:rPr>
        <w:t xml:space="preserve">Journal </w:t>
      </w:r>
      <w:proofErr w:type="spellStart"/>
      <w:r w:rsidRPr="00B2179F">
        <w:rPr>
          <w:rFonts w:ascii="Arial" w:eastAsia="inter" w:hAnsi="Arial" w:cs="Arial"/>
          <w:i/>
          <w:color w:val="000000"/>
        </w:rPr>
        <w:t>Africain</w:t>
      </w:r>
      <w:proofErr w:type="spellEnd"/>
      <w:r w:rsidRPr="00B2179F">
        <w:rPr>
          <w:rFonts w:ascii="Arial" w:eastAsia="inter" w:hAnsi="Arial" w:cs="Arial"/>
          <w:i/>
          <w:color w:val="000000"/>
        </w:rPr>
        <w:t xml:space="preserve"> </w:t>
      </w:r>
      <w:proofErr w:type="spellStart"/>
      <w:r w:rsidRPr="00B2179F">
        <w:rPr>
          <w:rFonts w:ascii="Arial" w:eastAsia="inter" w:hAnsi="Arial" w:cs="Arial"/>
          <w:i/>
          <w:color w:val="000000"/>
        </w:rPr>
        <w:t>d'Hépato-Gastroentérologie</w:t>
      </w:r>
      <w:proofErr w:type="spellEnd"/>
      <w:r w:rsidRPr="00B2179F">
        <w:rPr>
          <w:rFonts w:ascii="Arial" w:eastAsia="inter" w:hAnsi="Arial" w:cs="Arial"/>
          <w:i/>
          <w:color w:val="000000"/>
        </w:rPr>
        <w:t>, 11</w:t>
      </w:r>
      <w:r w:rsidRPr="00B2179F">
        <w:rPr>
          <w:rFonts w:ascii="Arial" w:eastAsia="inter" w:hAnsi="Arial" w:cs="Arial"/>
          <w:color w:val="000000"/>
        </w:rPr>
        <w:t xml:space="preserve">(3), 149-154.  </w:t>
      </w:r>
    </w:p>
    <w:p w14:paraId="0DC530CE" w14:textId="77777777" w:rsidR="00B2179F" w:rsidRPr="00B2179F" w:rsidRDefault="00B2179F" w:rsidP="00B2179F">
      <w:pPr>
        <w:spacing w:after="210" w:line="360" w:lineRule="auto"/>
        <w:jc w:val="both"/>
        <w:rPr>
          <w:rFonts w:ascii="Arial" w:hAnsi="Arial" w:cs="Arial"/>
        </w:rPr>
      </w:pPr>
      <w:r w:rsidRPr="00B2179F">
        <w:rPr>
          <w:rFonts w:ascii="Arial" w:hAnsi="Arial" w:cs="Arial"/>
        </w:rPr>
        <w:t>Luke, A., Plange-Rhule, J., Bovet, P., Ruzic, D. J., Forrester, T. E., Dugas, L., Schoeller, D. A., &amp; Cooper, R. S. (2013). Prediction of fat-free mass using bioelectrical impedance analysis in young adults from five populations of African origin. European Journal of Clinical Nutrition, 67(1), 25–31. https://doi.org/10.1038/ejcn.2012.181</w:t>
      </w:r>
    </w:p>
    <w:p w14:paraId="60EE0E99"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Meza-Junco, J., Montano-Loza, A. J., Baracos, V. E., Prado, C. M., Bain, V. G., Beaumont, C., ... &amp; Ma, M. (2013). Sarcopenia as a prognostic index of nutritional status in concurrent listings for liver transplantation. </w:t>
      </w:r>
      <w:r w:rsidRPr="00B2179F">
        <w:rPr>
          <w:rFonts w:ascii="Arial" w:eastAsia="inter" w:hAnsi="Arial" w:cs="Arial"/>
          <w:i/>
          <w:color w:val="000000"/>
        </w:rPr>
        <w:t>Clinical Transplantation, 27</w:t>
      </w:r>
      <w:r w:rsidRPr="00B2179F">
        <w:rPr>
          <w:rFonts w:ascii="Arial" w:eastAsia="inter" w:hAnsi="Arial" w:cs="Arial"/>
          <w:color w:val="000000"/>
        </w:rPr>
        <w:t xml:space="preserve">(5), 723-729. </w:t>
      </w:r>
      <w:hyperlink r:id="rId11">
        <w:r w:rsidRPr="00B2179F">
          <w:rPr>
            <w:rFonts w:ascii="Arial" w:eastAsia="inter" w:hAnsi="Arial" w:cs="Arial"/>
            <w:u w:val="single"/>
          </w:rPr>
          <w:t>https://doi.org/10.1111/ctr.12115</w:t>
        </w:r>
      </w:hyperlink>
    </w:p>
    <w:p w14:paraId="27B2F387"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lastRenderedPageBreak/>
        <w:t xml:space="preserve">Montano-Loza, A. J., Meza-Junco, J., Prado, C. M., Lieffers, J. R., Baracos, V. E., Bain, V. G., &amp; Sawyer, M. B. (2012). Muscle wasting is associated with mortality in patients with cirrhosis. </w:t>
      </w:r>
      <w:r w:rsidRPr="00B2179F">
        <w:rPr>
          <w:rFonts w:ascii="Arial" w:eastAsia="inter" w:hAnsi="Arial" w:cs="Arial"/>
          <w:i/>
          <w:color w:val="000000"/>
        </w:rPr>
        <w:t>Clinical Gastroenterology and Hepatology, 10</w:t>
      </w:r>
      <w:r w:rsidRPr="00B2179F">
        <w:rPr>
          <w:rFonts w:ascii="Arial" w:eastAsia="inter" w:hAnsi="Arial" w:cs="Arial"/>
          <w:color w:val="000000"/>
        </w:rPr>
        <w:t xml:space="preserve">(2), 166–173. </w:t>
      </w:r>
      <w:hyperlink r:id="rId12">
        <w:r w:rsidRPr="00B2179F">
          <w:rPr>
            <w:rFonts w:ascii="Arial" w:eastAsia="inter" w:hAnsi="Arial" w:cs="Arial"/>
            <w:u w:val="single"/>
          </w:rPr>
          <w:t>https://doi.org/10.1016/j.cgh.2011.11.005</w:t>
        </w:r>
      </w:hyperlink>
    </w:p>
    <w:p w14:paraId="173543C2"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Popkin, B. M., Adair, L. S., &amp; Ng, S. W. (2012). Global nutrition transition and the pandemic of obesity in developing countries. </w:t>
      </w:r>
      <w:r w:rsidRPr="00B2179F">
        <w:rPr>
          <w:rFonts w:ascii="Arial" w:eastAsia="inter" w:hAnsi="Arial" w:cs="Arial"/>
          <w:i/>
          <w:color w:val="000000"/>
        </w:rPr>
        <w:t>Nutrition Reviews, 70</w:t>
      </w:r>
      <w:r w:rsidRPr="00B2179F">
        <w:rPr>
          <w:rFonts w:ascii="Arial" w:eastAsia="inter" w:hAnsi="Arial" w:cs="Arial"/>
          <w:color w:val="000000"/>
        </w:rPr>
        <w:t xml:space="preserve">(1), 3–21. </w:t>
      </w:r>
      <w:hyperlink r:id="rId13">
        <w:r w:rsidRPr="00B2179F">
          <w:rPr>
            <w:rFonts w:ascii="Arial" w:eastAsia="inter" w:hAnsi="Arial" w:cs="Arial"/>
            <w:u w:val="single"/>
          </w:rPr>
          <w:t>https://doi.org/10.1111/j.1753-4887.2011.00456.x</w:t>
        </w:r>
      </w:hyperlink>
    </w:p>
    <w:p w14:paraId="7175286A"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Prentice, A. M., &amp; Jebb, S. A. (2001). Beyond body mass index. </w:t>
      </w:r>
      <w:r w:rsidRPr="00B2179F">
        <w:rPr>
          <w:rFonts w:ascii="Arial" w:eastAsia="inter" w:hAnsi="Arial" w:cs="Arial"/>
          <w:i/>
          <w:color w:val="000000"/>
        </w:rPr>
        <w:t>Obesity Reviews, 2</w:t>
      </w:r>
      <w:r w:rsidRPr="00B2179F">
        <w:rPr>
          <w:rFonts w:ascii="Arial" w:eastAsia="inter" w:hAnsi="Arial" w:cs="Arial"/>
          <w:color w:val="000000"/>
        </w:rPr>
        <w:t xml:space="preserve">(3), 141-147. </w:t>
      </w:r>
      <w:hyperlink r:id="rId14">
        <w:r w:rsidRPr="00B2179F">
          <w:rPr>
            <w:rFonts w:ascii="Arial" w:eastAsia="inter" w:hAnsi="Arial" w:cs="Arial"/>
            <w:u w:val="single"/>
          </w:rPr>
          <w:t>https://doi.org/10.1046/j.1467-789x.2001.00033.x</w:t>
        </w:r>
      </w:hyperlink>
    </w:p>
    <w:p w14:paraId="369C5A87"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Sangaré, A. K., Cissé, A. M., Maiga, M., Sidibé, S., Traoré, A., &amp; Guindo, A. (2020). </w:t>
      </w:r>
      <w:proofErr w:type="spellStart"/>
      <w:r w:rsidRPr="00B2179F">
        <w:rPr>
          <w:rFonts w:ascii="Arial" w:eastAsia="inter" w:hAnsi="Arial" w:cs="Arial"/>
          <w:color w:val="000000"/>
        </w:rPr>
        <w:t>Séroprévalence</w:t>
      </w:r>
      <w:proofErr w:type="spellEnd"/>
      <w:r w:rsidRPr="00B2179F">
        <w:rPr>
          <w:rFonts w:ascii="Arial" w:eastAsia="inter" w:hAnsi="Arial" w:cs="Arial"/>
          <w:color w:val="000000"/>
        </w:rPr>
        <w:t xml:space="preserve"> de </w:t>
      </w:r>
      <w:proofErr w:type="spellStart"/>
      <w:r w:rsidRPr="00B2179F">
        <w:rPr>
          <w:rFonts w:ascii="Arial" w:eastAsia="inter" w:hAnsi="Arial" w:cs="Arial"/>
          <w:color w:val="000000"/>
        </w:rPr>
        <w:t>l'hépatite</w:t>
      </w:r>
      <w:proofErr w:type="spellEnd"/>
      <w:r w:rsidRPr="00B2179F">
        <w:rPr>
          <w:rFonts w:ascii="Arial" w:eastAsia="inter" w:hAnsi="Arial" w:cs="Arial"/>
          <w:color w:val="000000"/>
        </w:rPr>
        <w:t xml:space="preserve"> B et C chez les </w:t>
      </w:r>
      <w:proofErr w:type="spellStart"/>
      <w:r w:rsidRPr="00B2179F">
        <w:rPr>
          <w:rFonts w:ascii="Arial" w:eastAsia="inter" w:hAnsi="Arial" w:cs="Arial"/>
          <w:color w:val="000000"/>
        </w:rPr>
        <w:t>donneurs</w:t>
      </w:r>
      <w:proofErr w:type="spellEnd"/>
      <w:r w:rsidRPr="00B2179F">
        <w:rPr>
          <w:rFonts w:ascii="Arial" w:eastAsia="inter" w:hAnsi="Arial" w:cs="Arial"/>
          <w:color w:val="000000"/>
        </w:rPr>
        <w:t xml:space="preserve"> de sang au Centre National de Transfusion Sanguine de Bamako. </w:t>
      </w:r>
      <w:r w:rsidRPr="00B2179F">
        <w:rPr>
          <w:rFonts w:ascii="Arial" w:eastAsia="inter" w:hAnsi="Arial" w:cs="Arial"/>
          <w:i/>
          <w:color w:val="000000"/>
        </w:rPr>
        <w:t xml:space="preserve">Mali </w:t>
      </w:r>
      <w:proofErr w:type="spellStart"/>
      <w:r w:rsidRPr="00B2179F">
        <w:rPr>
          <w:rFonts w:ascii="Arial" w:eastAsia="inter" w:hAnsi="Arial" w:cs="Arial"/>
          <w:i/>
          <w:color w:val="000000"/>
        </w:rPr>
        <w:t>Médical</w:t>
      </w:r>
      <w:proofErr w:type="spellEnd"/>
      <w:r w:rsidRPr="00B2179F">
        <w:rPr>
          <w:rFonts w:ascii="Arial" w:eastAsia="inter" w:hAnsi="Arial" w:cs="Arial"/>
          <w:i/>
          <w:color w:val="000000"/>
        </w:rPr>
        <w:t>, 35</w:t>
      </w:r>
      <w:r w:rsidRPr="00B2179F">
        <w:rPr>
          <w:rFonts w:ascii="Arial" w:eastAsia="inter" w:hAnsi="Arial" w:cs="Arial"/>
          <w:color w:val="000000"/>
        </w:rPr>
        <w:t xml:space="preserve">(1), 1-6. </w:t>
      </w:r>
    </w:p>
    <w:p w14:paraId="2749B5CD"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Schweitzer, A., Horn, J., Mikolajczyk, R. T., Krause, G., &amp; Ott, J. J. (2015). Estimations of worldwide prevalence of chronic hepatitis B virus infection: A systematic review of data published between 1965 and 2013. </w:t>
      </w:r>
      <w:r w:rsidRPr="00B2179F">
        <w:rPr>
          <w:rFonts w:ascii="Arial" w:eastAsia="inter" w:hAnsi="Arial" w:cs="Arial"/>
          <w:i/>
          <w:color w:val="000000"/>
        </w:rPr>
        <w:t>The Lancet, 386</w:t>
      </w:r>
      <w:r w:rsidRPr="00B2179F">
        <w:rPr>
          <w:rFonts w:ascii="Arial" w:eastAsia="inter" w:hAnsi="Arial" w:cs="Arial"/>
          <w:color w:val="000000"/>
        </w:rPr>
        <w:t xml:space="preserve">(10003), 1546–1555. </w:t>
      </w:r>
      <w:hyperlink r:id="rId15">
        <w:r w:rsidRPr="00B2179F">
          <w:rPr>
            <w:rFonts w:ascii="Arial" w:eastAsia="inter" w:hAnsi="Arial" w:cs="Arial"/>
            <w:u w:val="single"/>
          </w:rPr>
          <w:t>https://doi.org/10.1016/S0140-6736(15)61412-X</w:t>
        </w:r>
      </w:hyperlink>
    </w:p>
    <w:p w14:paraId="51D03B42"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Softic, S., Cohen, D. E., &amp; Kahn, C. R. (2017). Role of dietary fructose and hepatic de novo lipogenesis in fatty liver disease. </w:t>
      </w:r>
      <w:r w:rsidRPr="00B2179F">
        <w:rPr>
          <w:rFonts w:ascii="Arial" w:eastAsia="inter" w:hAnsi="Arial" w:cs="Arial"/>
          <w:i/>
          <w:color w:val="000000"/>
        </w:rPr>
        <w:t>Digestive Diseases and Sciences, 62</w:t>
      </w:r>
      <w:r w:rsidRPr="00B2179F">
        <w:rPr>
          <w:rFonts w:ascii="Arial" w:eastAsia="inter" w:hAnsi="Arial" w:cs="Arial"/>
          <w:color w:val="000000"/>
        </w:rPr>
        <w:t xml:space="preserve">(8), 1902-1913. </w:t>
      </w:r>
      <w:hyperlink r:id="rId16">
        <w:r w:rsidRPr="00B2179F">
          <w:rPr>
            <w:rFonts w:ascii="Arial" w:eastAsia="inter" w:hAnsi="Arial" w:cs="Arial"/>
            <w:u w:val="single"/>
          </w:rPr>
          <w:t>https://doi.org/10.1007/s10620-017-4591-2</w:t>
        </w:r>
      </w:hyperlink>
    </w:p>
    <w:p w14:paraId="3C7E3F40" w14:textId="77777777" w:rsidR="00B2179F" w:rsidRPr="00B2179F" w:rsidRDefault="00B2179F" w:rsidP="00B2179F">
      <w:pPr>
        <w:spacing w:after="210" w:line="360" w:lineRule="auto"/>
        <w:jc w:val="both"/>
        <w:rPr>
          <w:rFonts w:ascii="Arial" w:hAnsi="Arial" w:cs="Arial"/>
        </w:rPr>
      </w:pPr>
      <w:proofErr w:type="spellStart"/>
      <w:r w:rsidRPr="00B2179F">
        <w:rPr>
          <w:rFonts w:ascii="Arial" w:eastAsia="inter" w:hAnsi="Arial" w:cs="Arial"/>
          <w:color w:val="000000"/>
        </w:rPr>
        <w:t>Targher</w:t>
      </w:r>
      <w:proofErr w:type="spellEnd"/>
      <w:r w:rsidRPr="00B2179F">
        <w:rPr>
          <w:rFonts w:ascii="Arial" w:eastAsia="inter" w:hAnsi="Arial" w:cs="Arial"/>
          <w:color w:val="000000"/>
        </w:rPr>
        <w:t xml:space="preserve">, G., Day, C. P., &amp; Bonora, E. (2012). Are NAFLD and chronic hepatitis C metabolically-driven liver diseases? A critical appraisal. </w:t>
      </w:r>
      <w:r w:rsidRPr="00B2179F">
        <w:rPr>
          <w:rFonts w:ascii="Arial" w:eastAsia="inter" w:hAnsi="Arial" w:cs="Arial"/>
          <w:i/>
          <w:color w:val="000000"/>
        </w:rPr>
        <w:t>Journal of Hepatology, 56</w:t>
      </w:r>
      <w:r w:rsidRPr="00B2179F">
        <w:rPr>
          <w:rFonts w:ascii="Arial" w:eastAsia="inter" w:hAnsi="Arial" w:cs="Arial"/>
          <w:color w:val="000000"/>
        </w:rPr>
        <w:t xml:space="preserve">(6), 1407-1410. </w:t>
      </w:r>
      <w:hyperlink r:id="rId17">
        <w:r w:rsidRPr="00B2179F">
          <w:rPr>
            <w:rFonts w:ascii="Arial" w:eastAsia="inter" w:hAnsi="Arial" w:cs="Arial"/>
            <w:u w:val="single"/>
          </w:rPr>
          <w:t>https://doi.org/10.1016/j.jhep.2012.02.013</w:t>
        </w:r>
      </w:hyperlink>
    </w:p>
    <w:p w14:paraId="524D3FC8" w14:textId="77777777" w:rsidR="00B2179F" w:rsidRPr="00B2179F" w:rsidRDefault="00B2179F" w:rsidP="00B2179F">
      <w:pPr>
        <w:spacing w:after="210" w:line="360" w:lineRule="auto"/>
        <w:jc w:val="both"/>
        <w:rPr>
          <w:rFonts w:ascii="Arial" w:hAnsi="Arial" w:cs="Arial"/>
        </w:rPr>
      </w:pPr>
      <w:proofErr w:type="spellStart"/>
      <w:r w:rsidRPr="00B2179F">
        <w:rPr>
          <w:rFonts w:ascii="Arial" w:eastAsia="inter" w:hAnsi="Arial" w:cs="Arial"/>
          <w:color w:val="000000"/>
        </w:rPr>
        <w:t>Terrault</w:t>
      </w:r>
      <w:proofErr w:type="spellEnd"/>
      <w:r w:rsidRPr="00B2179F">
        <w:rPr>
          <w:rFonts w:ascii="Arial" w:eastAsia="inter" w:hAnsi="Arial" w:cs="Arial"/>
          <w:color w:val="000000"/>
        </w:rPr>
        <w:t xml:space="preserve">, N. A., Lok, A. S. F., McMahon, B. J., Chang, K.-M., Hwang, J. P., Jonas, M. M., Brown, R. S., Jr, </w:t>
      </w:r>
      <w:proofErr w:type="spellStart"/>
      <w:r w:rsidRPr="00B2179F">
        <w:rPr>
          <w:rFonts w:ascii="Arial" w:eastAsia="inter" w:hAnsi="Arial" w:cs="Arial"/>
          <w:color w:val="000000"/>
        </w:rPr>
        <w:t>Bzowej</w:t>
      </w:r>
      <w:proofErr w:type="spellEnd"/>
      <w:r w:rsidRPr="00B2179F">
        <w:rPr>
          <w:rFonts w:ascii="Arial" w:eastAsia="inter" w:hAnsi="Arial" w:cs="Arial"/>
          <w:color w:val="000000"/>
        </w:rPr>
        <w:t xml:space="preserve">, N. H., &amp; Wong, J. B. (2023). Update on prevention, diagnosis, and treatment of chronic hepatitis B: AASLD 2023 Hepatitis B Guidance. </w:t>
      </w:r>
      <w:r w:rsidRPr="00B2179F">
        <w:rPr>
          <w:rFonts w:ascii="Arial" w:eastAsia="inter" w:hAnsi="Arial" w:cs="Arial"/>
          <w:i/>
          <w:color w:val="000000"/>
        </w:rPr>
        <w:t>Hepatology, 78</w:t>
      </w:r>
      <w:r w:rsidRPr="00B2179F">
        <w:rPr>
          <w:rFonts w:ascii="Arial" w:eastAsia="inter" w:hAnsi="Arial" w:cs="Arial"/>
          <w:color w:val="000000"/>
        </w:rPr>
        <w:t xml:space="preserve">(4), 1309-1341. </w:t>
      </w:r>
      <w:hyperlink r:id="rId18">
        <w:r w:rsidRPr="00B2179F">
          <w:rPr>
            <w:rFonts w:ascii="Arial" w:eastAsia="inter" w:hAnsi="Arial" w:cs="Arial"/>
            <w:u w:val="single"/>
          </w:rPr>
          <w:t>https://doi.org/10.1097/HEP.0000000000000570</w:t>
        </w:r>
      </w:hyperlink>
    </w:p>
    <w:p w14:paraId="7894CB12"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Wong, V. W. S., &amp; Chan, H. L. Y. (2017). Synergism of hepatitis B virus and metabolic factors in hepatocellular carcinoma. </w:t>
      </w:r>
      <w:r w:rsidRPr="00B2179F">
        <w:rPr>
          <w:rFonts w:ascii="Arial" w:eastAsia="inter" w:hAnsi="Arial" w:cs="Arial"/>
          <w:i/>
          <w:color w:val="000000"/>
        </w:rPr>
        <w:t>Journal of Gastroenterology and Hepatology, 32</w:t>
      </w:r>
      <w:r w:rsidRPr="00B2179F">
        <w:rPr>
          <w:rFonts w:ascii="Arial" w:eastAsia="inter" w:hAnsi="Arial" w:cs="Arial"/>
          <w:color w:val="000000"/>
        </w:rPr>
        <w:t xml:space="preserve">(6), 1161-1167. </w:t>
      </w:r>
      <w:hyperlink r:id="rId19">
        <w:r w:rsidRPr="00B2179F">
          <w:rPr>
            <w:rFonts w:ascii="Arial" w:eastAsia="inter" w:hAnsi="Arial" w:cs="Arial"/>
            <w:u w:val="single"/>
          </w:rPr>
          <w:t>https://doi.org/10.1111/jgh.13657</w:t>
        </w:r>
      </w:hyperlink>
    </w:p>
    <w:p w14:paraId="7F3F758F" w14:textId="77777777" w:rsidR="00B2179F" w:rsidRPr="00B2179F" w:rsidRDefault="00B2179F" w:rsidP="00B2179F">
      <w:pPr>
        <w:spacing w:after="210" w:line="360" w:lineRule="auto"/>
        <w:jc w:val="both"/>
        <w:rPr>
          <w:rFonts w:ascii="Arial" w:hAnsi="Arial" w:cs="Arial"/>
        </w:rPr>
      </w:pPr>
      <w:r w:rsidRPr="00B2179F">
        <w:rPr>
          <w:rFonts w:ascii="Arial" w:eastAsia="inter" w:hAnsi="Arial" w:cs="Arial"/>
          <w:color w:val="000000"/>
        </w:rPr>
        <w:t xml:space="preserve">World Health Organization. (2024). </w:t>
      </w:r>
      <w:r w:rsidRPr="00B2179F">
        <w:rPr>
          <w:rFonts w:ascii="Arial" w:eastAsia="inter" w:hAnsi="Arial" w:cs="Arial"/>
          <w:i/>
          <w:color w:val="000000"/>
        </w:rPr>
        <w:t xml:space="preserve">Global hepatitis report </w:t>
      </w:r>
      <w:proofErr w:type="gramStart"/>
      <w:r w:rsidRPr="00B2179F">
        <w:rPr>
          <w:rFonts w:ascii="Arial" w:eastAsia="inter" w:hAnsi="Arial" w:cs="Arial"/>
          <w:i/>
          <w:color w:val="000000"/>
        </w:rPr>
        <w:t>2024 :</w:t>
      </w:r>
      <w:proofErr w:type="gramEnd"/>
      <w:r w:rsidRPr="00B2179F">
        <w:rPr>
          <w:rFonts w:ascii="Arial" w:eastAsia="inter" w:hAnsi="Arial" w:cs="Arial"/>
          <w:i/>
          <w:color w:val="000000"/>
        </w:rPr>
        <w:t xml:space="preserve"> Action for access in low- and middle-income countries</w:t>
      </w:r>
      <w:r w:rsidRPr="00B2179F">
        <w:rPr>
          <w:rFonts w:ascii="Arial" w:eastAsia="inter" w:hAnsi="Arial" w:cs="Arial"/>
          <w:color w:val="000000"/>
        </w:rPr>
        <w:t xml:space="preserve">. WHO. </w:t>
      </w:r>
    </w:p>
    <w:p w14:paraId="408DF140" w14:textId="77777777" w:rsidR="00B2179F" w:rsidRPr="00B2179F" w:rsidRDefault="00B2179F" w:rsidP="00B2179F">
      <w:pPr>
        <w:spacing w:after="210" w:line="360" w:lineRule="auto"/>
        <w:jc w:val="both"/>
        <w:rPr>
          <w:rFonts w:ascii="Arial" w:hAnsi="Arial" w:cs="Arial"/>
        </w:rPr>
      </w:pPr>
      <w:proofErr w:type="spellStart"/>
      <w:r w:rsidRPr="00B2179F">
        <w:rPr>
          <w:rFonts w:ascii="Arial" w:eastAsia="inter" w:hAnsi="Arial" w:cs="Arial"/>
          <w:color w:val="000000"/>
        </w:rPr>
        <w:t>Younossi</w:t>
      </w:r>
      <w:proofErr w:type="spellEnd"/>
      <w:r w:rsidRPr="00B2179F">
        <w:rPr>
          <w:rFonts w:ascii="Arial" w:eastAsia="inter" w:hAnsi="Arial" w:cs="Arial"/>
          <w:color w:val="000000"/>
        </w:rPr>
        <w:t xml:space="preserve">, Z. M., Koenig, A. B., </w:t>
      </w:r>
      <w:proofErr w:type="spellStart"/>
      <w:r w:rsidRPr="00B2179F">
        <w:rPr>
          <w:rFonts w:ascii="Arial" w:eastAsia="inter" w:hAnsi="Arial" w:cs="Arial"/>
          <w:color w:val="000000"/>
        </w:rPr>
        <w:t>Abdelatif</w:t>
      </w:r>
      <w:proofErr w:type="spellEnd"/>
      <w:r w:rsidRPr="00B2179F">
        <w:rPr>
          <w:rFonts w:ascii="Arial" w:eastAsia="inter" w:hAnsi="Arial" w:cs="Arial"/>
          <w:color w:val="000000"/>
        </w:rPr>
        <w:t xml:space="preserve">, D., Fazel, Y., Henry, L., &amp; Wymer, M. (2016). Global epidemiology of nonalcoholic fatty liver disease—Meta-analytic assessment of prevalence, incidence, and outcomes. </w:t>
      </w:r>
      <w:r w:rsidRPr="00B2179F">
        <w:rPr>
          <w:rFonts w:ascii="Arial" w:eastAsia="inter" w:hAnsi="Arial" w:cs="Arial"/>
          <w:i/>
          <w:color w:val="000000"/>
        </w:rPr>
        <w:t>Hepatology, 64</w:t>
      </w:r>
      <w:r w:rsidRPr="00B2179F">
        <w:rPr>
          <w:rFonts w:ascii="Arial" w:eastAsia="inter" w:hAnsi="Arial" w:cs="Arial"/>
          <w:color w:val="000000"/>
        </w:rPr>
        <w:t xml:space="preserve">(1), 73–84. </w:t>
      </w:r>
      <w:hyperlink r:id="rId20">
        <w:r w:rsidRPr="00B2179F">
          <w:rPr>
            <w:rFonts w:ascii="Arial" w:eastAsia="inter" w:hAnsi="Arial" w:cs="Arial"/>
            <w:u w:val="single"/>
          </w:rPr>
          <w:t>https://doi.org/10.1002/hep.28431</w:t>
        </w:r>
      </w:hyperlink>
    </w:p>
    <w:sectPr w:rsidR="00B2179F" w:rsidRPr="00B2179F" w:rsidSect="008424EF">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A1A60" w14:textId="77777777" w:rsidR="00F57014" w:rsidRDefault="00F57014" w:rsidP="00C37E61">
      <w:r>
        <w:separator/>
      </w:r>
    </w:p>
  </w:endnote>
  <w:endnote w:type="continuationSeparator" w:id="0">
    <w:p w14:paraId="39A0FF1A" w14:textId="77777777" w:rsidR="00F57014" w:rsidRDefault="00F570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7555" w14:textId="77777777" w:rsidR="00704203" w:rsidRDefault="0070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90E3"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4B44" w14:textId="77777777" w:rsidR="00704203" w:rsidRDefault="0070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47296" w14:textId="77777777" w:rsidR="00F57014" w:rsidRDefault="00F57014" w:rsidP="00C37E61">
      <w:r>
        <w:separator/>
      </w:r>
    </w:p>
  </w:footnote>
  <w:footnote w:type="continuationSeparator" w:id="0">
    <w:p w14:paraId="1616BDF0" w14:textId="77777777" w:rsidR="00F57014" w:rsidRDefault="00F570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1B66" w14:textId="350555E2" w:rsidR="00704203" w:rsidRDefault="00704203">
    <w:pPr>
      <w:pStyle w:val="Header"/>
    </w:pPr>
    <w:r>
      <w:rPr>
        <w:noProof/>
      </w:rPr>
      <w:pict w14:anchorId="10F2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4"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4936" w14:textId="4551E186" w:rsidR="00704203" w:rsidRDefault="00704203">
    <w:pPr>
      <w:pStyle w:val="Header"/>
    </w:pPr>
    <w:r>
      <w:rPr>
        <w:noProof/>
      </w:rPr>
      <w:pict w14:anchorId="60BCC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5"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858" w14:textId="0F036C1B" w:rsidR="00704203" w:rsidRDefault="00704203">
    <w:pPr>
      <w:pStyle w:val="Header"/>
    </w:pPr>
    <w:r>
      <w:rPr>
        <w:noProof/>
      </w:rPr>
      <w:pict w14:anchorId="61A4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3"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537530"/>
    <w:multiLevelType w:val="hybridMultilevel"/>
    <w:tmpl w:val="558C6DB4"/>
    <w:lvl w:ilvl="0" w:tplc="0598EE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7C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0720"/>
    <w:rsid w:val="00554FDA"/>
    <w:rsid w:val="005B73E9"/>
    <w:rsid w:val="005C784C"/>
    <w:rsid w:val="005D17F6"/>
    <w:rsid w:val="005E5539"/>
    <w:rsid w:val="00602BF5"/>
    <w:rsid w:val="00612377"/>
    <w:rsid w:val="00617FDD"/>
    <w:rsid w:val="00633614"/>
    <w:rsid w:val="00633F68"/>
    <w:rsid w:val="00636EB2"/>
    <w:rsid w:val="006375B8"/>
    <w:rsid w:val="0066510A"/>
    <w:rsid w:val="0067382D"/>
    <w:rsid w:val="00673F9F"/>
    <w:rsid w:val="00686953"/>
    <w:rsid w:val="00687DEA"/>
    <w:rsid w:val="00687E67"/>
    <w:rsid w:val="006967F7"/>
    <w:rsid w:val="006A250C"/>
    <w:rsid w:val="006B21D3"/>
    <w:rsid w:val="006B57D0"/>
    <w:rsid w:val="006C1179"/>
    <w:rsid w:val="006D30FF"/>
    <w:rsid w:val="006D6940"/>
    <w:rsid w:val="006F11EC"/>
    <w:rsid w:val="0070082C"/>
    <w:rsid w:val="00704203"/>
    <w:rsid w:val="00704E60"/>
    <w:rsid w:val="00731D8C"/>
    <w:rsid w:val="007369E6"/>
    <w:rsid w:val="00746E59"/>
    <w:rsid w:val="00754C9A"/>
    <w:rsid w:val="0075599A"/>
    <w:rsid w:val="00761D52"/>
    <w:rsid w:val="0077749E"/>
    <w:rsid w:val="00790ADA"/>
    <w:rsid w:val="007C37E6"/>
    <w:rsid w:val="007D2288"/>
    <w:rsid w:val="007E088F"/>
    <w:rsid w:val="007F7B32"/>
    <w:rsid w:val="00804BC2"/>
    <w:rsid w:val="0081431A"/>
    <w:rsid w:val="0083216F"/>
    <w:rsid w:val="008424E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179F"/>
    <w:rsid w:val="00B52583"/>
    <w:rsid w:val="00B52896"/>
    <w:rsid w:val="00B95236"/>
    <w:rsid w:val="00B96BD9"/>
    <w:rsid w:val="00BA1B01"/>
    <w:rsid w:val="00BA2641"/>
    <w:rsid w:val="00BB37AA"/>
    <w:rsid w:val="00BC53A0"/>
    <w:rsid w:val="00BE62AD"/>
    <w:rsid w:val="00BF121F"/>
    <w:rsid w:val="00BF1F80"/>
    <w:rsid w:val="00BF2784"/>
    <w:rsid w:val="00C166EF"/>
    <w:rsid w:val="00C17EB0"/>
    <w:rsid w:val="00C27F5F"/>
    <w:rsid w:val="00C30A0F"/>
    <w:rsid w:val="00C37E61"/>
    <w:rsid w:val="00C70F1B"/>
    <w:rsid w:val="00C71A47"/>
    <w:rsid w:val="00C7464C"/>
    <w:rsid w:val="00C85588"/>
    <w:rsid w:val="00CD6755"/>
    <w:rsid w:val="00CD6856"/>
    <w:rsid w:val="00CE0089"/>
    <w:rsid w:val="00CE53A7"/>
    <w:rsid w:val="00CE793C"/>
    <w:rsid w:val="00CF193C"/>
    <w:rsid w:val="00D173F1"/>
    <w:rsid w:val="00D74CB0"/>
    <w:rsid w:val="00D8295D"/>
    <w:rsid w:val="00DC2A65"/>
    <w:rsid w:val="00DC4D2B"/>
    <w:rsid w:val="00DE15F0"/>
    <w:rsid w:val="00DE5663"/>
    <w:rsid w:val="00DE78AA"/>
    <w:rsid w:val="00E053D0"/>
    <w:rsid w:val="00E112C7"/>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24D1"/>
    <w:rsid w:val="00F53273"/>
    <w:rsid w:val="00F57014"/>
    <w:rsid w:val="00F755E4"/>
    <w:rsid w:val="00F77D02"/>
    <w:rsid w:val="00FB3A86"/>
    <w:rsid w:val="00FD36C8"/>
    <w:rsid w:val="00FD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D422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31D8C"/>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B217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04E60"/>
    <w:pPr>
      <w:spacing w:before="100" w:beforeAutospacing="1" w:after="100" w:afterAutospacing="1"/>
    </w:pPr>
    <w:rPr>
      <w:rFonts w:ascii="Times New Roman" w:hAnsi="Times New Roman"/>
      <w:sz w:val="24"/>
      <w:szCs w:val="24"/>
      <w:lang w:val="fr-FR" w:eastAsia="fr-FR"/>
    </w:rPr>
  </w:style>
  <w:style w:type="character" w:customStyle="1" w:styleId="citation-25">
    <w:name w:val="citation-25"/>
    <w:basedOn w:val="DefaultParagraphFont"/>
    <w:rsid w:val="00704E60"/>
  </w:style>
  <w:style w:type="character" w:customStyle="1" w:styleId="citation-24">
    <w:name w:val="citation-24"/>
    <w:basedOn w:val="DefaultParagraphFont"/>
    <w:rsid w:val="00704E60"/>
  </w:style>
  <w:style w:type="character" w:customStyle="1" w:styleId="citation-23">
    <w:name w:val="citation-23"/>
    <w:basedOn w:val="DefaultParagraphFont"/>
    <w:rsid w:val="00704E60"/>
  </w:style>
  <w:style w:type="character" w:customStyle="1" w:styleId="citation-22">
    <w:name w:val="citation-22"/>
    <w:basedOn w:val="DefaultParagraphFont"/>
    <w:rsid w:val="00704E60"/>
  </w:style>
  <w:style w:type="character" w:customStyle="1" w:styleId="citation-21">
    <w:name w:val="citation-21"/>
    <w:basedOn w:val="DefaultParagraphFont"/>
    <w:rsid w:val="00704E60"/>
  </w:style>
  <w:style w:type="character" w:customStyle="1" w:styleId="citation-20">
    <w:name w:val="citation-20"/>
    <w:basedOn w:val="DefaultParagraphFont"/>
    <w:rsid w:val="00704E60"/>
  </w:style>
  <w:style w:type="character" w:customStyle="1" w:styleId="citation-19">
    <w:name w:val="citation-19"/>
    <w:basedOn w:val="DefaultParagraphFont"/>
    <w:rsid w:val="00704E60"/>
  </w:style>
  <w:style w:type="character" w:customStyle="1" w:styleId="citation-18">
    <w:name w:val="citation-18"/>
    <w:basedOn w:val="DefaultParagraphFont"/>
    <w:rsid w:val="00704E60"/>
  </w:style>
  <w:style w:type="character" w:customStyle="1" w:styleId="citation-17">
    <w:name w:val="citation-17"/>
    <w:basedOn w:val="DefaultParagraphFont"/>
    <w:rsid w:val="00704E60"/>
  </w:style>
  <w:style w:type="character" w:customStyle="1" w:styleId="citation-16">
    <w:name w:val="citation-16"/>
    <w:basedOn w:val="DefaultParagraphFont"/>
    <w:rsid w:val="00704E60"/>
  </w:style>
  <w:style w:type="character" w:customStyle="1" w:styleId="citation-15">
    <w:name w:val="citation-15"/>
    <w:basedOn w:val="DefaultParagraphFont"/>
    <w:rsid w:val="00704E60"/>
  </w:style>
  <w:style w:type="character" w:customStyle="1" w:styleId="citation-14">
    <w:name w:val="citation-14"/>
    <w:basedOn w:val="DefaultParagraphFont"/>
    <w:rsid w:val="00704E60"/>
  </w:style>
  <w:style w:type="character" w:customStyle="1" w:styleId="citation-13">
    <w:name w:val="citation-13"/>
    <w:basedOn w:val="DefaultParagraphFont"/>
    <w:rsid w:val="00704E60"/>
  </w:style>
  <w:style w:type="character" w:customStyle="1" w:styleId="Heading2Char">
    <w:name w:val="Heading 2 Char"/>
    <w:basedOn w:val="DefaultParagraphFont"/>
    <w:link w:val="Heading2"/>
    <w:uiPriority w:val="9"/>
    <w:rsid w:val="00731D8C"/>
    <w:rPr>
      <w:rFonts w:asciiTheme="majorHAnsi" w:eastAsiaTheme="majorEastAsia" w:hAnsiTheme="majorHAnsi" w:cstheme="majorBidi"/>
      <w:color w:val="365F91" w:themeColor="accent1" w:themeShade="BF"/>
      <w:sz w:val="26"/>
      <w:szCs w:val="26"/>
      <w:lang w:val="fr-FR"/>
    </w:rPr>
  </w:style>
  <w:style w:type="paragraph" w:styleId="ListParagraph">
    <w:name w:val="List Paragraph"/>
    <w:basedOn w:val="Normal"/>
    <w:uiPriority w:val="34"/>
    <w:qFormat/>
    <w:rsid w:val="00731D8C"/>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mord">
    <w:name w:val="mord"/>
    <w:basedOn w:val="DefaultParagraphFont"/>
    <w:rsid w:val="00731D8C"/>
  </w:style>
  <w:style w:type="character" w:customStyle="1" w:styleId="mrel">
    <w:name w:val="mrel"/>
    <w:basedOn w:val="DefaultParagraphFont"/>
    <w:rsid w:val="00731D8C"/>
  </w:style>
  <w:style w:type="character" w:customStyle="1" w:styleId="mbin">
    <w:name w:val="mbin"/>
    <w:basedOn w:val="DefaultParagraphFont"/>
    <w:rsid w:val="00731D8C"/>
  </w:style>
  <w:style w:type="character" w:customStyle="1" w:styleId="selected">
    <w:name w:val="selected"/>
    <w:basedOn w:val="DefaultParagraphFont"/>
    <w:rsid w:val="00731D8C"/>
  </w:style>
  <w:style w:type="character" w:customStyle="1" w:styleId="citation-35">
    <w:name w:val="citation-35"/>
    <w:basedOn w:val="DefaultParagraphFont"/>
    <w:rsid w:val="00731D8C"/>
  </w:style>
  <w:style w:type="character" w:customStyle="1" w:styleId="citation-34">
    <w:name w:val="citation-34"/>
    <w:basedOn w:val="DefaultParagraphFont"/>
    <w:rsid w:val="00731D8C"/>
  </w:style>
  <w:style w:type="character" w:customStyle="1" w:styleId="citation-33">
    <w:name w:val="citation-33"/>
    <w:basedOn w:val="DefaultParagraphFont"/>
    <w:rsid w:val="00731D8C"/>
  </w:style>
  <w:style w:type="character" w:customStyle="1" w:styleId="citation-32">
    <w:name w:val="citation-32"/>
    <w:basedOn w:val="DefaultParagraphFont"/>
    <w:rsid w:val="00731D8C"/>
  </w:style>
  <w:style w:type="character" w:customStyle="1" w:styleId="citation-31">
    <w:name w:val="citation-31"/>
    <w:basedOn w:val="DefaultParagraphFont"/>
    <w:rsid w:val="00731D8C"/>
  </w:style>
  <w:style w:type="character" w:customStyle="1" w:styleId="citation-30">
    <w:name w:val="citation-30"/>
    <w:basedOn w:val="DefaultParagraphFont"/>
    <w:rsid w:val="00731D8C"/>
  </w:style>
  <w:style w:type="character" w:customStyle="1" w:styleId="citation-29">
    <w:name w:val="citation-29"/>
    <w:basedOn w:val="DefaultParagraphFont"/>
    <w:rsid w:val="00731D8C"/>
  </w:style>
  <w:style w:type="character" w:customStyle="1" w:styleId="citation-28">
    <w:name w:val="citation-28"/>
    <w:basedOn w:val="DefaultParagraphFont"/>
    <w:rsid w:val="00731D8C"/>
  </w:style>
  <w:style w:type="character" w:customStyle="1" w:styleId="citation-27">
    <w:name w:val="citation-27"/>
    <w:basedOn w:val="DefaultParagraphFont"/>
    <w:rsid w:val="00731D8C"/>
  </w:style>
  <w:style w:type="character" w:customStyle="1" w:styleId="citation-26">
    <w:name w:val="citation-26"/>
    <w:basedOn w:val="DefaultParagraphFont"/>
    <w:rsid w:val="00731D8C"/>
  </w:style>
  <w:style w:type="character" w:customStyle="1" w:styleId="Heading3Char">
    <w:name w:val="Heading 3 Char"/>
    <w:basedOn w:val="DefaultParagraphFont"/>
    <w:link w:val="Heading3"/>
    <w:semiHidden/>
    <w:rsid w:val="00B2179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11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25772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61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72-017-0476-5" TargetMode="External"/><Relationship Id="rId13" Type="http://schemas.openxmlformats.org/officeDocument/2006/relationships/hyperlink" Target="https://doi.org/10.1111/j.1753-4887.2011.00456.x" TargetMode="External"/><Relationship Id="rId18" Type="http://schemas.openxmlformats.org/officeDocument/2006/relationships/hyperlink" Target="https://doi.org/10.1097/HEP.000000000000057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cgh.2011.11.005" TargetMode="External"/><Relationship Id="rId17" Type="http://schemas.openxmlformats.org/officeDocument/2006/relationships/hyperlink" Target="https://doi.org/10.1016/j.jhep.2012.02.01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s10620-017-4591-2" TargetMode="External"/><Relationship Id="rId20" Type="http://schemas.openxmlformats.org/officeDocument/2006/relationships/hyperlink" Target="https://doi.org/10.1002/hep.28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ctr.1211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0140-6736(15)61412-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55/2010/513948" TargetMode="External"/><Relationship Id="rId19" Type="http://schemas.openxmlformats.org/officeDocument/2006/relationships/hyperlink" Target="https://doi.org/10.1111/jgh.13657" TargetMode="External"/><Relationship Id="rId4" Type="http://schemas.openxmlformats.org/officeDocument/2006/relationships/settings" Target="settings.xml"/><Relationship Id="rId9" Type="http://schemas.openxmlformats.org/officeDocument/2006/relationships/hyperlink" Target="https://doi.org/10.1093/ageing/afy169" TargetMode="External"/><Relationship Id="rId14" Type="http://schemas.openxmlformats.org/officeDocument/2006/relationships/hyperlink" Target="https://doi.org/10.1046/j.1467-789x.2001.00033.x"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C5A82-5ACF-436B-812E-EC6052CC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11</Pages>
  <Words>5693</Words>
  <Characters>32455</Characters>
  <Application>Microsoft Office Word</Application>
  <DocSecurity>0</DocSecurity>
  <Lines>270</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20</cp:revision>
  <cp:lastPrinted>1999-07-06T11:00:00Z</cp:lastPrinted>
  <dcterms:created xsi:type="dcterms:W3CDTF">2025-09-02T12:53:00Z</dcterms:created>
  <dcterms:modified xsi:type="dcterms:W3CDTF">2025-09-03T11:32:00Z</dcterms:modified>
</cp:coreProperties>
</file>