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76D5A" w14:textId="77777777" w:rsidR="00942491" w:rsidRPr="00EB2CAF" w:rsidRDefault="00942491" w:rsidP="004E4442">
      <w:pPr>
        <w:jc w:val="both"/>
        <w:rPr>
          <w:rFonts w:ascii="Arial" w:hAnsi="Arial" w:cs="Arial"/>
          <w:sz w:val="20"/>
          <w:szCs w:val="20"/>
        </w:rPr>
      </w:pPr>
    </w:p>
    <w:p w14:paraId="19B7D246" w14:textId="77777777" w:rsidR="00BB7D43" w:rsidRDefault="00BB7D43" w:rsidP="004E4442">
      <w:pPr>
        <w:jc w:val="center"/>
        <w:rPr>
          <w:rFonts w:ascii="Arial" w:hAnsi="Arial" w:cs="Arial"/>
          <w:b/>
          <w:bCs/>
          <w:sz w:val="36"/>
          <w:szCs w:val="36"/>
        </w:rPr>
      </w:pPr>
      <w:r w:rsidRPr="00BB7D43">
        <w:rPr>
          <w:rFonts w:ascii="Arial" w:hAnsi="Arial" w:cs="Arial"/>
          <w:b/>
          <w:bCs/>
          <w:sz w:val="36"/>
          <w:szCs w:val="36"/>
        </w:rPr>
        <w:t xml:space="preserve">Original Research Article </w:t>
      </w:r>
    </w:p>
    <w:p w14:paraId="61FAD3CF" w14:textId="1566898E" w:rsidR="00942491" w:rsidRPr="00EB2CAF" w:rsidRDefault="00BB42FD" w:rsidP="004E4442">
      <w:pPr>
        <w:jc w:val="center"/>
        <w:rPr>
          <w:rFonts w:ascii="Arial" w:hAnsi="Arial" w:cs="Arial"/>
          <w:b/>
          <w:bCs/>
          <w:sz w:val="36"/>
          <w:szCs w:val="36"/>
        </w:rPr>
      </w:pPr>
      <w:r w:rsidRPr="00EB2CAF">
        <w:rPr>
          <w:rFonts w:ascii="Arial" w:hAnsi="Arial" w:cs="Arial"/>
          <w:b/>
          <w:bCs/>
          <w:sz w:val="36"/>
          <w:szCs w:val="36"/>
        </w:rPr>
        <w:t>Undiagnosed Chronic Conditions and Health Risks Among Ivorian Hajj Pilgrims: Implications of Pre-Travel Biochemical Screening</w:t>
      </w:r>
    </w:p>
    <w:p w14:paraId="6E9C9C4A" w14:textId="77777777" w:rsidR="00942491" w:rsidRPr="00EB2CAF" w:rsidRDefault="00942491" w:rsidP="004E4442">
      <w:pPr>
        <w:jc w:val="both"/>
        <w:rPr>
          <w:rFonts w:ascii="Arial" w:hAnsi="Arial" w:cs="Arial"/>
          <w:sz w:val="20"/>
          <w:szCs w:val="20"/>
        </w:rPr>
      </w:pPr>
    </w:p>
    <w:p w14:paraId="0B744E62" w14:textId="46DDC249" w:rsidR="00F73584" w:rsidRDefault="00F73584" w:rsidP="004E4442">
      <w:pPr>
        <w:jc w:val="both"/>
        <w:rPr>
          <w:rFonts w:ascii="Calibri" w:hAnsi="Calibri" w:cs="Calibri"/>
        </w:rPr>
      </w:pPr>
    </w:p>
    <w:p w14:paraId="44734B07" w14:textId="1F929C79" w:rsidR="00F73584" w:rsidRDefault="00F73584" w:rsidP="004E4442">
      <w:pPr>
        <w:jc w:val="both"/>
        <w:rPr>
          <w:rFonts w:ascii="Calibri" w:hAnsi="Calibri" w:cs="Calibri"/>
        </w:rPr>
      </w:pPr>
    </w:p>
    <w:p w14:paraId="56898A59" w14:textId="187256F9" w:rsidR="00F73584" w:rsidRDefault="00F73584" w:rsidP="004E4442">
      <w:pPr>
        <w:jc w:val="both"/>
        <w:rPr>
          <w:rFonts w:ascii="Calibri" w:hAnsi="Calibri" w:cs="Calibri"/>
        </w:rPr>
      </w:pPr>
    </w:p>
    <w:p w14:paraId="109D4FA6" w14:textId="77777777" w:rsidR="00225426" w:rsidRDefault="00225426" w:rsidP="00E202AB">
      <w:pPr>
        <w:spacing w:line="480" w:lineRule="auto"/>
        <w:jc w:val="both"/>
        <w:rPr>
          <w:rFonts w:ascii="Arial" w:hAnsi="Arial" w:cs="Arial"/>
          <w:b/>
          <w:color w:val="000000"/>
          <w:sz w:val="22"/>
          <w:szCs w:val="22"/>
        </w:rPr>
      </w:pPr>
    </w:p>
    <w:p w14:paraId="0CFC3380" w14:textId="0E16829C" w:rsidR="00942491" w:rsidRPr="00F73584" w:rsidRDefault="00BB42FD" w:rsidP="00E202AB">
      <w:pPr>
        <w:spacing w:line="480" w:lineRule="auto"/>
        <w:jc w:val="both"/>
        <w:rPr>
          <w:rFonts w:ascii="Arial" w:hAnsi="Arial" w:cs="Arial"/>
          <w:sz w:val="22"/>
          <w:szCs w:val="22"/>
        </w:rPr>
      </w:pPr>
      <w:r w:rsidRPr="00F73584">
        <w:rPr>
          <w:rFonts w:ascii="Arial" w:hAnsi="Arial" w:cs="Arial"/>
          <w:b/>
          <w:color w:val="000000"/>
          <w:sz w:val="22"/>
          <w:szCs w:val="22"/>
        </w:rPr>
        <w:t>ABSTRACT</w:t>
      </w:r>
    </w:p>
    <w:p w14:paraId="24F72C8B" w14:textId="77777777" w:rsidR="00942491" w:rsidRPr="00F73584" w:rsidRDefault="00BB42FD" w:rsidP="00E202AB">
      <w:pPr>
        <w:spacing w:line="480" w:lineRule="auto"/>
        <w:jc w:val="both"/>
        <w:rPr>
          <w:rFonts w:ascii="Arial" w:hAnsi="Arial" w:cs="Arial"/>
          <w:sz w:val="20"/>
          <w:szCs w:val="20"/>
        </w:rPr>
      </w:pPr>
      <w:r w:rsidRPr="00F73584">
        <w:rPr>
          <w:rFonts w:ascii="Arial" w:hAnsi="Arial" w:cs="Arial"/>
          <w:b/>
          <w:color w:val="000000"/>
          <w:sz w:val="20"/>
          <w:szCs w:val="20"/>
        </w:rPr>
        <w:t>Introduction</w:t>
      </w:r>
      <w:r w:rsidRPr="00F73584">
        <w:rPr>
          <w:rFonts w:ascii="Arial" w:hAnsi="Arial" w:cs="Arial"/>
          <w:color w:val="000000"/>
          <w:sz w:val="20"/>
          <w:szCs w:val="20"/>
        </w:rPr>
        <w:t>: This study aimed to determine the relevance of the biochemical profile of Hajj candidates in light of their age and the difficult conditions in which they are performed, which may decompensate for pre-existing pathologies.</w:t>
      </w:r>
      <w:r w:rsidRPr="00F73584">
        <w:rPr>
          <w:rFonts w:ascii="Arial" w:hAnsi="Arial" w:cs="Arial"/>
          <w:sz w:val="20"/>
          <w:szCs w:val="20"/>
        </w:rPr>
        <w:t xml:space="preserve"> </w:t>
      </w:r>
    </w:p>
    <w:p w14:paraId="46AFB0DA" w14:textId="77777777" w:rsidR="00942491" w:rsidRPr="00F73584" w:rsidRDefault="00BB42FD" w:rsidP="00E202AB">
      <w:pPr>
        <w:spacing w:line="480" w:lineRule="auto"/>
        <w:jc w:val="both"/>
        <w:rPr>
          <w:rFonts w:ascii="Arial" w:hAnsi="Arial" w:cs="Arial"/>
          <w:sz w:val="20"/>
          <w:szCs w:val="20"/>
        </w:rPr>
      </w:pPr>
      <w:r w:rsidRPr="00F73584">
        <w:rPr>
          <w:rFonts w:ascii="Arial" w:hAnsi="Arial" w:cs="Arial"/>
          <w:b/>
          <w:color w:val="000000"/>
          <w:sz w:val="20"/>
          <w:szCs w:val="20"/>
        </w:rPr>
        <w:t>Materials and Methods</w:t>
      </w:r>
      <w:r w:rsidRPr="00F73584">
        <w:rPr>
          <w:rFonts w:ascii="Arial" w:hAnsi="Arial" w:cs="Arial"/>
          <w:color w:val="000000"/>
          <w:sz w:val="20"/>
          <w:szCs w:val="20"/>
        </w:rPr>
        <w:t>: This descriptive retrospective study examined the medical records of 674 Hajj candidates in 2012. The records included medical history, clinical examination, and the results of biochemical blood tests performed at the laboratory of the National Institute of Public Hygiene in Abidjan, Côte d'Ivoire.</w:t>
      </w:r>
    </w:p>
    <w:p w14:paraId="41DD6471" w14:textId="77777777" w:rsidR="00942491" w:rsidRPr="00F73584" w:rsidRDefault="00BB42FD" w:rsidP="00E202AB">
      <w:pPr>
        <w:spacing w:line="480" w:lineRule="auto"/>
        <w:jc w:val="both"/>
        <w:rPr>
          <w:rFonts w:ascii="Arial" w:hAnsi="Arial" w:cs="Arial"/>
          <w:sz w:val="20"/>
          <w:szCs w:val="20"/>
        </w:rPr>
      </w:pPr>
      <w:r w:rsidRPr="00F73584">
        <w:rPr>
          <w:rFonts w:ascii="Arial" w:hAnsi="Arial" w:cs="Arial"/>
          <w:b/>
          <w:color w:val="000000"/>
          <w:sz w:val="20"/>
          <w:szCs w:val="20"/>
        </w:rPr>
        <w:t>Results</w:t>
      </w:r>
      <w:r w:rsidRPr="00F73584">
        <w:rPr>
          <w:rFonts w:ascii="Arial" w:hAnsi="Arial" w:cs="Arial"/>
          <w:color w:val="000000"/>
          <w:sz w:val="20"/>
          <w:szCs w:val="20"/>
        </w:rPr>
        <w:t xml:space="preserve">: The average age of the population was 52 years. Anemia was observed in 50.7% of the cases. </w:t>
      </w:r>
      <w:r w:rsidRPr="00F73584">
        <w:rPr>
          <w:rFonts w:ascii="Arial" w:hAnsi="Arial" w:cs="Arial"/>
          <w:sz w:val="20"/>
          <w:szCs w:val="20"/>
        </w:rPr>
        <w:t>High blood glucose</w:t>
      </w:r>
      <w:r w:rsidRPr="00F73584">
        <w:rPr>
          <w:rFonts w:ascii="Arial" w:hAnsi="Arial" w:cs="Arial"/>
          <w:color w:val="000000"/>
          <w:sz w:val="20"/>
          <w:szCs w:val="20"/>
        </w:rPr>
        <w:t xml:space="preserve"> levels were found in 13.9% of cases, and awareness of the candidates' diabetic status was 9.8%. The frequency of high blood pressure (HBP) was 44.4%. H</w:t>
      </w:r>
      <w:r w:rsidRPr="00F73584">
        <w:rPr>
          <w:rFonts w:ascii="Arial" w:hAnsi="Arial" w:cs="Arial"/>
          <w:sz w:val="20"/>
          <w:szCs w:val="20"/>
        </w:rPr>
        <w:t xml:space="preserve">igh blood </w:t>
      </w:r>
      <w:r w:rsidRPr="00F73584">
        <w:rPr>
          <w:rFonts w:ascii="Arial" w:hAnsi="Arial" w:cs="Arial"/>
          <w:color w:val="000000"/>
          <w:sz w:val="20"/>
          <w:szCs w:val="20"/>
        </w:rPr>
        <w:t>creatinine and urea nitrogen levels were common, occurring in 24% and 23.7% of patients, respectively. A</w:t>
      </w:r>
      <w:r w:rsidRPr="00F73584">
        <w:rPr>
          <w:rFonts w:ascii="Arial" w:hAnsi="Arial" w:cs="Arial"/>
          <w:sz w:val="20"/>
          <w:szCs w:val="20"/>
        </w:rPr>
        <w:t xml:space="preserve">n association </w:t>
      </w:r>
      <w:r w:rsidRPr="00F73584">
        <w:rPr>
          <w:rFonts w:ascii="Arial" w:hAnsi="Arial" w:cs="Arial"/>
          <w:color w:val="000000"/>
          <w:sz w:val="20"/>
          <w:szCs w:val="20"/>
        </w:rPr>
        <w:t>between</w:t>
      </w:r>
      <w:r w:rsidRPr="00F73584">
        <w:rPr>
          <w:rFonts w:ascii="Arial" w:hAnsi="Arial" w:cs="Arial"/>
          <w:sz w:val="20"/>
          <w:szCs w:val="20"/>
        </w:rPr>
        <w:t xml:space="preserve"> elevated blood creatinine and elevated blood urea nitrogen </w:t>
      </w:r>
      <w:r w:rsidRPr="00F73584">
        <w:rPr>
          <w:rFonts w:ascii="Arial" w:hAnsi="Arial" w:cs="Arial"/>
          <w:color w:val="000000"/>
          <w:sz w:val="20"/>
          <w:szCs w:val="20"/>
        </w:rPr>
        <w:t xml:space="preserve">levels </w:t>
      </w:r>
      <w:r w:rsidRPr="00F73584">
        <w:rPr>
          <w:rFonts w:ascii="Arial" w:hAnsi="Arial" w:cs="Arial"/>
          <w:sz w:val="20"/>
          <w:szCs w:val="20"/>
        </w:rPr>
        <w:t>was noted in 17.9% of the candidates, suggesting renal failure requiring further investigation. The frequencies of increased AST and ALT activities were 8% and 12.3%, respectively.</w:t>
      </w:r>
    </w:p>
    <w:p w14:paraId="24F3B88A" w14:textId="518467AB" w:rsidR="00942491" w:rsidRDefault="00BB42FD" w:rsidP="00E202AB">
      <w:pPr>
        <w:spacing w:line="480" w:lineRule="auto"/>
        <w:jc w:val="both"/>
        <w:rPr>
          <w:rFonts w:ascii="Arial" w:hAnsi="Arial" w:cs="Arial"/>
          <w:color w:val="000000"/>
          <w:sz w:val="20"/>
          <w:szCs w:val="20"/>
        </w:rPr>
      </w:pPr>
      <w:r w:rsidRPr="00F73584">
        <w:rPr>
          <w:rFonts w:ascii="Arial" w:hAnsi="Arial" w:cs="Arial"/>
          <w:b/>
          <w:color w:val="000000"/>
          <w:sz w:val="20"/>
          <w:szCs w:val="20"/>
        </w:rPr>
        <w:t>Conclusion</w:t>
      </w:r>
      <w:r w:rsidRPr="00F73584">
        <w:rPr>
          <w:rFonts w:ascii="Arial" w:hAnsi="Arial" w:cs="Arial"/>
          <w:color w:val="000000"/>
          <w:sz w:val="20"/>
          <w:szCs w:val="20"/>
        </w:rPr>
        <w:t>:  The study revealed that a substantial proportion of candidates were unaware of their health status prior to Hajj. Laboratory tests indicated a higher prevalence of chronic pathologies compared to clinical examinations or patient self-reports. Furthermore, older candidates exhibited more frequent biological disorders, thereby increasing the risk of decompensation during the Hajj.</w:t>
      </w:r>
      <w:r w:rsidRPr="00F73584">
        <w:rPr>
          <w:rFonts w:ascii="Arial" w:hAnsi="Arial" w:cs="Arial"/>
          <w:sz w:val="20"/>
          <w:szCs w:val="20"/>
        </w:rPr>
        <w:t xml:space="preserve"> </w:t>
      </w:r>
      <w:r w:rsidRPr="00F73584">
        <w:rPr>
          <w:rFonts w:ascii="Arial" w:hAnsi="Arial" w:cs="Arial"/>
          <w:color w:val="000000"/>
          <w:sz w:val="20"/>
          <w:szCs w:val="20"/>
        </w:rPr>
        <w:t xml:space="preserve">The results highlight the importance of enhancing health awareness initiatives aimed at future pilgrimages. It is crucial to offer </w:t>
      </w:r>
      <w:r w:rsidRPr="00F73584">
        <w:rPr>
          <w:rFonts w:ascii="Arial" w:hAnsi="Arial" w:cs="Arial"/>
          <w:color w:val="000000"/>
          <w:sz w:val="20"/>
          <w:szCs w:val="20"/>
        </w:rPr>
        <w:lastRenderedPageBreak/>
        <w:t>customized medical assistance and interventions, especially for older pilgrims. Consequently, health authorities can deliver more effective pre-travel counseling and potentially reduce the occurrence of health issues during the Hajj pilgrimage.</w:t>
      </w:r>
    </w:p>
    <w:p w14:paraId="5F89E7F5" w14:textId="77777777" w:rsidR="00B24B71" w:rsidRPr="00F73584" w:rsidRDefault="00B24B71" w:rsidP="00E202AB">
      <w:pPr>
        <w:spacing w:line="480" w:lineRule="auto"/>
        <w:jc w:val="both"/>
        <w:rPr>
          <w:rFonts w:ascii="Arial" w:hAnsi="Arial" w:cs="Arial"/>
          <w:sz w:val="20"/>
          <w:szCs w:val="20"/>
        </w:rPr>
      </w:pPr>
    </w:p>
    <w:p w14:paraId="26A412E9" w14:textId="10C4EA06" w:rsidR="00942491" w:rsidRDefault="00BB42FD" w:rsidP="00E202AB">
      <w:pPr>
        <w:spacing w:line="480" w:lineRule="auto"/>
        <w:jc w:val="both"/>
        <w:rPr>
          <w:rFonts w:ascii="Arial" w:hAnsi="Arial" w:cs="Arial"/>
          <w:color w:val="000000"/>
          <w:sz w:val="20"/>
          <w:szCs w:val="20"/>
        </w:rPr>
      </w:pPr>
      <w:r w:rsidRPr="00F73584">
        <w:rPr>
          <w:rFonts w:ascii="Arial" w:hAnsi="Arial" w:cs="Arial"/>
          <w:b/>
          <w:color w:val="000000"/>
          <w:sz w:val="20"/>
          <w:szCs w:val="20"/>
        </w:rPr>
        <w:t>Keywords</w:t>
      </w:r>
      <w:r w:rsidR="00B24B71">
        <w:rPr>
          <w:rFonts w:ascii="Arial" w:hAnsi="Arial" w:cs="Arial"/>
          <w:b/>
          <w:color w:val="000000"/>
          <w:sz w:val="20"/>
          <w:szCs w:val="20"/>
        </w:rPr>
        <w:t xml:space="preserve">: </w:t>
      </w:r>
      <w:r w:rsidRPr="00F73584">
        <w:rPr>
          <w:rFonts w:ascii="Arial" w:hAnsi="Arial" w:cs="Arial"/>
          <w:color w:val="000000"/>
          <w:sz w:val="20"/>
          <w:szCs w:val="20"/>
        </w:rPr>
        <w:t xml:space="preserve"> hypertension, pilgrimage, blood sugar, b</w:t>
      </w:r>
      <w:r w:rsidRPr="00F73584">
        <w:rPr>
          <w:rFonts w:ascii="Arial" w:hAnsi="Arial" w:cs="Arial"/>
          <w:sz w:val="20"/>
          <w:szCs w:val="20"/>
        </w:rPr>
        <w:t>lood urea nitrogen</w:t>
      </w:r>
      <w:r w:rsidRPr="00F73584">
        <w:rPr>
          <w:rFonts w:ascii="Arial" w:hAnsi="Arial" w:cs="Arial"/>
          <w:color w:val="000000"/>
          <w:sz w:val="20"/>
          <w:szCs w:val="20"/>
        </w:rPr>
        <w:t xml:space="preserve">, </w:t>
      </w:r>
      <w:r w:rsidRPr="00F73584">
        <w:rPr>
          <w:rFonts w:ascii="Arial" w:hAnsi="Arial" w:cs="Arial"/>
          <w:sz w:val="20"/>
          <w:szCs w:val="20"/>
        </w:rPr>
        <w:t xml:space="preserve">blood </w:t>
      </w:r>
      <w:r w:rsidRPr="00F73584">
        <w:rPr>
          <w:rFonts w:ascii="Arial" w:hAnsi="Arial" w:cs="Arial"/>
          <w:color w:val="000000"/>
          <w:sz w:val="20"/>
          <w:szCs w:val="20"/>
        </w:rPr>
        <w:t>creatinine</w:t>
      </w:r>
    </w:p>
    <w:p w14:paraId="51E1CB10" w14:textId="709721F9" w:rsidR="00F73584" w:rsidRDefault="00F73584" w:rsidP="004E4442">
      <w:pPr>
        <w:jc w:val="both"/>
        <w:rPr>
          <w:rFonts w:ascii="Arial" w:hAnsi="Arial" w:cs="Arial"/>
          <w:color w:val="000000"/>
          <w:sz w:val="20"/>
          <w:szCs w:val="20"/>
        </w:rPr>
      </w:pPr>
    </w:p>
    <w:p w14:paraId="70FF32FB" w14:textId="3A9AEDE7" w:rsidR="00F73584" w:rsidRDefault="00F73584" w:rsidP="004E4442">
      <w:pPr>
        <w:jc w:val="both"/>
        <w:rPr>
          <w:rFonts w:ascii="Arial" w:hAnsi="Arial" w:cs="Arial"/>
          <w:color w:val="000000"/>
          <w:sz w:val="20"/>
          <w:szCs w:val="20"/>
        </w:rPr>
      </w:pPr>
    </w:p>
    <w:p w14:paraId="64A57BC6" w14:textId="009D1C32" w:rsidR="00F73584" w:rsidRDefault="00F73584" w:rsidP="004E4442">
      <w:pPr>
        <w:jc w:val="both"/>
        <w:rPr>
          <w:rFonts w:ascii="Arial" w:hAnsi="Arial" w:cs="Arial"/>
          <w:color w:val="000000"/>
          <w:sz w:val="20"/>
          <w:szCs w:val="20"/>
        </w:rPr>
      </w:pPr>
    </w:p>
    <w:p w14:paraId="264F6C8D" w14:textId="20CF8E5F" w:rsidR="00F73584" w:rsidRDefault="00F73584" w:rsidP="004E4442">
      <w:pPr>
        <w:jc w:val="both"/>
        <w:rPr>
          <w:rFonts w:ascii="Arial" w:hAnsi="Arial" w:cs="Arial"/>
          <w:color w:val="000000"/>
          <w:sz w:val="20"/>
          <w:szCs w:val="20"/>
        </w:rPr>
      </w:pPr>
    </w:p>
    <w:p w14:paraId="55959160" w14:textId="36587245" w:rsidR="00F73584" w:rsidRDefault="00F73584" w:rsidP="004E4442">
      <w:pPr>
        <w:jc w:val="both"/>
        <w:rPr>
          <w:rFonts w:ascii="Arial" w:hAnsi="Arial" w:cs="Arial"/>
          <w:color w:val="000000"/>
          <w:sz w:val="20"/>
          <w:szCs w:val="20"/>
        </w:rPr>
      </w:pPr>
    </w:p>
    <w:p w14:paraId="7A249283" w14:textId="2DD27B85" w:rsidR="00F73584" w:rsidRDefault="00F73584" w:rsidP="004E4442">
      <w:pPr>
        <w:jc w:val="both"/>
        <w:rPr>
          <w:rFonts w:ascii="Arial" w:hAnsi="Arial" w:cs="Arial"/>
          <w:color w:val="000000"/>
          <w:sz w:val="20"/>
          <w:szCs w:val="20"/>
        </w:rPr>
      </w:pPr>
    </w:p>
    <w:p w14:paraId="78C4BBAE" w14:textId="77777777" w:rsidR="00942491" w:rsidRPr="00F73584" w:rsidRDefault="00BB42FD" w:rsidP="00F73584">
      <w:pPr>
        <w:pStyle w:val="Heading3"/>
        <w:numPr>
          <w:ilvl w:val="0"/>
          <w:numId w:val="12"/>
        </w:numPr>
        <w:jc w:val="both"/>
        <w:rPr>
          <w:sz w:val="22"/>
          <w:szCs w:val="22"/>
        </w:rPr>
      </w:pPr>
      <w:bookmarkStart w:id="0" w:name="_Toc256000012"/>
      <w:r w:rsidRPr="00F73584">
        <w:rPr>
          <w:sz w:val="22"/>
          <w:szCs w:val="22"/>
        </w:rPr>
        <w:t>INTRODUCTION</w:t>
      </w:r>
      <w:bookmarkEnd w:id="0"/>
    </w:p>
    <w:p w14:paraId="2E610783" w14:textId="77777777" w:rsidR="00942491" w:rsidRPr="004E4442" w:rsidRDefault="00942491" w:rsidP="004E4442">
      <w:pPr>
        <w:jc w:val="both"/>
        <w:rPr>
          <w:rFonts w:ascii="Calibri" w:hAnsi="Calibri" w:cs="Calibri"/>
        </w:rPr>
      </w:pPr>
    </w:p>
    <w:p w14:paraId="5B69E576" w14:textId="77777777" w:rsidR="00942491" w:rsidRPr="00F73584" w:rsidRDefault="00BB42FD" w:rsidP="00F73584">
      <w:pPr>
        <w:spacing w:line="480" w:lineRule="auto"/>
        <w:jc w:val="both"/>
        <w:rPr>
          <w:rFonts w:ascii="Arial" w:hAnsi="Arial" w:cs="Arial"/>
          <w:sz w:val="20"/>
          <w:szCs w:val="20"/>
        </w:rPr>
      </w:pPr>
      <w:r w:rsidRPr="00F73584">
        <w:rPr>
          <w:rFonts w:ascii="Arial" w:eastAsia="&quot;IBM Plex Sans&quot;, Arial, &quot;Segoe" w:hAnsi="Arial" w:cs="Arial"/>
          <w:color w:val="000000"/>
          <w:sz w:val="20"/>
          <w:szCs w:val="20"/>
        </w:rPr>
        <w:t xml:space="preserve">The pilgrimage to Mecca, known as Hajj, is a significant religious event that attracts millions of Muslims annually. However, the physical demands of this journey can pose health risks, particularly to older pilgrims.  </w:t>
      </w:r>
      <w:r w:rsidRPr="00F73584">
        <w:rPr>
          <w:rFonts w:ascii="Arial" w:hAnsi="Arial" w:cs="Arial"/>
          <w:color w:val="000000"/>
          <w:sz w:val="20"/>
          <w:szCs w:val="20"/>
        </w:rPr>
        <w:t xml:space="preserve">The arduous nature of the trek, often involving long distances, challenging terrain, and varying weather conditions, can exacerbate existing health issues or trigger new ones </w:t>
      </w:r>
      <w:hyperlink w:anchor="a222af50fbe9331580eb23cb35714996_ref" w:history="1">
        <w:r w:rsidRPr="00F73584">
          <w:rPr>
            <w:rFonts w:ascii="Arial" w:hAnsi="Arial" w:cs="Arial"/>
            <w:color w:val="0000EE"/>
            <w:sz w:val="20"/>
            <w:szCs w:val="20"/>
            <w:u w:val="single" w:color="0000EE"/>
          </w:rPr>
          <w:t>(</w:t>
        </w:r>
        <w:proofErr w:type="spellStart"/>
        <w:r w:rsidRPr="00F73584">
          <w:rPr>
            <w:rFonts w:ascii="Arial" w:hAnsi="Arial" w:cs="Arial"/>
            <w:color w:val="0000EE"/>
            <w:sz w:val="20"/>
            <w:szCs w:val="20"/>
            <w:u w:val="single" w:color="0000EE"/>
          </w:rPr>
          <w:t>Aldossari</w:t>
        </w:r>
        <w:proofErr w:type="spellEnd"/>
        <w:r w:rsidRPr="00F73584">
          <w:rPr>
            <w:rFonts w:ascii="Arial" w:hAnsi="Arial" w:cs="Arial"/>
            <w:color w:val="0000EE"/>
            <w:sz w:val="20"/>
            <w:szCs w:val="20"/>
            <w:u w:val="single" w:color="0000EE"/>
          </w:rPr>
          <w:t xml:space="preserve"> et al., 2019; </w:t>
        </w:r>
        <w:proofErr w:type="spellStart"/>
        <w:r w:rsidRPr="00F73584">
          <w:rPr>
            <w:rFonts w:ascii="Arial" w:hAnsi="Arial" w:cs="Arial"/>
            <w:color w:val="0000EE"/>
            <w:sz w:val="20"/>
            <w:szCs w:val="20"/>
            <w:u w:val="single" w:color="0000EE"/>
          </w:rPr>
          <w:t>Yezli</w:t>
        </w:r>
        <w:proofErr w:type="spellEnd"/>
        <w:r w:rsidRPr="00F73584">
          <w:rPr>
            <w:rFonts w:ascii="Arial" w:hAnsi="Arial" w:cs="Arial"/>
            <w:color w:val="0000EE"/>
            <w:sz w:val="20"/>
            <w:szCs w:val="20"/>
            <w:u w:val="single" w:color="0000EE"/>
          </w:rPr>
          <w:t xml:space="preserve"> et al., 2024)</w:t>
        </w:r>
      </w:hyperlink>
      <w:r w:rsidRPr="00F73584">
        <w:rPr>
          <w:rFonts w:ascii="Arial" w:hAnsi="Arial" w:cs="Arial"/>
          <w:color w:val="000000"/>
          <w:sz w:val="20"/>
          <w:szCs w:val="20"/>
        </w:rPr>
        <w:t xml:space="preserve">. Cardiovascular strain, dehydration, heat exhaustion, and musculoskeletal injuries are common concerns </w:t>
      </w:r>
      <w:hyperlink w:anchor="91f305a8dfde3ea5bd4daabd800fe7e8_ref" w:history="1">
        <w:r w:rsidRPr="00F73584">
          <w:rPr>
            <w:rFonts w:ascii="Arial" w:hAnsi="Arial" w:cs="Arial"/>
            <w:color w:val="0000EE"/>
            <w:sz w:val="20"/>
            <w:szCs w:val="20"/>
            <w:u w:val="single" w:color="0000EE"/>
          </w:rPr>
          <w:t>(</w:t>
        </w:r>
        <w:proofErr w:type="spellStart"/>
        <w:r w:rsidRPr="00F73584">
          <w:rPr>
            <w:rFonts w:ascii="Arial" w:hAnsi="Arial" w:cs="Arial"/>
            <w:color w:val="0000EE"/>
            <w:sz w:val="20"/>
            <w:szCs w:val="20"/>
            <w:u w:val="single" w:color="0000EE"/>
          </w:rPr>
          <w:t>Gautret</w:t>
        </w:r>
        <w:proofErr w:type="spellEnd"/>
        <w:r w:rsidRPr="00F73584">
          <w:rPr>
            <w:rFonts w:ascii="Arial" w:hAnsi="Arial" w:cs="Arial"/>
            <w:color w:val="0000EE"/>
            <w:sz w:val="20"/>
            <w:szCs w:val="20"/>
            <w:u w:val="single" w:color="0000EE"/>
          </w:rPr>
          <w:t xml:space="preserve"> et al., 2009; </w:t>
        </w:r>
        <w:proofErr w:type="spellStart"/>
        <w:r w:rsidRPr="00F73584">
          <w:rPr>
            <w:rFonts w:ascii="Arial" w:hAnsi="Arial" w:cs="Arial"/>
            <w:color w:val="0000EE"/>
            <w:sz w:val="20"/>
            <w:szCs w:val="20"/>
            <w:u w:val="single" w:color="0000EE"/>
          </w:rPr>
          <w:t>Samarkandi</w:t>
        </w:r>
        <w:proofErr w:type="spellEnd"/>
        <w:r w:rsidRPr="00F73584">
          <w:rPr>
            <w:rFonts w:ascii="Arial" w:hAnsi="Arial" w:cs="Arial"/>
            <w:color w:val="0000EE"/>
            <w:sz w:val="20"/>
            <w:szCs w:val="20"/>
            <w:u w:val="single" w:color="0000EE"/>
          </w:rPr>
          <w:t xml:space="preserve"> et al., 2025)</w:t>
        </w:r>
      </w:hyperlink>
      <w:r w:rsidRPr="00F73584">
        <w:rPr>
          <w:rFonts w:ascii="Arial" w:hAnsi="Arial" w:cs="Arial"/>
          <w:color w:val="000000"/>
          <w:sz w:val="20"/>
          <w:szCs w:val="20"/>
        </w:rPr>
        <w:t xml:space="preserve">. Additionally, crowded conditions and close proximity to other pilgrims can increase the risk of infectious disease transmission </w:t>
      </w:r>
      <w:hyperlink w:anchor="d163e41eada4350eacad52a623e7653e_ref" w:history="1">
        <w:r w:rsidRPr="00F73584">
          <w:rPr>
            <w:rFonts w:ascii="Arial" w:hAnsi="Arial" w:cs="Arial"/>
            <w:color w:val="0000EE"/>
            <w:sz w:val="20"/>
            <w:szCs w:val="20"/>
            <w:u w:val="single" w:color="0000EE"/>
          </w:rPr>
          <w:t>(Haseeb et al., 2023)</w:t>
        </w:r>
      </w:hyperlink>
      <w:r w:rsidRPr="00F73584">
        <w:rPr>
          <w:rFonts w:ascii="Arial" w:hAnsi="Arial" w:cs="Arial"/>
          <w:color w:val="000000"/>
          <w:sz w:val="20"/>
          <w:szCs w:val="20"/>
        </w:rPr>
        <w:t xml:space="preserve">.To mitigate these health risks, pilgrims undergo thorough medical evaluations before embarking on their journeys. Proper preparation, including physical conditioning, is expected to reduce the likelihood of health complications. </w:t>
      </w:r>
      <w:r w:rsidRPr="00F73584">
        <w:rPr>
          <w:rFonts w:ascii="Arial" w:eastAsia="null" w:hAnsi="Arial" w:cs="Arial"/>
          <w:color w:val="000000"/>
          <w:sz w:val="20"/>
          <w:szCs w:val="20"/>
        </w:rPr>
        <w:t xml:space="preserve"> Understanding the health status of pilgrims before their journey is crucial for implementing effective preventive measures and ensuring their safety during this spiritually important but physically challenging pilgrimage </w:t>
      </w:r>
      <w:hyperlink w:anchor="c16a307cabb23935b0b7f4d8b94ecb4b_ref" w:history="1">
        <w:r w:rsidRPr="00F73584">
          <w:rPr>
            <w:rFonts w:ascii="Arial" w:hAnsi="Arial" w:cs="Arial"/>
            <w:color w:val="0000EE"/>
            <w:sz w:val="20"/>
            <w:szCs w:val="20"/>
            <w:u w:val="single" w:color="0000EE"/>
          </w:rPr>
          <w:t>(</w:t>
        </w:r>
        <w:proofErr w:type="spellStart"/>
        <w:r w:rsidRPr="00F73584">
          <w:rPr>
            <w:rFonts w:ascii="Arial" w:hAnsi="Arial" w:cs="Arial"/>
            <w:color w:val="0000EE"/>
            <w:sz w:val="20"/>
            <w:szCs w:val="20"/>
            <w:u w:val="single" w:color="0000EE"/>
          </w:rPr>
          <w:t>Yezli</w:t>
        </w:r>
        <w:proofErr w:type="spellEnd"/>
        <w:r w:rsidRPr="00F73584">
          <w:rPr>
            <w:rFonts w:ascii="Arial" w:hAnsi="Arial" w:cs="Arial"/>
            <w:color w:val="0000EE"/>
            <w:sz w:val="20"/>
            <w:szCs w:val="20"/>
            <w:u w:val="single" w:color="0000EE"/>
          </w:rPr>
          <w:t xml:space="preserve"> et al., 2021)</w:t>
        </w:r>
      </w:hyperlink>
      <w:r w:rsidRPr="00F73584">
        <w:rPr>
          <w:rFonts w:ascii="Arial" w:eastAsia="null" w:hAnsi="Arial" w:cs="Arial"/>
          <w:color w:val="000000"/>
          <w:sz w:val="20"/>
          <w:szCs w:val="20"/>
        </w:rPr>
        <w:t>.</w:t>
      </w:r>
    </w:p>
    <w:p w14:paraId="4BDECF59" w14:textId="229FDD6F" w:rsidR="00942491" w:rsidRDefault="00BB42FD" w:rsidP="00F73584">
      <w:pPr>
        <w:spacing w:line="480" w:lineRule="auto"/>
        <w:jc w:val="both"/>
        <w:rPr>
          <w:rFonts w:ascii="Arial" w:hAnsi="Arial" w:cs="Arial"/>
          <w:color w:val="000000"/>
          <w:sz w:val="20"/>
          <w:szCs w:val="20"/>
        </w:rPr>
      </w:pPr>
      <w:r w:rsidRPr="00F73584">
        <w:rPr>
          <w:rFonts w:ascii="Arial" w:hAnsi="Arial" w:cs="Arial"/>
          <w:color w:val="000000"/>
          <w:sz w:val="20"/>
          <w:szCs w:val="20"/>
        </w:rPr>
        <w:t xml:space="preserve">In Côte d'Ivoire, individuals wishing to perform Hajj must undergo medical examinations, including clinical and biological tests. A brief laboratory assessment includes tests for diabetes mellitus, hepatic and renal status, and anemia. However, these medical results are not integrated into the selection decision-making process. </w:t>
      </w:r>
      <w:r w:rsidRPr="00F73584">
        <w:rPr>
          <w:rFonts w:ascii="Arial" w:eastAsia="&quot;IBM Plex Sans&quot;, Arial, &quot;Segoe" w:hAnsi="Arial" w:cs="Arial"/>
          <w:color w:val="000000"/>
          <w:sz w:val="20"/>
          <w:szCs w:val="20"/>
        </w:rPr>
        <w:t xml:space="preserve"> It is unknown whether laboratory profiles correlate with clinical assessments and patient medical statements. In addition, it is unknown whether the summary laboratory assessment of Hajj candidates in Côte d'Ivoire can be used to predict potential health decompensation during the pilgrimage or whether older </w:t>
      </w:r>
      <w:r w:rsidRPr="00F73584">
        <w:rPr>
          <w:rFonts w:ascii="Arial" w:eastAsia="&quot;IBM Plex Sans&quot;, Arial, &quot;Segoe" w:hAnsi="Arial" w:cs="Arial"/>
          <w:color w:val="000000"/>
          <w:sz w:val="20"/>
          <w:szCs w:val="20"/>
        </w:rPr>
        <w:lastRenderedPageBreak/>
        <w:t>pilgrims are at greater risk of decompensation. Due to an age-related weakening of the general metabolic balance and immune system, we assume that older pilgrims may be more susceptible to diseases that could not be revealed by clinical examination and patient verbal statements. Therefore, t</w:t>
      </w:r>
      <w:r w:rsidRPr="00F73584">
        <w:rPr>
          <w:rFonts w:ascii="Arial" w:hAnsi="Arial" w:cs="Arial"/>
          <w:color w:val="000000"/>
          <w:sz w:val="20"/>
          <w:szCs w:val="20"/>
        </w:rPr>
        <w:t>his study aimed to determine the relevance of the summary laboratory assessment of Hajj candidates in Côte d'Ivoire in screening for chronic frequent diseases. Specifically, the aim was to identify biological disturbances and determine potential associations between the laboratory profile, clinical assessment, verbal medical statements, and potential decline.</w:t>
      </w:r>
    </w:p>
    <w:p w14:paraId="69FEB0DB" w14:textId="77777777" w:rsidR="00EB2CAF" w:rsidRPr="00F73584" w:rsidRDefault="00EB2CAF" w:rsidP="00F73584">
      <w:pPr>
        <w:spacing w:line="480" w:lineRule="auto"/>
        <w:jc w:val="both"/>
        <w:rPr>
          <w:rFonts w:ascii="Arial" w:hAnsi="Arial" w:cs="Arial"/>
          <w:sz w:val="20"/>
          <w:szCs w:val="20"/>
        </w:rPr>
      </w:pPr>
    </w:p>
    <w:p w14:paraId="5AC7A625" w14:textId="0272B7C7" w:rsidR="00942491" w:rsidRPr="00E202AB" w:rsidRDefault="00BB42FD" w:rsidP="00F73584">
      <w:pPr>
        <w:pStyle w:val="Heading3"/>
        <w:numPr>
          <w:ilvl w:val="0"/>
          <w:numId w:val="12"/>
        </w:numPr>
        <w:jc w:val="both"/>
        <w:rPr>
          <w:sz w:val="22"/>
          <w:szCs w:val="22"/>
        </w:rPr>
      </w:pPr>
      <w:bookmarkStart w:id="1" w:name="_Toc256000013"/>
      <w:r w:rsidRPr="00E202AB">
        <w:rPr>
          <w:sz w:val="22"/>
          <w:szCs w:val="22"/>
        </w:rPr>
        <w:t>M</w:t>
      </w:r>
      <w:bookmarkEnd w:id="1"/>
      <w:r w:rsidR="004E4442" w:rsidRPr="00E202AB">
        <w:rPr>
          <w:sz w:val="22"/>
          <w:szCs w:val="22"/>
        </w:rPr>
        <w:t>ATERIALS AND METHODS</w:t>
      </w:r>
    </w:p>
    <w:p w14:paraId="383DB202" w14:textId="77777777" w:rsidR="00942491" w:rsidRPr="004E4442" w:rsidRDefault="00942491" w:rsidP="004E4442">
      <w:pPr>
        <w:jc w:val="both"/>
        <w:rPr>
          <w:rFonts w:ascii="Calibri" w:hAnsi="Calibri" w:cs="Calibri"/>
        </w:rPr>
      </w:pPr>
    </w:p>
    <w:p w14:paraId="12495D41" w14:textId="77777777" w:rsidR="00942491" w:rsidRPr="00B24B71" w:rsidRDefault="00BB42FD" w:rsidP="00F73584">
      <w:pPr>
        <w:numPr>
          <w:ilvl w:val="0"/>
          <w:numId w:val="13"/>
        </w:numPr>
        <w:jc w:val="both"/>
        <w:rPr>
          <w:rFonts w:ascii="Arial" w:hAnsi="Arial" w:cs="Arial"/>
          <w:b/>
          <w:color w:val="000000"/>
          <w:sz w:val="22"/>
          <w:szCs w:val="22"/>
        </w:rPr>
      </w:pPr>
      <w:r w:rsidRPr="00B24B71">
        <w:rPr>
          <w:rFonts w:ascii="Arial" w:hAnsi="Arial" w:cs="Arial"/>
          <w:b/>
          <w:color w:val="000000"/>
          <w:sz w:val="22"/>
          <w:szCs w:val="22"/>
        </w:rPr>
        <w:t xml:space="preserve">Study design, variables and selection criteria </w:t>
      </w:r>
    </w:p>
    <w:p w14:paraId="238B47A7" w14:textId="77777777" w:rsidR="00942491" w:rsidRPr="004E4442" w:rsidRDefault="00942491" w:rsidP="004E4442">
      <w:pPr>
        <w:ind w:left="180"/>
        <w:jc w:val="both"/>
        <w:rPr>
          <w:rFonts w:ascii="Calibri" w:hAnsi="Calibri" w:cs="Calibri"/>
        </w:rPr>
      </w:pPr>
    </w:p>
    <w:p w14:paraId="31489E9F" w14:textId="77777777" w:rsidR="00942491" w:rsidRPr="00E202AB" w:rsidRDefault="00BB42FD" w:rsidP="00E202AB">
      <w:pPr>
        <w:spacing w:line="480" w:lineRule="auto"/>
        <w:jc w:val="both"/>
        <w:rPr>
          <w:rFonts w:ascii="Arial" w:hAnsi="Arial" w:cs="Arial"/>
          <w:sz w:val="20"/>
          <w:szCs w:val="20"/>
        </w:rPr>
      </w:pPr>
      <w:r w:rsidRPr="00E202AB">
        <w:rPr>
          <w:rFonts w:ascii="Arial" w:hAnsi="Arial" w:cs="Arial"/>
          <w:color w:val="000000"/>
          <w:sz w:val="20"/>
          <w:szCs w:val="20"/>
        </w:rPr>
        <w:t>The present study utilized a retrospective descriptive design to analyze the medical records of Hajj candidates from 2012, as documented at the National Institute of Public Hygiene in Abidjan (INHP). A total of 1511 Hajj candidates underwent biological assessments at the INHP. The inclusion criteria stipulated that candidates must have completed biological assessments at the INHP laboratory, with medical records encompassing results for all biological parameters recommended by the Hajj Commission, including hemogram, blood urea nitrogen, blood glucose, blood creatinine, and blood transaminases (ALAT and ASAT), and the requisite sociodemographic and clinical data. The sociodemographic data collected comprised age and sex, while clinical data included systolic and diastolic blood pressure, personal medical history, and any ongoing pharmacological treatment for chronic conditions. Data on high blood pressure were obtained through personal medical history as declared by the patient (verbal-stated) and by measurement using a sphygmomanometer. Diabetes was identified based on the personal medical history declared verbally by the pilgrimage candidate. Suspected cases of diabetes were identified using blood glucose measurements.</w:t>
      </w:r>
    </w:p>
    <w:p w14:paraId="49FA0224" w14:textId="77777777" w:rsidR="00942491" w:rsidRPr="004E4442" w:rsidRDefault="00942491" w:rsidP="004E4442">
      <w:pPr>
        <w:jc w:val="both"/>
        <w:rPr>
          <w:rFonts w:ascii="Calibri" w:hAnsi="Calibri" w:cs="Calibri"/>
        </w:rPr>
      </w:pPr>
    </w:p>
    <w:p w14:paraId="17310AC1" w14:textId="77777777" w:rsidR="00942491" w:rsidRPr="00B24B71" w:rsidRDefault="00BB42FD" w:rsidP="00E202AB">
      <w:pPr>
        <w:numPr>
          <w:ilvl w:val="0"/>
          <w:numId w:val="13"/>
        </w:numPr>
        <w:jc w:val="both"/>
        <w:rPr>
          <w:rFonts w:ascii="Arial" w:hAnsi="Arial" w:cs="Arial"/>
          <w:b/>
          <w:color w:val="000000"/>
          <w:sz w:val="22"/>
          <w:szCs w:val="22"/>
        </w:rPr>
      </w:pPr>
      <w:r w:rsidRPr="00B24B71">
        <w:rPr>
          <w:rFonts w:ascii="Arial" w:hAnsi="Arial" w:cs="Arial"/>
          <w:b/>
          <w:color w:val="000000"/>
          <w:sz w:val="22"/>
          <w:szCs w:val="22"/>
        </w:rPr>
        <w:t xml:space="preserve">Biological material and laboratory analysis </w:t>
      </w:r>
    </w:p>
    <w:p w14:paraId="4F764243" w14:textId="77777777" w:rsidR="00942491" w:rsidRPr="004E4442" w:rsidRDefault="00942491" w:rsidP="004E4442">
      <w:pPr>
        <w:ind w:left="180"/>
        <w:jc w:val="both"/>
        <w:rPr>
          <w:rFonts w:ascii="Calibri" w:hAnsi="Calibri" w:cs="Calibri"/>
        </w:rPr>
      </w:pPr>
    </w:p>
    <w:p w14:paraId="764B2E4B" w14:textId="5944BF8D" w:rsidR="00942491" w:rsidRDefault="00BB42FD" w:rsidP="00815090">
      <w:pPr>
        <w:spacing w:line="480" w:lineRule="auto"/>
        <w:jc w:val="both"/>
        <w:rPr>
          <w:rFonts w:ascii="Calibri" w:hAnsi="Calibri" w:cs="Calibri"/>
          <w:color w:val="000000"/>
        </w:rPr>
      </w:pPr>
      <w:r w:rsidRPr="00E202AB">
        <w:rPr>
          <w:rFonts w:ascii="Arial" w:hAnsi="Arial" w:cs="Arial"/>
          <w:color w:val="000000"/>
          <w:sz w:val="20"/>
          <w:szCs w:val="20"/>
        </w:rPr>
        <w:t xml:space="preserve">The biological assessment included the quantification of blood hemoglobin (Hb), urea, glucose, and creatinine levels, as well as the activity of serum alanine aminotransferase (ALAT) and aspartate </w:t>
      </w:r>
      <w:r w:rsidRPr="00E202AB">
        <w:rPr>
          <w:rFonts w:ascii="Arial" w:hAnsi="Arial" w:cs="Arial"/>
          <w:color w:val="000000"/>
          <w:sz w:val="20"/>
          <w:szCs w:val="20"/>
        </w:rPr>
        <w:lastRenderedPageBreak/>
        <w:t xml:space="preserve">aminotransferase (ASAT). Hemoglobin concentrations were measured using the </w:t>
      </w:r>
      <w:proofErr w:type="spellStart"/>
      <w:r w:rsidRPr="00E202AB">
        <w:rPr>
          <w:rFonts w:ascii="Arial" w:hAnsi="Arial" w:cs="Arial"/>
          <w:color w:val="000000"/>
          <w:sz w:val="20"/>
          <w:szCs w:val="20"/>
        </w:rPr>
        <w:t>Drakbin</w:t>
      </w:r>
      <w:proofErr w:type="spellEnd"/>
      <w:r w:rsidRPr="00E202AB">
        <w:rPr>
          <w:rFonts w:ascii="Arial" w:hAnsi="Arial" w:cs="Arial"/>
          <w:color w:val="000000"/>
          <w:sz w:val="20"/>
          <w:szCs w:val="20"/>
        </w:rPr>
        <w:t xml:space="preserve"> colorimetric method on an SF-3000 automaton (SYSMEX). For biochemical parameters, the FULLY automaton from Biosystems was used. Enzymatic methods were used to measure glucose, urea, and transaminases, while the </w:t>
      </w:r>
      <w:proofErr w:type="spellStart"/>
      <w:r w:rsidRPr="00E202AB">
        <w:rPr>
          <w:rFonts w:ascii="Arial" w:hAnsi="Arial" w:cs="Arial"/>
          <w:color w:val="000000"/>
          <w:sz w:val="20"/>
          <w:szCs w:val="20"/>
        </w:rPr>
        <w:t>Jaffé</w:t>
      </w:r>
      <w:proofErr w:type="spellEnd"/>
      <w:r w:rsidRPr="00E202AB">
        <w:rPr>
          <w:rFonts w:ascii="Arial" w:hAnsi="Arial" w:cs="Arial"/>
          <w:color w:val="000000"/>
          <w:sz w:val="20"/>
          <w:szCs w:val="20"/>
        </w:rPr>
        <w:t xml:space="preserve"> colorimetric method was used for creatinine determination. The raw quantitative results of the biological analyses were categorized into qualitative data </w:t>
      </w:r>
      <w:proofErr w:type="gramStart"/>
      <w:r w:rsidRPr="00E202AB">
        <w:rPr>
          <w:rFonts w:ascii="Arial" w:hAnsi="Arial" w:cs="Arial"/>
          <w:color w:val="000000"/>
          <w:sz w:val="20"/>
          <w:szCs w:val="20"/>
        </w:rPr>
        <w:t>and  interpreted</w:t>
      </w:r>
      <w:proofErr w:type="gramEnd"/>
      <w:r w:rsidRPr="00E202AB">
        <w:rPr>
          <w:rFonts w:ascii="Arial" w:hAnsi="Arial" w:cs="Arial"/>
          <w:color w:val="000000"/>
          <w:sz w:val="20"/>
          <w:szCs w:val="20"/>
        </w:rPr>
        <w:t xml:space="preserve"> according to the pathological threshold values presented in Table I </w:t>
      </w:r>
      <w:hyperlink w:anchor="8c21ca65fb943da2bfa7159d0ef08a75_ref" w:history="1">
        <w:r w:rsidRPr="00E202AB">
          <w:rPr>
            <w:rFonts w:ascii="Arial" w:hAnsi="Arial" w:cs="Arial"/>
            <w:color w:val="0000EE"/>
            <w:sz w:val="20"/>
            <w:szCs w:val="20"/>
            <w:u w:val="single" w:color="0000EE"/>
          </w:rPr>
          <w:t>(</w:t>
        </w:r>
        <w:proofErr w:type="spellStart"/>
        <w:r w:rsidRPr="00E202AB">
          <w:rPr>
            <w:rFonts w:ascii="Arial" w:hAnsi="Arial" w:cs="Arial"/>
            <w:color w:val="0000EE"/>
            <w:sz w:val="20"/>
            <w:szCs w:val="20"/>
            <w:u w:val="single" w:color="0000EE"/>
          </w:rPr>
          <w:t>Hasumi</w:t>
        </w:r>
        <w:proofErr w:type="spellEnd"/>
        <w:r w:rsidRPr="00E202AB">
          <w:rPr>
            <w:rFonts w:ascii="Arial" w:hAnsi="Arial" w:cs="Arial"/>
            <w:color w:val="0000EE"/>
            <w:sz w:val="20"/>
            <w:szCs w:val="20"/>
            <w:u w:val="single" w:color="0000EE"/>
          </w:rPr>
          <w:t xml:space="preserve"> &amp; Jacobsen, 2012; Raoul, 1980</w:t>
        </w:r>
        <w:r w:rsidR="00B24B71">
          <w:rPr>
            <w:rFonts w:ascii="Arial" w:hAnsi="Arial" w:cs="Arial"/>
            <w:color w:val="0000EE"/>
            <w:sz w:val="20"/>
            <w:szCs w:val="20"/>
            <w:u w:val="single" w:color="0000EE"/>
          </w:rPr>
          <w:t>.</w:t>
        </w:r>
        <w:r w:rsidRPr="00E202AB">
          <w:rPr>
            <w:rFonts w:ascii="Arial" w:hAnsi="Arial" w:cs="Arial"/>
            <w:color w:val="0000EE"/>
            <w:sz w:val="20"/>
            <w:szCs w:val="20"/>
            <w:u w:val="single" w:color="0000EE"/>
          </w:rPr>
          <w:t>)</w:t>
        </w:r>
      </w:hyperlink>
      <w:r w:rsidRPr="00E202AB">
        <w:rPr>
          <w:rFonts w:ascii="Arial" w:hAnsi="Arial" w:cs="Arial"/>
          <w:color w:val="000000"/>
          <w:sz w:val="20"/>
          <w:szCs w:val="20"/>
        </w:rPr>
        <w:t xml:space="preserve"> </w:t>
      </w:r>
      <w:r w:rsidR="00815090">
        <w:rPr>
          <w:rFonts w:ascii="Arial" w:hAnsi="Arial" w:cs="Arial"/>
          <w:color w:val="000000"/>
          <w:sz w:val="20"/>
          <w:szCs w:val="20"/>
          <w:lang w:val="fr-FR"/>
        </w:rPr>
        <w:t>(t</w:t>
      </w:r>
      <w:r w:rsidRPr="004E4442">
        <w:rPr>
          <w:rFonts w:ascii="Calibri" w:hAnsi="Calibri" w:cs="Calibri"/>
          <w:color w:val="000000"/>
        </w:rPr>
        <w:t>able I</w:t>
      </w:r>
      <w:r w:rsidR="00815090">
        <w:rPr>
          <w:rFonts w:ascii="Calibri" w:hAnsi="Calibri" w:cs="Calibri"/>
          <w:color w:val="000000"/>
        </w:rPr>
        <w:t>)</w:t>
      </w:r>
      <w:r w:rsidR="00B24B71">
        <w:rPr>
          <w:rFonts w:ascii="Calibri" w:hAnsi="Calibri" w:cs="Calibri"/>
          <w:color w:val="000000"/>
        </w:rPr>
        <w:t>.</w:t>
      </w:r>
    </w:p>
    <w:p w14:paraId="3D756D1F" w14:textId="5AD967CE" w:rsidR="00B24B71" w:rsidRDefault="00B24B71" w:rsidP="00815090">
      <w:pPr>
        <w:spacing w:line="480" w:lineRule="auto"/>
        <w:jc w:val="both"/>
        <w:rPr>
          <w:rFonts w:ascii="Calibri" w:hAnsi="Calibri" w:cs="Calibri"/>
          <w:color w:val="000000"/>
        </w:rPr>
      </w:pPr>
    </w:p>
    <w:p w14:paraId="617038BA" w14:textId="77777777" w:rsidR="00B24B71" w:rsidRDefault="00B24B71" w:rsidP="00815090">
      <w:pPr>
        <w:spacing w:line="480" w:lineRule="auto"/>
        <w:jc w:val="both"/>
        <w:rPr>
          <w:rFonts w:ascii="Arial" w:hAnsi="Arial" w:cs="Arial"/>
          <w:sz w:val="22"/>
          <w:szCs w:val="22"/>
        </w:rPr>
      </w:pPr>
    </w:p>
    <w:p w14:paraId="223F171F" w14:textId="77777777" w:rsidR="007961D4" w:rsidRDefault="007961D4" w:rsidP="007961D4">
      <w:pPr>
        <w:pStyle w:val="NormalWeb"/>
        <w:spacing w:before="0" w:beforeAutospacing="0" w:after="0" w:afterAutospacing="0"/>
      </w:pPr>
      <w:r w:rsidRPr="007961D4">
        <w:rPr>
          <w:rFonts w:ascii="Arial" w:eastAsiaTheme="minorEastAsia" w:hAnsi="Arial" w:cs="Arial"/>
          <w:b/>
          <w:bCs/>
          <w:color w:val="000000" w:themeColor="text1"/>
          <w:kern w:val="24"/>
          <w:sz w:val="20"/>
          <w:szCs w:val="20"/>
        </w:rPr>
        <w:t xml:space="preserve">Table I : </w:t>
      </w:r>
      <w:r w:rsidRPr="007961D4">
        <w:rPr>
          <w:rFonts w:ascii="Arial" w:eastAsiaTheme="minorEastAsia" w:hAnsi="Arial" w:cs="Arial"/>
          <w:b/>
          <w:bCs/>
          <w:color w:val="000000" w:themeColor="text1"/>
          <w:kern w:val="24"/>
          <w:sz w:val="20"/>
          <w:szCs w:val="20"/>
          <w:lang w:val="en-US"/>
        </w:rPr>
        <w:t>Threshold values used to categorize quantitative variables into pathological qualitative variables</w:t>
      </w:r>
    </w:p>
    <w:p w14:paraId="2E6B76DE" w14:textId="0D46515A" w:rsidR="007961D4" w:rsidRDefault="007961D4" w:rsidP="004E4442">
      <w:pPr>
        <w:jc w:val="both"/>
        <w:rPr>
          <w:rFonts w:ascii="Arial" w:hAnsi="Arial" w:cs="Arial"/>
          <w:sz w:val="22"/>
          <w:szCs w:val="22"/>
        </w:rPr>
      </w:pPr>
    </w:p>
    <w:tbl>
      <w:tblPr>
        <w:tblStyle w:val="PlainTable4"/>
        <w:tblW w:w="9864" w:type="dxa"/>
        <w:tblLook w:val="04A0" w:firstRow="1" w:lastRow="0" w:firstColumn="1" w:lastColumn="0" w:noHBand="0" w:noVBand="1"/>
      </w:tblPr>
      <w:tblGrid>
        <w:gridCol w:w="3742"/>
        <w:gridCol w:w="1757"/>
        <w:gridCol w:w="4365"/>
      </w:tblGrid>
      <w:tr w:rsidR="007961D4" w14:paraId="1E56539E" w14:textId="77777777" w:rsidTr="00815090">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3742" w:type="dxa"/>
            <w:shd w:val="clear" w:color="auto" w:fill="D1D1D1" w:themeFill="background2" w:themeFillShade="E6"/>
            <w:hideMark/>
          </w:tcPr>
          <w:p w14:paraId="43BDDBB3" w14:textId="77777777" w:rsidR="007961D4" w:rsidRDefault="007961D4" w:rsidP="00815090">
            <w:pPr>
              <w:pStyle w:val="NormalWeb"/>
              <w:spacing w:before="240" w:beforeAutospacing="0" w:after="240" w:afterAutospacing="0"/>
              <w:jc w:val="center"/>
              <w:rPr>
                <w:rFonts w:ascii="Arial" w:hAnsi="Arial" w:cs="Arial"/>
                <w:sz w:val="36"/>
                <w:szCs w:val="36"/>
              </w:rPr>
            </w:pPr>
            <w:proofErr w:type="spellStart"/>
            <w:r w:rsidRPr="007961D4">
              <w:rPr>
                <w:rFonts w:ascii="Aptos" w:hAnsi="Aptos" w:cs="Arial"/>
                <w:color w:val="000000" w:themeColor="text1"/>
                <w:kern w:val="24"/>
                <w:sz w:val="20"/>
                <w:szCs w:val="20"/>
              </w:rPr>
              <w:t>Clinical</w:t>
            </w:r>
            <w:proofErr w:type="spellEnd"/>
            <w:r w:rsidRPr="007961D4">
              <w:rPr>
                <w:rFonts w:ascii="Aptos" w:hAnsi="Aptos" w:cs="Arial"/>
                <w:color w:val="000000" w:themeColor="text1"/>
                <w:kern w:val="24"/>
                <w:sz w:val="20"/>
                <w:szCs w:val="20"/>
              </w:rPr>
              <w:t xml:space="preserve"> and </w:t>
            </w:r>
            <w:proofErr w:type="spellStart"/>
            <w:r w:rsidRPr="007961D4">
              <w:rPr>
                <w:rFonts w:ascii="Aptos" w:hAnsi="Aptos" w:cs="Arial"/>
                <w:color w:val="000000" w:themeColor="text1"/>
                <w:kern w:val="24"/>
                <w:sz w:val="20"/>
                <w:szCs w:val="20"/>
              </w:rPr>
              <w:t>Biological</w:t>
            </w:r>
            <w:proofErr w:type="spellEnd"/>
            <w:r w:rsidRPr="007961D4">
              <w:rPr>
                <w:rFonts w:ascii="Aptos" w:hAnsi="Aptos" w:cs="Arial"/>
                <w:color w:val="000000" w:themeColor="text1"/>
                <w:kern w:val="24"/>
                <w:sz w:val="20"/>
                <w:szCs w:val="20"/>
              </w:rPr>
              <w:t xml:space="preserve"> Variables</w:t>
            </w:r>
          </w:p>
        </w:tc>
        <w:tc>
          <w:tcPr>
            <w:tcW w:w="1757" w:type="dxa"/>
            <w:shd w:val="clear" w:color="auto" w:fill="D1D1D1" w:themeFill="background2" w:themeFillShade="E6"/>
            <w:hideMark/>
          </w:tcPr>
          <w:p w14:paraId="65A236C5" w14:textId="77777777" w:rsidR="007961D4" w:rsidRDefault="007961D4">
            <w:pPr>
              <w:pStyle w:val="NormalWeb"/>
              <w:spacing w:before="240" w:beforeAutospacing="0" w:after="24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Normal value</w:t>
            </w:r>
          </w:p>
        </w:tc>
        <w:tc>
          <w:tcPr>
            <w:tcW w:w="4365" w:type="dxa"/>
            <w:shd w:val="clear" w:color="auto" w:fill="D1D1D1" w:themeFill="background2" w:themeFillShade="E6"/>
            <w:hideMark/>
          </w:tcPr>
          <w:p w14:paraId="1B1C0E1E" w14:textId="77777777" w:rsidR="007961D4" w:rsidRDefault="007961D4" w:rsidP="00815090">
            <w:pPr>
              <w:pStyle w:val="NormalWeb"/>
              <w:spacing w:before="240" w:beforeAutospacing="0" w:after="24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Pathological</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threshold</w:t>
            </w:r>
            <w:proofErr w:type="spellEnd"/>
            <w:r w:rsidRPr="007961D4">
              <w:rPr>
                <w:rFonts w:ascii="Aptos" w:hAnsi="Aptos" w:cs="Arial"/>
                <w:color w:val="000000" w:themeColor="text1"/>
                <w:kern w:val="24"/>
                <w:sz w:val="20"/>
                <w:szCs w:val="20"/>
              </w:rPr>
              <w:t xml:space="preserve"> values</w:t>
            </w:r>
          </w:p>
        </w:tc>
      </w:tr>
      <w:tr w:rsidR="007961D4" w14:paraId="65B6BAE5" w14:textId="77777777" w:rsidTr="00815090">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70D28925"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Pression artérielle systolique (PAS) mm Hg</w:t>
            </w:r>
          </w:p>
          <w:p w14:paraId="57E44BD9"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Pression artérielle diastolique (PAD) mm Hg</w:t>
            </w:r>
          </w:p>
        </w:tc>
        <w:tc>
          <w:tcPr>
            <w:tcW w:w="1757" w:type="dxa"/>
            <w:shd w:val="clear" w:color="auto" w:fill="auto"/>
            <w:hideMark/>
          </w:tcPr>
          <w:p w14:paraId="6C3EA3F6"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&lt; 120</w:t>
            </w:r>
          </w:p>
          <w:p w14:paraId="3A25164B"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&lt; 85</w:t>
            </w:r>
          </w:p>
        </w:tc>
        <w:tc>
          <w:tcPr>
            <w:tcW w:w="4365" w:type="dxa"/>
            <w:shd w:val="clear" w:color="auto" w:fill="auto"/>
            <w:hideMark/>
          </w:tcPr>
          <w:p w14:paraId="3BD513E3"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Low </w:t>
            </w:r>
            <w:proofErr w:type="spellStart"/>
            <w:r w:rsidRPr="007961D4">
              <w:rPr>
                <w:rFonts w:ascii="Aptos" w:hAnsi="Aptos" w:cs="Arial"/>
                <w:color w:val="000000" w:themeColor="text1"/>
                <w:kern w:val="24"/>
                <w:sz w:val="20"/>
                <w:szCs w:val="20"/>
              </w:rPr>
              <w:t>blood</w:t>
            </w:r>
            <w:proofErr w:type="spellEnd"/>
            <w:r w:rsidRPr="007961D4">
              <w:rPr>
                <w:rFonts w:ascii="Aptos" w:hAnsi="Aptos" w:cs="Arial"/>
                <w:color w:val="000000" w:themeColor="text1"/>
                <w:kern w:val="24"/>
                <w:sz w:val="20"/>
                <w:szCs w:val="20"/>
              </w:rPr>
              <w:t xml:space="preserve"> pressure : PAS &lt; 100 or PAD &lt; 60 </w:t>
            </w:r>
          </w:p>
          <w:p w14:paraId="7868C0BB"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High </w:t>
            </w:r>
            <w:proofErr w:type="spellStart"/>
            <w:r w:rsidRPr="007961D4">
              <w:rPr>
                <w:rFonts w:ascii="Aptos" w:hAnsi="Aptos" w:cs="Arial"/>
                <w:color w:val="000000" w:themeColor="text1"/>
                <w:kern w:val="24"/>
                <w:sz w:val="20"/>
                <w:szCs w:val="20"/>
              </w:rPr>
              <w:t>blood</w:t>
            </w:r>
            <w:proofErr w:type="spellEnd"/>
            <w:r w:rsidRPr="007961D4">
              <w:rPr>
                <w:rFonts w:ascii="Aptos" w:hAnsi="Aptos" w:cs="Arial"/>
                <w:color w:val="000000" w:themeColor="text1"/>
                <w:kern w:val="24"/>
                <w:sz w:val="20"/>
                <w:szCs w:val="20"/>
              </w:rPr>
              <w:t xml:space="preserve"> pressure : PAS ≥ 140 and/or  PAD ≥ 90 </w:t>
            </w:r>
          </w:p>
        </w:tc>
      </w:tr>
      <w:tr w:rsidR="007961D4" w14:paraId="1A157D7B" w14:textId="77777777" w:rsidTr="00815090">
        <w:trPr>
          <w:trHeight w:val="869"/>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2E2CD1DD" w14:textId="77777777" w:rsidR="007961D4" w:rsidRDefault="007961D4">
            <w:pPr>
              <w:pStyle w:val="NormalWeb"/>
              <w:spacing w:before="0" w:beforeAutospacing="0" w:after="200" w:afterAutospacing="0"/>
              <w:rPr>
                <w:rFonts w:ascii="Arial" w:hAnsi="Arial" w:cs="Arial"/>
                <w:sz w:val="36"/>
                <w:szCs w:val="36"/>
              </w:rPr>
            </w:pPr>
            <w:proofErr w:type="spellStart"/>
            <w:r w:rsidRPr="007961D4">
              <w:rPr>
                <w:rFonts w:ascii="Aptos" w:hAnsi="Aptos" w:cs="Arial"/>
                <w:color w:val="000000" w:themeColor="text1"/>
                <w:kern w:val="24"/>
                <w:sz w:val="20"/>
                <w:szCs w:val="20"/>
              </w:rPr>
              <w:t>Hemoglobin</w:t>
            </w:r>
            <w:proofErr w:type="spellEnd"/>
            <w:r w:rsidRPr="007961D4">
              <w:rPr>
                <w:rFonts w:ascii="Aptos" w:hAnsi="Aptos" w:cs="Arial"/>
                <w:color w:val="000000" w:themeColor="text1"/>
                <w:kern w:val="24"/>
                <w:sz w:val="20"/>
                <w:szCs w:val="20"/>
              </w:rPr>
              <w:t xml:space="preserve"> rate (g/dl)</w:t>
            </w:r>
          </w:p>
        </w:tc>
        <w:tc>
          <w:tcPr>
            <w:tcW w:w="1757" w:type="dxa"/>
            <w:shd w:val="clear" w:color="auto" w:fill="auto"/>
            <w:hideMark/>
          </w:tcPr>
          <w:p w14:paraId="087BC9A1" w14:textId="77777777" w:rsidR="007961D4" w:rsidRDefault="007961D4">
            <w:pPr>
              <w:pStyle w:val="NormalWeb"/>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Male : 13-18</w:t>
            </w:r>
          </w:p>
          <w:p w14:paraId="0FF2DDC3" w14:textId="77777777" w:rsidR="007961D4" w:rsidRDefault="007961D4">
            <w:pPr>
              <w:pStyle w:val="NormalWeb"/>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Female</w:t>
            </w:r>
            <w:proofErr w:type="spellEnd"/>
            <w:r w:rsidRPr="007961D4">
              <w:rPr>
                <w:rFonts w:ascii="Aptos" w:hAnsi="Aptos" w:cs="Arial"/>
                <w:color w:val="000000" w:themeColor="text1"/>
                <w:kern w:val="24"/>
                <w:sz w:val="20"/>
                <w:szCs w:val="20"/>
              </w:rPr>
              <w:t> : 12-16</w:t>
            </w:r>
          </w:p>
        </w:tc>
        <w:tc>
          <w:tcPr>
            <w:tcW w:w="4365" w:type="dxa"/>
            <w:shd w:val="clear" w:color="auto" w:fill="auto"/>
            <w:hideMark/>
          </w:tcPr>
          <w:p w14:paraId="7332451F" w14:textId="77777777" w:rsidR="007961D4" w:rsidRDefault="007961D4">
            <w:pPr>
              <w:pStyle w:val="NormalWeb"/>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Male </w:t>
            </w:r>
            <w:proofErr w:type="spellStart"/>
            <w:r w:rsidRPr="007961D4">
              <w:rPr>
                <w:rFonts w:ascii="Aptos" w:hAnsi="Aptos" w:cs="Arial"/>
                <w:color w:val="000000" w:themeColor="text1"/>
                <w:kern w:val="24"/>
                <w:sz w:val="20"/>
                <w:szCs w:val="20"/>
              </w:rPr>
              <w:t>Anemia</w:t>
            </w:r>
            <w:proofErr w:type="spellEnd"/>
            <w:r w:rsidRPr="007961D4">
              <w:rPr>
                <w:rFonts w:ascii="Aptos" w:hAnsi="Aptos" w:cs="Arial"/>
                <w:color w:val="000000" w:themeColor="text1"/>
                <w:kern w:val="24"/>
                <w:sz w:val="20"/>
                <w:szCs w:val="20"/>
              </w:rPr>
              <w:t xml:space="preserve"> : &lt; 13</w:t>
            </w:r>
          </w:p>
          <w:p w14:paraId="6A92BACF" w14:textId="77777777" w:rsidR="007961D4" w:rsidRDefault="007961D4">
            <w:pPr>
              <w:pStyle w:val="NormalWeb"/>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Female</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Anemia</w:t>
            </w:r>
            <w:proofErr w:type="spellEnd"/>
            <w:r w:rsidRPr="007961D4">
              <w:rPr>
                <w:rFonts w:ascii="Aptos" w:hAnsi="Aptos" w:cs="Arial"/>
                <w:color w:val="000000" w:themeColor="text1"/>
                <w:kern w:val="24"/>
                <w:sz w:val="20"/>
                <w:szCs w:val="20"/>
              </w:rPr>
              <w:t xml:space="preserve"> : &lt; 12</w:t>
            </w:r>
          </w:p>
        </w:tc>
      </w:tr>
      <w:tr w:rsidR="007961D4" w14:paraId="2569CBDD" w14:textId="77777777" w:rsidTr="00815090">
        <w:trPr>
          <w:cnfStyle w:val="000000100000" w:firstRow="0" w:lastRow="0" w:firstColumn="0" w:lastColumn="0" w:oddVBand="0" w:evenVBand="0" w:oddHBand="1" w:evenHBand="0" w:firstRowFirstColumn="0" w:firstRowLastColumn="0" w:lastRowFirstColumn="0" w:lastRowLastColumn="0"/>
          <w:trHeight w:val="1522"/>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457B88D6"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Blood glucose (g/l)</w:t>
            </w:r>
          </w:p>
        </w:tc>
        <w:tc>
          <w:tcPr>
            <w:tcW w:w="1757" w:type="dxa"/>
            <w:shd w:val="clear" w:color="auto" w:fill="auto"/>
            <w:hideMark/>
          </w:tcPr>
          <w:p w14:paraId="2F3D5994"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0.70- 1.10</w:t>
            </w:r>
          </w:p>
        </w:tc>
        <w:tc>
          <w:tcPr>
            <w:tcW w:w="4365" w:type="dxa"/>
            <w:shd w:val="clear" w:color="auto" w:fill="auto"/>
            <w:hideMark/>
          </w:tcPr>
          <w:p w14:paraId="5FA24274"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Hypoglycemia</w:t>
            </w:r>
            <w:proofErr w:type="spellEnd"/>
            <w:r w:rsidRPr="007961D4">
              <w:rPr>
                <w:rFonts w:ascii="Aptos" w:hAnsi="Aptos" w:cs="Arial"/>
                <w:color w:val="000000" w:themeColor="text1"/>
                <w:kern w:val="24"/>
                <w:sz w:val="20"/>
                <w:szCs w:val="20"/>
              </w:rPr>
              <w:t xml:space="preserve"> : &lt; 0.70</w:t>
            </w:r>
          </w:p>
          <w:p w14:paraId="6EDC451D"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Suspected</w:t>
            </w:r>
            <w:proofErr w:type="spellEnd"/>
            <w:r w:rsidRPr="007961D4">
              <w:rPr>
                <w:rFonts w:ascii="Aptos" w:hAnsi="Aptos" w:cs="Arial"/>
                <w:color w:val="000000" w:themeColor="text1"/>
                <w:kern w:val="24"/>
                <w:sz w:val="20"/>
                <w:szCs w:val="20"/>
              </w:rPr>
              <w:t xml:space="preserve"> glucose </w:t>
            </w:r>
            <w:proofErr w:type="spellStart"/>
            <w:r w:rsidRPr="007961D4">
              <w:rPr>
                <w:rFonts w:ascii="Aptos" w:hAnsi="Aptos" w:cs="Arial"/>
                <w:color w:val="000000" w:themeColor="text1"/>
                <w:kern w:val="24"/>
                <w:sz w:val="20"/>
                <w:szCs w:val="20"/>
              </w:rPr>
              <w:t>intolerance</w:t>
            </w:r>
            <w:proofErr w:type="spellEnd"/>
            <w:r w:rsidRPr="007961D4">
              <w:rPr>
                <w:rFonts w:ascii="Aptos" w:hAnsi="Aptos" w:cs="Arial"/>
                <w:color w:val="000000" w:themeColor="text1"/>
                <w:kern w:val="24"/>
                <w:sz w:val="20"/>
                <w:szCs w:val="20"/>
              </w:rPr>
              <w:t xml:space="preserve"> : [1.10- 1.25]</w:t>
            </w:r>
          </w:p>
          <w:p w14:paraId="135455BC"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Suspected</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Diabetes</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Mellitus</w:t>
            </w:r>
            <w:proofErr w:type="spellEnd"/>
            <w:r w:rsidRPr="007961D4">
              <w:rPr>
                <w:rFonts w:ascii="Aptos" w:hAnsi="Aptos" w:cs="Arial"/>
                <w:color w:val="000000" w:themeColor="text1"/>
                <w:kern w:val="24"/>
                <w:sz w:val="20"/>
                <w:szCs w:val="20"/>
              </w:rPr>
              <w:t xml:space="preserve"> : ≥ 1.26</w:t>
            </w:r>
          </w:p>
        </w:tc>
      </w:tr>
      <w:tr w:rsidR="007961D4" w14:paraId="18F6DCF6" w14:textId="77777777" w:rsidTr="00815090">
        <w:trPr>
          <w:trHeight w:val="761"/>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66BEAA76"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 xml:space="preserve">Blood </w:t>
            </w:r>
            <w:proofErr w:type="spellStart"/>
            <w:r w:rsidRPr="007961D4">
              <w:rPr>
                <w:rFonts w:ascii="Aptos" w:hAnsi="Aptos" w:cs="Arial"/>
                <w:color w:val="000000" w:themeColor="text1"/>
                <w:kern w:val="24"/>
                <w:sz w:val="20"/>
                <w:szCs w:val="20"/>
              </w:rPr>
              <w:t>Urea</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Nitrogen</w:t>
            </w:r>
            <w:proofErr w:type="spellEnd"/>
            <w:r w:rsidRPr="007961D4">
              <w:rPr>
                <w:rFonts w:ascii="Aptos" w:hAnsi="Aptos" w:cs="Arial"/>
                <w:color w:val="000000" w:themeColor="text1"/>
                <w:kern w:val="24"/>
                <w:sz w:val="20"/>
                <w:szCs w:val="20"/>
              </w:rPr>
              <w:t xml:space="preserve"> (g/l)</w:t>
            </w:r>
          </w:p>
        </w:tc>
        <w:tc>
          <w:tcPr>
            <w:tcW w:w="1757" w:type="dxa"/>
            <w:shd w:val="clear" w:color="auto" w:fill="auto"/>
            <w:hideMark/>
          </w:tcPr>
          <w:p w14:paraId="3B9E4E27" w14:textId="77777777" w:rsidR="007961D4" w:rsidRDefault="007961D4">
            <w:pPr>
              <w:pStyle w:val="NormalWeb"/>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0.10- 0.32</w:t>
            </w:r>
          </w:p>
        </w:tc>
        <w:tc>
          <w:tcPr>
            <w:tcW w:w="4365" w:type="dxa"/>
            <w:shd w:val="clear" w:color="auto" w:fill="auto"/>
            <w:hideMark/>
          </w:tcPr>
          <w:p w14:paraId="43290D7A" w14:textId="77777777" w:rsidR="007961D4" w:rsidRDefault="007961D4">
            <w:pPr>
              <w:pStyle w:val="NormalWeb"/>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High </w:t>
            </w:r>
            <w:proofErr w:type="spellStart"/>
            <w:r w:rsidRPr="007961D4">
              <w:rPr>
                <w:rFonts w:ascii="Aptos" w:hAnsi="Aptos" w:cs="Arial"/>
                <w:color w:val="000000" w:themeColor="text1"/>
                <w:kern w:val="24"/>
                <w:sz w:val="20"/>
                <w:szCs w:val="20"/>
              </w:rPr>
              <w:t>blood</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urea</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nitrogen</w:t>
            </w:r>
            <w:proofErr w:type="spellEnd"/>
            <w:r w:rsidRPr="007961D4">
              <w:rPr>
                <w:rFonts w:ascii="Aptos" w:hAnsi="Aptos" w:cs="Arial"/>
                <w:color w:val="000000" w:themeColor="text1"/>
                <w:kern w:val="24"/>
                <w:sz w:val="20"/>
                <w:szCs w:val="20"/>
              </w:rPr>
              <w:t> : &gt; 0.35</w:t>
            </w:r>
          </w:p>
        </w:tc>
      </w:tr>
      <w:tr w:rsidR="007961D4" w14:paraId="44BEEB07" w14:textId="77777777" w:rsidTr="00815090">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51878276"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 xml:space="preserve">Blood </w:t>
            </w:r>
            <w:proofErr w:type="spellStart"/>
            <w:r w:rsidRPr="007961D4">
              <w:rPr>
                <w:rFonts w:ascii="Aptos" w:hAnsi="Aptos" w:cs="Arial"/>
                <w:color w:val="000000" w:themeColor="text1"/>
                <w:kern w:val="24"/>
                <w:sz w:val="20"/>
                <w:szCs w:val="20"/>
              </w:rPr>
              <w:t>Creatinine</w:t>
            </w:r>
            <w:proofErr w:type="spellEnd"/>
            <w:r w:rsidRPr="007961D4">
              <w:rPr>
                <w:rFonts w:ascii="Aptos" w:hAnsi="Aptos" w:cs="Arial"/>
                <w:color w:val="000000" w:themeColor="text1"/>
                <w:kern w:val="24"/>
                <w:sz w:val="20"/>
                <w:szCs w:val="20"/>
              </w:rPr>
              <w:t xml:space="preserve"> (mg/l)</w:t>
            </w:r>
          </w:p>
        </w:tc>
        <w:tc>
          <w:tcPr>
            <w:tcW w:w="1757" w:type="dxa"/>
            <w:shd w:val="clear" w:color="auto" w:fill="auto"/>
            <w:hideMark/>
          </w:tcPr>
          <w:p w14:paraId="56A4D271"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5-12</w:t>
            </w:r>
          </w:p>
        </w:tc>
        <w:tc>
          <w:tcPr>
            <w:tcW w:w="4365" w:type="dxa"/>
            <w:shd w:val="clear" w:color="auto" w:fill="auto"/>
            <w:hideMark/>
          </w:tcPr>
          <w:p w14:paraId="0C2A1045"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High </w:t>
            </w:r>
            <w:proofErr w:type="spellStart"/>
            <w:r w:rsidRPr="007961D4">
              <w:rPr>
                <w:rFonts w:ascii="Aptos" w:hAnsi="Aptos" w:cs="Arial"/>
                <w:color w:val="000000" w:themeColor="text1"/>
                <w:kern w:val="24"/>
                <w:sz w:val="20"/>
                <w:szCs w:val="20"/>
              </w:rPr>
              <w:t>blood</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creatinine</w:t>
            </w:r>
            <w:proofErr w:type="spellEnd"/>
            <w:r w:rsidRPr="007961D4">
              <w:rPr>
                <w:rFonts w:ascii="Aptos" w:hAnsi="Aptos" w:cs="Arial"/>
                <w:color w:val="000000" w:themeColor="text1"/>
                <w:kern w:val="24"/>
                <w:sz w:val="20"/>
                <w:szCs w:val="20"/>
              </w:rPr>
              <w:t> : &gt; 14</w:t>
            </w:r>
          </w:p>
        </w:tc>
      </w:tr>
      <w:tr w:rsidR="007961D4" w14:paraId="5B2E9C3A" w14:textId="77777777" w:rsidTr="00815090">
        <w:trPr>
          <w:trHeight w:val="666"/>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6B4B3BB7"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Transaminase ALAT (UI/L)</w:t>
            </w:r>
          </w:p>
        </w:tc>
        <w:tc>
          <w:tcPr>
            <w:tcW w:w="1757" w:type="dxa"/>
            <w:shd w:val="clear" w:color="auto" w:fill="auto"/>
            <w:hideMark/>
          </w:tcPr>
          <w:p w14:paraId="403EC2F5" w14:textId="77777777" w:rsidR="007961D4" w:rsidRDefault="007961D4">
            <w:pPr>
              <w:pStyle w:val="NormalWeb"/>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5- 42</w:t>
            </w:r>
          </w:p>
        </w:tc>
        <w:tc>
          <w:tcPr>
            <w:tcW w:w="4365" w:type="dxa"/>
            <w:shd w:val="clear" w:color="auto" w:fill="auto"/>
            <w:hideMark/>
          </w:tcPr>
          <w:p w14:paraId="42CA0500" w14:textId="77777777" w:rsidR="007961D4" w:rsidRDefault="007961D4">
            <w:pPr>
              <w:pStyle w:val="NormalWeb"/>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Elevated</w:t>
            </w:r>
            <w:proofErr w:type="spellEnd"/>
            <w:r w:rsidRPr="007961D4">
              <w:rPr>
                <w:rFonts w:ascii="Aptos" w:hAnsi="Aptos" w:cs="Arial"/>
                <w:color w:val="000000" w:themeColor="text1"/>
                <w:kern w:val="24"/>
                <w:sz w:val="20"/>
                <w:szCs w:val="20"/>
              </w:rPr>
              <w:t xml:space="preserve"> ALAT : &gt; 42</w:t>
            </w:r>
          </w:p>
        </w:tc>
      </w:tr>
      <w:tr w:rsidR="007961D4" w14:paraId="3A063C46" w14:textId="77777777" w:rsidTr="00815090">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262C44FF"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Transaminase ASAT (UI/L)</w:t>
            </w:r>
          </w:p>
        </w:tc>
        <w:tc>
          <w:tcPr>
            <w:tcW w:w="1757" w:type="dxa"/>
            <w:shd w:val="clear" w:color="auto" w:fill="auto"/>
            <w:hideMark/>
          </w:tcPr>
          <w:p w14:paraId="0B5FC202"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7- 52</w:t>
            </w:r>
          </w:p>
        </w:tc>
        <w:tc>
          <w:tcPr>
            <w:tcW w:w="4365" w:type="dxa"/>
            <w:shd w:val="clear" w:color="auto" w:fill="auto"/>
            <w:hideMark/>
          </w:tcPr>
          <w:p w14:paraId="73A27242"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Elevated</w:t>
            </w:r>
            <w:proofErr w:type="spellEnd"/>
            <w:r w:rsidRPr="007961D4">
              <w:rPr>
                <w:rFonts w:ascii="Aptos" w:hAnsi="Aptos" w:cs="Arial"/>
                <w:color w:val="000000" w:themeColor="text1"/>
                <w:kern w:val="24"/>
                <w:sz w:val="20"/>
                <w:szCs w:val="20"/>
              </w:rPr>
              <w:t xml:space="preserve"> ASAT : &gt; 52</w:t>
            </w:r>
          </w:p>
        </w:tc>
      </w:tr>
    </w:tbl>
    <w:p w14:paraId="15CE2E0A" w14:textId="441F6F92" w:rsidR="007961D4" w:rsidRDefault="007961D4" w:rsidP="004E4442">
      <w:pPr>
        <w:jc w:val="both"/>
        <w:rPr>
          <w:rFonts w:ascii="Arial" w:hAnsi="Arial" w:cs="Arial"/>
          <w:sz w:val="22"/>
          <w:szCs w:val="22"/>
        </w:rPr>
      </w:pPr>
    </w:p>
    <w:p w14:paraId="05081FCA" w14:textId="77777777" w:rsidR="007961D4" w:rsidRPr="00E202AB" w:rsidRDefault="007961D4" w:rsidP="004E4442">
      <w:pPr>
        <w:jc w:val="both"/>
        <w:rPr>
          <w:rFonts w:ascii="Arial" w:hAnsi="Arial" w:cs="Arial"/>
          <w:sz w:val="22"/>
          <w:szCs w:val="22"/>
        </w:rPr>
      </w:pPr>
    </w:p>
    <w:p w14:paraId="3D3BEBF5" w14:textId="77777777" w:rsidR="00942491" w:rsidRPr="00B24B71" w:rsidRDefault="00BB42FD" w:rsidP="00E202AB">
      <w:pPr>
        <w:numPr>
          <w:ilvl w:val="0"/>
          <w:numId w:val="13"/>
        </w:numPr>
        <w:jc w:val="both"/>
        <w:rPr>
          <w:rFonts w:ascii="Arial" w:hAnsi="Arial" w:cs="Arial"/>
          <w:b/>
          <w:color w:val="000000"/>
          <w:sz w:val="22"/>
          <w:szCs w:val="22"/>
        </w:rPr>
      </w:pPr>
      <w:r w:rsidRPr="00B24B71">
        <w:rPr>
          <w:rFonts w:ascii="Arial" w:hAnsi="Arial" w:cs="Arial"/>
          <w:b/>
          <w:color w:val="000000"/>
          <w:sz w:val="22"/>
          <w:szCs w:val="22"/>
        </w:rPr>
        <w:lastRenderedPageBreak/>
        <w:t xml:space="preserve">Data analysis </w:t>
      </w:r>
    </w:p>
    <w:p w14:paraId="3ED7E175" w14:textId="77777777" w:rsidR="00942491" w:rsidRPr="004E4442" w:rsidRDefault="00942491" w:rsidP="004E4442">
      <w:pPr>
        <w:ind w:left="180"/>
        <w:jc w:val="both"/>
        <w:rPr>
          <w:rFonts w:ascii="Calibri" w:hAnsi="Calibri" w:cs="Calibri"/>
        </w:rPr>
      </w:pPr>
    </w:p>
    <w:p w14:paraId="7AF11BF8" w14:textId="77777777" w:rsidR="00942491" w:rsidRPr="00E202AB" w:rsidRDefault="00BB42FD" w:rsidP="00E202AB">
      <w:pPr>
        <w:spacing w:line="480" w:lineRule="auto"/>
        <w:jc w:val="both"/>
        <w:rPr>
          <w:rFonts w:ascii="Arial" w:hAnsi="Arial" w:cs="Arial"/>
          <w:sz w:val="20"/>
          <w:szCs w:val="20"/>
        </w:rPr>
      </w:pPr>
      <w:r w:rsidRPr="00E202AB">
        <w:rPr>
          <w:rFonts w:ascii="Arial" w:hAnsi="Arial" w:cs="Arial"/>
          <w:color w:val="000000"/>
          <w:sz w:val="20"/>
          <w:szCs w:val="20"/>
        </w:rPr>
        <w:t>Statistical analyses were conducted using Epi Info 2000, version 3.5.1. Chi-square and Fisher’s exact tests were employed to compare frequencies and evaluate associations between variables, with a significance threshold set at 5%.</w:t>
      </w:r>
    </w:p>
    <w:p w14:paraId="0ECAEA77" w14:textId="1EBB4104" w:rsidR="00942491" w:rsidRDefault="00942491" w:rsidP="004E4442">
      <w:pPr>
        <w:jc w:val="both"/>
        <w:rPr>
          <w:rFonts w:ascii="Calibri" w:hAnsi="Calibri" w:cs="Calibri"/>
        </w:rPr>
      </w:pPr>
    </w:p>
    <w:p w14:paraId="10B9EBA8" w14:textId="39F74E7B" w:rsidR="00815090" w:rsidRDefault="00815090" w:rsidP="004E4442">
      <w:pPr>
        <w:jc w:val="both"/>
        <w:rPr>
          <w:rFonts w:ascii="Calibri" w:hAnsi="Calibri" w:cs="Calibri"/>
        </w:rPr>
      </w:pPr>
    </w:p>
    <w:p w14:paraId="5F8A84E5" w14:textId="42A188C0" w:rsidR="00815090" w:rsidRDefault="00815090" w:rsidP="004E4442">
      <w:pPr>
        <w:jc w:val="both"/>
        <w:rPr>
          <w:rFonts w:ascii="Calibri" w:hAnsi="Calibri" w:cs="Calibri"/>
        </w:rPr>
      </w:pPr>
    </w:p>
    <w:p w14:paraId="4A07F35C" w14:textId="45034C5F" w:rsidR="00815090" w:rsidRDefault="00815090" w:rsidP="004E4442">
      <w:pPr>
        <w:jc w:val="both"/>
        <w:rPr>
          <w:rFonts w:ascii="Calibri" w:hAnsi="Calibri" w:cs="Calibri"/>
        </w:rPr>
      </w:pPr>
    </w:p>
    <w:p w14:paraId="2A95ADC8" w14:textId="6C1D9B40" w:rsidR="00815090" w:rsidRDefault="00815090" w:rsidP="004E4442">
      <w:pPr>
        <w:jc w:val="both"/>
        <w:rPr>
          <w:rFonts w:ascii="Calibri" w:hAnsi="Calibri" w:cs="Calibri"/>
        </w:rPr>
      </w:pPr>
    </w:p>
    <w:p w14:paraId="46D9DBAA" w14:textId="77777777" w:rsidR="00815090" w:rsidRPr="004E4442" w:rsidRDefault="00815090" w:rsidP="004E4442">
      <w:pPr>
        <w:jc w:val="both"/>
        <w:rPr>
          <w:rFonts w:ascii="Calibri" w:hAnsi="Calibri" w:cs="Calibri"/>
        </w:rPr>
      </w:pPr>
    </w:p>
    <w:p w14:paraId="199183F7" w14:textId="605BBB44" w:rsidR="00942491" w:rsidRDefault="00BB42FD" w:rsidP="00E202AB">
      <w:pPr>
        <w:pStyle w:val="Heading3"/>
        <w:numPr>
          <w:ilvl w:val="0"/>
          <w:numId w:val="12"/>
        </w:numPr>
        <w:jc w:val="both"/>
        <w:rPr>
          <w:rFonts w:ascii="Calibri" w:hAnsi="Calibri" w:cs="Calibri"/>
          <w:sz w:val="24"/>
          <w:szCs w:val="24"/>
        </w:rPr>
      </w:pPr>
      <w:bookmarkStart w:id="2" w:name="_Toc256000014"/>
      <w:r w:rsidRPr="004E4442">
        <w:rPr>
          <w:rFonts w:ascii="Calibri" w:hAnsi="Calibri" w:cs="Calibri"/>
          <w:sz w:val="24"/>
          <w:szCs w:val="24"/>
        </w:rPr>
        <w:t>RESULTS</w:t>
      </w:r>
      <w:bookmarkEnd w:id="2"/>
      <w:r w:rsidR="00E202AB">
        <w:rPr>
          <w:rFonts w:ascii="Calibri" w:hAnsi="Calibri" w:cs="Calibri"/>
          <w:sz w:val="24"/>
          <w:szCs w:val="24"/>
        </w:rPr>
        <w:t xml:space="preserve"> AND DISCUSSION</w:t>
      </w:r>
    </w:p>
    <w:p w14:paraId="3A2C1B8F" w14:textId="323CC40C" w:rsidR="00E202AB" w:rsidRDefault="00E202AB" w:rsidP="00E202AB"/>
    <w:p w14:paraId="6039C85D" w14:textId="60FBD2E3" w:rsidR="00E202AB" w:rsidRPr="007961D4" w:rsidRDefault="00E202AB" w:rsidP="00E202AB">
      <w:pPr>
        <w:numPr>
          <w:ilvl w:val="0"/>
          <w:numId w:val="15"/>
        </w:numPr>
        <w:rPr>
          <w:rFonts w:ascii="Arial" w:hAnsi="Arial" w:cs="Arial"/>
          <w:b/>
          <w:sz w:val="22"/>
          <w:szCs w:val="22"/>
        </w:rPr>
      </w:pPr>
      <w:r w:rsidRPr="007961D4">
        <w:rPr>
          <w:rFonts w:ascii="Arial" w:hAnsi="Arial" w:cs="Arial"/>
          <w:b/>
          <w:sz w:val="22"/>
          <w:szCs w:val="22"/>
        </w:rPr>
        <w:t>Results</w:t>
      </w:r>
    </w:p>
    <w:p w14:paraId="7E805F10" w14:textId="77777777" w:rsidR="00942491" w:rsidRPr="007961D4" w:rsidRDefault="00942491" w:rsidP="004E4442">
      <w:pPr>
        <w:jc w:val="both"/>
        <w:rPr>
          <w:rFonts w:ascii="Calibri" w:hAnsi="Calibri" w:cs="Calibri"/>
          <w:b/>
        </w:rPr>
      </w:pPr>
    </w:p>
    <w:p w14:paraId="1DCBDBD4" w14:textId="77777777" w:rsidR="00942491" w:rsidRPr="007961D4" w:rsidRDefault="00BB42FD" w:rsidP="00E202AB">
      <w:pPr>
        <w:numPr>
          <w:ilvl w:val="0"/>
          <w:numId w:val="16"/>
        </w:numPr>
        <w:jc w:val="both"/>
        <w:rPr>
          <w:rFonts w:ascii="Arial" w:hAnsi="Arial" w:cs="Arial"/>
          <w:b/>
          <w:sz w:val="20"/>
          <w:szCs w:val="20"/>
          <w:u w:val="single"/>
        </w:rPr>
      </w:pPr>
      <w:r w:rsidRPr="007961D4">
        <w:rPr>
          <w:rFonts w:ascii="Arial" w:hAnsi="Arial" w:cs="Arial"/>
          <w:b/>
          <w:color w:val="000000"/>
          <w:sz w:val="20"/>
          <w:szCs w:val="20"/>
          <w:u w:val="single"/>
        </w:rPr>
        <w:t xml:space="preserve">Clinical features </w:t>
      </w:r>
    </w:p>
    <w:p w14:paraId="30BD26F6" w14:textId="77777777" w:rsidR="00942491" w:rsidRPr="004E4442" w:rsidRDefault="00942491" w:rsidP="004E4442">
      <w:pPr>
        <w:ind w:left="180"/>
        <w:jc w:val="both"/>
        <w:rPr>
          <w:rFonts w:ascii="Calibri" w:hAnsi="Calibri" w:cs="Calibri"/>
        </w:rPr>
      </w:pPr>
    </w:p>
    <w:p w14:paraId="638C8820"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Based on our inclusion criteria, we selected 674 participants for our study, which constituted 44.6% of the 2012 Hajj candidates. The proportion of male participants was 49%. The average age of the participants was 52 years, which is slightly above the life expectancy in Côte d'Ivoire, which was 50 years.</w:t>
      </w:r>
    </w:p>
    <w:p w14:paraId="75C66638"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Among the candidates, 45% exhibited blood-pressure disorders. The medical history indicated that 12.6% had hypertension, 5.49% had diabetes mellitus, and 1.63% had heart disease. Approximately one-third (31.8%) of the study population presented with blood pressure readings that were indicative of potential hypertension. The majority of candidates (71.6%) with elevated blood pressure levels were identified during blood pressure assessments conducted during the pre-pilgrimage consultation (Table II).</w:t>
      </w:r>
    </w:p>
    <w:p w14:paraId="2F63A30D" w14:textId="77777777" w:rsidR="00815090" w:rsidRDefault="00815090" w:rsidP="004E4442">
      <w:pPr>
        <w:jc w:val="both"/>
        <w:rPr>
          <w:rFonts w:ascii="Arial" w:hAnsi="Arial" w:cs="Arial"/>
          <w:b/>
          <w:sz w:val="20"/>
          <w:szCs w:val="20"/>
        </w:rPr>
      </w:pPr>
    </w:p>
    <w:p w14:paraId="3EE3444B" w14:textId="5A8D0B1D" w:rsidR="00942491" w:rsidRPr="00815090" w:rsidRDefault="00815090" w:rsidP="004E4442">
      <w:pPr>
        <w:jc w:val="both"/>
        <w:rPr>
          <w:rFonts w:ascii="Arial" w:hAnsi="Arial" w:cs="Arial"/>
          <w:b/>
          <w:sz w:val="20"/>
          <w:szCs w:val="20"/>
        </w:rPr>
      </w:pPr>
      <w:r>
        <w:rPr>
          <w:rFonts w:ascii="Arial" w:hAnsi="Arial" w:cs="Arial"/>
          <w:b/>
          <w:sz w:val="20"/>
          <w:szCs w:val="20"/>
        </w:rPr>
        <w:t>Table II</w:t>
      </w:r>
      <w:r w:rsidRPr="00815090">
        <w:rPr>
          <w:rFonts w:ascii="Arial" w:hAnsi="Arial" w:cs="Arial"/>
          <w:b/>
          <w:sz w:val="20"/>
          <w:szCs w:val="20"/>
        </w:rPr>
        <w:t>: Distribution of high blood pressure</w:t>
      </w:r>
    </w:p>
    <w:p w14:paraId="4BCB62C9" w14:textId="4916703E" w:rsidR="00815090" w:rsidRDefault="00815090" w:rsidP="004E4442">
      <w:pPr>
        <w:jc w:val="both"/>
        <w:rPr>
          <w:rFonts w:ascii="Calibri" w:hAnsi="Calibri" w:cs="Calibri"/>
        </w:rPr>
      </w:pPr>
    </w:p>
    <w:tbl>
      <w:tblPr>
        <w:tblW w:w="6633" w:type="dxa"/>
        <w:tblCellMar>
          <w:left w:w="0" w:type="dxa"/>
          <w:right w:w="0" w:type="dxa"/>
        </w:tblCellMar>
        <w:tblLook w:val="0600" w:firstRow="0" w:lastRow="0" w:firstColumn="0" w:lastColumn="0" w:noHBand="1" w:noVBand="1"/>
      </w:tblPr>
      <w:tblGrid>
        <w:gridCol w:w="1928"/>
        <w:gridCol w:w="1984"/>
        <w:gridCol w:w="2721"/>
      </w:tblGrid>
      <w:tr w:rsidR="00815090" w:rsidRPr="00815090" w14:paraId="1947EBBA" w14:textId="77777777" w:rsidTr="00815090">
        <w:trPr>
          <w:trHeight w:val="1207"/>
        </w:trPr>
        <w:tc>
          <w:tcPr>
            <w:tcW w:w="1928"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548666A5" w14:textId="77777777" w:rsidR="00815090" w:rsidRPr="00815090" w:rsidRDefault="00815090">
            <w:pPr>
              <w:rPr>
                <w:rFonts w:ascii="Arial" w:hAnsi="Arial" w:cs="Arial"/>
                <w:sz w:val="20"/>
                <w:szCs w:val="20"/>
              </w:rPr>
            </w:pPr>
          </w:p>
        </w:tc>
        <w:tc>
          <w:tcPr>
            <w:tcW w:w="1984" w:type="dxa"/>
            <w:tcBorders>
              <w:top w:val="single" w:sz="12"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431CB1AA" w14:textId="77777777" w:rsidR="00815090" w:rsidRPr="00815090" w:rsidRDefault="00815090">
            <w:pPr>
              <w:pStyle w:val="NormalWeb"/>
              <w:spacing w:before="0" w:beforeAutospacing="0" w:after="0" w:afterAutospacing="0" w:line="276" w:lineRule="auto"/>
              <w:jc w:val="center"/>
              <w:rPr>
                <w:rFonts w:ascii="Arial" w:hAnsi="Arial" w:cs="Arial"/>
                <w:sz w:val="20"/>
                <w:szCs w:val="20"/>
              </w:rPr>
            </w:pPr>
            <w:r w:rsidRPr="00815090">
              <w:rPr>
                <w:rFonts w:ascii="Arial" w:hAnsi="Arial" w:cs="Arial"/>
                <w:b/>
                <w:bCs/>
                <w:color w:val="000000" w:themeColor="text1"/>
                <w:kern w:val="24"/>
                <w:sz w:val="20"/>
                <w:szCs w:val="20"/>
              </w:rPr>
              <w:t>% of all candidates (n=674)</w:t>
            </w:r>
          </w:p>
        </w:tc>
        <w:tc>
          <w:tcPr>
            <w:tcW w:w="2721" w:type="dxa"/>
            <w:tcBorders>
              <w:top w:val="single" w:sz="12"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3ED8ABE9" w14:textId="77777777" w:rsidR="00815090" w:rsidRPr="00815090" w:rsidRDefault="00815090">
            <w:pPr>
              <w:pStyle w:val="NormalWeb"/>
              <w:spacing w:before="0" w:beforeAutospacing="0" w:after="0" w:afterAutospacing="0" w:line="276" w:lineRule="auto"/>
              <w:jc w:val="center"/>
              <w:rPr>
                <w:rFonts w:ascii="Arial" w:hAnsi="Arial" w:cs="Arial"/>
                <w:sz w:val="20"/>
                <w:szCs w:val="20"/>
              </w:rPr>
            </w:pPr>
            <w:r w:rsidRPr="00815090">
              <w:rPr>
                <w:rFonts w:ascii="Arial" w:hAnsi="Arial" w:cs="Arial"/>
                <w:b/>
                <w:bCs/>
                <w:color w:val="000000" w:themeColor="text1"/>
                <w:kern w:val="24"/>
                <w:sz w:val="20"/>
                <w:szCs w:val="20"/>
              </w:rPr>
              <w:t xml:space="preserve">% of </w:t>
            </w:r>
            <w:proofErr w:type="spellStart"/>
            <w:r w:rsidRPr="00815090">
              <w:rPr>
                <w:rFonts w:ascii="Arial" w:hAnsi="Arial" w:cs="Arial"/>
                <w:b/>
                <w:bCs/>
                <w:color w:val="000000" w:themeColor="text1"/>
                <w:kern w:val="24"/>
                <w:sz w:val="20"/>
                <w:szCs w:val="20"/>
              </w:rPr>
              <w:t>those</w:t>
            </w:r>
            <w:proofErr w:type="spellEnd"/>
            <w:r w:rsidRPr="00815090">
              <w:rPr>
                <w:rFonts w:ascii="Arial" w:hAnsi="Arial" w:cs="Arial"/>
                <w:b/>
                <w:bCs/>
                <w:color w:val="000000" w:themeColor="text1"/>
                <w:kern w:val="24"/>
                <w:sz w:val="20"/>
                <w:szCs w:val="20"/>
              </w:rPr>
              <w:t xml:space="preserve"> </w:t>
            </w:r>
            <w:proofErr w:type="spellStart"/>
            <w:r w:rsidRPr="00815090">
              <w:rPr>
                <w:rFonts w:ascii="Arial" w:hAnsi="Arial" w:cs="Arial"/>
                <w:b/>
                <w:bCs/>
                <w:color w:val="000000" w:themeColor="text1"/>
                <w:kern w:val="24"/>
                <w:sz w:val="20"/>
                <w:szCs w:val="20"/>
              </w:rPr>
              <w:t>with</w:t>
            </w:r>
            <w:proofErr w:type="spellEnd"/>
            <w:r w:rsidRPr="00815090">
              <w:rPr>
                <w:rFonts w:ascii="Arial" w:hAnsi="Arial" w:cs="Arial"/>
                <w:b/>
                <w:bCs/>
                <w:color w:val="000000" w:themeColor="text1"/>
                <w:kern w:val="24"/>
                <w:sz w:val="20"/>
                <w:szCs w:val="20"/>
              </w:rPr>
              <w:t xml:space="preserve"> HBP (n=299)</w:t>
            </w:r>
          </w:p>
        </w:tc>
      </w:tr>
      <w:tr w:rsidR="00815090" w:rsidRPr="00815090" w14:paraId="572B5564" w14:textId="77777777" w:rsidTr="00815090">
        <w:trPr>
          <w:trHeight w:val="397"/>
        </w:trPr>
        <w:tc>
          <w:tcPr>
            <w:tcW w:w="1928" w:type="dxa"/>
            <w:tcBorders>
              <w:top w:val="single" w:sz="8" w:space="0" w:color="000000"/>
              <w:left w:val="nil"/>
              <w:bottom w:val="nil"/>
              <w:right w:val="nil"/>
            </w:tcBorders>
            <w:shd w:val="clear" w:color="auto" w:fill="auto"/>
            <w:tcMar>
              <w:top w:w="15" w:type="dxa"/>
              <w:left w:w="70" w:type="dxa"/>
              <w:bottom w:w="0" w:type="dxa"/>
              <w:right w:w="70" w:type="dxa"/>
            </w:tcMar>
            <w:vAlign w:val="center"/>
            <w:hideMark/>
          </w:tcPr>
          <w:p w14:paraId="772B0F7D" w14:textId="77777777" w:rsidR="00815090" w:rsidRPr="00815090" w:rsidRDefault="00815090">
            <w:pPr>
              <w:pStyle w:val="NormalWeb"/>
              <w:spacing w:before="0" w:beforeAutospacing="0" w:after="200" w:afterAutospacing="0" w:line="276" w:lineRule="auto"/>
              <w:rPr>
                <w:rFonts w:ascii="Arial" w:hAnsi="Arial" w:cs="Arial"/>
                <w:sz w:val="20"/>
                <w:szCs w:val="20"/>
              </w:rPr>
            </w:pPr>
            <w:r w:rsidRPr="00815090">
              <w:rPr>
                <w:rFonts w:ascii="Arial" w:hAnsi="Arial" w:cs="Arial"/>
                <w:b/>
                <w:bCs/>
                <w:color w:val="000000" w:themeColor="text1"/>
                <w:kern w:val="24"/>
                <w:sz w:val="20"/>
                <w:szCs w:val="20"/>
              </w:rPr>
              <w:t>Verbal-</w:t>
            </w:r>
            <w:proofErr w:type="spellStart"/>
            <w:r w:rsidRPr="00815090">
              <w:rPr>
                <w:rFonts w:ascii="Arial" w:hAnsi="Arial" w:cs="Arial"/>
                <w:b/>
                <w:bCs/>
                <w:color w:val="000000" w:themeColor="text1"/>
                <w:kern w:val="24"/>
                <w:sz w:val="20"/>
                <w:szCs w:val="20"/>
              </w:rPr>
              <w:t>stated</w:t>
            </w:r>
            <w:proofErr w:type="spellEnd"/>
            <w:r w:rsidRPr="00815090">
              <w:rPr>
                <w:rFonts w:ascii="Arial" w:hAnsi="Arial" w:cs="Arial"/>
                <w:b/>
                <w:bCs/>
                <w:color w:val="000000" w:themeColor="text1"/>
                <w:kern w:val="24"/>
                <w:sz w:val="20"/>
                <w:szCs w:val="20"/>
              </w:rPr>
              <w:t xml:space="preserve"> HBP</w:t>
            </w:r>
          </w:p>
        </w:tc>
        <w:tc>
          <w:tcPr>
            <w:tcW w:w="1984" w:type="dxa"/>
            <w:tcBorders>
              <w:top w:val="single" w:sz="8" w:space="0" w:color="000000"/>
              <w:left w:val="nil"/>
              <w:bottom w:val="nil"/>
              <w:right w:val="nil"/>
            </w:tcBorders>
            <w:shd w:val="clear" w:color="auto" w:fill="auto"/>
            <w:tcMar>
              <w:top w:w="15" w:type="dxa"/>
              <w:left w:w="70" w:type="dxa"/>
              <w:bottom w:w="0" w:type="dxa"/>
              <w:right w:w="70" w:type="dxa"/>
            </w:tcMar>
            <w:vAlign w:val="center"/>
            <w:hideMark/>
          </w:tcPr>
          <w:p w14:paraId="49FE3535"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12.6</w:t>
            </w:r>
          </w:p>
        </w:tc>
        <w:tc>
          <w:tcPr>
            <w:tcW w:w="2721" w:type="dxa"/>
            <w:tcBorders>
              <w:top w:val="single" w:sz="8" w:space="0" w:color="000000"/>
              <w:left w:val="nil"/>
              <w:bottom w:val="nil"/>
              <w:right w:val="nil"/>
            </w:tcBorders>
            <w:shd w:val="clear" w:color="auto" w:fill="auto"/>
            <w:tcMar>
              <w:top w:w="15" w:type="dxa"/>
              <w:left w:w="70" w:type="dxa"/>
              <w:bottom w:w="0" w:type="dxa"/>
              <w:right w:w="70" w:type="dxa"/>
            </w:tcMar>
            <w:vAlign w:val="center"/>
            <w:hideMark/>
          </w:tcPr>
          <w:p w14:paraId="384C0367"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28.4</w:t>
            </w:r>
          </w:p>
        </w:tc>
      </w:tr>
      <w:tr w:rsidR="00815090" w:rsidRPr="00815090" w14:paraId="569E7626" w14:textId="77777777" w:rsidTr="00815090">
        <w:trPr>
          <w:trHeight w:val="340"/>
        </w:trPr>
        <w:tc>
          <w:tcPr>
            <w:tcW w:w="1928"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3477C867" w14:textId="77777777" w:rsidR="00815090" w:rsidRPr="00815090" w:rsidRDefault="00815090">
            <w:pPr>
              <w:pStyle w:val="NormalWeb"/>
              <w:spacing w:before="0" w:beforeAutospacing="0" w:after="200" w:afterAutospacing="0" w:line="276" w:lineRule="auto"/>
              <w:rPr>
                <w:rFonts w:ascii="Arial" w:hAnsi="Arial" w:cs="Arial"/>
                <w:sz w:val="20"/>
                <w:szCs w:val="20"/>
              </w:rPr>
            </w:pPr>
            <w:proofErr w:type="spellStart"/>
            <w:r w:rsidRPr="00815090">
              <w:rPr>
                <w:rFonts w:ascii="Arial" w:hAnsi="Arial" w:cs="Arial"/>
                <w:b/>
                <w:bCs/>
                <w:color w:val="000000" w:themeColor="text1"/>
                <w:kern w:val="24"/>
                <w:sz w:val="20"/>
                <w:szCs w:val="20"/>
              </w:rPr>
              <w:t>Screened</w:t>
            </w:r>
            <w:proofErr w:type="spellEnd"/>
            <w:r w:rsidRPr="00815090">
              <w:rPr>
                <w:rFonts w:ascii="Arial" w:hAnsi="Arial" w:cs="Arial"/>
                <w:b/>
                <w:bCs/>
                <w:color w:val="000000" w:themeColor="text1"/>
                <w:kern w:val="24"/>
                <w:sz w:val="20"/>
                <w:szCs w:val="20"/>
              </w:rPr>
              <w:t xml:space="preserve"> HBP</w:t>
            </w:r>
          </w:p>
        </w:tc>
        <w:tc>
          <w:tcPr>
            <w:tcW w:w="1984"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724FE08C"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31.8</w:t>
            </w:r>
          </w:p>
        </w:tc>
        <w:tc>
          <w:tcPr>
            <w:tcW w:w="2721"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7D663F7C"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71.6</w:t>
            </w:r>
          </w:p>
        </w:tc>
      </w:tr>
      <w:tr w:rsidR="00815090" w:rsidRPr="00815090" w14:paraId="0BCAFCD2" w14:textId="77777777" w:rsidTr="00815090">
        <w:trPr>
          <w:trHeight w:val="397"/>
        </w:trPr>
        <w:tc>
          <w:tcPr>
            <w:tcW w:w="1928" w:type="dxa"/>
            <w:tcBorders>
              <w:top w:val="single" w:sz="8" w:space="0" w:color="000000"/>
              <w:left w:val="nil"/>
              <w:bottom w:val="single" w:sz="12" w:space="0" w:color="000000"/>
              <w:right w:val="nil"/>
            </w:tcBorders>
            <w:shd w:val="clear" w:color="auto" w:fill="auto"/>
            <w:tcMar>
              <w:top w:w="15" w:type="dxa"/>
              <w:left w:w="70" w:type="dxa"/>
              <w:bottom w:w="0" w:type="dxa"/>
              <w:right w:w="70" w:type="dxa"/>
            </w:tcMar>
            <w:vAlign w:val="center"/>
            <w:hideMark/>
          </w:tcPr>
          <w:p w14:paraId="1827849F" w14:textId="77777777" w:rsidR="00815090" w:rsidRPr="00815090" w:rsidRDefault="00815090">
            <w:pPr>
              <w:pStyle w:val="NormalWeb"/>
              <w:spacing w:before="0" w:beforeAutospacing="0" w:after="200" w:afterAutospacing="0" w:line="276" w:lineRule="auto"/>
              <w:rPr>
                <w:rFonts w:ascii="Arial" w:hAnsi="Arial" w:cs="Arial"/>
                <w:sz w:val="20"/>
                <w:szCs w:val="20"/>
              </w:rPr>
            </w:pPr>
            <w:r w:rsidRPr="00815090">
              <w:rPr>
                <w:rFonts w:ascii="Arial" w:hAnsi="Arial" w:cs="Arial"/>
                <w:b/>
                <w:bCs/>
                <w:color w:val="000000" w:themeColor="text1"/>
                <w:kern w:val="24"/>
                <w:sz w:val="20"/>
                <w:szCs w:val="20"/>
              </w:rPr>
              <w:t>Total (%)</w:t>
            </w:r>
          </w:p>
        </w:tc>
        <w:tc>
          <w:tcPr>
            <w:tcW w:w="1984" w:type="dxa"/>
            <w:tcBorders>
              <w:top w:val="single" w:sz="8" w:space="0" w:color="000000"/>
              <w:left w:val="nil"/>
              <w:bottom w:val="single" w:sz="12" w:space="0" w:color="000000"/>
              <w:right w:val="nil"/>
            </w:tcBorders>
            <w:shd w:val="clear" w:color="auto" w:fill="auto"/>
            <w:tcMar>
              <w:top w:w="15" w:type="dxa"/>
              <w:left w:w="70" w:type="dxa"/>
              <w:bottom w:w="0" w:type="dxa"/>
              <w:right w:w="70" w:type="dxa"/>
            </w:tcMar>
            <w:vAlign w:val="center"/>
            <w:hideMark/>
          </w:tcPr>
          <w:p w14:paraId="3F17820E"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44.4</w:t>
            </w:r>
          </w:p>
        </w:tc>
        <w:tc>
          <w:tcPr>
            <w:tcW w:w="2721" w:type="dxa"/>
            <w:tcBorders>
              <w:top w:val="single" w:sz="8" w:space="0" w:color="000000"/>
              <w:left w:val="nil"/>
              <w:bottom w:val="single" w:sz="12" w:space="0" w:color="000000"/>
              <w:right w:val="nil"/>
            </w:tcBorders>
            <w:shd w:val="clear" w:color="auto" w:fill="auto"/>
            <w:tcMar>
              <w:top w:w="15" w:type="dxa"/>
              <w:left w:w="70" w:type="dxa"/>
              <w:bottom w:w="0" w:type="dxa"/>
              <w:right w:w="70" w:type="dxa"/>
            </w:tcMar>
            <w:vAlign w:val="center"/>
            <w:hideMark/>
          </w:tcPr>
          <w:p w14:paraId="03E53911"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100</w:t>
            </w:r>
          </w:p>
        </w:tc>
      </w:tr>
    </w:tbl>
    <w:p w14:paraId="7CDCE48B" w14:textId="3CFCF5FE" w:rsidR="00815090" w:rsidRDefault="00815090" w:rsidP="004E4442">
      <w:pPr>
        <w:jc w:val="both"/>
        <w:rPr>
          <w:rFonts w:ascii="Calibri" w:hAnsi="Calibri" w:cs="Calibri"/>
        </w:rPr>
      </w:pPr>
    </w:p>
    <w:p w14:paraId="4F75D3CF" w14:textId="01E024CD" w:rsidR="00815090" w:rsidRDefault="00815090" w:rsidP="004E4442">
      <w:pPr>
        <w:jc w:val="both"/>
        <w:rPr>
          <w:rFonts w:ascii="Calibri" w:hAnsi="Calibri" w:cs="Calibri"/>
        </w:rPr>
      </w:pPr>
    </w:p>
    <w:p w14:paraId="0EF06D72" w14:textId="40F02C4B" w:rsidR="00815090" w:rsidRDefault="00815090" w:rsidP="004E4442">
      <w:pPr>
        <w:jc w:val="both"/>
        <w:rPr>
          <w:rFonts w:ascii="Calibri" w:hAnsi="Calibri" w:cs="Calibri"/>
        </w:rPr>
      </w:pPr>
    </w:p>
    <w:p w14:paraId="58E021EB" w14:textId="4E4DD11A" w:rsidR="00815090" w:rsidRDefault="00815090" w:rsidP="004E4442">
      <w:pPr>
        <w:jc w:val="both"/>
        <w:rPr>
          <w:rFonts w:ascii="Calibri" w:hAnsi="Calibri" w:cs="Calibri"/>
        </w:rPr>
      </w:pPr>
    </w:p>
    <w:p w14:paraId="1A5BA6D1" w14:textId="2E95778F" w:rsidR="00815090" w:rsidRDefault="00815090" w:rsidP="004E4442">
      <w:pPr>
        <w:jc w:val="both"/>
        <w:rPr>
          <w:rFonts w:ascii="Calibri" w:hAnsi="Calibri" w:cs="Calibri"/>
        </w:rPr>
      </w:pPr>
    </w:p>
    <w:p w14:paraId="3718699D" w14:textId="6139E650" w:rsidR="00815090" w:rsidRDefault="00815090" w:rsidP="004E4442">
      <w:pPr>
        <w:jc w:val="both"/>
        <w:rPr>
          <w:rFonts w:ascii="Calibri" w:hAnsi="Calibri" w:cs="Calibri"/>
        </w:rPr>
      </w:pPr>
    </w:p>
    <w:p w14:paraId="05456AD3" w14:textId="0AF5695C" w:rsidR="00815090" w:rsidRDefault="00815090" w:rsidP="004E4442">
      <w:pPr>
        <w:jc w:val="both"/>
        <w:rPr>
          <w:rFonts w:ascii="Calibri" w:hAnsi="Calibri" w:cs="Calibri"/>
        </w:rPr>
      </w:pPr>
    </w:p>
    <w:p w14:paraId="03D7B156" w14:textId="33C7F8F7" w:rsidR="00815090" w:rsidRDefault="00815090" w:rsidP="004E4442">
      <w:pPr>
        <w:jc w:val="both"/>
        <w:rPr>
          <w:rFonts w:ascii="Calibri" w:hAnsi="Calibri" w:cs="Calibri"/>
        </w:rPr>
      </w:pPr>
    </w:p>
    <w:p w14:paraId="19A6FC64" w14:textId="5E820EEC" w:rsidR="00815090" w:rsidRDefault="00815090" w:rsidP="004E4442">
      <w:pPr>
        <w:jc w:val="both"/>
        <w:rPr>
          <w:rFonts w:ascii="Calibri" w:hAnsi="Calibri" w:cs="Calibri"/>
        </w:rPr>
      </w:pPr>
    </w:p>
    <w:p w14:paraId="3E8351FF" w14:textId="248CBA52" w:rsidR="00815090" w:rsidRDefault="00815090" w:rsidP="004E4442">
      <w:pPr>
        <w:jc w:val="both"/>
        <w:rPr>
          <w:rFonts w:ascii="Calibri" w:hAnsi="Calibri" w:cs="Calibri"/>
        </w:rPr>
      </w:pPr>
    </w:p>
    <w:p w14:paraId="45D49868" w14:textId="6E15575F" w:rsidR="00815090" w:rsidRDefault="00815090" w:rsidP="004E4442">
      <w:pPr>
        <w:jc w:val="both"/>
        <w:rPr>
          <w:rFonts w:ascii="Calibri" w:hAnsi="Calibri" w:cs="Calibri"/>
        </w:rPr>
      </w:pPr>
    </w:p>
    <w:p w14:paraId="43C5D312" w14:textId="529A9B2A" w:rsidR="00815090" w:rsidRDefault="00815090" w:rsidP="004E4442">
      <w:pPr>
        <w:jc w:val="both"/>
        <w:rPr>
          <w:rFonts w:ascii="Calibri" w:hAnsi="Calibri" w:cs="Calibri"/>
        </w:rPr>
      </w:pPr>
    </w:p>
    <w:p w14:paraId="103F894E" w14:textId="59D1E084" w:rsidR="00815090" w:rsidRDefault="00815090" w:rsidP="004E4442">
      <w:pPr>
        <w:jc w:val="both"/>
        <w:rPr>
          <w:rFonts w:ascii="Calibri" w:hAnsi="Calibri" w:cs="Calibri"/>
        </w:rPr>
      </w:pPr>
    </w:p>
    <w:p w14:paraId="639F205C" w14:textId="77777777" w:rsidR="00815090" w:rsidRDefault="00815090" w:rsidP="004E4442">
      <w:pPr>
        <w:jc w:val="both"/>
        <w:rPr>
          <w:rFonts w:ascii="Calibri" w:hAnsi="Calibri" w:cs="Calibri"/>
        </w:rPr>
      </w:pPr>
    </w:p>
    <w:p w14:paraId="2FBFCA56" w14:textId="77777777" w:rsidR="00942491" w:rsidRPr="007961D4" w:rsidRDefault="00BB42FD" w:rsidP="00E202AB">
      <w:pPr>
        <w:numPr>
          <w:ilvl w:val="0"/>
          <w:numId w:val="16"/>
        </w:numPr>
        <w:jc w:val="both"/>
        <w:rPr>
          <w:rFonts w:ascii="Arial" w:hAnsi="Arial" w:cs="Arial"/>
          <w:b/>
          <w:color w:val="000000"/>
          <w:sz w:val="20"/>
          <w:szCs w:val="20"/>
          <w:u w:val="single"/>
        </w:rPr>
      </w:pPr>
      <w:r w:rsidRPr="007961D4">
        <w:rPr>
          <w:rFonts w:ascii="Arial" w:hAnsi="Arial" w:cs="Arial"/>
          <w:b/>
          <w:color w:val="000000"/>
          <w:sz w:val="20"/>
          <w:szCs w:val="20"/>
          <w:u w:val="single"/>
        </w:rPr>
        <w:t xml:space="preserve">Biological morbidity </w:t>
      </w:r>
    </w:p>
    <w:p w14:paraId="6BC21DF4" w14:textId="77777777" w:rsidR="00942491" w:rsidRPr="004E4442" w:rsidRDefault="00942491" w:rsidP="004E4442">
      <w:pPr>
        <w:ind w:left="180"/>
        <w:jc w:val="both"/>
        <w:rPr>
          <w:rFonts w:ascii="Calibri" w:hAnsi="Calibri" w:cs="Calibri"/>
        </w:rPr>
      </w:pPr>
    </w:p>
    <w:p w14:paraId="11041C3E"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Anemia was the most prevalent biological disturbance, followed by abnormalities in renal assessment parameters (Table III).</w:t>
      </w:r>
    </w:p>
    <w:p w14:paraId="65BC4113" w14:textId="1ABC62B9" w:rsidR="00942491" w:rsidRDefault="00815090" w:rsidP="007961D4">
      <w:pPr>
        <w:spacing w:line="480" w:lineRule="auto"/>
        <w:jc w:val="both"/>
        <w:rPr>
          <w:rFonts w:ascii="Arial" w:hAnsi="Arial" w:cs="Arial"/>
          <w:b/>
          <w:sz w:val="20"/>
          <w:szCs w:val="20"/>
        </w:rPr>
      </w:pPr>
      <w:r>
        <w:rPr>
          <w:rFonts w:ascii="Arial" w:hAnsi="Arial" w:cs="Arial"/>
          <w:b/>
          <w:sz w:val="20"/>
          <w:szCs w:val="20"/>
        </w:rPr>
        <w:t>Table III</w:t>
      </w:r>
      <w:r w:rsidRPr="00815090">
        <w:rPr>
          <w:rFonts w:ascii="Arial" w:hAnsi="Arial" w:cs="Arial"/>
          <w:b/>
          <w:sz w:val="20"/>
          <w:szCs w:val="20"/>
        </w:rPr>
        <w:t>: Distribution of biological disorders</w:t>
      </w:r>
    </w:p>
    <w:tbl>
      <w:tblPr>
        <w:tblW w:w="6879" w:type="dxa"/>
        <w:tblCellMar>
          <w:left w:w="0" w:type="dxa"/>
          <w:right w:w="0" w:type="dxa"/>
        </w:tblCellMar>
        <w:tblLook w:val="0600" w:firstRow="0" w:lastRow="0" w:firstColumn="0" w:lastColumn="0" w:noHBand="1" w:noVBand="1"/>
      </w:tblPr>
      <w:tblGrid>
        <w:gridCol w:w="4819"/>
        <w:gridCol w:w="2060"/>
      </w:tblGrid>
      <w:tr w:rsidR="00B657A7" w:rsidRPr="00815090" w14:paraId="21B17CC4" w14:textId="77777777" w:rsidTr="00B657A7">
        <w:trPr>
          <w:trHeight w:val="567"/>
        </w:trPr>
        <w:tc>
          <w:tcPr>
            <w:tcW w:w="4819" w:type="dxa"/>
            <w:tcBorders>
              <w:top w:val="single" w:sz="8" w:space="0" w:color="000000"/>
              <w:left w:val="nil"/>
              <w:bottom w:val="single" w:sz="8" w:space="0" w:color="000000"/>
              <w:right w:val="nil"/>
            </w:tcBorders>
            <w:shd w:val="clear" w:color="auto" w:fill="auto"/>
            <w:tcMar>
              <w:top w:w="11" w:type="dxa"/>
              <w:left w:w="11" w:type="dxa"/>
              <w:bottom w:w="0" w:type="dxa"/>
              <w:right w:w="11" w:type="dxa"/>
            </w:tcMar>
            <w:vAlign w:val="center"/>
            <w:hideMark/>
          </w:tcPr>
          <w:p w14:paraId="1D4C4FD2" w14:textId="77777777" w:rsidR="00815090" w:rsidRPr="00815090" w:rsidRDefault="00815090">
            <w:pPr>
              <w:pStyle w:val="NormalWeb"/>
              <w:spacing w:before="0" w:beforeAutospacing="0" w:after="200" w:afterAutospacing="0" w:line="276" w:lineRule="auto"/>
              <w:jc w:val="both"/>
              <w:textAlignment w:val="center"/>
              <w:rPr>
                <w:rFonts w:ascii="Arial" w:hAnsi="Arial" w:cs="Arial"/>
                <w:sz w:val="20"/>
                <w:szCs w:val="20"/>
              </w:rPr>
            </w:pPr>
            <w:proofErr w:type="spellStart"/>
            <w:r w:rsidRPr="00815090">
              <w:rPr>
                <w:rFonts w:ascii="Arial" w:hAnsi="Arial" w:cs="Arial"/>
                <w:b/>
                <w:bCs/>
                <w:color w:val="000000" w:themeColor="text1"/>
                <w:kern w:val="24"/>
                <w:sz w:val="20"/>
                <w:szCs w:val="20"/>
              </w:rPr>
              <w:t>Biological</w:t>
            </w:r>
            <w:proofErr w:type="spellEnd"/>
            <w:r w:rsidRPr="00815090">
              <w:rPr>
                <w:rFonts w:ascii="Arial" w:hAnsi="Arial" w:cs="Arial"/>
                <w:b/>
                <w:bCs/>
                <w:color w:val="000000" w:themeColor="text1"/>
                <w:kern w:val="24"/>
                <w:sz w:val="20"/>
                <w:szCs w:val="20"/>
              </w:rPr>
              <w:t xml:space="preserve"> </w:t>
            </w:r>
            <w:proofErr w:type="spellStart"/>
            <w:r w:rsidRPr="00815090">
              <w:rPr>
                <w:rFonts w:ascii="Arial" w:hAnsi="Arial" w:cs="Arial"/>
                <w:b/>
                <w:bCs/>
                <w:color w:val="000000" w:themeColor="text1"/>
                <w:kern w:val="24"/>
                <w:sz w:val="20"/>
                <w:szCs w:val="20"/>
              </w:rPr>
              <w:t>disorder</w:t>
            </w:r>
            <w:proofErr w:type="spellEnd"/>
          </w:p>
        </w:tc>
        <w:tc>
          <w:tcPr>
            <w:tcW w:w="2060" w:type="dxa"/>
            <w:tcBorders>
              <w:top w:val="single" w:sz="8" w:space="0" w:color="000000"/>
              <w:left w:val="nil"/>
              <w:bottom w:val="single" w:sz="8" w:space="0" w:color="000000"/>
              <w:right w:val="nil"/>
            </w:tcBorders>
            <w:shd w:val="clear" w:color="auto" w:fill="auto"/>
            <w:tcMar>
              <w:top w:w="11" w:type="dxa"/>
              <w:left w:w="11" w:type="dxa"/>
              <w:bottom w:w="0" w:type="dxa"/>
              <w:right w:w="11" w:type="dxa"/>
            </w:tcMar>
            <w:vAlign w:val="center"/>
            <w:hideMark/>
          </w:tcPr>
          <w:p w14:paraId="139EED4E" w14:textId="77777777" w:rsidR="00815090" w:rsidRPr="00815090" w:rsidRDefault="00815090">
            <w:pPr>
              <w:pStyle w:val="NormalWeb"/>
              <w:spacing w:before="0" w:beforeAutospacing="0" w:after="0" w:afterAutospacing="0"/>
              <w:textAlignment w:val="top"/>
              <w:rPr>
                <w:rFonts w:ascii="Arial" w:hAnsi="Arial" w:cs="Arial"/>
                <w:sz w:val="20"/>
                <w:szCs w:val="20"/>
              </w:rPr>
            </w:pPr>
            <w:r w:rsidRPr="00815090">
              <w:rPr>
                <w:rFonts w:ascii="Arial" w:eastAsia="Calibri" w:hAnsi="Arial" w:cs="Arial"/>
                <w:b/>
                <w:bCs/>
                <w:color w:val="000000"/>
                <w:kern w:val="24"/>
                <w:sz w:val="20"/>
                <w:szCs w:val="20"/>
              </w:rPr>
              <w:t>%</w:t>
            </w:r>
          </w:p>
          <w:p w14:paraId="53027DC9" w14:textId="77777777" w:rsidR="00815090" w:rsidRPr="00815090" w:rsidRDefault="00815090">
            <w:pPr>
              <w:pStyle w:val="NormalWeb"/>
              <w:spacing w:before="0" w:beforeAutospacing="0" w:after="0" w:afterAutospacing="0"/>
              <w:textAlignment w:val="top"/>
              <w:rPr>
                <w:rFonts w:ascii="Arial" w:hAnsi="Arial" w:cs="Arial"/>
                <w:sz w:val="20"/>
                <w:szCs w:val="20"/>
              </w:rPr>
            </w:pPr>
            <w:r w:rsidRPr="00815090">
              <w:rPr>
                <w:rFonts w:ascii="Arial" w:eastAsia="Calibri" w:hAnsi="Arial" w:cs="Arial"/>
                <w:b/>
                <w:bCs/>
                <w:color w:val="000000"/>
                <w:kern w:val="24"/>
                <w:sz w:val="20"/>
                <w:szCs w:val="20"/>
              </w:rPr>
              <w:t xml:space="preserve">Frequency </w:t>
            </w:r>
          </w:p>
          <w:p w14:paraId="21A0678E" w14:textId="77777777" w:rsidR="00815090" w:rsidRPr="00815090" w:rsidRDefault="00815090">
            <w:pPr>
              <w:pStyle w:val="NormalWeb"/>
              <w:spacing w:before="0" w:beforeAutospacing="0" w:after="0" w:afterAutospacing="0"/>
              <w:textAlignment w:val="top"/>
              <w:rPr>
                <w:rFonts w:ascii="Arial" w:hAnsi="Arial" w:cs="Arial"/>
                <w:sz w:val="20"/>
                <w:szCs w:val="20"/>
              </w:rPr>
            </w:pPr>
            <w:r w:rsidRPr="00815090">
              <w:rPr>
                <w:rFonts w:ascii="Arial" w:hAnsi="Arial" w:cs="Arial"/>
                <w:color w:val="000000" w:themeColor="text1"/>
                <w:kern w:val="24"/>
                <w:sz w:val="20"/>
                <w:szCs w:val="20"/>
              </w:rPr>
              <w:t>(n=674)</w:t>
            </w:r>
          </w:p>
        </w:tc>
      </w:tr>
      <w:tr w:rsidR="00B657A7" w:rsidRPr="00815090" w14:paraId="5CE3A759" w14:textId="77777777" w:rsidTr="00B657A7">
        <w:trPr>
          <w:trHeight w:val="170"/>
        </w:trPr>
        <w:tc>
          <w:tcPr>
            <w:tcW w:w="4819"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310C3E4D"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Anemia</w:t>
            </w:r>
          </w:p>
        </w:tc>
        <w:tc>
          <w:tcPr>
            <w:tcW w:w="2060"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3DBED44F"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51</w:t>
            </w:r>
          </w:p>
        </w:tc>
      </w:tr>
      <w:tr w:rsidR="00B657A7" w:rsidRPr="00815090" w14:paraId="0CF26E9D" w14:textId="77777777" w:rsidTr="00B657A7">
        <w:trPr>
          <w:trHeight w:val="340"/>
        </w:trPr>
        <w:tc>
          <w:tcPr>
            <w:tcW w:w="4819" w:type="dxa"/>
            <w:tcBorders>
              <w:top w:val="nil"/>
              <w:left w:val="nil"/>
              <w:bottom w:val="nil"/>
              <w:right w:val="nil"/>
            </w:tcBorders>
            <w:shd w:val="clear" w:color="auto" w:fill="auto"/>
            <w:tcMar>
              <w:top w:w="11" w:type="dxa"/>
              <w:left w:w="11" w:type="dxa"/>
              <w:bottom w:w="0" w:type="dxa"/>
              <w:right w:w="11" w:type="dxa"/>
            </w:tcMar>
            <w:vAlign w:val="center"/>
            <w:hideMark/>
          </w:tcPr>
          <w:p w14:paraId="2497FA91"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High blood creatinine (&gt; 14 mg/l) </w:t>
            </w:r>
          </w:p>
        </w:tc>
        <w:tc>
          <w:tcPr>
            <w:tcW w:w="2060" w:type="dxa"/>
            <w:tcBorders>
              <w:top w:val="nil"/>
              <w:left w:val="nil"/>
              <w:bottom w:val="nil"/>
              <w:right w:val="nil"/>
            </w:tcBorders>
            <w:shd w:val="clear" w:color="auto" w:fill="auto"/>
            <w:tcMar>
              <w:top w:w="11" w:type="dxa"/>
              <w:left w:w="11" w:type="dxa"/>
              <w:bottom w:w="0" w:type="dxa"/>
              <w:right w:w="11" w:type="dxa"/>
            </w:tcMar>
            <w:vAlign w:val="center"/>
            <w:hideMark/>
          </w:tcPr>
          <w:p w14:paraId="75746277"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24</w:t>
            </w:r>
          </w:p>
        </w:tc>
      </w:tr>
      <w:tr w:rsidR="00B657A7" w:rsidRPr="00815090" w14:paraId="662DAE89" w14:textId="77777777" w:rsidTr="00B657A7">
        <w:trPr>
          <w:trHeight w:val="227"/>
        </w:trPr>
        <w:tc>
          <w:tcPr>
            <w:tcW w:w="4819" w:type="dxa"/>
            <w:tcBorders>
              <w:top w:val="nil"/>
              <w:left w:val="nil"/>
              <w:bottom w:val="nil"/>
              <w:right w:val="nil"/>
            </w:tcBorders>
            <w:shd w:val="clear" w:color="auto" w:fill="auto"/>
            <w:tcMar>
              <w:top w:w="11" w:type="dxa"/>
              <w:left w:w="11" w:type="dxa"/>
              <w:bottom w:w="0" w:type="dxa"/>
              <w:right w:w="11" w:type="dxa"/>
            </w:tcMar>
            <w:vAlign w:val="center"/>
            <w:hideMark/>
          </w:tcPr>
          <w:p w14:paraId="4B8A286B"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High blood urea nitrogen (&gt; 0.35 g/l) </w:t>
            </w:r>
          </w:p>
        </w:tc>
        <w:tc>
          <w:tcPr>
            <w:tcW w:w="2060" w:type="dxa"/>
            <w:tcBorders>
              <w:top w:val="nil"/>
              <w:left w:val="nil"/>
              <w:bottom w:val="nil"/>
              <w:right w:val="nil"/>
            </w:tcBorders>
            <w:shd w:val="clear" w:color="auto" w:fill="auto"/>
            <w:tcMar>
              <w:top w:w="11" w:type="dxa"/>
              <w:left w:w="11" w:type="dxa"/>
              <w:bottom w:w="0" w:type="dxa"/>
              <w:right w:w="11" w:type="dxa"/>
            </w:tcMar>
            <w:vAlign w:val="center"/>
            <w:hideMark/>
          </w:tcPr>
          <w:p w14:paraId="0E3D713B"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23.7</w:t>
            </w:r>
          </w:p>
        </w:tc>
      </w:tr>
      <w:tr w:rsidR="00B657A7" w:rsidRPr="00815090" w14:paraId="78D0D862" w14:textId="77777777" w:rsidTr="00B657A7">
        <w:trPr>
          <w:trHeight w:val="283"/>
        </w:trPr>
        <w:tc>
          <w:tcPr>
            <w:tcW w:w="4819" w:type="dxa"/>
            <w:tcBorders>
              <w:top w:val="nil"/>
              <w:left w:val="nil"/>
              <w:bottom w:val="nil"/>
              <w:right w:val="nil"/>
            </w:tcBorders>
            <w:shd w:val="clear" w:color="auto" w:fill="auto"/>
            <w:tcMar>
              <w:top w:w="11" w:type="dxa"/>
              <w:left w:w="11" w:type="dxa"/>
              <w:bottom w:w="0" w:type="dxa"/>
              <w:right w:w="11" w:type="dxa"/>
            </w:tcMar>
            <w:vAlign w:val="center"/>
            <w:hideMark/>
          </w:tcPr>
          <w:p w14:paraId="018DB044"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High blood ALAT activity (&gt; 60 U/l) </w:t>
            </w:r>
          </w:p>
        </w:tc>
        <w:tc>
          <w:tcPr>
            <w:tcW w:w="2060" w:type="dxa"/>
            <w:tcBorders>
              <w:top w:val="nil"/>
              <w:left w:val="nil"/>
              <w:bottom w:val="nil"/>
              <w:right w:val="nil"/>
            </w:tcBorders>
            <w:shd w:val="clear" w:color="auto" w:fill="auto"/>
            <w:tcMar>
              <w:top w:w="11" w:type="dxa"/>
              <w:left w:w="11" w:type="dxa"/>
              <w:bottom w:w="0" w:type="dxa"/>
              <w:right w:w="11" w:type="dxa"/>
            </w:tcMar>
            <w:vAlign w:val="center"/>
            <w:hideMark/>
          </w:tcPr>
          <w:p w14:paraId="33AFC2CC"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12.3</w:t>
            </w:r>
          </w:p>
        </w:tc>
      </w:tr>
      <w:tr w:rsidR="00B657A7" w:rsidRPr="00815090" w14:paraId="1B78AABF" w14:textId="77777777" w:rsidTr="00B657A7">
        <w:trPr>
          <w:trHeight w:val="170"/>
        </w:trPr>
        <w:tc>
          <w:tcPr>
            <w:tcW w:w="4819" w:type="dxa"/>
            <w:tcBorders>
              <w:top w:val="nil"/>
              <w:left w:val="nil"/>
              <w:bottom w:val="nil"/>
              <w:right w:val="nil"/>
            </w:tcBorders>
            <w:shd w:val="clear" w:color="auto" w:fill="auto"/>
            <w:tcMar>
              <w:top w:w="11" w:type="dxa"/>
              <w:left w:w="11" w:type="dxa"/>
              <w:bottom w:w="0" w:type="dxa"/>
              <w:right w:w="11" w:type="dxa"/>
            </w:tcMar>
            <w:vAlign w:val="center"/>
            <w:hideMark/>
          </w:tcPr>
          <w:p w14:paraId="7F0A2FDB"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High blood ASAT activity (&gt; 64 U/l) </w:t>
            </w:r>
          </w:p>
        </w:tc>
        <w:tc>
          <w:tcPr>
            <w:tcW w:w="2060" w:type="dxa"/>
            <w:tcBorders>
              <w:top w:val="nil"/>
              <w:left w:val="nil"/>
              <w:bottom w:val="nil"/>
              <w:right w:val="nil"/>
            </w:tcBorders>
            <w:shd w:val="clear" w:color="auto" w:fill="auto"/>
            <w:tcMar>
              <w:top w:w="11" w:type="dxa"/>
              <w:left w:w="11" w:type="dxa"/>
              <w:bottom w:w="0" w:type="dxa"/>
              <w:right w:w="11" w:type="dxa"/>
            </w:tcMar>
            <w:vAlign w:val="center"/>
            <w:hideMark/>
          </w:tcPr>
          <w:p w14:paraId="44DADDB8"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8</w:t>
            </w:r>
          </w:p>
        </w:tc>
      </w:tr>
      <w:tr w:rsidR="00B657A7" w:rsidRPr="00815090" w14:paraId="3F30C27D" w14:textId="77777777" w:rsidTr="00B657A7">
        <w:trPr>
          <w:trHeight w:val="283"/>
        </w:trPr>
        <w:tc>
          <w:tcPr>
            <w:tcW w:w="4819" w:type="dxa"/>
            <w:tcBorders>
              <w:top w:val="nil"/>
              <w:left w:val="nil"/>
              <w:bottom w:val="nil"/>
              <w:right w:val="nil"/>
            </w:tcBorders>
            <w:shd w:val="clear" w:color="auto" w:fill="auto"/>
            <w:tcMar>
              <w:top w:w="11" w:type="dxa"/>
              <w:left w:w="11" w:type="dxa"/>
              <w:bottom w:w="0" w:type="dxa"/>
              <w:right w:w="11" w:type="dxa"/>
            </w:tcMar>
            <w:vAlign w:val="center"/>
            <w:hideMark/>
          </w:tcPr>
          <w:p w14:paraId="7F3B1F20"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Suspected diabetes mellitus (&gt; 1.26 g/l) </w:t>
            </w:r>
          </w:p>
        </w:tc>
        <w:tc>
          <w:tcPr>
            <w:tcW w:w="2060" w:type="dxa"/>
            <w:tcBorders>
              <w:top w:val="nil"/>
              <w:left w:val="nil"/>
              <w:bottom w:val="nil"/>
              <w:right w:val="nil"/>
            </w:tcBorders>
            <w:shd w:val="clear" w:color="auto" w:fill="auto"/>
            <w:tcMar>
              <w:top w:w="11" w:type="dxa"/>
              <w:left w:w="11" w:type="dxa"/>
              <w:bottom w:w="0" w:type="dxa"/>
              <w:right w:w="11" w:type="dxa"/>
            </w:tcMar>
            <w:vAlign w:val="center"/>
            <w:hideMark/>
          </w:tcPr>
          <w:p w14:paraId="1A26023E"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7.7</w:t>
            </w:r>
          </w:p>
        </w:tc>
      </w:tr>
      <w:tr w:rsidR="00B657A7" w:rsidRPr="00815090" w14:paraId="179CAFFD" w14:textId="77777777" w:rsidTr="00B657A7">
        <w:trPr>
          <w:trHeight w:val="227"/>
        </w:trPr>
        <w:tc>
          <w:tcPr>
            <w:tcW w:w="4819" w:type="dxa"/>
            <w:tcBorders>
              <w:top w:val="nil"/>
              <w:left w:val="nil"/>
              <w:bottom w:val="nil"/>
              <w:right w:val="nil"/>
            </w:tcBorders>
            <w:shd w:val="clear" w:color="auto" w:fill="auto"/>
            <w:tcMar>
              <w:top w:w="11" w:type="dxa"/>
              <w:left w:w="11" w:type="dxa"/>
              <w:bottom w:w="0" w:type="dxa"/>
              <w:right w:w="11" w:type="dxa"/>
            </w:tcMar>
            <w:vAlign w:val="center"/>
            <w:hideMark/>
          </w:tcPr>
          <w:p w14:paraId="4CA21791"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Moderate hyperglycemia (1.10 – 1.26 g/l) </w:t>
            </w:r>
          </w:p>
        </w:tc>
        <w:tc>
          <w:tcPr>
            <w:tcW w:w="2060" w:type="dxa"/>
            <w:tcBorders>
              <w:top w:val="nil"/>
              <w:left w:val="nil"/>
              <w:bottom w:val="nil"/>
              <w:right w:val="nil"/>
            </w:tcBorders>
            <w:shd w:val="clear" w:color="auto" w:fill="auto"/>
            <w:tcMar>
              <w:top w:w="11" w:type="dxa"/>
              <w:left w:w="11" w:type="dxa"/>
              <w:bottom w:w="0" w:type="dxa"/>
              <w:right w:w="11" w:type="dxa"/>
            </w:tcMar>
            <w:vAlign w:val="center"/>
            <w:hideMark/>
          </w:tcPr>
          <w:p w14:paraId="016EED92"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6.2</w:t>
            </w:r>
          </w:p>
        </w:tc>
      </w:tr>
      <w:tr w:rsidR="00B657A7" w:rsidRPr="00815090" w14:paraId="5627520E" w14:textId="77777777" w:rsidTr="00B657A7">
        <w:trPr>
          <w:trHeight w:val="170"/>
        </w:trPr>
        <w:tc>
          <w:tcPr>
            <w:tcW w:w="4819" w:type="dxa"/>
            <w:tcBorders>
              <w:top w:val="nil"/>
              <w:left w:val="nil"/>
              <w:bottom w:val="single" w:sz="8" w:space="0" w:color="000000"/>
              <w:right w:val="nil"/>
            </w:tcBorders>
            <w:shd w:val="clear" w:color="auto" w:fill="auto"/>
            <w:tcMar>
              <w:top w:w="11" w:type="dxa"/>
              <w:left w:w="11" w:type="dxa"/>
              <w:bottom w:w="0" w:type="dxa"/>
              <w:right w:w="11" w:type="dxa"/>
            </w:tcMar>
            <w:vAlign w:val="center"/>
            <w:hideMark/>
          </w:tcPr>
          <w:p w14:paraId="71184E5B"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Hypoglycemia (&lt; 0.70 g/l) </w:t>
            </w:r>
          </w:p>
        </w:tc>
        <w:tc>
          <w:tcPr>
            <w:tcW w:w="2060" w:type="dxa"/>
            <w:tcBorders>
              <w:top w:val="nil"/>
              <w:left w:val="nil"/>
              <w:bottom w:val="single" w:sz="8" w:space="0" w:color="000000"/>
              <w:right w:val="nil"/>
            </w:tcBorders>
            <w:shd w:val="clear" w:color="auto" w:fill="auto"/>
            <w:tcMar>
              <w:top w:w="11" w:type="dxa"/>
              <w:left w:w="11" w:type="dxa"/>
              <w:bottom w:w="0" w:type="dxa"/>
              <w:right w:w="11" w:type="dxa"/>
            </w:tcMar>
            <w:vAlign w:val="center"/>
            <w:hideMark/>
          </w:tcPr>
          <w:p w14:paraId="4C82EF68"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4.3</w:t>
            </w:r>
          </w:p>
        </w:tc>
      </w:tr>
    </w:tbl>
    <w:p w14:paraId="48241AC3" w14:textId="1905B271" w:rsidR="00815090" w:rsidRDefault="00815090" w:rsidP="007961D4">
      <w:pPr>
        <w:spacing w:line="480" w:lineRule="auto"/>
        <w:jc w:val="both"/>
        <w:rPr>
          <w:rFonts w:ascii="Arial" w:hAnsi="Arial" w:cs="Arial"/>
          <w:b/>
          <w:sz w:val="20"/>
          <w:szCs w:val="20"/>
        </w:rPr>
      </w:pPr>
    </w:p>
    <w:p w14:paraId="0A9B5D8B" w14:textId="77777777" w:rsidR="00815090" w:rsidRPr="00815090" w:rsidRDefault="00815090" w:rsidP="007961D4">
      <w:pPr>
        <w:spacing w:line="480" w:lineRule="auto"/>
        <w:jc w:val="both"/>
        <w:rPr>
          <w:rFonts w:ascii="Arial" w:hAnsi="Arial" w:cs="Arial"/>
          <w:b/>
          <w:sz w:val="20"/>
          <w:szCs w:val="20"/>
        </w:rPr>
      </w:pPr>
    </w:p>
    <w:p w14:paraId="244AED33" w14:textId="77777777" w:rsidR="00942491" w:rsidRPr="004E4442" w:rsidRDefault="00942491" w:rsidP="004E4442">
      <w:pPr>
        <w:jc w:val="both"/>
        <w:rPr>
          <w:rFonts w:ascii="Calibri" w:hAnsi="Calibri" w:cs="Calibri"/>
        </w:rPr>
      </w:pPr>
    </w:p>
    <w:p w14:paraId="697A8C0D" w14:textId="77777777" w:rsidR="00942491" w:rsidRPr="007961D4" w:rsidRDefault="00BB42FD" w:rsidP="00E202AB">
      <w:pPr>
        <w:numPr>
          <w:ilvl w:val="0"/>
          <w:numId w:val="16"/>
        </w:numPr>
        <w:jc w:val="both"/>
        <w:rPr>
          <w:rFonts w:ascii="Arial" w:hAnsi="Arial" w:cs="Arial"/>
          <w:b/>
          <w:color w:val="000000"/>
          <w:sz w:val="20"/>
          <w:szCs w:val="20"/>
          <w:u w:val="single"/>
        </w:rPr>
      </w:pPr>
      <w:r w:rsidRPr="007961D4">
        <w:rPr>
          <w:rFonts w:ascii="Arial" w:hAnsi="Arial" w:cs="Arial"/>
          <w:b/>
          <w:color w:val="000000"/>
          <w:sz w:val="20"/>
          <w:szCs w:val="20"/>
          <w:u w:val="single"/>
        </w:rPr>
        <w:t xml:space="preserve">Blood glucose disorders </w:t>
      </w:r>
    </w:p>
    <w:p w14:paraId="1D5BCD5B" w14:textId="77777777" w:rsidR="00942491" w:rsidRPr="004E4442" w:rsidRDefault="00942491" w:rsidP="004E4442">
      <w:pPr>
        <w:ind w:left="180"/>
        <w:jc w:val="both"/>
        <w:rPr>
          <w:rFonts w:ascii="Calibri" w:hAnsi="Calibri" w:cs="Calibri"/>
        </w:rPr>
      </w:pPr>
    </w:p>
    <w:p w14:paraId="65E1CE7C"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lastRenderedPageBreak/>
        <w:t>The frequency of high blood glucose levels in our population was approximately 10%. Notably, 4.3% of the pilgrim candidates and 43% of individuals with diabetes and high blood glucose levels ignored this condition (Table IV).</w:t>
      </w:r>
    </w:p>
    <w:p w14:paraId="22BB4E41" w14:textId="6E3CD9CD" w:rsidR="00942491" w:rsidRPr="00B657A7" w:rsidRDefault="00B657A7" w:rsidP="007961D4">
      <w:pPr>
        <w:spacing w:line="480" w:lineRule="auto"/>
        <w:jc w:val="both"/>
        <w:rPr>
          <w:rFonts w:ascii="Arial" w:hAnsi="Arial" w:cs="Arial"/>
          <w:b/>
          <w:sz w:val="20"/>
          <w:szCs w:val="20"/>
        </w:rPr>
      </w:pPr>
      <w:r>
        <w:rPr>
          <w:rFonts w:ascii="Arial" w:hAnsi="Arial" w:cs="Arial"/>
          <w:b/>
          <w:sz w:val="20"/>
          <w:szCs w:val="20"/>
        </w:rPr>
        <w:t>Table IV</w:t>
      </w:r>
      <w:r w:rsidRPr="00B657A7">
        <w:rPr>
          <w:rFonts w:ascii="Arial" w:hAnsi="Arial" w:cs="Arial"/>
          <w:b/>
          <w:sz w:val="20"/>
          <w:szCs w:val="20"/>
        </w:rPr>
        <w:t>: Distribution of blood glucose disorders</w:t>
      </w:r>
    </w:p>
    <w:tbl>
      <w:tblPr>
        <w:tblW w:w="9864" w:type="dxa"/>
        <w:tblCellMar>
          <w:left w:w="0" w:type="dxa"/>
          <w:right w:w="0" w:type="dxa"/>
        </w:tblCellMar>
        <w:tblLook w:val="0600" w:firstRow="0" w:lastRow="0" w:firstColumn="0" w:lastColumn="0" w:noHBand="1" w:noVBand="1"/>
      </w:tblPr>
      <w:tblGrid>
        <w:gridCol w:w="2494"/>
        <w:gridCol w:w="3855"/>
        <w:gridCol w:w="3515"/>
      </w:tblGrid>
      <w:tr w:rsidR="00B657A7" w:rsidRPr="00B657A7" w14:paraId="133661B2" w14:textId="77777777" w:rsidTr="00B657A7">
        <w:trPr>
          <w:trHeight w:val="527"/>
        </w:trPr>
        <w:tc>
          <w:tcPr>
            <w:tcW w:w="2494"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60E6F9D6" w14:textId="77777777" w:rsidR="00B657A7" w:rsidRPr="00B657A7" w:rsidRDefault="00B657A7">
            <w:pPr>
              <w:rPr>
                <w:rFonts w:ascii="Arial" w:hAnsi="Arial" w:cs="Arial"/>
                <w:sz w:val="20"/>
                <w:szCs w:val="20"/>
              </w:rPr>
            </w:pPr>
          </w:p>
        </w:tc>
        <w:tc>
          <w:tcPr>
            <w:tcW w:w="3855" w:type="dxa"/>
            <w:tcBorders>
              <w:top w:val="single" w:sz="12"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180B62C2"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b/>
                <w:bCs/>
                <w:color w:val="000000" w:themeColor="text1"/>
                <w:kern w:val="24"/>
                <w:sz w:val="20"/>
                <w:szCs w:val="20"/>
              </w:rPr>
              <w:t xml:space="preserve">Percentage </w:t>
            </w:r>
            <w:proofErr w:type="spellStart"/>
            <w:r w:rsidRPr="00B657A7">
              <w:rPr>
                <w:rFonts w:ascii="Arial" w:hAnsi="Arial" w:cs="Arial"/>
                <w:b/>
                <w:bCs/>
                <w:color w:val="000000" w:themeColor="text1"/>
                <w:kern w:val="24"/>
                <w:sz w:val="20"/>
                <w:szCs w:val="20"/>
              </w:rPr>
              <w:t>among</w:t>
            </w:r>
            <w:proofErr w:type="spellEnd"/>
            <w:r w:rsidRPr="00B657A7">
              <w:rPr>
                <w:rFonts w:ascii="Arial" w:hAnsi="Arial" w:cs="Arial"/>
                <w:b/>
                <w:bCs/>
                <w:color w:val="000000" w:themeColor="text1"/>
                <w:kern w:val="24"/>
                <w:sz w:val="20"/>
                <w:szCs w:val="20"/>
              </w:rPr>
              <w:t xml:space="preserve"> all candidates </w:t>
            </w:r>
            <w:r w:rsidRPr="00B657A7">
              <w:rPr>
                <w:rFonts w:ascii="Arial" w:hAnsi="Arial" w:cs="Arial"/>
                <w:color w:val="000000" w:themeColor="text1"/>
                <w:kern w:val="24"/>
                <w:sz w:val="20"/>
                <w:szCs w:val="20"/>
              </w:rPr>
              <w:t>(n=674)</w:t>
            </w:r>
          </w:p>
        </w:tc>
        <w:tc>
          <w:tcPr>
            <w:tcW w:w="3515" w:type="dxa"/>
            <w:tcBorders>
              <w:top w:val="single" w:sz="12"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07D8620E"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b/>
                <w:bCs/>
                <w:color w:val="000000" w:themeColor="text1"/>
                <w:kern w:val="24"/>
                <w:sz w:val="20"/>
                <w:szCs w:val="20"/>
              </w:rPr>
              <w:t xml:space="preserve">Percentage </w:t>
            </w:r>
            <w:proofErr w:type="spellStart"/>
            <w:r w:rsidRPr="00B657A7">
              <w:rPr>
                <w:rFonts w:ascii="Arial" w:hAnsi="Arial" w:cs="Arial"/>
                <w:b/>
                <w:bCs/>
                <w:color w:val="000000" w:themeColor="text1"/>
                <w:kern w:val="24"/>
                <w:sz w:val="20"/>
                <w:szCs w:val="20"/>
              </w:rPr>
              <w:t>among</w:t>
            </w:r>
            <w:proofErr w:type="spellEnd"/>
            <w:r w:rsidRPr="00B657A7">
              <w:rPr>
                <w:rFonts w:ascii="Arial" w:hAnsi="Arial" w:cs="Arial"/>
                <w:b/>
                <w:bCs/>
                <w:color w:val="000000" w:themeColor="text1"/>
                <w:kern w:val="24"/>
                <w:sz w:val="20"/>
                <w:szCs w:val="20"/>
              </w:rPr>
              <w:t xml:space="preserve"> </w:t>
            </w:r>
            <w:proofErr w:type="spellStart"/>
            <w:r w:rsidRPr="00B657A7">
              <w:rPr>
                <w:rFonts w:ascii="Arial" w:hAnsi="Arial" w:cs="Arial"/>
                <w:b/>
                <w:bCs/>
                <w:color w:val="000000" w:themeColor="text1"/>
                <w:kern w:val="24"/>
                <w:sz w:val="20"/>
                <w:szCs w:val="20"/>
              </w:rPr>
              <w:t>hyperglycemias</w:t>
            </w:r>
            <w:proofErr w:type="spellEnd"/>
            <w:r w:rsidRPr="00B657A7">
              <w:rPr>
                <w:rFonts w:ascii="Arial" w:hAnsi="Arial" w:cs="Arial"/>
                <w:b/>
                <w:bCs/>
                <w:color w:val="000000" w:themeColor="text1"/>
                <w:kern w:val="24"/>
                <w:sz w:val="20"/>
                <w:szCs w:val="20"/>
              </w:rPr>
              <w:t xml:space="preserve"> </w:t>
            </w:r>
            <w:r w:rsidRPr="00B657A7">
              <w:rPr>
                <w:rFonts w:ascii="Arial" w:hAnsi="Arial" w:cs="Arial"/>
                <w:color w:val="000000" w:themeColor="text1"/>
                <w:kern w:val="24"/>
                <w:sz w:val="20"/>
                <w:szCs w:val="20"/>
              </w:rPr>
              <w:t>(n=66)</w:t>
            </w:r>
          </w:p>
        </w:tc>
      </w:tr>
      <w:tr w:rsidR="00B657A7" w:rsidRPr="00B657A7" w14:paraId="1E2B4B5A" w14:textId="77777777" w:rsidTr="00B657A7">
        <w:trPr>
          <w:trHeight w:val="20"/>
        </w:trPr>
        <w:tc>
          <w:tcPr>
            <w:tcW w:w="2494" w:type="dxa"/>
            <w:tcBorders>
              <w:top w:val="single" w:sz="8" w:space="0" w:color="000000"/>
              <w:left w:val="nil"/>
              <w:bottom w:val="nil"/>
              <w:right w:val="nil"/>
            </w:tcBorders>
            <w:shd w:val="clear" w:color="auto" w:fill="auto"/>
            <w:tcMar>
              <w:top w:w="15" w:type="dxa"/>
              <w:left w:w="70" w:type="dxa"/>
              <w:bottom w:w="0" w:type="dxa"/>
              <w:right w:w="70" w:type="dxa"/>
            </w:tcMar>
            <w:vAlign w:val="center"/>
            <w:hideMark/>
          </w:tcPr>
          <w:p w14:paraId="284E9C64" w14:textId="77777777" w:rsidR="00B657A7" w:rsidRPr="00B657A7" w:rsidRDefault="00B657A7">
            <w:pPr>
              <w:pStyle w:val="NormalWeb"/>
              <w:spacing w:before="0" w:beforeAutospacing="0" w:after="200" w:afterAutospacing="0" w:line="276" w:lineRule="auto"/>
              <w:jc w:val="both"/>
              <w:rPr>
                <w:rFonts w:ascii="Arial" w:hAnsi="Arial" w:cs="Arial"/>
                <w:sz w:val="20"/>
                <w:szCs w:val="20"/>
              </w:rPr>
            </w:pPr>
            <w:r w:rsidRPr="00B657A7">
              <w:rPr>
                <w:rFonts w:ascii="Arial" w:hAnsi="Arial" w:cs="Arial"/>
                <w:b/>
                <w:bCs/>
                <w:color w:val="000000" w:themeColor="text1"/>
                <w:kern w:val="24"/>
                <w:sz w:val="20"/>
                <w:szCs w:val="20"/>
              </w:rPr>
              <w:t>Verbal-</w:t>
            </w:r>
            <w:proofErr w:type="spellStart"/>
            <w:r w:rsidRPr="00B657A7">
              <w:rPr>
                <w:rFonts w:ascii="Arial" w:hAnsi="Arial" w:cs="Arial"/>
                <w:b/>
                <w:bCs/>
                <w:color w:val="000000" w:themeColor="text1"/>
                <w:kern w:val="24"/>
                <w:sz w:val="20"/>
                <w:szCs w:val="20"/>
              </w:rPr>
              <w:t>stated</w:t>
            </w:r>
            <w:proofErr w:type="spellEnd"/>
            <w:r w:rsidRPr="00B657A7">
              <w:rPr>
                <w:rFonts w:ascii="Arial" w:hAnsi="Arial" w:cs="Arial"/>
                <w:b/>
                <w:bCs/>
                <w:color w:val="000000" w:themeColor="text1"/>
                <w:kern w:val="24"/>
                <w:sz w:val="20"/>
                <w:szCs w:val="20"/>
              </w:rPr>
              <w:t xml:space="preserve"> </w:t>
            </w:r>
            <w:proofErr w:type="spellStart"/>
            <w:r w:rsidRPr="00B657A7">
              <w:rPr>
                <w:rFonts w:ascii="Arial" w:hAnsi="Arial" w:cs="Arial"/>
                <w:b/>
                <w:bCs/>
                <w:color w:val="000000" w:themeColor="text1"/>
                <w:kern w:val="24"/>
                <w:sz w:val="20"/>
                <w:szCs w:val="20"/>
              </w:rPr>
              <w:t>diabetic</w:t>
            </w:r>
            <w:proofErr w:type="spellEnd"/>
          </w:p>
        </w:tc>
        <w:tc>
          <w:tcPr>
            <w:tcW w:w="3855" w:type="dxa"/>
            <w:tcBorders>
              <w:top w:val="single" w:sz="8" w:space="0" w:color="000000"/>
              <w:left w:val="nil"/>
              <w:bottom w:val="nil"/>
              <w:right w:val="nil"/>
            </w:tcBorders>
            <w:shd w:val="clear" w:color="auto" w:fill="auto"/>
            <w:tcMar>
              <w:top w:w="15" w:type="dxa"/>
              <w:left w:w="70" w:type="dxa"/>
              <w:bottom w:w="0" w:type="dxa"/>
              <w:right w:w="70" w:type="dxa"/>
            </w:tcMar>
            <w:vAlign w:val="center"/>
            <w:hideMark/>
          </w:tcPr>
          <w:p w14:paraId="6AD2810A"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5.5</w:t>
            </w:r>
          </w:p>
        </w:tc>
        <w:tc>
          <w:tcPr>
            <w:tcW w:w="3515" w:type="dxa"/>
            <w:tcBorders>
              <w:top w:val="single" w:sz="8" w:space="0" w:color="000000"/>
              <w:left w:val="nil"/>
              <w:bottom w:val="nil"/>
              <w:right w:val="nil"/>
            </w:tcBorders>
            <w:shd w:val="clear" w:color="auto" w:fill="auto"/>
            <w:tcMar>
              <w:top w:w="15" w:type="dxa"/>
              <w:left w:w="70" w:type="dxa"/>
              <w:bottom w:w="0" w:type="dxa"/>
              <w:right w:w="70" w:type="dxa"/>
            </w:tcMar>
            <w:vAlign w:val="center"/>
            <w:hideMark/>
          </w:tcPr>
          <w:p w14:paraId="28AD5F3C"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56.1</w:t>
            </w:r>
          </w:p>
        </w:tc>
      </w:tr>
      <w:tr w:rsidR="00B657A7" w:rsidRPr="00B657A7" w14:paraId="58E82371" w14:textId="77777777" w:rsidTr="00B657A7">
        <w:trPr>
          <w:trHeight w:val="20"/>
        </w:trPr>
        <w:tc>
          <w:tcPr>
            <w:tcW w:w="2494"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7DF68B44" w14:textId="77777777" w:rsidR="00B657A7" w:rsidRPr="00B657A7" w:rsidRDefault="00B657A7">
            <w:pPr>
              <w:pStyle w:val="NormalWeb"/>
              <w:spacing w:before="0" w:beforeAutospacing="0" w:after="200" w:afterAutospacing="0" w:line="276" w:lineRule="auto"/>
              <w:rPr>
                <w:rFonts w:ascii="Arial" w:hAnsi="Arial" w:cs="Arial"/>
                <w:sz w:val="20"/>
                <w:szCs w:val="20"/>
              </w:rPr>
            </w:pPr>
            <w:r w:rsidRPr="00B657A7">
              <w:rPr>
                <w:rFonts w:ascii="Arial" w:hAnsi="Arial" w:cs="Arial"/>
                <w:b/>
                <w:bCs/>
                <w:color w:val="000000" w:themeColor="text1"/>
                <w:kern w:val="24"/>
                <w:sz w:val="20"/>
                <w:szCs w:val="20"/>
                <w:lang w:val="en-US"/>
              </w:rPr>
              <w:t>Blood glucose disorder detected during the visit</w:t>
            </w:r>
          </w:p>
        </w:tc>
        <w:tc>
          <w:tcPr>
            <w:tcW w:w="3855"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7649AC28"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4.3</w:t>
            </w:r>
          </w:p>
        </w:tc>
        <w:tc>
          <w:tcPr>
            <w:tcW w:w="3515"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035E6F80"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43.9</w:t>
            </w:r>
          </w:p>
        </w:tc>
      </w:tr>
      <w:tr w:rsidR="00B657A7" w:rsidRPr="00B657A7" w14:paraId="20734875" w14:textId="77777777" w:rsidTr="00B657A7">
        <w:trPr>
          <w:trHeight w:val="20"/>
        </w:trPr>
        <w:tc>
          <w:tcPr>
            <w:tcW w:w="2494" w:type="dxa"/>
            <w:tcBorders>
              <w:top w:val="single" w:sz="8" w:space="0" w:color="000000"/>
              <w:left w:val="nil"/>
              <w:bottom w:val="single" w:sz="12" w:space="0" w:color="000000"/>
              <w:right w:val="nil"/>
            </w:tcBorders>
            <w:shd w:val="clear" w:color="auto" w:fill="auto"/>
            <w:tcMar>
              <w:top w:w="15" w:type="dxa"/>
              <w:left w:w="70" w:type="dxa"/>
              <w:bottom w:w="0" w:type="dxa"/>
              <w:right w:w="70" w:type="dxa"/>
            </w:tcMar>
            <w:vAlign w:val="center"/>
            <w:hideMark/>
          </w:tcPr>
          <w:p w14:paraId="5CA48AC1" w14:textId="77777777" w:rsidR="00B657A7" w:rsidRPr="00B657A7" w:rsidRDefault="00B657A7">
            <w:pPr>
              <w:pStyle w:val="NormalWeb"/>
              <w:spacing w:before="0" w:beforeAutospacing="0" w:after="200" w:afterAutospacing="0" w:line="276" w:lineRule="auto"/>
              <w:jc w:val="both"/>
              <w:rPr>
                <w:rFonts w:ascii="Arial" w:hAnsi="Arial" w:cs="Arial"/>
                <w:sz w:val="20"/>
                <w:szCs w:val="20"/>
              </w:rPr>
            </w:pPr>
            <w:r w:rsidRPr="00B657A7">
              <w:rPr>
                <w:rFonts w:ascii="Arial" w:hAnsi="Arial" w:cs="Arial"/>
                <w:b/>
                <w:bCs/>
                <w:color w:val="000000" w:themeColor="text1"/>
                <w:kern w:val="24"/>
                <w:sz w:val="20"/>
                <w:szCs w:val="20"/>
              </w:rPr>
              <w:t>Total</w:t>
            </w:r>
          </w:p>
        </w:tc>
        <w:tc>
          <w:tcPr>
            <w:tcW w:w="3855" w:type="dxa"/>
            <w:tcBorders>
              <w:top w:val="single" w:sz="8" w:space="0" w:color="000000"/>
              <w:left w:val="nil"/>
              <w:bottom w:val="single" w:sz="12" w:space="0" w:color="000000"/>
              <w:right w:val="nil"/>
            </w:tcBorders>
            <w:shd w:val="clear" w:color="auto" w:fill="auto"/>
            <w:tcMar>
              <w:top w:w="15" w:type="dxa"/>
              <w:left w:w="70" w:type="dxa"/>
              <w:bottom w:w="0" w:type="dxa"/>
              <w:right w:w="70" w:type="dxa"/>
            </w:tcMar>
            <w:vAlign w:val="center"/>
            <w:hideMark/>
          </w:tcPr>
          <w:p w14:paraId="2F6BECC0"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9.8</w:t>
            </w:r>
          </w:p>
        </w:tc>
        <w:tc>
          <w:tcPr>
            <w:tcW w:w="3515" w:type="dxa"/>
            <w:tcBorders>
              <w:top w:val="single" w:sz="8" w:space="0" w:color="000000"/>
              <w:left w:val="nil"/>
              <w:bottom w:val="single" w:sz="12" w:space="0" w:color="000000"/>
              <w:right w:val="nil"/>
            </w:tcBorders>
            <w:shd w:val="clear" w:color="auto" w:fill="auto"/>
            <w:tcMar>
              <w:top w:w="15" w:type="dxa"/>
              <w:left w:w="70" w:type="dxa"/>
              <w:bottom w:w="0" w:type="dxa"/>
              <w:right w:w="70" w:type="dxa"/>
            </w:tcMar>
            <w:vAlign w:val="center"/>
            <w:hideMark/>
          </w:tcPr>
          <w:p w14:paraId="5A664509"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100</w:t>
            </w:r>
          </w:p>
        </w:tc>
      </w:tr>
    </w:tbl>
    <w:p w14:paraId="59031561" w14:textId="3E67D8E8" w:rsidR="00942491"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There was a significant correlation between high blood glucose and the age of the participants; as age increased, the incidence of high blood glucose levels also increased (Table V).</w:t>
      </w:r>
    </w:p>
    <w:p w14:paraId="30F9245C" w14:textId="77777777" w:rsidR="00185B12" w:rsidRPr="007961D4" w:rsidRDefault="00185B12" w:rsidP="007961D4">
      <w:pPr>
        <w:spacing w:line="480" w:lineRule="auto"/>
        <w:jc w:val="both"/>
        <w:rPr>
          <w:rFonts w:ascii="Arial" w:hAnsi="Arial" w:cs="Arial"/>
          <w:sz w:val="20"/>
          <w:szCs w:val="20"/>
        </w:rPr>
      </w:pPr>
    </w:p>
    <w:p w14:paraId="7F2605B8" w14:textId="71D8941C" w:rsidR="00942491" w:rsidRDefault="00B657A7" w:rsidP="00185B12">
      <w:pPr>
        <w:spacing w:line="480" w:lineRule="auto"/>
        <w:jc w:val="both"/>
        <w:rPr>
          <w:rFonts w:ascii="Calibri" w:hAnsi="Calibri" w:cs="Calibri"/>
        </w:rPr>
      </w:pPr>
      <w:r>
        <w:rPr>
          <w:rFonts w:ascii="Arial" w:hAnsi="Arial" w:cs="Arial"/>
          <w:b/>
          <w:sz w:val="20"/>
          <w:szCs w:val="20"/>
        </w:rPr>
        <w:t>Table V</w:t>
      </w:r>
      <w:r w:rsidRPr="00B657A7">
        <w:rPr>
          <w:rFonts w:ascii="Arial" w:hAnsi="Arial" w:cs="Arial"/>
          <w:b/>
          <w:sz w:val="20"/>
          <w:szCs w:val="20"/>
        </w:rPr>
        <w:t>: Distribution of blood glucose disorders according to age</w:t>
      </w:r>
    </w:p>
    <w:tbl>
      <w:tblPr>
        <w:tblW w:w="8107" w:type="dxa"/>
        <w:tblCellMar>
          <w:left w:w="0" w:type="dxa"/>
          <w:right w:w="0" w:type="dxa"/>
        </w:tblCellMar>
        <w:tblLook w:val="0600" w:firstRow="0" w:lastRow="0" w:firstColumn="0" w:lastColumn="0" w:noHBand="1" w:noVBand="1"/>
      </w:tblPr>
      <w:tblGrid>
        <w:gridCol w:w="1757"/>
        <w:gridCol w:w="1984"/>
        <w:gridCol w:w="1928"/>
        <w:gridCol w:w="1247"/>
        <w:gridCol w:w="1191"/>
      </w:tblGrid>
      <w:tr w:rsidR="00185B12" w:rsidRPr="00185B12" w14:paraId="0578E4CC" w14:textId="77777777" w:rsidTr="00185B12">
        <w:trPr>
          <w:trHeight w:val="20"/>
        </w:trPr>
        <w:tc>
          <w:tcPr>
            <w:tcW w:w="175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02AC761" w14:textId="77777777" w:rsidR="00185B12" w:rsidRPr="00185B12" w:rsidRDefault="00185B12">
            <w:pPr>
              <w:pStyle w:val="NormalWeb"/>
              <w:spacing w:before="0" w:beforeAutospacing="0" w:after="0" w:afterAutospacing="0" w:line="276" w:lineRule="auto"/>
              <w:jc w:val="center"/>
              <w:textAlignment w:val="bottom"/>
              <w:rPr>
                <w:rFonts w:ascii="Arial" w:hAnsi="Arial" w:cs="Arial"/>
                <w:sz w:val="20"/>
                <w:szCs w:val="20"/>
              </w:rPr>
            </w:pPr>
            <w:r w:rsidRPr="00185B12">
              <w:rPr>
                <w:rFonts w:ascii="Arial" w:hAnsi="Arial" w:cs="Arial"/>
                <w:b/>
                <w:bCs/>
                <w:color w:val="000000" w:themeColor="text1"/>
                <w:kern w:val="24"/>
                <w:sz w:val="20"/>
                <w:szCs w:val="20"/>
              </w:rPr>
              <w:t xml:space="preserve">Age group </w:t>
            </w:r>
            <w:r w:rsidRPr="00185B12">
              <w:rPr>
                <w:rFonts w:ascii="Arial" w:hAnsi="Arial" w:cs="Arial"/>
                <w:color w:val="000000" w:themeColor="text1"/>
                <w:kern w:val="24"/>
                <w:sz w:val="20"/>
                <w:szCs w:val="20"/>
              </w:rPr>
              <w:t>(</w:t>
            </w:r>
            <w:proofErr w:type="spellStart"/>
            <w:r w:rsidRPr="00185B12">
              <w:rPr>
                <w:rFonts w:ascii="Arial" w:hAnsi="Arial" w:cs="Arial"/>
                <w:color w:val="000000" w:themeColor="text1"/>
                <w:kern w:val="24"/>
                <w:sz w:val="20"/>
                <w:szCs w:val="20"/>
              </w:rPr>
              <w:t>years</w:t>
            </w:r>
            <w:proofErr w:type="spellEnd"/>
            <w:r w:rsidRPr="00185B12">
              <w:rPr>
                <w:rFonts w:ascii="Arial" w:hAnsi="Arial" w:cs="Arial"/>
                <w:color w:val="000000" w:themeColor="text1"/>
                <w:kern w:val="24"/>
                <w:sz w:val="20"/>
                <w:szCs w:val="20"/>
              </w:rPr>
              <w:t>)</w:t>
            </w:r>
          </w:p>
        </w:tc>
        <w:tc>
          <w:tcPr>
            <w:tcW w:w="1984"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42F7BE1"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 xml:space="preserve">% </w:t>
            </w:r>
            <w:proofErr w:type="spellStart"/>
            <w:r w:rsidRPr="00185B12">
              <w:rPr>
                <w:rFonts w:ascii="Arial" w:hAnsi="Arial" w:cs="Arial"/>
                <w:b/>
                <w:bCs/>
                <w:color w:val="000000" w:themeColor="text1"/>
                <w:kern w:val="24"/>
                <w:sz w:val="20"/>
                <w:szCs w:val="20"/>
              </w:rPr>
              <w:t>Normoglycemia</w:t>
            </w:r>
            <w:proofErr w:type="spellEnd"/>
            <w:r w:rsidRPr="00185B12">
              <w:rPr>
                <w:rFonts w:ascii="Arial" w:hAnsi="Arial" w:cs="Arial"/>
                <w:b/>
                <w:bCs/>
                <w:color w:val="000000" w:themeColor="text1"/>
                <w:kern w:val="24"/>
                <w:sz w:val="20"/>
                <w:szCs w:val="20"/>
              </w:rPr>
              <w:t xml:space="preserve"> </w:t>
            </w:r>
            <w:r w:rsidRPr="00185B12">
              <w:rPr>
                <w:rFonts w:ascii="Arial" w:hAnsi="Arial" w:cs="Arial"/>
                <w:color w:val="000000" w:themeColor="text1"/>
                <w:kern w:val="24"/>
                <w:sz w:val="20"/>
                <w:szCs w:val="20"/>
              </w:rPr>
              <w:t>[0.70-1.10] g/l</w:t>
            </w:r>
          </w:p>
        </w:tc>
        <w:tc>
          <w:tcPr>
            <w:tcW w:w="192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CB01D97"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 xml:space="preserve">% </w:t>
            </w:r>
            <w:proofErr w:type="spellStart"/>
            <w:r w:rsidRPr="00185B12">
              <w:rPr>
                <w:rFonts w:ascii="Arial" w:hAnsi="Arial" w:cs="Arial"/>
                <w:b/>
                <w:bCs/>
                <w:color w:val="000000" w:themeColor="text1"/>
                <w:kern w:val="24"/>
                <w:sz w:val="20"/>
                <w:szCs w:val="20"/>
              </w:rPr>
              <w:t>Hyperglycemia</w:t>
            </w:r>
            <w:proofErr w:type="spellEnd"/>
          </w:p>
          <w:p w14:paraId="7B6BEA34"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color w:val="000000" w:themeColor="text1"/>
                <w:kern w:val="24"/>
                <w:sz w:val="20"/>
                <w:szCs w:val="20"/>
              </w:rPr>
              <w:t>(≥ 1.10 g/l)</w:t>
            </w:r>
          </w:p>
        </w:tc>
        <w:tc>
          <w:tcPr>
            <w:tcW w:w="124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7604B753"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w:t>
            </w:r>
          </w:p>
          <w:p w14:paraId="2DF9D913"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Total</w:t>
            </w:r>
          </w:p>
          <w:p w14:paraId="6509735C"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eastAsia="Calibri" w:hAnsi="Arial" w:cs="Arial"/>
                <w:color w:val="000000"/>
                <w:kern w:val="24"/>
                <w:sz w:val="20"/>
                <w:szCs w:val="20"/>
              </w:rPr>
              <w:t>(n=645)</w:t>
            </w:r>
          </w:p>
        </w:tc>
        <w:tc>
          <w:tcPr>
            <w:tcW w:w="119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369B78DF" w14:textId="77777777" w:rsidR="00185B12" w:rsidRPr="00185B12" w:rsidRDefault="00185B12">
            <w:pPr>
              <w:pStyle w:val="NormalWeb"/>
              <w:spacing w:before="0" w:beforeAutospacing="0" w:after="0" w:afterAutospacing="0" w:line="276" w:lineRule="auto"/>
              <w:jc w:val="center"/>
              <w:textAlignment w:val="bottom"/>
              <w:rPr>
                <w:rFonts w:ascii="Arial" w:hAnsi="Arial" w:cs="Arial"/>
                <w:sz w:val="20"/>
                <w:szCs w:val="20"/>
              </w:rPr>
            </w:pPr>
            <w:r w:rsidRPr="00185B12">
              <w:rPr>
                <w:rFonts w:ascii="Arial" w:hAnsi="Arial" w:cs="Arial"/>
                <w:b/>
                <w:bCs/>
                <w:color w:val="000000" w:themeColor="text1"/>
                <w:kern w:val="24"/>
                <w:sz w:val="20"/>
                <w:szCs w:val="20"/>
              </w:rPr>
              <w:t>Khi² test</w:t>
            </w:r>
          </w:p>
        </w:tc>
      </w:tr>
      <w:tr w:rsidR="00185B12" w:rsidRPr="00185B12" w14:paraId="53EE29DA" w14:textId="77777777" w:rsidTr="00185B12">
        <w:trPr>
          <w:trHeight w:val="20"/>
        </w:trPr>
        <w:tc>
          <w:tcPr>
            <w:tcW w:w="1757"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09EE1B2A" w14:textId="77777777" w:rsidR="00185B12" w:rsidRPr="00185B12" w:rsidRDefault="00185B12">
            <w:pPr>
              <w:pStyle w:val="NormalWeb"/>
              <w:spacing w:before="0" w:beforeAutospacing="0" w:after="200" w:afterAutospacing="0" w:line="276" w:lineRule="auto"/>
              <w:jc w:val="center"/>
              <w:textAlignment w:val="top"/>
              <w:rPr>
                <w:rFonts w:ascii="Arial" w:hAnsi="Arial" w:cs="Arial"/>
                <w:sz w:val="20"/>
                <w:szCs w:val="20"/>
              </w:rPr>
            </w:pPr>
            <w:r w:rsidRPr="00185B12">
              <w:rPr>
                <w:rFonts w:ascii="Arial" w:hAnsi="Arial" w:cs="Arial"/>
                <w:b/>
                <w:bCs/>
                <w:color w:val="000000" w:themeColor="text1"/>
                <w:kern w:val="24"/>
                <w:sz w:val="20"/>
                <w:szCs w:val="20"/>
              </w:rPr>
              <w:t>[15-35[</w:t>
            </w:r>
          </w:p>
        </w:tc>
        <w:tc>
          <w:tcPr>
            <w:tcW w:w="1984"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0E94BE74"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96.7</w:t>
            </w:r>
          </w:p>
        </w:tc>
        <w:tc>
          <w:tcPr>
            <w:tcW w:w="1928"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7B5B1159"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3.7</w:t>
            </w:r>
          </w:p>
        </w:tc>
        <w:tc>
          <w:tcPr>
            <w:tcW w:w="1247"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6FB57FC9"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100</w:t>
            </w:r>
          </w:p>
        </w:tc>
        <w:tc>
          <w:tcPr>
            <w:tcW w:w="1191" w:type="dxa"/>
            <w:vMerge w:val="restart"/>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0F436FC" w14:textId="5BE19397" w:rsidR="00185B12" w:rsidRPr="00185B12" w:rsidRDefault="00185B12">
            <w:pPr>
              <w:pStyle w:val="NormalWeb"/>
              <w:spacing w:before="0" w:beforeAutospacing="0" w:after="200" w:afterAutospacing="0" w:line="276" w:lineRule="auto"/>
              <w:jc w:val="both"/>
              <w:textAlignment w:val="bottom"/>
              <w:rPr>
                <w:rFonts w:ascii="Arial" w:hAnsi="Arial" w:cs="Arial"/>
                <w:sz w:val="20"/>
                <w:szCs w:val="20"/>
              </w:rPr>
            </w:pPr>
            <w:r w:rsidRPr="00185B12">
              <w:rPr>
                <w:rFonts w:ascii="Arial" w:hAnsi="Arial" w:cs="Arial"/>
                <w:b/>
                <w:bCs/>
                <w:i/>
                <w:iCs/>
                <w:color w:val="000000" w:themeColor="text1"/>
                <w:kern w:val="24"/>
                <w:sz w:val="20"/>
                <w:szCs w:val="20"/>
              </w:rPr>
              <w:t>P</w:t>
            </w:r>
            <w:r>
              <w:rPr>
                <w:rFonts w:ascii="Arial" w:hAnsi="Arial" w:cs="Arial"/>
                <w:b/>
                <w:bCs/>
                <w:i/>
                <w:iCs/>
                <w:color w:val="000000" w:themeColor="text1"/>
                <w:kern w:val="24"/>
                <w:sz w:val="20"/>
                <w:szCs w:val="20"/>
              </w:rPr>
              <w:t xml:space="preserve"> </w:t>
            </w:r>
            <w:r w:rsidRPr="00185B12">
              <w:rPr>
                <w:rFonts w:ascii="Arial" w:hAnsi="Arial" w:cs="Arial"/>
                <w:b/>
                <w:bCs/>
                <w:i/>
                <w:iCs/>
                <w:color w:val="000000" w:themeColor="text1"/>
                <w:kern w:val="24"/>
                <w:sz w:val="20"/>
                <w:szCs w:val="20"/>
              </w:rPr>
              <w:t>=</w:t>
            </w:r>
            <w:r>
              <w:rPr>
                <w:rFonts w:ascii="Arial" w:hAnsi="Arial" w:cs="Arial"/>
                <w:b/>
                <w:bCs/>
                <w:i/>
                <w:iCs/>
                <w:color w:val="000000" w:themeColor="text1"/>
                <w:kern w:val="24"/>
                <w:sz w:val="20"/>
                <w:szCs w:val="20"/>
              </w:rPr>
              <w:t xml:space="preserve"> </w:t>
            </w:r>
            <w:r w:rsidRPr="00185B12">
              <w:rPr>
                <w:rFonts w:ascii="Arial" w:hAnsi="Arial" w:cs="Arial"/>
                <w:b/>
                <w:bCs/>
                <w:i/>
                <w:iCs/>
                <w:color w:val="000000" w:themeColor="text1"/>
                <w:kern w:val="24"/>
                <w:sz w:val="20"/>
                <w:szCs w:val="20"/>
              </w:rPr>
              <w:t>0.0159</w:t>
            </w:r>
          </w:p>
        </w:tc>
      </w:tr>
      <w:tr w:rsidR="00185B12" w:rsidRPr="00185B12" w14:paraId="2F1AF0FA" w14:textId="77777777" w:rsidTr="00185B12">
        <w:trPr>
          <w:trHeight w:val="20"/>
        </w:trPr>
        <w:tc>
          <w:tcPr>
            <w:tcW w:w="1757" w:type="dxa"/>
            <w:tcBorders>
              <w:top w:val="nil"/>
              <w:left w:val="nil"/>
              <w:bottom w:val="nil"/>
              <w:right w:val="nil"/>
            </w:tcBorders>
            <w:shd w:val="clear" w:color="auto" w:fill="auto"/>
            <w:tcMar>
              <w:top w:w="15" w:type="dxa"/>
              <w:left w:w="108" w:type="dxa"/>
              <w:bottom w:w="0" w:type="dxa"/>
              <w:right w:w="108" w:type="dxa"/>
            </w:tcMar>
            <w:vAlign w:val="center"/>
            <w:hideMark/>
          </w:tcPr>
          <w:p w14:paraId="72C874E5" w14:textId="77777777" w:rsidR="00185B12" w:rsidRPr="00185B12" w:rsidRDefault="00185B12">
            <w:pPr>
              <w:pStyle w:val="NormalWeb"/>
              <w:spacing w:before="0" w:beforeAutospacing="0" w:after="200" w:afterAutospacing="0" w:line="276" w:lineRule="auto"/>
              <w:jc w:val="center"/>
              <w:textAlignment w:val="top"/>
              <w:rPr>
                <w:rFonts w:ascii="Arial" w:hAnsi="Arial" w:cs="Arial"/>
                <w:sz w:val="20"/>
                <w:szCs w:val="20"/>
              </w:rPr>
            </w:pPr>
            <w:r w:rsidRPr="00185B12">
              <w:rPr>
                <w:rFonts w:ascii="Arial" w:hAnsi="Arial" w:cs="Arial"/>
                <w:b/>
                <w:bCs/>
                <w:color w:val="000000" w:themeColor="text1"/>
                <w:kern w:val="24"/>
                <w:sz w:val="20"/>
                <w:szCs w:val="20"/>
              </w:rPr>
              <w:t>[35-50[</w:t>
            </w:r>
          </w:p>
        </w:tc>
        <w:tc>
          <w:tcPr>
            <w:tcW w:w="1984" w:type="dxa"/>
            <w:tcBorders>
              <w:top w:val="nil"/>
              <w:left w:val="nil"/>
              <w:bottom w:val="nil"/>
              <w:right w:val="nil"/>
            </w:tcBorders>
            <w:shd w:val="clear" w:color="auto" w:fill="auto"/>
            <w:tcMar>
              <w:top w:w="15" w:type="dxa"/>
              <w:left w:w="108" w:type="dxa"/>
              <w:bottom w:w="0" w:type="dxa"/>
              <w:right w:w="108" w:type="dxa"/>
            </w:tcMar>
            <w:vAlign w:val="center"/>
            <w:hideMark/>
          </w:tcPr>
          <w:p w14:paraId="0F397A31"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88.5</w:t>
            </w:r>
          </w:p>
        </w:tc>
        <w:tc>
          <w:tcPr>
            <w:tcW w:w="1928" w:type="dxa"/>
            <w:tcBorders>
              <w:top w:val="nil"/>
              <w:left w:val="nil"/>
              <w:bottom w:val="nil"/>
              <w:right w:val="nil"/>
            </w:tcBorders>
            <w:shd w:val="clear" w:color="auto" w:fill="auto"/>
            <w:tcMar>
              <w:top w:w="15" w:type="dxa"/>
              <w:left w:w="108" w:type="dxa"/>
              <w:bottom w:w="0" w:type="dxa"/>
              <w:right w:w="108" w:type="dxa"/>
            </w:tcMar>
            <w:vAlign w:val="center"/>
            <w:hideMark/>
          </w:tcPr>
          <w:p w14:paraId="2B116D2A"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11.5</w:t>
            </w:r>
          </w:p>
        </w:tc>
        <w:tc>
          <w:tcPr>
            <w:tcW w:w="1247" w:type="dxa"/>
            <w:tcBorders>
              <w:top w:val="nil"/>
              <w:left w:val="nil"/>
              <w:bottom w:val="nil"/>
              <w:right w:val="nil"/>
            </w:tcBorders>
            <w:shd w:val="clear" w:color="auto" w:fill="auto"/>
            <w:tcMar>
              <w:top w:w="15" w:type="dxa"/>
              <w:left w:w="108" w:type="dxa"/>
              <w:bottom w:w="0" w:type="dxa"/>
              <w:right w:w="108" w:type="dxa"/>
            </w:tcMar>
            <w:vAlign w:val="center"/>
            <w:hideMark/>
          </w:tcPr>
          <w:p w14:paraId="5695A30C"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100</w:t>
            </w:r>
          </w:p>
        </w:tc>
        <w:tc>
          <w:tcPr>
            <w:tcW w:w="1191" w:type="dxa"/>
            <w:vMerge/>
            <w:tcBorders>
              <w:top w:val="single" w:sz="8" w:space="0" w:color="000000"/>
              <w:left w:val="nil"/>
              <w:bottom w:val="single" w:sz="8" w:space="0" w:color="000000"/>
              <w:right w:val="nil"/>
            </w:tcBorders>
            <w:vAlign w:val="center"/>
            <w:hideMark/>
          </w:tcPr>
          <w:p w14:paraId="459CE571" w14:textId="77777777" w:rsidR="00185B12" w:rsidRPr="00185B12" w:rsidRDefault="00185B12">
            <w:pPr>
              <w:rPr>
                <w:rFonts w:ascii="Arial" w:hAnsi="Arial" w:cs="Arial"/>
                <w:sz w:val="20"/>
                <w:szCs w:val="20"/>
              </w:rPr>
            </w:pPr>
          </w:p>
        </w:tc>
      </w:tr>
      <w:tr w:rsidR="00185B12" w:rsidRPr="00185B12" w14:paraId="7D4D5D21" w14:textId="77777777" w:rsidTr="00185B12">
        <w:trPr>
          <w:trHeight w:val="20"/>
        </w:trPr>
        <w:tc>
          <w:tcPr>
            <w:tcW w:w="1757" w:type="dxa"/>
            <w:tcBorders>
              <w:top w:val="nil"/>
              <w:left w:val="nil"/>
              <w:bottom w:val="nil"/>
              <w:right w:val="nil"/>
            </w:tcBorders>
            <w:shd w:val="clear" w:color="auto" w:fill="auto"/>
            <w:tcMar>
              <w:top w:w="15" w:type="dxa"/>
              <w:left w:w="108" w:type="dxa"/>
              <w:bottom w:w="0" w:type="dxa"/>
              <w:right w:w="108" w:type="dxa"/>
            </w:tcMar>
            <w:vAlign w:val="center"/>
            <w:hideMark/>
          </w:tcPr>
          <w:p w14:paraId="379B60E4" w14:textId="77777777" w:rsidR="00185B12" w:rsidRPr="00185B12" w:rsidRDefault="00185B12">
            <w:pPr>
              <w:pStyle w:val="NormalWeb"/>
              <w:spacing w:before="0" w:beforeAutospacing="0" w:after="200" w:afterAutospacing="0" w:line="276" w:lineRule="auto"/>
              <w:jc w:val="center"/>
              <w:textAlignment w:val="top"/>
              <w:rPr>
                <w:rFonts w:ascii="Arial" w:hAnsi="Arial" w:cs="Arial"/>
                <w:sz w:val="20"/>
                <w:szCs w:val="20"/>
              </w:rPr>
            </w:pPr>
            <w:r w:rsidRPr="00185B12">
              <w:rPr>
                <w:rFonts w:ascii="Arial" w:hAnsi="Arial" w:cs="Arial"/>
                <w:b/>
                <w:bCs/>
                <w:color w:val="000000" w:themeColor="text1"/>
                <w:kern w:val="24"/>
                <w:sz w:val="20"/>
                <w:szCs w:val="20"/>
              </w:rPr>
              <w:t>[50-65[</w:t>
            </w:r>
          </w:p>
        </w:tc>
        <w:tc>
          <w:tcPr>
            <w:tcW w:w="1984" w:type="dxa"/>
            <w:tcBorders>
              <w:top w:val="nil"/>
              <w:left w:val="nil"/>
              <w:bottom w:val="nil"/>
              <w:right w:val="nil"/>
            </w:tcBorders>
            <w:shd w:val="clear" w:color="auto" w:fill="auto"/>
            <w:tcMar>
              <w:top w:w="15" w:type="dxa"/>
              <w:left w:w="108" w:type="dxa"/>
              <w:bottom w:w="0" w:type="dxa"/>
              <w:right w:w="108" w:type="dxa"/>
            </w:tcMar>
            <w:vAlign w:val="center"/>
            <w:hideMark/>
          </w:tcPr>
          <w:p w14:paraId="5EE0DBE6"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81.5</w:t>
            </w:r>
          </w:p>
        </w:tc>
        <w:tc>
          <w:tcPr>
            <w:tcW w:w="1928" w:type="dxa"/>
            <w:tcBorders>
              <w:top w:val="nil"/>
              <w:left w:val="nil"/>
              <w:bottom w:val="nil"/>
              <w:right w:val="nil"/>
            </w:tcBorders>
            <w:shd w:val="clear" w:color="auto" w:fill="auto"/>
            <w:tcMar>
              <w:top w:w="15" w:type="dxa"/>
              <w:left w:w="108" w:type="dxa"/>
              <w:bottom w:w="0" w:type="dxa"/>
              <w:right w:w="108" w:type="dxa"/>
            </w:tcMar>
            <w:vAlign w:val="center"/>
            <w:hideMark/>
          </w:tcPr>
          <w:p w14:paraId="7360F4EC"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18.5</w:t>
            </w:r>
          </w:p>
        </w:tc>
        <w:tc>
          <w:tcPr>
            <w:tcW w:w="1247" w:type="dxa"/>
            <w:tcBorders>
              <w:top w:val="nil"/>
              <w:left w:val="nil"/>
              <w:bottom w:val="nil"/>
              <w:right w:val="nil"/>
            </w:tcBorders>
            <w:shd w:val="clear" w:color="auto" w:fill="auto"/>
            <w:tcMar>
              <w:top w:w="15" w:type="dxa"/>
              <w:left w:w="108" w:type="dxa"/>
              <w:bottom w:w="0" w:type="dxa"/>
              <w:right w:w="108" w:type="dxa"/>
            </w:tcMar>
            <w:vAlign w:val="center"/>
            <w:hideMark/>
          </w:tcPr>
          <w:p w14:paraId="69A0F0ED"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100</w:t>
            </w:r>
          </w:p>
        </w:tc>
        <w:tc>
          <w:tcPr>
            <w:tcW w:w="1191" w:type="dxa"/>
            <w:vMerge/>
            <w:tcBorders>
              <w:top w:val="single" w:sz="8" w:space="0" w:color="000000"/>
              <w:left w:val="nil"/>
              <w:bottom w:val="single" w:sz="8" w:space="0" w:color="000000"/>
              <w:right w:val="nil"/>
            </w:tcBorders>
            <w:vAlign w:val="center"/>
            <w:hideMark/>
          </w:tcPr>
          <w:p w14:paraId="5E47A337" w14:textId="77777777" w:rsidR="00185B12" w:rsidRPr="00185B12" w:rsidRDefault="00185B12">
            <w:pPr>
              <w:rPr>
                <w:rFonts w:ascii="Arial" w:hAnsi="Arial" w:cs="Arial"/>
                <w:sz w:val="20"/>
                <w:szCs w:val="20"/>
              </w:rPr>
            </w:pPr>
          </w:p>
        </w:tc>
      </w:tr>
      <w:tr w:rsidR="00185B12" w:rsidRPr="00185B12" w14:paraId="5EA36F7E" w14:textId="77777777" w:rsidTr="00185B12">
        <w:trPr>
          <w:trHeight w:val="20"/>
        </w:trPr>
        <w:tc>
          <w:tcPr>
            <w:tcW w:w="1757"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1BFAA743" w14:textId="77777777" w:rsidR="00185B12" w:rsidRPr="00185B12" w:rsidRDefault="00185B12">
            <w:pPr>
              <w:pStyle w:val="NormalWeb"/>
              <w:spacing w:before="0" w:beforeAutospacing="0" w:after="200" w:afterAutospacing="0" w:line="276" w:lineRule="auto"/>
              <w:jc w:val="center"/>
              <w:textAlignment w:val="top"/>
              <w:rPr>
                <w:rFonts w:ascii="Arial" w:hAnsi="Arial" w:cs="Arial"/>
                <w:sz w:val="20"/>
                <w:szCs w:val="20"/>
              </w:rPr>
            </w:pPr>
            <w:r w:rsidRPr="00185B12">
              <w:rPr>
                <w:rFonts w:ascii="Arial" w:hAnsi="Arial" w:cs="Arial"/>
                <w:b/>
                <w:bCs/>
                <w:color w:val="000000" w:themeColor="text1"/>
                <w:kern w:val="24"/>
                <w:sz w:val="20"/>
                <w:szCs w:val="20"/>
              </w:rPr>
              <w:t>≥ 65</w:t>
            </w:r>
          </w:p>
        </w:tc>
        <w:tc>
          <w:tcPr>
            <w:tcW w:w="1984"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79EF7AF2"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86.5</w:t>
            </w:r>
          </w:p>
        </w:tc>
        <w:tc>
          <w:tcPr>
            <w:tcW w:w="1928"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734C8C4C"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13.5 </w:t>
            </w:r>
          </w:p>
        </w:tc>
        <w:tc>
          <w:tcPr>
            <w:tcW w:w="1247"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5AAF3F83"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100</w:t>
            </w:r>
          </w:p>
        </w:tc>
        <w:tc>
          <w:tcPr>
            <w:tcW w:w="1191" w:type="dxa"/>
            <w:vMerge/>
            <w:tcBorders>
              <w:top w:val="single" w:sz="8" w:space="0" w:color="000000"/>
              <w:left w:val="nil"/>
              <w:bottom w:val="single" w:sz="8" w:space="0" w:color="000000"/>
              <w:right w:val="nil"/>
            </w:tcBorders>
            <w:vAlign w:val="center"/>
            <w:hideMark/>
          </w:tcPr>
          <w:p w14:paraId="102460D4" w14:textId="77777777" w:rsidR="00185B12" w:rsidRPr="00185B12" w:rsidRDefault="00185B12">
            <w:pPr>
              <w:rPr>
                <w:rFonts w:ascii="Arial" w:hAnsi="Arial" w:cs="Arial"/>
                <w:sz w:val="20"/>
                <w:szCs w:val="20"/>
              </w:rPr>
            </w:pPr>
          </w:p>
        </w:tc>
      </w:tr>
      <w:tr w:rsidR="00185B12" w:rsidRPr="00185B12" w14:paraId="0B4BE5DD" w14:textId="77777777" w:rsidTr="00185B12">
        <w:trPr>
          <w:trHeight w:val="20"/>
        </w:trPr>
        <w:tc>
          <w:tcPr>
            <w:tcW w:w="175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3EF923BE" w14:textId="77777777" w:rsidR="00185B12" w:rsidRPr="00185B12" w:rsidRDefault="00185B12">
            <w:pPr>
              <w:pStyle w:val="NormalWeb"/>
              <w:spacing w:before="0" w:beforeAutospacing="0" w:after="0" w:afterAutospacing="0"/>
              <w:jc w:val="center"/>
              <w:rPr>
                <w:rFonts w:ascii="Arial" w:hAnsi="Arial" w:cs="Arial"/>
                <w:sz w:val="20"/>
                <w:szCs w:val="20"/>
              </w:rPr>
            </w:pPr>
            <w:r w:rsidRPr="00185B12">
              <w:rPr>
                <w:rFonts w:ascii="Arial" w:hAnsi="Arial" w:cs="Arial"/>
                <w:b/>
                <w:bCs/>
                <w:color w:val="000000" w:themeColor="text1"/>
                <w:kern w:val="24"/>
                <w:sz w:val="20"/>
                <w:szCs w:val="20"/>
              </w:rPr>
              <w:t>TOTAL</w:t>
            </w:r>
          </w:p>
        </w:tc>
        <w:tc>
          <w:tcPr>
            <w:tcW w:w="1984"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76DD0A3C" w14:textId="77777777" w:rsidR="00185B12" w:rsidRPr="00185B12" w:rsidRDefault="00185B12">
            <w:pPr>
              <w:pStyle w:val="NormalWeb"/>
              <w:spacing w:before="0" w:beforeAutospacing="0" w:after="0" w:afterAutospacing="0"/>
              <w:jc w:val="center"/>
              <w:rPr>
                <w:rFonts w:ascii="Arial" w:hAnsi="Arial" w:cs="Arial"/>
                <w:sz w:val="20"/>
                <w:szCs w:val="20"/>
              </w:rPr>
            </w:pPr>
            <w:r w:rsidRPr="00185B12">
              <w:rPr>
                <w:rFonts w:ascii="Arial" w:hAnsi="Arial" w:cs="Arial"/>
                <w:color w:val="000000" w:themeColor="text1"/>
                <w:kern w:val="24"/>
                <w:sz w:val="20"/>
                <w:szCs w:val="20"/>
              </w:rPr>
              <w:t>86</w:t>
            </w:r>
          </w:p>
        </w:tc>
        <w:tc>
          <w:tcPr>
            <w:tcW w:w="192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18DE9450" w14:textId="77777777" w:rsidR="00185B12" w:rsidRPr="00185B12" w:rsidRDefault="00185B12">
            <w:pPr>
              <w:pStyle w:val="NormalWeb"/>
              <w:spacing w:before="0" w:beforeAutospacing="0" w:after="0" w:afterAutospacing="0"/>
              <w:jc w:val="center"/>
              <w:rPr>
                <w:rFonts w:ascii="Arial" w:hAnsi="Arial" w:cs="Arial"/>
                <w:sz w:val="20"/>
                <w:szCs w:val="20"/>
              </w:rPr>
            </w:pPr>
            <w:r w:rsidRPr="00185B12">
              <w:rPr>
                <w:rFonts w:ascii="Arial" w:hAnsi="Arial" w:cs="Arial"/>
                <w:color w:val="000000" w:themeColor="text1"/>
                <w:kern w:val="24"/>
                <w:sz w:val="20"/>
                <w:szCs w:val="20"/>
              </w:rPr>
              <w:t>13.9</w:t>
            </w:r>
          </w:p>
        </w:tc>
        <w:tc>
          <w:tcPr>
            <w:tcW w:w="124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DEC85EC" w14:textId="77777777" w:rsidR="00185B12" w:rsidRPr="00185B12" w:rsidRDefault="00185B12">
            <w:pPr>
              <w:pStyle w:val="NormalWeb"/>
              <w:spacing w:before="0" w:beforeAutospacing="0" w:after="0" w:afterAutospacing="0"/>
              <w:jc w:val="center"/>
              <w:rPr>
                <w:rFonts w:ascii="Arial" w:hAnsi="Arial" w:cs="Arial"/>
                <w:sz w:val="20"/>
                <w:szCs w:val="20"/>
              </w:rPr>
            </w:pPr>
            <w:r w:rsidRPr="00185B12">
              <w:rPr>
                <w:rFonts w:ascii="Arial" w:hAnsi="Arial" w:cs="Arial"/>
                <w:color w:val="000000" w:themeColor="text1"/>
                <w:kern w:val="24"/>
                <w:sz w:val="20"/>
                <w:szCs w:val="20"/>
              </w:rPr>
              <w:t>100</w:t>
            </w:r>
          </w:p>
        </w:tc>
        <w:tc>
          <w:tcPr>
            <w:tcW w:w="119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65DA85CD" w14:textId="77777777" w:rsidR="00185B12" w:rsidRPr="00185B12" w:rsidRDefault="00185B12">
            <w:pPr>
              <w:rPr>
                <w:rFonts w:ascii="Arial" w:hAnsi="Arial" w:cs="Arial"/>
                <w:sz w:val="20"/>
                <w:szCs w:val="20"/>
              </w:rPr>
            </w:pPr>
          </w:p>
        </w:tc>
      </w:tr>
    </w:tbl>
    <w:p w14:paraId="5F80A80F" w14:textId="4E6DCAB2" w:rsidR="00185B12" w:rsidRDefault="00185B12" w:rsidP="004E4442">
      <w:pPr>
        <w:jc w:val="both"/>
        <w:rPr>
          <w:rFonts w:ascii="Calibri" w:hAnsi="Calibri" w:cs="Calibri"/>
        </w:rPr>
      </w:pPr>
    </w:p>
    <w:p w14:paraId="6505E474" w14:textId="1C3E777E" w:rsidR="00185B12" w:rsidRDefault="00185B12" w:rsidP="004E4442">
      <w:pPr>
        <w:jc w:val="both"/>
        <w:rPr>
          <w:rFonts w:ascii="Calibri" w:hAnsi="Calibri" w:cs="Calibri"/>
        </w:rPr>
      </w:pPr>
    </w:p>
    <w:p w14:paraId="5631A168" w14:textId="77777777" w:rsidR="00185B12" w:rsidRPr="004E4442" w:rsidRDefault="00185B12" w:rsidP="004E4442">
      <w:pPr>
        <w:jc w:val="both"/>
        <w:rPr>
          <w:rFonts w:ascii="Calibri" w:hAnsi="Calibri" w:cs="Calibri"/>
        </w:rPr>
      </w:pPr>
    </w:p>
    <w:p w14:paraId="70B6506A" w14:textId="77777777" w:rsidR="00942491" w:rsidRPr="007961D4" w:rsidRDefault="00BB42FD" w:rsidP="00E202AB">
      <w:pPr>
        <w:numPr>
          <w:ilvl w:val="0"/>
          <w:numId w:val="16"/>
        </w:numPr>
        <w:jc w:val="both"/>
        <w:rPr>
          <w:rFonts w:ascii="Arial" w:hAnsi="Arial" w:cs="Arial"/>
          <w:b/>
          <w:color w:val="000000"/>
          <w:sz w:val="20"/>
          <w:szCs w:val="20"/>
          <w:u w:val="single"/>
        </w:rPr>
      </w:pPr>
      <w:r w:rsidRPr="007961D4">
        <w:rPr>
          <w:rFonts w:ascii="Arial" w:hAnsi="Arial" w:cs="Arial"/>
          <w:b/>
          <w:color w:val="000000"/>
          <w:sz w:val="20"/>
          <w:szCs w:val="20"/>
          <w:u w:val="single"/>
        </w:rPr>
        <w:t xml:space="preserve">Prevalence of signs in favor of potential kidney and liver diseases </w:t>
      </w:r>
    </w:p>
    <w:p w14:paraId="1D37D3FE" w14:textId="77777777" w:rsidR="00942491" w:rsidRPr="004E4442" w:rsidRDefault="00942491" w:rsidP="004E4442">
      <w:pPr>
        <w:ind w:left="180"/>
        <w:jc w:val="both"/>
        <w:rPr>
          <w:rFonts w:ascii="Calibri" w:hAnsi="Calibri" w:cs="Calibri"/>
        </w:rPr>
      </w:pPr>
    </w:p>
    <w:p w14:paraId="01CC76E4" w14:textId="273D9D0D" w:rsidR="00942491"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The frequency of high blood urea nitrogen was inversely associated with the age of the pilgrim candidates; high blood urea nitrogen was more frequent in candidates under 50 years old (Table VI).</w:t>
      </w:r>
    </w:p>
    <w:p w14:paraId="01BEB7BF" w14:textId="77777777" w:rsidR="00185B12" w:rsidRPr="007961D4" w:rsidRDefault="00185B12" w:rsidP="007961D4">
      <w:pPr>
        <w:spacing w:line="480" w:lineRule="auto"/>
        <w:jc w:val="both"/>
        <w:rPr>
          <w:rFonts w:ascii="Arial" w:hAnsi="Arial" w:cs="Arial"/>
          <w:sz w:val="20"/>
          <w:szCs w:val="20"/>
        </w:rPr>
      </w:pPr>
    </w:p>
    <w:p w14:paraId="1BF9C479" w14:textId="3AB4B54C" w:rsidR="00942491" w:rsidRDefault="00185B12" w:rsidP="007961D4">
      <w:pPr>
        <w:spacing w:line="480" w:lineRule="auto"/>
        <w:jc w:val="both"/>
        <w:rPr>
          <w:rFonts w:ascii="Arial" w:hAnsi="Arial" w:cs="Arial"/>
          <w:b/>
          <w:sz w:val="20"/>
          <w:szCs w:val="20"/>
        </w:rPr>
      </w:pPr>
      <w:r>
        <w:rPr>
          <w:rFonts w:ascii="Arial" w:hAnsi="Arial" w:cs="Arial"/>
          <w:b/>
          <w:sz w:val="20"/>
          <w:szCs w:val="20"/>
        </w:rPr>
        <w:t>Table VI</w:t>
      </w:r>
      <w:r w:rsidRPr="00185B12">
        <w:rPr>
          <w:rFonts w:ascii="Arial" w:hAnsi="Arial" w:cs="Arial"/>
          <w:b/>
          <w:sz w:val="20"/>
          <w:szCs w:val="20"/>
        </w:rPr>
        <w:t>: Distribution of blood urea nitrogen disorders according to age</w:t>
      </w:r>
    </w:p>
    <w:tbl>
      <w:tblPr>
        <w:tblW w:w="7993" w:type="dxa"/>
        <w:tblCellMar>
          <w:left w:w="0" w:type="dxa"/>
          <w:right w:w="0" w:type="dxa"/>
        </w:tblCellMar>
        <w:tblLook w:val="0600" w:firstRow="0" w:lastRow="0" w:firstColumn="0" w:lastColumn="0" w:noHBand="1" w:noVBand="1"/>
      </w:tblPr>
      <w:tblGrid>
        <w:gridCol w:w="1701"/>
        <w:gridCol w:w="1757"/>
        <w:gridCol w:w="1644"/>
        <w:gridCol w:w="1247"/>
        <w:gridCol w:w="1644"/>
      </w:tblGrid>
      <w:tr w:rsidR="00185B12" w:rsidRPr="00185B12" w14:paraId="4814704E" w14:textId="77777777" w:rsidTr="00185B12">
        <w:trPr>
          <w:trHeight w:val="20"/>
        </w:trPr>
        <w:tc>
          <w:tcPr>
            <w:tcW w:w="1701"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vAlign w:val="center"/>
            <w:hideMark/>
          </w:tcPr>
          <w:p w14:paraId="03DF81C8"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lastRenderedPageBreak/>
              <w:t xml:space="preserve">Age group </w:t>
            </w:r>
            <w:r w:rsidRPr="00185B12">
              <w:rPr>
                <w:rFonts w:ascii="Arial" w:hAnsi="Arial" w:cs="Arial"/>
                <w:color w:val="000000" w:themeColor="text1"/>
                <w:kern w:val="24"/>
                <w:sz w:val="20"/>
                <w:szCs w:val="20"/>
              </w:rPr>
              <w:t>(</w:t>
            </w:r>
            <w:proofErr w:type="spellStart"/>
            <w:r w:rsidRPr="00185B12">
              <w:rPr>
                <w:rFonts w:ascii="Arial" w:hAnsi="Arial" w:cs="Arial"/>
                <w:color w:val="000000" w:themeColor="text1"/>
                <w:kern w:val="24"/>
                <w:sz w:val="20"/>
                <w:szCs w:val="20"/>
              </w:rPr>
              <w:t>years</w:t>
            </w:r>
            <w:proofErr w:type="spellEnd"/>
            <w:r w:rsidRPr="00185B12">
              <w:rPr>
                <w:rFonts w:ascii="Arial" w:hAnsi="Arial" w:cs="Arial"/>
                <w:color w:val="000000" w:themeColor="text1"/>
                <w:kern w:val="24"/>
                <w:sz w:val="20"/>
                <w:szCs w:val="20"/>
              </w:rPr>
              <w:t>)</w:t>
            </w:r>
          </w:p>
        </w:tc>
        <w:tc>
          <w:tcPr>
            <w:tcW w:w="1757"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vAlign w:val="center"/>
            <w:hideMark/>
          </w:tcPr>
          <w:p w14:paraId="30828144"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 xml:space="preserve">% High </w:t>
            </w:r>
            <w:proofErr w:type="spellStart"/>
            <w:r w:rsidRPr="00185B12">
              <w:rPr>
                <w:rFonts w:ascii="Arial" w:eastAsia="Calibri" w:hAnsi="Arial" w:cs="Arial"/>
                <w:b/>
                <w:bCs/>
                <w:color w:val="000000"/>
                <w:kern w:val="24"/>
                <w:sz w:val="20"/>
                <w:szCs w:val="20"/>
              </w:rPr>
              <w:t>blood</w:t>
            </w:r>
            <w:proofErr w:type="spellEnd"/>
            <w:r w:rsidRPr="00185B12">
              <w:rPr>
                <w:rFonts w:ascii="Arial" w:eastAsia="Calibri" w:hAnsi="Arial" w:cs="Arial"/>
                <w:b/>
                <w:bCs/>
                <w:color w:val="000000"/>
                <w:kern w:val="24"/>
                <w:sz w:val="20"/>
                <w:szCs w:val="20"/>
              </w:rPr>
              <w:t xml:space="preserve"> </w:t>
            </w:r>
            <w:proofErr w:type="spellStart"/>
            <w:r w:rsidRPr="00185B12">
              <w:rPr>
                <w:rFonts w:ascii="Arial" w:eastAsia="Calibri" w:hAnsi="Arial" w:cs="Arial"/>
                <w:b/>
                <w:bCs/>
                <w:color w:val="000000"/>
                <w:kern w:val="24"/>
                <w:sz w:val="20"/>
                <w:szCs w:val="20"/>
              </w:rPr>
              <w:t>urea</w:t>
            </w:r>
            <w:proofErr w:type="spellEnd"/>
            <w:r w:rsidRPr="00185B12">
              <w:rPr>
                <w:rFonts w:ascii="Arial" w:eastAsia="Calibri" w:hAnsi="Arial" w:cs="Arial"/>
                <w:b/>
                <w:bCs/>
                <w:color w:val="000000"/>
                <w:kern w:val="24"/>
                <w:sz w:val="20"/>
                <w:szCs w:val="20"/>
              </w:rPr>
              <w:t xml:space="preserve"> </w:t>
            </w:r>
            <w:proofErr w:type="spellStart"/>
            <w:r w:rsidRPr="00185B12">
              <w:rPr>
                <w:rFonts w:ascii="Arial" w:eastAsia="Calibri" w:hAnsi="Arial" w:cs="Arial"/>
                <w:b/>
                <w:bCs/>
                <w:color w:val="000000"/>
                <w:kern w:val="24"/>
                <w:sz w:val="20"/>
                <w:szCs w:val="20"/>
              </w:rPr>
              <w:t>nitrogen</w:t>
            </w:r>
            <w:proofErr w:type="spellEnd"/>
            <w:r w:rsidRPr="00185B12">
              <w:rPr>
                <w:rFonts w:ascii="Arial" w:eastAsia="Calibri" w:hAnsi="Arial" w:cs="Arial"/>
                <w:b/>
                <w:bCs/>
                <w:color w:val="000000"/>
                <w:kern w:val="24"/>
                <w:sz w:val="20"/>
                <w:szCs w:val="20"/>
              </w:rPr>
              <w:t xml:space="preserve"> </w:t>
            </w:r>
            <w:r w:rsidRPr="00185B12">
              <w:rPr>
                <w:rFonts w:ascii="Arial" w:hAnsi="Arial" w:cs="Arial"/>
                <w:color w:val="000000"/>
                <w:kern w:val="24"/>
                <w:sz w:val="20"/>
                <w:szCs w:val="20"/>
              </w:rPr>
              <w:t>(&gt; 0.35 g/l)</w:t>
            </w:r>
          </w:p>
        </w:tc>
        <w:tc>
          <w:tcPr>
            <w:tcW w:w="1644"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vAlign w:val="center"/>
            <w:hideMark/>
          </w:tcPr>
          <w:p w14:paraId="19A5DC9B"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 xml:space="preserve">% Normal </w:t>
            </w:r>
            <w:proofErr w:type="spellStart"/>
            <w:r w:rsidRPr="00185B12">
              <w:rPr>
                <w:rFonts w:ascii="Arial" w:eastAsia="Calibri" w:hAnsi="Arial" w:cs="Arial"/>
                <w:b/>
                <w:bCs/>
                <w:color w:val="000000"/>
                <w:kern w:val="24"/>
                <w:sz w:val="20"/>
                <w:szCs w:val="20"/>
              </w:rPr>
              <w:t>blood</w:t>
            </w:r>
            <w:proofErr w:type="spellEnd"/>
            <w:r w:rsidRPr="00185B12">
              <w:rPr>
                <w:rFonts w:ascii="Arial" w:eastAsia="Calibri" w:hAnsi="Arial" w:cs="Arial"/>
                <w:b/>
                <w:bCs/>
                <w:color w:val="000000"/>
                <w:kern w:val="24"/>
                <w:sz w:val="20"/>
                <w:szCs w:val="20"/>
              </w:rPr>
              <w:t xml:space="preserve"> </w:t>
            </w:r>
            <w:proofErr w:type="spellStart"/>
            <w:r w:rsidRPr="00185B12">
              <w:rPr>
                <w:rFonts w:ascii="Arial" w:eastAsia="Calibri" w:hAnsi="Arial" w:cs="Arial"/>
                <w:b/>
                <w:bCs/>
                <w:color w:val="000000"/>
                <w:kern w:val="24"/>
                <w:sz w:val="20"/>
                <w:szCs w:val="20"/>
              </w:rPr>
              <w:t>urea</w:t>
            </w:r>
            <w:proofErr w:type="spellEnd"/>
            <w:r w:rsidRPr="00185B12">
              <w:rPr>
                <w:rFonts w:ascii="Arial" w:eastAsia="Calibri" w:hAnsi="Arial" w:cs="Arial"/>
                <w:b/>
                <w:bCs/>
                <w:color w:val="000000"/>
                <w:kern w:val="24"/>
                <w:sz w:val="20"/>
                <w:szCs w:val="20"/>
              </w:rPr>
              <w:t xml:space="preserve"> </w:t>
            </w:r>
            <w:proofErr w:type="spellStart"/>
            <w:r w:rsidRPr="00185B12">
              <w:rPr>
                <w:rFonts w:ascii="Arial" w:eastAsia="Calibri" w:hAnsi="Arial" w:cs="Arial"/>
                <w:b/>
                <w:bCs/>
                <w:color w:val="000000"/>
                <w:kern w:val="24"/>
                <w:sz w:val="20"/>
                <w:szCs w:val="20"/>
              </w:rPr>
              <w:t>nitrogen</w:t>
            </w:r>
            <w:proofErr w:type="spellEnd"/>
          </w:p>
        </w:tc>
        <w:tc>
          <w:tcPr>
            <w:tcW w:w="1247"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vAlign w:val="center"/>
            <w:hideMark/>
          </w:tcPr>
          <w:p w14:paraId="0B0CE40E"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w:t>
            </w:r>
          </w:p>
          <w:p w14:paraId="089593FA"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 xml:space="preserve">Total </w:t>
            </w:r>
            <w:r w:rsidRPr="00185B12">
              <w:rPr>
                <w:rFonts w:ascii="Arial" w:hAnsi="Arial" w:cs="Arial"/>
                <w:color w:val="000000" w:themeColor="text1"/>
                <w:kern w:val="24"/>
                <w:sz w:val="20"/>
                <w:szCs w:val="20"/>
              </w:rPr>
              <w:t>(n=674)</w:t>
            </w:r>
          </w:p>
        </w:tc>
        <w:tc>
          <w:tcPr>
            <w:tcW w:w="1644"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vAlign w:val="center"/>
            <w:hideMark/>
          </w:tcPr>
          <w:p w14:paraId="6D5A9BB5" w14:textId="77777777" w:rsidR="00185B12" w:rsidRPr="00185B12" w:rsidRDefault="00185B12">
            <w:pPr>
              <w:pStyle w:val="NormalWeb"/>
              <w:spacing w:before="0" w:beforeAutospacing="0" w:after="0" w:afterAutospacing="0"/>
              <w:jc w:val="both"/>
              <w:textAlignment w:val="top"/>
              <w:rPr>
                <w:rFonts w:ascii="Arial" w:hAnsi="Arial" w:cs="Arial"/>
                <w:sz w:val="20"/>
                <w:szCs w:val="20"/>
              </w:rPr>
            </w:pPr>
            <w:r w:rsidRPr="00185B12">
              <w:rPr>
                <w:rFonts w:ascii="Arial" w:eastAsia="Calibri" w:hAnsi="Arial" w:cs="Arial"/>
                <w:b/>
                <w:bCs/>
                <w:color w:val="000000"/>
                <w:kern w:val="24"/>
                <w:sz w:val="20"/>
                <w:szCs w:val="20"/>
              </w:rPr>
              <w:t>Khi</w:t>
            </w:r>
            <w:r w:rsidRPr="00185B12">
              <w:rPr>
                <w:rFonts w:ascii="Arial" w:eastAsia="Calibri" w:hAnsi="Arial" w:cs="Arial"/>
                <w:b/>
                <w:bCs/>
                <w:color w:val="000000"/>
                <w:kern w:val="24"/>
                <w:position w:val="11"/>
                <w:sz w:val="20"/>
                <w:szCs w:val="20"/>
                <w:vertAlign w:val="superscript"/>
              </w:rPr>
              <w:t>2</w:t>
            </w:r>
            <w:r w:rsidRPr="00185B12">
              <w:rPr>
                <w:rFonts w:ascii="Arial" w:eastAsia="Calibri" w:hAnsi="Arial" w:cs="Arial"/>
                <w:b/>
                <w:bCs/>
                <w:color w:val="000000"/>
                <w:kern w:val="24"/>
                <w:sz w:val="20"/>
                <w:szCs w:val="20"/>
              </w:rPr>
              <w:t xml:space="preserve"> test</w:t>
            </w:r>
          </w:p>
        </w:tc>
      </w:tr>
      <w:tr w:rsidR="00185B12" w:rsidRPr="00185B12" w14:paraId="211DB3EF" w14:textId="77777777" w:rsidTr="00185B12">
        <w:trPr>
          <w:trHeight w:val="20"/>
        </w:trPr>
        <w:tc>
          <w:tcPr>
            <w:tcW w:w="1701" w:type="dxa"/>
            <w:tcBorders>
              <w:top w:val="single" w:sz="8" w:space="0" w:color="000000"/>
              <w:left w:val="nil"/>
              <w:bottom w:val="nil"/>
              <w:right w:val="nil"/>
            </w:tcBorders>
            <w:shd w:val="clear" w:color="auto" w:fill="auto"/>
            <w:tcMar>
              <w:top w:w="20" w:type="dxa"/>
              <w:left w:w="143" w:type="dxa"/>
              <w:bottom w:w="0" w:type="dxa"/>
              <w:right w:w="143" w:type="dxa"/>
            </w:tcMar>
            <w:hideMark/>
          </w:tcPr>
          <w:p w14:paraId="53253C6C"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[15 – 50[</w:t>
            </w:r>
          </w:p>
        </w:tc>
        <w:tc>
          <w:tcPr>
            <w:tcW w:w="1757" w:type="dxa"/>
            <w:tcBorders>
              <w:top w:val="single" w:sz="8" w:space="0" w:color="000000"/>
              <w:left w:val="nil"/>
              <w:bottom w:val="nil"/>
              <w:right w:val="nil"/>
            </w:tcBorders>
            <w:shd w:val="clear" w:color="auto" w:fill="auto"/>
            <w:tcMar>
              <w:top w:w="20" w:type="dxa"/>
              <w:left w:w="143" w:type="dxa"/>
              <w:bottom w:w="0" w:type="dxa"/>
              <w:right w:w="143" w:type="dxa"/>
            </w:tcMar>
            <w:hideMark/>
          </w:tcPr>
          <w:p w14:paraId="568BDE23"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29</w:t>
            </w:r>
          </w:p>
        </w:tc>
        <w:tc>
          <w:tcPr>
            <w:tcW w:w="1644" w:type="dxa"/>
            <w:tcBorders>
              <w:top w:val="single" w:sz="8" w:space="0" w:color="000000"/>
              <w:left w:val="nil"/>
              <w:bottom w:val="nil"/>
              <w:right w:val="nil"/>
            </w:tcBorders>
            <w:shd w:val="clear" w:color="auto" w:fill="auto"/>
            <w:tcMar>
              <w:top w:w="20" w:type="dxa"/>
              <w:left w:w="143" w:type="dxa"/>
              <w:bottom w:w="0" w:type="dxa"/>
              <w:right w:w="143" w:type="dxa"/>
            </w:tcMar>
            <w:hideMark/>
          </w:tcPr>
          <w:p w14:paraId="4ED5DBED"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71</w:t>
            </w:r>
          </w:p>
        </w:tc>
        <w:tc>
          <w:tcPr>
            <w:tcW w:w="1247" w:type="dxa"/>
            <w:tcBorders>
              <w:top w:val="single" w:sz="8" w:space="0" w:color="000000"/>
              <w:left w:val="nil"/>
              <w:bottom w:val="nil"/>
              <w:right w:val="nil"/>
            </w:tcBorders>
            <w:shd w:val="clear" w:color="auto" w:fill="auto"/>
            <w:tcMar>
              <w:top w:w="20" w:type="dxa"/>
              <w:left w:w="143" w:type="dxa"/>
              <w:bottom w:w="0" w:type="dxa"/>
              <w:right w:w="143" w:type="dxa"/>
            </w:tcMar>
            <w:hideMark/>
          </w:tcPr>
          <w:p w14:paraId="7D62EC8F"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100</w:t>
            </w:r>
          </w:p>
        </w:tc>
        <w:tc>
          <w:tcPr>
            <w:tcW w:w="1644" w:type="dxa"/>
            <w:vMerge w:val="restart"/>
            <w:tcBorders>
              <w:top w:val="single" w:sz="8" w:space="0" w:color="000000"/>
              <w:left w:val="nil"/>
              <w:bottom w:val="single" w:sz="8" w:space="0" w:color="000000"/>
              <w:right w:val="nil"/>
            </w:tcBorders>
            <w:shd w:val="clear" w:color="auto" w:fill="auto"/>
            <w:tcMar>
              <w:top w:w="95" w:type="dxa"/>
              <w:left w:w="191" w:type="dxa"/>
              <w:bottom w:w="95" w:type="dxa"/>
              <w:right w:w="191" w:type="dxa"/>
            </w:tcMar>
            <w:vAlign w:val="center"/>
            <w:hideMark/>
          </w:tcPr>
          <w:p w14:paraId="571A2581" w14:textId="77777777" w:rsidR="00185B12" w:rsidRPr="00185B12" w:rsidRDefault="00185B12">
            <w:pPr>
              <w:pStyle w:val="NormalWeb"/>
              <w:spacing w:before="120" w:beforeAutospacing="0" w:after="120" w:afterAutospacing="0" w:line="480" w:lineRule="auto"/>
              <w:textAlignment w:val="center"/>
              <w:rPr>
                <w:rFonts w:ascii="Arial" w:hAnsi="Arial" w:cs="Arial"/>
                <w:sz w:val="20"/>
                <w:szCs w:val="20"/>
              </w:rPr>
            </w:pPr>
            <w:r w:rsidRPr="00185B12">
              <w:rPr>
                <w:rFonts w:ascii="Arial" w:eastAsia="Calibri" w:hAnsi="Arial" w:cs="Arial"/>
                <w:b/>
                <w:bCs/>
                <w:i/>
                <w:iCs/>
                <w:color w:val="000000"/>
                <w:kern w:val="24"/>
                <w:sz w:val="20"/>
                <w:szCs w:val="20"/>
              </w:rPr>
              <w:t>p = 0.00558</w:t>
            </w:r>
          </w:p>
        </w:tc>
      </w:tr>
      <w:tr w:rsidR="00185B12" w:rsidRPr="00185B12" w14:paraId="31E08A87" w14:textId="77777777" w:rsidTr="00185B12">
        <w:trPr>
          <w:trHeight w:val="20"/>
        </w:trPr>
        <w:tc>
          <w:tcPr>
            <w:tcW w:w="1701" w:type="dxa"/>
            <w:tcBorders>
              <w:top w:val="nil"/>
              <w:left w:val="nil"/>
              <w:bottom w:val="single" w:sz="8" w:space="0" w:color="000000"/>
              <w:right w:val="nil"/>
            </w:tcBorders>
            <w:shd w:val="clear" w:color="auto" w:fill="auto"/>
            <w:tcMar>
              <w:top w:w="20" w:type="dxa"/>
              <w:left w:w="143" w:type="dxa"/>
              <w:bottom w:w="0" w:type="dxa"/>
              <w:right w:w="143" w:type="dxa"/>
            </w:tcMar>
            <w:hideMark/>
          </w:tcPr>
          <w:p w14:paraId="0B8CAB26"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 50</w:t>
            </w:r>
          </w:p>
        </w:tc>
        <w:tc>
          <w:tcPr>
            <w:tcW w:w="1757" w:type="dxa"/>
            <w:tcBorders>
              <w:top w:val="nil"/>
              <w:left w:val="nil"/>
              <w:bottom w:val="single" w:sz="8" w:space="0" w:color="000000"/>
              <w:right w:val="nil"/>
            </w:tcBorders>
            <w:shd w:val="clear" w:color="auto" w:fill="auto"/>
            <w:tcMar>
              <w:top w:w="20" w:type="dxa"/>
              <w:left w:w="143" w:type="dxa"/>
              <w:bottom w:w="0" w:type="dxa"/>
              <w:right w:w="143" w:type="dxa"/>
            </w:tcMar>
            <w:hideMark/>
          </w:tcPr>
          <w:p w14:paraId="2E8E83AF"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19.8</w:t>
            </w:r>
          </w:p>
        </w:tc>
        <w:tc>
          <w:tcPr>
            <w:tcW w:w="1644" w:type="dxa"/>
            <w:tcBorders>
              <w:top w:val="nil"/>
              <w:left w:val="nil"/>
              <w:bottom w:val="single" w:sz="8" w:space="0" w:color="000000"/>
              <w:right w:val="nil"/>
            </w:tcBorders>
            <w:shd w:val="clear" w:color="auto" w:fill="auto"/>
            <w:tcMar>
              <w:top w:w="20" w:type="dxa"/>
              <w:left w:w="143" w:type="dxa"/>
              <w:bottom w:w="0" w:type="dxa"/>
              <w:right w:w="143" w:type="dxa"/>
            </w:tcMar>
            <w:hideMark/>
          </w:tcPr>
          <w:p w14:paraId="2C5E90DD"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80.2</w:t>
            </w:r>
          </w:p>
        </w:tc>
        <w:tc>
          <w:tcPr>
            <w:tcW w:w="1247" w:type="dxa"/>
            <w:tcBorders>
              <w:top w:val="nil"/>
              <w:left w:val="nil"/>
              <w:bottom w:val="single" w:sz="8" w:space="0" w:color="000000"/>
              <w:right w:val="nil"/>
            </w:tcBorders>
            <w:shd w:val="clear" w:color="auto" w:fill="auto"/>
            <w:tcMar>
              <w:top w:w="20" w:type="dxa"/>
              <w:left w:w="143" w:type="dxa"/>
              <w:bottom w:w="0" w:type="dxa"/>
              <w:right w:w="143" w:type="dxa"/>
            </w:tcMar>
            <w:hideMark/>
          </w:tcPr>
          <w:p w14:paraId="42E84248"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100</w:t>
            </w:r>
          </w:p>
        </w:tc>
        <w:tc>
          <w:tcPr>
            <w:tcW w:w="1644" w:type="dxa"/>
            <w:vMerge/>
            <w:tcBorders>
              <w:top w:val="single" w:sz="8" w:space="0" w:color="000000"/>
              <w:left w:val="nil"/>
              <w:bottom w:val="single" w:sz="8" w:space="0" w:color="000000"/>
              <w:right w:val="nil"/>
            </w:tcBorders>
            <w:vAlign w:val="center"/>
            <w:hideMark/>
          </w:tcPr>
          <w:p w14:paraId="63438F62" w14:textId="77777777" w:rsidR="00185B12" w:rsidRPr="00185B12" w:rsidRDefault="00185B12">
            <w:pPr>
              <w:rPr>
                <w:rFonts w:ascii="Arial" w:hAnsi="Arial" w:cs="Arial"/>
                <w:sz w:val="20"/>
                <w:szCs w:val="20"/>
              </w:rPr>
            </w:pPr>
          </w:p>
        </w:tc>
      </w:tr>
      <w:tr w:rsidR="00185B12" w:rsidRPr="00185B12" w14:paraId="05CFFC31" w14:textId="77777777" w:rsidTr="00185B12">
        <w:trPr>
          <w:trHeight w:val="20"/>
        </w:trPr>
        <w:tc>
          <w:tcPr>
            <w:tcW w:w="1701"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hideMark/>
          </w:tcPr>
          <w:p w14:paraId="0E2F346A" w14:textId="77777777" w:rsidR="00185B12" w:rsidRPr="00185B12" w:rsidRDefault="00185B12">
            <w:pPr>
              <w:pStyle w:val="NormalWeb"/>
              <w:spacing w:before="120" w:beforeAutospacing="0" w:after="120" w:afterAutospacing="0" w:line="276" w:lineRule="auto"/>
              <w:jc w:val="center"/>
              <w:textAlignment w:val="top"/>
              <w:rPr>
                <w:rFonts w:ascii="Arial" w:hAnsi="Arial" w:cs="Arial"/>
                <w:sz w:val="20"/>
                <w:szCs w:val="20"/>
              </w:rPr>
            </w:pPr>
            <w:r w:rsidRPr="00185B12">
              <w:rPr>
                <w:rFonts w:ascii="Arial" w:eastAsia="Calibri" w:hAnsi="Arial" w:cs="Arial"/>
                <w:color w:val="000000"/>
                <w:kern w:val="24"/>
                <w:sz w:val="20"/>
                <w:szCs w:val="20"/>
              </w:rPr>
              <w:t>Total</w:t>
            </w:r>
          </w:p>
        </w:tc>
        <w:tc>
          <w:tcPr>
            <w:tcW w:w="1757"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hideMark/>
          </w:tcPr>
          <w:p w14:paraId="43FA720B" w14:textId="77777777" w:rsidR="00185B12" w:rsidRPr="00185B12" w:rsidRDefault="00185B12">
            <w:pPr>
              <w:pStyle w:val="NormalWeb"/>
              <w:spacing w:before="120" w:beforeAutospacing="0" w:after="120" w:afterAutospacing="0" w:line="276" w:lineRule="auto"/>
              <w:jc w:val="center"/>
              <w:textAlignment w:val="top"/>
              <w:rPr>
                <w:rFonts w:ascii="Arial" w:hAnsi="Arial" w:cs="Arial"/>
                <w:sz w:val="20"/>
                <w:szCs w:val="20"/>
              </w:rPr>
            </w:pPr>
            <w:r w:rsidRPr="00185B12">
              <w:rPr>
                <w:rFonts w:ascii="Arial" w:eastAsia="Calibri" w:hAnsi="Arial" w:cs="Arial"/>
                <w:color w:val="000000"/>
                <w:kern w:val="24"/>
                <w:sz w:val="20"/>
                <w:szCs w:val="20"/>
              </w:rPr>
              <w:t>23.7</w:t>
            </w:r>
          </w:p>
        </w:tc>
        <w:tc>
          <w:tcPr>
            <w:tcW w:w="1644"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hideMark/>
          </w:tcPr>
          <w:p w14:paraId="79F5D7ED" w14:textId="77777777" w:rsidR="00185B12" w:rsidRPr="00185B12" w:rsidRDefault="00185B12">
            <w:pPr>
              <w:pStyle w:val="NormalWeb"/>
              <w:spacing w:before="120" w:beforeAutospacing="0" w:after="120" w:afterAutospacing="0" w:line="276" w:lineRule="auto"/>
              <w:jc w:val="center"/>
              <w:textAlignment w:val="top"/>
              <w:rPr>
                <w:rFonts w:ascii="Arial" w:hAnsi="Arial" w:cs="Arial"/>
                <w:sz w:val="20"/>
                <w:szCs w:val="20"/>
              </w:rPr>
            </w:pPr>
            <w:r w:rsidRPr="00185B12">
              <w:rPr>
                <w:rFonts w:ascii="Arial" w:eastAsia="Calibri" w:hAnsi="Arial" w:cs="Arial"/>
                <w:color w:val="000000"/>
                <w:kern w:val="24"/>
                <w:sz w:val="20"/>
                <w:szCs w:val="20"/>
              </w:rPr>
              <w:t>76.3</w:t>
            </w:r>
          </w:p>
        </w:tc>
        <w:tc>
          <w:tcPr>
            <w:tcW w:w="1247"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hideMark/>
          </w:tcPr>
          <w:p w14:paraId="67698752" w14:textId="77777777" w:rsidR="00185B12" w:rsidRPr="00185B12" w:rsidRDefault="00185B12">
            <w:pPr>
              <w:pStyle w:val="NormalWeb"/>
              <w:spacing w:before="120" w:beforeAutospacing="0" w:after="120" w:afterAutospacing="0" w:line="276" w:lineRule="auto"/>
              <w:jc w:val="center"/>
              <w:textAlignment w:val="top"/>
              <w:rPr>
                <w:rFonts w:ascii="Arial" w:hAnsi="Arial" w:cs="Arial"/>
                <w:sz w:val="20"/>
                <w:szCs w:val="20"/>
              </w:rPr>
            </w:pPr>
            <w:r w:rsidRPr="00185B12">
              <w:rPr>
                <w:rFonts w:ascii="Arial" w:eastAsia="Calibri" w:hAnsi="Arial" w:cs="Arial"/>
                <w:color w:val="000000"/>
                <w:kern w:val="24"/>
                <w:sz w:val="20"/>
                <w:szCs w:val="20"/>
              </w:rPr>
              <w:t>100</w:t>
            </w:r>
          </w:p>
        </w:tc>
        <w:tc>
          <w:tcPr>
            <w:tcW w:w="1644"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vAlign w:val="center"/>
            <w:hideMark/>
          </w:tcPr>
          <w:p w14:paraId="5679481A" w14:textId="77777777" w:rsidR="00185B12" w:rsidRPr="00185B12" w:rsidRDefault="00185B12">
            <w:pPr>
              <w:pStyle w:val="NormalWeb"/>
              <w:spacing w:before="120" w:beforeAutospacing="0" w:after="120" w:afterAutospacing="0" w:line="276" w:lineRule="auto"/>
              <w:jc w:val="both"/>
              <w:textAlignment w:val="top"/>
              <w:rPr>
                <w:rFonts w:ascii="Arial" w:hAnsi="Arial" w:cs="Arial"/>
                <w:sz w:val="20"/>
                <w:szCs w:val="20"/>
              </w:rPr>
            </w:pPr>
            <w:r w:rsidRPr="00185B12">
              <w:rPr>
                <w:rFonts w:ascii="Arial" w:eastAsia="Calibri" w:hAnsi="Arial" w:cs="Arial"/>
                <w:color w:val="000000"/>
                <w:kern w:val="24"/>
                <w:sz w:val="20"/>
                <w:szCs w:val="20"/>
              </w:rPr>
              <w:t> </w:t>
            </w:r>
          </w:p>
        </w:tc>
      </w:tr>
    </w:tbl>
    <w:p w14:paraId="419C07AA" w14:textId="42453DFB" w:rsidR="00185B12" w:rsidRDefault="00185B12" w:rsidP="007961D4">
      <w:pPr>
        <w:spacing w:line="480" w:lineRule="auto"/>
        <w:jc w:val="both"/>
        <w:rPr>
          <w:rFonts w:ascii="Arial" w:hAnsi="Arial" w:cs="Arial"/>
          <w:b/>
          <w:sz w:val="20"/>
          <w:szCs w:val="20"/>
        </w:rPr>
      </w:pPr>
    </w:p>
    <w:p w14:paraId="75679993" w14:textId="18C692EF" w:rsidR="00185B12" w:rsidRDefault="00185B12" w:rsidP="007961D4">
      <w:pPr>
        <w:spacing w:line="480" w:lineRule="auto"/>
        <w:jc w:val="both"/>
        <w:rPr>
          <w:rFonts w:ascii="Arial" w:hAnsi="Arial" w:cs="Arial"/>
          <w:b/>
          <w:sz w:val="20"/>
          <w:szCs w:val="20"/>
        </w:rPr>
      </w:pPr>
    </w:p>
    <w:p w14:paraId="76A667D5" w14:textId="37A4EAF6" w:rsidR="00185B12" w:rsidRPr="00185B12" w:rsidRDefault="00185B12" w:rsidP="007961D4">
      <w:pPr>
        <w:spacing w:line="480" w:lineRule="auto"/>
        <w:jc w:val="both"/>
        <w:rPr>
          <w:rFonts w:ascii="Arial" w:hAnsi="Arial" w:cs="Arial"/>
          <w:b/>
          <w:sz w:val="20"/>
          <w:szCs w:val="20"/>
        </w:rPr>
      </w:pPr>
    </w:p>
    <w:p w14:paraId="251C2934" w14:textId="77777777" w:rsidR="00942491" w:rsidRPr="007961D4" w:rsidRDefault="00942491" w:rsidP="007961D4">
      <w:pPr>
        <w:spacing w:line="480" w:lineRule="auto"/>
        <w:jc w:val="both"/>
        <w:rPr>
          <w:rFonts w:ascii="Arial" w:hAnsi="Arial" w:cs="Arial"/>
          <w:sz w:val="20"/>
          <w:szCs w:val="20"/>
        </w:rPr>
      </w:pPr>
    </w:p>
    <w:p w14:paraId="44657786" w14:textId="3E451520" w:rsidR="00942491"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 xml:space="preserve">The frequency of high blood creatinine levels was inversely associated with the age of the pilgrim candidates: high blood creatinine levels were more frequent in candidates under 50 years old (Table VII). </w:t>
      </w:r>
    </w:p>
    <w:p w14:paraId="7B485539" w14:textId="77777777" w:rsidR="00185B12" w:rsidRPr="007961D4" w:rsidRDefault="00185B12" w:rsidP="007961D4">
      <w:pPr>
        <w:spacing w:line="480" w:lineRule="auto"/>
        <w:jc w:val="both"/>
        <w:rPr>
          <w:rFonts w:ascii="Arial" w:hAnsi="Arial" w:cs="Arial"/>
          <w:sz w:val="20"/>
          <w:szCs w:val="20"/>
        </w:rPr>
      </w:pPr>
    </w:p>
    <w:p w14:paraId="03A71C09" w14:textId="603ACE25" w:rsidR="00942491" w:rsidRDefault="00185B12" w:rsidP="007961D4">
      <w:pPr>
        <w:spacing w:line="480" w:lineRule="auto"/>
        <w:jc w:val="both"/>
        <w:rPr>
          <w:rFonts w:ascii="Arial" w:hAnsi="Arial" w:cs="Arial"/>
          <w:b/>
          <w:sz w:val="20"/>
          <w:szCs w:val="20"/>
        </w:rPr>
      </w:pPr>
      <w:r w:rsidRPr="00185B12">
        <w:rPr>
          <w:rFonts w:ascii="Arial" w:hAnsi="Arial" w:cs="Arial"/>
          <w:b/>
          <w:sz w:val="20"/>
          <w:szCs w:val="20"/>
        </w:rPr>
        <w:t xml:space="preserve">Table VII: Distribution of blood </w:t>
      </w:r>
      <w:proofErr w:type="spellStart"/>
      <w:r w:rsidRPr="00185B12">
        <w:rPr>
          <w:rFonts w:ascii="Arial" w:hAnsi="Arial" w:cs="Arial"/>
          <w:b/>
          <w:sz w:val="20"/>
          <w:szCs w:val="20"/>
        </w:rPr>
        <w:t>creatinin</w:t>
      </w:r>
      <w:proofErr w:type="spellEnd"/>
      <w:r w:rsidRPr="00185B12">
        <w:rPr>
          <w:rFonts w:ascii="Arial" w:hAnsi="Arial" w:cs="Arial"/>
          <w:b/>
          <w:sz w:val="20"/>
          <w:szCs w:val="20"/>
        </w:rPr>
        <w:t xml:space="preserve"> disorders according to age</w:t>
      </w:r>
    </w:p>
    <w:tbl>
      <w:tblPr>
        <w:tblW w:w="8278" w:type="dxa"/>
        <w:tblCellMar>
          <w:left w:w="0" w:type="dxa"/>
          <w:right w:w="0" w:type="dxa"/>
        </w:tblCellMar>
        <w:tblLook w:val="0600" w:firstRow="0" w:lastRow="0" w:firstColumn="0" w:lastColumn="0" w:noHBand="1" w:noVBand="1"/>
      </w:tblPr>
      <w:tblGrid>
        <w:gridCol w:w="1701"/>
        <w:gridCol w:w="2211"/>
        <w:gridCol w:w="1701"/>
        <w:gridCol w:w="1304"/>
        <w:gridCol w:w="1361"/>
      </w:tblGrid>
      <w:tr w:rsidR="00BB42FD" w:rsidRPr="00185B12" w14:paraId="5AC8F471" w14:textId="77777777" w:rsidTr="00BB42FD">
        <w:trPr>
          <w:trHeight w:val="20"/>
        </w:trPr>
        <w:tc>
          <w:tcPr>
            <w:tcW w:w="170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1AAEED0D"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 xml:space="preserve">Age group </w:t>
            </w:r>
            <w:r w:rsidRPr="00185B12">
              <w:rPr>
                <w:rFonts w:ascii="Arial" w:hAnsi="Arial" w:cs="Arial"/>
                <w:color w:val="000000" w:themeColor="text1"/>
                <w:kern w:val="24"/>
                <w:sz w:val="20"/>
                <w:szCs w:val="20"/>
              </w:rPr>
              <w:t>(</w:t>
            </w:r>
            <w:proofErr w:type="spellStart"/>
            <w:r w:rsidRPr="00185B12">
              <w:rPr>
                <w:rFonts w:ascii="Arial" w:hAnsi="Arial" w:cs="Arial"/>
                <w:color w:val="000000" w:themeColor="text1"/>
                <w:kern w:val="24"/>
                <w:sz w:val="20"/>
                <w:szCs w:val="20"/>
              </w:rPr>
              <w:t>years</w:t>
            </w:r>
            <w:proofErr w:type="spellEnd"/>
            <w:r w:rsidRPr="00185B12">
              <w:rPr>
                <w:rFonts w:ascii="Arial" w:hAnsi="Arial" w:cs="Arial"/>
                <w:color w:val="000000" w:themeColor="text1"/>
                <w:kern w:val="24"/>
                <w:sz w:val="20"/>
                <w:szCs w:val="20"/>
              </w:rPr>
              <w:t>)</w:t>
            </w:r>
          </w:p>
        </w:tc>
        <w:tc>
          <w:tcPr>
            <w:tcW w:w="221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43C8C711" w14:textId="77777777" w:rsidR="00185B12" w:rsidRPr="00185B12" w:rsidRDefault="00185B12">
            <w:pPr>
              <w:pStyle w:val="NormalWeb"/>
              <w:spacing w:before="0" w:beforeAutospacing="0" w:after="200" w:afterAutospacing="0" w:line="276" w:lineRule="auto"/>
              <w:jc w:val="center"/>
              <w:rPr>
                <w:rFonts w:ascii="Arial" w:hAnsi="Arial" w:cs="Arial"/>
                <w:sz w:val="20"/>
                <w:szCs w:val="20"/>
              </w:rPr>
            </w:pPr>
            <w:r w:rsidRPr="00185B12">
              <w:rPr>
                <w:rFonts w:ascii="Arial" w:hAnsi="Arial" w:cs="Arial"/>
                <w:b/>
                <w:bCs/>
                <w:color w:val="000000" w:themeColor="text1"/>
                <w:kern w:val="24"/>
                <w:sz w:val="20"/>
                <w:szCs w:val="20"/>
              </w:rPr>
              <w:t xml:space="preserve">% High </w:t>
            </w:r>
            <w:proofErr w:type="spellStart"/>
            <w:r w:rsidRPr="00185B12">
              <w:rPr>
                <w:rFonts w:ascii="Arial" w:hAnsi="Arial" w:cs="Arial"/>
                <w:b/>
                <w:bCs/>
                <w:color w:val="000000" w:themeColor="text1"/>
                <w:kern w:val="24"/>
                <w:sz w:val="20"/>
                <w:szCs w:val="20"/>
              </w:rPr>
              <w:t>blood</w:t>
            </w:r>
            <w:proofErr w:type="spellEnd"/>
            <w:r w:rsidRPr="00185B12">
              <w:rPr>
                <w:rFonts w:ascii="Arial" w:hAnsi="Arial" w:cs="Arial"/>
                <w:b/>
                <w:bCs/>
                <w:color w:val="000000" w:themeColor="text1"/>
                <w:kern w:val="24"/>
                <w:sz w:val="20"/>
                <w:szCs w:val="20"/>
              </w:rPr>
              <w:t xml:space="preserve"> </w:t>
            </w:r>
            <w:proofErr w:type="spellStart"/>
            <w:r w:rsidRPr="00185B12">
              <w:rPr>
                <w:rFonts w:ascii="Arial" w:hAnsi="Arial" w:cs="Arial"/>
                <w:b/>
                <w:bCs/>
                <w:color w:val="000000" w:themeColor="text1"/>
                <w:kern w:val="24"/>
                <w:sz w:val="20"/>
                <w:szCs w:val="20"/>
              </w:rPr>
              <w:t>creatinin</w:t>
            </w:r>
            <w:proofErr w:type="spellEnd"/>
            <w:r w:rsidRPr="00185B12">
              <w:rPr>
                <w:rFonts w:ascii="Arial" w:hAnsi="Arial" w:cs="Arial"/>
                <w:b/>
                <w:bCs/>
                <w:color w:val="000000" w:themeColor="text1"/>
                <w:kern w:val="24"/>
                <w:sz w:val="20"/>
                <w:szCs w:val="20"/>
              </w:rPr>
              <w:t xml:space="preserve"> </w:t>
            </w:r>
            <w:r w:rsidRPr="00185B12">
              <w:rPr>
                <w:rFonts w:ascii="Arial" w:hAnsi="Arial" w:cs="Arial"/>
                <w:color w:val="000000" w:themeColor="text1"/>
                <w:kern w:val="24"/>
                <w:sz w:val="20"/>
                <w:szCs w:val="20"/>
              </w:rPr>
              <w:t>(&gt; 14 mg/l)</w:t>
            </w:r>
          </w:p>
        </w:tc>
        <w:tc>
          <w:tcPr>
            <w:tcW w:w="170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889ABA0" w14:textId="77777777" w:rsidR="00185B12" w:rsidRPr="00185B12" w:rsidRDefault="00185B12">
            <w:pPr>
              <w:pStyle w:val="NormalWeb"/>
              <w:spacing w:before="0" w:beforeAutospacing="0" w:after="200" w:afterAutospacing="0" w:line="276" w:lineRule="auto"/>
              <w:jc w:val="center"/>
              <w:rPr>
                <w:rFonts w:ascii="Arial" w:hAnsi="Arial" w:cs="Arial"/>
                <w:sz w:val="20"/>
                <w:szCs w:val="20"/>
              </w:rPr>
            </w:pPr>
            <w:r w:rsidRPr="00185B12">
              <w:rPr>
                <w:rFonts w:ascii="Arial" w:hAnsi="Arial" w:cs="Arial"/>
                <w:b/>
                <w:bCs/>
                <w:color w:val="000000" w:themeColor="text1"/>
                <w:kern w:val="24"/>
                <w:sz w:val="20"/>
                <w:szCs w:val="20"/>
              </w:rPr>
              <w:t xml:space="preserve">% Normal </w:t>
            </w:r>
            <w:proofErr w:type="spellStart"/>
            <w:r w:rsidRPr="00185B12">
              <w:rPr>
                <w:rFonts w:ascii="Arial" w:hAnsi="Arial" w:cs="Arial"/>
                <w:b/>
                <w:bCs/>
                <w:color w:val="000000" w:themeColor="text1"/>
                <w:kern w:val="24"/>
                <w:sz w:val="20"/>
                <w:szCs w:val="20"/>
              </w:rPr>
              <w:t>blood</w:t>
            </w:r>
            <w:proofErr w:type="spellEnd"/>
            <w:r w:rsidRPr="00185B12">
              <w:rPr>
                <w:rFonts w:ascii="Arial" w:hAnsi="Arial" w:cs="Arial"/>
                <w:b/>
                <w:bCs/>
                <w:color w:val="000000" w:themeColor="text1"/>
                <w:kern w:val="24"/>
                <w:sz w:val="20"/>
                <w:szCs w:val="20"/>
              </w:rPr>
              <w:t xml:space="preserve"> </w:t>
            </w:r>
            <w:proofErr w:type="spellStart"/>
            <w:r w:rsidRPr="00185B12">
              <w:rPr>
                <w:rFonts w:ascii="Arial" w:hAnsi="Arial" w:cs="Arial"/>
                <w:b/>
                <w:bCs/>
                <w:color w:val="000000" w:themeColor="text1"/>
                <w:kern w:val="24"/>
                <w:sz w:val="20"/>
                <w:szCs w:val="20"/>
              </w:rPr>
              <w:t>creatinin</w:t>
            </w:r>
            <w:proofErr w:type="spellEnd"/>
          </w:p>
        </w:tc>
        <w:tc>
          <w:tcPr>
            <w:tcW w:w="1304"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489C170"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w:t>
            </w:r>
          </w:p>
          <w:p w14:paraId="53CEB4E3"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 xml:space="preserve">Total </w:t>
            </w:r>
          </w:p>
          <w:p w14:paraId="3BFE4214"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hAnsi="Arial" w:cs="Arial"/>
                <w:color w:val="000000" w:themeColor="text1"/>
                <w:kern w:val="24"/>
                <w:sz w:val="20"/>
                <w:szCs w:val="20"/>
              </w:rPr>
              <w:t>(n=674)</w:t>
            </w:r>
          </w:p>
        </w:tc>
        <w:tc>
          <w:tcPr>
            <w:tcW w:w="1361"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2439DC66"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proofErr w:type="spellStart"/>
            <w:r w:rsidRPr="00185B12">
              <w:rPr>
                <w:rFonts w:ascii="Arial" w:hAnsi="Arial" w:cs="Arial"/>
                <w:b/>
                <w:bCs/>
                <w:color w:val="000000" w:themeColor="text1"/>
                <w:kern w:val="24"/>
                <w:sz w:val="20"/>
                <w:szCs w:val="20"/>
                <w:lang w:val="en-US"/>
              </w:rPr>
              <w:t>Khi</w:t>
            </w:r>
            <w:proofErr w:type="spellEnd"/>
            <w:r w:rsidRPr="00185B12">
              <w:rPr>
                <w:rFonts w:ascii="Arial" w:hAnsi="Arial" w:cs="Arial"/>
                <w:b/>
                <w:bCs/>
                <w:color w:val="000000" w:themeColor="text1"/>
                <w:kern w:val="24"/>
                <w:position w:val="11"/>
                <w:sz w:val="20"/>
                <w:szCs w:val="20"/>
                <w:vertAlign w:val="superscript"/>
                <w:lang w:val="en-US"/>
              </w:rPr>
              <w:t>2</w:t>
            </w:r>
            <w:r w:rsidRPr="00185B12">
              <w:rPr>
                <w:rFonts w:ascii="Arial" w:hAnsi="Arial" w:cs="Arial"/>
                <w:b/>
                <w:bCs/>
                <w:color w:val="000000" w:themeColor="text1"/>
                <w:kern w:val="24"/>
                <w:sz w:val="20"/>
                <w:szCs w:val="20"/>
                <w:lang w:val="en-US"/>
              </w:rPr>
              <w:t xml:space="preserve"> test</w:t>
            </w:r>
          </w:p>
        </w:tc>
      </w:tr>
      <w:tr w:rsidR="00BB42FD" w:rsidRPr="00185B12" w14:paraId="66EB9615" w14:textId="77777777" w:rsidTr="00BB42FD">
        <w:trPr>
          <w:trHeight w:val="20"/>
        </w:trPr>
        <w:tc>
          <w:tcPr>
            <w:tcW w:w="1701"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6A568683"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b/>
                <w:bCs/>
                <w:color w:val="000000" w:themeColor="text1"/>
                <w:kern w:val="24"/>
                <w:sz w:val="20"/>
                <w:szCs w:val="20"/>
              </w:rPr>
              <w:t xml:space="preserve"> [0 – 50[</w:t>
            </w:r>
          </w:p>
        </w:tc>
        <w:tc>
          <w:tcPr>
            <w:tcW w:w="2211"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14734C46"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29.3</w:t>
            </w:r>
          </w:p>
        </w:tc>
        <w:tc>
          <w:tcPr>
            <w:tcW w:w="1701"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2641D680"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70.7</w:t>
            </w:r>
          </w:p>
        </w:tc>
        <w:tc>
          <w:tcPr>
            <w:tcW w:w="1304"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46CEA166"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100</w:t>
            </w:r>
          </w:p>
        </w:tc>
        <w:tc>
          <w:tcPr>
            <w:tcW w:w="1361" w:type="dxa"/>
            <w:vMerge w:val="restart"/>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012A90A" w14:textId="77777777" w:rsidR="00185B12" w:rsidRPr="00185B12" w:rsidRDefault="00185B12">
            <w:pPr>
              <w:pStyle w:val="NormalWeb"/>
              <w:spacing w:before="120" w:beforeAutospacing="0" w:after="120" w:afterAutospacing="0" w:line="480" w:lineRule="auto"/>
              <w:jc w:val="both"/>
              <w:rPr>
                <w:rFonts w:ascii="Arial" w:hAnsi="Arial" w:cs="Arial"/>
                <w:sz w:val="20"/>
                <w:szCs w:val="20"/>
              </w:rPr>
            </w:pPr>
            <w:r w:rsidRPr="00185B12">
              <w:rPr>
                <w:rFonts w:ascii="Arial" w:hAnsi="Arial" w:cs="Arial"/>
                <w:b/>
                <w:bCs/>
                <w:i/>
                <w:iCs/>
                <w:color w:val="000000" w:themeColor="text1"/>
                <w:kern w:val="24"/>
                <w:sz w:val="20"/>
                <w:szCs w:val="20"/>
              </w:rPr>
              <w:t>p = 0.00535</w:t>
            </w:r>
          </w:p>
        </w:tc>
      </w:tr>
      <w:tr w:rsidR="00BB42FD" w:rsidRPr="00185B12" w14:paraId="2466E5DC" w14:textId="77777777" w:rsidTr="00BB42FD">
        <w:trPr>
          <w:trHeight w:val="20"/>
        </w:trPr>
        <w:tc>
          <w:tcPr>
            <w:tcW w:w="1701"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76E99F55"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b/>
                <w:bCs/>
                <w:color w:val="000000" w:themeColor="text1"/>
                <w:kern w:val="24"/>
                <w:sz w:val="20"/>
                <w:szCs w:val="20"/>
              </w:rPr>
              <w:t>≥ 50</w:t>
            </w:r>
          </w:p>
        </w:tc>
        <w:tc>
          <w:tcPr>
            <w:tcW w:w="2211"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7B928972"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20</w:t>
            </w:r>
          </w:p>
        </w:tc>
        <w:tc>
          <w:tcPr>
            <w:tcW w:w="1701"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3FAFC723"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80</w:t>
            </w:r>
          </w:p>
        </w:tc>
        <w:tc>
          <w:tcPr>
            <w:tcW w:w="1304"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557752C5"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100</w:t>
            </w:r>
          </w:p>
        </w:tc>
        <w:tc>
          <w:tcPr>
            <w:tcW w:w="1361" w:type="dxa"/>
            <w:vMerge/>
            <w:tcBorders>
              <w:top w:val="single" w:sz="8" w:space="0" w:color="000000"/>
              <w:left w:val="nil"/>
              <w:bottom w:val="single" w:sz="8" w:space="0" w:color="000000"/>
              <w:right w:val="nil"/>
            </w:tcBorders>
            <w:vAlign w:val="center"/>
            <w:hideMark/>
          </w:tcPr>
          <w:p w14:paraId="5DAF2D3A" w14:textId="77777777" w:rsidR="00185B12" w:rsidRPr="00185B12" w:rsidRDefault="00185B12">
            <w:pPr>
              <w:rPr>
                <w:rFonts w:ascii="Arial" w:hAnsi="Arial" w:cs="Arial"/>
                <w:sz w:val="20"/>
                <w:szCs w:val="20"/>
              </w:rPr>
            </w:pPr>
          </w:p>
        </w:tc>
      </w:tr>
      <w:tr w:rsidR="00BB42FD" w:rsidRPr="00185B12" w14:paraId="67351E03" w14:textId="77777777" w:rsidTr="00BB42FD">
        <w:trPr>
          <w:trHeight w:val="20"/>
        </w:trPr>
        <w:tc>
          <w:tcPr>
            <w:tcW w:w="170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1A8CEFF5"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b/>
                <w:bCs/>
                <w:color w:val="000000" w:themeColor="text1"/>
                <w:kern w:val="24"/>
                <w:sz w:val="20"/>
                <w:szCs w:val="20"/>
              </w:rPr>
              <w:t>TOTAL</w:t>
            </w:r>
          </w:p>
        </w:tc>
        <w:tc>
          <w:tcPr>
            <w:tcW w:w="221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BDE44F9"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color w:val="000000" w:themeColor="text1"/>
                <w:kern w:val="24"/>
                <w:sz w:val="20"/>
                <w:szCs w:val="20"/>
              </w:rPr>
              <w:t>24</w:t>
            </w:r>
          </w:p>
        </w:tc>
        <w:tc>
          <w:tcPr>
            <w:tcW w:w="170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908DC6D"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color w:val="000000" w:themeColor="text1"/>
                <w:kern w:val="24"/>
                <w:sz w:val="20"/>
                <w:szCs w:val="20"/>
              </w:rPr>
              <w:t>76</w:t>
            </w:r>
          </w:p>
        </w:tc>
        <w:tc>
          <w:tcPr>
            <w:tcW w:w="1304"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33FCFE84"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color w:val="000000" w:themeColor="text1"/>
                <w:kern w:val="24"/>
                <w:sz w:val="20"/>
                <w:szCs w:val="20"/>
              </w:rPr>
              <w:t>100</w:t>
            </w:r>
          </w:p>
        </w:tc>
        <w:tc>
          <w:tcPr>
            <w:tcW w:w="1361"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BBCDB48" w14:textId="77777777" w:rsidR="00185B12" w:rsidRPr="00185B12" w:rsidRDefault="00185B12">
            <w:pPr>
              <w:rPr>
                <w:rFonts w:ascii="Arial" w:hAnsi="Arial" w:cs="Arial"/>
                <w:sz w:val="20"/>
                <w:szCs w:val="20"/>
              </w:rPr>
            </w:pPr>
          </w:p>
        </w:tc>
      </w:tr>
    </w:tbl>
    <w:p w14:paraId="4B03477E" w14:textId="77777777" w:rsidR="00185B12" w:rsidRPr="00185B12" w:rsidRDefault="00185B12" w:rsidP="007961D4">
      <w:pPr>
        <w:spacing w:line="480" w:lineRule="auto"/>
        <w:jc w:val="both"/>
        <w:rPr>
          <w:rFonts w:ascii="Arial" w:hAnsi="Arial" w:cs="Arial"/>
          <w:b/>
          <w:sz w:val="20"/>
          <w:szCs w:val="20"/>
        </w:rPr>
      </w:pPr>
    </w:p>
    <w:p w14:paraId="2773E2FB" w14:textId="77777777" w:rsidR="00942491" w:rsidRPr="007961D4" w:rsidRDefault="00942491" w:rsidP="007961D4">
      <w:pPr>
        <w:spacing w:line="480" w:lineRule="auto"/>
        <w:jc w:val="both"/>
        <w:rPr>
          <w:rFonts w:ascii="Arial" w:hAnsi="Arial" w:cs="Arial"/>
          <w:sz w:val="20"/>
          <w:szCs w:val="20"/>
        </w:rPr>
      </w:pPr>
    </w:p>
    <w:p w14:paraId="23D78EB4" w14:textId="78553818" w:rsidR="00942491"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 xml:space="preserve">The frequency of high blood creatinine levels was positively associated with the frequency of high blood urea nitrogen levels (Table VIII). This is indicative of potential kidney disease. Similarly, we found an association between ALAT and ASAT </w:t>
      </w:r>
      <w:proofErr w:type="spellStart"/>
      <w:r w:rsidRPr="007961D4">
        <w:rPr>
          <w:rFonts w:ascii="Arial" w:hAnsi="Arial" w:cs="Arial"/>
          <w:color w:val="000000"/>
          <w:sz w:val="20"/>
          <w:szCs w:val="20"/>
        </w:rPr>
        <w:t>hypertransaminasemia</w:t>
      </w:r>
      <w:proofErr w:type="spellEnd"/>
      <w:r w:rsidRPr="007961D4">
        <w:rPr>
          <w:rFonts w:ascii="Arial" w:hAnsi="Arial" w:cs="Arial"/>
          <w:color w:val="000000"/>
          <w:sz w:val="20"/>
          <w:szCs w:val="20"/>
        </w:rPr>
        <w:t xml:space="preserve">, suggesting </w:t>
      </w:r>
      <w:proofErr w:type="spellStart"/>
      <w:r w:rsidRPr="007961D4">
        <w:rPr>
          <w:rFonts w:ascii="Arial" w:hAnsi="Arial" w:cs="Arial"/>
          <w:color w:val="000000"/>
          <w:sz w:val="20"/>
          <w:szCs w:val="20"/>
        </w:rPr>
        <w:t>hepatocytolysis</w:t>
      </w:r>
      <w:proofErr w:type="spellEnd"/>
      <w:r w:rsidRPr="007961D4">
        <w:rPr>
          <w:rFonts w:ascii="Arial" w:hAnsi="Arial" w:cs="Arial"/>
          <w:color w:val="000000"/>
          <w:sz w:val="20"/>
          <w:szCs w:val="20"/>
        </w:rPr>
        <w:t xml:space="preserve"> (Table IX).</w:t>
      </w:r>
    </w:p>
    <w:p w14:paraId="7855F9C2" w14:textId="77777777" w:rsidR="00BB42FD" w:rsidRPr="007961D4" w:rsidRDefault="00BB42FD" w:rsidP="007961D4">
      <w:pPr>
        <w:spacing w:line="480" w:lineRule="auto"/>
        <w:jc w:val="both"/>
        <w:rPr>
          <w:rFonts w:ascii="Arial" w:hAnsi="Arial" w:cs="Arial"/>
          <w:sz w:val="20"/>
          <w:szCs w:val="20"/>
        </w:rPr>
      </w:pPr>
    </w:p>
    <w:p w14:paraId="1F8A48DD" w14:textId="77172D68" w:rsidR="00942491" w:rsidRPr="00BB42FD" w:rsidRDefault="00BB42FD" w:rsidP="007961D4">
      <w:pPr>
        <w:spacing w:line="480" w:lineRule="auto"/>
        <w:jc w:val="both"/>
        <w:rPr>
          <w:rFonts w:ascii="Arial" w:hAnsi="Arial" w:cs="Arial"/>
          <w:b/>
          <w:sz w:val="20"/>
          <w:szCs w:val="20"/>
        </w:rPr>
      </w:pPr>
      <w:r w:rsidRPr="00BB42FD">
        <w:rPr>
          <w:rFonts w:ascii="Arial" w:hAnsi="Arial" w:cs="Arial"/>
          <w:b/>
          <w:sz w:val="20"/>
          <w:szCs w:val="20"/>
        </w:rPr>
        <w:t xml:space="preserve">Table VIII: Distribution of blood </w:t>
      </w:r>
      <w:proofErr w:type="spellStart"/>
      <w:r w:rsidRPr="00BB42FD">
        <w:rPr>
          <w:rFonts w:ascii="Arial" w:hAnsi="Arial" w:cs="Arial"/>
          <w:b/>
          <w:sz w:val="20"/>
          <w:szCs w:val="20"/>
        </w:rPr>
        <w:t>creatinin</w:t>
      </w:r>
      <w:proofErr w:type="spellEnd"/>
      <w:r w:rsidRPr="00BB42FD">
        <w:rPr>
          <w:rFonts w:ascii="Arial" w:hAnsi="Arial" w:cs="Arial"/>
          <w:b/>
          <w:sz w:val="20"/>
          <w:szCs w:val="20"/>
        </w:rPr>
        <w:t xml:space="preserve"> disorders according to blood urea nitrogen</w:t>
      </w:r>
    </w:p>
    <w:tbl>
      <w:tblPr>
        <w:tblW w:w="8448" w:type="dxa"/>
        <w:tblCellMar>
          <w:left w:w="0" w:type="dxa"/>
          <w:right w:w="0" w:type="dxa"/>
        </w:tblCellMar>
        <w:tblLook w:val="0600" w:firstRow="0" w:lastRow="0" w:firstColumn="0" w:lastColumn="0" w:noHBand="1" w:noVBand="1"/>
      </w:tblPr>
      <w:tblGrid>
        <w:gridCol w:w="2721"/>
        <w:gridCol w:w="1701"/>
        <w:gridCol w:w="1928"/>
        <w:gridCol w:w="907"/>
        <w:gridCol w:w="1191"/>
      </w:tblGrid>
      <w:tr w:rsidR="00BB42FD" w:rsidRPr="00BB42FD" w14:paraId="35A3EA13" w14:textId="77777777" w:rsidTr="00BB42FD">
        <w:trPr>
          <w:trHeight w:val="20"/>
        </w:trPr>
        <w:tc>
          <w:tcPr>
            <w:tcW w:w="2721" w:type="dxa"/>
            <w:tcBorders>
              <w:top w:val="nil"/>
              <w:left w:val="nil"/>
              <w:bottom w:val="single" w:sz="8" w:space="0" w:color="000000"/>
              <w:right w:val="nil"/>
            </w:tcBorders>
            <w:shd w:val="clear" w:color="auto" w:fill="auto"/>
            <w:tcMar>
              <w:top w:w="15" w:type="dxa"/>
              <w:left w:w="84" w:type="dxa"/>
              <w:bottom w:w="0" w:type="dxa"/>
              <w:right w:w="84" w:type="dxa"/>
            </w:tcMar>
            <w:vAlign w:val="center"/>
            <w:hideMark/>
          </w:tcPr>
          <w:p w14:paraId="174615FA" w14:textId="77777777" w:rsidR="00BB42FD" w:rsidRPr="00BB42FD" w:rsidRDefault="00BB42FD">
            <w:pPr>
              <w:rPr>
                <w:rFonts w:ascii="Arial" w:hAnsi="Arial" w:cs="Arial"/>
                <w:sz w:val="20"/>
                <w:szCs w:val="20"/>
              </w:rPr>
            </w:pPr>
          </w:p>
        </w:tc>
        <w:tc>
          <w:tcPr>
            <w:tcW w:w="1701" w:type="dxa"/>
            <w:tcBorders>
              <w:top w:val="single" w:sz="8" w:space="0" w:color="000000"/>
              <w:left w:val="nil"/>
              <w:bottom w:val="single" w:sz="8" w:space="0" w:color="000000"/>
              <w:right w:val="nil"/>
            </w:tcBorders>
            <w:shd w:val="clear" w:color="auto" w:fill="auto"/>
            <w:tcMar>
              <w:top w:w="15" w:type="dxa"/>
              <w:left w:w="84" w:type="dxa"/>
              <w:bottom w:w="0" w:type="dxa"/>
              <w:right w:w="84" w:type="dxa"/>
            </w:tcMar>
            <w:vAlign w:val="center"/>
            <w:hideMark/>
          </w:tcPr>
          <w:p w14:paraId="76C5E299"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Normal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urea</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nitrogen</w:t>
            </w:r>
            <w:proofErr w:type="spellEnd"/>
          </w:p>
        </w:tc>
        <w:tc>
          <w:tcPr>
            <w:tcW w:w="1928" w:type="dxa"/>
            <w:tcBorders>
              <w:top w:val="single" w:sz="8" w:space="0" w:color="000000"/>
              <w:left w:val="nil"/>
              <w:bottom w:val="single" w:sz="8" w:space="0" w:color="000000"/>
              <w:right w:val="nil"/>
            </w:tcBorders>
            <w:shd w:val="clear" w:color="auto" w:fill="auto"/>
            <w:tcMar>
              <w:top w:w="15" w:type="dxa"/>
              <w:left w:w="84" w:type="dxa"/>
              <w:bottom w:w="0" w:type="dxa"/>
              <w:right w:w="84" w:type="dxa"/>
            </w:tcMar>
            <w:vAlign w:val="center"/>
            <w:hideMark/>
          </w:tcPr>
          <w:p w14:paraId="2092EC10"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High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urea</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nitrogen</w:t>
            </w:r>
            <w:proofErr w:type="spellEnd"/>
          </w:p>
        </w:tc>
        <w:tc>
          <w:tcPr>
            <w:tcW w:w="907" w:type="dxa"/>
            <w:tcBorders>
              <w:top w:val="single" w:sz="8" w:space="0" w:color="000000"/>
              <w:left w:val="nil"/>
              <w:bottom w:val="single" w:sz="8" w:space="0" w:color="000000"/>
              <w:right w:val="nil"/>
            </w:tcBorders>
            <w:shd w:val="clear" w:color="auto" w:fill="auto"/>
            <w:tcMar>
              <w:top w:w="15" w:type="dxa"/>
              <w:left w:w="84" w:type="dxa"/>
              <w:bottom w:w="0" w:type="dxa"/>
              <w:right w:w="84" w:type="dxa"/>
            </w:tcMar>
            <w:vAlign w:val="center"/>
            <w:hideMark/>
          </w:tcPr>
          <w:p w14:paraId="3F76EB9E"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eastAsia="Calibri" w:hAnsi="Arial" w:cs="Arial"/>
                <w:b/>
                <w:bCs/>
                <w:color w:val="000000"/>
                <w:kern w:val="24"/>
                <w:sz w:val="20"/>
                <w:szCs w:val="20"/>
              </w:rPr>
              <w:t>%</w:t>
            </w:r>
          </w:p>
          <w:p w14:paraId="5039E304"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eastAsia="Calibri" w:hAnsi="Arial" w:cs="Arial"/>
                <w:b/>
                <w:bCs/>
                <w:color w:val="000000"/>
                <w:kern w:val="24"/>
                <w:sz w:val="20"/>
                <w:szCs w:val="20"/>
              </w:rPr>
              <w:t xml:space="preserve">Total </w:t>
            </w:r>
          </w:p>
          <w:p w14:paraId="57C6E964"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hAnsi="Arial" w:cs="Arial"/>
                <w:color w:val="000000" w:themeColor="text1"/>
                <w:kern w:val="24"/>
                <w:sz w:val="20"/>
                <w:szCs w:val="20"/>
              </w:rPr>
              <w:t>(n=674)</w:t>
            </w:r>
          </w:p>
        </w:tc>
        <w:tc>
          <w:tcPr>
            <w:tcW w:w="1191"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4F49279"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proofErr w:type="spellStart"/>
            <w:r w:rsidRPr="00BB42FD">
              <w:rPr>
                <w:rFonts w:ascii="Arial" w:hAnsi="Arial" w:cs="Arial"/>
                <w:b/>
                <w:bCs/>
                <w:color w:val="000000" w:themeColor="text1"/>
                <w:kern w:val="24"/>
                <w:sz w:val="20"/>
                <w:szCs w:val="20"/>
                <w:lang w:val="en-US"/>
              </w:rPr>
              <w:t>Khi</w:t>
            </w:r>
            <w:proofErr w:type="spellEnd"/>
            <w:r w:rsidRPr="00BB42FD">
              <w:rPr>
                <w:rFonts w:ascii="Arial" w:hAnsi="Arial" w:cs="Arial"/>
                <w:b/>
                <w:bCs/>
                <w:color w:val="000000" w:themeColor="text1"/>
                <w:kern w:val="24"/>
                <w:position w:val="11"/>
                <w:sz w:val="20"/>
                <w:szCs w:val="20"/>
                <w:vertAlign w:val="superscript"/>
                <w:lang w:val="en-US"/>
              </w:rPr>
              <w:t>2</w:t>
            </w:r>
            <w:r w:rsidRPr="00BB42FD">
              <w:rPr>
                <w:rFonts w:ascii="Arial" w:hAnsi="Arial" w:cs="Arial"/>
                <w:b/>
                <w:bCs/>
                <w:color w:val="000000" w:themeColor="text1"/>
                <w:kern w:val="24"/>
                <w:sz w:val="20"/>
                <w:szCs w:val="20"/>
                <w:lang w:val="en-US"/>
              </w:rPr>
              <w:t xml:space="preserve"> test</w:t>
            </w:r>
          </w:p>
        </w:tc>
      </w:tr>
      <w:tr w:rsidR="00BB42FD" w:rsidRPr="00BB42FD" w14:paraId="4E1E5A1C" w14:textId="77777777" w:rsidTr="00BB42FD">
        <w:trPr>
          <w:trHeight w:val="20"/>
        </w:trPr>
        <w:tc>
          <w:tcPr>
            <w:tcW w:w="2721" w:type="dxa"/>
            <w:tcBorders>
              <w:top w:val="single" w:sz="8" w:space="0" w:color="000000"/>
              <w:left w:val="nil"/>
              <w:bottom w:val="nil"/>
              <w:right w:val="nil"/>
            </w:tcBorders>
            <w:shd w:val="clear" w:color="auto" w:fill="auto"/>
            <w:tcMar>
              <w:top w:w="15" w:type="dxa"/>
              <w:left w:w="84" w:type="dxa"/>
              <w:bottom w:w="0" w:type="dxa"/>
              <w:right w:w="84" w:type="dxa"/>
            </w:tcMar>
            <w:vAlign w:val="center"/>
            <w:hideMark/>
          </w:tcPr>
          <w:p w14:paraId="6C57A4A1" w14:textId="77777777" w:rsidR="00BB42FD" w:rsidRPr="00BB42FD" w:rsidRDefault="00BB42FD">
            <w:pPr>
              <w:pStyle w:val="NormalWeb"/>
              <w:spacing w:before="120" w:beforeAutospacing="0" w:after="120" w:afterAutospacing="0" w:line="276" w:lineRule="auto"/>
              <w:rPr>
                <w:rFonts w:ascii="Arial" w:hAnsi="Arial" w:cs="Arial"/>
                <w:sz w:val="20"/>
                <w:szCs w:val="20"/>
              </w:rPr>
            </w:pPr>
            <w:r w:rsidRPr="00BB42FD">
              <w:rPr>
                <w:rFonts w:ascii="Arial" w:hAnsi="Arial" w:cs="Arial"/>
                <w:b/>
                <w:bCs/>
                <w:color w:val="000000" w:themeColor="text1"/>
                <w:kern w:val="24"/>
                <w:sz w:val="20"/>
                <w:szCs w:val="20"/>
              </w:rPr>
              <w:t xml:space="preserve">% Normal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creatinin</w:t>
            </w:r>
            <w:proofErr w:type="spellEnd"/>
          </w:p>
        </w:tc>
        <w:tc>
          <w:tcPr>
            <w:tcW w:w="1701" w:type="dxa"/>
            <w:tcBorders>
              <w:top w:val="single" w:sz="8" w:space="0" w:color="000000"/>
              <w:left w:val="nil"/>
              <w:bottom w:val="nil"/>
              <w:right w:val="nil"/>
            </w:tcBorders>
            <w:shd w:val="clear" w:color="auto" w:fill="auto"/>
            <w:tcMar>
              <w:top w:w="15" w:type="dxa"/>
              <w:left w:w="84" w:type="dxa"/>
              <w:bottom w:w="0" w:type="dxa"/>
              <w:right w:w="84" w:type="dxa"/>
            </w:tcMar>
            <w:vAlign w:val="center"/>
            <w:hideMark/>
          </w:tcPr>
          <w:p w14:paraId="7953AA7F"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91</w:t>
            </w:r>
          </w:p>
        </w:tc>
        <w:tc>
          <w:tcPr>
            <w:tcW w:w="1928" w:type="dxa"/>
            <w:tcBorders>
              <w:top w:val="single" w:sz="8" w:space="0" w:color="000000"/>
              <w:left w:val="nil"/>
              <w:bottom w:val="nil"/>
              <w:right w:val="nil"/>
            </w:tcBorders>
            <w:shd w:val="clear" w:color="auto" w:fill="auto"/>
            <w:tcMar>
              <w:top w:w="15" w:type="dxa"/>
              <w:left w:w="84" w:type="dxa"/>
              <w:bottom w:w="0" w:type="dxa"/>
              <w:right w:w="84" w:type="dxa"/>
            </w:tcMar>
            <w:vAlign w:val="center"/>
            <w:hideMark/>
          </w:tcPr>
          <w:p w14:paraId="19C0CDA3"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9</w:t>
            </w:r>
          </w:p>
        </w:tc>
        <w:tc>
          <w:tcPr>
            <w:tcW w:w="907" w:type="dxa"/>
            <w:tcBorders>
              <w:top w:val="single" w:sz="8" w:space="0" w:color="000000"/>
              <w:left w:val="nil"/>
              <w:bottom w:val="nil"/>
              <w:right w:val="nil"/>
            </w:tcBorders>
            <w:shd w:val="clear" w:color="auto" w:fill="auto"/>
            <w:tcMar>
              <w:top w:w="15" w:type="dxa"/>
              <w:left w:w="84" w:type="dxa"/>
              <w:bottom w:w="0" w:type="dxa"/>
              <w:right w:w="84" w:type="dxa"/>
            </w:tcMar>
            <w:vAlign w:val="center"/>
            <w:hideMark/>
          </w:tcPr>
          <w:p w14:paraId="149DB7AA"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191" w:type="dxa"/>
            <w:vMerge w:val="restart"/>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19BB93F"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 </w:t>
            </w:r>
            <w:r w:rsidRPr="00BB42FD">
              <w:rPr>
                <w:rFonts w:ascii="Arial" w:hAnsi="Arial" w:cs="Arial"/>
                <w:b/>
                <w:bCs/>
                <w:i/>
                <w:iCs/>
                <w:color w:val="000000" w:themeColor="text1"/>
                <w:kern w:val="24"/>
                <w:sz w:val="20"/>
                <w:szCs w:val="20"/>
              </w:rPr>
              <w:t>p = 0.000</w:t>
            </w:r>
          </w:p>
        </w:tc>
      </w:tr>
      <w:tr w:rsidR="00BB42FD" w:rsidRPr="00BB42FD" w14:paraId="43A68B54" w14:textId="77777777" w:rsidTr="00BB42FD">
        <w:trPr>
          <w:trHeight w:val="20"/>
        </w:trPr>
        <w:tc>
          <w:tcPr>
            <w:tcW w:w="2721" w:type="dxa"/>
            <w:tcBorders>
              <w:top w:val="nil"/>
              <w:left w:val="nil"/>
              <w:bottom w:val="single" w:sz="8" w:space="0" w:color="000000"/>
              <w:right w:val="nil"/>
            </w:tcBorders>
            <w:shd w:val="clear" w:color="auto" w:fill="auto"/>
            <w:tcMar>
              <w:top w:w="15" w:type="dxa"/>
              <w:left w:w="84" w:type="dxa"/>
              <w:bottom w:w="0" w:type="dxa"/>
              <w:right w:w="84" w:type="dxa"/>
            </w:tcMar>
            <w:vAlign w:val="center"/>
            <w:hideMark/>
          </w:tcPr>
          <w:p w14:paraId="7D73D529" w14:textId="77777777" w:rsidR="00BB42FD" w:rsidRPr="00BB42FD" w:rsidRDefault="00BB42FD">
            <w:pPr>
              <w:pStyle w:val="NormalWeb"/>
              <w:spacing w:before="120" w:beforeAutospacing="0" w:after="120" w:afterAutospacing="0" w:line="276" w:lineRule="auto"/>
              <w:rPr>
                <w:rFonts w:ascii="Arial" w:hAnsi="Arial" w:cs="Arial"/>
                <w:sz w:val="20"/>
                <w:szCs w:val="20"/>
              </w:rPr>
            </w:pPr>
            <w:r w:rsidRPr="00BB42FD">
              <w:rPr>
                <w:rFonts w:ascii="Arial" w:hAnsi="Arial" w:cs="Arial"/>
                <w:b/>
                <w:bCs/>
                <w:color w:val="000000" w:themeColor="text1"/>
                <w:kern w:val="24"/>
                <w:sz w:val="20"/>
                <w:szCs w:val="20"/>
              </w:rPr>
              <w:t xml:space="preserve">% High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creatinin</w:t>
            </w:r>
            <w:proofErr w:type="spellEnd"/>
          </w:p>
        </w:tc>
        <w:tc>
          <w:tcPr>
            <w:tcW w:w="1701" w:type="dxa"/>
            <w:tcBorders>
              <w:top w:val="nil"/>
              <w:left w:val="nil"/>
              <w:bottom w:val="single" w:sz="8" w:space="0" w:color="000000"/>
              <w:right w:val="nil"/>
            </w:tcBorders>
            <w:shd w:val="clear" w:color="auto" w:fill="auto"/>
            <w:tcMar>
              <w:top w:w="15" w:type="dxa"/>
              <w:left w:w="84" w:type="dxa"/>
              <w:bottom w:w="0" w:type="dxa"/>
              <w:right w:w="84" w:type="dxa"/>
            </w:tcMar>
            <w:vAlign w:val="center"/>
            <w:hideMark/>
          </w:tcPr>
          <w:p w14:paraId="5FC58E43"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29.6</w:t>
            </w:r>
          </w:p>
        </w:tc>
        <w:tc>
          <w:tcPr>
            <w:tcW w:w="1928" w:type="dxa"/>
            <w:tcBorders>
              <w:top w:val="nil"/>
              <w:left w:val="nil"/>
              <w:bottom w:val="single" w:sz="8" w:space="0" w:color="000000"/>
              <w:right w:val="nil"/>
            </w:tcBorders>
            <w:shd w:val="clear" w:color="auto" w:fill="auto"/>
            <w:tcMar>
              <w:top w:w="15" w:type="dxa"/>
              <w:left w:w="84" w:type="dxa"/>
              <w:bottom w:w="0" w:type="dxa"/>
              <w:right w:w="84" w:type="dxa"/>
            </w:tcMar>
            <w:vAlign w:val="center"/>
            <w:hideMark/>
          </w:tcPr>
          <w:p w14:paraId="38EF90A8"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70.4</w:t>
            </w:r>
          </w:p>
        </w:tc>
        <w:tc>
          <w:tcPr>
            <w:tcW w:w="907" w:type="dxa"/>
            <w:tcBorders>
              <w:top w:val="nil"/>
              <w:left w:val="nil"/>
              <w:bottom w:val="single" w:sz="8" w:space="0" w:color="000000"/>
              <w:right w:val="nil"/>
            </w:tcBorders>
            <w:shd w:val="clear" w:color="auto" w:fill="auto"/>
            <w:tcMar>
              <w:top w:w="15" w:type="dxa"/>
              <w:left w:w="84" w:type="dxa"/>
              <w:bottom w:w="0" w:type="dxa"/>
              <w:right w:w="84" w:type="dxa"/>
            </w:tcMar>
            <w:vAlign w:val="center"/>
            <w:hideMark/>
          </w:tcPr>
          <w:p w14:paraId="598D6195"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191" w:type="dxa"/>
            <w:vMerge/>
            <w:tcBorders>
              <w:top w:val="single" w:sz="8" w:space="0" w:color="000000"/>
              <w:left w:val="nil"/>
              <w:bottom w:val="single" w:sz="8" w:space="0" w:color="000000"/>
              <w:right w:val="nil"/>
            </w:tcBorders>
            <w:vAlign w:val="center"/>
            <w:hideMark/>
          </w:tcPr>
          <w:p w14:paraId="1FE58831" w14:textId="77777777" w:rsidR="00BB42FD" w:rsidRPr="00BB42FD" w:rsidRDefault="00BB42FD">
            <w:pPr>
              <w:rPr>
                <w:rFonts w:ascii="Arial" w:hAnsi="Arial" w:cs="Arial"/>
                <w:sz w:val="20"/>
                <w:szCs w:val="20"/>
              </w:rPr>
            </w:pPr>
          </w:p>
        </w:tc>
      </w:tr>
      <w:tr w:rsidR="00BB42FD" w:rsidRPr="00BB42FD" w14:paraId="5518640E" w14:textId="77777777" w:rsidTr="00BB42FD">
        <w:trPr>
          <w:trHeight w:val="20"/>
        </w:trPr>
        <w:tc>
          <w:tcPr>
            <w:tcW w:w="2721" w:type="dxa"/>
            <w:tcBorders>
              <w:top w:val="single" w:sz="8" w:space="0" w:color="000000"/>
              <w:left w:val="nil"/>
              <w:bottom w:val="single" w:sz="8" w:space="0" w:color="000000"/>
              <w:right w:val="nil"/>
            </w:tcBorders>
            <w:shd w:val="clear" w:color="auto" w:fill="auto"/>
            <w:tcMar>
              <w:top w:w="15" w:type="dxa"/>
              <w:left w:w="84" w:type="dxa"/>
              <w:bottom w:w="0" w:type="dxa"/>
              <w:right w:w="84" w:type="dxa"/>
            </w:tcMar>
            <w:vAlign w:val="center"/>
            <w:hideMark/>
          </w:tcPr>
          <w:p w14:paraId="673BF2F3" w14:textId="77777777" w:rsidR="00BB42FD" w:rsidRPr="00BB42FD" w:rsidRDefault="00BB42FD">
            <w:pPr>
              <w:pStyle w:val="NormalWeb"/>
              <w:spacing w:before="120" w:beforeAutospacing="0" w:after="120" w:afterAutospacing="0" w:line="276" w:lineRule="auto"/>
              <w:rPr>
                <w:rFonts w:ascii="Arial" w:hAnsi="Arial" w:cs="Arial"/>
                <w:sz w:val="20"/>
                <w:szCs w:val="20"/>
              </w:rPr>
            </w:pPr>
            <w:r w:rsidRPr="00BB42FD">
              <w:rPr>
                <w:rFonts w:ascii="Arial" w:hAnsi="Arial" w:cs="Arial"/>
                <w:b/>
                <w:bCs/>
                <w:color w:val="000000" w:themeColor="text1"/>
                <w:kern w:val="24"/>
                <w:sz w:val="20"/>
                <w:szCs w:val="20"/>
              </w:rPr>
              <w:t>Total</w:t>
            </w:r>
          </w:p>
        </w:tc>
        <w:tc>
          <w:tcPr>
            <w:tcW w:w="1701" w:type="dxa"/>
            <w:tcBorders>
              <w:top w:val="single" w:sz="8" w:space="0" w:color="000000"/>
              <w:left w:val="nil"/>
              <w:bottom w:val="single" w:sz="8" w:space="0" w:color="000000"/>
              <w:right w:val="nil"/>
            </w:tcBorders>
            <w:shd w:val="clear" w:color="auto" w:fill="auto"/>
            <w:tcMar>
              <w:top w:w="15" w:type="dxa"/>
              <w:left w:w="84" w:type="dxa"/>
              <w:bottom w:w="0" w:type="dxa"/>
              <w:right w:w="84" w:type="dxa"/>
            </w:tcMar>
            <w:vAlign w:val="center"/>
            <w:hideMark/>
          </w:tcPr>
          <w:p w14:paraId="01E44187"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 xml:space="preserve">76.3 </w:t>
            </w:r>
          </w:p>
        </w:tc>
        <w:tc>
          <w:tcPr>
            <w:tcW w:w="1928" w:type="dxa"/>
            <w:tcBorders>
              <w:top w:val="single" w:sz="8" w:space="0" w:color="000000"/>
              <w:left w:val="nil"/>
              <w:bottom w:val="single" w:sz="8" w:space="0" w:color="000000"/>
              <w:right w:val="nil"/>
            </w:tcBorders>
            <w:shd w:val="clear" w:color="auto" w:fill="auto"/>
            <w:tcMar>
              <w:top w:w="15" w:type="dxa"/>
              <w:left w:w="84" w:type="dxa"/>
              <w:bottom w:w="0" w:type="dxa"/>
              <w:right w:w="84" w:type="dxa"/>
            </w:tcMar>
            <w:vAlign w:val="center"/>
            <w:hideMark/>
          </w:tcPr>
          <w:p w14:paraId="2CB28514"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23.7</w:t>
            </w:r>
          </w:p>
        </w:tc>
        <w:tc>
          <w:tcPr>
            <w:tcW w:w="907" w:type="dxa"/>
            <w:tcBorders>
              <w:top w:val="single" w:sz="8" w:space="0" w:color="000000"/>
              <w:left w:val="nil"/>
              <w:bottom w:val="single" w:sz="8" w:space="0" w:color="000000"/>
              <w:right w:val="nil"/>
            </w:tcBorders>
            <w:shd w:val="clear" w:color="auto" w:fill="auto"/>
            <w:tcMar>
              <w:top w:w="15" w:type="dxa"/>
              <w:left w:w="84" w:type="dxa"/>
              <w:bottom w:w="0" w:type="dxa"/>
              <w:right w:w="84" w:type="dxa"/>
            </w:tcMar>
            <w:vAlign w:val="center"/>
            <w:hideMark/>
          </w:tcPr>
          <w:p w14:paraId="57A80A1D"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191"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6498CDB4"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 </w:t>
            </w:r>
          </w:p>
        </w:tc>
      </w:tr>
    </w:tbl>
    <w:p w14:paraId="3794BC7B" w14:textId="07D26279" w:rsidR="00BB42FD" w:rsidRDefault="00BB42FD" w:rsidP="007961D4">
      <w:pPr>
        <w:spacing w:line="480" w:lineRule="auto"/>
        <w:jc w:val="both"/>
        <w:rPr>
          <w:rFonts w:ascii="Arial" w:hAnsi="Arial" w:cs="Arial"/>
          <w:sz w:val="20"/>
          <w:szCs w:val="20"/>
        </w:rPr>
      </w:pPr>
    </w:p>
    <w:p w14:paraId="2D187B20" w14:textId="7C87A45D" w:rsidR="00BB42FD" w:rsidRDefault="00BB42FD" w:rsidP="007961D4">
      <w:pPr>
        <w:spacing w:line="480" w:lineRule="auto"/>
        <w:jc w:val="both"/>
        <w:rPr>
          <w:rFonts w:ascii="Arial" w:hAnsi="Arial" w:cs="Arial"/>
          <w:sz w:val="20"/>
          <w:szCs w:val="20"/>
        </w:rPr>
      </w:pPr>
    </w:p>
    <w:p w14:paraId="7AB96F61" w14:textId="220FCDC9" w:rsidR="00BB42FD" w:rsidRDefault="00BB42FD" w:rsidP="007961D4">
      <w:pPr>
        <w:spacing w:line="480" w:lineRule="auto"/>
        <w:jc w:val="both"/>
        <w:rPr>
          <w:rFonts w:ascii="Arial" w:hAnsi="Arial" w:cs="Arial"/>
          <w:sz w:val="20"/>
          <w:szCs w:val="20"/>
        </w:rPr>
      </w:pPr>
    </w:p>
    <w:p w14:paraId="53566306" w14:textId="35FE01A2" w:rsidR="00BB42FD" w:rsidRDefault="00BB42FD" w:rsidP="007961D4">
      <w:pPr>
        <w:spacing w:line="480" w:lineRule="auto"/>
        <w:jc w:val="both"/>
        <w:rPr>
          <w:rFonts w:ascii="Arial" w:hAnsi="Arial" w:cs="Arial"/>
          <w:sz w:val="20"/>
          <w:szCs w:val="20"/>
        </w:rPr>
      </w:pPr>
    </w:p>
    <w:p w14:paraId="6C917020" w14:textId="530BC891" w:rsidR="00BB42FD" w:rsidRDefault="00BB42FD" w:rsidP="007961D4">
      <w:pPr>
        <w:spacing w:line="480" w:lineRule="auto"/>
        <w:jc w:val="both"/>
        <w:rPr>
          <w:rFonts w:ascii="Arial" w:hAnsi="Arial" w:cs="Arial"/>
          <w:sz w:val="20"/>
          <w:szCs w:val="20"/>
        </w:rPr>
      </w:pPr>
    </w:p>
    <w:p w14:paraId="061A37F3" w14:textId="3D251005" w:rsidR="00BB42FD" w:rsidRDefault="00BB42FD" w:rsidP="007961D4">
      <w:pPr>
        <w:spacing w:line="480" w:lineRule="auto"/>
        <w:jc w:val="both"/>
        <w:rPr>
          <w:rFonts w:ascii="Arial" w:hAnsi="Arial" w:cs="Arial"/>
          <w:sz w:val="20"/>
          <w:szCs w:val="20"/>
        </w:rPr>
      </w:pPr>
    </w:p>
    <w:p w14:paraId="51E477AB" w14:textId="7EC0F1A3" w:rsidR="00BB42FD" w:rsidRPr="00BB42FD" w:rsidRDefault="00BB42FD" w:rsidP="007961D4">
      <w:pPr>
        <w:spacing w:line="480" w:lineRule="auto"/>
        <w:jc w:val="both"/>
        <w:rPr>
          <w:rFonts w:ascii="Arial" w:hAnsi="Arial" w:cs="Arial"/>
          <w:b/>
          <w:sz w:val="20"/>
          <w:szCs w:val="20"/>
        </w:rPr>
      </w:pPr>
      <w:r w:rsidRPr="00BB42FD">
        <w:rPr>
          <w:rFonts w:ascii="Arial" w:hAnsi="Arial" w:cs="Arial"/>
          <w:b/>
          <w:sz w:val="20"/>
          <w:szCs w:val="20"/>
        </w:rPr>
        <w:t>Table IX: Distribution of transaminases activities</w:t>
      </w:r>
    </w:p>
    <w:tbl>
      <w:tblPr>
        <w:tblW w:w="9071" w:type="dxa"/>
        <w:tblCellMar>
          <w:left w:w="0" w:type="dxa"/>
          <w:right w:w="0" w:type="dxa"/>
        </w:tblCellMar>
        <w:tblLook w:val="0600" w:firstRow="0" w:lastRow="0" w:firstColumn="0" w:lastColumn="0" w:noHBand="1" w:noVBand="1"/>
      </w:tblPr>
      <w:tblGrid>
        <w:gridCol w:w="3061"/>
        <w:gridCol w:w="1701"/>
        <w:gridCol w:w="1871"/>
        <w:gridCol w:w="1077"/>
        <w:gridCol w:w="1361"/>
      </w:tblGrid>
      <w:tr w:rsidR="00BB42FD" w:rsidRPr="00BB42FD" w14:paraId="7EB25DED" w14:textId="77777777" w:rsidTr="00BB42FD">
        <w:trPr>
          <w:trHeight w:val="20"/>
        </w:trPr>
        <w:tc>
          <w:tcPr>
            <w:tcW w:w="3061" w:type="dxa"/>
            <w:tcBorders>
              <w:top w:val="nil"/>
              <w:left w:val="nil"/>
              <w:bottom w:val="single" w:sz="8" w:space="0" w:color="000000"/>
              <w:right w:val="nil"/>
            </w:tcBorders>
            <w:shd w:val="clear" w:color="auto" w:fill="auto"/>
            <w:tcMar>
              <w:top w:w="15" w:type="dxa"/>
              <w:left w:w="55" w:type="dxa"/>
              <w:bottom w:w="0" w:type="dxa"/>
              <w:right w:w="55" w:type="dxa"/>
            </w:tcMar>
            <w:vAlign w:val="center"/>
            <w:hideMark/>
          </w:tcPr>
          <w:p w14:paraId="113CD398" w14:textId="77777777" w:rsidR="00BB42FD" w:rsidRPr="00BB42FD" w:rsidRDefault="00BB42FD">
            <w:pPr>
              <w:rPr>
                <w:rFonts w:ascii="Arial" w:hAnsi="Arial" w:cs="Arial"/>
                <w:sz w:val="20"/>
                <w:szCs w:val="20"/>
              </w:rPr>
            </w:pPr>
          </w:p>
        </w:tc>
        <w:tc>
          <w:tcPr>
            <w:tcW w:w="1701" w:type="dxa"/>
            <w:tcBorders>
              <w:top w:val="single" w:sz="8" w:space="0" w:color="000000"/>
              <w:left w:val="nil"/>
              <w:bottom w:val="single" w:sz="8" w:space="0" w:color="000000"/>
              <w:right w:val="nil"/>
            </w:tcBorders>
            <w:shd w:val="clear" w:color="auto" w:fill="auto"/>
            <w:tcMar>
              <w:top w:w="15" w:type="dxa"/>
              <w:left w:w="55" w:type="dxa"/>
              <w:bottom w:w="0" w:type="dxa"/>
              <w:right w:w="55" w:type="dxa"/>
            </w:tcMar>
            <w:vAlign w:val="center"/>
            <w:hideMark/>
          </w:tcPr>
          <w:p w14:paraId="658E17A7"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Normal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ASAT </w:t>
            </w:r>
            <w:proofErr w:type="spellStart"/>
            <w:r w:rsidRPr="00BB42FD">
              <w:rPr>
                <w:rFonts w:ascii="Arial" w:hAnsi="Arial" w:cs="Arial"/>
                <w:b/>
                <w:bCs/>
                <w:color w:val="000000" w:themeColor="text1"/>
                <w:kern w:val="24"/>
                <w:sz w:val="20"/>
                <w:szCs w:val="20"/>
              </w:rPr>
              <w:t>activity</w:t>
            </w:r>
            <w:proofErr w:type="spellEnd"/>
          </w:p>
        </w:tc>
        <w:tc>
          <w:tcPr>
            <w:tcW w:w="1871" w:type="dxa"/>
            <w:tcBorders>
              <w:top w:val="single" w:sz="8" w:space="0" w:color="000000"/>
              <w:left w:val="nil"/>
              <w:bottom w:val="single" w:sz="8" w:space="0" w:color="000000"/>
              <w:right w:val="nil"/>
            </w:tcBorders>
            <w:shd w:val="clear" w:color="auto" w:fill="auto"/>
            <w:tcMar>
              <w:top w:w="15" w:type="dxa"/>
              <w:left w:w="55" w:type="dxa"/>
              <w:bottom w:w="0" w:type="dxa"/>
              <w:right w:w="55" w:type="dxa"/>
            </w:tcMar>
            <w:vAlign w:val="center"/>
            <w:hideMark/>
          </w:tcPr>
          <w:p w14:paraId="172E4CAB"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High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ASAT </w:t>
            </w:r>
            <w:proofErr w:type="spellStart"/>
            <w:r w:rsidRPr="00BB42FD">
              <w:rPr>
                <w:rFonts w:ascii="Arial" w:hAnsi="Arial" w:cs="Arial"/>
                <w:b/>
                <w:bCs/>
                <w:color w:val="000000" w:themeColor="text1"/>
                <w:kern w:val="24"/>
                <w:sz w:val="20"/>
                <w:szCs w:val="20"/>
              </w:rPr>
              <w:t>activity</w:t>
            </w:r>
            <w:proofErr w:type="spellEnd"/>
          </w:p>
        </w:tc>
        <w:tc>
          <w:tcPr>
            <w:tcW w:w="1077" w:type="dxa"/>
            <w:tcBorders>
              <w:top w:val="single" w:sz="8" w:space="0" w:color="000000"/>
              <w:left w:val="nil"/>
              <w:bottom w:val="single" w:sz="8" w:space="0" w:color="000000"/>
              <w:right w:val="nil"/>
            </w:tcBorders>
            <w:shd w:val="clear" w:color="auto" w:fill="auto"/>
            <w:tcMar>
              <w:top w:w="15" w:type="dxa"/>
              <w:left w:w="55" w:type="dxa"/>
              <w:bottom w:w="0" w:type="dxa"/>
              <w:right w:w="55" w:type="dxa"/>
            </w:tcMar>
            <w:vAlign w:val="center"/>
            <w:hideMark/>
          </w:tcPr>
          <w:p w14:paraId="663FFE48"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eastAsia="Calibri" w:hAnsi="Arial" w:cs="Arial"/>
                <w:b/>
                <w:bCs/>
                <w:color w:val="000000"/>
                <w:kern w:val="24"/>
                <w:sz w:val="20"/>
                <w:szCs w:val="20"/>
              </w:rPr>
              <w:t>%</w:t>
            </w:r>
          </w:p>
          <w:p w14:paraId="400AF8E8"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eastAsia="Calibri" w:hAnsi="Arial" w:cs="Arial"/>
                <w:b/>
                <w:bCs/>
                <w:color w:val="000000"/>
                <w:kern w:val="24"/>
                <w:sz w:val="20"/>
                <w:szCs w:val="20"/>
              </w:rPr>
              <w:t xml:space="preserve">Total </w:t>
            </w:r>
          </w:p>
          <w:p w14:paraId="7FFBB392"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hAnsi="Arial" w:cs="Arial"/>
                <w:color w:val="000000" w:themeColor="text1"/>
                <w:kern w:val="24"/>
                <w:sz w:val="20"/>
                <w:szCs w:val="20"/>
              </w:rPr>
              <w:t>(n=674)</w:t>
            </w:r>
          </w:p>
        </w:tc>
        <w:tc>
          <w:tcPr>
            <w:tcW w:w="1361"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7624D954"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proofErr w:type="spellStart"/>
            <w:r w:rsidRPr="00BB42FD">
              <w:rPr>
                <w:rFonts w:ascii="Arial" w:hAnsi="Arial" w:cs="Arial"/>
                <w:b/>
                <w:bCs/>
                <w:color w:val="000000" w:themeColor="text1"/>
                <w:kern w:val="24"/>
                <w:sz w:val="20"/>
                <w:szCs w:val="20"/>
                <w:lang w:val="en-US"/>
              </w:rPr>
              <w:t>Khi</w:t>
            </w:r>
            <w:proofErr w:type="spellEnd"/>
            <w:r w:rsidRPr="00BB42FD">
              <w:rPr>
                <w:rFonts w:ascii="Arial" w:hAnsi="Arial" w:cs="Arial"/>
                <w:b/>
                <w:bCs/>
                <w:color w:val="000000" w:themeColor="text1"/>
                <w:kern w:val="24"/>
                <w:position w:val="11"/>
                <w:sz w:val="20"/>
                <w:szCs w:val="20"/>
                <w:vertAlign w:val="superscript"/>
                <w:lang w:val="en-US"/>
              </w:rPr>
              <w:t>2</w:t>
            </w:r>
            <w:r w:rsidRPr="00BB42FD">
              <w:rPr>
                <w:rFonts w:ascii="Arial" w:hAnsi="Arial" w:cs="Arial"/>
                <w:b/>
                <w:bCs/>
                <w:color w:val="000000" w:themeColor="text1"/>
                <w:kern w:val="24"/>
                <w:sz w:val="20"/>
                <w:szCs w:val="20"/>
                <w:lang w:val="en-US"/>
              </w:rPr>
              <w:t xml:space="preserve"> test</w:t>
            </w:r>
          </w:p>
        </w:tc>
      </w:tr>
      <w:tr w:rsidR="00BB42FD" w:rsidRPr="00BB42FD" w14:paraId="717A0B11" w14:textId="77777777" w:rsidTr="00BB42FD">
        <w:trPr>
          <w:trHeight w:val="20"/>
        </w:trPr>
        <w:tc>
          <w:tcPr>
            <w:tcW w:w="3061" w:type="dxa"/>
            <w:tcBorders>
              <w:top w:val="single" w:sz="8" w:space="0" w:color="000000"/>
              <w:left w:val="nil"/>
              <w:bottom w:val="nil"/>
              <w:right w:val="nil"/>
            </w:tcBorders>
            <w:shd w:val="clear" w:color="auto" w:fill="auto"/>
            <w:tcMar>
              <w:top w:w="15" w:type="dxa"/>
              <w:left w:w="55" w:type="dxa"/>
              <w:bottom w:w="0" w:type="dxa"/>
              <w:right w:w="55" w:type="dxa"/>
            </w:tcMar>
            <w:vAlign w:val="center"/>
            <w:hideMark/>
          </w:tcPr>
          <w:p w14:paraId="1BCA5B64"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Normal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ALAT </w:t>
            </w:r>
            <w:proofErr w:type="spellStart"/>
            <w:r w:rsidRPr="00BB42FD">
              <w:rPr>
                <w:rFonts w:ascii="Arial" w:hAnsi="Arial" w:cs="Arial"/>
                <w:b/>
                <w:bCs/>
                <w:color w:val="000000" w:themeColor="text1"/>
                <w:kern w:val="24"/>
                <w:sz w:val="20"/>
                <w:szCs w:val="20"/>
              </w:rPr>
              <w:t>activity</w:t>
            </w:r>
            <w:proofErr w:type="spellEnd"/>
          </w:p>
        </w:tc>
        <w:tc>
          <w:tcPr>
            <w:tcW w:w="1701" w:type="dxa"/>
            <w:tcBorders>
              <w:top w:val="single" w:sz="8" w:space="0" w:color="000000"/>
              <w:left w:val="nil"/>
              <w:bottom w:val="nil"/>
              <w:right w:val="nil"/>
            </w:tcBorders>
            <w:shd w:val="clear" w:color="auto" w:fill="auto"/>
            <w:tcMar>
              <w:top w:w="15" w:type="dxa"/>
              <w:left w:w="55" w:type="dxa"/>
              <w:bottom w:w="0" w:type="dxa"/>
              <w:right w:w="55" w:type="dxa"/>
            </w:tcMar>
            <w:vAlign w:val="center"/>
            <w:hideMark/>
          </w:tcPr>
          <w:p w14:paraId="3D20BC68"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97</w:t>
            </w:r>
          </w:p>
        </w:tc>
        <w:tc>
          <w:tcPr>
            <w:tcW w:w="1871" w:type="dxa"/>
            <w:tcBorders>
              <w:top w:val="single" w:sz="8" w:space="0" w:color="000000"/>
              <w:left w:val="nil"/>
              <w:bottom w:val="nil"/>
              <w:right w:val="nil"/>
            </w:tcBorders>
            <w:shd w:val="clear" w:color="auto" w:fill="auto"/>
            <w:tcMar>
              <w:top w:w="15" w:type="dxa"/>
              <w:left w:w="55" w:type="dxa"/>
              <w:bottom w:w="0" w:type="dxa"/>
              <w:right w:w="55" w:type="dxa"/>
            </w:tcMar>
            <w:vAlign w:val="center"/>
            <w:hideMark/>
          </w:tcPr>
          <w:p w14:paraId="2BE8BAA6"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3</w:t>
            </w:r>
          </w:p>
        </w:tc>
        <w:tc>
          <w:tcPr>
            <w:tcW w:w="1077" w:type="dxa"/>
            <w:tcBorders>
              <w:top w:val="single" w:sz="8" w:space="0" w:color="000000"/>
              <w:left w:val="nil"/>
              <w:bottom w:val="nil"/>
              <w:right w:val="nil"/>
            </w:tcBorders>
            <w:shd w:val="clear" w:color="auto" w:fill="auto"/>
            <w:tcMar>
              <w:top w:w="15" w:type="dxa"/>
              <w:left w:w="55" w:type="dxa"/>
              <w:bottom w:w="0" w:type="dxa"/>
              <w:right w:w="55" w:type="dxa"/>
            </w:tcMar>
            <w:vAlign w:val="center"/>
            <w:hideMark/>
          </w:tcPr>
          <w:p w14:paraId="1A4D361E"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361" w:type="dxa"/>
            <w:vMerge w:val="restart"/>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1F21DF23"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i/>
                <w:iCs/>
                <w:color w:val="000000" w:themeColor="text1"/>
                <w:kern w:val="24"/>
                <w:sz w:val="20"/>
                <w:szCs w:val="20"/>
                <w:lang w:val="en-US"/>
              </w:rPr>
              <w:t>p &lt; 0.001</w:t>
            </w:r>
          </w:p>
        </w:tc>
      </w:tr>
      <w:tr w:rsidR="00BB42FD" w:rsidRPr="00BB42FD" w14:paraId="3AA7B5D1" w14:textId="77777777" w:rsidTr="00BB42FD">
        <w:trPr>
          <w:trHeight w:val="20"/>
        </w:trPr>
        <w:tc>
          <w:tcPr>
            <w:tcW w:w="3061" w:type="dxa"/>
            <w:tcBorders>
              <w:top w:val="nil"/>
              <w:left w:val="nil"/>
              <w:bottom w:val="single" w:sz="8" w:space="0" w:color="000000"/>
              <w:right w:val="nil"/>
            </w:tcBorders>
            <w:shd w:val="clear" w:color="auto" w:fill="auto"/>
            <w:tcMar>
              <w:top w:w="15" w:type="dxa"/>
              <w:left w:w="55" w:type="dxa"/>
              <w:bottom w:w="0" w:type="dxa"/>
              <w:right w:w="55" w:type="dxa"/>
            </w:tcMar>
            <w:vAlign w:val="center"/>
            <w:hideMark/>
          </w:tcPr>
          <w:p w14:paraId="720784B5"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High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ALAT </w:t>
            </w:r>
            <w:proofErr w:type="spellStart"/>
            <w:r w:rsidRPr="00BB42FD">
              <w:rPr>
                <w:rFonts w:ascii="Arial" w:hAnsi="Arial" w:cs="Arial"/>
                <w:b/>
                <w:bCs/>
                <w:color w:val="000000" w:themeColor="text1"/>
                <w:kern w:val="24"/>
                <w:sz w:val="20"/>
                <w:szCs w:val="20"/>
              </w:rPr>
              <w:t>activity</w:t>
            </w:r>
            <w:proofErr w:type="spellEnd"/>
          </w:p>
        </w:tc>
        <w:tc>
          <w:tcPr>
            <w:tcW w:w="1701" w:type="dxa"/>
            <w:tcBorders>
              <w:top w:val="nil"/>
              <w:left w:val="nil"/>
              <w:bottom w:val="single" w:sz="8" w:space="0" w:color="000000"/>
              <w:right w:val="nil"/>
            </w:tcBorders>
            <w:shd w:val="clear" w:color="auto" w:fill="auto"/>
            <w:tcMar>
              <w:top w:w="15" w:type="dxa"/>
              <w:left w:w="55" w:type="dxa"/>
              <w:bottom w:w="0" w:type="dxa"/>
              <w:right w:w="55" w:type="dxa"/>
            </w:tcMar>
            <w:vAlign w:val="center"/>
            <w:hideMark/>
          </w:tcPr>
          <w:p w14:paraId="257B0592"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56.6</w:t>
            </w:r>
          </w:p>
        </w:tc>
        <w:tc>
          <w:tcPr>
            <w:tcW w:w="1871" w:type="dxa"/>
            <w:tcBorders>
              <w:top w:val="nil"/>
              <w:left w:val="nil"/>
              <w:bottom w:val="single" w:sz="8" w:space="0" w:color="000000"/>
              <w:right w:val="nil"/>
            </w:tcBorders>
            <w:shd w:val="clear" w:color="auto" w:fill="auto"/>
            <w:tcMar>
              <w:top w:w="15" w:type="dxa"/>
              <w:left w:w="55" w:type="dxa"/>
              <w:bottom w:w="0" w:type="dxa"/>
              <w:right w:w="55" w:type="dxa"/>
            </w:tcMar>
            <w:vAlign w:val="center"/>
            <w:hideMark/>
          </w:tcPr>
          <w:p w14:paraId="7B918894"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43.4</w:t>
            </w:r>
          </w:p>
        </w:tc>
        <w:tc>
          <w:tcPr>
            <w:tcW w:w="1077" w:type="dxa"/>
            <w:tcBorders>
              <w:top w:val="nil"/>
              <w:left w:val="nil"/>
              <w:bottom w:val="single" w:sz="8" w:space="0" w:color="000000"/>
              <w:right w:val="nil"/>
            </w:tcBorders>
            <w:shd w:val="clear" w:color="auto" w:fill="auto"/>
            <w:tcMar>
              <w:top w:w="15" w:type="dxa"/>
              <w:left w:w="55" w:type="dxa"/>
              <w:bottom w:w="0" w:type="dxa"/>
              <w:right w:w="55" w:type="dxa"/>
            </w:tcMar>
            <w:vAlign w:val="center"/>
            <w:hideMark/>
          </w:tcPr>
          <w:p w14:paraId="19318E1A"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361" w:type="dxa"/>
            <w:vMerge/>
            <w:tcBorders>
              <w:top w:val="single" w:sz="8" w:space="0" w:color="000000"/>
              <w:left w:val="nil"/>
              <w:bottom w:val="single" w:sz="8" w:space="0" w:color="000000"/>
              <w:right w:val="nil"/>
            </w:tcBorders>
            <w:vAlign w:val="center"/>
            <w:hideMark/>
          </w:tcPr>
          <w:p w14:paraId="1D254A7F" w14:textId="77777777" w:rsidR="00BB42FD" w:rsidRPr="00BB42FD" w:rsidRDefault="00BB42FD">
            <w:pPr>
              <w:rPr>
                <w:rFonts w:ascii="Arial" w:hAnsi="Arial" w:cs="Arial"/>
                <w:sz w:val="20"/>
                <w:szCs w:val="20"/>
              </w:rPr>
            </w:pPr>
          </w:p>
        </w:tc>
      </w:tr>
    </w:tbl>
    <w:p w14:paraId="5C640A6E" w14:textId="2EBE9F71" w:rsidR="00942491" w:rsidRDefault="00942491" w:rsidP="004E4442">
      <w:pPr>
        <w:jc w:val="both"/>
        <w:rPr>
          <w:rFonts w:ascii="Arial" w:hAnsi="Arial" w:cs="Arial"/>
          <w:sz w:val="20"/>
          <w:szCs w:val="20"/>
        </w:rPr>
      </w:pPr>
    </w:p>
    <w:p w14:paraId="61F77BEE" w14:textId="77777777" w:rsidR="00BB42FD" w:rsidRPr="004E4442" w:rsidRDefault="00BB42FD" w:rsidP="004E4442">
      <w:pPr>
        <w:jc w:val="both"/>
        <w:rPr>
          <w:rFonts w:ascii="Calibri" w:hAnsi="Calibri" w:cs="Calibri"/>
        </w:rPr>
      </w:pPr>
    </w:p>
    <w:p w14:paraId="04F10A29" w14:textId="77777777" w:rsidR="00942491" w:rsidRPr="007961D4" w:rsidRDefault="00BB42FD" w:rsidP="00E202AB">
      <w:pPr>
        <w:numPr>
          <w:ilvl w:val="0"/>
          <w:numId w:val="16"/>
        </w:numPr>
        <w:jc w:val="both"/>
        <w:rPr>
          <w:rFonts w:ascii="Arial" w:hAnsi="Arial" w:cs="Arial"/>
          <w:b/>
          <w:color w:val="000000"/>
          <w:sz w:val="20"/>
          <w:szCs w:val="20"/>
          <w:u w:val="single"/>
        </w:rPr>
      </w:pPr>
      <w:r w:rsidRPr="007961D4">
        <w:rPr>
          <w:rFonts w:ascii="Arial" w:hAnsi="Arial" w:cs="Arial"/>
          <w:b/>
          <w:color w:val="000000"/>
          <w:sz w:val="20"/>
          <w:szCs w:val="20"/>
          <w:u w:val="single"/>
        </w:rPr>
        <w:t xml:space="preserve">Age-related Prevalence of anemia </w:t>
      </w:r>
    </w:p>
    <w:p w14:paraId="2E1F8576" w14:textId="77777777" w:rsidR="00942491" w:rsidRPr="004E4442" w:rsidRDefault="00942491" w:rsidP="004E4442">
      <w:pPr>
        <w:ind w:left="180"/>
        <w:jc w:val="both"/>
        <w:rPr>
          <w:rFonts w:ascii="Calibri" w:hAnsi="Calibri" w:cs="Calibri"/>
        </w:rPr>
      </w:pPr>
    </w:p>
    <w:p w14:paraId="0A4FCD0C"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Anemia was present in more than half of the study participants. A statistically significant relationship was identified between age and anemia prevalence, with the occurrence of anemia increasing with age (Table X).</w:t>
      </w:r>
    </w:p>
    <w:p w14:paraId="3279FC48" w14:textId="43CDEE4B" w:rsidR="00942491" w:rsidRDefault="00BB42FD" w:rsidP="007961D4">
      <w:pPr>
        <w:spacing w:line="480" w:lineRule="auto"/>
        <w:jc w:val="both"/>
        <w:rPr>
          <w:rFonts w:ascii="Arial" w:hAnsi="Arial" w:cs="Arial"/>
          <w:b/>
          <w:sz w:val="20"/>
          <w:szCs w:val="20"/>
        </w:rPr>
      </w:pPr>
      <w:r w:rsidRPr="00BB42FD">
        <w:rPr>
          <w:rFonts w:ascii="Arial" w:hAnsi="Arial" w:cs="Arial"/>
          <w:b/>
          <w:sz w:val="20"/>
          <w:szCs w:val="20"/>
        </w:rPr>
        <w:t>Table X: Distribution of anemia</w:t>
      </w:r>
    </w:p>
    <w:tbl>
      <w:tblPr>
        <w:tblW w:w="5783" w:type="dxa"/>
        <w:tblCellMar>
          <w:left w:w="0" w:type="dxa"/>
          <w:right w:w="0" w:type="dxa"/>
        </w:tblCellMar>
        <w:tblLook w:val="0600" w:firstRow="0" w:lastRow="0" w:firstColumn="0" w:lastColumn="0" w:noHBand="1" w:noVBand="1"/>
      </w:tblPr>
      <w:tblGrid>
        <w:gridCol w:w="1928"/>
        <w:gridCol w:w="1984"/>
        <w:gridCol w:w="1871"/>
      </w:tblGrid>
      <w:tr w:rsidR="00BB42FD" w:rsidRPr="00BB42FD" w14:paraId="3BFDA3B2" w14:textId="77777777" w:rsidTr="00BB42FD">
        <w:trPr>
          <w:trHeight w:val="20"/>
        </w:trPr>
        <w:tc>
          <w:tcPr>
            <w:tcW w:w="192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AC177EB" w14:textId="77777777" w:rsidR="00BB42FD" w:rsidRPr="00BB42FD" w:rsidRDefault="00BB42FD">
            <w:pPr>
              <w:pStyle w:val="NormalWeb"/>
              <w:spacing w:before="0" w:beforeAutospacing="0" w:after="0" w:afterAutospacing="0"/>
              <w:textAlignment w:val="bottom"/>
              <w:rPr>
                <w:rFonts w:ascii="Arial" w:hAnsi="Arial" w:cs="Arial"/>
                <w:sz w:val="20"/>
                <w:szCs w:val="20"/>
              </w:rPr>
            </w:pPr>
            <w:r w:rsidRPr="00BB42FD">
              <w:rPr>
                <w:rFonts w:ascii="Arial" w:hAnsi="Arial" w:cs="Arial"/>
                <w:b/>
                <w:bCs/>
                <w:color w:val="000000" w:themeColor="text1"/>
                <w:kern w:val="24"/>
                <w:sz w:val="20"/>
                <w:szCs w:val="20"/>
              </w:rPr>
              <w:t xml:space="preserve">Age group </w:t>
            </w:r>
            <w:r w:rsidRPr="00BB42FD">
              <w:rPr>
                <w:rFonts w:ascii="Arial" w:hAnsi="Arial" w:cs="Arial"/>
                <w:color w:val="000000" w:themeColor="text1"/>
                <w:kern w:val="24"/>
                <w:sz w:val="20"/>
                <w:szCs w:val="20"/>
              </w:rPr>
              <w:t>(</w:t>
            </w:r>
            <w:proofErr w:type="spellStart"/>
            <w:r w:rsidRPr="00BB42FD">
              <w:rPr>
                <w:rFonts w:ascii="Arial" w:hAnsi="Arial" w:cs="Arial"/>
                <w:color w:val="000000" w:themeColor="text1"/>
                <w:kern w:val="24"/>
                <w:sz w:val="20"/>
                <w:szCs w:val="20"/>
              </w:rPr>
              <w:t>years</w:t>
            </w:r>
            <w:proofErr w:type="spellEnd"/>
            <w:r w:rsidRPr="00BB42FD">
              <w:rPr>
                <w:rFonts w:ascii="Arial" w:hAnsi="Arial" w:cs="Arial"/>
                <w:color w:val="000000" w:themeColor="text1"/>
                <w:kern w:val="24"/>
                <w:sz w:val="20"/>
                <w:szCs w:val="20"/>
              </w:rPr>
              <w:t>)</w:t>
            </w:r>
          </w:p>
        </w:tc>
        <w:tc>
          <w:tcPr>
            <w:tcW w:w="1984"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91E1B7A" w14:textId="3F667E49" w:rsidR="00BB42FD" w:rsidRPr="00BB42FD" w:rsidRDefault="00BB42FD" w:rsidP="00BB42FD">
            <w:pPr>
              <w:pStyle w:val="NormalWeb"/>
              <w:spacing w:before="0" w:beforeAutospacing="0" w:after="0" w:afterAutospacing="0"/>
              <w:jc w:val="center"/>
              <w:rPr>
                <w:rFonts w:ascii="Arial" w:hAnsi="Arial" w:cs="Arial"/>
                <w:sz w:val="20"/>
                <w:szCs w:val="20"/>
              </w:rPr>
            </w:pPr>
            <w:r w:rsidRPr="00BB42FD">
              <w:rPr>
                <w:rFonts w:ascii="Arial" w:hAnsi="Arial" w:cs="Arial"/>
                <w:b/>
                <w:bCs/>
                <w:color w:val="000000" w:themeColor="text1"/>
                <w:kern w:val="24"/>
                <w:sz w:val="20"/>
                <w:szCs w:val="20"/>
              </w:rPr>
              <w:t xml:space="preserve"> % </w:t>
            </w:r>
            <w:proofErr w:type="spellStart"/>
            <w:r w:rsidRPr="00BB42FD">
              <w:rPr>
                <w:rFonts w:ascii="Arial" w:hAnsi="Arial" w:cs="Arial"/>
                <w:b/>
                <w:bCs/>
                <w:color w:val="000000" w:themeColor="text1"/>
                <w:kern w:val="24"/>
                <w:sz w:val="20"/>
                <w:szCs w:val="20"/>
              </w:rPr>
              <w:t>Anemia</w:t>
            </w:r>
            <w:proofErr w:type="spellEnd"/>
            <w:r>
              <w:rPr>
                <w:rFonts w:ascii="Arial" w:hAnsi="Arial" w:cs="Arial"/>
                <w:sz w:val="20"/>
                <w:szCs w:val="20"/>
              </w:rPr>
              <w:t xml:space="preserve"> </w:t>
            </w:r>
            <w:r w:rsidRPr="00BB42FD">
              <w:rPr>
                <w:rFonts w:ascii="Arial" w:hAnsi="Arial" w:cs="Arial"/>
                <w:color w:val="000000" w:themeColor="text1"/>
                <w:kern w:val="24"/>
                <w:sz w:val="20"/>
                <w:szCs w:val="20"/>
              </w:rPr>
              <w:t>(n=674)</w:t>
            </w:r>
          </w:p>
        </w:tc>
        <w:tc>
          <w:tcPr>
            <w:tcW w:w="1871"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310F117"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proofErr w:type="spellStart"/>
            <w:r w:rsidRPr="00BB42FD">
              <w:rPr>
                <w:rFonts w:ascii="Arial" w:hAnsi="Arial" w:cs="Arial"/>
                <w:b/>
                <w:bCs/>
                <w:color w:val="000000" w:themeColor="text1"/>
                <w:kern w:val="24"/>
                <w:sz w:val="20"/>
                <w:szCs w:val="20"/>
                <w:lang w:val="en-US"/>
              </w:rPr>
              <w:t>Khi</w:t>
            </w:r>
            <w:proofErr w:type="spellEnd"/>
            <w:r w:rsidRPr="00BB42FD">
              <w:rPr>
                <w:rFonts w:ascii="Arial" w:hAnsi="Arial" w:cs="Arial"/>
                <w:b/>
                <w:bCs/>
                <w:color w:val="000000" w:themeColor="text1"/>
                <w:kern w:val="24"/>
                <w:position w:val="11"/>
                <w:sz w:val="20"/>
                <w:szCs w:val="20"/>
                <w:vertAlign w:val="superscript"/>
                <w:lang w:val="en-US"/>
              </w:rPr>
              <w:t>2</w:t>
            </w:r>
            <w:r w:rsidRPr="00BB42FD">
              <w:rPr>
                <w:rFonts w:ascii="Arial" w:hAnsi="Arial" w:cs="Arial"/>
                <w:b/>
                <w:bCs/>
                <w:color w:val="000000" w:themeColor="text1"/>
                <w:kern w:val="24"/>
                <w:sz w:val="20"/>
                <w:szCs w:val="20"/>
                <w:lang w:val="en-US"/>
              </w:rPr>
              <w:t xml:space="preserve"> test</w:t>
            </w:r>
          </w:p>
        </w:tc>
      </w:tr>
      <w:tr w:rsidR="00BB42FD" w:rsidRPr="00BB42FD" w14:paraId="6E0E0D7C" w14:textId="77777777" w:rsidTr="00BB42FD">
        <w:trPr>
          <w:trHeight w:val="20"/>
        </w:trPr>
        <w:tc>
          <w:tcPr>
            <w:tcW w:w="1928"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0C7DC12E" w14:textId="77777777" w:rsidR="00BB42FD" w:rsidRPr="00BB42FD" w:rsidRDefault="00BB42FD">
            <w:pPr>
              <w:pStyle w:val="NormalWeb"/>
              <w:spacing w:before="0" w:beforeAutospacing="0" w:after="200" w:afterAutospacing="0" w:line="276" w:lineRule="auto"/>
              <w:rPr>
                <w:rFonts w:ascii="Arial" w:hAnsi="Arial" w:cs="Arial"/>
                <w:sz w:val="20"/>
                <w:szCs w:val="20"/>
              </w:rPr>
            </w:pPr>
            <w:r w:rsidRPr="00BB42FD">
              <w:rPr>
                <w:rFonts w:ascii="Arial" w:hAnsi="Arial" w:cs="Arial"/>
                <w:b/>
                <w:bCs/>
                <w:color w:val="000000" w:themeColor="text1"/>
                <w:kern w:val="24"/>
                <w:sz w:val="20"/>
                <w:szCs w:val="20"/>
              </w:rPr>
              <w:t>[15-35[</w:t>
            </w:r>
          </w:p>
        </w:tc>
        <w:tc>
          <w:tcPr>
            <w:tcW w:w="1984"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4F68C033"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38.2</w:t>
            </w:r>
          </w:p>
        </w:tc>
        <w:tc>
          <w:tcPr>
            <w:tcW w:w="1871" w:type="dxa"/>
            <w:vMerge w:val="restart"/>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0A2511A"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p &lt; 0.001</w:t>
            </w:r>
          </w:p>
        </w:tc>
      </w:tr>
      <w:tr w:rsidR="00BB42FD" w:rsidRPr="00BB42FD" w14:paraId="53C02DB1" w14:textId="77777777" w:rsidTr="00BB42FD">
        <w:trPr>
          <w:trHeight w:val="20"/>
        </w:trPr>
        <w:tc>
          <w:tcPr>
            <w:tcW w:w="1928" w:type="dxa"/>
            <w:tcBorders>
              <w:top w:val="nil"/>
              <w:left w:val="nil"/>
              <w:bottom w:val="nil"/>
              <w:right w:val="nil"/>
            </w:tcBorders>
            <w:shd w:val="clear" w:color="auto" w:fill="auto"/>
            <w:tcMar>
              <w:top w:w="15" w:type="dxa"/>
              <w:left w:w="108" w:type="dxa"/>
              <w:bottom w:w="0" w:type="dxa"/>
              <w:right w:w="108" w:type="dxa"/>
            </w:tcMar>
            <w:vAlign w:val="center"/>
            <w:hideMark/>
          </w:tcPr>
          <w:p w14:paraId="2C285359" w14:textId="77777777" w:rsidR="00BB42FD" w:rsidRPr="00BB42FD" w:rsidRDefault="00BB42FD">
            <w:pPr>
              <w:pStyle w:val="NormalWeb"/>
              <w:spacing w:before="0" w:beforeAutospacing="0" w:after="200" w:afterAutospacing="0" w:line="276" w:lineRule="auto"/>
              <w:rPr>
                <w:rFonts w:ascii="Arial" w:hAnsi="Arial" w:cs="Arial"/>
                <w:sz w:val="20"/>
                <w:szCs w:val="20"/>
              </w:rPr>
            </w:pPr>
            <w:r w:rsidRPr="00BB42FD">
              <w:rPr>
                <w:rFonts w:ascii="Arial" w:hAnsi="Arial" w:cs="Arial"/>
                <w:b/>
                <w:bCs/>
                <w:color w:val="000000" w:themeColor="text1"/>
                <w:kern w:val="24"/>
                <w:sz w:val="20"/>
                <w:szCs w:val="20"/>
              </w:rPr>
              <w:t>[35-50[</w:t>
            </w:r>
          </w:p>
        </w:tc>
        <w:tc>
          <w:tcPr>
            <w:tcW w:w="1984" w:type="dxa"/>
            <w:tcBorders>
              <w:top w:val="nil"/>
              <w:left w:val="nil"/>
              <w:bottom w:val="nil"/>
              <w:right w:val="nil"/>
            </w:tcBorders>
            <w:shd w:val="clear" w:color="auto" w:fill="auto"/>
            <w:tcMar>
              <w:top w:w="15" w:type="dxa"/>
              <w:left w:w="108" w:type="dxa"/>
              <w:bottom w:w="0" w:type="dxa"/>
              <w:right w:w="108" w:type="dxa"/>
            </w:tcMar>
            <w:vAlign w:val="center"/>
            <w:hideMark/>
          </w:tcPr>
          <w:p w14:paraId="221241BE"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43.4</w:t>
            </w:r>
          </w:p>
        </w:tc>
        <w:tc>
          <w:tcPr>
            <w:tcW w:w="1871" w:type="dxa"/>
            <w:vMerge/>
            <w:tcBorders>
              <w:top w:val="single" w:sz="8" w:space="0" w:color="000000"/>
              <w:left w:val="nil"/>
              <w:bottom w:val="single" w:sz="8" w:space="0" w:color="000000"/>
              <w:right w:val="nil"/>
            </w:tcBorders>
            <w:vAlign w:val="center"/>
            <w:hideMark/>
          </w:tcPr>
          <w:p w14:paraId="3170E9A5" w14:textId="77777777" w:rsidR="00BB42FD" w:rsidRPr="00BB42FD" w:rsidRDefault="00BB42FD">
            <w:pPr>
              <w:rPr>
                <w:rFonts w:ascii="Arial" w:hAnsi="Arial" w:cs="Arial"/>
                <w:sz w:val="20"/>
                <w:szCs w:val="20"/>
              </w:rPr>
            </w:pPr>
          </w:p>
        </w:tc>
      </w:tr>
      <w:tr w:rsidR="00BB42FD" w:rsidRPr="00BB42FD" w14:paraId="3F1E9F5E" w14:textId="77777777" w:rsidTr="00BB42FD">
        <w:trPr>
          <w:trHeight w:val="20"/>
        </w:trPr>
        <w:tc>
          <w:tcPr>
            <w:tcW w:w="1928" w:type="dxa"/>
            <w:tcBorders>
              <w:top w:val="nil"/>
              <w:left w:val="nil"/>
              <w:bottom w:val="nil"/>
              <w:right w:val="nil"/>
            </w:tcBorders>
            <w:shd w:val="clear" w:color="auto" w:fill="auto"/>
            <w:tcMar>
              <w:top w:w="15" w:type="dxa"/>
              <w:left w:w="108" w:type="dxa"/>
              <w:bottom w:w="0" w:type="dxa"/>
              <w:right w:w="108" w:type="dxa"/>
            </w:tcMar>
            <w:vAlign w:val="center"/>
            <w:hideMark/>
          </w:tcPr>
          <w:p w14:paraId="0EA5B579" w14:textId="77777777" w:rsidR="00BB42FD" w:rsidRPr="00BB42FD" w:rsidRDefault="00BB42FD">
            <w:pPr>
              <w:pStyle w:val="NormalWeb"/>
              <w:spacing w:before="0" w:beforeAutospacing="0" w:after="200" w:afterAutospacing="0" w:line="276" w:lineRule="auto"/>
              <w:rPr>
                <w:rFonts w:ascii="Arial" w:hAnsi="Arial" w:cs="Arial"/>
                <w:sz w:val="20"/>
                <w:szCs w:val="20"/>
              </w:rPr>
            </w:pPr>
            <w:r w:rsidRPr="00BB42FD">
              <w:rPr>
                <w:rFonts w:ascii="Arial" w:hAnsi="Arial" w:cs="Arial"/>
                <w:b/>
                <w:bCs/>
                <w:color w:val="000000" w:themeColor="text1"/>
                <w:kern w:val="24"/>
                <w:sz w:val="20"/>
                <w:szCs w:val="20"/>
              </w:rPr>
              <w:t>[50-65[</w:t>
            </w:r>
          </w:p>
        </w:tc>
        <w:tc>
          <w:tcPr>
            <w:tcW w:w="1984" w:type="dxa"/>
            <w:tcBorders>
              <w:top w:val="nil"/>
              <w:left w:val="nil"/>
              <w:bottom w:val="nil"/>
              <w:right w:val="nil"/>
            </w:tcBorders>
            <w:shd w:val="clear" w:color="auto" w:fill="auto"/>
            <w:tcMar>
              <w:top w:w="15" w:type="dxa"/>
              <w:left w:w="108" w:type="dxa"/>
              <w:bottom w:w="0" w:type="dxa"/>
              <w:right w:w="108" w:type="dxa"/>
            </w:tcMar>
            <w:vAlign w:val="center"/>
            <w:hideMark/>
          </w:tcPr>
          <w:p w14:paraId="062F9217"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53.9</w:t>
            </w:r>
          </w:p>
        </w:tc>
        <w:tc>
          <w:tcPr>
            <w:tcW w:w="1871" w:type="dxa"/>
            <w:vMerge/>
            <w:tcBorders>
              <w:top w:val="single" w:sz="8" w:space="0" w:color="000000"/>
              <w:left w:val="nil"/>
              <w:bottom w:val="single" w:sz="8" w:space="0" w:color="000000"/>
              <w:right w:val="nil"/>
            </w:tcBorders>
            <w:vAlign w:val="center"/>
            <w:hideMark/>
          </w:tcPr>
          <w:p w14:paraId="6A04397F" w14:textId="77777777" w:rsidR="00BB42FD" w:rsidRPr="00BB42FD" w:rsidRDefault="00BB42FD">
            <w:pPr>
              <w:rPr>
                <w:rFonts w:ascii="Arial" w:hAnsi="Arial" w:cs="Arial"/>
                <w:sz w:val="20"/>
                <w:szCs w:val="20"/>
              </w:rPr>
            </w:pPr>
          </w:p>
        </w:tc>
      </w:tr>
      <w:tr w:rsidR="00BB42FD" w:rsidRPr="00BB42FD" w14:paraId="29AA6021" w14:textId="77777777" w:rsidTr="00BB42FD">
        <w:trPr>
          <w:trHeight w:val="20"/>
        </w:trPr>
        <w:tc>
          <w:tcPr>
            <w:tcW w:w="1928"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14D4B803" w14:textId="77777777" w:rsidR="00BB42FD" w:rsidRPr="00BB42FD" w:rsidRDefault="00BB42FD">
            <w:pPr>
              <w:pStyle w:val="NormalWeb"/>
              <w:spacing w:before="0" w:beforeAutospacing="0" w:after="200" w:afterAutospacing="0" w:line="276" w:lineRule="auto"/>
              <w:rPr>
                <w:rFonts w:ascii="Arial" w:hAnsi="Arial" w:cs="Arial"/>
                <w:sz w:val="20"/>
                <w:szCs w:val="20"/>
              </w:rPr>
            </w:pPr>
            <w:r w:rsidRPr="00BB42FD">
              <w:rPr>
                <w:rFonts w:ascii="Arial" w:hAnsi="Arial" w:cs="Arial"/>
                <w:b/>
                <w:bCs/>
                <w:color w:val="000000" w:themeColor="text1"/>
                <w:kern w:val="24"/>
                <w:sz w:val="20"/>
                <w:szCs w:val="20"/>
              </w:rPr>
              <w:lastRenderedPageBreak/>
              <w:t>≥ 65</w:t>
            </w:r>
          </w:p>
        </w:tc>
        <w:tc>
          <w:tcPr>
            <w:tcW w:w="1984"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3FA3FCEB"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66.4</w:t>
            </w:r>
          </w:p>
        </w:tc>
        <w:tc>
          <w:tcPr>
            <w:tcW w:w="1871" w:type="dxa"/>
            <w:vMerge/>
            <w:tcBorders>
              <w:top w:val="single" w:sz="8" w:space="0" w:color="000000"/>
              <w:left w:val="nil"/>
              <w:bottom w:val="single" w:sz="8" w:space="0" w:color="000000"/>
              <w:right w:val="nil"/>
            </w:tcBorders>
            <w:vAlign w:val="center"/>
            <w:hideMark/>
          </w:tcPr>
          <w:p w14:paraId="112A9532" w14:textId="77777777" w:rsidR="00BB42FD" w:rsidRPr="00BB42FD" w:rsidRDefault="00BB42FD">
            <w:pPr>
              <w:rPr>
                <w:rFonts w:ascii="Arial" w:hAnsi="Arial" w:cs="Arial"/>
                <w:sz w:val="20"/>
                <w:szCs w:val="20"/>
              </w:rPr>
            </w:pPr>
          </w:p>
        </w:tc>
      </w:tr>
      <w:tr w:rsidR="00BB42FD" w:rsidRPr="00BB42FD" w14:paraId="5B393102" w14:textId="77777777" w:rsidTr="00BB42FD">
        <w:trPr>
          <w:trHeight w:val="20"/>
        </w:trPr>
        <w:tc>
          <w:tcPr>
            <w:tcW w:w="192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83697FA" w14:textId="77777777" w:rsidR="00BB42FD" w:rsidRPr="00BB42FD" w:rsidRDefault="00BB42FD">
            <w:pPr>
              <w:pStyle w:val="NormalWeb"/>
              <w:spacing w:before="120" w:beforeAutospacing="0" w:after="120" w:afterAutospacing="0" w:line="276" w:lineRule="auto"/>
              <w:rPr>
                <w:rFonts w:ascii="Arial" w:hAnsi="Arial" w:cs="Arial"/>
                <w:sz w:val="20"/>
                <w:szCs w:val="20"/>
              </w:rPr>
            </w:pPr>
            <w:r w:rsidRPr="00BB42FD">
              <w:rPr>
                <w:rFonts w:ascii="Arial" w:hAnsi="Arial" w:cs="Arial"/>
                <w:b/>
                <w:bCs/>
                <w:color w:val="000000" w:themeColor="text1"/>
                <w:kern w:val="24"/>
                <w:sz w:val="20"/>
                <w:szCs w:val="20"/>
              </w:rPr>
              <w:t>TOTAL</w:t>
            </w:r>
          </w:p>
        </w:tc>
        <w:tc>
          <w:tcPr>
            <w:tcW w:w="1984"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3170F7F6"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51</w:t>
            </w:r>
          </w:p>
        </w:tc>
        <w:tc>
          <w:tcPr>
            <w:tcW w:w="1871"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55E55D4D"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 </w:t>
            </w:r>
          </w:p>
        </w:tc>
      </w:tr>
    </w:tbl>
    <w:p w14:paraId="4E3B7F13" w14:textId="77777777" w:rsidR="00BB42FD" w:rsidRPr="00BB42FD" w:rsidRDefault="00BB42FD" w:rsidP="007961D4">
      <w:pPr>
        <w:spacing w:line="480" w:lineRule="auto"/>
        <w:jc w:val="both"/>
        <w:rPr>
          <w:rFonts w:ascii="Arial" w:hAnsi="Arial" w:cs="Arial"/>
          <w:b/>
          <w:sz w:val="20"/>
          <w:szCs w:val="20"/>
        </w:rPr>
      </w:pPr>
    </w:p>
    <w:p w14:paraId="2A9FF1DF" w14:textId="77777777" w:rsidR="00942491" w:rsidRPr="007961D4" w:rsidRDefault="00942491" w:rsidP="007961D4">
      <w:pPr>
        <w:spacing w:line="480" w:lineRule="auto"/>
        <w:jc w:val="both"/>
        <w:rPr>
          <w:rFonts w:ascii="Arial" w:hAnsi="Arial" w:cs="Arial"/>
          <w:sz w:val="20"/>
          <w:szCs w:val="20"/>
        </w:rPr>
      </w:pPr>
    </w:p>
    <w:p w14:paraId="550EB11B" w14:textId="77777777" w:rsidR="00942491" w:rsidRPr="007961D4" w:rsidRDefault="00942491" w:rsidP="007961D4">
      <w:pPr>
        <w:spacing w:line="480" w:lineRule="auto"/>
        <w:jc w:val="both"/>
        <w:rPr>
          <w:rFonts w:ascii="Arial" w:hAnsi="Arial" w:cs="Arial"/>
          <w:sz w:val="20"/>
          <w:szCs w:val="20"/>
        </w:rPr>
      </w:pPr>
    </w:p>
    <w:p w14:paraId="2FAD4262" w14:textId="5484C177" w:rsidR="00942491" w:rsidRDefault="00942491" w:rsidP="004E4442">
      <w:pPr>
        <w:jc w:val="both"/>
        <w:rPr>
          <w:rFonts w:ascii="Calibri" w:hAnsi="Calibri" w:cs="Calibri"/>
        </w:rPr>
      </w:pPr>
    </w:p>
    <w:p w14:paraId="03FED0DE" w14:textId="4060F17A" w:rsidR="00BB42FD" w:rsidRDefault="00BB42FD" w:rsidP="004E4442">
      <w:pPr>
        <w:jc w:val="both"/>
        <w:rPr>
          <w:rFonts w:ascii="Calibri" w:hAnsi="Calibri" w:cs="Calibri"/>
        </w:rPr>
      </w:pPr>
    </w:p>
    <w:p w14:paraId="621CA33E" w14:textId="51793C32" w:rsidR="00BB42FD" w:rsidRDefault="00BB42FD" w:rsidP="004E4442">
      <w:pPr>
        <w:jc w:val="both"/>
        <w:rPr>
          <w:rFonts w:ascii="Calibri" w:hAnsi="Calibri" w:cs="Calibri"/>
        </w:rPr>
      </w:pPr>
    </w:p>
    <w:p w14:paraId="3307298D" w14:textId="3F469A1D" w:rsidR="00BB42FD" w:rsidRDefault="00BB42FD" w:rsidP="004E4442">
      <w:pPr>
        <w:jc w:val="both"/>
        <w:rPr>
          <w:rFonts w:ascii="Calibri" w:hAnsi="Calibri" w:cs="Calibri"/>
        </w:rPr>
      </w:pPr>
    </w:p>
    <w:p w14:paraId="12932042" w14:textId="58D1255F" w:rsidR="00BB42FD" w:rsidRDefault="00BB42FD" w:rsidP="004E4442">
      <w:pPr>
        <w:jc w:val="both"/>
        <w:rPr>
          <w:rFonts w:ascii="Calibri" w:hAnsi="Calibri" w:cs="Calibri"/>
        </w:rPr>
      </w:pPr>
    </w:p>
    <w:p w14:paraId="6A939E0D" w14:textId="432AFBD8" w:rsidR="00BB42FD" w:rsidRDefault="00BB42FD" w:rsidP="004E4442">
      <w:pPr>
        <w:jc w:val="both"/>
        <w:rPr>
          <w:rFonts w:ascii="Calibri" w:hAnsi="Calibri" w:cs="Calibri"/>
        </w:rPr>
      </w:pPr>
    </w:p>
    <w:p w14:paraId="630C5639" w14:textId="27B3337E" w:rsidR="00BB42FD" w:rsidRDefault="00BB42FD" w:rsidP="004E4442">
      <w:pPr>
        <w:jc w:val="both"/>
        <w:rPr>
          <w:rFonts w:ascii="Calibri" w:hAnsi="Calibri" w:cs="Calibri"/>
        </w:rPr>
      </w:pPr>
    </w:p>
    <w:p w14:paraId="20CB246B" w14:textId="77777777" w:rsidR="00BB42FD" w:rsidRPr="004E4442" w:rsidRDefault="00BB42FD" w:rsidP="004E4442">
      <w:pPr>
        <w:jc w:val="both"/>
        <w:rPr>
          <w:rFonts w:ascii="Calibri" w:hAnsi="Calibri" w:cs="Calibri"/>
        </w:rPr>
      </w:pPr>
    </w:p>
    <w:p w14:paraId="24D880D2" w14:textId="16FCD9A7" w:rsidR="00942491" w:rsidRPr="007961D4" w:rsidRDefault="007961D4" w:rsidP="007961D4">
      <w:pPr>
        <w:pStyle w:val="Heading3"/>
        <w:numPr>
          <w:ilvl w:val="0"/>
          <w:numId w:val="15"/>
        </w:numPr>
        <w:jc w:val="both"/>
        <w:rPr>
          <w:sz w:val="22"/>
          <w:szCs w:val="22"/>
        </w:rPr>
      </w:pPr>
      <w:bookmarkStart w:id="3" w:name="_Toc256000015"/>
      <w:r w:rsidRPr="007961D4">
        <w:rPr>
          <w:sz w:val="22"/>
          <w:szCs w:val="22"/>
        </w:rPr>
        <w:t>Discussion</w:t>
      </w:r>
      <w:bookmarkEnd w:id="3"/>
    </w:p>
    <w:p w14:paraId="20D2BC40" w14:textId="77777777" w:rsidR="00942491" w:rsidRPr="004E4442" w:rsidRDefault="00942491" w:rsidP="004E4442">
      <w:pPr>
        <w:jc w:val="both"/>
        <w:rPr>
          <w:rFonts w:ascii="Calibri" w:hAnsi="Calibri" w:cs="Calibri"/>
        </w:rPr>
      </w:pPr>
    </w:p>
    <w:p w14:paraId="4F8CB36C" w14:textId="62EAB685"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Individuals preparing for the Hajj pilgrimage constitute 25% of those aged over 65 years, with a significant proportion experiencing chronic illnesses, particularly non-communicable diseases (NCDs), which are the predominant cause of mortality globally </w:t>
      </w:r>
      <w:hyperlink w:anchor="a222af50fbe9331580eb23cb35714996_ref" w:history="1">
        <w:r w:rsidRPr="007961D4">
          <w:rPr>
            <w:rFonts w:ascii="Arial" w:hAnsi="Arial" w:cs="Arial"/>
            <w:color w:val="0000EE"/>
            <w:sz w:val="20"/>
            <w:szCs w:val="20"/>
            <w:u w:val="single" w:color="0000EE"/>
          </w:rPr>
          <w:t>(</w:t>
        </w:r>
        <w:proofErr w:type="spellStart"/>
        <w:r w:rsidRPr="007961D4">
          <w:rPr>
            <w:rFonts w:ascii="Arial" w:hAnsi="Arial" w:cs="Arial"/>
            <w:color w:val="0000EE"/>
            <w:sz w:val="20"/>
            <w:szCs w:val="20"/>
            <w:u w:val="single" w:color="0000EE"/>
          </w:rPr>
          <w:t>Aldossari</w:t>
        </w:r>
        <w:proofErr w:type="spellEnd"/>
        <w:r w:rsidRPr="007961D4">
          <w:rPr>
            <w:rFonts w:ascii="Arial" w:hAnsi="Arial" w:cs="Arial"/>
            <w:color w:val="0000EE"/>
            <w:sz w:val="20"/>
            <w:szCs w:val="20"/>
            <w:u w:val="single" w:color="0000EE"/>
          </w:rPr>
          <w:t xml:space="preserve"> et al., 2019</w:t>
        </w:r>
        <w:r w:rsidR="00AA2333">
          <w:rPr>
            <w:rFonts w:ascii="Arial" w:hAnsi="Arial" w:cs="Arial"/>
            <w:color w:val="0000EE"/>
            <w:sz w:val="20"/>
            <w:szCs w:val="20"/>
            <w:u w:val="single" w:color="0000EE"/>
          </w:rPr>
          <w:t xml:space="preserve">; </w:t>
        </w:r>
        <w:proofErr w:type="spellStart"/>
        <w:r w:rsidR="00AA2333" w:rsidRPr="00AA2333">
          <w:rPr>
            <w:rFonts w:ascii="Arial" w:hAnsi="Arial" w:cs="Arial"/>
            <w:color w:val="0000EE"/>
            <w:sz w:val="20"/>
            <w:szCs w:val="20"/>
            <w:u w:val="single" w:color="0000EE"/>
          </w:rPr>
          <w:t>Yezli</w:t>
        </w:r>
        <w:proofErr w:type="spellEnd"/>
        <w:r w:rsidR="00AA2333" w:rsidRPr="00AA2333">
          <w:rPr>
            <w:rFonts w:ascii="Arial" w:hAnsi="Arial" w:cs="Arial"/>
            <w:color w:val="0000EE"/>
            <w:sz w:val="20"/>
            <w:szCs w:val="20"/>
            <w:u w:val="single" w:color="0000EE"/>
          </w:rPr>
          <w:t xml:space="preserve"> et al., 2021</w:t>
        </w:r>
        <w:r w:rsidR="00AA2333">
          <w:rPr>
            <w:rFonts w:ascii="Arial" w:hAnsi="Arial" w:cs="Arial"/>
            <w:color w:val="0000EE"/>
            <w:sz w:val="20"/>
            <w:szCs w:val="20"/>
            <w:u w:val="single" w:color="0000EE"/>
          </w:rPr>
          <w:t>;</w:t>
        </w:r>
        <w:r w:rsidR="00AA2333" w:rsidRPr="00AA2333">
          <w:t xml:space="preserve"> </w:t>
        </w:r>
        <w:proofErr w:type="spellStart"/>
        <w:r w:rsidR="00AA2333" w:rsidRPr="00AA2333">
          <w:rPr>
            <w:rFonts w:ascii="Arial" w:hAnsi="Arial" w:cs="Arial"/>
            <w:color w:val="0000EE"/>
            <w:sz w:val="20"/>
            <w:szCs w:val="20"/>
            <w:u w:val="single" w:color="0000EE"/>
          </w:rPr>
          <w:t>Samarkandi</w:t>
        </w:r>
        <w:proofErr w:type="spellEnd"/>
        <w:r w:rsidR="00AA2333" w:rsidRPr="00AA2333">
          <w:rPr>
            <w:rFonts w:ascii="Arial" w:hAnsi="Arial" w:cs="Arial"/>
            <w:color w:val="0000EE"/>
            <w:sz w:val="20"/>
            <w:szCs w:val="20"/>
            <w:u w:val="single" w:color="0000EE"/>
          </w:rPr>
          <w:t xml:space="preserve"> et al., 2025</w:t>
        </w:r>
        <w:r w:rsidRPr="007961D4">
          <w:rPr>
            <w:rFonts w:ascii="Arial" w:hAnsi="Arial" w:cs="Arial"/>
            <w:color w:val="0000EE"/>
            <w:sz w:val="20"/>
            <w:szCs w:val="20"/>
            <w:u w:val="single" w:color="0000EE"/>
          </w:rPr>
          <w:t>)</w:t>
        </w:r>
      </w:hyperlink>
      <w:r w:rsidRPr="007961D4">
        <w:rPr>
          <w:rFonts w:ascii="Arial" w:hAnsi="Arial" w:cs="Arial"/>
          <w:color w:val="000000"/>
          <w:sz w:val="20"/>
          <w:szCs w:val="20"/>
        </w:rPr>
        <w:t xml:space="preserve">. Hajj rituals necessitate considerable physical exertion under extreme climatic conditions, potentially exacerbating pre-existing chronic conditions among pilgrims. Consequently, it is imperative for individuals to be aware of their health status before embarking on Hajj. This study aimed to assess the importance of implementing a brief biological evaluation for Hajj candidates in Ivory Coast to identify the most common chronic metabolic or organic diseases. </w:t>
      </w:r>
      <w:r w:rsidRPr="007961D4">
        <w:rPr>
          <w:rFonts w:ascii="Arial" w:eastAsia="&quot;IBM Plex Sans&quot;, Arial, &quot;Segoe" w:hAnsi="Arial" w:cs="Arial"/>
          <w:color w:val="000000"/>
          <w:sz w:val="20"/>
          <w:szCs w:val="20"/>
        </w:rPr>
        <w:t>Such evaluations could potentially reduce the risk of exacerbating chronic illnesses that may have been stabilized or previously undiagnosed.</w:t>
      </w:r>
    </w:p>
    <w:p w14:paraId="289CA30A"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Our study revealed that over 55% of Hajj applications registered in 2012 were excluded due to incomplete medical records. This finding indicates a lack of emphasis placed by applicants on pre-Hajj medical examinations.</w:t>
      </w:r>
    </w:p>
    <w:p w14:paraId="31A268E0"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The mean age of the study population, 52 years, exceeded the life expectancy in Côte d'Ivoire, which was recorded as 50 years in 2012 (Ref). Based on the mean age, it is evident that the group of pilgrim candidates represents a medically vulnerable population </w:t>
      </w:r>
      <w:hyperlink w:anchor="eadfdba295433bb68a454c06612acb5a_ref" w:history="1">
        <w:r w:rsidRPr="007961D4">
          <w:rPr>
            <w:rFonts w:ascii="Arial" w:hAnsi="Arial" w:cs="Arial"/>
            <w:color w:val="0000EE"/>
            <w:sz w:val="20"/>
            <w:szCs w:val="20"/>
            <w:u w:val="single" w:color="0000EE"/>
          </w:rPr>
          <w:t xml:space="preserve">(Mostafa et al., 2023; </w:t>
        </w:r>
        <w:proofErr w:type="spellStart"/>
        <w:r w:rsidRPr="007961D4">
          <w:rPr>
            <w:rFonts w:ascii="Arial" w:hAnsi="Arial" w:cs="Arial"/>
            <w:color w:val="0000EE"/>
            <w:sz w:val="20"/>
            <w:szCs w:val="20"/>
            <w:u w:val="single" w:color="0000EE"/>
          </w:rPr>
          <w:t>Sohail</w:t>
        </w:r>
        <w:proofErr w:type="spellEnd"/>
        <w:r w:rsidRPr="007961D4">
          <w:rPr>
            <w:rFonts w:ascii="Arial" w:hAnsi="Arial" w:cs="Arial"/>
            <w:color w:val="0000EE"/>
            <w:sz w:val="20"/>
            <w:szCs w:val="20"/>
            <w:u w:val="single" w:color="0000EE"/>
          </w:rPr>
          <w:t xml:space="preserve"> et al., 2025)</w:t>
        </w:r>
      </w:hyperlink>
      <w:r w:rsidRPr="007961D4">
        <w:rPr>
          <w:rFonts w:ascii="Arial" w:hAnsi="Arial" w:cs="Arial"/>
          <w:color w:val="000000"/>
          <w:sz w:val="20"/>
          <w:szCs w:val="20"/>
        </w:rPr>
        <w:t xml:space="preserve">. A substantial segment of this cohort demonstrated risk factors for non-communicable diseases of which they were </w:t>
      </w:r>
      <w:r w:rsidRPr="007961D4">
        <w:rPr>
          <w:rFonts w:ascii="Arial" w:hAnsi="Arial" w:cs="Arial"/>
          <w:color w:val="000000"/>
          <w:sz w:val="20"/>
          <w:szCs w:val="20"/>
        </w:rPr>
        <w:lastRenderedPageBreak/>
        <w:t>previously unaware, including hypertension, blood glucose disorders, blood creatinine disorders, and blood urea nitrogen disorders (Table I and Table II). These are all risk factors for diabetes mellitus, kidney failure and cardiovascular diseases.</w:t>
      </w:r>
    </w:p>
    <w:p w14:paraId="55B25B91"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In the epidemiological landscape of Côte d’Ivoire, several factors may account for the concurrent elevation of blood transaminase levels. Malaria, viral hepatitis types A, B, and C, exposure to industrial chemicals, and the use of traditional herbal medicines are potential contributors to liver dysfunction. Moreover, the prevalence of non-alcoholic fatty liver disease (NAFLD) is increasing, attributed to the rising rates of obesity and metabolic syndrome within the country </w:t>
      </w:r>
      <w:hyperlink w:anchor="d5e0dac3875d31feaa969bfca81ac3d3_ref" w:history="1">
        <w:r w:rsidRPr="007961D4">
          <w:rPr>
            <w:rFonts w:ascii="Arial" w:hAnsi="Arial" w:cs="Arial"/>
            <w:color w:val="0000EE"/>
            <w:sz w:val="20"/>
            <w:szCs w:val="20"/>
            <w:u w:val="single" w:color="0000EE"/>
          </w:rPr>
          <w:t>(Fu et al., 2022; Suciu et al., 2020)</w:t>
        </w:r>
      </w:hyperlink>
      <w:r w:rsidRPr="007961D4">
        <w:rPr>
          <w:rFonts w:ascii="Arial" w:hAnsi="Arial" w:cs="Arial"/>
          <w:color w:val="000000"/>
          <w:sz w:val="20"/>
          <w:szCs w:val="20"/>
        </w:rPr>
        <w:t xml:space="preserve">. Additionally, limited access to healthcare facilities and diagnostic tools may result in the underdiagnosis of liver conditions, potentially obscuring the true magnitude of the issue </w:t>
      </w:r>
      <w:hyperlink w:anchor="89787b76667d33e6a84e206194ae751b_ref" w:history="1">
        <w:r w:rsidRPr="007961D4">
          <w:rPr>
            <w:rFonts w:ascii="Arial" w:hAnsi="Arial" w:cs="Arial"/>
            <w:color w:val="0000EE"/>
            <w:sz w:val="20"/>
            <w:szCs w:val="20"/>
            <w:u w:val="single" w:color="0000EE"/>
          </w:rPr>
          <w:t>(</w:t>
        </w:r>
        <w:proofErr w:type="spellStart"/>
        <w:r w:rsidRPr="007961D4">
          <w:rPr>
            <w:rFonts w:ascii="Arial" w:hAnsi="Arial" w:cs="Arial"/>
            <w:color w:val="0000EE"/>
            <w:sz w:val="20"/>
            <w:szCs w:val="20"/>
            <w:u w:val="single" w:color="0000EE"/>
          </w:rPr>
          <w:t>Leibenguth</w:t>
        </w:r>
        <w:proofErr w:type="spellEnd"/>
        <w:r w:rsidRPr="007961D4">
          <w:rPr>
            <w:rFonts w:ascii="Arial" w:hAnsi="Arial" w:cs="Arial"/>
            <w:color w:val="0000EE"/>
            <w:sz w:val="20"/>
            <w:szCs w:val="20"/>
            <w:u w:val="single" w:color="0000EE"/>
          </w:rPr>
          <w:t xml:space="preserve"> et al., 2024)</w:t>
        </w:r>
      </w:hyperlink>
      <w:r w:rsidRPr="007961D4">
        <w:rPr>
          <w:rFonts w:ascii="Arial" w:hAnsi="Arial" w:cs="Arial"/>
          <w:color w:val="000000"/>
          <w:sz w:val="20"/>
          <w:szCs w:val="20"/>
        </w:rPr>
        <w:t>.</w:t>
      </w:r>
    </w:p>
    <w:p w14:paraId="366FA637" w14:textId="77777777" w:rsidR="00942491" w:rsidRPr="007961D4" w:rsidRDefault="00942491" w:rsidP="007961D4">
      <w:pPr>
        <w:spacing w:line="480" w:lineRule="auto"/>
        <w:jc w:val="both"/>
        <w:rPr>
          <w:rFonts w:ascii="Arial" w:hAnsi="Arial" w:cs="Arial"/>
          <w:sz w:val="20"/>
          <w:szCs w:val="20"/>
        </w:rPr>
      </w:pPr>
    </w:p>
    <w:p w14:paraId="74484BF7"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In a mass screening context, glucose metabolism disorders detected during the visit and verbal declarations of prior diabetes diagnosis can be cautiously suspected as diabetes mellitus. They represented 9.8% of pilgrims. The observed prevalence aligns with the range reported in numerous other studies </w:t>
      </w:r>
      <w:hyperlink w:anchor="c16a307cabb23935b0b7f4d8b94ecb4b_ref" w:history="1">
        <w:r w:rsidRPr="007961D4">
          <w:rPr>
            <w:rFonts w:ascii="Arial" w:hAnsi="Arial" w:cs="Arial"/>
            <w:color w:val="0000EE"/>
            <w:sz w:val="20"/>
            <w:szCs w:val="20"/>
            <w:u w:val="single" w:color="0000EE"/>
          </w:rPr>
          <w:t>(</w:t>
        </w:r>
        <w:proofErr w:type="spellStart"/>
        <w:r w:rsidRPr="007961D4">
          <w:rPr>
            <w:rFonts w:ascii="Arial" w:hAnsi="Arial" w:cs="Arial"/>
            <w:color w:val="0000EE"/>
            <w:sz w:val="20"/>
            <w:szCs w:val="20"/>
            <w:u w:val="single" w:color="0000EE"/>
          </w:rPr>
          <w:t>Gautret</w:t>
        </w:r>
        <w:proofErr w:type="spellEnd"/>
        <w:r w:rsidRPr="007961D4">
          <w:rPr>
            <w:rFonts w:ascii="Arial" w:hAnsi="Arial" w:cs="Arial"/>
            <w:color w:val="0000EE"/>
            <w:sz w:val="20"/>
            <w:szCs w:val="20"/>
            <w:u w:val="single" w:color="0000EE"/>
          </w:rPr>
          <w:t xml:space="preserve"> et al., 2009; </w:t>
        </w:r>
        <w:proofErr w:type="spellStart"/>
        <w:r w:rsidRPr="007961D4">
          <w:rPr>
            <w:rFonts w:ascii="Arial" w:hAnsi="Arial" w:cs="Arial"/>
            <w:color w:val="0000EE"/>
            <w:sz w:val="20"/>
            <w:szCs w:val="20"/>
            <w:u w:val="single" w:color="0000EE"/>
          </w:rPr>
          <w:t>Samarkandi</w:t>
        </w:r>
        <w:proofErr w:type="spellEnd"/>
        <w:r w:rsidRPr="007961D4">
          <w:rPr>
            <w:rFonts w:ascii="Arial" w:hAnsi="Arial" w:cs="Arial"/>
            <w:color w:val="0000EE"/>
            <w:sz w:val="20"/>
            <w:szCs w:val="20"/>
            <w:u w:val="single" w:color="0000EE"/>
          </w:rPr>
          <w:t xml:space="preserve"> et al., 2025; </w:t>
        </w:r>
        <w:proofErr w:type="spellStart"/>
        <w:r w:rsidRPr="007961D4">
          <w:rPr>
            <w:rFonts w:ascii="Arial" w:hAnsi="Arial" w:cs="Arial"/>
            <w:color w:val="0000EE"/>
            <w:sz w:val="20"/>
            <w:szCs w:val="20"/>
            <w:u w:val="single" w:color="0000EE"/>
          </w:rPr>
          <w:t>Yezli</w:t>
        </w:r>
        <w:proofErr w:type="spellEnd"/>
        <w:r w:rsidRPr="007961D4">
          <w:rPr>
            <w:rFonts w:ascii="Arial" w:hAnsi="Arial" w:cs="Arial"/>
            <w:color w:val="0000EE"/>
            <w:sz w:val="20"/>
            <w:szCs w:val="20"/>
            <w:u w:val="single" w:color="0000EE"/>
          </w:rPr>
          <w:t xml:space="preserve"> et al., 2021)</w:t>
        </w:r>
      </w:hyperlink>
      <w:r w:rsidRPr="007961D4">
        <w:rPr>
          <w:rFonts w:ascii="Arial" w:hAnsi="Arial" w:cs="Arial"/>
          <w:color w:val="000000"/>
          <w:sz w:val="20"/>
          <w:szCs w:val="20"/>
        </w:rPr>
        <w:t xml:space="preserve">. Furthermore, approximately 43.9% of suspected diabetes mellitus cases were identified during the biological assessment, underscoring the necessity of pre-pilgrimage screenings (Table II). Blood glucose disorders, which increase with age, were more prevalent among individuals aged 50–65 years. These findings have been observed in several other studies </w:t>
      </w:r>
      <w:hyperlink w:anchor="bbe3947868053e49b94fbac8ac10d9d4_ref" w:history="1">
        <w:r w:rsidRPr="007961D4">
          <w:rPr>
            <w:rFonts w:ascii="Arial" w:hAnsi="Arial" w:cs="Arial"/>
            <w:color w:val="0000EE"/>
            <w:sz w:val="20"/>
            <w:szCs w:val="20"/>
            <w:u w:val="single" w:color="0000EE"/>
          </w:rPr>
          <w:t>(Halter et al., 2014; Naito et al., 2023)</w:t>
        </w:r>
      </w:hyperlink>
      <w:r w:rsidRPr="007961D4">
        <w:rPr>
          <w:rFonts w:ascii="Arial" w:hAnsi="Arial" w:cs="Arial"/>
          <w:color w:val="000000"/>
          <w:sz w:val="20"/>
          <w:szCs w:val="20"/>
        </w:rPr>
        <w:t>. The presence of high blood glucose levels in individuals presumed to be fasting necessitates further biological investigations to assess the potential for diabetes mellitus.</w:t>
      </w:r>
    </w:p>
    <w:p w14:paraId="0AA1D48E" w14:textId="4D55B261"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The frequencies of elevated blood urea nitrogen and creatinine levels were inversely and statistically correlated with age (Tables IV and V). This unexpected finding may be attributable to a confounding variable, specifically the increased mortality associated with advancing age </w:t>
      </w:r>
      <w:hyperlink w:anchor="fddc33601bc13abbb7598825dc66c599_ref" w:history="1">
        <w:r w:rsidRPr="007961D4">
          <w:rPr>
            <w:rFonts w:ascii="Arial" w:hAnsi="Arial" w:cs="Arial"/>
            <w:color w:val="0000EE"/>
            <w:sz w:val="20"/>
            <w:szCs w:val="20"/>
            <w:u w:val="single" w:color="0000EE"/>
          </w:rPr>
          <w:t>(You et al., 2017</w:t>
        </w:r>
        <w:r w:rsidR="00AA2333">
          <w:rPr>
            <w:rFonts w:ascii="Arial" w:hAnsi="Arial" w:cs="Arial"/>
            <w:color w:val="0000EE"/>
            <w:sz w:val="20"/>
            <w:szCs w:val="20"/>
            <w:u w:val="single" w:color="0000EE"/>
          </w:rPr>
          <w:t xml:space="preserve">; </w:t>
        </w:r>
        <w:hyperlink w:anchor="795ba19c936c367c83d88778b59cba95_ref" w:history="1">
          <w:r w:rsidR="00AA2333" w:rsidRPr="007961D4">
            <w:rPr>
              <w:rFonts w:ascii="Arial" w:hAnsi="Arial" w:cs="Arial"/>
              <w:color w:val="0000EE"/>
              <w:sz w:val="20"/>
              <w:szCs w:val="20"/>
              <w:u w:val="single" w:color="0000EE"/>
            </w:rPr>
            <w:t>Sujino et al., 2019</w:t>
          </w:r>
        </w:hyperlink>
        <w:r w:rsidRPr="007961D4">
          <w:rPr>
            <w:rFonts w:ascii="Arial" w:hAnsi="Arial" w:cs="Arial"/>
            <w:color w:val="0000EE"/>
            <w:sz w:val="20"/>
            <w:szCs w:val="20"/>
            <w:u w:val="single" w:color="0000EE"/>
          </w:rPr>
          <w:t>)</w:t>
        </w:r>
      </w:hyperlink>
      <w:r w:rsidRPr="007961D4">
        <w:rPr>
          <w:rFonts w:ascii="Arial" w:hAnsi="Arial" w:cs="Arial"/>
          <w:color w:val="000000"/>
          <w:sz w:val="20"/>
          <w:szCs w:val="20"/>
        </w:rPr>
        <w:t xml:space="preserve">. Furthermore, the parameters of renal function assessment, specifically blood urea nitrogen and creatinine levels, were significantly associated (Table VI). This finding suggests a decrease in renal blood filtration, indicating the potential presence of chronic renal disease in certain pilgrim candidates </w:t>
      </w:r>
      <w:hyperlink w:anchor="f4732c195a0433e2be2b90a0db2cd130_ref" w:history="1">
        <w:r w:rsidRPr="007961D4">
          <w:rPr>
            <w:rFonts w:ascii="Arial" w:hAnsi="Arial" w:cs="Arial"/>
            <w:color w:val="0000EE"/>
            <w:sz w:val="20"/>
            <w:szCs w:val="20"/>
            <w:u w:val="single" w:color="0000EE"/>
          </w:rPr>
          <w:t>(Murata et al., 2018)</w:t>
        </w:r>
      </w:hyperlink>
      <w:r w:rsidRPr="007961D4">
        <w:rPr>
          <w:rFonts w:ascii="Arial" w:hAnsi="Arial" w:cs="Arial"/>
          <w:color w:val="000000"/>
          <w:sz w:val="20"/>
          <w:szCs w:val="20"/>
        </w:rPr>
        <w:t>.</w:t>
      </w:r>
    </w:p>
    <w:p w14:paraId="032B18BC"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lastRenderedPageBreak/>
        <w:t>The prevalence of the observed disorders is of significant interest to medical teams providing care to pilgrims during Hajj. Anemia emerged as the most common biological disturbance, followed by abnormalities in renal function parameters, specifically high blood creatinine and urea nitrogen levels. Anemia, encompassing all etiologies, constituted more than half of the pathological disorders.</w:t>
      </w:r>
    </w:p>
    <w:p w14:paraId="3F665BB5" w14:textId="77777777" w:rsidR="00942491" w:rsidRPr="007961D4" w:rsidRDefault="00BB42FD" w:rsidP="007961D4">
      <w:pPr>
        <w:spacing w:line="480" w:lineRule="auto"/>
        <w:jc w:val="both"/>
        <w:rPr>
          <w:rFonts w:ascii="Arial" w:hAnsi="Arial" w:cs="Arial"/>
          <w:sz w:val="20"/>
          <w:szCs w:val="20"/>
        </w:rPr>
      </w:pPr>
      <w:r w:rsidRPr="007961D4">
        <w:rPr>
          <w:rFonts w:ascii="Arial" w:eastAsia="null" w:hAnsi="Arial" w:cs="Arial"/>
          <w:color w:val="000000"/>
          <w:sz w:val="20"/>
          <w:szCs w:val="20"/>
        </w:rPr>
        <w:t xml:space="preserve">Many pilgrims were affected by chronic illnesses. It is advisable to implement additional measures, such as education and management, before Hajj. </w:t>
      </w:r>
      <w:r w:rsidRPr="007961D4">
        <w:rPr>
          <w:rFonts w:ascii="Arial" w:hAnsi="Arial" w:cs="Arial"/>
          <w:color w:val="000000"/>
          <w:sz w:val="20"/>
          <w:szCs w:val="20"/>
        </w:rPr>
        <w:t>Pilgrimage organizers and healthcare providers should work together to implement preventive measures, such as providing adequate medical facilities along the route and offering health education to participants. By proactively addressing these health concerns, the spiritual experience of the pilgrimage can be preserved while minimizing potential negative health outcomes.</w:t>
      </w:r>
    </w:p>
    <w:p w14:paraId="54D90EF6" w14:textId="111AB250" w:rsidR="00942491" w:rsidRDefault="00942491" w:rsidP="004E4442">
      <w:pPr>
        <w:jc w:val="both"/>
        <w:rPr>
          <w:rFonts w:ascii="Calibri" w:hAnsi="Calibri" w:cs="Calibri"/>
        </w:rPr>
      </w:pPr>
    </w:p>
    <w:p w14:paraId="483766FA" w14:textId="496EAB2A" w:rsidR="0096144E" w:rsidRDefault="0096144E" w:rsidP="004E4442">
      <w:pPr>
        <w:jc w:val="both"/>
        <w:rPr>
          <w:rFonts w:ascii="Calibri" w:hAnsi="Calibri" w:cs="Calibri"/>
        </w:rPr>
      </w:pPr>
    </w:p>
    <w:p w14:paraId="35A93A48" w14:textId="77777777" w:rsidR="0096144E" w:rsidRDefault="0096144E" w:rsidP="004E4442">
      <w:pPr>
        <w:jc w:val="both"/>
        <w:rPr>
          <w:rFonts w:ascii="Calibri" w:hAnsi="Calibri" w:cs="Calibri"/>
        </w:rPr>
      </w:pPr>
    </w:p>
    <w:p w14:paraId="261FD5E6" w14:textId="77777777" w:rsidR="00942491" w:rsidRPr="007961D4" w:rsidRDefault="00BB42FD" w:rsidP="007961D4">
      <w:pPr>
        <w:pStyle w:val="Heading3"/>
        <w:numPr>
          <w:ilvl w:val="0"/>
          <w:numId w:val="12"/>
        </w:numPr>
        <w:jc w:val="both"/>
        <w:rPr>
          <w:sz w:val="22"/>
          <w:szCs w:val="22"/>
        </w:rPr>
      </w:pPr>
      <w:bookmarkStart w:id="4" w:name="_Toc256000016"/>
      <w:r w:rsidRPr="007961D4">
        <w:rPr>
          <w:sz w:val="22"/>
          <w:szCs w:val="22"/>
        </w:rPr>
        <w:t>CONCLUSION</w:t>
      </w:r>
      <w:bookmarkEnd w:id="4"/>
    </w:p>
    <w:p w14:paraId="2E5DACED" w14:textId="77777777" w:rsidR="00942491" w:rsidRPr="004E4442" w:rsidRDefault="00942491" w:rsidP="004E4442">
      <w:pPr>
        <w:jc w:val="both"/>
        <w:rPr>
          <w:rFonts w:ascii="Calibri" w:hAnsi="Calibri" w:cs="Calibri"/>
        </w:rPr>
      </w:pPr>
    </w:p>
    <w:p w14:paraId="5ABFC7CD" w14:textId="2055A715" w:rsidR="00942491" w:rsidRPr="007961D4"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This study highlights the importance of comprehensive pre-Hajj medical evaluations of pilgrimage candidates in Côte d'Ivoire. The findings revealed that a significant proportion of candidates were unaware of underlying health conditions that could pose risks during the physically demanding Hajj journey. Key findings from the study include the following: a significant prevalence of undiagnosed hypertension was observed during pre-pilgrimage consultations. Additionally, 43% of the candidates exhibited unrecognized high blood glucose or elevated transaminase levels, suggesting potential undiagnosed diabetes or liver dysfunction. There was a frequent occurrence of elevated blood urea nitrogen and creatinine levels, indicating possible renal dysfunction in some candidates. Anemia was present in over half of the study participants.</w:t>
      </w:r>
      <w:r w:rsidR="00AA2333">
        <w:rPr>
          <w:rFonts w:ascii="Arial" w:hAnsi="Arial" w:cs="Arial"/>
          <w:color w:val="000000"/>
          <w:sz w:val="20"/>
          <w:szCs w:val="20"/>
        </w:rPr>
        <w:t xml:space="preserve"> </w:t>
      </w:r>
      <w:r w:rsidRPr="007961D4">
        <w:rPr>
          <w:rFonts w:ascii="Arial" w:hAnsi="Arial" w:cs="Arial"/>
          <w:color w:val="000000"/>
          <w:sz w:val="20"/>
          <w:szCs w:val="20"/>
        </w:rPr>
        <w:t>This study demonstrated that laboratory tests often reveal more chronic pathologies than clinical examinations or patient-reported histories alone.</w:t>
      </w:r>
      <w:r w:rsidR="00AA2333">
        <w:rPr>
          <w:rFonts w:ascii="Arial" w:hAnsi="Arial" w:cs="Arial"/>
          <w:color w:val="000000"/>
          <w:sz w:val="20"/>
          <w:szCs w:val="20"/>
        </w:rPr>
        <w:t xml:space="preserve"> </w:t>
      </w:r>
      <w:r w:rsidRPr="007961D4">
        <w:rPr>
          <w:rFonts w:ascii="Arial" w:hAnsi="Arial" w:cs="Arial"/>
          <w:color w:val="000000"/>
          <w:sz w:val="20"/>
          <w:szCs w:val="20"/>
        </w:rPr>
        <w:t xml:space="preserve">Given that the average age of candidates exceeded the life expectancy in Côte d'Ivoire, this population represents a medically vulnerable group that requires special attention. The frequency of biological disorders increased with age, indicating a higher risk of health decompensation during Hajj for older pilgrims. These findings underscore the necessity for enhanced pre-Hajj health screening protocols, which should encompass comprehensive biochemical profiling. Additionally, there is a need for increased health awareness programs that target prospective </w:t>
      </w:r>
      <w:r w:rsidRPr="007961D4">
        <w:rPr>
          <w:rFonts w:ascii="Arial" w:hAnsi="Arial" w:cs="Arial"/>
          <w:color w:val="000000"/>
          <w:sz w:val="20"/>
          <w:szCs w:val="20"/>
        </w:rPr>
        <w:lastRenderedPageBreak/>
        <w:t>pilgrims. Tailored medical support and interventions should be provided, particularly for older pilgrims. By implementing these measures, health authorities can more effectively identify individuals at risk, offer appropriate pre-travel counseling, and potentially mitigate the incidence of health complications during the Hajj pilgrimage.</w:t>
      </w:r>
    </w:p>
    <w:p w14:paraId="09081A77" w14:textId="4A615C3D" w:rsidR="00E202AB" w:rsidRDefault="00E202AB" w:rsidP="004E4442">
      <w:pPr>
        <w:jc w:val="both"/>
        <w:rPr>
          <w:rFonts w:ascii="Calibri" w:hAnsi="Calibri" w:cs="Calibri"/>
          <w:color w:val="000000"/>
        </w:rPr>
      </w:pPr>
    </w:p>
    <w:p w14:paraId="34FCB44E" w14:textId="501FF02A" w:rsidR="0083048A" w:rsidRDefault="0083048A" w:rsidP="0083048A">
      <w:pPr>
        <w:pStyle w:val="Heading3"/>
        <w:jc w:val="both"/>
        <w:rPr>
          <w:sz w:val="22"/>
          <w:szCs w:val="22"/>
        </w:rPr>
      </w:pPr>
      <w:bookmarkStart w:id="5" w:name="_Toc256000019"/>
      <w:bookmarkStart w:id="6" w:name="_GoBack"/>
      <w:bookmarkEnd w:id="6"/>
      <w:r w:rsidRPr="0083048A">
        <w:rPr>
          <w:sz w:val="22"/>
          <w:szCs w:val="22"/>
        </w:rPr>
        <w:t>DECLARATION OF COMPETING INTEREST</w:t>
      </w:r>
      <w:bookmarkEnd w:id="5"/>
    </w:p>
    <w:p w14:paraId="744D6D39" w14:textId="77777777" w:rsidR="0083048A" w:rsidRPr="0083048A" w:rsidRDefault="0083048A" w:rsidP="0083048A"/>
    <w:p w14:paraId="0F0C02EB" w14:textId="329B6A70" w:rsidR="0083048A" w:rsidRDefault="0083048A" w:rsidP="0083048A">
      <w:pPr>
        <w:spacing w:line="480" w:lineRule="auto"/>
        <w:jc w:val="both"/>
        <w:rPr>
          <w:rFonts w:ascii="Arial" w:hAnsi="Arial" w:cs="Arial"/>
          <w:color w:val="000000"/>
          <w:sz w:val="20"/>
          <w:szCs w:val="20"/>
        </w:rPr>
      </w:pPr>
      <w:r w:rsidRPr="0083048A">
        <w:rPr>
          <w:rFonts w:ascii="Arial" w:hAnsi="Arial" w:cs="Arial"/>
          <w:color w:val="000000"/>
          <w:sz w:val="20"/>
          <w:szCs w:val="20"/>
        </w:rPr>
        <w:t>The authors declare that they have no known competing financial interests or personal relationships that could have appeared to influence the work reported in this paper.</w:t>
      </w:r>
    </w:p>
    <w:p w14:paraId="0F4F1971" w14:textId="7BBC2FEC" w:rsidR="0083048A" w:rsidRDefault="0083048A" w:rsidP="0083048A">
      <w:pPr>
        <w:spacing w:line="480" w:lineRule="auto"/>
        <w:jc w:val="both"/>
        <w:rPr>
          <w:rFonts w:ascii="Arial" w:hAnsi="Arial" w:cs="Arial"/>
          <w:color w:val="000000"/>
          <w:sz w:val="20"/>
          <w:szCs w:val="20"/>
        </w:rPr>
      </w:pPr>
    </w:p>
    <w:p w14:paraId="03CEAF3C" w14:textId="7E184B38" w:rsidR="0083048A" w:rsidRDefault="0083048A" w:rsidP="00E202AB">
      <w:pPr>
        <w:jc w:val="both"/>
        <w:rPr>
          <w:rFonts w:ascii="Arial" w:hAnsi="Arial" w:cs="Arial"/>
          <w:b/>
          <w:bCs/>
          <w:sz w:val="22"/>
          <w:szCs w:val="22"/>
        </w:rPr>
      </w:pPr>
      <w:r w:rsidRPr="0083048A">
        <w:rPr>
          <w:rFonts w:ascii="Arial" w:hAnsi="Arial" w:cs="Arial"/>
          <w:b/>
          <w:bCs/>
          <w:sz w:val="22"/>
          <w:szCs w:val="22"/>
        </w:rPr>
        <w:t>CONSENT</w:t>
      </w:r>
    </w:p>
    <w:p w14:paraId="2B443669" w14:textId="77777777" w:rsidR="0083048A" w:rsidRPr="0083048A" w:rsidRDefault="0083048A" w:rsidP="00E202AB">
      <w:pPr>
        <w:jc w:val="both"/>
        <w:rPr>
          <w:rFonts w:ascii="Calibri" w:hAnsi="Calibri" w:cs="Calibri"/>
          <w:b/>
          <w:color w:val="000000"/>
          <w:sz w:val="22"/>
          <w:szCs w:val="22"/>
        </w:rPr>
      </w:pPr>
    </w:p>
    <w:p w14:paraId="28CBBCBD" w14:textId="088F7D83" w:rsidR="00E202AB" w:rsidRPr="0083048A" w:rsidRDefault="00E202AB" w:rsidP="0083048A">
      <w:pPr>
        <w:spacing w:line="480" w:lineRule="auto"/>
        <w:jc w:val="both"/>
        <w:rPr>
          <w:rFonts w:ascii="Arial" w:hAnsi="Arial" w:cs="Arial"/>
          <w:color w:val="000000"/>
          <w:sz w:val="20"/>
          <w:szCs w:val="20"/>
        </w:rPr>
      </w:pPr>
      <w:r w:rsidRPr="0083048A">
        <w:rPr>
          <w:rFonts w:ascii="Arial" w:hAnsi="Arial" w:cs="Arial"/>
          <w:color w:val="000000"/>
          <w:sz w:val="20"/>
          <w:szCs w:val="20"/>
        </w:rPr>
        <w:t>All participants were volunteers and provided oral informed consent for participation. Anonymity and confidentiality were managed according to the requirements of the ISO 15189:2012 standard, applicable to medical diagnostic analysis laboratories. All investigators disclosed any financial, personal, or professional relationships that could influence the work, including funding sources, affiliations, or consultancy roles.</w:t>
      </w:r>
    </w:p>
    <w:p w14:paraId="3CDBB160" w14:textId="77777777" w:rsidR="0083048A" w:rsidRDefault="0083048A" w:rsidP="0083048A">
      <w:pPr>
        <w:jc w:val="both"/>
        <w:rPr>
          <w:rFonts w:ascii="Calibri" w:hAnsi="Calibri" w:cs="Calibri"/>
          <w:color w:val="000000"/>
        </w:rPr>
      </w:pPr>
    </w:p>
    <w:p w14:paraId="53309254" w14:textId="77777777" w:rsidR="0083048A" w:rsidRPr="0083048A" w:rsidRDefault="0083048A" w:rsidP="0083048A">
      <w:pPr>
        <w:jc w:val="both"/>
        <w:rPr>
          <w:rFonts w:ascii="Arial" w:hAnsi="Arial" w:cs="Arial"/>
          <w:b/>
          <w:color w:val="000000"/>
          <w:sz w:val="22"/>
          <w:szCs w:val="22"/>
        </w:rPr>
      </w:pPr>
      <w:r w:rsidRPr="0083048A">
        <w:rPr>
          <w:rFonts w:ascii="Arial" w:hAnsi="Arial" w:cs="Arial"/>
          <w:b/>
          <w:color w:val="000000"/>
          <w:sz w:val="22"/>
          <w:szCs w:val="22"/>
        </w:rPr>
        <w:t xml:space="preserve">ETHICAL CONSIDERATIONS </w:t>
      </w:r>
    </w:p>
    <w:p w14:paraId="096A9449" w14:textId="77777777" w:rsidR="0083048A" w:rsidRPr="00E202AB" w:rsidRDefault="0083048A" w:rsidP="0083048A">
      <w:pPr>
        <w:jc w:val="both"/>
        <w:rPr>
          <w:rFonts w:ascii="Calibri" w:hAnsi="Calibri" w:cs="Calibri"/>
          <w:color w:val="000000"/>
        </w:rPr>
      </w:pPr>
    </w:p>
    <w:p w14:paraId="58C759FC" w14:textId="4C8C1236" w:rsidR="0083048A" w:rsidRPr="003964BA" w:rsidRDefault="0083048A" w:rsidP="003964BA">
      <w:pPr>
        <w:spacing w:line="480" w:lineRule="auto"/>
        <w:jc w:val="both"/>
        <w:rPr>
          <w:rFonts w:ascii="Arial" w:hAnsi="Arial" w:cs="Arial"/>
          <w:color w:val="000000"/>
          <w:sz w:val="20"/>
          <w:szCs w:val="20"/>
        </w:rPr>
      </w:pPr>
      <w:r w:rsidRPr="003964BA">
        <w:rPr>
          <w:rFonts w:ascii="Arial" w:hAnsi="Arial" w:cs="Arial"/>
          <w:color w:val="000000"/>
          <w:sz w:val="20"/>
          <w:szCs w:val="20"/>
        </w:rPr>
        <w:t xml:space="preserve">This study was approved by the Institutional Review Board of </w:t>
      </w:r>
      <w:proofErr w:type="spellStart"/>
      <w:r w:rsidRPr="003964BA">
        <w:rPr>
          <w:rFonts w:ascii="Arial" w:hAnsi="Arial" w:cs="Arial"/>
          <w:color w:val="000000"/>
          <w:sz w:val="20"/>
          <w:szCs w:val="20"/>
        </w:rPr>
        <w:t>CeDReS</w:t>
      </w:r>
      <w:proofErr w:type="spellEnd"/>
      <w:r w:rsidRPr="003964BA">
        <w:rPr>
          <w:rFonts w:ascii="Arial" w:hAnsi="Arial" w:cs="Arial"/>
          <w:color w:val="000000"/>
          <w:sz w:val="20"/>
          <w:szCs w:val="20"/>
        </w:rPr>
        <w:t>. All authors hereby declare that all experiments have been examined and approved by the appropriate ethics committee and have therefore been performed in accordance with the ethical standards laid down in the 1964 Declaration of Helsinki.</w:t>
      </w:r>
    </w:p>
    <w:p w14:paraId="14644F46" w14:textId="56637423" w:rsidR="00942491" w:rsidRDefault="003964BA" w:rsidP="004E4442">
      <w:pPr>
        <w:pStyle w:val="Heading1"/>
        <w:jc w:val="both"/>
        <w:rPr>
          <w:sz w:val="22"/>
          <w:szCs w:val="22"/>
        </w:rPr>
      </w:pPr>
      <w:bookmarkStart w:id="7" w:name="_Toc256000023"/>
      <w:r w:rsidRPr="003964BA">
        <w:rPr>
          <w:sz w:val="22"/>
          <w:szCs w:val="22"/>
        </w:rPr>
        <w:t>REFERENCES</w:t>
      </w:r>
      <w:bookmarkEnd w:id="7"/>
    </w:p>
    <w:p w14:paraId="406B38CF" w14:textId="77777777" w:rsidR="00AA2333" w:rsidRPr="0096144E" w:rsidRDefault="00AA2333" w:rsidP="00AA2333">
      <w:pPr>
        <w:rPr>
          <w:rFonts w:ascii="Arial" w:hAnsi="Arial" w:cs="Arial"/>
          <w:sz w:val="20"/>
          <w:szCs w:val="20"/>
        </w:rPr>
      </w:pPr>
    </w:p>
    <w:p w14:paraId="6741DD29" w14:textId="0670A9DC" w:rsidR="00942491" w:rsidRPr="0096144E" w:rsidRDefault="00BB42FD" w:rsidP="004E4442">
      <w:pPr>
        <w:jc w:val="both"/>
        <w:rPr>
          <w:rFonts w:ascii="Arial" w:hAnsi="Arial" w:cs="Arial"/>
          <w:sz w:val="20"/>
          <w:szCs w:val="20"/>
        </w:rPr>
      </w:pPr>
      <w:bookmarkStart w:id="8" w:name="a222af50fbe9331580eb23cb35714996_ref"/>
      <w:proofErr w:type="spellStart"/>
      <w:r w:rsidRPr="0096144E">
        <w:rPr>
          <w:rFonts w:ascii="Arial" w:hAnsi="Arial" w:cs="Arial"/>
          <w:sz w:val="20"/>
          <w:szCs w:val="20"/>
        </w:rPr>
        <w:t>Aldossari</w:t>
      </w:r>
      <w:proofErr w:type="spellEnd"/>
      <w:r w:rsidRPr="0096144E">
        <w:rPr>
          <w:rFonts w:ascii="Arial" w:hAnsi="Arial" w:cs="Arial"/>
          <w:sz w:val="20"/>
          <w:szCs w:val="20"/>
        </w:rPr>
        <w:t xml:space="preserve">, M., </w:t>
      </w:r>
      <w:proofErr w:type="spellStart"/>
      <w:r w:rsidRPr="0096144E">
        <w:rPr>
          <w:rFonts w:ascii="Arial" w:hAnsi="Arial" w:cs="Arial"/>
          <w:sz w:val="20"/>
          <w:szCs w:val="20"/>
        </w:rPr>
        <w:t>Aljoudi</w:t>
      </w:r>
      <w:proofErr w:type="spellEnd"/>
      <w:r w:rsidRPr="0096144E">
        <w:rPr>
          <w:rFonts w:ascii="Arial" w:hAnsi="Arial" w:cs="Arial"/>
          <w:sz w:val="20"/>
          <w:szCs w:val="20"/>
        </w:rPr>
        <w:t xml:space="preserve">, A., &amp; Celentano, D. (2019). Health issues in the Hajj pilgrimage: a literature review. </w:t>
      </w:r>
      <w:r w:rsidRPr="0096144E">
        <w:rPr>
          <w:rFonts w:ascii="Arial" w:hAnsi="Arial" w:cs="Arial"/>
          <w:i/>
          <w:iCs/>
          <w:sz w:val="20"/>
          <w:szCs w:val="20"/>
        </w:rPr>
        <w:t>Eastern Mediterranean Health Journal</w:t>
      </w:r>
      <w:r w:rsidRPr="0096144E">
        <w:rPr>
          <w:rFonts w:ascii="Arial" w:hAnsi="Arial" w:cs="Arial"/>
          <w:sz w:val="20"/>
          <w:szCs w:val="20"/>
        </w:rPr>
        <w:t xml:space="preserve">, </w:t>
      </w:r>
      <w:r w:rsidRPr="0096144E">
        <w:rPr>
          <w:rFonts w:ascii="Arial" w:hAnsi="Arial" w:cs="Arial"/>
          <w:i/>
          <w:iCs/>
          <w:sz w:val="20"/>
          <w:szCs w:val="20"/>
        </w:rPr>
        <w:t>25</w:t>
      </w:r>
      <w:r w:rsidRPr="0096144E">
        <w:rPr>
          <w:rFonts w:ascii="Arial" w:hAnsi="Arial" w:cs="Arial"/>
          <w:sz w:val="20"/>
          <w:szCs w:val="20"/>
        </w:rPr>
        <w:t xml:space="preserve">(10), 744–753. </w:t>
      </w:r>
      <w:hyperlink r:id="rId8" w:history="1">
        <w:r w:rsidR="003964BA" w:rsidRPr="0096144E">
          <w:rPr>
            <w:rStyle w:val="Hyperlink"/>
            <w:rFonts w:ascii="Arial" w:hAnsi="Arial" w:cs="Arial"/>
            <w:sz w:val="20"/>
            <w:szCs w:val="20"/>
          </w:rPr>
          <w:t>https://doi.org/10.26719/2019.25.10.744</w:t>
        </w:r>
      </w:hyperlink>
      <w:r w:rsidR="003964BA" w:rsidRPr="0096144E">
        <w:rPr>
          <w:rFonts w:ascii="Arial" w:hAnsi="Arial" w:cs="Arial"/>
          <w:sz w:val="20"/>
          <w:szCs w:val="20"/>
        </w:rPr>
        <w:t xml:space="preserve"> </w:t>
      </w:r>
    </w:p>
    <w:bookmarkEnd w:id="8"/>
    <w:p w14:paraId="64CE5897" w14:textId="77777777" w:rsidR="00942491" w:rsidRPr="0096144E" w:rsidRDefault="00942491" w:rsidP="004E4442">
      <w:pPr>
        <w:jc w:val="both"/>
        <w:rPr>
          <w:rFonts w:ascii="Arial" w:hAnsi="Arial" w:cs="Arial"/>
          <w:sz w:val="20"/>
          <w:szCs w:val="20"/>
        </w:rPr>
      </w:pPr>
    </w:p>
    <w:p w14:paraId="5B298BDE" w14:textId="1E220E00" w:rsidR="00942491" w:rsidRPr="0096144E" w:rsidRDefault="00BB42FD" w:rsidP="004E4442">
      <w:pPr>
        <w:jc w:val="both"/>
        <w:rPr>
          <w:rFonts w:ascii="Arial" w:hAnsi="Arial" w:cs="Arial"/>
          <w:sz w:val="20"/>
          <w:szCs w:val="20"/>
        </w:rPr>
      </w:pPr>
      <w:bookmarkStart w:id="9" w:name="e5a8275620203dbb9b8900f302cc6250_ref"/>
      <w:r w:rsidRPr="0096144E">
        <w:rPr>
          <w:rFonts w:ascii="Arial" w:hAnsi="Arial" w:cs="Arial"/>
          <w:sz w:val="20"/>
          <w:szCs w:val="20"/>
        </w:rPr>
        <w:t xml:space="preserve">Fu, Y., Chen, W.-D., Zhang, K., Li, W., Zhou, Y., </w:t>
      </w:r>
      <w:r w:rsidR="003964BA" w:rsidRPr="0096144E">
        <w:rPr>
          <w:rFonts w:ascii="Arial" w:hAnsi="Arial" w:cs="Arial"/>
          <w:sz w:val="20"/>
          <w:szCs w:val="20"/>
        </w:rPr>
        <w:t xml:space="preserve">et al. </w:t>
      </w:r>
      <w:r w:rsidRPr="0096144E">
        <w:rPr>
          <w:rFonts w:ascii="Arial" w:hAnsi="Arial" w:cs="Arial"/>
          <w:sz w:val="20"/>
          <w:szCs w:val="20"/>
        </w:rPr>
        <w:t xml:space="preserve">(2022). Diagnostic and therapeutic strategies for non-alcoholic fatty liver disease. </w:t>
      </w:r>
      <w:r w:rsidRPr="0096144E">
        <w:rPr>
          <w:rFonts w:ascii="Arial" w:hAnsi="Arial" w:cs="Arial"/>
          <w:i/>
          <w:iCs/>
          <w:sz w:val="20"/>
          <w:szCs w:val="20"/>
        </w:rPr>
        <w:t>Frontiers in Pharmacology</w:t>
      </w:r>
      <w:r w:rsidRPr="0096144E">
        <w:rPr>
          <w:rFonts w:ascii="Arial" w:hAnsi="Arial" w:cs="Arial"/>
          <w:sz w:val="20"/>
          <w:szCs w:val="20"/>
        </w:rPr>
        <w:t xml:space="preserve">, </w:t>
      </w:r>
      <w:r w:rsidRPr="0096144E">
        <w:rPr>
          <w:rFonts w:ascii="Arial" w:hAnsi="Arial" w:cs="Arial"/>
          <w:i/>
          <w:iCs/>
          <w:sz w:val="20"/>
          <w:szCs w:val="20"/>
        </w:rPr>
        <w:t>13</w:t>
      </w:r>
      <w:r w:rsidRPr="0096144E">
        <w:rPr>
          <w:rFonts w:ascii="Arial" w:hAnsi="Arial" w:cs="Arial"/>
          <w:sz w:val="20"/>
          <w:szCs w:val="20"/>
        </w:rPr>
        <w:t xml:space="preserve">. </w:t>
      </w:r>
      <w:hyperlink r:id="rId9" w:history="1">
        <w:r w:rsidR="003964BA" w:rsidRPr="0096144E">
          <w:rPr>
            <w:rStyle w:val="Hyperlink"/>
            <w:rFonts w:ascii="Arial" w:hAnsi="Arial" w:cs="Arial"/>
            <w:sz w:val="20"/>
            <w:szCs w:val="20"/>
          </w:rPr>
          <w:t>https://doi.org/10.3389/fphar.2022.973366</w:t>
        </w:r>
      </w:hyperlink>
      <w:r w:rsidR="003964BA" w:rsidRPr="0096144E">
        <w:rPr>
          <w:rFonts w:ascii="Arial" w:hAnsi="Arial" w:cs="Arial"/>
          <w:sz w:val="20"/>
          <w:szCs w:val="20"/>
        </w:rPr>
        <w:t xml:space="preserve"> </w:t>
      </w:r>
    </w:p>
    <w:bookmarkEnd w:id="9"/>
    <w:p w14:paraId="63E7BCE1" w14:textId="77777777" w:rsidR="00942491" w:rsidRPr="0096144E" w:rsidRDefault="00942491" w:rsidP="004E4442">
      <w:pPr>
        <w:jc w:val="both"/>
        <w:rPr>
          <w:rFonts w:ascii="Arial" w:hAnsi="Arial" w:cs="Arial"/>
          <w:sz w:val="20"/>
          <w:szCs w:val="20"/>
        </w:rPr>
      </w:pPr>
    </w:p>
    <w:p w14:paraId="4C45FFE5" w14:textId="07850AC0" w:rsidR="00942491" w:rsidRPr="0096144E" w:rsidRDefault="00BB42FD" w:rsidP="004E4442">
      <w:pPr>
        <w:jc w:val="both"/>
        <w:rPr>
          <w:rFonts w:ascii="Arial" w:hAnsi="Arial" w:cs="Arial"/>
          <w:sz w:val="20"/>
          <w:szCs w:val="20"/>
        </w:rPr>
      </w:pPr>
      <w:bookmarkStart w:id="10" w:name="91f305a8dfde3ea5bd4daabd800fe7e8_ref"/>
      <w:proofErr w:type="spellStart"/>
      <w:r w:rsidRPr="0096144E">
        <w:rPr>
          <w:rFonts w:ascii="Arial" w:hAnsi="Arial" w:cs="Arial"/>
          <w:sz w:val="20"/>
          <w:szCs w:val="20"/>
        </w:rPr>
        <w:t>Gautret</w:t>
      </w:r>
      <w:proofErr w:type="spellEnd"/>
      <w:r w:rsidRPr="0096144E">
        <w:rPr>
          <w:rFonts w:ascii="Arial" w:hAnsi="Arial" w:cs="Arial"/>
          <w:sz w:val="20"/>
          <w:szCs w:val="20"/>
        </w:rPr>
        <w:t xml:space="preserve">, P., </w:t>
      </w:r>
      <w:proofErr w:type="spellStart"/>
      <w:r w:rsidRPr="0096144E">
        <w:rPr>
          <w:rFonts w:ascii="Arial" w:hAnsi="Arial" w:cs="Arial"/>
          <w:sz w:val="20"/>
          <w:szCs w:val="20"/>
        </w:rPr>
        <w:t>Soula</w:t>
      </w:r>
      <w:proofErr w:type="spellEnd"/>
      <w:r w:rsidRPr="0096144E">
        <w:rPr>
          <w:rFonts w:ascii="Arial" w:hAnsi="Arial" w:cs="Arial"/>
          <w:sz w:val="20"/>
          <w:szCs w:val="20"/>
        </w:rPr>
        <w:t xml:space="preserve">, G., Delmont, J., </w:t>
      </w:r>
      <w:proofErr w:type="spellStart"/>
      <w:r w:rsidRPr="0096144E">
        <w:rPr>
          <w:rFonts w:ascii="Arial" w:hAnsi="Arial" w:cs="Arial"/>
          <w:sz w:val="20"/>
          <w:szCs w:val="20"/>
        </w:rPr>
        <w:t>Parola</w:t>
      </w:r>
      <w:proofErr w:type="spellEnd"/>
      <w:r w:rsidRPr="0096144E">
        <w:rPr>
          <w:rFonts w:ascii="Arial" w:hAnsi="Arial" w:cs="Arial"/>
          <w:sz w:val="20"/>
          <w:szCs w:val="20"/>
        </w:rPr>
        <w:t xml:space="preserve">, P., &amp; </w:t>
      </w:r>
      <w:proofErr w:type="spellStart"/>
      <w:r w:rsidRPr="0096144E">
        <w:rPr>
          <w:rFonts w:ascii="Arial" w:hAnsi="Arial" w:cs="Arial"/>
          <w:sz w:val="20"/>
          <w:szCs w:val="20"/>
        </w:rPr>
        <w:t>Brouqui</w:t>
      </w:r>
      <w:proofErr w:type="spellEnd"/>
      <w:r w:rsidRPr="0096144E">
        <w:rPr>
          <w:rFonts w:ascii="Arial" w:hAnsi="Arial" w:cs="Arial"/>
          <w:sz w:val="20"/>
          <w:szCs w:val="20"/>
        </w:rPr>
        <w:t xml:space="preserve">, P. (2009). Common Health Hazards in French Pilgrims During the Hajj of 2007: A Prospective Cohort Study. </w:t>
      </w:r>
      <w:r w:rsidRPr="0096144E">
        <w:rPr>
          <w:rFonts w:ascii="Arial" w:hAnsi="Arial" w:cs="Arial"/>
          <w:i/>
          <w:iCs/>
          <w:sz w:val="20"/>
          <w:szCs w:val="20"/>
        </w:rPr>
        <w:t>Journal of Travel Medicine</w:t>
      </w:r>
      <w:r w:rsidRPr="0096144E">
        <w:rPr>
          <w:rFonts w:ascii="Arial" w:hAnsi="Arial" w:cs="Arial"/>
          <w:sz w:val="20"/>
          <w:szCs w:val="20"/>
        </w:rPr>
        <w:t xml:space="preserve">, </w:t>
      </w:r>
      <w:r w:rsidRPr="0096144E">
        <w:rPr>
          <w:rFonts w:ascii="Arial" w:hAnsi="Arial" w:cs="Arial"/>
          <w:i/>
          <w:iCs/>
          <w:sz w:val="20"/>
          <w:szCs w:val="20"/>
        </w:rPr>
        <w:t>16</w:t>
      </w:r>
      <w:r w:rsidRPr="0096144E">
        <w:rPr>
          <w:rFonts w:ascii="Arial" w:hAnsi="Arial" w:cs="Arial"/>
          <w:sz w:val="20"/>
          <w:szCs w:val="20"/>
        </w:rPr>
        <w:t xml:space="preserve">(6), 377–381. </w:t>
      </w:r>
      <w:hyperlink r:id="rId10" w:history="1">
        <w:r w:rsidR="003964BA" w:rsidRPr="0096144E">
          <w:rPr>
            <w:rStyle w:val="Hyperlink"/>
            <w:rFonts w:ascii="Arial" w:hAnsi="Arial" w:cs="Arial"/>
            <w:sz w:val="20"/>
            <w:szCs w:val="20"/>
          </w:rPr>
          <w:t>https://doi.org/10.1111/j.1708-8305.2009.00358.x</w:t>
        </w:r>
      </w:hyperlink>
      <w:r w:rsidR="003964BA" w:rsidRPr="0096144E">
        <w:rPr>
          <w:rFonts w:ascii="Arial" w:hAnsi="Arial" w:cs="Arial"/>
          <w:sz w:val="20"/>
          <w:szCs w:val="20"/>
        </w:rPr>
        <w:t xml:space="preserve"> </w:t>
      </w:r>
    </w:p>
    <w:bookmarkEnd w:id="10"/>
    <w:p w14:paraId="3476CD35" w14:textId="77777777" w:rsidR="00942491" w:rsidRPr="0096144E" w:rsidRDefault="00942491" w:rsidP="004E4442">
      <w:pPr>
        <w:jc w:val="both"/>
        <w:rPr>
          <w:rFonts w:ascii="Arial" w:hAnsi="Arial" w:cs="Arial"/>
          <w:sz w:val="20"/>
          <w:szCs w:val="20"/>
        </w:rPr>
      </w:pPr>
    </w:p>
    <w:p w14:paraId="4CAB3C00" w14:textId="610EF3AB" w:rsidR="00942491" w:rsidRPr="0096144E" w:rsidRDefault="00BB42FD" w:rsidP="004E4442">
      <w:pPr>
        <w:jc w:val="both"/>
        <w:rPr>
          <w:rFonts w:ascii="Arial" w:hAnsi="Arial" w:cs="Arial"/>
          <w:sz w:val="20"/>
          <w:szCs w:val="20"/>
        </w:rPr>
      </w:pPr>
      <w:bookmarkStart w:id="11" w:name="bbe3947868053e49b94fbac8ac10d9d4_ref"/>
      <w:r w:rsidRPr="0096144E">
        <w:rPr>
          <w:rFonts w:ascii="Arial" w:hAnsi="Arial" w:cs="Arial"/>
          <w:sz w:val="20"/>
          <w:szCs w:val="20"/>
        </w:rPr>
        <w:t xml:space="preserve">Halter, J. B., </w:t>
      </w:r>
      <w:proofErr w:type="spellStart"/>
      <w:r w:rsidRPr="0096144E">
        <w:rPr>
          <w:rFonts w:ascii="Arial" w:hAnsi="Arial" w:cs="Arial"/>
          <w:sz w:val="20"/>
          <w:szCs w:val="20"/>
        </w:rPr>
        <w:t>Plutzky</w:t>
      </w:r>
      <w:proofErr w:type="spellEnd"/>
      <w:r w:rsidRPr="0096144E">
        <w:rPr>
          <w:rFonts w:ascii="Arial" w:hAnsi="Arial" w:cs="Arial"/>
          <w:sz w:val="20"/>
          <w:szCs w:val="20"/>
        </w:rPr>
        <w:t xml:space="preserve">, J., Goldberg, A., Hazzard, W. R., </w:t>
      </w:r>
      <w:proofErr w:type="spellStart"/>
      <w:r w:rsidRPr="0096144E">
        <w:rPr>
          <w:rFonts w:ascii="Arial" w:hAnsi="Arial" w:cs="Arial"/>
          <w:sz w:val="20"/>
          <w:szCs w:val="20"/>
        </w:rPr>
        <w:t>Mcfarland</w:t>
      </w:r>
      <w:proofErr w:type="spellEnd"/>
      <w:r w:rsidRPr="0096144E">
        <w:rPr>
          <w:rFonts w:ascii="Arial" w:hAnsi="Arial" w:cs="Arial"/>
          <w:sz w:val="20"/>
          <w:szCs w:val="20"/>
        </w:rPr>
        <w:t xml:space="preserve"> Horne,</w:t>
      </w:r>
      <w:r w:rsidR="003964BA" w:rsidRPr="0096144E">
        <w:rPr>
          <w:rFonts w:ascii="Arial" w:hAnsi="Arial" w:cs="Arial"/>
          <w:sz w:val="20"/>
          <w:szCs w:val="20"/>
        </w:rPr>
        <w:t xml:space="preserve"> et al. </w:t>
      </w:r>
      <w:r w:rsidRPr="0096144E">
        <w:rPr>
          <w:rFonts w:ascii="Arial" w:hAnsi="Arial" w:cs="Arial"/>
          <w:sz w:val="20"/>
          <w:szCs w:val="20"/>
        </w:rPr>
        <w:t xml:space="preserve">(2014). Diabetes and cardiovascular disease in older adults: current status and future directions. </w:t>
      </w:r>
      <w:r w:rsidRPr="0096144E">
        <w:rPr>
          <w:rFonts w:ascii="Arial" w:hAnsi="Arial" w:cs="Arial"/>
          <w:i/>
          <w:iCs/>
          <w:sz w:val="20"/>
          <w:szCs w:val="20"/>
        </w:rPr>
        <w:t>Diabetes</w:t>
      </w:r>
      <w:r w:rsidRPr="0096144E">
        <w:rPr>
          <w:rFonts w:ascii="Arial" w:hAnsi="Arial" w:cs="Arial"/>
          <w:sz w:val="20"/>
          <w:szCs w:val="20"/>
        </w:rPr>
        <w:t xml:space="preserve">, </w:t>
      </w:r>
      <w:r w:rsidRPr="0096144E">
        <w:rPr>
          <w:rFonts w:ascii="Arial" w:hAnsi="Arial" w:cs="Arial"/>
          <w:i/>
          <w:iCs/>
          <w:sz w:val="20"/>
          <w:szCs w:val="20"/>
        </w:rPr>
        <w:t>63</w:t>
      </w:r>
      <w:r w:rsidRPr="0096144E">
        <w:rPr>
          <w:rFonts w:ascii="Arial" w:hAnsi="Arial" w:cs="Arial"/>
          <w:sz w:val="20"/>
          <w:szCs w:val="20"/>
        </w:rPr>
        <w:t xml:space="preserve">(8), 2578–2589. </w:t>
      </w:r>
      <w:hyperlink r:id="rId11" w:history="1">
        <w:r w:rsidR="003964BA" w:rsidRPr="0096144E">
          <w:rPr>
            <w:rStyle w:val="Hyperlink"/>
            <w:rFonts w:ascii="Arial" w:hAnsi="Arial" w:cs="Arial"/>
            <w:sz w:val="20"/>
            <w:szCs w:val="20"/>
          </w:rPr>
          <w:t>https://doi.org/10.2337/db14-0020</w:t>
        </w:r>
      </w:hyperlink>
      <w:r w:rsidR="003964BA" w:rsidRPr="0096144E">
        <w:rPr>
          <w:rFonts w:ascii="Arial" w:hAnsi="Arial" w:cs="Arial"/>
          <w:sz w:val="20"/>
          <w:szCs w:val="20"/>
        </w:rPr>
        <w:t xml:space="preserve"> </w:t>
      </w:r>
    </w:p>
    <w:bookmarkEnd w:id="11"/>
    <w:p w14:paraId="6029AC5B" w14:textId="77777777" w:rsidR="00942491" w:rsidRPr="0096144E" w:rsidRDefault="00942491" w:rsidP="004E4442">
      <w:pPr>
        <w:jc w:val="both"/>
        <w:rPr>
          <w:rFonts w:ascii="Arial" w:hAnsi="Arial" w:cs="Arial"/>
          <w:sz w:val="20"/>
          <w:szCs w:val="20"/>
        </w:rPr>
      </w:pPr>
    </w:p>
    <w:p w14:paraId="39C60F87" w14:textId="4B158D31" w:rsidR="00942491" w:rsidRPr="0096144E" w:rsidRDefault="00BB42FD" w:rsidP="004E4442">
      <w:pPr>
        <w:jc w:val="both"/>
        <w:rPr>
          <w:rFonts w:ascii="Arial" w:hAnsi="Arial" w:cs="Arial"/>
          <w:sz w:val="20"/>
          <w:szCs w:val="20"/>
        </w:rPr>
      </w:pPr>
      <w:bookmarkStart w:id="12" w:name="d163e41eada4350eacad52a623e7653e_ref"/>
      <w:r w:rsidRPr="0096144E">
        <w:rPr>
          <w:rFonts w:ascii="Arial" w:hAnsi="Arial" w:cs="Arial"/>
          <w:sz w:val="20"/>
          <w:szCs w:val="20"/>
        </w:rPr>
        <w:lastRenderedPageBreak/>
        <w:t xml:space="preserve">Haseeb, A., </w:t>
      </w:r>
      <w:proofErr w:type="spellStart"/>
      <w:r w:rsidRPr="0096144E">
        <w:rPr>
          <w:rFonts w:ascii="Arial" w:hAnsi="Arial" w:cs="Arial"/>
          <w:sz w:val="20"/>
          <w:szCs w:val="20"/>
        </w:rPr>
        <w:t>Faidah</w:t>
      </w:r>
      <w:proofErr w:type="spellEnd"/>
      <w:r w:rsidRPr="0096144E">
        <w:rPr>
          <w:rFonts w:ascii="Arial" w:hAnsi="Arial" w:cs="Arial"/>
          <w:sz w:val="20"/>
          <w:szCs w:val="20"/>
        </w:rPr>
        <w:t xml:space="preserve">, H. S., Iqbal, M. S., Alghamdi, S., Radwan, R. M., </w:t>
      </w:r>
      <w:proofErr w:type="spellStart"/>
      <w:r w:rsidRPr="0096144E">
        <w:rPr>
          <w:rFonts w:ascii="Arial" w:hAnsi="Arial" w:cs="Arial"/>
          <w:sz w:val="20"/>
          <w:szCs w:val="20"/>
        </w:rPr>
        <w:t>Khayyat</w:t>
      </w:r>
      <w:proofErr w:type="spellEnd"/>
      <w:r w:rsidRPr="0096144E">
        <w:rPr>
          <w:rFonts w:ascii="Arial" w:hAnsi="Arial" w:cs="Arial"/>
          <w:sz w:val="20"/>
          <w:szCs w:val="20"/>
        </w:rPr>
        <w:t xml:space="preserve">, S. M., </w:t>
      </w:r>
      <w:r w:rsidR="003964BA" w:rsidRPr="0096144E">
        <w:rPr>
          <w:rFonts w:ascii="Arial" w:hAnsi="Arial" w:cs="Arial"/>
          <w:sz w:val="20"/>
          <w:szCs w:val="20"/>
        </w:rPr>
        <w:t xml:space="preserve">et al. </w:t>
      </w:r>
      <w:r w:rsidRPr="0096144E">
        <w:rPr>
          <w:rFonts w:ascii="Arial" w:hAnsi="Arial" w:cs="Arial"/>
          <w:sz w:val="20"/>
          <w:szCs w:val="20"/>
        </w:rPr>
        <w:t xml:space="preserve">(2023). Threat of Antimicrobial Resistance among Pilgrims with Infectious Diseases during Hajj: Lessons Learnt from COVID-19 Pandemic. </w:t>
      </w:r>
      <w:r w:rsidRPr="0096144E">
        <w:rPr>
          <w:rFonts w:ascii="Arial" w:hAnsi="Arial" w:cs="Arial"/>
          <w:i/>
          <w:iCs/>
          <w:sz w:val="20"/>
          <w:szCs w:val="20"/>
        </w:rPr>
        <w:t>Antibiotics</w:t>
      </w:r>
      <w:r w:rsidRPr="0096144E">
        <w:rPr>
          <w:rFonts w:ascii="Arial" w:hAnsi="Arial" w:cs="Arial"/>
          <w:sz w:val="20"/>
          <w:szCs w:val="20"/>
        </w:rPr>
        <w:t xml:space="preserve">, </w:t>
      </w:r>
      <w:r w:rsidRPr="0096144E">
        <w:rPr>
          <w:rFonts w:ascii="Arial" w:hAnsi="Arial" w:cs="Arial"/>
          <w:i/>
          <w:iCs/>
          <w:sz w:val="20"/>
          <w:szCs w:val="20"/>
        </w:rPr>
        <w:t>12</w:t>
      </w:r>
      <w:r w:rsidRPr="0096144E">
        <w:rPr>
          <w:rFonts w:ascii="Arial" w:hAnsi="Arial" w:cs="Arial"/>
          <w:sz w:val="20"/>
          <w:szCs w:val="20"/>
        </w:rPr>
        <w:t xml:space="preserve">(8), 1299. </w:t>
      </w:r>
      <w:hyperlink r:id="rId12" w:history="1">
        <w:r w:rsidR="003964BA" w:rsidRPr="0096144E">
          <w:rPr>
            <w:rStyle w:val="Hyperlink"/>
            <w:rFonts w:ascii="Arial" w:hAnsi="Arial" w:cs="Arial"/>
            <w:sz w:val="20"/>
            <w:szCs w:val="20"/>
          </w:rPr>
          <w:t>https://doi.org/10.3390/antibiotics12081299</w:t>
        </w:r>
      </w:hyperlink>
      <w:r w:rsidR="003964BA" w:rsidRPr="0096144E">
        <w:rPr>
          <w:rFonts w:ascii="Arial" w:hAnsi="Arial" w:cs="Arial"/>
          <w:sz w:val="20"/>
          <w:szCs w:val="20"/>
        </w:rPr>
        <w:t xml:space="preserve"> </w:t>
      </w:r>
    </w:p>
    <w:bookmarkEnd w:id="12"/>
    <w:p w14:paraId="7E4E7A2B" w14:textId="77777777" w:rsidR="00942491" w:rsidRPr="0096144E" w:rsidRDefault="00942491" w:rsidP="004E4442">
      <w:pPr>
        <w:jc w:val="both"/>
        <w:rPr>
          <w:rFonts w:ascii="Arial" w:hAnsi="Arial" w:cs="Arial"/>
          <w:sz w:val="20"/>
          <w:szCs w:val="20"/>
        </w:rPr>
      </w:pPr>
    </w:p>
    <w:p w14:paraId="23B1B271" w14:textId="219E4B5B" w:rsidR="00942491" w:rsidRPr="0096144E" w:rsidRDefault="00BB42FD" w:rsidP="004E4442">
      <w:pPr>
        <w:jc w:val="both"/>
        <w:rPr>
          <w:rFonts w:ascii="Arial" w:hAnsi="Arial" w:cs="Arial"/>
          <w:sz w:val="20"/>
          <w:szCs w:val="20"/>
        </w:rPr>
      </w:pPr>
      <w:bookmarkStart w:id="13" w:name="8c21ca65fb943da2bfa7159d0ef08a75_ref"/>
      <w:proofErr w:type="spellStart"/>
      <w:r w:rsidRPr="0096144E">
        <w:rPr>
          <w:rFonts w:ascii="Arial" w:hAnsi="Arial" w:cs="Arial"/>
          <w:sz w:val="20"/>
          <w:szCs w:val="20"/>
        </w:rPr>
        <w:t>Hasumi</w:t>
      </w:r>
      <w:proofErr w:type="spellEnd"/>
      <w:r w:rsidRPr="0096144E">
        <w:rPr>
          <w:rFonts w:ascii="Arial" w:hAnsi="Arial" w:cs="Arial"/>
          <w:sz w:val="20"/>
          <w:szCs w:val="20"/>
        </w:rPr>
        <w:t xml:space="preserve">, T., &amp; Jacobsen, K. H. (2012). Hypertension in South African adults. </w:t>
      </w:r>
      <w:r w:rsidRPr="0096144E">
        <w:rPr>
          <w:rFonts w:ascii="Arial" w:hAnsi="Arial" w:cs="Arial"/>
          <w:i/>
          <w:iCs/>
          <w:sz w:val="20"/>
          <w:szCs w:val="20"/>
        </w:rPr>
        <w:t>Journal of Hypertension</w:t>
      </w:r>
      <w:r w:rsidRPr="0096144E">
        <w:rPr>
          <w:rFonts w:ascii="Arial" w:hAnsi="Arial" w:cs="Arial"/>
          <w:sz w:val="20"/>
          <w:szCs w:val="20"/>
        </w:rPr>
        <w:t xml:space="preserve">, </w:t>
      </w:r>
      <w:r w:rsidRPr="0096144E">
        <w:rPr>
          <w:rFonts w:ascii="Arial" w:hAnsi="Arial" w:cs="Arial"/>
          <w:i/>
          <w:iCs/>
          <w:sz w:val="20"/>
          <w:szCs w:val="20"/>
        </w:rPr>
        <w:t>30</w:t>
      </w:r>
      <w:r w:rsidRPr="0096144E">
        <w:rPr>
          <w:rFonts w:ascii="Arial" w:hAnsi="Arial" w:cs="Arial"/>
          <w:sz w:val="20"/>
          <w:szCs w:val="20"/>
        </w:rPr>
        <w:t xml:space="preserve">(11), 2098–2104. </w:t>
      </w:r>
      <w:hyperlink r:id="rId13" w:history="1">
        <w:r w:rsidR="003964BA" w:rsidRPr="0096144E">
          <w:rPr>
            <w:rStyle w:val="Hyperlink"/>
            <w:rFonts w:ascii="Arial" w:hAnsi="Arial" w:cs="Arial"/>
            <w:sz w:val="20"/>
            <w:szCs w:val="20"/>
          </w:rPr>
          <w:t>https://doi.org/10.1097/hjh.0b013e328357c018</w:t>
        </w:r>
      </w:hyperlink>
      <w:r w:rsidR="003964BA" w:rsidRPr="0096144E">
        <w:rPr>
          <w:rFonts w:ascii="Arial" w:hAnsi="Arial" w:cs="Arial"/>
          <w:sz w:val="20"/>
          <w:szCs w:val="20"/>
        </w:rPr>
        <w:t xml:space="preserve"> </w:t>
      </w:r>
    </w:p>
    <w:bookmarkEnd w:id="13"/>
    <w:p w14:paraId="73176566" w14:textId="77777777" w:rsidR="00942491" w:rsidRPr="0096144E" w:rsidRDefault="00942491" w:rsidP="004E4442">
      <w:pPr>
        <w:jc w:val="both"/>
        <w:rPr>
          <w:rFonts w:ascii="Arial" w:hAnsi="Arial" w:cs="Arial"/>
          <w:sz w:val="20"/>
          <w:szCs w:val="20"/>
        </w:rPr>
      </w:pPr>
    </w:p>
    <w:p w14:paraId="6399FDC7" w14:textId="031C9278" w:rsidR="00942491" w:rsidRPr="0096144E" w:rsidRDefault="00BB42FD" w:rsidP="004E4442">
      <w:pPr>
        <w:jc w:val="both"/>
        <w:rPr>
          <w:rFonts w:ascii="Arial" w:hAnsi="Arial" w:cs="Arial"/>
          <w:sz w:val="20"/>
          <w:szCs w:val="20"/>
        </w:rPr>
      </w:pPr>
      <w:bookmarkStart w:id="14" w:name="89787b76667d33e6a84e206194ae751b_ref"/>
      <w:proofErr w:type="spellStart"/>
      <w:r w:rsidRPr="0096144E">
        <w:rPr>
          <w:rFonts w:ascii="Arial" w:hAnsi="Arial" w:cs="Arial"/>
          <w:sz w:val="20"/>
          <w:szCs w:val="20"/>
        </w:rPr>
        <w:t>Leibenguth</w:t>
      </w:r>
      <w:proofErr w:type="spellEnd"/>
      <w:r w:rsidRPr="0096144E">
        <w:rPr>
          <w:rFonts w:ascii="Arial" w:hAnsi="Arial" w:cs="Arial"/>
          <w:sz w:val="20"/>
          <w:szCs w:val="20"/>
        </w:rPr>
        <w:t xml:space="preserve">, M. T., Coulibaly, J. T., </w:t>
      </w:r>
      <w:proofErr w:type="spellStart"/>
      <w:r w:rsidRPr="0096144E">
        <w:rPr>
          <w:rFonts w:ascii="Arial" w:hAnsi="Arial" w:cs="Arial"/>
          <w:sz w:val="20"/>
          <w:szCs w:val="20"/>
        </w:rPr>
        <w:t>Silué</w:t>
      </w:r>
      <w:proofErr w:type="spellEnd"/>
      <w:r w:rsidRPr="0096144E">
        <w:rPr>
          <w:rFonts w:ascii="Arial" w:hAnsi="Arial" w:cs="Arial"/>
          <w:sz w:val="20"/>
          <w:szCs w:val="20"/>
        </w:rPr>
        <w:t xml:space="preserve">, K. D., El </w:t>
      </w:r>
      <w:proofErr w:type="spellStart"/>
      <w:r w:rsidRPr="0096144E">
        <w:rPr>
          <w:rFonts w:ascii="Arial" w:hAnsi="Arial" w:cs="Arial"/>
          <w:sz w:val="20"/>
          <w:szCs w:val="20"/>
        </w:rPr>
        <w:t>Wahed</w:t>
      </w:r>
      <w:proofErr w:type="spellEnd"/>
      <w:r w:rsidRPr="0096144E">
        <w:rPr>
          <w:rFonts w:ascii="Arial" w:hAnsi="Arial" w:cs="Arial"/>
          <w:sz w:val="20"/>
          <w:szCs w:val="20"/>
        </w:rPr>
        <w:t>, A. A.,</w:t>
      </w:r>
      <w:r w:rsidR="003964BA" w:rsidRPr="0096144E">
        <w:rPr>
          <w:rFonts w:ascii="Arial" w:hAnsi="Arial" w:cs="Arial"/>
          <w:sz w:val="20"/>
          <w:szCs w:val="20"/>
        </w:rPr>
        <w:t xml:space="preserve"> </w:t>
      </w:r>
      <w:proofErr w:type="spellStart"/>
      <w:r w:rsidR="003964BA" w:rsidRPr="0096144E">
        <w:rPr>
          <w:rFonts w:ascii="Arial" w:hAnsi="Arial" w:cs="Arial"/>
          <w:sz w:val="20"/>
          <w:szCs w:val="20"/>
        </w:rPr>
        <w:t>Schneitler</w:t>
      </w:r>
      <w:proofErr w:type="spellEnd"/>
      <w:r w:rsidR="003964BA" w:rsidRPr="0096144E">
        <w:rPr>
          <w:rFonts w:ascii="Arial" w:hAnsi="Arial" w:cs="Arial"/>
          <w:sz w:val="20"/>
          <w:szCs w:val="20"/>
        </w:rPr>
        <w:t>, S., Becker, S. L., et al.</w:t>
      </w:r>
      <w:r w:rsidRPr="0096144E">
        <w:rPr>
          <w:rFonts w:ascii="Arial" w:hAnsi="Arial" w:cs="Arial"/>
          <w:sz w:val="20"/>
          <w:szCs w:val="20"/>
        </w:rPr>
        <w:t xml:space="preserve"> (2024). Rapid appraisal of liver diseases using transient elastography, abdominal ultrasound, and microbiology in Côte d’Ivoire: A single-center study. </w:t>
      </w:r>
      <w:proofErr w:type="spellStart"/>
      <w:r w:rsidRPr="0096144E">
        <w:rPr>
          <w:rFonts w:ascii="Arial" w:hAnsi="Arial" w:cs="Arial"/>
          <w:i/>
          <w:iCs/>
          <w:sz w:val="20"/>
          <w:szCs w:val="20"/>
        </w:rPr>
        <w:t>PLoS</w:t>
      </w:r>
      <w:proofErr w:type="spellEnd"/>
      <w:r w:rsidRPr="0096144E">
        <w:rPr>
          <w:rFonts w:ascii="Arial" w:hAnsi="Arial" w:cs="Arial"/>
          <w:i/>
          <w:iCs/>
          <w:sz w:val="20"/>
          <w:szCs w:val="20"/>
        </w:rPr>
        <w:t xml:space="preserve"> Neglected Tropical Diseases</w:t>
      </w:r>
      <w:r w:rsidRPr="0096144E">
        <w:rPr>
          <w:rFonts w:ascii="Arial" w:hAnsi="Arial" w:cs="Arial"/>
          <w:sz w:val="20"/>
          <w:szCs w:val="20"/>
        </w:rPr>
        <w:t xml:space="preserve">, </w:t>
      </w:r>
      <w:r w:rsidRPr="0096144E">
        <w:rPr>
          <w:rFonts w:ascii="Arial" w:hAnsi="Arial" w:cs="Arial"/>
          <w:i/>
          <w:iCs/>
          <w:sz w:val="20"/>
          <w:szCs w:val="20"/>
        </w:rPr>
        <w:t>18</w:t>
      </w:r>
      <w:r w:rsidRPr="0096144E">
        <w:rPr>
          <w:rFonts w:ascii="Arial" w:hAnsi="Arial" w:cs="Arial"/>
          <w:sz w:val="20"/>
          <w:szCs w:val="20"/>
        </w:rPr>
        <w:t xml:space="preserve">(6), e0012262. </w:t>
      </w:r>
      <w:hyperlink r:id="rId14" w:history="1">
        <w:r w:rsidR="003964BA" w:rsidRPr="0096144E">
          <w:rPr>
            <w:rStyle w:val="Hyperlink"/>
            <w:rFonts w:ascii="Arial" w:hAnsi="Arial" w:cs="Arial"/>
            <w:sz w:val="20"/>
            <w:szCs w:val="20"/>
          </w:rPr>
          <w:t>https://doi.org/10.1371/journal.pntd.0012262</w:t>
        </w:r>
      </w:hyperlink>
      <w:r w:rsidR="003964BA" w:rsidRPr="0096144E">
        <w:rPr>
          <w:rFonts w:ascii="Arial" w:hAnsi="Arial" w:cs="Arial"/>
          <w:sz w:val="20"/>
          <w:szCs w:val="20"/>
        </w:rPr>
        <w:t xml:space="preserve"> </w:t>
      </w:r>
    </w:p>
    <w:bookmarkEnd w:id="14"/>
    <w:p w14:paraId="25A9A1B9" w14:textId="77777777" w:rsidR="00942491" w:rsidRPr="0096144E" w:rsidRDefault="00942491" w:rsidP="004E4442">
      <w:pPr>
        <w:jc w:val="both"/>
        <w:rPr>
          <w:rFonts w:ascii="Arial" w:hAnsi="Arial" w:cs="Arial"/>
          <w:sz w:val="20"/>
          <w:szCs w:val="20"/>
        </w:rPr>
      </w:pPr>
    </w:p>
    <w:p w14:paraId="77ADF54B" w14:textId="12723541" w:rsidR="00942491" w:rsidRPr="0096144E" w:rsidRDefault="00BB42FD" w:rsidP="004E4442">
      <w:pPr>
        <w:jc w:val="both"/>
        <w:rPr>
          <w:rFonts w:ascii="Arial" w:hAnsi="Arial" w:cs="Arial"/>
          <w:sz w:val="20"/>
          <w:szCs w:val="20"/>
        </w:rPr>
      </w:pPr>
      <w:bookmarkStart w:id="15" w:name="1d913b50903b36d2b7c8aa311e91a9c1_ref"/>
      <w:r w:rsidRPr="0096144E">
        <w:rPr>
          <w:rFonts w:ascii="Arial" w:hAnsi="Arial" w:cs="Arial"/>
          <w:sz w:val="20"/>
          <w:szCs w:val="20"/>
        </w:rPr>
        <w:t xml:space="preserve">Mostafa, N., Sayed, A., Rashad, O., &amp; </w:t>
      </w:r>
      <w:proofErr w:type="spellStart"/>
      <w:r w:rsidRPr="0096144E">
        <w:rPr>
          <w:rFonts w:ascii="Arial" w:hAnsi="Arial" w:cs="Arial"/>
          <w:sz w:val="20"/>
          <w:szCs w:val="20"/>
        </w:rPr>
        <w:t>Baqal</w:t>
      </w:r>
      <w:proofErr w:type="spellEnd"/>
      <w:r w:rsidRPr="0096144E">
        <w:rPr>
          <w:rFonts w:ascii="Arial" w:hAnsi="Arial" w:cs="Arial"/>
          <w:sz w:val="20"/>
          <w:szCs w:val="20"/>
        </w:rPr>
        <w:t xml:space="preserve">, O. (2023). Malnutrition-related mortality trends in older adults in the United States from 1999 to 2020. </w:t>
      </w:r>
      <w:r w:rsidRPr="0096144E">
        <w:rPr>
          <w:rFonts w:ascii="Arial" w:hAnsi="Arial" w:cs="Arial"/>
          <w:i/>
          <w:iCs/>
          <w:sz w:val="20"/>
          <w:szCs w:val="20"/>
        </w:rPr>
        <w:t>BMC Medicine</w:t>
      </w:r>
      <w:r w:rsidRPr="0096144E">
        <w:rPr>
          <w:rFonts w:ascii="Arial" w:hAnsi="Arial" w:cs="Arial"/>
          <w:sz w:val="20"/>
          <w:szCs w:val="20"/>
        </w:rPr>
        <w:t xml:space="preserve">, </w:t>
      </w:r>
      <w:r w:rsidRPr="0096144E">
        <w:rPr>
          <w:rFonts w:ascii="Arial" w:hAnsi="Arial" w:cs="Arial"/>
          <w:i/>
          <w:iCs/>
          <w:sz w:val="20"/>
          <w:szCs w:val="20"/>
        </w:rPr>
        <w:t>21</w:t>
      </w:r>
      <w:r w:rsidRPr="0096144E">
        <w:rPr>
          <w:rFonts w:ascii="Arial" w:hAnsi="Arial" w:cs="Arial"/>
          <w:sz w:val="20"/>
          <w:szCs w:val="20"/>
        </w:rPr>
        <w:t xml:space="preserve">(1). </w:t>
      </w:r>
      <w:hyperlink r:id="rId15" w:history="1">
        <w:r w:rsidR="003964BA" w:rsidRPr="0096144E">
          <w:rPr>
            <w:rStyle w:val="Hyperlink"/>
            <w:rFonts w:ascii="Arial" w:hAnsi="Arial" w:cs="Arial"/>
            <w:sz w:val="20"/>
            <w:szCs w:val="20"/>
          </w:rPr>
          <w:t>https://doi.org/10.1186/s12916-023-03143-8</w:t>
        </w:r>
      </w:hyperlink>
      <w:r w:rsidR="003964BA" w:rsidRPr="0096144E">
        <w:rPr>
          <w:rFonts w:ascii="Arial" w:hAnsi="Arial" w:cs="Arial"/>
          <w:sz w:val="20"/>
          <w:szCs w:val="20"/>
        </w:rPr>
        <w:t xml:space="preserve"> </w:t>
      </w:r>
    </w:p>
    <w:bookmarkEnd w:id="15"/>
    <w:p w14:paraId="67A83C33" w14:textId="77777777" w:rsidR="00942491" w:rsidRPr="0096144E" w:rsidRDefault="00942491" w:rsidP="004E4442">
      <w:pPr>
        <w:jc w:val="both"/>
        <w:rPr>
          <w:rFonts w:ascii="Arial" w:hAnsi="Arial" w:cs="Arial"/>
          <w:sz w:val="20"/>
          <w:szCs w:val="20"/>
        </w:rPr>
      </w:pPr>
    </w:p>
    <w:p w14:paraId="3C1A5768" w14:textId="291174E5" w:rsidR="00942491" w:rsidRPr="0096144E" w:rsidRDefault="00BB42FD" w:rsidP="004E4442">
      <w:pPr>
        <w:jc w:val="both"/>
        <w:rPr>
          <w:rFonts w:ascii="Arial" w:hAnsi="Arial" w:cs="Arial"/>
          <w:sz w:val="20"/>
          <w:szCs w:val="20"/>
        </w:rPr>
      </w:pPr>
      <w:bookmarkStart w:id="16" w:name="f4732c195a0433e2be2b90a0db2cd130_ref"/>
      <w:r w:rsidRPr="0096144E">
        <w:rPr>
          <w:rFonts w:ascii="Arial" w:hAnsi="Arial" w:cs="Arial"/>
          <w:sz w:val="20"/>
          <w:szCs w:val="20"/>
        </w:rPr>
        <w:t xml:space="preserve">Murata, A., Kasai, T., </w:t>
      </w:r>
      <w:proofErr w:type="spellStart"/>
      <w:r w:rsidRPr="0096144E">
        <w:rPr>
          <w:rFonts w:ascii="Arial" w:hAnsi="Arial" w:cs="Arial"/>
          <w:sz w:val="20"/>
          <w:szCs w:val="20"/>
        </w:rPr>
        <w:t>Hiki</w:t>
      </w:r>
      <w:proofErr w:type="spellEnd"/>
      <w:r w:rsidRPr="0096144E">
        <w:rPr>
          <w:rFonts w:ascii="Arial" w:hAnsi="Arial" w:cs="Arial"/>
          <w:sz w:val="20"/>
          <w:szCs w:val="20"/>
        </w:rPr>
        <w:t xml:space="preserve">, M., </w:t>
      </w:r>
      <w:proofErr w:type="spellStart"/>
      <w:r w:rsidRPr="0096144E">
        <w:rPr>
          <w:rFonts w:ascii="Arial" w:hAnsi="Arial" w:cs="Arial"/>
          <w:sz w:val="20"/>
          <w:szCs w:val="20"/>
        </w:rPr>
        <w:t>Suda</w:t>
      </w:r>
      <w:proofErr w:type="spellEnd"/>
      <w:r w:rsidRPr="0096144E">
        <w:rPr>
          <w:rFonts w:ascii="Arial" w:hAnsi="Arial" w:cs="Arial"/>
          <w:sz w:val="20"/>
          <w:szCs w:val="20"/>
        </w:rPr>
        <w:t xml:space="preserve">, S., Takagi, A., Matsumoto, H., </w:t>
      </w:r>
      <w:r w:rsidR="003964BA" w:rsidRPr="0096144E">
        <w:rPr>
          <w:rFonts w:ascii="Arial" w:hAnsi="Arial" w:cs="Arial"/>
          <w:sz w:val="20"/>
          <w:szCs w:val="20"/>
        </w:rPr>
        <w:t xml:space="preserve">et al. </w:t>
      </w:r>
      <w:r w:rsidRPr="0096144E">
        <w:rPr>
          <w:rFonts w:ascii="Arial" w:hAnsi="Arial" w:cs="Arial"/>
          <w:sz w:val="20"/>
          <w:szCs w:val="20"/>
        </w:rPr>
        <w:t xml:space="preserve">(2018). Relationship between blood urea nitrogen-to-creatinine ratio at hospital admission and long-term mortality in patients with acute decompensated heart failure. </w:t>
      </w:r>
      <w:r w:rsidRPr="0096144E">
        <w:rPr>
          <w:rFonts w:ascii="Arial" w:hAnsi="Arial" w:cs="Arial"/>
          <w:i/>
          <w:iCs/>
          <w:sz w:val="20"/>
          <w:szCs w:val="20"/>
        </w:rPr>
        <w:t>Heart and Vessels</w:t>
      </w:r>
      <w:r w:rsidRPr="0096144E">
        <w:rPr>
          <w:rFonts w:ascii="Arial" w:hAnsi="Arial" w:cs="Arial"/>
          <w:sz w:val="20"/>
          <w:szCs w:val="20"/>
        </w:rPr>
        <w:t xml:space="preserve">, </w:t>
      </w:r>
      <w:r w:rsidRPr="0096144E">
        <w:rPr>
          <w:rFonts w:ascii="Arial" w:hAnsi="Arial" w:cs="Arial"/>
          <w:i/>
          <w:iCs/>
          <w:sz w:val="20"/>
          <w:szCs w:val="20"/>
        </w:rPr>
        <w:t>33</w:t>
      </w:r>
      <w:r w:rsidRPr="0096144E">
        <w:rPr>
          <w:rFonts w:ascii="Arial" w:hAnsi="Arial" w:cs="Arial"/>
          <w:sz w:val="20"/>
          <w:szCs w:val="20"/>
        </w:rPr>
        <w:t xml:space="preserve">(8), 877–885. </w:t>
      </w:r>
      <w:hyperlink r:id="rId16" w:history="1">
        <w:r w:rsidR="00AA2333" w:rsidRPr="0096144E">
          <w:rPr>
            <w:rStyle w:val="Hyperlink"/>
            <w:rFonts w:ascii="Arial" w:hAnsi="Arial" w:cs="Arial"/>
            <w:sz w:val="20"/>
            <w:szCs w:val="20"/>
          </w:rPr>
          <w:t>https://doi.org/10.1007/s00380-018-1135-3</w:t>
        </w:r>
      </w:hyperlink>
      <w:r w:rsidR="00AA2333" w:rsidRPr="0096144E">
        <w:rPr>
          <w:rFonts w:ascii="Arial" w:hAnsi="Arial" w:cs="Arial"/>
          <w:sz w:val="20"/>
          <w:szCs w:val="20"/>
        </w:rPr>
        <w:t xml:space="preserve"> </w:t>
      </w:r>
    </w:p>
    <w:bookmarkEnd w:id="16"/>
    <w:p w14:paraId="5997F351" w14:textId="77777777" w:rsidR="00942491" w:rsidRPr="0096144E" w:rsidRDefault="00942491" w:rsidP="004E4442">
      <w:pPr>
        <w:jc w:val="both"/>
        <w:rPr>
          <w:rFonts w:ascii="Arial" w:hAnsi="Arial" w:cs="Arial"/>
          <w:sz w:val="20"/>
          <w:szCs w:val="20"/>
        </w:rPr>
      </w:pPr>
    </w:p>
    <w:p w14:paraId="355E4FA8" w14:textId="1930942A" w:rsidR="00942491" w:rsidRPr="0096144E" w:rsidRDefault="00BB42FD" w:rsidP="004E4442">
      <w:pPr>
        <w:jc w:val="both"/>
        <w:rPr>
          <w:rFonts w:ascii="Arial" w:hAnsi="Arial" w:cs="Arial"/>
          <w:sz w:val="20"/>
          <w:szCs w:val="20"/>
        </w:rPr>
      </w:pPr>
      <w:bookmarkStart w:id="17" w:name="1de9544eedbc3904bcec88718e960902_ref"/>
      <w:r w:rsidRPr="0096144E">
        <w:rPr>
          <w:rFonts w:ascii="Arial" w:hAnsi="Arial" w:cs="Arial"/>
          <w:sz w:val="20"/>
          <w:szCs w:val="20"/>
        </w:rPr>
        <w:t xml:space="preserve">Naito, H., Sato, M., </w:t>
      </w:r>
      <w:proofErr w:type="spellStart"/>
      <w:r w:rsidRPr="0096144E">
        <w:rPr>
          <w:rFonts w:ascii="Arial" w:hAnsi="Arial" w:cs="Arial"/>
          <w:sz w:val="20"/>
          <w:szCs w:val="20"/>
        </w:rPr>
        <w:t>Kaga</w:t>
      </w:r>
      <w:proofErr w:type="spellEnd"/>
      <w:r w:rsidRPr="0096144E">
        <w:rPr>
          <w:rFonts w:ascii="Arial" w:hAnsi="Arial" w:cs="Arial"/>
          <w:sz w:val="20"/>
          <w:szCs w:val="20"/>
        </w:rPr>
        <w:t>, H., Nishida, Y., Sugimoto, D., Watada, H.,</w:t>
      </w:r>
      <w:r w:rsidR="00AA2333" w:rsidRPr="0096144E">
        <w:rPr>
          <w:rFonts w:ascii="Arial" w:hAnsi="Arial" w:cs="Arial"/>
          <w:sz w:val="20"/>
          <w:szCs w:val="20"/>
        </w:rPr>
        <w:t xml:space="preserve"> et al. </w:t>
      </w:r>
      <w:r w:rsidRPr="0096144E">
        <w:rPr>
          <w:rFonts w:ascii="Arial" w:hAnsi="Arial" w:cs="Arial"/>
          <w:sz w:val="20"/>
          <w:szCs w:val="20"/>
        </w:rPr>
        <w:t xml:space="preserve">(2023). Fat Accumulation and Elevated Free Fatty Acid Are Associated With Age-Related Glucose Intolerance: Bunkyo Health Study. </w:t>
      </w:r>
      <w:r w:rsidRPr="0096144E">
        <w:rPr>
          <w:rFonts w:ascii="Arial" w:hAnsi="Arial" w:cs="Arial"/>
          <w:i/>
          <w:iCs/>
          <w:sz w:val="20"/>
          <w:szCs w:val="20"/>
        </w:rPr>
        <w:t>Journal of the Endocrine Society</w:t>
      </w:r>
      <w:r w:rsidRPr="0096144E">
        <w:rPr>
          <w:rFonts w:ascii="Arial" w:hAnsi="Arial" w:cs="Arial"/>
          <w:sz w:val="20"/>
          <w:szCs w:val="20"/>
        </w:rPr>
        <w:t xml:space="preserve">, </w:t>
      </w:r>
      <w:r w:rsidRPr="0096144E">
        <w:rPr>
          <w:rFonts w:ascii="Arial" w:hAnsi="Arial" w:cs="Arial"/>
          <w:i/>
          <w:iCs/>
          <w:sz w:val="20"/>
          <w:szCs w:val="20"/>
        </w:rPr>
        <w:t>8</w:t>
      </w:r>
      <w:r w:rsidRPr="0096144E">
        <w:rPr>
          <w:rFonts w:ascii="Arial" w:hAnsi="Arial" w:cs="Arial"/>
          <w:sz w:val="20"/>
          <w:szCs w:val="20"/>
        </w:rPr>
        <w:t xml:space="preserve">(2). </w:t>
      </w:r>
      <w:hyperlink r:id="rId17" w:history="1">
        <w:r w:rsidR="00AA2333" w:rsidRPr="0096144E">
          <w:rPr>
            <w:rStyle w:val="Hyperlink"/>
            <w:rFonts w:ascii="Arial" w:hAnsi="Arial" w:cs="Arial"/>
            <w:sz w:val="20"/>
            <w:szCs w:val="20"/>
          </w:rPr>
          <w:t>https://doi.org/10.1210/jendso/bvad164</w:t>
        </w:r>
      </w:hyperlink>
      <w:r w:rsidR="00AA2333" w:rsidRPr="0096144E">
        <w:rPr>
          <w:rFonts w:ascii="Arial" w:hAnsi="Arial" w:cs="Arial"/>
          <w:sz w:val="20"/>
          <w:szCs w:val="20"/>
        </w:rPr>
        <w:t xml:space="preserve"> </w:t>
      </w:r>
    </w:p>
    <w:bookmarkEnd w:id="17"/>
    <w:p w14:paraId="7E22A2B7" w14:textId="77777777" w:rsidR="00942491" w:rsidRPr="0096144E" w:rsidRDefault="00942491" w:rsidP="004E4442">
      <w:pPr>
        <w:jc w:val="both"/>
        <w:rPr>
          <w:rFonts w:ascii="Arial" w:hAnsi="Arial" w:cs="Arial"/>
          <w:sz w:val="20"/>
          <w:szCs w:val="20"/>
        </w:rPr>
      </w:pPr>
    </w:p>
    <w:p w14:paraId="11C939A6" w14:textId="648057ED" w:rsidR="00942491" w:rsidRPr="0096144E" w:rsidRDefault="00BB42FD" w:rsidP="004E4442">
      <w:pPr>
        <w:jc w:val="both"/>
        <w:rPr>
          <w:rFonts w:ascii="Arial" w:hAnsi="Arial" w:cs="Arial"/>
          <w:sz w:val="20"/>
          <w:szCs w:val="20"/>
          <w:lang w:val="fr-FR"/>
        </w:rPr>
      </w:pPr>
      <w:bookmarkStart w:id="18" w:name="a3975f52c6a632b2855788596eed5c00_ref"/>
      <w:r w:rsidRPr="0096144E">
        <w:rPr>
          <w:rFonts w:ascii="Arial" w:hAnsi="Arial" w:cs="Arial"/>
          <w:sz w:val="20"/>
          <w:szCs w:val="20"/>
        </w:rPr>
        <w:t xml:space="preserve">Raoul, Y. (1980). </w:t>
      </w:r>
      <w:r w:rsidRPr="0096144E">
        <w:rPr>
          <w:rFonts w:ascii="Arial" w:hAnsi="Arial" w:cs="Arial"/>
          <w:sz w:val="20"/>
          <w:szCs w:val="20"/>
          <w:lang w:val="fr-FR"/>
        </w:rPr>
        <w:t xml:space="preserve">Dictionnaire des constantes biologiques et physiques A. </w:t>
      </w:r>
      <w:proofErr w:type="spellStart"/>
      <w:r w:rsidRPr="0096144E">
        <w:rPr>
          <w:rFonts w:ascii="Arial" w:hAnsi="Arial" w:cs="Arial"/>
          <w:sz w:val="20"/>
          <w:szCs w:val="20"/>
          <w:lang w:val="fr-FR"/>
        </w:rPr>
        <w:t>Blacque</w:t>
      </w:r>
      <w:proofErr w:type="spellEnd"/>
      <w:r w:rsidRPr="0096144E">
        <w:rPr>
          <w:rFonts w:ascii="Arial" w:hAnsi="Arial" w:cs="Arial"/>
          <w:sz w:val="20"/>
          <w:szCs w:val="20"/>
          <w:lang w:val="fr-FR"/>
        </w:rPr>
        <w:t xml:space="preserve"> </w:t>
      </w:r>
      <w:proofErr w:type="spellStart"/>
      <w:r w:rsidRPr="0096144E">
        <w:rPr>
          <w:rFonts w:ascii="Arial" w:hAnsi="Arial" w:cs="Arial"/>
          <w:sz w:val="20"/>
          <w:szCs w:val="20"/>
          <w:lang w:val="fr-FR"/>
        </w:rPr>
        <w:t>Belair</w:t>
      </w:r>
      <w:proofErr w:type="spellEnd"/>
      <w:r w:rsidRPr="0096144E">
        <w:rPr>
          <w:rFonts w:ascii="Arial" w:hAnsi="Arial" w:cs="Arial"/>
          <w:sz w:val="20"/>
          <w:szCs w:val="20"/>
          <w:lang w:val="fr-FR"/>
        </w:rPr>
        <w:t xml:space="preserve"> M. Mathieu de </w:t>
      </w:r>
      <w:proofErr w:type="spellStart"/>
      <w:r w:rsidRPr="0096144E">
        <w:rPr>
          <w:rFonts w:ascii="Arial" w:hAnsi="Arial" w:cs="Arial"/>
          <w:sz w:val="20"/>
          <w:szCs w:val="20"/>
          <w:lang w:val="fr-FR"/>
        </w:rPr>
        <w:t>Fossey</w:t>
      </w:r>
      <w:proofErr w:type="spellEnd"/>
      <w:r w:rsidRPr="0096144E">
        <w:rPr>
          <w:rFonts w:ascii="Arial" w:hAnsi="Arial" w:cs="Arial"/>
          <w:sz w:val="20"/>
          <w:szCs w:val="20"/>
          <w:lang w:val="fr-FR"/>
        </w:rPr>
        <w:t xml:space="preserve"> M. </w:t>
      </w:r>
      <w:proofErr w:type="spellStart"/>
      <w:r w:rsidRPr="0096144E">
        <w:rPr>
          <w:rFonts w:ascii="Arial" w:hAnsi="Arial" w:cs="Arial"/>
          <w:sz w:val="20"/>
          <w:szCs w:val="20"/>
          <w:lang w:val="fr-FR"/>
        </w:rPr>
        <w:t>Fourestier</w:t>
      </w:r>
      <w:proofErr w:type="spellEnd"/>
      <w:r w:rsidRPr="0096144E">
        <w:rPr>
          <w:rFonts w:ascii="Arial" w:hAnsi="Arial" w:cs="Arial"/>
          <w:sz w:val="20"/>
          <w:szCs w:val="20"/>
          <w:lang w:val="fr-FR"/>
        </w:rPr>
        <w:t xml:space="preserve"> Applications cliniques et explorations paracliniques 5 e édition 1980 Maloine 1 vol. 2240 f 350 f. </w:t>
      </w:r>
      <w:r w:rsidRPr="0096144E">
        <w:rPr>
          <w:rFonts w:ascii="Arial" w:hAnsi="Arial" w:cs="Arial"/>
          <w:i/>
          <w:iCs/>
          <w:sz w:val="20"/>
          <w:szCs w:val="20"/>
          <w:lang w:val="fr-FR"/>
        </w:rPr>
        <w:t>Biochimie</w:t>
      </w:r>
      <w:r w:rsidRPr="0096144E">
        <w:rPr>
          <w:rFonts w:ascii="Arial" w:hAnsi="Arial" w:cs="Arial"/>
          <w:sz w:val="20"/>
          <w:szCs w:val="20"/>
          <w:lang w:val="fr-FR"/>
        </w:rPr>
        <w:t xml:space="preserve">, </w:t>
      </w:r>
      <w:r w:rsidRPr="0096144E">
        <w:rPr>
          <w:rFonts w:ascii="Arial" w:hAnsi="Arial" w:cs="Arial"/>
          <w:i/>
          <w:iCs/>
          <w:sz w:val="20"/>
          <w:szCs w:val="20"/>
          <w:lang w:val="fr-FR"/>
        </w:rPr>
        <w:t>62</w:t>
      </w:r>
      <w:r w:rsidRPr="0096144E">
        <w:rPr>
          <w:rFonts w:ascii="Arial" w:hAnsi="Arial" w:cs="Arial"/>
          <w:sz w:val="20"/>
          <w:szCs w:val="20"/>
          <w:lang w:val="fr-FR"/>
        </w:rPr>
        <w:t xml:space="preserve">(11–12), X–XI. </w:t>
      </w:r>
      <w:hyperlink r:id="rId18" w:history="1">
        <w:r w:rsidR="00AA2333" w:rsidRPr="0096144E">
          <w:rPr>
            <w:rStyle w:val="Hyperlink"/>
            <w:rFonts w:ascii="Arial" w:hAnsi="Arial" w:cs="Arial"/>
            <w:sz w:val="20"/>
            <w:szCs w:val="20"/>
            <w:lang w:val="fr-FR"/>
          </w:rPr>
          <w:t>https://doi.org/10.1016/s0300-9084(80)80123-4</w:t>
        </w:r>
      </w:hyperlink>
      <w:r w:rsidR="00AA2333" w:rsidRPr="0096144E">
        <w:rPr>
          <w:rFonts w:ascii="Arial" w:hAnsi="Arial" w:cs="Arial"/>
          <w:sz w:val="20"/>
          <w:szCs w:val="20"/>
          <w:lang w:val="fr-FR"/>
        </w:rPr>
        <w:t xml:space="preserve"> </w:t>
      </w:r>
    </w:p>
    <w:bookmarkEnd w:id="18"/>
    <w:p w14:paraId="6FB54FD2" w14:textId="77777777" w:rsidR="00942491" w:rsidRPr="0096144E" w:rsidRDefault="00942491" w:rsidP="004E4442">
      <w:pPr>
        <w:jc w:val="both"/>
        <w:rPr>
          <w:rFonts w:ascii="Arial" w:hAnsi="Arial" w:cs="Arial"/>
          <w:sz w:val="20"/>
          <w:szCs w:val="20"/>
          <w:lang w:val="fr-FR"/>
        </w:rPr>
      </w:pPr>
    </w:p>
    <w:p w14:paraId="19C4262D" w14:textId="65DCB37E" w:rsidR="00942491" w:rsidRPr="0096144E" w:rsidRDefault="00BB42FD" w:rsidP="004E4442">
      <w:pPr>
        <w:jc w:val="both"/>
        <w:rPr>
          <w:rFonts w:ascii="Arial" w:hAnsi="Arial" w:cs="Arial"/>
          <w:sz w:val="20"/>
          <w:szCs w:val="20"/>
        </w:rPr>
      </w:pPr>
      <w:bookmarkStart w:id="19" w:name="4ee73e31418b3eda86cf7e5f91d12f78_ref"/>
      <w:proofErr w:type="spellStart"/>
      <w:r w:rsidRPr="0096144E">
        <w:rPr>
          <w:rFonts w:ascii="Arial" w:hAnsi="Arial" w:cs="Arial"/>
          <w:sz w:val="20"/>
          <w:szCs w:val="20"/>
          <w:lang w:val="fr-FR"/>
        </w:rPr>
        <w:t>Samarkandi</w:t>
      </w:r>
      <w:proofErr w:type="spellEnd"/>
      <w:r w:rsidRPr="0096144E">
        <w:rPr>
          <w:rFonts w:ascii="Arial" w:hAnsi="Arial" w:cs="Arial"/>
          <w:sz w:val="20"/>
          <w:szCs w:val="20"/>
          <w:lang w:val="fr-FR"/>
        </w:rPr>
        <w:t xml:space="preserve">, O., </w:t>
      </w:r>
      <w:proofErr w:type="spellStart"/>
      <w:r w:rsidRPr="0096144E">
        <w:rPr>
          <w:rFonts w:ascii="Arial" w:hAnsi="Arial" w:cs="Arial"/>
          <w:sz w:val="20"/>
          <w:szCs w:val="20"/>
          <w:lang w:val="fr-FR"/>
        </w:rPr>
        <w:t>Alamri</w:t>
      </w:r>
      <w:proofErr w:type="spellEnd"/>
      <w:r w:rsidRPr="0096144E">
        <w:rPr>
          <w:rFonts w:ascii="Arial" w:hAnsi="Arial" w:cs="Arial"/>
          <w:sz w:val="20"/>
          <w:szCs w:val="20"/>
          <w:lang w:val="fr-FR"/>
        </w:rPr>
        <w:t xml:space="preserve">, F., </w:t>
      </w:r>
      <w:proofErr w:type="spellStart"/>
      <w:r w:rsidRPr="0096144E">
        <w:rPr>
          <w:rFonts w:ascii="Arial" w:hAnsi="Arial" w:cs="Arial"/>
          <w:sz w:val="20"/>
          <w:szCs w:val="20"/>
          <w:lang w:val="fr-FR"/>
        </w:rPr>
        <w:t>Alsaleh</w:t>
      </w:r>
      <w:proofErr w:type="spellEnd"/>
      <w:r w:rsidRPr="0096144E">
        <w:rPr>
          <w:rFonts w:ascii="Arial" w:hAnsi="Arial" w:cs="Arial"/>
          <w:sz w:val="20"/>
          <w:szCs w:val="20"/>
          <w:lang w:val="fr-FR"/>
        </w:rPr>
        <w:t xml:space="preserve">, G., Al </w:t>
      </w:r>
      <w:proofErr w:type="spellStart"/>
      <w:r w:rsidRPr="0096144E">
        <w:rPr>
          <w:rFonts w:ascii="Arial" w:hAnsi="Arial" w:cs="Arial"/>
          <w:sz w:val="20"/>
          <w:szCs w:val="20"/>
          <w:lang w:val="fr-FR"/>
        </w:rPr>
        <w:t>Abdullatif</w:t>
      </w:r>
      <w:proofErr w:type="spellEnd"/>
      <w:r w:rsidRPr="0096144E">
        <w:rPr>
          <w:rFonts w:ascii="Arial" w:hAnsi="Arial" w:cs="Arial"/>
          <w:sz w:val="20"/>
          <w:szCs w:val="20"/>
          <w:lang w:val="fr-FR"/>
        </w:rPr>
        <w:t xml:space="preserve">, L., </w:t>
      </w:r>
      <w:proofErr w:type="spellStart"/>
      <w:r w:rsidRPr="0096144E">
        <w:rPr>
          <w:rFonts w:ascii="Arial" w:hAnsi="Arial" w:cs="Arial"/>
          <w:sz w:val="20"/>
          <w:szCs w:val="20"/>
          <w:lang w:val="fr-FR"/>
        </w:rPr>
        <w:t>Alhazmi</w:t>
      </w:r>
      <w:proofErr w:type="spellEnd"/>
      <w:r w:rsidRPr="0096144E">
        <w:rPr>
          <w:rFonts w:ascii="Arial" w:hAnsi="Arial" w:cs="Arial"/>
          <w:sz w:val="20"/>
          <w:szCs w:val="20"/>
          <w:lang w:val="fr-FR"/>
        </w:rPr>
        <w:t xml:space="preserve">, J., </w:t>
      </w:r>
      <w:proofErr w:type="spellStart"/>
      <w:r w:rsidRPr="0096144E">
        <w:rPr>
          <w:rFonts w:ascii="Arial" w:hAnsi="Arial" w:cs="Arial"/>
          <w:sz w:val="20"/>
          <w:szCs w:val="20"/>
          <w:lang w:val="fr-FR"/>
        </w:rPr>
        <w:t>Basnawi</w:t>
      </w:r>
      <w:proofErr w:type="spellEnd"/>
      <w:r w:rsidRPr="0096144E">
        <w:rPr>
          <w:rFonts w:ascii="Arial" w:hAnsi="Arial" w:cs="Arial"/>
          <w:sz w:val="20"/>
          <w:szCs w:val="20"/>
          <w:lang w:val="fr-FR"/>
        </w:rPr>
        <w:t xml:space="preserve">, M., </w:t>
      </w:r>
      <w:r w:rsidR="00AA2333" w:rsidRPr="0096144E">
        <w:rPr>
          <w:rFonts w:ascii="Arial" w:hAnsi="Arial" w:cs="Arial"/>
          <w:sz w:val="20"/>
          <w:szCs w:val="20"/>
          <w:lang w:val="fr-FR"/>
        </w:rPr>
        <w:t>et al.</w:t>
      </w:r>
      <w:r w:rsidRPr="0096144E">
        <w:rPr>
          <w:rFonts w:ascii="Arial" w:hAnsi="Arial" w:cs="Arial"/>
          <w:sz w:val="20"/>
          <w:szCs w:val="20"/>
          <w:lang w:val="fr-FR"/>
        </w:rPr>
        <w:t xml:space="preserve"> (2025). </w:t>
      </w:r>
      <w:r w:rsidRPr="0096144E">
        <w:rPr>
          <w:rFonts w:ascii="Arial" w:hAnsi="Arial" w:cs="Arial"/>
          <w:sz w:val="20"/>
          <w:szCs w:val="20"/>
        </w:rPr>
        <w:t xml:space="preserve">Exploring the prevalence of chronic diseases and health status among international Hajj pilgrims. </w:t>
      </w:r>
      <w:proofErr w:type="spellStart"/>
      <w:r w:rsidRPr="0096144E">
        <w:rPr>
          <w:rFonts w:ascii="Arial" w:hAnsi="Arial" w:cs="Arial"/>
          <w:i/>
          <w:iCs/>
          <w:sz w:val="20"/>
          <w:szCs w:val="20"/>
        </w:rPr>
        <w:t>PloS</w:t>
      </w:r>
      <w:proofErr w:type="spellEnd"/>
      <w:r w:rsidRPr="0096144E">
        <w:rPr>
          <w:rFonts w:ascii="Arial" w:hAnsi="Arial" w:cs="Arial"/>
          <w:i/>
          <w:iCs/>
          <w:sz w:val="20"/>
          <w:szCs w:val="20"/>
        </w:rPr>
        <w:t xml:space="preserve"> One</w:t>
      </w:r>
      <w:r w:rsidRPr="0096144E">
        <w:rPr>
          <w:rFonts w:ascii="Arial" w:hAnsi="Arial" w:cs="Arial"/>
          <w:sz w:val="20"/>
          <w:szCs w:val="20"/>
        </w:rPr>
        <w:t xml:space="preserve">, </w:t>
      </w:r>
      <w:r w:rsidRPr="0096144E">
        <w:rPr>
          <w:rFonts w:ascii="Arial" w:hAnsi="Arial" w:cs="Arial"/>
          <w:i/>
          <w:iCs/>
          <w:sz w:val="20"/>
          <w:szCs w:val="20"/>
        </w:rPr>
        <w:t>20</w:t>
      </w:r>
      <w:r w:rsidRPr="0096144E">
        <w:rPr>
          <w:rFonts w:ascii="Arial" w:hAnsi="Arial" w:cs="Arial"/>
          <w:sz w:val="20"/>
          <w:szCs w:val="20"/>
        </w:rPr>
        <w:t xml:space="preserve">(4), e0317555. </w:t>
      </w:r>
      <w:hyperlink r:id="rId19" w:history="1">
        <w:r w:rsidR="00AA2333" w:rsidRPr="0096144E">
          <w:rPr>
            <w:rStyle w:val="Hyperlink"/>
            <w:rFonts w:ascii="Arial" w:hAnsi="Arial" w:cs="Arial"/>
            <w:sz w:val="20"/>
            <w:szCs w:val="20"/>
          </w:rPr>
          <w:t>https://doi.org/10.1371/journal.pone.0317555</w:t>
        </w:r>
      </w:hyperlink>
    </w:p>
    <w:p w14:paraId="7D2950D7" w14:textId="77777777" w:rsidR="00AA2333" w:rsidRPr="0096144E" w:rsidRDefault="00AA2333" w:rsidP="004E4442">
      <w:pPr>
        <w:jc w:val="both"/>
        <w:rPr>
          <w:rFonts w:ascii="Arial" w:hAnsi="Arial" w:cs="Arial"/>
          <w:sz w:val="20"/>
          <w:szCs w:val="20"/>
        </w:rPr>
      </w:pPr>
    </w:p>
    <w:bookmarkEnd w:id="19"/>
    <w:p w14:paraId="14F93BA1" w14:textId="77777777" w:rsidR="00942491" w:rsidRPr="0096144E" w:rsidRDefault="00942491" w:rsidP="004E4442">
      <w:pPr>
        <w:jc w:val="both"/>
        <w:rPr>
          <w:rFonts w:ascii="Arial" w:hAnsi="Arial" w:cs="Arial"/>
          <w:sz w:val="20"/>
          <w:szCs w:val="20"/>
        </w:rPr>
      </w:pPr>
    </w:p>
    <w:p w14:paraId="38715A91" w14:textId="23BFA274" w:rsidR="00942491" w:rsidRPr="0096144E" w:rsidRDefault="00BB42FD" w:rsidP="004E4442">
      <w:pPr>
        <w:jc w:val="both"/>
        <w:rPr>
          <w:rFonts w:ascii="Arial" w:hAnsi="Arial" w:cs="Arial"/>
          <w:sz w:val="20"/>
          <w:szCs w:val="20"/>
        </w:rPr>
      </w:pPr>
      <w:bookmarkStart w:id="20" w:name="eadfdba295433bb68a454c06612acb5a_ref"/>
      <w:proofErr w:type="spellStart"/>
      <w:r w:rsidRPr="0096144E">
        <w:rPr>
          <w:rFonts w:ascii="Arial" w:hAnsi="Arial" w:cs="Arial"/>
          <w:sz w:val="20"/>
          <w:szCs w:val="20"/>
        </w:rPr>
        <w:t>Sohail</w:t>
      </w:r>
      <w:proofErr w:type="spellEnd"/>
      <w:r w:rsidRPr="0096144E">
        <w:rPr>
          <w:rFonts w:ascii="Arial" w:hAnsi="Arial" w:cs="Arial"/>
          <w:sz w:val="20"/>
          <w:szCs w:val="20"/>
        </w:rPr>
        <w:t xml:space="preserve">, M. U., Batool, R. M., Saad, M., Waqas, S. A., </w:t>
      </w:r>
      <w:proofErr w:type="spellStart"/>
      <w:r w:rsidRPr="0096144E">
        <w:rPr>
          <w:rFonts w:ascii="Arial" w:hAnsi="Arial" w:cs="Arial"/>
          <w:sz w:val="20"/>
          <w:szCs w:val="20"/>
        </w:rPr>
        <w:t>Noushad</w:t>
      </w:r>
      <w:proofErr w:type="spellEnd"/>
      <w:r w:rsidRPr="0096144E">
        <w:rPr>
          <w:rFonts w:ascii="Arial" w:hAnsi="Arial" w:cs="Arial"/>
          <w:sz w:val="20"/>
          <w:szCs w:val="20"/>
        </w:rPr>
        <w:t xml:space="preserve">, M. A., </w:t>
      </w:r>
      <w:proofErr w:type="spellStart"/>
      <w:r w:rsidRPr="0096144E">
        <w:rPr>
          <w:rFonts w:ascii="Arial" w:hAnsi="Arial" w:cs="Arial"/>
          <w:sz w:val="20"/>
          <w:szCs w:val="20"/>
        </w:rPr>
        <w:t>Sohail</w:t>
      </w:r>
      <w:proofErr w:type="spellEnd"/>
      <w:r w:rsidRPr="0096144E">
        <w:rPr>
          <w:rFonts w:ascii="Arial" w:hAnsi="Arial" w:cs="Arial"/>
          <w:sz w:val="20"/>
          <w:szCs w:val="20"/>
        </w:rPr>
        <w:t xml:space="preserve">, M. O., </w:t>
      </w:r>
      <w:r w:rsidR="00AA2333" w:rsidRPr="0096144E">
        <w:rPr>
          <w:rFonts w:ascii="Arial" w:hAnsi="Arial" w:cs="Arial"/>
          <w:sz w:val="20"/>
          <w:szCs w:val="20"/>
        </w:rPr>
        <w:t>et al.</w:t>
      </w:r>
      <w:r w:rsidRPr="0096144E">
        <w:rPr>
          <w:rFonts w:ascii="Arial" w:hAnsi="Arial" w:cs="Arial"/>
          <w:sz w:val="20"/>
          <w:szCs w:val="20"/>
        </w:rPr>
        <w:t xml:space="preserve"> (2025). Trends in Mortality Related to Atrial Fibrillation and Dementia in Older Adults in the United States: A 2000–2020 Analysis. </w:t>
      </w:r>
      <w:r w:rsidRPr="0096144E">
        <w:rPr>
          <w:rFonts w:ascii="Arial" w:hAnsi="Arial" w:cs="Arial"/>
          <w:i/>
          <w:iCs/>
          <w:sz w:val="20"/>
          <w:szCs w:val="20"/>
        </w:rPr>
        <w:t>Journal of Cardiovascular Electrophysiology</w:t>
      </w:r>
      <w:r w:rsidRPr="0096144E">
        <w:rPr>
          <w:rFonts w:ascii="Arial" w:hAnsi="Arial" w:cs="Arial"/>
          <w:sz w:val="20"/>
          <w:szCs w:val="20"/>
        </w:rPr>
        <w:t xml:space="preserve">, </w:t>
      </w:r>
      <w:r w:rsidRPr="0096144E">
        <w:rPr>
          <w:rFonts w:ascii="Arial" w:hAnsi="Arial" w:cs="Arial"/>
          <w:i/>
          <w:iCs/>
          <w:sz w:val="20"/>
          <w:szCs w:val="20"/>
        </w:rPr>
        <w:t>36</w:t>
      </w:r>
      <w:r w:rsidRPr="0096144E">
        <w:rPr>
          <w:rFonts w:ascii="Arial" w:hAnsi="Arial" w:cs="Arial"/>
          <w:sz w:val="20"/>
          <w:szCs w:val="20"/>
        </w:rPr>
        <w:t xml:space="preserve">(6), 1234–1243. </w:t>
      </w:r>
      <w:hyperlink r:id="rId20" w:history="1">
        <w:r w:rsidR="00AA2333" w:rsidRPr="0096144E">
          <w:rPr>
            <w:rStyle w:val="Hyperlink"/>
            <w:rFonts w:ascii="Arial" w:hAnsi="Arial" w:cs="Arial"/>
            <w:sz w:val="20"/>
            <w:szCs w:val="20"/>
          </w:rPr>
          <w:t>https://doi.org/10.1111/jce.16644</w:t>
        </w:r>
      </w:hyperlink>
      <w:r w:rsidR="00AA2333" w:rsidRPr="0096144E">
        <w:rPr>
          <w:rFonts w:ascii="Arial" w:hAnsi="Arial" w:cs="Arial"/>
          <w:sz w:val="20"/>
          <w:szCs w:val="20"/>
        </w:rPr>
        <w:t xml:space="preserve"> </w:t>
      </w:r>
    </w:p>
    <w:bookmarkEnd w:id="20"/>
    <w:p w14:paraId="6FAC46A9" w14:textId="77777777" w:rsidR="00942491" w:rsidRPr="0096144E" w:rsidRDefault="00942491" w:rsidP="004E4442">
      <w:pPr>
        <w:jc w:val="both"/>
        <w:rPr>
          <w:rFonts w:ascii="Arial" w:hAnsi="Arial" w:cs="Arial"/>
          <w:sz w:val="20"/>
          <w:szCs w:val="20"/>
        </w:rPr>
      </w:pPr>
    </w:p>
    <w:p w14:paraId="3F1FC75E" w14:textId="124D335E" w:rsidR="00942491" w:rsidRPr="0096144E" w:rsidRDefault="00BB42FD" w:rsidP="004E4442">
      <w:pPr>
        <w:jc w:val="both"/>
        <w:rPr>
          <w:rFonts w:ascii="Arial" w:hAnsi="Arial" w:cs="Arial"/>
          <w:sz w:val="20"/>
          <w:szCs w:val="20"/>
        </w:rPr>
      </w:pPr>
      <w:bookmarkStart w:id="21" w:name="d5e0dac3875d31feaa969bfca81ac3d3_ref"/>
      <w:r w:rsidRPr="0096144E">
        <w:rPr>
          <w:rFonts w:ascii="Arial" w:hAnsi="Arial" w:cs="Arial"/>
          <w:sz w:val="20"/>
          <w:szCs w:val="20"/>
        </w:rPr>
        <w:t xml:space="preserve">Suciu, A., </w:t>
      </w:r>
      <w:proofErr w:type="spellStart"/>
      <w:r w:rsidRPr="0096144E">
        <w:rPr>
          <w:rFonts w:ascii="Arial" w:hAnsi="Arial" w:cs="Arial"/>
          <w:sz w:val="20"/>
          <w:szCs w:val="20"/>
        </w:rPr>
        <w:t>Abenavoli</w:t>
      </w:r>
      <w:proofErr w:type="spellEnd"/>
      <w:r w:rsidRPr="0096144E">
        <w:rPr>
          <w:rFonts w:ascii="Arial" w:hAnsi="Arial" w:cs="Arial"/>
          <w:sz w:val="20"/>
          <w:szCs w:val="20"/>
        </w:rPr>
        <w:t xml:space="preserve">, L., </w:t>
      </w:r>
      <w:proofErr w:type="spellStart"/>
      <w:r w:rsidRPr="0096144E">
        <w:rPr>
          <w:rFonts w:ascii="Arial" w:hAnsi="Arial" w:cs="Arial"/>
          <w:sz w:val="20"/>
          <w:szCs w:val="20"/>
        </w:rPr>
        <w:t>Dumitrascu</w:t>
      </w:r>
      <w:proofErr w:type="spellEnd"/>
      <w:r w:rsidRPr="0096144E">
        <w:rPr>
          <w:rFonts w:ascii="Arial" w:hAnsi="Arial" w:cs="Arial"/>
          <w:sz w:val="20"/>
          <w:szCs w:val="20"/>
        </w:rPr>
        <w:t xml:space="preserve">, D. L., </w:t>
      </w:r>
      <w:proofErr w:type="spellStart"/>
      <w:r w:rsidRPr="0096144E">
        <w:rPr>
          <w:rFonts w:ascii="Arial" w:hAnsi="Arial" w:cs="Arial"/>
          <w:sz w:val="20"/>
          <w:szCs w:val="20"/>
        </w:rPr>
        <w:t>Luzza</w:t>
      </w:r>
      <w:proofErr w:type="spellEnd"/>
      <w:r w:rsidRPr="0096144E">
        <w:rPr>
          <w:rFonts w:ascii="Arial" w:hAnsi="Arial" w:cs="Arial"/>
          <w:sz w:val="20"/>
          <w:szCs w:val="20"/>
        </w:rPr>
        <w:t xml:space="preserve">, F., &amp; </w:t>
      </w:r>
      <w:proofErr w:type="spellStart"/>
      <w:r w:rsidRPr="0096144E">
        <w:rPr>
          <w:rFonts w:ascii="Arial" w:hAnsi="Arial" w:cs="Arial"/>
          <w:sz w:val="20"/>
          <w:szCs w:val="20"/>
        </w:rPr>
        <w:t>Pellicano</w:t>
      </w:r>
      <w:proofErr w:type="spellEnd"/>
      <w:r w:rsidRPr="0096144E">
        <w:rPr>
          <w:rFonts w:ascii="Arial" w:hAnsi="Arial" w:cs="Arial"/>
          <w:sz w:val="20"/>
          <w:szCs w:val="20"/>
        </w:rPr>
        <w:t xml:space="preserve">, R. (2020). Transaminases: oldies but </w:t>
      </w:r>
      <w:proofErr w:type="spellStart"/>
      <w:r w:rsidRPr="0096144E">
        <w:rPr>
          <w:rFonts w:ascii="Arial" w:hAnsi="Arial" w:cs="Arial"/>
          <w:sz w:val="20"/>
          <w:szCs w:val="20"/>
        </w:rPr>
        <w:t>goldies</w:t>
      </w:r>
      <w:proofErr w:type="spellEnd"/>
      <w:r w:rsidRPr="0096144E">
        <w:rPr>
          <w:rFonts w:ascii="Arial" w:hAnsi="Arial" w:cs="Arial"/>
          <w:sz w:val="20"/>
          <w:szCs w:val="20"/>
        </w:rPr>
        <w:t xml:space="preserve">. A narrative review. </w:t>
      </w:r>
      <w:r w:rsidRPr="0096144E">
        <w:rPr>
          <w:rFonts w:ascii="Arial" w:hAnsi="Arial" w:cs="Arial"/>
          <w:i/>
          <w:iCs/>
          <w:sz w:val="20"/>
          <w:szCs w:val="20"/>
        </w:rPr>
        <w:t xml:space="preserve">Minerva </w:t>
      </w:r>
      <w:proofErr w:type="spellStart"/>
      <w:r w:rsidRPr="0096144E">
        <w:rPr>
          <w:rFonts w:ascii="Arial" w:hAnsi="Arial" w:cs="Arial"/>
          <w:i/>
          <w:iCs/>
          <w:sz w:val="20"/>
          <w:szCs w:val="20"/>
        </w:rPr>
        <w:t>Gastroenterologica</w:t>
      </w:r>
      <w:proofErr w:type="spellEnd"/>
      <w:r w:rsidRPr="0096144E">
        <w:rPr>
          <w:rFonts w:ascii="Arial" w:hAnsi="Arial" w:cs="Arial"/>
          <w:i/>
          <w:iCs/>
          <w:sz w:val="20"/>
          <w:szCs w:val="20"/>
        </w:rPr>
        <w:t xml:space="preserve"> e </w:t>
      </w:r>
      <w:proofErr w:type="spellStart"/>
      <w:r w:rsidRPr="0096144E">
        <w:rPr>
          <w:rFonts w:ascii="Arial" w:hAnsi="Arial" w:cs="Arial"/>
          <w:i/>
          <w:iCs/>
          <w:sz w:val="20"/>
          <w:szCs w:val="20"/>
        </w:rPr>
        <w:t>Dietologica</w:t>
      </w:r>
      <w:proofErr w:type="spellEnd"/>
      <w:r w:rsidRPr="0096144E">
        <w:rPr>
          <w:rFonts w:ascii="Arial" w:hAnsi="Arial" w:cs="Arial"/>
          <w:sz w:val="20"/>
          <w:szCs w:val="20"/>
        </w:rPr>
        <w:t xml:space="preserve">, </w:t>
      </w:r>
      <w:r w:rsidRPr="0096144E">
        <w:rPr>
          <w:rFonts w:ascii="Arial" w:hAnsi="Arial" w:cs="Arial"/>
          <w:i/>
          <w:iCs/>
          <w:sz w:val="20"/>
          <w:szCs w:val="20"/>
        </w:rPr>
        <w:t>66</w:t>
      </w:r>
      <w:r w:rsidRPr="0096144E">
        <w:rPr>
          <w:rFonts w:ascii="Arial" w:hAnsi="Arial" w:cs="Arial"/>
          <w:sz w:val="20"/>
          <w:szCs w:val="20"/>
        </w:rPr>
        <w:t xml:space="preserve">(3). </w:t>
      </w:r>
      <w:hyperlink r:id="rId21" w:history="1">
        <w:r w:rsidR="00AA2333" w:rsidRPr="0096144E">
          <w:rPr>
            <w:rStyle w:val="Hyperlink"/>
            <w:rFonts w:ascii="Arial" w:hAnsi="Arial" w:cs="Arial"/>
            <w:sz w:val="20"/>
            <w:szCs w:val="20"/>
          </w:rPr>
          <w:t>https://doi.org/10.23736/s1121-421x.20.02660-4</w:t>
        </w:r>
      </w:hyperlink>
      <w:r w:rsidR="00AA2333" w:rsidRPr="0096144E">
        <w:rPr>
          <w:rFonts w:ascii="Arial" w:hAnsi="Arial" w:cs="Arial"/>
          <w:sz w:val="20"/>
          <w:szCs w:val="20"/>
        </w:rPr>
        <w:t xml:space="preserve"> </w:t>
      </w:r>
    </w:p>
    <w:bookmarkEnd w:id="21"/>
    <w:p w14:paraId="4130324C" w14:textId="77777777" w:rsidR="00942491" w:rsidRPr="0096144E" w:rsidRDefault="00942491" w:rsidP="004E4442">
      <w:pPr>
        <w:jc w:val="both"/>
        <w:rPr>
          <w:rFonts w:ascii="Arial" w:hAnsi="Arial" w:cs="Arial"/>
          <w:sz w:val="20"/>
          <w:szCs w:val="20"/>
        </w:rPr>
      </w:pPr>
    </w:p>
    <w:p w14:paraId="71065C95" w14:textId="5BBB937F" w:rsidR="00942491" w:rsidRPr="0096144E" w:rsidRDefault="00BB42FD" w:rsidP="004E4442">
      <w:pPr>
        <w:jc w:val="both"/>
        <w:rPr>
          <w:rFonts w:ascii="Arial" w:hAnsi="Arial" w:cs="Arial"/>
          <w:sz w:val="20"/>
          <w:szCs w:val="20"/>
        </w:rPr>
      </w:pPr>
      <w:bookmarkStart w:id="22" w:name="795ba19c936c367c83d88778b59cba95_ref"/>
      <w:proofErr w:type="spellStart"/>
      <w:r w:rsidRPr="0096144E">
        <w:rPr>
          <w:rFonts w:ascii="Arial" w:hAnsi="Arial" w:cs="Arial"/>
          <w:sz w:val="20"/>
          <w:szCs w:val="20"/>
        </w:rPr>
        <w:t>Sujino</w:t>
      </w:r>
      <w:proofErr w:type="spellEnd"/>
      <w:r w:rsidRPr="0096144E">
        <w:rPr>
          <w:rFonts w:ascii="Arial" w:hAnsi="Arial" w:cs="Arial"/>
          <w:sz w:val="20"/>
          <w:szCs w:val="20"/>
        </w:rPr>
        <w:t xml:space="preserve">, Y., </w:t>
      </w:r>
      <w:proofErr w:type="spellStart"/>
      <w:r w:rsidRPr="0096144E">
        <w:rPr>
          <w:rFonts w:ascii="Arial" w:hAnsi="Arial" w:cs="Arial"/>
          <w:sz w:val="20"/>
          <w:szCs w:val="20"/>
        </w:rPr>
        <w:t>Muramatsu</w:t>
      </w:r>
      <w:proofErr w:type="spellEnd"/>
      <w:r w:rsidRPr="0096144E">
        <w:rPr>
          <w:rFonts w:ascii="Arial" w:hAnsi="Arial" w:cs="Arial"/>
          <w:sz w:val="20"/>
          <w:szCs w:val="20"/>
        </w:rPr>
        <w:t xml:space="preserve">, T., Mizuno, A., Kohno, T., Nakano, S., </w:t>
      </w:r>
      <w:proofErr w:type="spellStart"/>
      <w:r w:rsidRPr="0096144E">
        <w:rPr>
          <w:rFonts w:ascii="Arial" w:hAnsi="Arial" w:cs="Arial"/>
          <w:sz w:val="20"/>
          <w:szCs w:val="20"/>
        </w:rPr>
        <w:t>Shiraishi</w:t>
      </w:r>
      <w:proofErr w:type="spellEnd"/>
      <w:r w:rsidRPr="0096144E">
        <w:rPr>
          <w:rFonts w:ascii="Arial" w:hAnsi="Arial" w:cs="Arial"/>
          <w:sz w:val="20"/>
          <w:szCs w:val="20"/>
        </w:rPr>
        <w:t xml:space="preserve">, Y., </w:t>
      </w:r>
      <w:r w:rsidR="00AA2333" w:rsidRPr="0096144E">
        <w:rPr>
          <w:rFonts w:ascii="Arial" w:hAnsi="Arial" w:cs="Arial"/>
          <w:sz w:val="20"/>
          <w:szCs w:val="20"/>
        </w:rPr>
        <w:t>et al.</w:t>
      </w:r>
      <w:r w:rsidRPr="0096144E">
        <w:rPr>
          <w:rFonts w:ascii="Arial" w:hAnsi="Arial" w:cs="Arial"/>
          <w:sz w:val="20"/>
          <w:szCs w:val="20"/>
        </w:rPr>
        <w:t xml:space="preserve"> (2019). Clinical implications of the blood urea nitrogen/creatinine ratio in heart failure and their association with </w:t>
      </w:r>
      <w:proofErr w:type="spellStart"/>
      <w:r w:rsidRPr="0096144E">
        <w:rPr>
          <w:rFonts w:ascii="Arial" w:hAnsi="Arial" w:cs="Arial"/>
          <w:sz w:val="20"/>
          <w:szCs w:val="20"/>
        </w:rPr>
        <w:t>haemoconcentration</w:t>
      </w:r>
      <w:proofErr w:type="spellEnd"/>
      <w:r w:rsidRPr="0096144E">
        <w:rPr>
          <w:rFonts w:ascii="Arial" w:hAnsi="Arial" w:cs="Arial"/>
          <w:sz w:val="20"/>
          <w:szCs w:val="20"/>
        </w:rPr>
        <w:t xml:space="preserve">. </w:t>
      </w:r>
      <w:r w:rsidRPr="0096144E">
        <w:rPr>
          <w:rFonts w:ascii="Arial" w:hAnsi="Arial" w:cs="Arial"/>
          <w:i/>
          <w:iCs/>
          <w:sz w:val="20"/>
          <w:szCs w:val="20"/>
        </w:rPr>
        <w:t>ESC Heart Failure</w:t>
      </w:r>
      <w:r w:rsidRPr="0096144E">
        <w:rPr>
          <w:rFonts w:ascii="Arial" w:hAnsi="Arial" w:cs="Arial"/>
          <w:sz w:val="20"/>
          <w:szCs w:val="20"/>
        </w:rPr>
        <w:t xml:space="preserve">, </w:t>
      </w:r>
      <w:r w:rsidRPr="0096144E">
        <w:rPr>
          <w:rFonts w:ascii="Arial" w:hAnsi="Arial" w:cs="Arial"/>
          <w:i/>
          <w:iCs/>
          <w:sz w:val="20"/>
          <w:szCs w:val="20"/>
        </w:rPr>
        <w:t>6</w:t>
      </w:r>
      <w:r w:rsidRPr="0096144E">
        <w:rPr>
          <w:rFonts w:ascii="Arial" w:hAnsi="Arial" w:cs="Arial"/>
          <w:sz w:val="20"/>
          <w:szCs w:val="20"/>
        </w:rPr>
        <w:t xml:space="preserve">(6), 1274–1282. </w:t>
      </w:r>
      <w:hyperlink r:id="rId22" w:history="1">
        <w:r w:rsidR="00AA2333" w:rsidRPr="0096144E">
          <w:rPr>
            <w:rStyle w:val="Hyperlink"/>
            <w:rFonts w:ascii="Arial" w:hAnsi="Arial" w:cs="Arial"/>
            <w:sz w:val="20"/>
            <w:szCs w:val="20"/>
          </w:rPr>
          <w:t>https://doi.org/10.1002/ehf2.12531</w:t>
        </w:r>
      </w:hyperlink>
      <w:r w:rsidR="00AA2333" w:rsidRPr="0096144E">
        <w:rPr>
          <w:rFonts w:ascii="Arial" w:hAnsi="Arial" w:cs="Arial"/>
          <w:sz w:val="20"/>
          <w:szCs w:val="20"/>
        </w:rPr>
        <w:t xml:space="preserve"> </w:t>
      </w:r>
    </w:p>
    <w:bookmarkEnd w:id="22"/>
    <w:p w14:paraId="1C1AAB34" w14:textId="77777777" w:rsidR="00942491" w:rsidRPr="0096144E" w:rsidRDefault="00942491" w:rsidP="004E4442">
      <w:pPr>
        <w:jc w:val="both"/>
        <w:rPr>
          <w:rFonts w:ascii="Arial" w:hAnsi="Arial" w:cs="Arial"/>
          <w:sz w:val="20"/>
          <w:szCs w:val="20"/>
        </w:rPr>
      </w:pPr>
    </w:p>
    <w:p w14:paraId="4626B318" w14:textId="25FB55A9" w:rsidR="00942491" w:rsidRPr="0096144E" w:rsidRDefault="00BB42FD" w:rsidP="004E4442">
      <w:pPr>
        <w:jc w:val="both"/>
        <w:rPr>
          <w:rFonts w:ascii="Arial" w:hAnsi="Arial" w:cs="Arial"/>
          <w:sz w:val="20"/>
          <w:szCs w:val="20"/>
        </w:rPr>
      </w:pPr>
      <w:bookmarkStart w:id="23" w:name="2ad75a7206ea3e84ac3d7a76a0ee5331_ref"/>
      <w:proofErr w:type="spellStart"/>
      <w:r w:rsidRPr="0096144E">
        <w:rPr>
          <w:rFonts w:ascii="Arial" w:hAnsi="Arial" w:cs="Arial"/>
          <w:sz w:val="20"/>
          <w:szCs w:val="20"/>
        </w:rPr>
        <w:t>Yezli</w:t>
      </w:r>
      <w:proofErr w:type="spellEnd"/>
      <w:r w:rsidRPr="0096144E">
        <w:rPr>
          <w:rFonts w:ascii="Arial" w:hAnsi="Arial" w:cs="Arial"/>
          <w:sz w:val="20"/>
          <w:szCs w:val="20"/>
        </w:rPr>
        <w:t xml:space="preserve">, S., </w:t>
      </w:r>
      <w:proofErr w:type="spellStart"/>
      <w:r w:rsidRPr="0096144E">
        <w:rPr>
          <w:rFonts w:ascii="Arial" w:hAnsi="Arial" w:cs="Arial"/>
          <w:sz w:val="20"/>
          <w:szCs w:val="20"/>
        </w:rPr>
        <w:t>Ehaideb</w:t>
      </w:r>
      <w:proofErr w:type="spellEnd"/>
      <w:r w:rsidRPr="0096144E">
        <w:rPr>
          <w:rFonts w:ascii="Arial" w:hAnsi="Arial" w:cs="Arial"/>
          <w:sz w:val="20"/>
          <w:szCs w:val="20"/>
        </w:rPr>
        <w:t xml:space="preserve">, S., Yassin, Y., Alotaibi, B., &amp; </w:t>
      </w:r>
      <w:proofErr w:type="spellStart"/>
      <w:r w:rsidRPr="0096144E">
        <w:rPr>
          <w:rFonts w:ascii="Arial" w:hAnsi="Arial" w:cs="Arial"/>
          <w:sz w:val="20"/>
          <w:szCs w:val="20"/>
        </w:rPr>
        <w:t>Bouchama</w:t>
      </w:r>
      <w:proofErr w:type="spellEnd"/>
      <w:r w:rsidRPr="0096144E">
        <w:rPr>
          <w:rFonts w:ascii="Arial" w:hAnsi="Arial" w:cs="Arial"/>
          <w:sz w:val="20"/>
          <w:szCs w:val="20"/>
        </w:rPr>
        <w:t xml:space="preserve">, A. (2024). Escalating climate-related health risks for Hajj pilgrims to Mecca. </w:t>
      </w:r>
      <w:r w:rsidRPr="0096144E">
        <w:rPr>
          <w:rFonts w:ascii="Arial" w:hAnsi="Arial" w:cs="Arial"/>
          <w:i/>
          <w:iCs/>
          <w:sz w:val="20"/>
          <w:szCs w:val="20"/>
        </w:rPr>
        <w:t>Journal of Travel Medicine</w:t>
      </w:r>
      <w:r w:rsidRPr="0096144E">
        <w:rPr>
          <w:rFonts w:ascii="Arial" w:hAnsi="Arial" w:cs="Arial"/>
          <w:sz w:val="20"/>
          <w:szCs w:val="20"/>
        </w:rPr>
        <w:t xml:space="preserve">, </w:t>
      </w:r>
      <w:r w:rsidRPr="0096144E">
        <w:rPr>
          <w:rFonts w:ascii="Arial" w:hAnsi="Arial" w:cs="Arial"/>
          <w:i/>
          <w:iCs/>
          <w:sz w:val="20"/>
          <w:szCs w:val="20"/>
        </w:rPr>
        <w:t>31</w:t>
      </w:r>
      <w:r w:rsidRPr="0096144E">
        <w:rPr>
          <w:rFonts w:ascii="Arial" w:hAnsi="Arial" w:cs="Arial"/>
          <w:sz w:val="20"/>
          <w:szCs w:val="20"/>
        </w:rPr>
        <w:t xml:space="preserve">(4). </w:t>
      </w:r>
      <w:hyperlink r:id="rId23" w:history="1">
        <w:r w:rsidR="00AA2333" w:rsidRPr="0096144E">
          <w:rPr>
            <w:rStyle w:val="Hyperlink"/>
            <w:rFonts w:ascii="Arial" w:hAnsi="Arial" w:cs="Arial"/>
            <w:sz w:val="20"/>
            <w:szCs w:val="20"/>
          </w:rPr>
          <w:t>https://doi.org/10.1093/jtm/taae042</w:t>
        </w:r>
      </w:hyperlink>
      <w:r w:rsidR="00AA2333" w:rsidRPr="0096144E">
        <w:rPr>
          <w:rFonts w:ascii="Arial" w:hAnsi="Arial" w:cs="Arial"/>
          <w:sz w:val="20"/>
          <w:szCs w:val="20"/>
        </w:rPr>
        <w:t xml:space="preserve"> </w:t>
      </w:r>
    </w:p>
    <w:bookmarkEnd w:id="23"/>
    <w:p w14:paraId="55B18B51" w14:textId="77777777" w:rsidR="00942491" w:rsidRPr="0096144E" w:rsidRDefault="00942491" w:rsidP="004E4442">
      <w:pPr>
        <w:jc w:val="both"/>
        <w:rPr>
          <w:rFonts w:ascii="Arial" w:hAnsi="Arial" w:cs="Arial"/>
          <w:sz w:val="20"/>
          <w:szCs w:val="20"/>
        </w:rPr>
      </w:pPr>
    </w:p>
    <w:p w14:paraId="173A75F9" w14:textId="78C21181" w:rsidR="00942491" w:rsidRPr="0096144E" w:rsidRDefault="00BB42FD" w:rsidP="004E4442">
      <w:pPr>
        <w:jc w:val="both"/>
        <w:rPr>
          <w:rFonts w:ascii="Arial" w:hAnsi="Arial" w:cs="Arial"/>
          <w:sz w:val="20"/>
          <w:szCs w:val="20"/>
        </w:rPr>
      </w:pPr>
      <w:bookmarkStart w:id="24" w:name="c16a307cabb23935b0b7f4d8b94ecb4b_ref"/>
      <w:proofErr w:type="spellStart"/>
      <w:r w:rsidRPr="0096144E">
        <w:rPr>
          <w:rFonts w:ascii="Arial" w:hAnsi="Arial" w:cs="Arial"/>
          <w:sz w:val="20"/>
          <w:szCs w:val="20"/>
        </w:rPr>
        <w:t>Yezli</w:t>
      </w:r>
      <w:proofErr w:type="spellEnd"/>
      <w:r w:rsidRPr="0096144E">
        <w:rPr>
          <w:rFonts w:ascii="Arial" w:hAnsi="Arial" w:cs="Arial"/>
          <w:sz w:val="20"/>
          <w:szCs w:val="20"/>
        </w:rPr>
        <w:t xml:space="preserve">, S., </w:t>
      </w:r>
      <w:proofErr w:type="spellStart"/>
      <w:r w:rsidRPr="0096144E">
        <w:rPr>
          <w:rFonts w:ascii="Arial" w:hAnsi="Arial" w:cs="Arial"/>
          <w:sz w:val="20"/>
          <w:szCs w:val="20"/>
        </w:rPr>
        <w:t>Mushi</w:t>
      </w:r>
      <w:proofErr w:type="spellEnd"/>
      <w:r w:rsidRPr="0096144E">
        <w:rPr>
          <w:rFonts w:ascii="Arial" w:hAnsi="Arial" w:cs="Arial"/>
          <w:sz w:val="20"/>
          <w:szCs w:val="20"/>
        </w:rPr>
        <w:t xml:space="preserve">, A., </w:t>
      </w:r>
      <w:proofErr w:type="spellStart"/>
      <w:r w:rsidRPr="0096144E">
        <w:rPr>
          <w:rFonts w:ascii="Arial" w:hAnsi="Arial" w:cs="Arial"/>
          <w:sz w:val="20"/>
          <w:szCs w:val="20"/>
        </w:rPr>
        <w:t>Almuzaini</w:t>
      </w:r>
      <w:proofErr w:type="spellEnd"/>
      <w:r w:rsidRPr="0096144E">
        <w:rPr>
          <w:rFonts w:ascii="Arial" w:hAnsi="Arial" w:cs="Arial"/>
          <w:sz w:val="20"/>
          <w:szCs w:val="20"/>
        </w:rPr>
        <w:t xml:space="preserve">, Y., </w:t>
      </w:r>
      <w:proofErr w:type="spellStart"/>
      <w:r w:rsidRPr="0096144E">
        <w:rPr>
          <w:rFonts w:ascii="Arial" w:hAnsi="Arial" w:cs="Arial"/>
          <w:sz w:val="20"/>
          <w:szCs w:val="20"/>
        </w:rPr>
        <w:t>Balkhi</w:t>
      </w:r>
      <w:proofErr w:type="spellEnd"/>
      <w:r w:rsidRPr="0096144E">
        <w:rPr>
          <w:rFonts w:ascii="Arial" w:hAnsi="Arial" w:cs="Arial"/>
          <w:sz w:val="20"/>
          <w:szCs w:val="20"/>
        </w:rPr>
        <w:t xml:space="preserve">, B., Yassin, Y., &amp; Khan, A. (2021). Prevalence of Diabetes and Hypertension among Hajj Pilgrims: A Systematic Review. </w:t>
      </w:r>
      <w:r w:rsidRPr="0096144E">
        <w:rPr>
          <w:rFonts w:ascii="Arial" w:hAnsi="Arial" w:cs="Arial"/>
          <w:i/>
          <w:iCs/>
          <w:sz w:val="20"/>
          <w:szCs w:val="20"/>
        </w:rPr>
        <w:t>International Journal of Environmental Research and Public Health</w:t>
      </w:r>
      <w:r w:rsidRPr="0096144E">
        <w:rPr>
          <w:rFonts w:ascii="Arial" w:hAnsi="Arial" w:cs="Arial"/>
          <w:sz w:val="20"/>
          <w:szCs w:val="20"/>
        </w:rPr>
        <w:t xml:space="preserve">, </w:t>
      </w:r>
      <w:r w:rsidRPr="0096144E">
        <w:rPr>
          <w:rFonts w:ascii="Arial" w:hAnsi="Arial" w:cs="Arial"/>
          <w:i/>
          <w:iCs/>
          <w:sz w:val="20"/>
          <w:szCs w:val="20"/>
        </w:rPr>
        <w:t>18</w:t>
      </w:r>
      <w:r w:rsidRPr="0096144E">
        <w:rPr>
          <w:rFonts w:ascii="Arial" w:hAnsi="Arial" w:cs="Arial"/>
          <w:sz w:val="20"/>
          <w:szCs w:val="20"/>
        </w:rPr>
        <w:t xml:space="preserve">(3), 1155. </w:t>
      </w:r>
      <w:hyperlink r:id="rId24" w:history="1">
        <w:r w:rsidR="00AA2333" w:rsidRPr="0096144E">
          <w:rPr>
            <w:rStyle w:val="Hyperlink"/>
            <w:rFonts w:ascii="Arial" w:hAnsi="Arial" w:cs="Arial"/>
            <w:sz w:val="20"/>
            <w:szCs w:val="20"/>
          </w:rPr>
          <w:t>https://doi.org/10.3390/ijerph18031155</w:t>
        </w:r>
      </w:hyperlink>
      <w:r w:rsidR="00AA2333" w:rsidRPr="0096144E">
        <w:rPr>
          <w:rFonts w:ascii="Arial" w:hAnsi="Arial" w:cs="Arial"/>
          <w:sz w:val="20"/>
          <w:szCs w:val="20"/>
        </w:rPr>
        <w:t xml:space="preserve"> </w:t>
      </w:r>
    </w:p>
    <w:bookmarkEnd w:id="24"/>
    <w:p w14:paraId="38CC993D" w14:textId="77777777" w:rsidR="00942491" w:rsidRPr="0096144E" w:rsidRDefault="00942491" w:rsidP="004E4442">
      <w:pPr>
        <w:jc w:val="both"/>
        <w:rPr>
          <w:rFonts w:ascii="Arial" w:hAnsi="Arial" w:cs="Arial"/>
          <w:sz w:val="20"/>
          <w:szCs w:val="20"/>
        </w:rPr>
      </w:pPr>
    </w:p>
    <w:p w14:paraId="1C1F9374" w14:textId="288F00FD" w:rsidR="00942491" w:rsidRPr="0096144E" w:rsidRDefault="00BB42FD" w:rsidP="004E4442">
      <w:pPr>
        <w:jc w:val="both"/>
        <w:rPr>
          <w:rFonts w:ascii="Arial" w:hAnsi="Arial" w:cs="Arial"/>
          <w:sz w:val="20"/>
          <w:szCs w:val="20"/>
        </w:rPr>
      </w:pPr>
      <w:bookmarkStart w:id="25" w:name="fddc33601bc13abbb7598825dc66c599_ref"/>
      <w:r w:rsidRPr="0096144E">
        <w:rPr>
          <w:rFonts w:ascii="Arial" w:hAnsi="Arial" w:cs="Arial"/>
          <w:sz w:val="20"/>
          <w:szCs w:val="20"/>
        </w:rPr>
        <w:lastRenderedPageBreak/>
        <w:t xml:space="preserve">You, S., Zheng, D., Zhong, C., Wang, X., Tang, W., Sheng, L., </w:t>
      </w:r>
      <w:r w:rsidR="00AA2333" w:rsidRPr="0096144E">
        <w:rPr>
          <w:rFonts w:ascii="Arial" w:hAnsi="Arial" w:cs="Arial"/>
          <w:sz w:val="20"/>
          <w:szCs w:val="20"/>
        </w:rPr>
        <w:t>et al</w:t>
      </w:r>
      <w:r w:rsidRPr="0096144E">
        <w:rPr>
          <w:rFonts w:ascii="Arial" w:hAnsi="Arial" w:cs="Arial"/>
          <w:sz w:val="20"/>
          <w:szCs w:val="20"/>
        </w:rPr>
        <w:t xml:space="preserve">. (2017). Prognostic Significance of Blood Urea Nitrogen in Acute Ischemic Stroke. </w:t>
      </w:r>
      <w:r w:rsidRPr="0096144E">
        <w:rPr>
          <w:rFonts w:ascii="Arial" w:hAnsi="Arial" w:cs="Arial"/>
          <w:i/>
          <w:iCs/>
          <w:sz w:val="20"/>
          <w:szCs w:val="20"/>
        </w:rPr>
        <w:t>Circulation Journal : Official Journal of the Japanese Circulation Society</w:t>
      </w:r>
      <w:r w:rsidRPr="0096144E">
        <w:rPr>
          <w:rFonts w:ascii="Arial" w:hAnsi="Arial" w:cs="Arial"/>
          <w:sz w:val="20"/>
          <w:szCs w:val="20"/>
        </w:rPr>
        <w:t xml:space="preserve">, </w:t>
      </w:r>
      <w:r w:rsidRPr="0096144E">
        <w:rPr>
          <w:rFonts w:ascii="Arial" w:hAnsi="Arial" w:cs="Arial"/>
          <w:i/>
          <w:iCs/>
          <w:sz w:val="20"/>
          <w:szCs w:val="20"/>
        </w:rPr>
        <w:t>82</w:t>
      </w:r>
      <w:r w:rsidRPr="0096144E">
        <w:rPr>
          <w:rFonts w:ascii="Arial" w:hAnsi="Arial" w:cs="Arial"/>
          <w:sz w:val="20"/>
          <w:szCs w:val="20"/>
        </w:rPr>
        <w:t xml:space="preserve">(2), 572–578. </w:t>
      </w:r>
      <w:hyperlink r:id="rId25" w:history="1">
        <w:r w:rsidR="00AA2333" w:rsidRPr="0096144E">
          <w:rPr>
            <w:rStyle w:val="Hyperlink"/>
            <w:rFonts w:ascii="Arial" w:hAnsi="Arial" w:cs="Arial"/>
            <w:sz w:val="20"/>
            <w:szCs w:val="20"/>
          </w:rPr>
          <w:t>https://doi.org/10.1253/circj.cj-17-0485</w:t>
        </w:r>
      </w:hyperlink>
      <w:r w:rsidR="00AA2333" w:rsidRPr="0096144E">
        <w:rPr>
          <w:rFonts w:ascii="Arial" w:hAnsi="Arial" w:cs="Arial"/>
          <w:sz w:val="20"/>
          <w:szCs w:val="20"/>
        </w:rPr>
        <w:t xml:space="preserve"> </w:t>
      </w:r>
    </w:p>
    <w:bookmarkEnd w:id="25"/>
    <w:p w14:paraId="026877E6" w14:textId="77777777" w:rsidR="00942491" w:rsidRPr="0096144E" w:rsidRDefault="00942491" w:rsidP="004E4442">
      <w:pPr>
        <w:jc w:val="both"/>
        <w:rPr>
          <w:rFonts w:ascii="Arial" w:hAnsi="Arial" w:cs="Arial"/>
          <w:sz w:val="20"/>
          <w:szCs w:val="20"/>
        </w:rPr>
      </w:pPr>
    </w:p>
    <w:p w14:paraId="7CCC7337" w14:textId="77777777" w:rsidR="00942491" w:rsidRPr="0096144E" w:rsidRDefault="00942491" w:rsidP="004E4442">
      <w:pPr>
        <w:jc w:val="both"/>
        <w:rPr>
          <w:rFonts w:ascii="Arial" w:hAnsi="Arial" w:cs="Arial"/>
          <w:sz w:val="20"/>
          <w:szCs w:val="20"/>
        </w:rPr>
      </w:pPr>
    </w:p>
    <w:sectPr w:rsidR="00942491" w:rsidRPr="0096144E">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C95CD" w14:textId="77777777" w:rsidR="0092673E" w:rsidRDefault="0092673E" w:rsidP="004E4442">
      <w:r>
        <w:separator/>
      </w:r>
    </w:p>
  </w:endnote>
  <w:endnote w:type="continuationSeparator" w:id="0">
    <w:p w14:paraId="7CA680B9" w14:textId="77777777" w:rsidR="0092673E" w:rsidRDefault="0092673E" w:rsidP="004E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quot;IBM Plex Sans&quot;, Arial, &quot;Segoe">
    <w:altName w:val="Cambria"/>
    <w:panose1 w:val="00000000000000000000"/>
    <w:charset w:val="00"/>
    <w:family w:val="roman"/>
    <w:notTrueType/>
    <w:pitch w:val="default"/>
  </w:font>
  <w:font w:name="null">
    <w:altName w:val="Cambria"/>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DA277" w14:textId="77777777" w:rsidR="001129E3" w:rsidRDefault="00112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431E" w14:textId="67E3B341" w:rsidR="00BB42FD" w:rsidRPr="004E4442" w:rsidRDefault="00BB42FD">
    <w:pPr>
      <w:pStyle w:val="Footer"/>
      <w:jc w:val="center"/>
      <w:rPr>
        <w:rFonts w:ascii="Calibri" w:hAnsi="Calibri" w:cs="Calibri"/>
      </w:rPr>
    </w:pPr>
    <w:r w:rsidRPr="004E4442">
      <w:rPr>
        <w:rFonts w:ascii="Calibri" w:hAnsi="Calibri" w:cs="Calibri"/>
      </w:rPr>
      <w:t xml:space="preserve">page </w:t>
    </w:r>
    <w:r w:rsidRPr="004E4442">
      <w:rPr>
        <w:rFonts w:ascii="Calibri" w:hAnsi="Calibri" w:cs="Calibri"/>
      </w:rPr>
      <w:fldChar w:fldCharType="begin"/>
    </w:r>
    <w:r w:rsidRPr="004E4442">
      <w:rPr>
        <w:rFonts w:ascii="Calibri" w:hAnsi="Calibri" w:cs="Calibri"/>
      </w:rPr>
      <w:instrText xml:space="preserve"> PAGE  \* Arabic  \* MERGEFORMAT </w:instrText>
    </w:r>
    <w:r w:rsidRPr="004E4442">
      <w:rPr>
        <w:rFonts w:ascii="Calibri" w:hAnsi="Calibri" w:cs="Calibri"/>
      </w:rPr>
      <w:fldChar w:fldCharType="separate"/>
    </w:r>
    <w:r w:rsidR="00BB7D43">
      <w:rPr>
        <w:rFonts w:ascii="Calibri" w:hAnsi="Calibri" w:cs="Calibri"/>
        <w:noProof/>
      </w:rPr>
      <w:t>1</w:t>
    </w:r>
    <w:r w:rsidRPr="004E4442">
      <w:rPr>
        <w:rFonts w:ascii="Calibri" w:hAnsi="Calibri" w:cs="Calibri"/>
      </w:rPr>
      <w:fldChar w:fldCharType="end"/>
    </w:r>
    <w:r w:rsidRPr="004E4442">
      <w:rPr>
        <w:rFonts w:ascii="Calibri" w:hAnsi="Calibri" w:cs="Calibri"/>
      </w:rPr>
      <w:t xml:space="preserve"> of </w:t>
    </w:r>
    <w:r w:rsidRPr="004E4442">
      <w:rPr>
        <w:rFonts w:ascii="Calibri" w:hAnsi="Calibri" w:cs="Calibri"/>
      </w:rPr>
      <w:fldChar w:fldCharType="begin"/>
    </w:r>
    <w:r w:rsidRPr="004E4442">
      <w:rPr>
        <w:rFonts w:ascii="Calibri" w:hAnsi="Calibri" w:cs="Calibri"/>
      </w:rPr>
      <w:instrText xml:space="preserve"> NUMPAGES  \* Arabic  \* MERGEFORMAT </w:instrText>
    </w:r>
    <w:r w:rsidRPr="004E4442">
      <w:rPr>
        <w:rFonts w:ascii="Calibri" w:hAnsi="Calibri" w:cs="Calibri"/>
      </w:rPr>
      <w:fldChar w:fldCharType="separate"/>
    </w:r>
    <w:r w:rsidR="00BB7D43">
      <w:rPr>
        <w:rFonts w:ascii="Calibri" w:hAnsi="Calibri" w:cs="Calibri"/>
        <w:noProof/>
      </w:rPr>
      <w:t>16</w:t>
    </w:r>
    <w:r w:rsidRPr="004E4442">
      <w:rPr>
        <w:rFonts w:ascii="Calibri" w:hAnsi="Calibri" w:cs="Calibri"/>
      </w:rPr>
      <w:fldChar w:fldCharType="end"/>
    </w:r>
  </w:p>
  <w:p w14:paraId="083238AD" w14:textId="77777777" w:rsidR="00BB42FD" w:rsidRDefault="00BB4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8C375" w14:textId="77777777" w:rsidR="001129E3" w:rsidRDefault="00112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75AF4" w14:textId="77777777" w:rsidR="0092673E" w:rsidRDefault="0092673E" w:rsidP="004E4442">
      <w:r>
        <w:separator/>
      </w:r>
    </w:p>
  </w:footnote>
  <w:footnote w:type="continuationSeparator" w:id="0">
    <w:p w14:paraId="6AF7716A" w14:textId="77777777" w:rsidR="0092673E" w:rsidRDefault="0092673E" w:rsidP="004E4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E0F8B" w14:textId="605931A6" w:rsidR="001129E3" w:rsidRDefault="001129E3">
    <w:pPr>
      <w:pStyle w:val="Header"/>
    </w:pPr>
    <w:r>
      <w:rPr>
        <w:noProof/>
      </w:rPr>
      <w:pict w14:anchorId="266A8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67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67C01" w14:textId="073B8AC4" w:rsidR="001129E3" w:rsidRDefault="001129E3">
    <w:pPr>
      <w:pStyle w:val="Header"/>
    </w:pPr>
    <w:r>
      <w:rPr>
        <w:noProof/>
      </w:rPr>
      <w:pict w14:anchorId="2DEA0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67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96EB" w14:textId="66C18CFB" w:rsidR="001129E3" w:rsidRDefault="001129E3">
    <w:pPr>
      <w:pStyle w:val="Header"/>
    </w:pPr>
    <w:r>
      <w:rPr>
        <w:noProof/>
      </w:rPr>
      <w:pict w14:anchorId="74EDE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67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4E9ADE92">
      <w:start w:val="1"/>
      <w:numFmt w:val="bullet"/>
      <w:lvlText w:val="•"/>
      <w:lvlJc w:val="left"/>
      <w:pPr>
        <w:tabs>
          <w:tab w:val="num" w:pos="180"/>
        </w:tabs>
        <w:ind w:left="180" w:hanging="180"/>
      </w:pPr>
      <w:rPr>
        <w:rFonts w:ascii="Symbol" w:eastAsia="Symbol" w:hAnsi="Symbol" w:cs="Symbol"/>
      </w:rPr>
    </w:lvl>
    <w:lvl w:ilvl="1" w:tplc="4B160676">
      <w:start w:val="1"/>
      <w:numFmt w:val="bullet"/>
      <w:lvlText w:val="•"/>
      <w:lvlJc w:val="left"/>
      <w:pPr>
        <w:tabs>
          <w:tab w:val="num" w:pos="540"/>
        </w:tabs>
        <w:ind w:left="540" w:hanging="180"/>
      </w:pPr>
      <w:rPr>
        <w:rFonts w:ascii="Symbol" w:eastAsia="Symbol" w:hAnsi="Symbol" w:cs="Symbol"/>
      </w:rPr>
    </w:lvl>
    <w:lvl w:ilvl="2" w:tplc="21D664C0">
      <w:start w:val="1"/>
      <w:numFmt w:val="bullet"/>
      <w:lvlText w:val="•"/>
      <w:lvlJc w:val="left"/>
      <w:pPr>
        <w:tabs>
          <w:tab w:val="num" w:pos="900"/>
        </w:tabs>
        <w:ind w:left="900" w:hanging="180"/>
      </w:pPr>
      <w:rPr>
        <w:rFonts w:ascii="Symbol" w:eastAsia="Symbol" w:hAnsi="Symbol" w:cs="Symbol"/>
      </w:rPr>
    </w:lvl>
    <w:lvl w:ilvl="3" w:tplc="ABFA4BAE">
      <w:start w:val="1"/>
      <w:numFmt w:val="bullet"/>
      <w:lvlText w:val="•"/>
      <w:lvlJc w:val="left"/>
      <w:pPr>
        <w:tabs>
          <w:tab w:val="num" w:pos="1260"/>
        </w:tabs>
        <w:ind w:left="1260" w:hanging="180"/>
      </w:pPr>
      <w:rPr>
        <w:rFonts w:ascii="Symbol" w:eastAsia="Symbol" w:hAnsi="Symbol" w:cs="Symbol"/>
      </w:rPr>
    </w:lvl>
    <w:lvl w:ilvl="4" w:tplc="D9041566">
      <w:start w:val="1"/>
      <w:numFmt w:val="bullet"/>
      <w:lvlText w:val="•"/>
      <w:lvlJc w:val="left"/>
      <w:pPr>
        <w:tabs>
          <w:tab w:val="num" w:pos="1620"/>
        </w:tabs>
        <w:ind w:left="1620" w:hanging="180"/>
      </w:pPr>
      <w:rPr>
        <w:rFonts w:ascii="Symbol" w:eastAsia="Symbol" w:hAnsi="Symbol" w:cs="Symbol"/>
      </w:rPr>
    </w:lvl>
    <w:lvl w:ilvl="5" w:tplc="49CA4F28">
      <w:start w:val="1"/>
      <w:numFmt w:val="bullet"/>
      <w:lvlText w:val="•"/>
      <w:lvlJc w:val="left"/>
      <w:pPr>
        <w:tabs>
          <w:tab w:val="num" w:pos="1980"/>
        </w:tabs>
        <w:ind w:left="1980" w:hanging="180"/>
      </w:pPr>
      <w:rPr>
        <w:rFonts w:ascii="Symbol" w:eastAsia="Symbol" w:hAnsi="Symbol" w:cs="Symbol"/>
      </w:rPr>
    </w:lvl>
    <w:lvl w:ilvl="6" w:tplc="0F12619C">
      <w:start w:val="1"/>
      <w:numFmt w:val="bullet"/>
      <w:lvlText w:val="•"/>
      <w:lvlJc w:val="left"/>
      <w:pPr>
        <w:tabs>
          <w:tab w:val="num" w:pos="2340"/>
        </w:tabs>
        <w:ind w:left="2340" w:hanging="180"/>
      </w:pPr>
      <w:rPr>
        <w:rFonts w:ascii="Symbol" w:eastAsia="Symbol" w:hAnsi="Symbol" w:cs="Symbol"/>
      </w:rPr>
    </w:lvl>
    <w:lvl w:ilvl="7" w:tplc="1924C4A8">
      <w:start w:val="1"/>
      <w:numFmt w:val="bullet"/>
      <w:lvlText w:val="•"/>
      <w:lvlJc w:val="left"/>
      <w:pPr>
        <w:tabs>
          <w:tab w:val="num" w:pos="2700"/>
        </w:tabs>
        <w:ind w:left="2700" w:hanging="180"/>
      </w:pPr>
      <w:rPr>
        <w:rFonts w:ascii="Symbol" w:eastAsia="Symbol" w:hAnsi="Symbol" w:cs="Symbol"/>
      </w:rPr>
    </w:lvl>
    <w:lvl w:ilvl="8" w:tplc="E6E46A6E">
      <w:start w:val="1"/>
      <w:numFmt w:val="bullet"/>
      <w:lvlText w:val="•"/>
      <w:lvlJc w:val="left"/>
      <w:pPr>
        <w:tabs>
          <w:tab w:val="num" w:pos="3060"/>
        </w:tabs>
        <w:ind w:left="3060" w:hanging="180"/>
      </w:pPr>
      <w:rPr>
        <w:rFonts w:ascii="Symbol" w:eastAsia="Symbol" w:hAnsi="Symbol" w:cs="Symbol"/>
      </w:rPr>
    </w:lvl>
  </w:abstractNum>
  <w:abstractNum w:abstractNumId="1" w15:restartNumberingAfterBreak="0">
    <w:nsid w:val="00000002"/>
    <w:multiLevelType w:val="hybridMultilevel"/>
    <w:tmpl w:val="00000002"/>
    <w:lvl w:ilvl="0" w:tplc="CEBC7700">
      <w:start w:val="1"/>
      <w:numFmt w:val="bullet"/>
      <w:lvlText w:val="•"/>
      <w:lvlJc w:val="left"/>
      <w:pPr>
        <w:tabs>
          <w:tab w:val="num" w:pos="180"/>
        </w:tabs>
        <w:ind w:left="180" w:hanging="180"/>
      </w:pPr>
      <w:rPr>
        <w:rFonts w:ascii="Symbol" w:eastAsia="Symbol" w:hAnsi="Symbol" w:cs="Symbol"/>
      </w:rPr>
    </w:lvl>
    <w:lvl w:ilvl="1" w:tplc="B712BAF8">
      <w:start w:val="1"/>
      <w:numFmt w:val="bullet"/>
      <w:lvlText w:val="•"/>
      <w:lvlJc w:val="left"/>
      <w:pPr>
        <w:tabs>
          <w:tab w:val="num" w:pos="540"/>
        </w:tabs>
        <w:ind w:left="540" w:hanging="180"/>
      </w:pPr>
      <w:rPr>
        <w:rFonts w:ascii="Symbol" w:eastAsia="Symbol" w:hAnsi="Symbol" w:cs="Symbol"/>
      </w:rPr>
    </w:lvl>
    <w:lvl w:ilvl="2" w:tplc="2C72646C">
      <w:start w:val="1"/>
      <w:numFmt w:val="bullet"/>
      <w:lvlText w:val="•"/>
      <w:lvlJc w:val="left"/>
      <w:pPr>
        <w:tabs>
          <w:tab w:val="num" w:pos="900"/>
        </w:tabs>
        <w:ind w:left="900" w:hanging="180"/>
      </w:pPr>
      <w:rPr>
        <w:rFonts w:ascii="Symbol" w:eastAsia="Symbol" w:hAnsi="Symbol" w:cs="Symbol"/>
      </w:rPr>
    </w:lvl>
    <w:lvl w:ilvl="3" w:tplc="F7F86988">
      <w:start w:val="1"/>
      <w:numFmt w:val="bullet"/>
      <w:lvlText w:val="•"/>
      <w:lvlJc w:val="left"/>
      <w:pPr>
        <w:tabs>
          <w:tab w:val="num" w:pos="1260"/>
        </w:tabs>
        <w:ind w:left="1260" w:hanging="180"/>
      </w:pPr>
      <w:rPr>
        <w:rFonts w:ascii="Symbol" w:eastAsia="Symbol" w:hAnsi="Symbol" w:cs="Symbol"/>
      </w:rPr>
    </w:lvl>
    <w:lvl w:ilvl="4" w:tplc="165AED2A">
      <w:start w:val="1"/>
      <w:numFmt w:val="bullet"/>
      <w:lvlText w:val="•"/>
      <w:lvlJc w:val="left"/>
      <w:pPr>
        <w:tabs>
          <w:tab w:val="num" w:pos="1620"/>
        </w:tabs>
        <w:ind w:left="1620" w:hanging="180"/>
      </w:pPr>
      <w:rPr>
        <w:rFonts w:ascii="Symbol" w:eastAsia="Symbol" w:hAnsi="Symbol" w:cs="Symbol"/>
      </w:rPr>
    </w:lvl>
    <w:lvl w:ilvl="5" w:tplc="11EE5CC0">
      <w:start w:val="1"/>
      <w:numFmt w:val="bullet"/>
      <w:lvlText w:val="•"/>
      <w:lvlJc w:val="left"/>
      <w:pPr>
        <w:tabs>
          <w:tab w:val="num" w:pos="1980"/>
        </w:tabs>
        <w:ind w:left="1980" w:hanging="180"/>
      </w:pPr>
      <w:rPr>
        <w:rFonts w:ascii="Symbol" w:eastAsia="Symbol" w:hAnsi="Symbol" w:cs="Symbol"/>
      </w:rPr>
    </w:lvl>
    <w:lvl w:ilvl="6" w:tplc="8C2CD8AA">
      <w:start w:val="1"/>
      <w:numFmt w:val="bullet"/>
      <w:lvlText w:val="•"/>
      <w:lvlJc w:val="left"/>
      <w:pPr>
        <w:tabs>
          <w:tab w:val="num" w:pos="2340"/>
        </w:tabs>
        <w:ind w:left="2340" w:hanging="180"/>
      </w:pPr>
      <w:rPr>
        <w:rFonts w:ascii="Symbol" w:eastAsia="Symbol" w:hAnsi="Symbol" w:cs="Symbol"/>
      </w:rPr>
    </w:lvl>
    <w:lvl w:ilvl="7" w:tplc="9DD44368">
      <w:start w:val="1"/>
      <w:numFmt w:val="bullet"/>
      <w:lvlText w:val="•"/>
      <w:lvlJc w:val="left"/>
      <w:pPr>
        <w:tabs>
          <w:tab w:val="num" w:pos="2700"/>
        </w:tabs>
        <w:ind w:left="2700" w:hanging="180"/>
      </w:pPr>
      <w:rPr>
        <w:rFonts w:ascii="Symbol" w:eastAsia="Symbol" w:hAnsi="Symbol" w:cs="Symbol"/>
      </w:rPr>
    </w:lvl>
    <w:lvl w:ilvl="8" w:tplc="4BEAA4EC">
      <w:start w:val="1"/>
      <w:numFmt w:val="bullet"/>
      <w:lvlText w:val="•"/>
      <w:lvlJc w:val="left"/>
      <w:pPr>
        <w:tabs>
          <w:tab w:val="num" w:pos="3060"/>
        </w:tabs>
        <w:ind w:left="3060" w:hanging="180"/>
      </w:pPr>
      <w:rPr>
        <w:rFonts w:ascii="Symbol" w:eastAsia="Symbol" w:hAnsi="Symbol" w:cs="Symbol"/>
      </w:rPr>
    </w:lvl>
  </w:abstractNum>
  <w:abstractNum w:abstractNumId="2" w15:restartNumberingAfterBreak="0">
    <w:nsid w:val="00000003"/>
    <w:multiLevelType w:val="hybridMultilevel"/>
    <w:tmpl w:val="00000003"/>
    <w:lvl w:ilvl="0" w:tplc="12F244F4">
      <w:start w:val="1"/>
      <w:numFmt w:val="bullet"/>
      <w:lvlText w:val="•"/>
      <w:lvlJc w:val="left"/>
      <w:pPr>
        <w:tabs>
          <w:tab w:val="num" w:pos="180"/>
        </w:tabs>
        <w:ind w:left="180" w:hanging="180"/>
      </w:pPr>
      <w:rPr>
        <w:rFonts w:ascii="Symbol" w:eastAsia="Symbol" w:hAnsi="Symbol" w:cs="Symbol"/>
      </w:rPr>
    </w:lvl>
    <w:lvl w:ilvl="1" w:tplc="911E92D2">
      <w:start w:val="1"/>
      <w:numFmt w:val="bullet"/>
      <w:lvlText w:val="•"/>
      <w:lvlJc w:val="left"/>
      <w:pPr>
        <w:tabs>
          <w:tab w:val="num" w:pos="540"/>
        </w:tabs>
        <w:ind w:left="540" w:hanging="180"/>
      </w:pPr>
      <w:rPr>
        <w:rFonts w:ascii="Symbol" w:eastAsia="Symbol" w:hAnsi="Symbol" w:cs="Symbol"/>
      </w:rPr>
    </w:lvl>
    <w:lvl w:ilvl="2" w:tplc="FC968FC0">
      <w:start w:val="1"/>
      <w:numFmt w:val="bullet"/>
      <w:lvlText w:val="•"/>
      <w:lvlJc w:val="left"/>
      <w:pPr>
        <w:tabs>
          <w:tab w:val="num" w:pos="900"/>
        </w:tabs>
        <w:ind w:left="900" w:hanging="180"/>
      </w:pPr>
      <w:rPr>
        <w:rFonts w:ascii="Symbol" w:eastAsia="Symbol" w:hAnsi="Symbol" w:cs="Symbol"/>
      </w:rPr>
    </w:lvl>
    <w:lvl w:ilvl="3" w:tplc="34343638">
      <w:start w:val="1"/>
      <w:numFmt w:val="bullet"/>
      <w:lvlText w:val="•"/>
      <w:lvlJc w:val="left"/>
      <w:pPr>
        <w:tabs>
          <w:tab w:val="num" w:pos="1260"/>
        </w:tabs>
        <w:ind w:left="1260" w:hanging="180"/>
      </w:pPr>
      <w:rPr>
        <w:rFonts w:ascii="Symbol" w:eastAsia="Symbol" w:hAnsi="Symbol" w:cs="Symbol"/>
      </w:rPr>
    </w:lvl>
    <w:lvl w:ilvl="4" w:tplc="8EC234B8">
      <w:start w:val="1"/>
      <w:numFmt w:val="bullet"/>
      <w:lvlText w:val="•"/>
      <w:lvlJc w:val="left"/>
      <w:pPr>
        <w:tabs>
          <w:tab w:val="num" w:pos="1620"/>
        </w:tabs>
        <w:ind w:left="1620" w:hanging="180"/>
      </w:pPr>
      <w:rPr>
        <w:rFonts w:ascii="Symbol" w:eastAsia="Symbol" w:hAnsi="Symbol" w:cs="Symbol"/>
      </w:rPr>
    </w:lvl>
    <w:lvl w:ilvl="5" w:tplc="DD2EB68A">
      <w:start w:val="1"/>
      <w:numFmt w:val="bullet"/>
      <w:lvlText w:val="•"/>
      <w:lvlJc w:val="left"/>
      <w:pPr>
        <w:tabs>
          <w:tab w:val="num" w:pos="1980"/>
        </w:tabs>
        <w:ind w:left="1980" w:hanging="180"/>
      </w:pPr>
      <w:rPr>
        <w:rFonts w:ascii="Symbol" w:eastAsia="Symbol" w:hAnsi="Symbol" w:cs="Symbol"/>
      </w:rPr>
    </w:lvl>
    <w:lvl w:ilvl="6" w:tplc="4BA2E410">
      <w:start w:val="1"/>
      <w:numFmt w:val="bullet"/>
      <w:lvlText w:val="•"/>
      <w:lvlJc w:val="left"/>
      <w:pPr>
        <w:tabs>
          <w:tab w:val="num" w:pos="2340"/>
        </w:tabs>
        <w:ind w:left="2340" w:hanging="180"/>
      </w:pPr>
      <w:rPr>
        <w:rFonts w:ascii="Symbol" w:eastAsia="Symbol" w:hAnsi="Symbol" w:cs="Symbol"/>
      </w:rPr>
    </w:lvl>
    <w:lvl w:ilvl="7" w:tplc="BB704FE6">
      <w:start w:val="1"/>
      <w:numFmt w:val="bullet"/>
      <w:lvlText w:val="•"/>
      <w:lvlJc w:val="left"/>
      <w:pPr>
        <w:tabs>
          <w:tab w:val="num" w:pos="2700"/>
        </w:tabs>
        <w:ind w:left="2700" w:hanging="180"/>
      </w:pPr>
      <w:rPr>
        <w:rFonts w:ascii="Symbol" w:eastAsia="Symbol" w:hAnsi="Symbol" w:cs="Symbol"/>
      </w:rPr>
    </w:lvl>
    <w:lvl w:ilvl="8" w:tplc="AA40E830">
      <w:start w:val="1"/>
      <w:numFmt w:val="bullet"/>
      <w:lvlText w:val="•"/>
      <w:lvlJc w:val="left"/>
      <w:pPr>
        <w:tabs>
          <w:tab w:val="num" w:pos="3060"/>
        </w:tabs>
        <w:ind w:left="3060" w:hanging="180"/>
      </w:pPr>
      <w:rPr>
        <w:rFonts w:ascii="Symbol" w:eastAsia="Symbol" w:hAnsi="Symbol" w:cs="Symbol"/>
      </w:rPr>
    </w:lvl>
  </w:abstractNum>
  <w:abstractNum w:abstractNumId="3" w15:restartNumberingAfterBreak="0">
    <w:nsid w:val="00000004"/>
    <w:multiLevelType w:val="hybridMultilevel"/>
    <w:tmpl w:val="00000004"/>
    <w:lvl w:ilvl="0" w:tplc="573AA428">
      <w:start w:val="1"/>
      <w:numFmt w:val="bullet"/>
      <w:lvlText w:val="•"/>
      <w:lvlJc w:val="left"/>
      <w:pPr>
        <w:tabs>
          <w:tab w:val="num" w:pos="180"/>
        </w:tabs>
        <w:ind w:left="180" w:hanging="180"/>
      </w:pPr>
      <w:rPr>
        <w:rFonts w:ascii="Symbol" w:eastAsia="Symbol" w:hAnsi="Symbol" w:cs="Symbol"/>
      </w:rPr>
    </w:lvl>
    <w:lvl w:ilvl="1" w:tplc="39F860A8">
      <w:start w:val="1"/>
      <w:numFmt w:val="bullet"/>
      <w:lvlText w:val="•"/>
      <w:lvlJc w:val="left"/>
      <w:pPr>
        <w:tabs>
          <w:tab w:val="num" w:pos="540"/>
        </w:tabs>
        <w:ind w:left="540" w:hanging="180"/>
      </w:pPr>
      <w:rPr>
        <w:rFonts w:ascii="Symbol" w:eastAsia="Symbol" w:hAnsi="Symbol" w:cs="Symbol"/>
      </w:rPr>
    </w:lvl>
    <w:lvl w:ilvl="2" w:tplc="6B809560">
      <w:start w:val="1"/>
      <w:numFmt w:val="bullet"/>
      <w:lvlText w:val="•"/>
      <w:lvlJc w:val="left"/>
      <w:pPr>
        <w:tabs>
          <w:tab w:val="num" w:pos="900"/>
        </w:tabs>
        <w:ind w:left="900" w:hanging="180"/>
      </w:pPr>
      <w:rPr>
        <w:rFonts w:ascii="Symbol" w:eastAsia="Symbol" w:hAnsi="Symbol" w:cs="Symbol"/>
      </w:rPr>
    </w:lvl>
    <w:lvl w:ilvl="3" w:tplc="015C83F4">
      <w:start w:val="1"/>
      <w:numFmt w:val="bullet"/>
      <w:lvlText w:val="•"/>
      <w:lvlJc w:val="left"/>
      <w:pPr>
        <w:tabs>
          <w:tab w:val="num" w:pos="1260"/>
        </w:tabs>
        <w:ind w:left="1260" w:hanging="180"/>
      </w:pPr>
      <w:rPr>
        <w:rFonts w:ascii="Symbol" w:eastAsia="Symbol" w:hAnsi="Symbol" w:cs="Symbol"/>
      </w:rPr>
    </w:lvl>
    <w:lvl w:ilvl="4" w:tplc="CB90ECAE">
      <w:start w:val="1"/>
      <w:numFmt w:val="bullet"/>
      <w:lvlText w:val="•"/>
      <w:lvlJc w:val="left"/>
      <w:pPr>
        <w:tabs>
          <w:tab w:val="num" w:pos="1620"/>
        </w:tabs>
        <w:ind w:left="1620" w:hanging="180"/>
      </w:pPr>
      <w:rPr>
        <w:rFonts w:ascii="Symbol" w:eastAsia="Symbol" w:hAnsi="Symbol" w:cs="Symbol"/>
      </w:rPr>
    </w:lvl>
    <w:lvl w:ilvl="5" w:tplc="50C06F24">
      <w:start w:val="1"/>
      <w:numFmt w:val="bullet"/>
      <w:lvlText w:val="•"/>
      <w:lvlJc w:val="left"/>
      <w:pPr>
        <w:tabs>
          <w:tab w:val="num" w:pos="1980"/>
        </w:tabs>
        <w:ind w:left="1980" w:hanging="180"/>
      </w:pPr>
      <w:rPr>
        <w:rFonts w:ascii="Symbol" w:eastAsia="Symbol" w:hAnsi="Symbol" w:cs="Symbol"/>
      </w:rPr>
    </w:lvl>
    <w:lvl w:ilvl="6" w:tplc="47D87FE4">
      <w:start w:val="1"/>
      <w:numFmt w:val="bullet"/>
      <w:lvlText w:val="•"/>
      <w:lvlJc w:val="left"/>
      <w:pPr>
        <w:tabs>
          <w:tab w:val="num" w:pos="2340"/>
        </w:tabs>
        <w:ind w:left="2340" w:hanging="180"/>
      </w:pPr>
      <w:rPr>
        <w:rFonts w:ascii="Symbol" w:eastAsia="Symbol" w:hAnsi="Symbol" w:cs="Symbol"/>
      </w:rPr>
    </w:lvl>
    <w:lvl w:ilvl="7" w:tplc="BE6CC00E">
      <w:start w:val="1"/>
      <w:numFmt w:val="bullet"/>
      <w:lvlText w:val="•"/>
      <w:lvlJc w:val="left"/>
      <w:pPr>
        <w:tabs>
          <w:tab w:val="num" w:pos="2700"/>
        </w:tabs>
        <w:ind w:left="2700" w:hanging="180"/>
      </w:pPr>
      <w:rPr>
        <w:rFonts w:ascii="Symbol" w:eastAsia="Symbol" w:hAnsi="Symbol" w:cs="Symbol"/>
      </w:rPr>
    </w:lvl>
    <w:lvl w:ilvl="8" w:tplc="60203606">
      <w:start w:val="1"/>
      <w:numFmt w:val="bullet"/>
      <w:lvlText w:val="•"/>
      <w:lvlJc w:val="left"/>
      <w:pPr>
        <w:tabs>
          <w:tab w:val="num" w:pos="3060"/>
        </w:tabs>
        <w:ind w:left="3060" w:hanging="180"/>
      </w:pPr>
      <w:rPr>
        <w:rFonts w:ascii="Symbol" w:eastAsia="Symbol" w:hAnsi="Symbol" w:cs="Symbol"/>
      </w:rPr>
    </w:lvl>
  </w:abstractNum>
  <w:abstractNum w:abstractNumId="4" w15:restartNumberingAfterBreak="0">
    <w:nsid w:val="00000005"/>
    <w:multiLevelType w:val="hybridMultilevel"/>
    <w:tmpl w:val="00000005"/>
    <w:lvl w:ilvl="0" w:tplc="16D2F22A">
      <w:start w:val="1"/>
      <w:numFmt w:val="bullet"/>
      <w:lvlText w:val="•"/>
      <w:lvlJc w:val="left"/>
      <w:pPr>
        <w:tabs>
          <w:tab w:val="num" w:pos="180"/>
        </w:tabs>
        <w:ind w:left="180" w:hanging="180"/>
      </w:pPr>
      <w:rPr>
        <w:rFonts w:ascii="Symbol" w:eastAsia="Symbol" w:hAnsi="Symbol" w:cs="Symbol"/>
      </w:rPr>
    </w:lvl>
    <w:lvl w:ilvl="1" w:tplc="D83E5C4C">
      <w:start w:val="1"/>
      <w:numFmt w:val="bullet"/>
      <w:lvlText w:val="•"/>
      <w:lvlJc w:val="left"/>
      <w:pPr>
        <w:tabs>
          <w:tab w:val="num" w:pos="540"/>
        </w:tabs>
        <w:ind w:left="540" w:hanging="180"/>
      </w:pPr>
      <w:rPr>
        <w:rFonts w:ascii="Symbol" w:eastAsia="Symbol" w:hAnsi="Symbol" w:cs="Symbol"/>
      </w:rPr>
    </w:lvl>
    <w:lvl w:ilvl="2" w:tplc="430C7EAC">
      <w:start w:val="1"/>
      <w:numFmt w:val="bullet"/>
      <w:lvlText w:val="•"/>
      <w:lvlJc w:val="left"/>
      <w:pPr>
        <w:tabs>
          <w:tab w:val="num" w:pos="900"/>
        </w:tabs>
        <w:ind w:left="900" w:hanging="180"/>
      </w:pPr>
      <w:rPr>
        <w:rFonts w:ascii="Symbol" w:eastAsia="Symbol" w:hAnsi="Symbol" w:cs="Symbol"/>
      </w:rPr>
    </w:lvl>
    <w:lvl w:ilvl="3" w:tplc="0E44AC56">
      <w:start w:val="1"/>
      <w:numFmt w:val="bullet"/>
      <w:lvlText w:val="•"/>
      <w:lvlJc w:val="left"/>
      <w:pPr>
        <w:tabs>
          <w:tab w:val="num" w:pos="1260"/>
        </w:tabs>
        <w:ind w:left="1260" w:hanging="180"/>
      </w:pPr>
      <w:rPr>
        <w:rFonts w:ascii="Symbol" w:eastAsia="Symbol" w:hAnsi="Symbol" w:cs="Symbol"/>
      </w:rPr>
    </w:lvl>
    <w:lvl w:ilvl="4" w:tplc="0E52ADBC">
      <w:start w:val="1"/>
      <w:numFmt w:val="bullet"/>
      <w:lvlText w:val="•"/>
      <w:lvlJc w:val="left"/>
      <w:pPr>
        <w:tabs>
          <w:tab w:val="num" w:pos="1620"/>
        </w:tabs>
        <w:ind w:left="1620" w:hanging="180"/>
      </w:pPr>
      <w:rPr>
        <w:rFonts w:ascii="Symbol" w:eastAsia="Symbol" w:hAnsi="Symbol" w:cs="Symbol"/>
      </w:rPr>
    </w:lvl>
    <w:lvl w:ilvl="5" w:tplc="B1744C60">
      <w:start w:val="1"/>
      <w:numFmt w:val="bullet"/>
      <w:lvlText w:val="•"/>
      <w:lvlJc w:val="left"/>
      <w:pPr>
        <w:tabs>
          <w:tab w:val="num" w:pos="1980"/>
        </w:tabs>
        <w:ind w:left="1980" w:hanging="180"/>
      </w:pPr>
      <w:rPr>
        <w:rFonts w:ascii="Symbol" w:eastAsia="Symbol" w:hAnsi="Symbol" w:cs="Symbol"/>
      </w:rPr>
    </w:lvl>
    <w:lvl w:ilvl="6" w:tplc="83CEED2A">
      <w:start w:val="1"/>
      <w:numFmt w:val="bullet"/>
      <w:lvlText w:val="•"/>
      <w:lvlJc w:val="left"/>
      <w:pPr>
        <w:tabs>
          <w:tab w:val="num" w:pos="2340"/>
        </w:tabs>
        <w:ind w:left="2340" w:hanging="180"/>
      </w:pPr>
      <w:rPr>
        <w:rFonts w:ascii="Symbol" w:eastAsia="Symbol" w:hAnsi="Symbol" w:cs="Symbol"/>
      </w:rPr>
    </w:lvl>
    <w:lvl w:ilvl="7" w:tplc="287ED600">
      <w:start w:val="1"/>
      <w:numFmt w:val="bullet"/>
      <w:lvlText w:val="•"/>
      <w:lvlJc w:val="left"/>
      <w:pPr>
        <w:tabs>
          <w:tab w:val="num" w:pos="2700"/>
        </w:tabs>
        <w:ind w:left="2700" w:hanging="180"/>
      </w:pPr>
      <w:rPr>
        <w:rFonts w:ascii="Symbol" w:eastAsia="Symbol" w:hAnsi="Symbol" w:cs="Symbol"/>
      </w:rPr>
    </w:lvl>
    <w:lvl w:ilvl="8" w:tplc="4976C9A2">
      <w:start w:val="1"/>
      <w:numFmt w:val="bullet"/>
      <w:lvlText w:val="•"/>
      <w:lvlJc w:val="left"/>
      <w:pPr>
        <w:tabs>
          <w:tab w:val="num" w:pos="3060"/>
        </w:tabs>
        <w:ind w:left="3060" w:hanging="180"/>
      </w:pPr>
      <w:rPr>
        <w:rFonts w:ascii="Symbol" w:eastAsia="Symbol" w:hAnsi="Symbol" w:cs="Symbol"/>
      </w:rPr>
    </w:lvl>
  </w:abstractNum>
  <w:abstractNum w:abstractNumId="5" w15:restartNumberingAfterBreak="0">
    <w:nsid w:val="00000006"/>
    <w:multiLevelType w:val="hybridMultilevel"/>
    <w:tmpl w:val="00000006"/>
    <w:lvl w:ilvl="0" w:tplc="ABD45DAA">
      <w:start w:val="1"/>
      <w:numFmt w:val="bullet"/>
      <w:lvlText w:val="•"/>
      <w:lvlJc w:val="left"/>
      <w:pPr>
        <w:tabs>
          <w:tab w:val="num" w:pos="180"/>
        </w:tabs>
        <w:ind w:left="180" w:hanging="180"/>
      </w:pPr>
      <w:rPr>
        <w:rFonts w:ascii="Symbol" w:eastAsia="Symbol" w:hAnsi="Symbol" w:cs="Symbol"/>
      </w:rPr>
    </w:lvl>
    <w:lvl w:ilvl="1" w:tplc="B144F7F4">
      <w:start w:val="1"/>
      <w:numFmt w:val="bullet"/>
      <w:lvlText w:val="•"/>
      <w:lvlJc w:val="left"/>
      <w:pPr>
        <w:tabs>
          <w:tab w:val="num" w:pos="540"/>
        </w:tabs>
        <w:ind w:left="540" w:hanging="180"/>
      </w:pPr>
      <w:rPr>
        <w:rFonts w:ascii="Symbol" w:eastAsia="Symbol" w:hAnsi="Symbol" w:cs="Symbol"/>
      </w:rPr>
    </w:lvl>
    <w:lvl w:ilvl="2" w:tplc="F63CFC26">
      <w:start w:val="1"/>
      <w:numFmt w:val="bullet"/>
      <w:lvlText w:val="•"/>
      <w:lvlJc w:val="left"/>
      <w:pPr>
        <w:tabs>
          <w:tab w:val="num" w:pos="900"/>
        </w:tabs>
        <w:ind w:left="900" w:hanging="180"/>
      </w:pPr>
      <w:rPr>
        <w:rFonts w:ascii="Symbol" w:eastAsia="Symbol" w:hAnsi="Symbol" w:cs="Symbol"/>
      </w:rPr>
    </w:lvl>
    <w:lvl w:ilvl="3" w:tplc="FC92F00A">
      <w:start w:val="1"/>
      <w:numFmt w:val="bullet"/>
      <w:lvlText w:val="•"/>
      <w:lvlJc w:val="left"/>
      <w:pPr>
        <w:tabs>
          <w:tab w:val="num" w:pos="1260"/>
        </w:tabs>
        <w:ind w:left="1260" w:hanging="180"/>
      </w:pPr>
      <w:rPr>
        <w:rFonts w:ascii="Symbol" w:eastAsia="Symbol" w:hAnsi="Symbol" w:cs="Symbol"/>
      </w:rPr>
    </w:lvl>
    <w:lvl w:ilvl="4" w:tplc="5C6C1BDA">
      <w:start w:val="1"/>
      <w:numFmt w:val="bullet"/>
      <w:lvlText w:val="•"/>
      <w:lvlJc w:val="left"/>
      <w:pPr>
        <w:tabs>
          <w:tab w:val="num" w:pos="1620"/>
        </w:tabs>
        <w:ind w:left="1620" w:hanging="180"/>
      </w:pPr>
      <w:rPr>
        <w:rFonts w:ascii="Symbol" w:eastAsia="Symbol" w:hAnsi="Symbol" w:cs="Symbol"/>
      </w:rPr>
    </w:lvl>
    <w:lvl w:ilvl="5" w:tplc="B9322BF4">
      <w:start w:val="1"/>
      <w:numFmt w:val="bullet"/>
      <w:lvlText w:val="•"/>
      <w:lvlJc w:val="left"/>
      <w:pPr>
        <w:tabs>
          <w:tab w:val="num" w:pos="1980"/>
        </w:tabs>
        <w:ind w:left="1980" w:hanging="180"/>
      </w:pPr>
      <w:rPr>
        <w:rFonts w:ascii="Symbol" w:eastAsia="Symbol" w:hAnsi="Symbol" w:cs="Symbol"/>
      </w:rPr>
    </w:lvl>
    <w:lvl w:ilvl="6" w:tplc="A5564A7E">
      <w:start w:val="1"/>
      <w:numFmt w:val="bullet"/>
      <w:lvlText w:val="•"/>
      <w:lvlJc w:val="left"/>
      <w:pPr>
        <w:tabs>
          <w:tab w:val="num" w:pos="2340"/>
        </w:tabs>
        <w:ind w:left="2340" w:hanging="180"/>
      </w:pPr>
      <w:rPr>
        <w:rFonts w:ascii="Symbol" w:eastAsia="Symbol" w:hAnsi="Symbol" w:cs="Symbol"/>
      </w:rPr>
    </w:lvl>
    <w:lvl w:ilvl="7" w:tplc="423661A6">
      <w:start w:val="1"/>
      <w:numFmt w:val="bullet"/>
      <w:lvlText w:val="•"/>
      <w:lvlJc w:val="left"/>
      <w:pPr>
        <w:tabs>
          <w:tab w:val="num" w:pos="2700"/>
        </w:tabs>
        <w:ind w:left="2700" w:hanging="180"/>
      </w:pPr>
      <w:rPr>
        <w:rFonts w:ascii="Symbol" w:eastAsia="Symbol" w:hAnsi="Symbol" w:cs="Symbol"/>
      </w:rPr>
    </w:lvl>
    <w:lvl w:ilvl="8" w:tplc="ACB073EC">
      <w:start w:val="1"/>
      <w:numFmt w:val="bullet"/>
      <w:lvlText w:val="•"/>
      <w:lvlJc w:val="left"/>
      <w:pPr>
        <w:tabs>
          <w:tab w:val="num" w:pos="3060"/>
        </w:tabs>
        <w:ind w:left="3060" w:hanging="180"/>
      </w:pPr>
      <w:rPr>
        <w:rFonts w:ascii="Symbol" w:eastAsia="Symbol" w:hAnsi="Symbol" w:cs="Symbol"/>
      </w:rPr>
    </w:lvl>
  </w:abstractNum>
  <w:abstractNum w:abstractNumId="6" w15:restartNumberingAfterBreak="0">
    <w:nsid w:val="00000007"/>
    <w:multiLevelType w:val="hybridMultilevel"/>
    <w:tmpl w:val="00000007"/>
    <w:lvl w:ilvl="0" w:tplc="6D2A81D4">
      <w:start w:val="1"/>
      <w:numFmt w:val="bullet"/>
      <w:lvlText w:val="•"/>
      <w:lvlJc w:val="left"/>
      <w:pPr>
        <w:tabs>
          <w:tab w:val="num" w:pos="180"/>
        </w:tabs>
        <w:ind w:left="180" w:hanging="180"/>
      </w:pPr>
      <w:rPr>
        <w:rFonts w:ascii="Symbol" w:eastAsia="Symbol" w:hAnsi="Symbol" w:cs="Symbol"/>
      </w:rPr>
    </w:lvl>
    <w:lvl w:ilvl="1" w:tplc="17C071A8">
      <w:start w:val="1"/>
      <w:numFmt w:val="bullet"/>
      <w:lvlText w:val="•"/>
      <w:lvlJc w:val="left"/>
      <w:pPr>
        <w:tabs>
          <w:tab w:val="num" w:pos="540"/>
        </w:tabs>
        <w:ind w:left="540" w:hanging="180"/>
      </w:pPr>
      <w:rPr>
        <w:rFonts w:ascii="Symbol" w:eastAsia="Symbol" w:hAnsi="Symbol" w:cs="Symbol"/>
      </w:rPr>
    </w:lvl>
    <w:lvl w:ilvl="2" w:tplc="A238EEE4">
      <w:start w:val="1"/>
      <w:numFmt w:val="bullet"/>
      <w:lvlText w:val="•"/>
      <w:lvlJc w:val="left"/>
      <w:pPr>
        <w:tabs>
          <w:tab w:val="num" w:pos="900"/>
        </w:tabs>
        <w:ind w:left="900" w:hanging="180"/>
      </w:pPr>
      <w:rPr>
        <w:rFonts w:ascii="Symbol" w:eastAsia="Symbol" w:hAnsi="Symbol" w:cs="Symbol"/>
      </w:rPr>
    </w:lvl>
    <w:lvl w:ilvl="3" w:tplc="2D6AB616">
      <w:start w:val="1"/>
      <w:numFmt w:val="bullet"/>
      <w:lvlText w:val="•"/>
      <w:lvlJc w:val="left"/>
      <w:pPr>
        <w:tabs>
          <w:tab w:val="num" w:pos="1260"/>
        </w:tabs>
        <w:ind w:left="1260" w:hanging="180"/>
      </w:pPr>
      <w:rPr>
        <w:rFonts w:ascii="Symbol" w:eastAsia="Symbol" w:hAnsi="Symbol" w:cs="Symbol"/>
      </w:rPr>
    </w:lvl>
    <w:lvl w:ilvl="4" w:tplc="20EA298C">
      <w:start w:val="1"/>
      <w:numFmt w:val="bullet"/>
      <w:lvlText w:val="•"/>
      <w:lvlJc w:val="left"/>
      <w:pPr>
        <w:tabs>
          <w:tab w:val="num" w:pos="1620"/>
        </w:tabs>
        <w:ind w:left="1620" w:hanging="180"/>
      </w:pPr>
      <w:rPr>
        <w:rFonts w:ascii="Symbol" w:eastAsia="Symbol" w:hAnsi="Symbol" w:cs="Symbol"/>
      </w:rPr>
    </w:lvl>
    <w:lvl w:ilvl="5" w:tplc="2D7AFB72">
      <w:start w:val="1"/>
      <w:numFmt w:val="bullet"/>
      <w:lvlText w:val="•"/>
      <w:lvlJc w:val="left"/>
      <w:pPr>
        <w:tabs>
          <w:tab w:val="num" w:pos="1980"/>
        </w:tabs>
        <w:ind w:left="1980" w:hanging="180"/>
      </w:pPr>
      <w:rPr>
        <w:rFonts w:ascii="Symbol" w:eastAsia="Symbol" w:hAnsi="Symbol" w:cs="Symbol"/>
      </w:rPr>
    </w:lvl>
    <w:lvl w:ilvl="6" w:tplc="E8548DAE">
      <w:start w:val="1"/>
      <w:numFmt w:val="bullet"/>
      <w:lvlText w:val="•"/>
      <w:lvlJc w:val="left"/>
      <w:pPr>
        <w:tabs>
          <w:tab w:val="num" w:pos="2340"/>
        </w:tabs>
        <w:ind w:left="2340" w:hanging="180"/>
      </w:pPr>
      <w:rPr>
        <w:rFonts w:ascii="Symbol" w:eastAsia="Symbol" w:hAnsi="Symbol" w:cs="Symbol"/>
      </w:rPr>
    </w:lvl>
    <w:lvl w:ilvl="7" w:tplc="C94291AA">
      <w:start w:val="1"/>
      <w:numFmt w:val="bullet"/>
      <w:lvlText w:val="•"/>
      <w:lvlJc w:val="left"/>
      <w:pPr>
        <w:tabs>
          <w:tab w:val="num" w:pos="2700"/>
        </w:tabs>
        <w:ind w:left="2700" w:hanging="180"/>
      </w:pPr>
      <w:rPr>
        <w:rFonts w:ascii="Symbol" w:eastAsia="Symbol" w:hAnsi="Symbol" w:cs="Symbol"/>
      </w:rPr>
    </w:lvl>
    <w:lvl w:ilvl="8" w:tplc="BE6A6158">
      <w:start w:val="1"/>
      <w:numFmt w:val="bullet"/>
      <w:lvlText w:val="•"/>
      <w:lvlJc w:val="left"/>
      <w:pPr>
        <w:tabs>
          <w:tab w:val="num" w:pos="3060"/>
        </w:tabs>
        <w:ind w:left="3060" w:hanging="180"/>
      </w:pPr>
      <w:rPr>
        <w:rFonts w:ascii="Symbol" w:eastAsia="Symbol" w:hAnsi="Symbol" w:cs="Symbol"/>
      </w:rPr>
    </w:lvl>
  </w:abstractNum>
  <w:abstractNum w:abstractNumId="7" w15:restartNumberingAfterBreak="0">
    <w:nsid w:val="00000008"/>
    <w:multiLevelType w:val="hybridMultilevel"/>
    <w:tmpl w:val="00000008"/>
    <w:lvl w:ilvl="0" w:tplc="FC98EBCA">
      <w:start w:val="1"/>
      <w:numFmt w:val="bullet"/>
      <w:lvlText w:val="•"/>
      <w:lvlJc w:val="left"/>
      <w:pPr>
        <w:tabs>
          <w:tab w:val="num" w:pos="180"/>
        </w:tabs>
        <w:ind w:left="180" w:hanging="180"/>
      </w:pPr>
      <w:rPr>
        <w:rFonts w:ascii="Symbol" w:eastAsia="Symbol" w:hAnsi="Symbol" w:cs="Symbol"/>
      </w:rPr>
    </w:lvl>
    <w:lvl w:ilvl="1" w:tplc="3FC8393E">
      <w:start w:val="1"/>
      <w:numFmt w:val="bullet"/>
      <w:lvlText w:val="•"/>
      <w:lvlJc w:val="left"/>
      <w:pPr>
        <w:tabs>
          <w:tab w:val="num" w:pos="540"/>
        </w:tabs>
        <w:ind w:left="540" w:hanging="180"/>
      </w:pPr>
      <w:rPr>
        <w:rFonts w:ascii="Symbol" w:eastAsia="Symbol" w:hAnsi="Symbol" w:cs="Symbol"/>
      </w:rPr>
    </w:lvl>
    <w:lvl w:ilvl="2" w:tplc="80023D12">
      <w:start w:val="1"/>
      <w:numFmt w:val="bullet"/>
      <w:lvlText w:val="•"/>
      <w:lvlJc w:val="left"/>
      <w:pPr>
        <w:tabs>
          <w:tab w:val="num" w:pos="900"/>
        </w:tabs>
        <w:ind w:left="900" w:hanging="180"/>
      </w:pPr>
      <w:rPr>
        <w:rFonts w:ascii="Symbol" w:eastAsia="Symbol" w:hAnsi="Symbol" w:cs="Symbol"/>
      </w:rPr>
    </w:lvl>
    <w:lvl w:ilvl="3" w:tplc="495A7648">
      <w:start w:val="1"/>
      <w:numFmt w:val="bullet"/>
      <w:lvlText w:val="•"/>
      <w:lvlJc w:val="left"/>
      <w:pPr>
        <w:tabs>
          <w:tab w:val="num" w:pos="1260"/>
        </w:tabs>
        <w:ind w:left="1260" w:hanging="180"/>
      </w:pPr>
      <w:rPr>
        <w:rFonts w:ascii="Symbol" w:eastAsia="Symbol" w:hAnsi="Symbol" w:cs="Symbol"/>
      </w:rPr>
    </w:lvl>
    <w:lvl w:ilvl="4" w:tplc="055ABB3E">
      <w:start w:val="1"/>
      <w:numFmt w:val="bullet"/>
      <w:lvlText w:val="•"/>
      <w:lvlJc w:val="left"/>
      <w:pPr>
        <w:tabs>
          <w:tab w:val="num" w:pos="1620"/>
        </w:tabs>
        <w:ind w:left="1620" w:hanging="180"/>
      </w:pPr>
      <w:rPr>
        <w:rFonts w:ascii="Symbol" w:eastAsia="Symbol" w:hAnsi="Symbol" w:cs="Symbol"/>
      </w:rPr>
    </w:lvl>
    <w:lvl w:ilvl="5" w:tplc="EB20E2D2">
      <w:start w:val="1"/>
      <w:numFmt w:val="bullet"/>
      <w:lvlText w:val="•"/>
      <w:lvlJc w:val="left"/>
      <w:pPr>
        <w:tabs>
          <w:tab w:val="num" w:pos="1980"/>
        </w:tabs>
        <w:ind w:left="1980" w:hanging="180"/>
      </w:pPr>
      <w:rPr>
        <w:rFonts w:ascii="Symbol" w:eastAsia="Symbol" w:hAnsi="Symbol" w:cs="Symbol"/>
      </w:rPr>
    </w:lvl>
    <w:lvl w:ilvl="6" w:tplc="1E180456">
      <w:start w:val="1"/>
      <w:numFmt w:val="bullet"/>
      <w:lvlText w:val="•"/>
      <w:lvlJc w:val="left"/>
      <w:pPr>
        <w:tabs>
          <w:tab w:val="num" w:pos="2340"/>
        </w:tabs>
        <w:ind w:left="2340" w:hanging="180"/>
      </w:pPr>
      <w:rPr>
        <w:rFonts w:ascii="Symbol" w:eastAsia="Symbol" w:hAnsi="Symbol" w:cs="Symbol"/>
      </w:rPr>
    </w:lvl>
    <w:lvl w:ilvl="7" w:tplc="994A3B42">
      <w:start w:val="1"/>
      <w:numFmt w:val="bullet"/>
      <w:lvlText w:val="•"/>
      <w:lvlJc w:val="left"/>
      <w:pPr>
        <w:tabs>
          <w:tab w:val="num" w:pos="2700"/>
        </w:tabs>
        <w:ind w:left="2700" w:hanging="180"/>
      </w:pPr>
      <w:rPr>
        <w:rFonts w:ascii="Symbol" w:eastAsia="Symbol" w:hAnsi="Symbol" w:cs="Symbol"/>
      </w:rPr>
    </w:lvl>
    <w:lvl w:ilvl="8" w:tplc="E3CEFC30">
      <w:start w:val="1"/>
      <w:numFmt w:val="bullet"/>
      <w:lvlText w:val="•"/>
      <w:lvlJc w:val="left"/>
      <w:pPr>
        <w:tabs>
          <w:tab w:val="num" w:pos="3060"/>
        </w:tabs>
        <w:ind w:left="3060" w:hanging="180"/>
      </w:pPr>
      <w:rPr>
        <w:rFonts w:ascii="Symbol" w:eastAsia="Symbol" w:hAnsi="Symbol" w:cs="Symbol"/>
      </w:rPr>
    </w:lvl>
  </w:abstractNum>
  <w:abstractNum w:abstractNumId="8" w15:restartNumberingAfterBreak="0">
    <w:nsid w:val="00000009"/>
    <w:multiLevelType w:val="hybridMultilevel"/>
    <w:tmpl w:val="00000009"/>
    <w:lvl w:ilvl="0" w:tplc="F170F28C">
      <w:start w:val="1"/>
      <w:numFmt w:val="bullet"/>
      <w:lvlText w:val="•"/>
      <w:lvlJc w:val="left"/>
      <w:pPr>
        <w:tabs>
          <w:tab w:val="num" w:pos="180"/>
        </w:tabs>
        <w:ind w:left="180" w:hanging="180"/>
      </w:pPr>
      <w:rPr>
        <w:rFonts w:ascii="Symbol" w:eastAsia="Symbol" w:hAnsi="Symbol" w:cs="Symbol"/>
      </w:rPr>
    </w:lvl>
    <w:lvl w:ilvl="1" w:tplc="87A0B05C">
      <w:start w:val="1"/>
      <w:numFmt w:val="bullet"/>
      <w:lvlText w:val="•"/>
      <w:lvlJc w:val="left"/>
      <w:pPr>
        <w:tabs>
          <w:tab w:val="num" w:pos="540"/>
        </w:tabs>
        <w:ind w:left="540" w:hanging="180"/>
      </w:pPr>
      <w:rPr>
        <w:rFonts w:ascii="Symbol" w:eastAsia="Symbol" w:hAnsi="Symbol" w:cs="Symbol"/>
      </w:rPr>
    </w:lvl>
    <w:lvl w:ilvl="2" w:tplc="6AFA7AB4">
      <w:start w:val="1"/>
      <w:numFmt w:val="bullet"/>
      <w:lvlText w:val="•"/>
      <w:lvlJc w:val="left"/>
      <w:pPr>
        <w:tabs>
          <w:tab w:val="num" w:pos="900"/>
        </w:tabs>
        <w:ind w:left="900" w:hanging="180"/>
      </w:pPr>
      <w:rPr>
        <w:rFonts w:ascii="Symbol" w:eastAsia="Symbol" w:hAnsi="Symbol" w:cs="Symbol"/>
      </w:rPr>
    </w:lvl>
    <w:lvl w:ilvl="3" w:tplc="E970333E">
      <w:start w:val="1"/>
      <w:numFmt w:val="bullet"/>
      <w:lvlText w:val="•"/>
      <w:lvlJc w:val="left"/>
      <w:pPr>
        <w:tabs>
          <w:tab w:val="num" w:pos="1260"/>
        </w:tabs>
        <w:ind w:left="1260" w:hanging="180"/>
      </w:pPr>
      <w:rPr>
        <w:rFonts w:ascii="Symbol" w:eastAsia="Symbol" w:hAnsi="Symbol" w:cs="Symbol"/>
      </w:rPr>
    </w:lvl>
    <w:lvl w:ilvl="4" w:tplc="25C8D620">
      <w:start w:val="1"/>
      <w:numFmt w:val="bullet"/>
      <w:lvlText w:val="•"/>
      <w:lvlJc w:val="left"/>
      <w:pPr>
        <w:tabs>
          <w:tab w:val="num" w:pos="1620"/>
        </w:tabs>
        <w:ind w:left="1620" w:hanging="180"/>
      </w:pPr>
      <w:rPr>
        <w:rFonts w:ascii="Symbol" w:eastAsia="Symbol" w:hAnsi="Symbol" w:cs="Symbol"/>
      </w:rPr>
    </w:lvl>
    <w:lvl w:ilvl="5" w:tplc="101E967C">
      <w:start w:val="1"/>
      <w:numFmt w:val="bullet"/>
      <w:lvlText w:val="•"/>
      <w:lvlJc w:val="left"/>
      <w:pPr>
        <w:tabs>
          <w:tab w:val="num" w:pos="1980"/>
        </w:tabs>
        <w:ind w:left="1980" w:hanging="180"/>
      </w:pPr>
      <w:rPr>
        <w:rFonts w:ascii="Symbol" w:eastAsia="Symbol" w:hAnsi="Symbol" w:cs="Symbol"/>
      </w:rPr>
    </w:lvl>
    <w:lvl w:ilvl="6" w:tplc="BA865286">
      <w:start w:val="1"/>
      <w:numFmt w:val="bullet"/>
      <w:lvlText w:val="•"/>
      <w:lvlJc w:val="left"/>
      <w:pPr>
        <w:tabs>
          <w:tab w:val="num" w:pos="2340"/>
        </w:tabs>
        <w:ind w:left="2340" w:hanging="180"/>
      </w:pPr>
      <w:rPr>
        <w:rFonts w:ascii="Symbol" w:eastAsia="Symbol" w:hAnsi="Symbol" w:cs="Symbol"/>
      </w:rPr>
    </w:lvl>
    <w:lvl w:ilvl="7" w:tplc="7076E76E">
      <w:start w:val="1"/>
      <w:numFmt w:val="bullet"/>
      <w:lvlText w:val="•"/>
      <w:lvlJc w:val="left"/>
      <w:pPr>
        <w:tabs>
          <w:tab w:val="num" w:pos="2700"/>
        </w:tabs>
        <w:ind w:left="2700" w:hanging="180"/>
      </w:pPr>
      <w:rPr>
        <w:rFonts w:ascii="Symbol" w:eastAsia="Symbol" w:hAnsi="Symbol" w:cs="Symbol"/>
      </w:rPr>
    </w:lvl>
    <w:lvl w:ilvl="8" w:tplc="2948FE6A">
      <w:start w:val="1"/>
      <w:numFmt w:val="bullet"/>
      <w:lvlText w:val="•"/>
      <w:lvlJc w:val="left"/>
      <w:pPr>
        <w:tabs>
          <w:tab w:val="num" w:pos="3060"/>
        </w:tabs>
        <w:ind w:left="3060" w:hanging="180"/>
      </w:pPr>
      <w:rPr>
        <w:rFonts w:ascii="Symbol" w:eastAsia="Symbol" w:hAnsi="Symbol" w:cs="Symbol"/>
      </w:rPr>
    </w:lvl>
  </w:abstractNum>
  <w:abstractNum w:abstractNumId="9" w15:restartNumberingAfterBreak="0">
    <w:nsid w:val="0DD973AC"/>
    <w:multiLevelType w:val="hybridMultilevel"/>
    <w:tmpl w:val="89D06DE0"/>
    <w:lvl w:ilvl="0" w:tplc="35B0ECF4">
      <w:start w:val="1"/>
      <w:numFmt w:val="decimal"/>
      <w:lvlText w:val="3.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313EB7"/>
    <w:multiLevelType w:val="hybridMultilevel"/>
    <w:tmpl w:val="6B44AF16"/>
    <w:lvl w:ilvl="0" w:tplc="2822E6FE">
      <w:start w:val="1"/>
      <w:numFmt w:val="decimal"/>
      <w:lvlText w:val="2.%1"/>
      <w:lvlJc w:val="left"/>
      <w:pPr>
        <w:ind w:left="360" w:hanging="360"/>
      </w:pPr>
      <w:rPr>
        <w:rFonts w:hint="default"/>
      </w:rPr>
    </w:lvl>
    <w:lvl w:ilvl="1" w:tplc="FFFFFFFF">
      <w:start w:val="1"/>
      <w:numFmt w:val="bullet"/>
      <w:lvlText w:val="•"/>
      <w:lvlJc w:val="left"/>
      <w:pPr>
        <w:tabs>
          <w:tab w:val="num" w:pos="540"/>
        </w:tabs>
        <w:ind w:left="540" w:hanging="180"/>
      </w:pPr>
      <w:rPr>
        <w:rFonts w:ascii="Symbol" w:eastAsia="Symbol" w:hAnsi="Symbol" w:cs="Symbol"/>
      </w:rPr>
    </w:lvl>
    <w:lvl w:ilvl="2" w:tplc="FFFFFFFF">
      <w:start w:val="1"/>
      <w:numFmt w:val="bullet"/>
      <w:lvlText w:val="•"/>
      <w:lvlJc w:val="left"/>
      <w:pPr>
        <w:tabs>
          <w:tab w:val="num" w:pos="900"/>
        </w:tabs>
        <w:ind w:left="900" w:hanging="180"/>
      </w:pPr>
      <w:rPr>
        <w:rFonts w:ascii="Symbol" w:eastAsia="Symbol" w:hAnsi="Symbol" w:cs="Symbol"/>
      </w:rPr>
    </w:lvl>
    <w:lvl w:ilvl="3" w:tplc="FFFFFFFF">
      <w:start w:val="1"/>
      <w:numFmt w:val="bullet"/>
      <w:lvlText w:val="•"/>
      <w:lvlJc w:val="left"/>
      <w:pPr>
        <w:tabs>
          <w:tab w:val="num" w:pos="1260"/>
        </w:tabs>
        <w:ind w:left="1260" w:hanging="180"/>
      </w:pPr>
      <w:rPr>
        <w:rFonts w:ascii="Symbol" w:eastAsia="Symbol" w:hAnsi="Symbol" w:cs="Symbol"/>
      </w:rPr>
    </w:lvl>
    <w:lvl w:ilvl="4" w:tplc="FFFFFFFF">
      <w:start w:val="1"/>
      <w:numFmt w:val="bullet"/>
      <w:lvlText w:val="•"/>
      <w:lvlJc w:val="left"/>
      <w:pPr>
        <w:tabs>
          <w:tab w:val="num" w:pos="1620"/>
        </w:tabs>
        <w:ind w:left="1620" w:hanging="180"/>
      </w:pPr>
      <w:rPr>
        <w:rFonts w:ascii="Symbol" w:eastAsia="Symbol" w:hAnsi="Symbol" w:cs="Symbol"/>
      </w:rPr>
    </w:lvl>
    <w:lvl w:ilvl="5" w:tplc="FFFFFFFF">
      <w:start w:val="1"/>
      <w:numFmt w:val="bullet"/>
      <w:lvlText w:val="•"/>
      <w:lvlJc w:val="left"/>
      <w:pPr>
        <w:tabs>
          <w:tab w:val="num" w:pos="1980"/>
        </w:tabs>
        <w:ind w:left="1980" w:hanging="180"/>
      </w:pPr>
      <w:rPr>
        <w:rFonts w:ascii="Symbol" w:eastAsia="Symbol" w:hAnsi="Symbol" w:cs="Symbol"/>
      </w:rPr>
    </w:lvl>
    <w:lvl w:ilvl="6" w:tplc="FFFFFFFF">
      <w:start w:val="1"/>
      <w:numFmt w:val="bullet"/>
      <w:lvlText w:val="•"/>
      <w:lvlJc w:val="left"/>
      <w:pPr>
        <w:tabs>
          <w:tab w:val="num" w:pos="2340"/>
        </w:tabs>
        <w:ind w:left="2340" w:hanging="180"/>
      </w:pPr>
      <w:rPr>
        <w:rFonts w:ascii="Symbol" w:eastAsia="Symbol" w:hAnsi="Symbol" w:cs="Symbol"/>
      </w:rPr>
    </w:lvl>
    <w:lvl w:ilvl="7" w:tplc="FFFFFFFF">
      <w:start w:val="1"/>
      <w:numFmt w:val="bullet"/>
      <w:lvlText w:val="•"/>
      <w:lvlJc w:val="left"/>
      <w:pPr>
        <w:tabs>
          <w:tab w:val="num" w:pos="2700"/>
        </w:tabs>
        <w:ind w:left="2700" w:hanging="180"/>
      </w:pPr>
      <w:rPr>
        <w:rFonts w:ascii="Symbol" w:eastAsia="Symbol" w:hAnsi="Symbol" w:cs="Symbol"/>
      </w:rPr>
    </w:lvl>
    <w:lvl w:ilvl="8" w:tplc="FFFFFFFF">
      <w:start w:val="1"/>
      <w:numFmt w:val="bullet"/>
      <w:lvlText w:val="•"/>
      <w:lvlJc w:val="left"/>
      <w:pPr>
        <w:tabs>
          <w:tab w:val="num" w:pos="3060"/>
        </w:tabs>
        <w:ind w:left="3060" w:hanging="180"/>
      </w:pPr>
      <w:rPr>
        <w:rFonts w:ascii="Symbol" w:eastAsia="Symbol" w:hAnsi="Symbol" w:cs="Symbol"/>
      </w:rPr>
    </w:lvl>
  </w:abstractNum>
  <w:abstractNum w:abstractNumId="11" w15:restartNumberingAfterBreak="0">
    <w:nsid w:val="1B6F39A6"/>
    <w:multiLevelType w:val="hybridMultilevel"/>
    <w:tmpl w:val="8E54A9A6"/>
    <w:lvl w:ilvl="0" w:tplc="35B0ECF4">
      <w:start w:val="1"/>
      <w:numFmt w:val="decimal"/>
      <w:lvlText w:val="3.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6B5758"/>
    <w:multiLevelType w:val="hybridMultilevel"/>
    <w:tmpl w:val="27C2956C"/>
    <w:lvl w:ilvl="0" w:tplc="35B0ECF4">
      <w:start w:val="1"/>
      <w:numFmt w:val="decimal"/>
      <w:lvlText w:val="3.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A6664D"/>
    <w:multiLevelType w:val="hybridMultilevel"/>
    <w:tmpl w:val="385A3482"/>
    <w:lvl w:ilvl="0" w:tplc="5054F99E">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A846D13"/>
    <w:multiLevelType w:val="hybridMultilevel"/>
    <w:tmpl w:val="4C7C8D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C864B7F"/>
    <w:multiLevelType w:val="hybridMultilevel"/>
    <w:tmpl w:val="B69AEA30"/>
    <w:lvl w:ilvl="0" w:tplc="0409000F">
      <w:start w:val="1"/>
      <w:numFmt w:val="decimal"/>
      <w:lvlText w:val="%1."/>
      <w:lvlJc w:val="left"/>
      <w:pPr>
        <w:ind w:left="360" w:hanging="360"/>
      </w:pPr>
    </w:lvl>
    <w:lvl w:ilvl="1" w:tplc="FFFFFFFF">
      <w:start w:val="1"/>
      <w:numFmt w:val="bullet"/>
      <w:lvlText w:val="•"/>
      <w:lvlJc w:val="left"/>
      <w:pPr>
        <w:tabs>
          <w:tab w:val="num" w:pos="540"/>
        </w:tabs>
        <w:ind w:left="540" w:hanging="180"/>
      </w:pPr>
      <w:rPr>
        <w:rFonts w:ascii="Symbol" w:eastAsia="Symbol" w:hAnsi="Symbol" w:cs="Symbol"/>
      </w:rPr>
    </w:lvl>
    <w:lvl w:ilvl="2" w:tplc="FFFFFFFF">
      <w:start w:val="1"/>
      <w:numFmt w:val="bullet"/>
      <w:lvlText w:val="•"/>
      <w:lvlJc w:val="left"/>
      <w:pPr>
        <w:tabs>
          <w:tab w:val="num" w:pos="900"/>
        </w:tabs>
        <w:ind w:left="900" w:hanging="180"/>
      </w:pPr>
      <w:rPr>
        <w:rFonts w:ascii="Symbol" w:eastAsia="Symbol" w:hAnsi="Symbol" w:cs="Symbol"/>
      </w:rPr>
    </w:lvl>
    <w:lvl w:ilvl="3" w:tplc="FFFFFFFF">
      <w:start w:val="1"/>
      <w:numFmt w:val="bullet"/>
      <w:lvlText w:val="•"/>
      <w:lvlJc w:val="left"/>
      <w:pPr>
        <w:tabs>
          <w:tab w:val="num" w:pos="1260"/>
        </w:tabs>
        <w:ind w:left="1260" w:hanging="180"/>
      </w:pPr>
      <w:rPr>
        <w:rFonts w:ascii="Symbol" w:eastAsia="Symbol" w:hAnsi="Symbol" w:cs="Symbol"/>
      </w:rPr>
    </w:lvl>
    <w:lvl w:ilvl="4" w:tplc="FFFFFFFF">
      <w:start w:val="1"/>
      <w:numFmt w:val="bullet"/>
      <w:lvlText w:val="•"/>
      <w:lvlJc w:val="left"/>
      <w:pPr>
        <w:tabs>
          <w:tab w:val="num" w:pos="1620"/>
        </w:tabs>
        <w:ind w:left="1620" w:hanging="180"/>
      </w:pPr>
      <w:rPr>
        <w:rFonts w:ascii="Symbol" w:eastAsia="Symbol" w:hAnsi="Symbol" w:cs="Symbol"/>
      </w:rPr>
    </w:lvl>
    <w:lvl w:ilvl="5" w:tplc="FFFFFFFF">
      <w:start w:val="1"/>
      <w:numFmt w:val="bullet"/>
      <w:lvlText w:val="•"/>
      <w:lvlJc w:val="left"/>
      <w:pPr>
        <w:tabs>
          <w:tab w:val="num" w:pos="1980"/>
        </w:tabs>
        <w:ind w:left="1980" w:hanging="180"/>
      </w:pPr>
      <w:rPr>
        <w:rFonts w:ascii="Symbol" w:eastAsia="Symbol" w:hAnsi="Symbol" w:cs="Symbol"/>
      </w:rPr>
    </w:lvl>
    <w:lvl w:ilvl="6" w:tplc="FFFFFFFF">
      <w:start w:val="1"/>
      <w:numFmt w:val="bullet"/>
      <w:lvlText w:val="•"/>
      <w:lvlJc w:val="left"/>
      <w:pPr>
        <w:tabs>
          <w:tab w:val="num" w:pos="2340"/>
        </w:tabs>
        <w:ind w:left="2340" w:hanging="180"/>
      </w:pPr>
      <w:rPr>
        <w:rFonts w:ascii="Symbol" w:eastAsia="Symbol" w:hAnsi="Symbol" w:cs="Symbol"/>
      </w:rPr>
    </w:lvl>
    <w:lvl w:ilvl="7" w:tplc="FFFFFFFF">
      <w:start w:val="1"/>
      <w:numFmt w:val="bullet"/>
      <w:lvlText w:val="•"/>
      <w:lvlJc w:val="left"/>
      <w:pPr>
        <w:tabs>
          <w:tab w:val="num" w:pos="2700"/>
        </w:tabs>
        <w:ind w:left="2700" w:hanging="180"/>
      </w:pPr>
      <w:rPr>
        <w:rFonts w:ascii="Symbol" w:eastAsia="Symbol" w:hAnsi="Symbol" w:cs="Symbol"/>
      </w:rPr>
    </w:lvl>
    <w:lvl w:ilvl="8" w:tplc="FFFFFFFF">
      <w:start w:val="1"/>
      <w:numFmt w:val="bullet"/>
      <w:lvlText w:val="•"/>
      <w:lvlJc w:val="left"/>
      <w:pPr>
        <w:tabs>
          <w:tab w:val="num" w:pos="3060"/>
        </w:tabs>
        <w:ind w:left="3060" w:hanging="180"/>
      </w:pPr>
      <w:rPr>
        <w:rFonts w:ascii="Symbol" w:eastAsia="Symbol" w:hAnsi="Symbol" w:cs="Symbol"/>
      </w:rPr>
    </w:lvl>
  </w:abstractNum>
  <w:abstractNum w:abstractNumId="16" w15:restartNumberingAfterBreak="0">
    <w:nsid w:val="64AC5BBE"/>
    <w:multiLevelType w:val="hybridMultilevel"/>
    <w:tmpl w:val="CE564C9E"/>
    <w:lvl w:ilvl="0" w:tplc="0409000F">
      <w:start w:val="1"/>
      <w:numFmt w:val="decimal"/>
      <w:lvlText w:val="%1."/>
      <w:lvlJc w:val="left"/>
      <w:pPr>
        <w:ind w:left="360" w:hanging="360"/>
      </w:pPr>
    </w:lvl>
    <w:lvl w:ilvl="1" w:tplc="FFFFFFFF">
      <w:start w:val="1"/>
      <w:numFmt w:val="bullet"/>
      <w:lvlText w:val="•"/>
      <w:lvlJc w:val="left"/>
      <w:pPr>
        <w:tabs>
          <w:tab w:val="num" w:pos="540"/>
        </w:tabs>
        <w:ind w:left="540" w:hanging="180"/>
      </w:pPr>
      <w:rPr>
        <w:rFonts w:ascii="Symbol" w:eastAsia="Symbol" w:hAnsi="Symbol" w:cs="Symbol"/>
      </w:rPr>
    </w:lvl>
    <w:lvl w:ilvl="2" w:tplc="FFFFFFFF">
      <w:start w:val="1"/>
      <w:numFmt w:val="bullet"/>
      <w:lvlText w:val="•"/>
      <w:lvlJc w:val="left"/>
      <w:pPr>
        <w:tabs>
          <w:tab w:val="num" w:pos="900"/>
        </w:tabs>
        <w:ind w:left="900" w:hanging="180"/>
      </w:pPr>
      <w:rPr>
        <w:rFonts w:ascii="Symbol" w:eastAsia="Symbol" w:hAnsi="Symbol" w:cs="Symbol"/>
      </w:rPr>
    </w:lvl>
    <w:lvl w:ilvl="3" w:tplc="FFFFFFFF">
      <w:start w:val="1"/>
      <w:numFmt w:val="bullet"/>
      <w:lvlText w:val="•"/>
      <w:lvlJc w:val="left"/>
      <w:pPr>
        <w:tabs>
          <w:tab w:val="num" w:pos="1260"/>
        </w:tabs>
        <w:ind w:left="1260" w:hanging="180"/>
      </w:pPr>
      <w:rPr>
        <w:rFonts w:ascii="Symbol" w:eastAsia="Symbol" w:hAnsi="Symbol" w:cs="Symbol"/>
      </w:rPr>
    </w:lvl>
    <w:lvl w:ilvl="4" w:tplc="FFFFFFFF">
      <w:start w:val="1"/>
      <w:numFmt w:val="bullet"/>
      <w:lvlText w:val="•"/>
      <w:lvlJc w:val="left"/>
      <w:pPr>
        <w:tabs>
          <w:tab w:val="num" w:pos="1620"/>
        </w:tabs>
        <w:ind w:left="1620" w:hanging="180"/>
      </w:pPr>
      <w:rPr>
        <w:rFonts w:ascii="Symbol" w:eastAsia="Symbol" w:hAnsi="Symbol" w:cs="Symbol"/>
      </w:rPr>
    </w:lvl>
    <w:lvl w:ilvl="5" w:tplc="FFFFFFFF">
      <w:start w:val="1"/>
      <w:numFmt w:val="bullet"/>
      <w:lvlText w:val="•"/>
      <w:lvlJc w:val="left"/>
      <w:pPr>
        <w:tabs>
          <w:tab w:val="num" w:pos="1980"/>
        </w:tabs>
        <w:ind w:left="1980" w:hanging="180"/>
      </w:pPr>
      <w:rPr>
        <w:rFonts w:ascii="Symbol" w:eastAsia="Symbol" w:hAnsi="Symbol" w:cs="Symbol"/>
      </w:rPr>
    </w:lvl>
    <w:lvl w:ilvl="6" w:tplc="FFFFFFFF">
      <w:start w:val="1"/>
      <w:numFmt w:val="bullet"/>
      <w:lvlText w:val="•"/>
      <w:lvlJc w:val="left"/>
      <w:pPr>
        <w:tabs>
          <w:tab w:val="num" w:pos="2340"/>
        </w:tabs>
        <w:ind w:left="2340" w:hanging="180"/>
      </w:pPr>
      <w:rPr>
        <w:rFonts w:ascii="Symbol" w:eastAsia="Symbol" w:hAnsi="Symbol" w:cs="Symbol"/>
      </w:rPr>
    </w:lvl>
    <w:lvl w:ilvl="7" w:tplc="FFFFFFFF">
      <w:start w:val="1"/>
      <w:numFmt w:val="bullet"/>
      <w:lvlText w:val="•"/>
      <w:lvlJc w:val="left"/>
      <w:pPr>
        <w:tabs>
          <w:tab w:val="num" w:pos="2700"/>
        </w:tabs>
        <w:ind w:left="2700" w:hanging="180"/>
      </w:pPr>
      <w:rPr>
        <w:rFonts w:ascii="Symbol" w:eastAsia="Symbol" w:hAnsi="Symbol" w:cs="Symbol"/>
      </w:rPr>
    </w:lvl>
    <w:lvl w:ilvl="8" w:tplc="FFFFFFFF">
      <w:start w:val="1"/>
      <w:numFmt w:val="bullet"/>
      <w:lvlText w:val="•"/>
      <w:lvlJc w:val="left"/>
      <w:pPr>
        <w:tabs>
          <w:tab w:val="num" w:pos="3060"/>
        </w:tabs>
        <w:ind w:left="3060" w:hanging="180"/>
      </w:pPr>
      <w:rPr>
        <w:rFonts w:ascii="Symbol" w:eastAsia="Symbol" w:hAnsi="Symbol" w:cs="Symbol"/>
      </w:rPr>
    </w:lvl>
  </w:abstractNum>
  <w:abstractNum w:abstractNumId="17" w15:restartNumberingAfterBreak="0">
    <w:nsid w:val="7FB7628C"/>
    <w:multiLevelType w:val="hybridMultilevel"/>
    <w:tmpl w:val="7F24274C"/>
    <w:lvl w:ilvl="0" w:tplc="2822E6FE">
      <w:start w:val="1"/>
      <w:numFmt w:val="decimal"/>
      <w:lvlText w:val="2.%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6"/>
  </w:num>
  <w:num w:numId="11">
    <w:abstractNumId w:val="15"/>
  </w:num>
  <w:num w:numId="12">
    <w:abstractNumId w:val="14"/>
  </w:num>
  <w:num w:numId="13">
    <w:abstractNumId w:val="17"/>
  </w:num>
  <w:num w:numId="14">
    <w:abstractNumId w:val="10"/>
  </w:num>
  <w:num w:numId="15">
    <w:abstractNumId w:val="13"/>
  </w:num>
  <w:num w:numId="16">
    <w:abstractNumId w:val="9"/>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C08A4"/>
    <w:rsid w:val="000F4146"/>
    <w:rsid w:val="001129E3"/>
    <w:rsid w:val="00185B12"/>
    <w:rsid w:val="00225426"/>
    <w:rsid w:val="00395336"/>
    <w:rsid w:val="003964BA"/>
    <w:rsid w:val="004E4442"/>
    <w:rsid w:val="005D07F0"/>
    <w:rsid w:val="00751E39"/>
    <w:rsid w:val="007661D6"/>
    <w:rsid w:val="007961D4"/>
    <w:rsid w:val="00815090"/>
    <w:rsid w:val="008207FA"/>
    <w:rsid w:val="0083048A"/>
    <w:rsid w:val="008736FB"/>
    <w:rsid w:val="0092673E"/>
    <w:rsid w:val="00942491"/>
    <w:rsid w:val="0096144E"/>
    <w:rsid w:val="00A73F6A"/>
    <w:rsid w:val="00A77B3E"/>
    <w:rsid w:val="00AA2333"/>
    <w:rsid w:val="00B24B71"/>
    <w:rsid w:val="00B521CE"/>
    <w:rsid w:val="00B657A7"/>
    <w:rsid w:val="00BB42FD"/>
    <w:rsid w:val="00BB7D43"/>
    <w:rsid w:val="00CA2A55"/>
    <w:rsid w:val="00E202AB"/>
    <w:rsid w:val="00EB2CAF"/>
    <w:rsid w:val="00F73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8C4A80"/>
  <w15:docId w15:val="{BDBA0205-41A8-B449-8EE9-2FF01AE8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
    <w:name w:val="Table of contents"/>
    <w:pPr>
      <w:spacing w:after="200"/>
      <w:jc w:val="center"/>
    </w:pPr>
    <w:rPr>
      <w:b/>
      <w:sz w:val="32"/>
    </w:rPr>
  </w:style>
  <w:style w:type="paragraph" w:styleId="TOC3">
    <w:name w:val="toc 3"/>
    <w:basedOn w:val="Normal"/>
    <w:next w:val="Normal"/>
    <w:autoRedefine/>
    <w:rsid w:val="00805BCE"/>
    <w:pPr>
      <w:ind w:left="480"/>
    </w:pPr>
  </w:style>
  <w:style w:type="character" w:styleId="Hyperlink">
    <w:name w:val="Hyperlink"/>
    <w:basedOn w:val="DefaultParagraphFont"/>
    <w:rsid w:val="00EF7B96"/>
    <w:rPr>
      <w:color w:val="0000FF"/>
      <w:u w:val="single"/>
    </w:rPr>
  </w:style>
  <w:style w:type="paragraph" w:styleId="TOC1">
    <w:name w:val="toc 1"/>
    <w:basedOn w:val="Normal"/>
    <w:next w:val="Normal"/>
    <w:autoRedefine/>
    <w:rsid w:val="00805BCE"/>
  </w:style>
  <w:style w:type="paragraph" w:styleId="Header">
    <w:name w:val="header"/>
    <w:basedOn w:val="Normal"/>
    <w:link w:val="HeaderChar"/>
    <w:rsid w:val="004E4442"/>
    <w:pPr>
      <w:tabs>
        <w:tab w:val="center" w:pos="4680"/>
        <w:tab w:val="right" w:pos="9360"/>
      </w:tabs>
    </w:pPr>
  </w:style>
  <w:style w:type="character" w:customStyle="1" w:styleId="HeaderChar">
    <w:name w:val="Header Char"/>
    <w:basedOn w:val="DefaultParagraphFont"/>
    <w:link w:val="Header"/>
    <w:rsid w:val="004E4442"/>
    <w:rPr>
      <w:sz w:val="24"/>
      <w:szCs w:val="24"/>
    </w:rPr>
  </w:style>
  <w:style w:type="paragraph" w:styleId="Footer">
    <w:name w:val="footer"/>
    <w:basedOn w:val="Normal"/>
    <w:link w:val="FooterChar"/>
    <w:uiPriority w:val="99"/>
    <w:rsid w:val="004E4442"/>
    <w:pPr>
      <w:tabs>
        <w:tab w:val="center" w:pos="4680"/>
        <w:tab w:val="right" w:pos="9360"/>
      </w:tabs>
    </w:pPr>
  </w:style>
  <w:style w:type="character" w:customStyle="1" w:styleId="FooterChar">
    <w:name w:val="Footer Char"/>
    <w:basedOn w:val="DefaultParagraphFont"/>
    <w:link w:val="Footer"/>
    <w:uiPriority w:val="99"/>
    <w:rsid w:val="004E4442"/>
    <w:rPr>
      <w:sz w:val="24"/>
      <w:szCs w:val="24"/>
    </w:rPr>
  </w:style>
  <w:style w:type="paragraph" w:styleId="NormalWeb">
    <w:name w:val="Normal (Web)"/>
    <w:basedOn w:val="Normal"/>
    <w:uiPriority w:val="99"/>
    <w:unhideWhenUsed/>
    <w:rsid w:val="007961D4"/>
    <w:pPr>
      <w:spacing w:before="100" w:beforeAutospacing="1" w:after="100" w:afterAutospacing="1"/>
    </w:pPr>
    <w:rPr>
      <w:lang w:val="fr-FR" w:eastAsia="fr-FR"/>
    </w:rPr>
  </w:style>
  <w:style w:type="table" w:styleId="PlainTable4">
    <w:name w:val="Plain Table 4"/>
    <w:basedOn w:val="TableNormal"/>
    <w:uiPriority w:val="44"/>
    <w:rsid w:val="0081509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Head">
    <w:name w:val="Refer Head"/>
    <w:basedOn w:val="Normal"/>
    <w:rsid w:val="0083048A"/>
    <w:pPr>
      <w:keepNext/>
      <w:spacing w:after="240"/>
    </w:pPr>
    <w:rPr>
      <w:rFonts w:ascii="Helvetica" w:hAnsi="Helvetica"/>
      <w:b/>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909899">
      <w:bodyDiv w:val="1"/>
      <w:marLeft w:val="0"/>
      <w:marRight w:val="0"/>
      <w:marTop w:val="0"/>
      <w:marBottom w:val="0"/>
      <w:divBdr>
        <w:top w:val="none" w:sz="0" w:space="0" w:color="auto"/>
        <w:left w:val="none" w:sz="0" w:space="0" w:color="auto"/>
        <w:bottom w:val="none" w:sz="0" w:space="0" w:color="auto"/>
        <w:right w:val="none" w:sz="0" w:space="0" w:color="auto"/>
      </w:divBdr>
    </w:div>
    <w:div w:id="273631775">
      <w:bodyDiv w:val="1"/>
      <w:marLeft w:val="0"/>
      <w:marRight w:val="0"/>
      <w:marTop w:val="0"/>
      <w:marBottom w:val="0"/>
      <w:divBdr>
        <w:top w:val="none" w:sz="0" w:space="0" w:color="auto"/>
        <w:left w:val="none" w:sz="0" w:space="0" w:color="auto"/>
        <w:bottom w:val="none" w:sz="0" w:space="0" w:color="auto"/>
        <w:right w:val="none" w:sz="0" w:space="0" w:color="auto"/>
      </w:divBdr>
    </w:div>
    <w:div w:id="452211344">
      <w:bodyDiv w:val="1"/>
      <w:marLeft w:val="0"/>
      <w:marRight w:val="0"/>
      <w:marTop w:val="0"/>
      <w:marBottom w:val="0"/>
      <w:divBdr>
        <w:top w:val="none" w:sz="0" w:space="0" w:color="auto"/>
        <w:left w:val="none" w:sz="0" w:space="0" w:color="auto"/>
        <w:bottom w:val="none" w:sz="0" w:space="0" w:color="auto"/>
        <w:right w:val="none" w:sz="0" w:space="0" w:color="auto"/>
      </w:divBdr>
    </w:div>
    <w:div w:id="783117319">
      <w:bodyDiv w:val="1"/>
      <w:marLeft w:val="0"/>
      <w:marRight w:val="0"/>
      <w:marTop w:val="0"/>
      <w:marBottom w:val="0"/>
      <w:divBdr>
        <w:top w:val="none" w:sz="0" w:space="0" w:color="auto"/>
        <w:left w:val="none" w:sz="0" w:space="0" w:color="auto"/>
        <w:bottom w:val="none" w:sz="0" w:space="0" w:color="auto"/>
        <w:right w:val="none" w:sz="0" w:space="0" w:color="auto"/>
      </w:divBdr>
    </w:div>
    <w:div w:id="904950985">
      <w:bodyDiv w:val="1"/>
      <w:marLeft w:val="0"/>
      <w:marRight w:val="0"/>
      <w:marTop w:val="0"/>
      <w:marBottom w:val="0"/>
      <w:divBdr>
        <w:top w:val="none" w:sz="0" w:space="0" w:color="auto"/>
        <w:left w:val="none" w:sz="0" w:space="0" w:color="auto"/>
        <w:bottom w:val="none" w:sz="0" w:space="0" w:color="auto"/>
        <w:right w:val="none" w:sz="0" w:space="0" w:color="auto"/>
      </w:divBdr>
    </w:div>
    <w:div w:id="1217202562">
      <w:bodyDiv w:val="1"/>
      <w:marLeft w:val="0"/>
      <w:marRight w:val="0"/>
      <w:marTop w:val="0"/>
      <w:marBottom w:val="0"/>
      <w:divBdr>
        <w:top w:val="none" w:sz="0" w:space="0" w:color="auto"/>
        <w:left w:val="none" w:sz="0" w:space="0" w:color="auto"/>
        <w:bottom w:val="none" w:sz="0" w:space="0" w:color="auto"/>
        <w:right w:val="none" w:sz="0" w:space="0" w:color="auto"/>
      </w:divBdr>
    </w:div>
    <w:div w:id="1552158934">
      <w:bodyDiv w:val="1"/>
      <w:marLeft w:val="0"/>
      <w:marRight w:val="0"/>
      <w:marTop w:val="0"/>
      <w:marBottom w:val="0"/>
      <w:divBdr>
        <w:top w:val="none" w:sz="0" w:space="0" w:color="auto"/>
        <w:left w:val="none" w:sz="0" w:space="0" w:color="auto"/>
        <w:bottom w:val="none" w:sz="0" w:space="0" w:color="auto"/>
        <w:right w:val="none" w:sz="0" w:space="0" w:color="auto"/>
      </w:divBdr>
    </w:div>
    <w:div w:id="1625041114">
      <w:bodyDiv w:val="1"/>
      <w:marLeft w:val="0"/>
      <w:marRight w:val="0"/>
      <w:marTop w:val="0"/>
      <w:marBottom w:val="0"/>
      <w:divBdr>
        <w:top w:val="none" w:sz="0" w:space="0" w:color="auto"/>
        <w:left w:val="none" w:sz="0" w:space="0" w:color="auto"/>
        <w:bottom w:val="none" w:sz="0" w:space="0" w:color="auto"/>
        <w:right w:val="none" w:sz="0" w:space="0" w:color="auto"/>
      </w:divBdr>
    </w:div>
    <w:div w:id="1662926433">
      <w:bodyDiv w:val="1"/>
      <w:marLeft w:val="0"/>
      <w:marRight w:val="0"/>
      <w:marTop w:val="0"/>
      <w:marBottom w:val="0"/>
      <w:divBdr>
        <w:top w:val="none" w:sz="0" w:space="0" w:color="auto"/>
        <w:left w:val="none" w:sz="0" w:space="0" w:color="auto"/>
        <w:bottom w:val="none" w:sz="0" w:space="0" w:color="auto"/>
        <w:right w:val="none" w:sz="0" w:space="0" w:color="auto"/>
      </w:divBdr>
    </w:div>
    <w:div w:id="1899052582">
      <w:bodyDiv w:val="1"/>
      <w:marLeft w:val="0"/>
      <w:marRight w:val="0"/>
      <w:marTop w:val="0"/>
      <w:marBottom w:val="0"/>
      <w:divBdr>
        <w:top w:val="none" w:sz="0" w:space="0" w:color="auto"/>
        <w:left w:val="none" w:sz="0" w:space="0" w:color="auto"/>
        <w:bottom w:val="none" w:sz="0" w:space="0" w:color="auto"/>
        <w:right w:val="none" w:sz="0" w:space="0" w:color="auto"/>
      </w:divBdr>
    </w:div>
    <w:div w:id="2052610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7/hjh.0b013e328357c018" TargetMode="External"/><Relationship Id="rId18" Type="http://schemas.openxmlformats.org/officeDocument/2006/relationships/hyperlink" Target="https://doi.org/10.1016/s0300-9084(80)80123-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23736/s1121-421x.20.02660-4" TargetMode="External"/><Relationship Id="rId7" Type="http://schemas.openxmlformats.org/officeDocument/2006/relationships/endnotes" Target="endnotes.xml"/><Relationship Id="rId12" Type="http://schemas.openxmlformats.org/officeDocument/2006/relationships/hyperlink" Target="https://doi.org/10.3390/antibiotics12081299" TargetMode="External"/><Relationship Id="rId17" Type="http://schemas.openxmlformats.org/officeDocument/2006/relationships/hyperlink" Target="https://doi.org/10.1210/jendso/bvad164" TargetMode="External"/><Relationship Id="rId25" Type="http://schemas.openxmlformats.org/officeDocument/2006/relationships/hyperlink" Target="https://doi.org/10.1253/circj.cj-17-048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00380-018-1135-3" TargetMode="External"/><Relationship Id="rId20" Type="http://schemas.openxmlformats.org/officeDocument/2006/relationships/hyperlink" Target="https://doi.org/10.1111/jce.1664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37/db14-0020" TargetMode="External"/><Relationship Id="rId24" Type="http://schemas.openxmlformats.org/officeDocument/2006/relationships/hyperlink" Target="https://doi.org/10.3390/ijerph1803115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86/s12916-023-03143-8" TargetMode="External"/><Relationship Id="rId23" Type="http://schemas.openxmlformats.org/officeDocument/2006/relationships/hyperlink" Target="https://doi.org/10.1093/jtm/taae042" TargetMode="External"/><Relationship Id="rId28" Type="http://schemas.openxmlformats.org/officeDocument/2006/relationships/footer" Target="footer1.xml"/><Relationship Id="rId10" Type="http://schemas.openxmlformats.org/officeDocument/2006/relationships/hyperlink" Target="https://doi.org/10.1111/j.1708-8305.2009.00358.x" TargetMode="External"/><Relationship Id="rId19" Type="http://schemas.openxmlformats.org/officeDocument/2006/relationships/hyperlink" Target="https://doi.org/10.1371/journal.pone.0317555"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389/fphar.2022.973366" TargetMode="External"/><Relationship Id="rId14" Type="http://schemas.openxmlformats.org/officeDocument/2006/relationships/hyperlink" Target="https://doi.org/10.1371/journal.pntd.0012262" TargetMode="External"/><Relationship Id="rId22" Type="http://schemas.openxmlformats.org/officeDocument/2006/relationships/hyperlink" Target="https://doi.org/10.1002/ehf2.12531"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26719/2019.25.10.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BEE9E-F85F-477D-99A6-61E7C4B27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4086</Words>
  <Characters>23291</Characters>
  <Application>Microsoft Office Word</Application>
  <DocSecurity>0</DocSecurity>
  <Lines>194</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KOFFI JOELLE</dc:creator>
  <cp:lastModifiedBy>SDI 1084</cp:lastModifiedBy>
  <cp:revision>9</cp:revision>
  <dcterms:created xsi:type="dcterms:W3CDTF">2025-08-17T10:35:00Z</dcterms:created>
  <dcterms:modified xsi:type="dcterms:W3CDTF">2025-08-21T08:04:00Z</dcterms:modified>
</cp:coreProperties>
</file>