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0D16" w14:textId="77777777" w:rsidR="00754C9A" w:rsidRDefault="00754C9A" w:rsidP="00441B6F">
      <w:pPr>
        <w:pStyle w:val="Title"/>
        <w:spacing w:after="0"/>
        <w:jc w:val="both"/>
        <w:rPr>
          <w:rFonts w:ascii="Arial" w:hAnsi="Arial" w:cs="Arial"/>
        </w:rPr>
      </w:pPr>
    </w:p>
    <w:p w14:paraId="2214ED4C" w14:textId="77777777" w:rsidR="00A258C3" w:rsidRPr="00790ADA" w:rsidRDefault="00B1042F" w:rsidP="00441B6F">
      <w:pPr>
        <w:pStyle w:val="Author"/>
        <w:spacing w:line="240" w:lineRule="auto"/>
        <w:jc w:val="both"/>
        <w:rPr>
          <w:rFonts w:ascii="Arial" w:hAnsi="Arial" w:cs="Arial"/>
          <w:sz w:val="36"/>
        </w:rPr>
      </w:pPr>
      <w:r w:rsidRPr="00B1042F">
        <w:rPr>
          <w:rFonts w:ascii="Arial" w:hAnsi="Arial" w:cs="Arial"/>
          <w:bCs/>
          <w:iCs/>
          <w:kern w:val="28"/>
          <w:sz w:val="36"/>
        </w:rPr>
        <w:t>The Effect of Environmental Factors on Quality Characteristics of Lavandula angustifolia Essential Oil Using Satellite Images and Remote Sensing</w:t>
      </w:r>
    </w:p>
    <w:p w14:paraId="7016C53B" w14:textId="173B8D97" w:rsidR="00F62166" w:rsidRDefault="00F62166" w:rsidP="00441B6F">
      <w:pPr>
        <w:pStyle w:val="Affiliation"/>
        <w:spacing w:after="0" w:line="240" w:lineRule="auto"/>
        <w:jc w:val="both"/>
        <w:rPr>
          <w:rFonts w:ascii="Arial" w:hAnsi="Arial" w:cs="Arial"/>
        </w:rPr>
      </w:pPr>
    </w:p>
    <w:p w14:paraId="62B385C3" w14:textId="77777777" w:rsidR="009D1306" w:rsidRPr="00FB3A86" w:rsidRDefault="009D1306" w:rsidP="00441B6F">
      <w:pPr>
        <w:pStyle w:val="Affiliation"/>
        <w:spacing w:after="0" w:line="240" w:lineRule="auto"/>
        <w:jc w:val="both"/>
        <w:rPr>
          <w:rFonts w:ascii="Arial" w:hAnsi="Arial" w:cs="Arial"/>
        </w:rPr>
      </w:pPr>
    </w:p>
    <w:p w14:paraId="2ABE54AA" w14:textId="4A4801BA" w:rsidR="00B01FCD" w:rsidRPr="00FB3A86" w:rsidRDefault="00D81482" w:rsidP="00441B6F">
      <w:pPr>
        <w:pStyle w:val="Copyright"/>
        <w:spacing w:after="0" w:line="240" w:lineRule="auto"/>
        <w:jc w:val="both"/>
        <w:rPr>
          <w:rFonts w:ascii="Arial" w:hAnsi="Arial" w:cs="Arial"/>
        </w:rPr>
        <w:sectPr w:rsidR="00B01FCD" w:rsidRPr="00FB3A86" w:rsidSect="009D1306">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CF1612" wp14:editId="00154014">
                <wp:extent cx="5303520" cy="635"/>
                <wp:effectExtent l="9525" t="12700" r="11430" b="15875"/>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0D9E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W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Iv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TD9Fh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62C2D68C" w14:textId="48982A4A" w:rsidR="00B01FCD" w:rsidRDefault="00B01FCD" w:rsidP="00441B6F">
      <w:pPr>
        <w:pStyle w:val="AbstHead"/>
        <w:spacing w:after="0"/>
        <w:jc w:val="both"/>
        <w:rPr>
          <w:rFonts w:ascii="Arial" w:hAnsi="Arial" w:cs="Arial"/>
        </w:rPr>
      </w:pPr>
      <w:r w:rsidRPr="00FB3A86">
        <w:rPr>
          <w:rFonts w:ascii="Arial" w:hAnsi="Arial" w:cs="Arial"/>
        </w:rPr>
        <w:t>ABSTRACT</w:t>
      </w:r>
    </w:p>
    <w:p w14:paraId="67AD9C1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F91A71" w14:textId="77777777" w:rsidTr="001E44FE">
        <w:tc>
          <w:tcPr>
            <w:tcW w:w="9576" w:type="dxa"/>
            <w:shd w:val="clear" w:color="auto" w:fill="F2F2F2"/>
          </w:tcPr>
          <w:p w14:paraId="0A48FE89" w14:textId="77777777" w:rsidR="00B1042F" w:rsidRPr="00BA1B01" w:rsidRDefault="00B1042F" w:rsidP="00B1042F">
            <w:pPr>
              <w:pStyle w:val="Body"/>
              <w:spacing w:after="0"/>
              <w:rPr>
                <w:rFonts w:ascii="Arial" w:eastAsia="Calibri" w:hAnsi="Arial" w:cs="Arial"/>
                <w:szCs w:val="22"/>
              </w:rPr>
            </w:pPr>
            <w:r w:rsidRPr="00B1042F">
              <w:rPr>
                <w:rFonts w:ascii="Arial" w:eastAsia="Calibri" w:hAnsi="Arial" w:cs="Arial"/>
                <w:szCs w:val="22"/>
              </w:rPr>
              <w:t xml:space="preserve">Medicinal and aromatic plants have been used for centuries due to their beneficial properties. One such plant is lavender (Lavandula angustifolia), widely known for its essential oil. The composition and quality of lavender essential oil are influenced by various environmental factors. The present study aims to investigate the impact of climate on the quality characteristics of L. angustifolia essential oil of, using satellite images and remote sensing. The research was carried out on a 0.5 ha commercial lavender field at </w:t>
            </w:r>
            <w:proofErr w:type="spellStart"/>
            <w:r w:rsidRPr="00B1042F">
              <w:rPr>
                <w:rFonts w:ascii="Arial" w:eastAsia="Calibri" w:hAnsi="Arial" w:cs="Arial"/>
                <w:szCs w:val="22"/>
              </w:rPr>
              <w:t>Kozani</w:t>
            </w:r>
            <w:proofErr w:type="spellEnd"/>
            <w:r w:rsidRPr="00B1042F">
              <w:rPr>
                <w:rFonts w:ascii="Arial" w:eastAsia="Calibri" w:hAnsi="Arial" w:cs="Arial"/>
                <w:szCs w:val="22"/>
              </w:rPr>
              <w:t xml:space="preserve">, Greece. The plants were established in 2017 and harvested at full bloom. Qualitative analysis of the essential oil was performed in a chemical laboratory from 2019 to 2023, with substance identification carried out using gas chromatography. Climate data, including temperature, relative humidity, precipitation, wind, and solar radiation, were obtained from NASA Power for five years (2019 – 2023). Additionally, NDVI (Normalized Difference Vegetation Index) and NDWI (Normalized Difference Water Index) indices were extracted from Sentinel 2 satellite imagery. The collected data as well as quality parameters of essential oil were statistically analyzed using IBM SPSS Statistics to identify correlations and specific trends. The results showed that lavender NDVI is significantly positive correlated with relative humidity (0.74, p&lt;0.01) and negative significantly correlated with solar radiation (-0.71, p&lt;0.05), and daily average temperature (-0.69, p&lt;0.05). On the other hand, NDWI is significantly positive correlated with precipitations (0.71, p&lt;0.05) and relative humidity (0.86, p&lt;0.01), while is significantly negative correlated with daily average temperature (-0.78, p&lt;0.01), dew point temperature (-0.60, p&lt;0.05) and solar radiation (-0.68, p&lt;0.05). Additionally, NDVI was significantly positive correlated with cis-beta-OCIMENE (0.721, p&lt;0.05), trans-beta-OCIMENE (0.805, p&lt;0.05), and </w:t>
            </w:r>
            <w:proofErr w:type="spellStart"/>
            <w:r w:rsidRPr="00B1042F">
              <w:rPr>
                <w:rFonts w:ascii="Arial" w:eastAsia="Calibri" w:hAnsi="Arial" w:cs="Arial"/>
                <w:szCs w:val="22"/>
              </w:rPr>
              <w:t>Lavandulyl</w:t>
            </w:r>
            <w:proofErr w:type="spellEnd"/>
            <w:r w:rsidRPr="00B1042F">
              <w:rPr>
                <w:rFonts w:ascii="Arial" w:eastAsia="Calibri" w:hAnsi="Arial" w:cs="Arial"/>
                <w:szCs w:val="22"/>
              </w:rPr>
              <w:t xml:space="preserve"> Acetate (0.770, p&lt;0.05) and significantly negative correlated with Limonene (0.773, p&lt;0.05), 1,8-CINEOLE (0,724, p&lt;0.05), TERPINENE-4-OL (0.690, p&lt;0.05), LAVANDULOL (0.727, p&lt;0.05) and alpha-TERPINEOL (0.870, p&lt;0.05). NDWI was significantly positive correlated only with cis-beta-OCIMENE (0.712, p&lt;0.05) and significantly negative correlated with 1,8-CINEOLE (-0.707, p&lt;0.05), TERPINENE-4-OL (-0.818, p&lt;0.05), </w:t>
            </w:r>
            <w:proofErr w:type="spellStart"/>
            <w:r w:rsidRPr="00B1042F">
              <w:rPr>
                <w:rFonts w:ascii="Arial" w:eastAsia="Calibri" w:hAnsi="Arial" w:cs="Arial"/>
                <w:szCs w:val="22"/>
              </w:rPr>
              <w:t>Lavandulyl</w:t>
            </w:r>
            <w:proofErr w:type="spellEnd"/>
            <w:r w:rsidRPr="00B1042F">
              <w:rPr>
                <w:rFonts w:ascii="Arial" w:eastAsia="Calibri" w:hAnsi="Arial" w:cs="Arial"/>
                <w:szCs w:val="22"/>
              </w:rPr>
              <w:t xml:space="preserve"> Acetate (-0.709, p&lt;0.05), </w:t>
            </w:r>
            <w:proofErr w:type="spellStart"/>
            <w:r w:rsidRPr="00B1042F">
              <w:rPr>
                <w:rFonts w:ascii="Arial" w:eastAsia="Calibri" w:hAnsi="Arial" w:cs="Arial"/>
                <w:szCs w:val="22"/>
              </w:rPr>
              <w:t>Lavandulol</w:t>
            </w:r>
            <w:proofErr w:type="spellEnd"/>
            <w:r w:rsidRPr="00B1042F">
              <w:rPr>
                <w:rFonts w:ascii="Arial" w:eastAsia="Calibri" w:hAnsi="Arial" w:cs="Arial"/>
                <w:szCs w:val="22"/>
              </w:rPr>
              <w:t xml:space="preserve"> (-0.680, p&lt;0.05) and alpha-TERPINEOL (-0.650, p&lt;0.05). From all the above it is clear that remotely sensed indices such as NDVI and NDWI could be utilized to help farmers and crop consultants to predict the variability of essential oil quality within a field</w:t>
            </w:r>
            <w:r>
              <w:rPr>
                <w:rFonts w:ascii="Arial" w:eastAsia="Calibri" w:hAnsi="Arial" w:cs="Arial"/>
                <w:szCs w:val="22"/>
              </w:rPr>
              <w:t>.</w:t>
            </w:r>
          </w:p>
          <w:p w14:paraId="2D5996C0" w14:textId="77777777" w:rsidR="00505F06" w:rsidRPr="00BA1B01" w:rsidRDefault="00505F06" w:rsidP="00441B6F">
            <w:pPr>
              <w:pStyle w:val="Body"/>
              <w:spacing w:after="0"/>
              <w:rPr>
                <w:rFonts w:ascii="Arial" w:eastAsia="Calibri" w:hAnsi="Arial" w:cs="Arial"/>
                <w:szCs w:val="22"/>
              </w:rPr>
            </w:pPr>
          </w:p>
        </w:tc>
      </w:tr>
    </w:tbl>
    <w:p w14:paraId="4F7840F5" w14:textId="77777777" w:rsidR="00636EB2" w:rsidRDefault="00636EB2" w:rsidP="00441B6F">
      <w:pPr>
        <w:pStyle w:val="Body"/>
        <w:spacing w:after="0"/>
        <w:rPr>
          <w:rFonts w:ascii="Arial" w:hAnsi="Arial" w:cs="Arial"/>
          <w:i/>
        </w:rPr>
      </w:pPr>
    </w:p>
    <w:p w14:paraId="5360E406" w14:textId="77777777" w:rsidR="00B1042F" w:rsidRDefault="00A24E7E" w:rsidP="00441B6F">
      <w:pPr>
        <w:pStyle w:val="Body"/>
        <w:spacing w:after="0"/>
        <w:rPr>
          <w:rFonts w:ascii="Arial" w:hAnsi="Arial" w:cs="Arial"/>
          <w:i/>
        </w:rPr>
      </w:pPr>
      <w:r>
        <w:rPr>
          <w:rFonts w:ascii="Arial" w:hAnsi="Arial" w:cs="Arial"/>
          <w:i/>
        </w:rPr>
        <w:t xml:space="preserve">Keywords: </w:t>
      </w:r>
      <w:r w:rsidR="00B1042F" w:rsidRPr="00B1042F">
        <w:rPr>
          <w:rFonts w:ascii="Arial" w:hAnsi="Arial" w:cs="Arial"/>
          <w:i/>
        </w:rPr>
        <w:t>weather data, NDVI, NDWI, remotely sensed data, lavender, Pearson coefficient, components</w:t>
      </w:r>
      <w:r w:rsidR="00B1042F">
        <w:rPr>
          <w:rFonts w:ascii="Arial" w:hAnsi="Arial" w:cs="Arial"/>
          <w:i/>
        </w:rPr>
        <w:t>.</w:t>
      </w:r>
    </w:p>
    <w:p w14:paraId="47189F08" w14:textId="77777777" w:rsidR="0024282C" w:rsidRPr="00D81482" w:rsidRDefault="00A24E7E" w:rsidP="00441B6F">
      <w:pPr>
        <w:pStyle w:val="Body"/>
        <w:spacing w:after="0"/>
        <w:rPr>
          <w:rFonts w:ascii="Arial" w:hAnsi="Arial" w:cs="Arial"/>
          <w:i/>
        </w:rPr>
      </w:pPr>
      <w:r>
        <w:rPr>
          <w:rFonts w:ascii="Arial" w:hAnsi="Arial" w:cs="Arial"/>
          <w:i/>
        </w:rPr>
        <w:t xml:space="preserve"> </w:t>
      </w:r>
    </w:p>
    <w:p w14:paraId="1699E27B" w14:textId="77777777" w:rsidR="00505F06" w:rsidRPr="00A24E7E" w:rsidRDefault="00505F06" w:rsidP="00441B6F">
      <w:pPr>
        <w:pStyle w:val="Body"/>
        <w:spacing w:after="0"/>
        <w:rPr>
          <w:rFonts w:ascii="Arial" w:hAnsi="Arial" w:cs="Arial"/>
          <w:i/>
        </w:rPr>
      </w:pPr>
    </w:p>
    <w:p w14:paraId="289243BB"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E3D1582" w14:textId="77777777" w:rsidR="00976CCF" w:rsidRPr="00976CCF" w:rsidRDefault="00976CCF" w:rsidP="00976CCF">
      <w:pPr>
        <w:pStyle w:val="Body"/>
        <w:rPr>
          <w:rFonts w:ascii="Arial" w:hAnsi="Arial" w:cs="Arial"/>
        </w:rPr>
      </w:pPr>
      <w:r w:rsidRPr="00976CCF">
        <w:rPr>
          <w:rFonts w:ascii="Arial" w:hAnsi="Arial" w:cs="Arial"/>
        </w:rPr>
        <w:t>Lavender (Lavandula angustifolia), is a medicinal and aromatic plant with a broad geographic distribution across Mediterranean region [1]. It is well-known for its drought resistance and its preference for sunny, warm summers and cold winters [2]. Additionally, lavender possesses multiple pharmacological properties [3, 4, 5]. The genus Lavandula comprises several species, with Lavandula angustifolia being the most popular. These species are primarily cultivated for their essential oil (EO), which is widely used in the perfume and cosmetic industries, as well as in aromatherapy [6, 7, 8]. Lavender EO is well known for its biological activities, with numerous studies highlighting its antibacterial and anti-inflammatory properties [9, 10].</w:t>
      </w:r>
    </w:p>
    <w:p w14:paraId="586ED505" w14:textId="77777777" w:rsidR="00976CCF" w:rsidRPr="00976CCF" w:rsidRDefault="00976CCF" w:rsidP="00976CCF">
      <w:pPr>
        <w:pStyle w:val="Body"/>
        <w:rPr>
          <w:rFonts w:ascii="Arial" w:hAnsi="Arial" w:cs="Arial"/>
        </w:rPr>
      </w:pPr>
      <w:r w:rsidRPr="00976CCF">
        <w:rPr>
          <w:rFonts w:ascii="Arial" w:hAnsi="Arial" w:cs="Arial"/>
        </w:rPr>
        <w:t xml:space="preserve">The EO of L. angustifolia is primarily composed of linalool (25–38%) and linalyl acetate (25–45%) [7]. The high concentration of these monoterpenoids contributes to the oil’s superior medicinal and aromatic quality [11]. The EO of L. angustifolia is considered a high-quality oil, with a market price three to five times higher than that of other Lavandula species [12]. Standards for the required quantity and quality of Lavandula essential oils are defined in pharmacopoeias. The European Pharmacopoeia [13] specifies a minimum EO content of 1.3 mL per 100g for </w:t>
      </w:r>
      <w:proofErr w:type="spellStart"/>
      <w:r w:rsidRPr="00976CCF">
        <w:rPr>
          <w:rFonts w:ascii="Arial" w:hAnsi="Arial" w:cs="Arial"/>
        </w:rPr>
        <w:t>Lavandulae</w:t>
      </w:r>
      <w:proofErr w:type="spellEnd"/>
      <w:r w:rsidRPr="00976CCF">
        <w:rPr>
          <w:rFonts w:ascii="Arial" w:hAnsi="Arial" w:cs="Arial"/>
        </w:rPr>
        <w:t xml:space="preserve"> </w:t>
      </w:r>
      <w:proofErr w:type="spellStart"/>
      <w:r w:rsidRPr="00976CCF">
        <w:rPr>
          <w:rFonts w:ascii="Arial" w:hAnsi="Arial" w:cs="Arial"/>
        </w:rPr>
        <w:t>flos</w:t>
      </w:r>
      <w:proofErr w:type="spellEnd"/>
      <w:r w:rsidRPr="00976CCF">
        <w:rPr>
          <w:rFonts w:ascii="Arial" w:hAnsi="Arial" w:cs="Arial"/>
        </w:rPr>
        <w:t xml:space="preserve">, along with composition limits: a maximum of 1% limonene, 2.5% 1.8-cineole, 1.2% camphor, 20–45% linalool, 25–47% linalyl acetate, 0.1–8% terpinene-4-ol, 0.1–8% </w:t>
      </w:r>
      <w:proofErr w:type="spellStart"/>
      <w:r w:rsidRPr="00976CCF">
        <w:rPr>
          <w:rFonts w:ascii="Arial" w:hAnsi="Arial" w:cs="Arial"/>
        </w:rPr>
        <w:t>lavandulyl</w:t>
      </w:r>
      <w:proofErr w:type="spellEnd"/>
      <w:r w:rsidRPr="00976CCF">
        <w:rPr>
          <w:rFonts w:ascii="Arial" w:hAnsi="Arial" w:cs="Arial"/>
        </w:rPr>
        <w:t xml:space="preserve"> acetate, and a maximum of 2% α-terpineol [14]. Camphor and 1.8-cineole should be in small concentrations so as not degrade the quality of the oil [15].</w:t>
      </w:r>
    </w:p>
    <w:p w14:paraId="2EEF14E2" w14:textId="77777777" w:rsidR="00976CCF" w:rsidRPr="00976CCF" w:rsidRDefault="00976CCF" w:rsidP="00976CCF">
      <w:pPr>
        <w:pStyle w:val="Body"/>
        <w:rPr>
          <w:rFonts w:ascii="Arial" w:hAnsi="Arial" w:cs="Arial"/>
        </w:rPr>
      </w:pPr>
      <w:r w:rsidRPr="00976CCF">
        <w:rPr>
          <w:rFonts w:ascii="Arial" w:hAnsi="Arial" w:cs="Arial"/>
        </w:rPr>
        <w:t>The composition of EO is primarily influenced by the plant's genotype [16], but it can also be affected by environmental conditions, developmental factors, and morphogenetic characteristics [17, 18, 19]. Research by [20, 21] and [22] indicates that local climate and harvest timing can influence both the quantity and quality of EO production. Additionally, soil salinity has been shown to affect EO content [23].</w:t>
      </w:r>
    </w:p>
    <w:p w14:paraId="2500E371" w14:textId="77777777" w:rsidR="00976CCF" w:rsidRPr="00976CCF" w:rsidRDefault="00976CCF" w:rsidP="00976CCF">
      <w:pPr>
        <w:pStyle w:val="Body"/>
        <w:rPr>
          <w:rFonts w:ascii="Arial" w:hAnsi="Arial" w:cs="Arial"/>
        </w:rPr>
      </w:pPr>
      <w:r w:rsidRPr="00976CCF">
        <w:rPr>
          <w:rFonts w:ascii="Arial" w:hAnsi="Arial" w:cs="Arial"/>
        </w:rPr>
        <w:t>Nutrient availability, particularly nitrogen levels, can alter the ratios of linalool and linalyl acetate, with the highest concentrations observed at a nitrogen application rate of 100 kg/ha. Weather conditions have also been shown to affect oil composition [24]. Moreover, postharvest techniques can play a significantly role in EO properties; for instance, [25] found that higher drying temperatures reduced EO content and altered its composition. The extraction method and distillation duration can also affect oil quality [26, 27].</w:t>
      </w:r>
    </w:p>
    <w:p w14:paraId="2E222883" w14:textId="77777777" w:rsidR="00976CCF" w:rsidRPr="00976CCF" w:rsidRDefault="00976CCF" w:rsidP="00976CCF">
      <w:pPr>
        <w:pStyle w:val="Body"/>
        <w:rPr>
          <w:rFonts w:ascii="Arial" w:hAnsi="Arial" w:cs="Arial"/>
        </w:rPr>
      </w:pPr>
      <w:r w:rsidRPr="00976CCF">
        <w:rPr>
          <w:rFonts w:ascii="Arial" w:hAnsi="Arial" w:cs="Arial"/>
        </w:rPr>
        <w:t xml:space="preserve">Normalized Difference Vegetation Index (NDVI) reflects different vegetation health and stress aspects of plants. NDVI is a standard metric derived from the red and near-infrared bands and could be used as an indicator of photosynthetic activity and biomass as well. It is calculated by Equation 1 [28] and defines values from −1 to 1, with negative values formed mainly by clouds, water, and snow, and values close to zero formed by bare soil. Moderate NDVI values represent areas devoid of vegetation, while large NDVI values (near 1) indicate healthy vegetation. A range of NDVI information derived from remote sensing imagery has resulted in NDVI time series from remote sensing data becoming an important source of information for crop monitoring [29, 30, 31]. However, there is no research linking NDVI to quality of EOs of Lavender plants. [32] utilized NDVI to develop a model to predict oil palm yield. Additionally, [33] developed an NDVI based model to predict yield of oil rose plants. The results proved that NDVI is not sensitive enough to the change in the reflection of the organic oil rose. Similar results about NDVI were found in olives [34], in rice [35] and in winter wheat [36]. The </w:t>
      </w:r>
      <w:proofErr w:type="spellStart"/>
      <w:r w:rsidRPr="00976CCF">
        <w:rPr>
          <w:rFonts w:ascii="Arial" w:hAnsi="Arial" w:cs="Arial"/>
        </w:rPr>
        <w:t>Normalised</w:t>
      </w:r>
      <w:proofErr w:type="spellEnd"/>
      <w:r w:rsidRPr="00976CCF">
        <w:rPr>
          <w:rFonts w:ascii="Arial" w:hAnsi="Arial" w:cs="Arial"/>
        </w:rPr>
        <w:t xml:space="preserve"> Difference Water Index (NDWI) is another critical parameter strongly correlated with plant leaf water content. NDWI values range between −1 and 1 and respond more quickly than NDVI to changes in water availability. When leaf water content decreases, NDWI values also decline and vice versa. This index has been widely used to investigate the potential of remote sensing in mapping and monitoring vegetation water content in corn and soybean canopies [37], to </w:t>
      </w:r>
      <w:proofErr w:type="spellStart"/>
      <w:r w:rsidRPr="00976CCF">
        <w:rPr>
          <w:rFonts w:ascii="Arial" w:hAnsi="Arial" w:cs="Arial"/>
        </w:rPr>
        <w:t>characterise</w:t>
      </w:r>
      <w:proofErr w:type="spellEnd"/>
      <w:r w:rsidRPr="00976CCF">
        <w:rPr>
          <w:rFonts w:ascii="Arial" w:hAnsi="Arial" w:cs="Arial"/>
        </w:rPr>
        <w:t xml:space="preserve"> land cover and vegetation type [38, 39], and last but not least, </w:t>
      </w:r>
      <w:r w:rsidRPr="00976CCF">
        <w:rPr>
          <w:rFonts w:ascii="Arial" w:hAnsi="Arial" w:cs="Arial"/>
        </w:rPr>
        <w:lastRenderedPageBreak/>
        <w:t>to monitor water stress in semiarid areas [40]. However, as with NDVI, no studies have specifically examined the use of NDWI for assessing Lavender EO quality.</w:t>
      </w:r>
    </w:p>
    <w:p w14:paraId="6F7907D9" w14:textId="77777777" w:rsidR="00976CCF" w:rsidRPr="00976CCF" w:rsidRDefault="00976CCF" w:rsidP="00976CCF">
      <w:pPr>
        <w:pStyle w:val="Body"/>
        <w:rPr>
          <w:rFonts w:ascii="Arial" w:hAnsi="Arial" w:cs="Arial"/>
        </w:rPr>
      </w:pPr>
    </w:p>
    <w:p w14:paraId="112EFD01" w14:textId="77777777" w:rsidR="00976CCF" w:rsidRPr="00976CCF" w:rsidRDefault="00976CCF" w:rsidP="00976CCF">
      <w:pPr>
        <w:pStyle w:val="Body"/>
        <w:rPr>
          <w:rFonts w:ascii="Arial" w:hAnsi="Arial" w:cs="Arial"/>
        </w:rPr>
      </w:pPr>
      <w:r w:rsidRPr="00976CCF">
        <w:rPr>
          <w:rFonts w:ascii="Arial" w:hAnsi="Arial" w:cs="Arial"/>
        </w:rPr>
        <w:t>NDVI=(NIR-RED)/(NIR+RED) (1)</w:t>
      </w:r>
    </w:p>
    <w:p w14:paraId="52ACDBDD" w14:textId="77777777" w:rsidR="00976CCF" w:rsidRPr="00976CCF" w:rsidRDefault="00976CCF" w:rsidP="00976CCF">
      <w:pPr>
        <w:pStyle w:val="Body"/>
        <w:rPr>
          <w:rFonts w:ascii="Arial" w:hAnsi="Arial" w:cs="Arial"/>
        </w:rPr>
      </w:pPr>
      <w:r w:rsidRPr="00976CCF">
        <w:rPr>
          <w:rFonts w:ascii="Arial" w:hAnsi="Arial" w:cs="Arial"/>
        </w:rPr>
        <w:t>NDWI= (GREEN-NIR)/ (GREEN+NIR) (2)</w:t>
      </w:r>
    </w:p>
    <w:p w14:paraId="4C7B9895" w14:textId="77777777" w:rsidR="00976CCF" w:rsidRPr="00976CCF" w:rsidRDefault="00976CCF" w:rsidP="00976CCF">
      <w:pPr>
        <w:pStyle w:val="Body"/>
        <w:rPr>
          <w:rFonts w:ascii="Arial" w:hAnsi="Arial" w:cs="Arial"/>
        </w:rPr>
      </w:pPr>
      <w:r w:rsidRPr="00976CCF">
        <w:rPr>
          <w:rFonts w:ascii="Arial" w:hAnsi="Arial" w:cs="Arial"/>
        </w:rPr>
        <w:t>Where: NIR is the reflectance at the near infrared band</w:t>
      </w:r>
    </w:p>
    <w:p w14:paraId="3C996A2A" w14:textId="77777777" w:rsidR="00976CCF" w:rsidRPr="00976CCF" w:rsidRDefault="00976CCF" w:rsidP="00976CCF">
      <w:pPr>
        <w:pStyle w:val="Body"/>
        <w:rPr>
          <w:rFonts w:ascii="Arial" w:hAnsi="Arial" w:cs="Arial"/>
        </w:rPr>
      </w:pPr>
      <w:r w:rsidRPr="00976CCF">
        <w:rPr>
          <w:rFonts w:ascii="Arial" w:hAnsi="Arial" w:cs="Arial"/>
        </w:rPr>
        <w:tab/>
        <w:t>RED is the reflectance at the red band</w:t>
      </w:r>
    </w:p>
    <w:p w14:paraId="648AA585" w14:textId="77777777" w:rsidR="00976CCF" w:rsidRPr="00976CCF" w:rsidRDefault="00976CCF" w:rsidP="00976CCF">
      <w:pPr>
        <w:pStyle w:val="Body"/>
        <w:rPr>
          <w:rFonts w:ascii="Arial" w:hAnsi="Arial" w:cs="Arial"/>
        </w:rPr>
      </w:pPr>
      <w:r w:rsidRPr="00976CCF">
        <w:rPr>
          <w:rFonts w:ascii="Arial" w:hAnsi="Arial" w:cs="Arial"/>
        </w:rPr>
        <w:tab/>
        <w:t>GREEN is the reflectance at the green band.</w:t>
      </w:r>
    </w:p>
    <w:p w14:paraId="35FCDE78" w14:textId="77777777" w:rsidR="00B95236" w:rsidRDefault="00976CCF" w:rsidP="00976CCF">
      <w:pPr>
        <w:pStyle w:val="Body"/>
        <w:spacing w:after="0"/>
        <w:rPr>
          <w:rFonts w:ascii="Arial" w:hAnsi="Arial" w:cs="Arial"/>
        </w:rPr>
      </w:pPr>
      <w:r w:rsidRPr="00976CCF">
        <w:rPr>
          <w:rFonts w:ascii="Arial" w:hAnsi="Arial" w:cs="Arial"/>
        </w:rPr>
        <w:t>The market demand for high-quality and quantity lavender EO is significant and continues to grow due to its multiple use in daily life. Despite this increasing demand, only a few researches have explored the environmental factors that affect the quantity and quality of lavender EO. Additionally, no research studies have utilized remote sensing technology and satellite data to investigate how environmental conditions influence the quality of lavender EO. The present study aims to: a) identify which remotely sensed weather data impact the quality and quantity of lavender EO, b) examine the counteractions between the components of EO, c) determine whether remotely sensed crop characteristics correlate with EO lavender components and weather conditions</w:t>
      </w:r>
      <w:r>
        <w:rPr>
          <w:rFonts w:ascii="Arial" w:hAnsi="Arial" w:cs="Arial"/>
        </w:rPr>
        <w:t>.</w:t>
      </w:r>
      <w:r w:rsidR="00B95236" w:rsidRPr="00B95236">
        <w:rPr>
          <w:rFonts w:ascii="Arial" w:hAnsi="Arial" w:cs="Arial"/>
        </w:rPr>
        <w:t xml:space="preserve"> </w:t>
      </w:r>
    </w:p>
    <w:p w14:paraId="40EF84CD" w14:textId="77777777" w:rsidR="00790ADA" w:rsidRPr="00FB3A86" w:rsidRDefault="00790ADA" w:rsidP="00441B6F">
      <w:pPr>
        <w:pStyle w:val="Body"/>
        <w:spacing w:after="0"/>
        <w:rPr>
          <w:rFonts w:ascii="Arial" w:hAnsi="Arial" w:cs="Arial"/>
        </w:rPr>
      </w:pPr>
    </w:p>
    <w:p w14:paraId="3FC672D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301E5C" w14:textId="77777777" w:rsidR="00790ADA" w:rsidRPr="00FB3A86" w:rsidRDefault="00790ADA" w:rsidP="00441B6F">
      <w:pPr>
        <w:pStyle w:val="AbstHead"/>
        <w:spacing w:after="0"/>
        <w:jc w:val="both"/>
        <w:rPr>
          <w:rFonts w:ascii="Arial" w:hAnsi="Arial" w:cs="Arial"/>
        </w:rPr>
      </w:pPr>
    </w:p>
    <w:p w14:paraId="4009861D"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2.1 Field study</w:t>
      </w:r>
    </w:p>
    <w:p w14:paraId="486AE671" w14:textId="77777777" w:rsidR="00976CCF" w:rsidRDefault="00976CCF" w:rsidP="00976CCF">
      <w:pPr>
        <w:pStyle w:val="Body"/>
        <w:rPr>
          <w:rFonts w:ascii="Arial" w:hAnsi="Arial" w:cs="Arial"/>
        </w:rPr>
      </w:pPr>
      <w:r w:rsidRPr="00976CCF">
        <w:rPr>
          <w:rFonts w:ascii="Arial" w:hAnsi="Arial" w:cs="Arial"/>
        </w:rPr>
        <w:t xml:space="preserve">The experiment was conducted in a 0.5 ha lavender field, established in 2017, located in the </w:t>
      </w:r>
      <w:proofErr w:type="spellStart"/>
      <w:r w:rsidRPr="00976CCF">
        <w:rPr>
          <w:rFonts w:ascii="Arial" w:hAnsi="Arial" w:cs="Arial"/>
        </w:rPr>
        <w:t>Xirolimni</w:t>
      </w:r>
      <w:proofErr w:type="spellEnd"/>
      <w:r w:rsidRPr="00976CCF">
        <w:rPr>
          <w:rFonts w:ascii="Arial" w:hAnsi="Arial" w:cs="Arial"/>
        </w:rPr>
        <w:t xml:space="preserve"> area of </w:t>
      </w:r>
      <w:proofErr w:type="spellStart"/>
      <w:r w:rsidRPr="00976CCF">
        <w:rPr>
          <w:rFonts w:ascii="Arial" w:hAnsi="Arial" w:cs="Arial"/>
        </w:rPr>
        <w:t>Kozani</w:t>
      </w:r>
      <w:proofErr w:type="spellEnd"/>
      <w:r w:rsidRPr="00976CCF">
        <w:rPr>
          <w:rFonts w:ascii="Arial" w:hAnsi="Arial" w:cs="Arial"/>
        </w:rPr>
        <w:t xml:space="preserve"> in Greece (40</w:t>
      </w:r>
      <w:r w:rsidRPr="00976CCF">
        <w:rPr>
          <w:rFonts w:ascii="Arial" w:hAnsi="Arial" w:cs="Arial"/>
          <w:vertAlign w:val="superscript"/>
        </w:rPr>
        <w:t>o</w:t>
      </w:r>
      <w:r w:rsidRPr="00976CCF">
        <w:rPr>
          <w:rFonts w:ascii="Arial" w:hAnsi="Arial" w:cs="Arial"/>
        </w:rPr>
        <w:t>19'35''N 21</w:t>
      </w:r>
      <w:r w:rsidRPr="00976CCF">
        <w:rPr>
          <w:rFonts w:ascii="Arial" w:hAnsi="Arial" w:cs="Arial"/>
          <w:vertAlign w:val="superscript"/>
        </w:rPr>
        <w:t>o</w:t>
      </w:r>
      <w:r w:rsidRPr="00976CCF">
        <w:rPr>
          <w:rFonts w:ascii="Arial" w:hAnsi="Arial" w:cs="Arial"/>
        </w:rPr>
        <w:t xml:space="preserve">39'56''E, altitude 684 meters). The field had a northwest orientation (Figure 1). The surrounding landscape included an uncultivated area and building to the north, an uncultivated area and a road to the east, two commercial fields to the south, and an open area with a building to the west. Planting distances were 150 cm between the rows and approximately 35 cm within rows. All annual agricultural practices were applied uniformly, following standard techniques used by Greek lavender producers. No irrigation events were recorded during the five years of the experiment. Lavender flowers were harvested annually at the end of July with a specialized mechanical harvester when flowering had reached 60 </w:t>
      </w:r>
      <w:proofErr w:type="gramStart"/>
      <w:r w:rsidRPr="00976CCF">
        <w:rPr>
          <w:rFonts w:ascii="Arial" w:hAnsi="Arial" w:cs="Arial"/>
        </w:rPr>
        <w:t>%.The</w:t>
      </w:r>
      <w:proofErr w:type="gramEnd"/>
      <w:r w:rsidRPr="00976CCF">
        <w:rPr>
          <w:rFonts w:ascii="Arial" w:hAnsi="Arial" w:cs="Arial"/>
        </w:rPr>
        <w:t xml:space="preserve"> harvested lavender flowers then transferred to a distillery for steam distillation to extract the EOs. Identification of the oil substances was performed using gas chromatography according to NF ISO 11024 standards. </w:t>
      </w:r>
    </w:p>
    <w:p w14:paraId="48176A12" w14:textId="77777777" w:rsidR="00976CCF" w:rsidRPr="00976CCF" w:rsidRDefault="00976CCF" w:rsidP="00976CCF">
      <w:pPr>
        <w:pStyle w:val="Body"/>
        <w:rPr>
          <w:rFonts w:ascii="Arial" w:hAnsi="Arial" w:cs="Arial"/>
        </w:rPr>
      </w:pPr>
      <w:r>
        <w:rPr>
          <w:rFonts w:ascii="Arial" w:hAnsi="Arial" w:cs="Arial"/>
          <w:noProof/>
        </w:rPr>
        <w:lastRenderedPageBreak/>
        <w:drawing>
          <wp:inline distT="0" distB="0" distL="0" distR="0" wp14:anchorId="37DD74B1" wp14:editId="45D27408">
            <wp:extent cx="2816860" cy="18535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6860" cy="1853565"/>
                    </a:xfrm>
                    <a:prstGeom prst="rect">
                      <a:avLst/>
                    </a:prstGeom>
                    <a:noFill/>
                  </pic:spPr>
                </pic:pic>
              </a:graphicData>
            </a:graphic>
          </wp:inline>
        </w:drawing>
      </w:r>
    </w:p>
    <w:p w14:paraId="454D1964" w14:textId="77777777" w:rsidR="00976CCF" w:rsidRPr="00891483" w:rsidRDefault="00976CCF" w:rsidP="00976CCF">
      <w:pPr>
        <w:pStyle w:val="Body"/>
        <w:rPr>
          <w:rFonts w:ascii="Arial" w:hAnsi="Arial" w:cs="Arial"/>
          <w:b/>
        </w:rPr>
      </w:pPr>
      <w:r w:rsidRPr="00891483">
        <w:rPr>
          <w:rFonts w:ascii="Arial" w:hAnsi="Arial" w:cs="Arial"/>
          <w:b/>
        </w:rPr>
        <w:t>Figure 1. The experimental lavender field.</w:t>
      </w:r>
    </w:p>
    <w:p w14:paraId="39D3FDE6" w14:textId="77777777" w:rsidR="00976CCF" w:rsidRPr="00976CCF" w:rsidRDefault="00976CCF" w:rsidP="00976CCF">
      <w:pPr>
        <w:pStyle w:val="Body"/>
        <w:rPr>
          <w:rFonts w:ascii="Arial" w:hAnsi="Arial" w:cs="Arial"/>
        </w:rPr>
      </w:pPr>
    </w:p>
    <w:p w14:paraId="14C041F7"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2.2 Weather Data</w:t>
      </w:r>
    </w:p>
    <w:p w14:paraId="2EAF594D" w14:textId="77777777" w:rsidR="00976CCF" w:rsidRPr="00976CCF" w:rsidRDefault="00976CCF" w:rsidP="00976CCF">
      <w:pPr>
        <w:pStyle w:val="Body"/>
        <w:rPr>
          <w:rFonts w:ascii="Arial" w:hAnsi="Arial" w:cs="Arial"/>
        </w:rPr>
      </w:pPr>
      <w:r w:rsidRPr="00976CCF">
        <w:rPr>
          <w:rFonts w:ascii="Arial" w:hAnsi="Arial" w:cs="Arial"/>
        </w:rPr>
        <w:t xml:space="preserve">Daily weather data such as precipitation, temperature (maximum and minimum), temperature at dew point, relative humidity and solar radiation, were retrieved daily from NASA POWER for the period 2019 to 2023, based on field’s geographic coordinates. NASA POWER provides freely available satellite and </w:t>
      </w:r>
      <w:proofErr w:type="gramStart"/>
      <w:r w:rsidRPr="00976CCF">
        <w:rPr>
          <w:rFonts w:ascii="Arial" w:hAnsi="Arial" w:cs="Arial"/>
        </w:rPr>
        <w:t>model based</w:t>
      </w:r>
      <w:proofErr w:type="gramEnd"/>
      <w:r w:rsidRPr="00976CCF">
        <w:rPr>
          <w:rFonts w:ascii="Arial" w:hAnsi="Arial" w:cs="Arial"/>
        </w:rPr>
        <w:t xml:space="preserve"> weather data, which can be accessed through its data viewer or downloaded via a POWER API URL for use in scripting applications.</w:t>
      </w:r>
    </w:p>
    <w:p w14:paraId="1801BE22" w14:textId="77777777" w:rsidR="00976CCF" w:rsidRPr="00976CCF" w:rsidRDefault="00976CCF" w:rsidP="00976CCF">
      <w:pPr>
        <w:pStyle w:val="Body"/>
        <w:rPr>
          <w:rFonts w:ascii="Arial" w:hAnsi="Arial" w:cs="Arial"/>
        </w:rPr>
      </w:pPr>
    </w:p>
    <w:p w14:paraId="15E7EC0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2.3 Vegetation indices</w:t>
      </w:r>
    </w:p>
    <w:p w14:paraId="7D57966C" w14:textId="77777777" w:rsidR="00976CCF" w:rsidRPr="00976CCF" w:rsidRDefault="00976CCF" w:rsidP="00976CCF">
      <w:pPr>
        <w:pStyle w:val="Body"/>
        <w:rPr>
          <w:rFonts w:ascii="Arial" w:hAnsi="Arial" w:cs="Arial"/>
        </w:rPr>
      </w:pPr>
      <w:r w:rsidRPr="00976CCF">
        <w:rPr>
          <w:rFonts w:ascii="Arial" w:hAnsi="Arial" w:cs="Arial"/>
        </w:rPr>
        <w:t>Normalized Difference Vegetation Index (NDVI) and Normalized Difference Water Index (NDWI) values were retrieved from climateengine.org, a freely available remote sensing application [41] powered by Google Earth Engine [42]. This platform allows users to download spatially and temporally data from several satellites, including Landsat and Sentinel. To enhance data quality climateengine.org applies cloud masks for data masking. Spatially and temporally averaged NDVI and NDWI values were computed using Sentinel 2 surface reflectance product collections and downloaded for the respective field polygon (area of field) during each growing season.</w:t>
      </w:r>
    </w:p>
    <w:p w14:paraId="24329610" w14:textId="77777777" w:rsidR="00976CCF" w:rsidRPr="00976CCF" w:rsidRDefault="00976CCF" w:rsidP="00976CCF">
      <w:pPr>
        <w:pStyle w:val="Body"/>
        <w:rPr>
          <w:rFonts w:ascii="Arial" w:hAnsi="Arial" w:cs="Arial"/>
        </w:rPr>
      </w:pPr>
    </w:p>
    <w:p w14:paraId="43B39BC9"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2.4 Statistical analysis</w:t>
      </w:r>
    </w:p>
    <w:p w14:paraId="5C6C3BCB" w14:textId="77777777" w:rsidR="00E66E10" w:rsidRDefault="00976CCF" w:rsidP="00976CCF">
      <w:pPr>
        <w:pStyle w:val="Body"/>
        <w:spacing w:after="0"/>
        <w:rPr>
          <w:rFonts w:ascii="Arial" w:hAnsi="Arial" w:cs="Arial"/>
        </w:rPr>
      </w:pPr>
      <w:r w:rsidRPr="00976CCF">
        <w:rPr>
          <w:rFonts w:ascii="Arial" w:hAnsi="Arial" w:cs="Arial"/>
        </w:rPr>
        <w:t>Microsoft Excel was used to calculate the average daily values of temperature, relative humidity, dew point and solar radiation, as well as the total precipitation for each month during the period 2019 to 2023. Similarly, the average monthly values of NDVI and NDWI were calculated using the same way. Subsequently, bivariate correlation (Pearson) method performed using the IBM SPSS Statistics software to analyze statistically the correlations between the weather data, NDVI, NDWI and compounds of EOs. IBM SPSS Statistics software provides advanced statistical analysis tools and the Pearson correlation coefficient is a widely used measure of linear association (https://www.ibm.com/us-en).</w:t>
      </w:r>
    </w:p>
    <w:p w14:paraId="3F3EC96A" w14:textId="77777777" w:rsidR="00790ADA" w:rsidRPr="00FB3A86" w:rsidRDefault="00790ADA" w:rsidP="00441B6F">
      <w:pPr>
        <w:pStyle w:val="Body"/>
        <w:spacing w:after="0"/>
        <w:rPr>
          <w:rFonts w:ascii="Arial" w:hAnsi="Arial" w:cs="Arial"/>
        </w:rPr>
      </w:pPr>
    </w:p>
    <w:p w14:paraId="66C1CC36" w14:textId="77777777" w:rsidR="00790ADA" w:rsidRPr="00FB3A86" w:rsidRDefault="00790ADA" w:rsidP="00441B6F">
      <w:pPr>
        <w:pStyle w:val="Body"/>
        <w:spacing w:after="0"/>
        <w:rPr>
          <w:rFonts w:ascii="Arial" w:hAnsi="Arial" w:cs="Arial"/>
        </w:rPr>
      </w:pPr>
    </w:p>
    <w:p w14:paraId="33C4124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3FD0AE7" w14:textId="77777777" w:rsidR="00790ADA" w:rsidRPr="00FB3A86" w:rsidRDefault="00790ADA" w:rsidP="00441B6F">
      <w:pPr>
        <w:pStyle w:val="Head1"/>
        <w:spacing w:after="0"/>
        <w:jc w:val="both"/>
        <w:rPr>
          <w:rFonts w:ascii="Arial" w:hAnsi="Arial" w:cs="Arial"/>
        </w:rPr>
      </w:pPr>
    </w:p>
    <w:p w14:paraId="1D97F7B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3.1 Indices</w:t>
      </w:r>
    </w:p>
    <w:p w14:paraId="6A07F3DC" w14:textId="77777777" w:rsidR="00976CCF" w:rsidRPr="00976CCF" w:rsidRDefault="00976CCF" w:rsidP="00976CCF">
      <w:pPr>
        <w:pStyle w:val="Body"/>
        <w:rPr>
          <w:rFonts w:ascii="Arial" w:hAnsi="Arial" w:cs="Arial"/>
        </w:rPr>
      </w:pPr>
      <w:r w:rsidRPr="00976CCF">
        <w:rPr>
          <w:rFonts w:ascii="Arial" w:hAnsi="Arial" w:cs="Arial"/>
        </w:rPr>
        <w:t xml:space="preserve">Figure 2 shows the monthly average NDVI </w:t>
      </w:r>
      <w:proofErr w:type="gramStart"/>
      <w:r w:rsidRPr="00976CCF">
        <w:rPr>
          <w:rFonts w:ascii="Arial" w:hAnsi="Arial" w:cs="Arial"/>
        </w:rPr>
        <w:t>values  extracted</w:t>
      </w:r>
      <w:proofErr w:type="gramEnd"/>
      <w:r w:rsidRPr="00976CCF">
        <w:rPr>
          <w:rFonts w:ascii="Arial" w:hAnsi="Arial" w:cs="Arial"/>
        </w:rPr>
        <w:t xml:space="preserve"> from climateengine.org. The highest recorded NDVI value of all years was 0.52 in December of 2019, while the lowest was 0.13 in January of the same year. In 2020, NDVI values ranged from a high of 0.44 to a low of 0.23. In 2021, the highest and lowest NDVI value recorded were 0.31 and 0.2 respectively. Similarly, in 2022, and NDVI values peaked at 0.38 and dropped to 0.21, while in 2023, the highest and lowest values were 0.48 and 0.19 irrespectively. It should be noted that no NDVI values were available in December of 2020 and May of 2023 due to extensive cloud cover during these months.     </w:t>
      </w:r>
    </w:p>
    <w:p w14:paraId="4E2335D5" w14:textId="77777777" w:rsidR="00976CCF" w:rsidRPr="00976CCF" w:rsidRDefault="00976CCF" w:rsidP="00976CCF">
      <w:pPr>
        <w:pStyle w:val="Body"/>
        <w:rPr>
          <w:rFonts w:ascii="Arial" w:hAnsi="Arial" w:cs="Arial"/>
        </w:rPr>
      </w:pPr>
    </w:p>
    <w:p w14:paraId="37D51056" w14:textId="77777777" w:rsidR="00976CCF" w:rsidRPr="00976CCF" w:rsidRDefault="00976CCF" w:rsidP="00976CCF">
      <w:pPr>
        <w:pStyle w:val="Body"/>
        <w:rPr>
          <w:rFonts w:ascii="Arial" w:hAnsi="Arial" w:cs="Arial"/>
        </w:rPr>
      </w:pPr>
      <w:r w:rsidRPr="00976CCF">
        <w:rPr>
          <w:rFonts w:ascii="Arial" w:hAnsi="Arial" w:cs="Arial"/>
        </w:rPr>
        <w:t xml:space="preserve"> </w:t>
      </w:r>
      <w:r w:rsidR="00C74FE4">
        <w:rPr>
          <w:rFonts w:ascii="Arial" w:hAnsi="Arial" w:cs="Arial"/>
          <w:noProof/>
        </w:rPr>
        <w:drawing>
          <wp:inline distT="0" distB="0" distL="0" distR="0" wp14:anchorId="35BA268E" wp14:editId="4165F2A6">
            <wp:extent cx="4090670" cy="197548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0670" cy="1975485"/>
                    </a:xfrm>
                    <a:prstGeom prst="rect">
                      <a:avLst/>
                    </a:prstGeom>
                    <a:noFill/>
                  </pic:spPr>
                </pic:pic>
              </a:graphicData>
            </a:graphic>
          </wp:inline>
        </w:drawing>
      </w:r>
    </w:p>
    <w:p w14:paraId="03E07290" w14:textId="77777777" w:rsidR="00976CCF" w:rsidRPr="00891483" w:rsidRDefault="00976CCF" w:rsidP="00976CCF">
      <w:pPr>
        <w:pStyle w:val="Body"/>
        <w:rPr>
          <w:rFonts w:ascii="Arial" w:hAnsi="Arial" w:cs="Arial"/>
          <w:b/>
        </w:rPr>
      </w:pPr>
      <w:r w:rsidRPr="00891483">
        <w:rPr>
          <w:rFonts w:ascii="Arial" w:hAnsi="Arial" w:cs="Arial"/>
          <w:b/>
        </w:rPr>
        <w:t>Figure 2. NDVI values from January 2019 to January 2024. Two NDVI values are missing due to extensive cloud cover.</w:t>
      </w:r>
    </w:p>
    <w:p w14:paraId="54979E15" w14:textId="77777777" w:rsidR="00C74FE4" w:rsidRPr="00976CCF" w:rsidRDefault="00C74FE4" w:rsidP="00976CCF">
      <w:pPr>
        <w:pStyle w:val="Body"/>
        <w:rPr>
          <w:rFonts w:ascii="Arial" w:hAnsi="Arial" w:cs="Arial"/>
        </w:rPr>
      </w:pPr>
    </w:p>
    <w:p w14:paraId="57986611" w14:textId="77777777" w:rsidR="00976CCF" w:rsidRPr="00976CCF" w:rsidRDefault="00976CCF" w:rsidP="00976CCF">
      <w:pPr>
        <w:pStyle w:val="Body"/>
        <w:rPr>
          <w:rFonts w:ascii="Arial" w:hAnsi="Arial" w:cs="Arial"/>
        </w:rPr>
      </w:pPr>
      <w:r w:rsidRPr="00976CCF">
        <w:rPr>
          <w:rFonts w:ascii="Arial" w:hAnsi="Arial" w:cs="Arial"/>
        </w:rPr>
        <w:t xml:space="preserve">Figure 3 presents the monthly average NDWI as extracted from climateengine.org. The highest recorded NDWI from all years was 0.39 in January 2019, while the lowest was -0.19 in September of the same year. From 2020 to 2023, the highest and lowest NDWI values were as follows: 2020: 0 (highest) and -0.13 (lowest); 2021: 0.18 and -0.18; 2022: 0.02 and -0.15; 2023: 0.04 and -0.17. </w:t>
      </w:r>
      <w:proofErr w:type="spellStart"/>
      <w:r w:rsidRPr="00976CCF">
        <w:rPr>
          <w:rFonts w:ascii="Arial" w:hAnsi="Arial" w:cs="Arial"/>
        </w:rPr>
        <w:t>Ιt</w:t>
      </w:r>
      <w:proofErr w:type="spellEnd"/>
      <w:r w:rsidRPr="00976CCF">
        <w:rPr>
          <w:rFonts w:ascii="Arial" w:hAnsi="Arial" w:cs="Arial"/>
        </w:rPr>
        <w:t xml:space="preserve"> is important to highlight that NDWI values for December 2020 and May 2023 are missing due to extensive cloud cover during both months.</w:t>
      </w:r>
    </w:p>
    <w:p w14:paraId="0C907D3C" w14:textId="77777777" w:rsidR="00976CCF" w:rsidRPr="00976CCF" w:rsidRDefault="00976CCF" w:rsidP="00976CCF">
      <w:pPr>
        <w:pStyle w:val="Body"/>
        <w:rPr>
          <w:rFonts w:ascii="Arial" w:hAnsi="Arial" w:cs="Arial"/>
        </w:rPr>
      </w:pPr>
      <w:r w:rsidRPr="00976CCF">
        <w:rPr>
          <w:rFonts w:ascii="Arial" w:hAnsi="Arial" w:cs="Arial"/>
        </w:rPr>
        <w:lastRenderedPageBreak/>
        <w:t xml:space="preserve"> </w:t>
      </w:r>
      <w:r w:rsidR="00C74FE4">
        <w:rPr>
          <w:rFonts w:ascii="Arial" w:hAnsi="Arial" w:cs="Arial"/>
          <w:noProof/>
        </w:rPr>
        <w:drawing>
          <wp:inline distT="0" distB="0" distL="0" distR="0" wp14:anchorId="7F1A94B4" wp14:editId="39C7CBC1">
            <wp:extent cx="4383405" cy="210947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3405" cy="2109470"/>
                    </a:xfrm>
                    <a:prstGeom prst="rect">
                      <a:avLst/>
                    </a:prstGeom>
                    <a:noFill/>
                  </pic:spPr>
                </pic:pic>
              </a:graphicData>
            </a:graphic>
          </wp:inline>
        </w:drawing>
      </w:r>
    </w:p>
    <w:p w14:paraId="1E211F38" w14:textId="77777777" w:rsidR="00976CCF" w:rsidRPr="00891483" w:rsidRDefault="00976CCF" w:rsidP="00976CCF">
      <w:pPr>
        <w:pStyle w:val="Body"/>
        <w:rPr>
          <w:rFonts w:ascii="Arial" w:hAnsi="Arial" w:cs="Arial"/>
          <w:b/>
        </w:rPr>
      </w:pPr>
      <w:r w:rsidRPr="00891483">
        <w:rPr>
          <w:rFonts w:ascii="Arial" w:hAnsi="Arial" w:cs="Arial"/>
          <w:b/>
        </w:rPr>
        <w:t>Figure 3. NDWI values from January 2019 to January 2024. Two NDVI values are missing due to extensive cloud cover.</w:t>
      </w:r>
    </w:p>
    <w:p w14:paraId="77B77890" w14:textId="77777777" w:rsidR="00976CCF" w:rsidRPr="00976CCF" w:rsidRDefault="00976CCF" w:rsidP="00976CCF">
      <w:pPr>
        <w:pStyle w:val="Body"/>
        <w:rPr>
          <w:rFonts w:ascii="Arial" w:hAnsi="Arial" w:cs="Arial"/>
        </w:rPr>
      </w:pPr>
    </w:p>
    <w:p w14:paraId="5499289E"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3.2 Weather data</w:t>
      </w:r>
    </w:p>
    <w:p w14:paraId="12B81C6E" w14:textId="77777777" w:rsidR="00976CCF" w:rsidRDefault="00976CCF" w:rsidP="00976CCF">
      <w:pPr>
        <w:pStyle w:val="Body"/>
        <w:rPr>
          <w:rFonts w:ascii="Arial" w:hAnsi="Arial" w:cs="Arial"/>
        </w:rPr>
      </w:pPr>
      <w:r w:rsidRPr="00976CCF">
        <w:rPr>
          <w:rFonts w:ascii="Arial" w:hAnsi="Arial" w:cs="Arial"/>
        </w:rPr>
        <w:t>Figure 4 presents the monthly weather data that retrieved from NASA POWER website.  The data indicate no extreme values in temperature (maximum and minimum), dew point temperature, solar radiation or relative humidity. However, fluctuations in precipitations do not follow the same yearly pattern as the other weather parameters, reflecting annual variations in rainfall. Specifically, the total annual precipitations from 2019 to 2023 was 420 mm, 418 mm, 550 mm, 410 mm and 390 mm respectively. The total precipitations from January to July for each year (2019 – 2023) was 223mm, 242 mm, 278 mm, 243mm and 210 mm respectively. Additionally, no precipitation was recorded during the ten days before harvest every year.</w:t>
      </w:r>
    </w:p>
    <w:p w14:paraId="3C275212" w14:textId="77777777" w:rsidR="00C74FE4" w:rsidRPr="00976CCF" w:rsidRDefault="00C74FE4" w:rsidP="00976CCF">
      <w:pPr>
        <w:pStyle w:val="Body"/>
        <w:rPr>
          <w:rFonts w:ascii="Arial" w:hAnsi="Arial" w:cs="Arial"/>
        </w:rPr>
      </w:pPr>
    </w:p>
    <w:p w14:paraId="4B845986" w14:textId="77777777" w:rsidR="00976CCF" w:rsidRPr="00976CCF" w:rsidRDefault="00976CCF" w:rsidP="00976CCF">
      <w:pPr>
        <w:pStyle w:val="Body"/>
        <w:rPr>
          <w:rFonts w:ascii="Arial" w:hAnsi="Arial" w:cs="Arial"/>
        </w:rPr>
      </w:pPr>
      <w:r w:rsidRPr="00976CCF">
        <w:rPr>
          <w:rFonts w:ascii="Arial" w:hAnsi="Arial" w:cs="Arial"/>
        </w:rPr>
        <w:t xml:space="preserve"> </w:t>
      </w:r>
      <w:r w:rsidR="00C74FE4">
        <w:rPr>
          <w:rFonts w:ascii="Arial" w:hAnsi="Arial" w:cs="Arial"/>
          <w:noProof/>
        </w:rPr>
        <w:drawing>
          <wp:inline distT="0" distB="0" distL="0" distR="0" wp14:anchorId="40E08973" wp14:editId="0105CE8F">
            <wp:extent cx="4956175" cy="288353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6175" cy="2883535"/>
                    </a:xfrm>
                    <a:prstGeom prst="rect">
                      <a:avLst/>
                    </a:prstGeom>
                    <a:noFill/>
                  </pic:spPr>
                </pic:pic>
              </a:graphicData>
            </a:graphic>
          </wp:inline>
        </w:drawing>
      </w:r>
    </w:p>
    <w:p w14:paraId="2F6B537B" w14:textId="77777777" w:rsidR="00976CCF" w:rsidRPr="00891483" w:rsidRDefault="00976CCF" w:rsidP="00976CCF">
      <w:pPr>
        <w:pStyle w:val="Body"/>
        <w:rPr>
          <w:rFonts w:ascii="Arial" w:hAnsi="Arial" w:cs="Arial"/>
          <w:b/>
        </w:rPr>
      </w:pPr>
      <w:r w:rsidRPr="00891483">
        <w:rPr>
          <w:rFonts w:ascii="Arial" w:hAnsi="Arial" w:cs="Arial"/>
          <w:b/>
        </w:rPr>
        <w:lastRenderedPageBreak/>
        <w:t xml:space="preserve">Figure 4. Weather data retrieved by NASA POWER website from 2019 to 2023. Most of the weather data follow similar patterns except for precipitation that fluctuates. </w:t>
      </w:r>
    </w:p>
    <w:p w14:paraId="436E5B71" w14:textId="77777777" w:rsidR="00976CCF" w:rsidRPr="00976CCF" w:rsidRDefault="00976CCF" w:rsidP="00976CCF">
      <w:pPr>
        <w:pStyle w:val="Body"/>
        <w:rPr>
          <w:rFonts w:ascii="Arial" w:hAnsi="Arial" w:cs="Arial"/>
        </w:rPr>
      </w:pPr>
    </w:p>
    <w:p w14:paraId="7BB6DC02"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3.3 Essential Oils</w:t>
      </w:r>
    </w:p>
    <w:p w14:paraId="31233063" w14:textId="77777777" w:rsidR="00976CCF" w:rsidRPr="00976CCF" w:rsidRDefault="00976CCF" w:rsidP="00976CCF">
      <w:pPr>
        <w:pStyle w:val="Body"/>
        <w:rPr>
          <w:rFonts w:ascii="Arial" w:hAnsi="Arial" w:cs="Arial"/>
        </w:rPr>
      </w:pPr>
      <w:r w:rsidRPr="00976CCF">
        <w:rPr>
          <w:rFonts w:ascii="Arial" w:hAnsi="Arial" w:cs="Arial"/>
        </w:rPr>
        <w:t>The extracted EO was yellow in color and stored in stainless steel containers in a low temperature warehouse. To maintain its quality and enhance its fragrance, oxygen was removed using nitrogen gas. The annual EO yield was 40 kg ha-1 in 2019, 60 kg ha-1, 70 kg ha-1 in 2021, 55 kg ha-1 in 2022 and 25 kg ha-1 in 2023.</w:t>
      </w:r>
    </w:p>
    <w:p w14:paraId="2E0422F4" w14:textId="77777777" w:rsidR="00976CCF" w:rsidRPr="00976CCF" w:rsidRDefault="00976CCF" w:rsidP="00976CCF">
      <w:pPr>
        <w:pStyle w:val="Body"/>
        <w:rPr>
          <w:rFonts w:ascii="Arial" w:hAnsi="Arial" w:cs="Arial"/>
        </w:rPr>
      </w:pPr>
      <w:r w:rsidRPr="00976CCF">
        <w:rPr>
          <w:rFonts w:ascii="Arial" w:hAnsi="Arial" w:cs="Arial"/>
        </w:rPr>
        <w:t xml:space="preserve">Table 1 presents the results of the EO component analysis. According to the literature, the linalool and the linalyl acetate are the two primary compounds influencing EO quality. The highest linalool concentration recorded in 2019, while the lowest in 2021. Conversely, the highest concentration of linalyl acetate observed in 2021, with the lowest in 2019. </w:t>
      </w:r>
    </w:p>
    <w:p w14:paraId="6FBDAE13" w14:textId="77777777" w:rsidR="00976CCF" w:rsidRPr="00891483" w:rsidRDefault="00976CCF" w:rsidP="00976CCF">
      <w:pPr>
        <w:pStyle w:val="Body"/>
        <w:rPr>
          <w:rFonts w:ascii="Arial" w:hAnsi="Arial" w:cs="Arial"/>
          <w:b/>
        </w:rPr>
      </w:pPr>
      <w:r w:rsidRPr="00891483">
        <w:rPr>
          <w:rFonts w:ascii="Arial" w:hAnsi="Arial" w:cs="Arial"/>
          <w:b/>
        </w:rPr>
        <w:t>Table 1. Concentrations of EOs components expressed in percent (%) from 2019 to 2023.</w:t>
      </w:r>
    </w:p>
    <w:tbl>
      <w:tblPr>
        <w:tblStyle w:val="1"/>
        <w:tblW w:w="8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101"/>
        <w:gridCol w:w="1072"/>
        <w:gridCol w:w="1134"/>
        <w:gridCol w:w="1134"/>
        <w:gridCol w:w="1134"/>
      </w:tblGrid>
      <w:tr w:rsidR="00C74FE4" w:rsidRPr="00C74FE4" w14:paraId="21BA8B65" w14:textId="77777777" w:rsidTr="00316818">
        <w:trPr>
          <w:trHeight w:val="462"/>
        </w:trPr>
        <w:tc>
          <w:tcPr>
            <w:tcW w:w="2547" w:type="dxa"/>
            <w:tcBorders>
              <w:top w:val="single" w:sz="4" w:space="0" w:color="auto"/>
              <w:bottom w:val="single" w:sz="4" w:space="0" w:color="auto"/>
            </w:tcBorders>
            <w:noWrap/>
            <w:vAlign w:val="center"/>
          </w:tcPr>
          <w:p w14:paraId="5ACBFB06" w14:textId="77777777" w:rsidR="00C74FE4" w:rsidRPr="00C74FE4" w:rsidRDefault="00C74FE4" w:rsidP="00C74FE4">
            <w:pPr>
              <w:spacing w:after="160" w:line="360" w:lineRule="auto"/>
              <w:jc w:val="center"/>
              <w:rPr>
                <w:rFonts w:ascii="Arial" w:hAnsi="Arial" w:cs="Arial"/>
                <w:bCs/>
                <w:sz w:val="20"/>
                <w:szCs w:val="20"/>
              </w:rPr>
            </w:pPr>
            <w:r w:rsidRPr="00C74FE4">
              <w:rPr>
                <w:rFonts w:ascii="Arial" w:hAnsi="Arial" w:cs="Arial"/>
                <w:bCs/>
                <w:sz w:val="20"/>
                <w:szCs w:val="20"/>
              </w:rPr>
              <w:t>Components</w:t>
            </w:r>
          </w:p>
        </w:tc>
        <w:tc>
          <w:tcPr>
            <w:tcW w:w="1101" w:type="dxa"/>
            <w:tcBorders>
              <w:top w:val="single" w:sz="4" w:space="0" w:color="auto"/>
              <w:bottom w:val="single" w:sz="4" w:space="0" w:color="auto"/>
            </w:tcBorders>
            <w:noWrap/>
            <w:vAlign w:val="center"/>
          </w:tcPr>
          <w:p w14:paraId="5E69F33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2019</w:t>
            </w:r>
          </w:p>
        </w:tc>
        <w:tc>
          <w:tcPr>
            <w:tcW w:w="1072" w:type="dxa"/>
            <w:tcBorders>
              <w:top w:val="single" w:sz="4" w:space="0" w:color="auto"/>
              <w:bottom w:val="single" w:sz="4" w:space="0" w:color="auto"/>
            </w:tcBorders>
            <w:vAlign w:val="center"/>
          </w:tcPr>
          <w:p w14:paraId="21A45D40"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2020</w:t>
            </w:r>
          </w:p>
        </w:tc>
        <w:tc>
          <w:tcPr>
            <w:tcW w:w="1134" w:type="dxa"/>
            <w:tcBorders>
              <w:top w:val="single" w:sz="4" w:space="0" w:color="auto"/>
              <w:bottom w:val="single" w:sz="4" w:space="0" w:color="auto"/>
            </w:tcBorders>
            <w:vAlign w:val="center"/>
          </w:tcPr>
          <w:p w14:paraId="399A12A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2021</w:t>
            </w:r>
          </w:p>
        </w:tc>
        <w:tc>
          <w:tcPr>
            <w:tcW w:w="1134" w:type="dxa"/>
            <w:tcBorders>
              <w:top w:val="single" w:sz="4" w:space="0" w:color="auto"/>
              <w:bottom w:val="single" w:sz="4" w:space="0" w:color="auto"/>
            </w:tcBorders>
            <w:vAlign w:val="center"/>
          </w:tcPr>
          <w:p w14:paraId="66CB5A0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2022</w:t>
            </w:r>
          </w:p>
        </w:tc>
        <w:tc>
          <w:tcPr>
            <w:tcW w:w="1134" w:type="dxa"/>
            <w:tcBorders>
              <w:top w:val="single" w:sz="4" w:space="0" w:color="auto"/>
              <w:bottom w:val="single" w:sz="4" w:space="0" w:color="auto"/>
            </w:tcBorders>
            <w:vAlign w:val="center"/>
          </w:tcPr>
          <w:p w14:paraId="224A917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2023</w:t>
            </w:r>
          </w:p>
        </w:tc>
      </w:tr>
      <w:tr w:rsidR="00C74FE4" w:rsidRPr="00C74FE4" w14:paraId="4530120A" w14:textId="77777777" w:rsidTr="00316818">
        <w:trPr>
          <w:trHeight w:val="462"/>
        </w:trPr>
        <w:tc>
          <w:tcPr>
            <w:tcW w:w="2547" w:type="dxa"/>
            <w:tcBorders>
              <w:top w:val="single" w:sz="4" w:space="0" w:color="auto"/>
            </w:tcBorders>
            <w:noWrap/>
            <w:vAlign w:val="center"/>
            <w:hideMark/>
          </w:tcPr>
          <w:p w14:paraId="0C827863"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LIMONENE </w:t>
            </w:r>
          </w:p>
        </w:tc>
        <w:tc>
          <w:tcPr>
            <w:tcW w:w="1101" w:type="dxa"/>
            <w:tcBorders>
              <w:top w:val="single" w:sz="4" w:space="0" w:color="auto"/>
            </w:tcBorders>
            <w:noWrap/>
            <w:vAlign w:val="center"/>
            <w:hideMark/>
          </w:tcPr>
          <w:p w14:paraId="0451278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0,36</w:t>
            </w:r>
          </w:p>
        </w:tc>
        <w:tc>
          <w:tcPr>
            <w:tcW w:w="1072" w:type="dxa"/>
            <w:tcBorders>
              <w:top w:val="single" w:sz="4" w:space="0" w:color="auto"/>
            </w:tcBorders>
            <w:vAlign w:val="center"/>
          </w:tcPr>
          <w:p w14:paraId="3865933F"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0,32</w:t>
            </w:r>
          </w:p>
        </w:tc>
        <w:tc>
          <w:tcPr>
            <w:tcW w:w="1134" w:type="dxa"/>
            <w:tcBorders>
              <w:top w:val="single" w:sz="4" w:space="0" w:color="auto"/>
            </w:tcBorders>
            <w:vAlign w:val="center"/>
          </w:tcPr>
          <w:p w14:paraId="2BCEBCBE"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0,32</w:t>
            </w:r>
          </w:p>
        </w:tc>
        <w:tc>
          <w:tcPr>
            <w:tcW w:w="1134" w:type="dxa"/>
            <w:tcBorders>
              <w:top w:val="single" w:sz="4" w:space="0" w:color="auto"/>
            </w:tcBorders>
            <w:vAlign w:val="center"/>
          </w:tcPr>
          <w:p w14:paraId="352B8B3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0,35</w:t>
            </w:r>
          </w:p>
        </w:tc>
        <w:tc>
          <w:tcPr>
            <w:tcW w:w="1134" w:type="dxa"/>
            <w:tcBorders>
              <w:top w:val="single" w:sz="4" w:space="0" w:color="auto"/>
            </w:tcBorders>
            <w:vAlign w:val="center"/>
          </w:tcPr>
          <w:p w14:paraId="628937D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0,24</w:t>
            </w:r>
          </w:p>
        </w:tc>
      </w:tr>
      <w:tr w:rsidR="00C74FE4" w:rsidRPr="00C74FE4" w14:paraId="060F99C6" w14:textId="77777777" w:rsidTr="00316818">
        <w:trPr>
          <w:trHeight w:val="462"/>
        </w:trPr>
        <w:tc>
          <w:tcPr>
            <w:tcW w:w="2547" w:type="dxa"/>
            <w:noWrap/>
            <w:vAlign w:val="center"/>
            <w:hideMark/>
          </w:tcPr>
          <w:p w14:paraId="6030E8CA"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1,8-CINEOLE </w:t>
            </w:r>
          </w:p>
        </w:tc>
        <w:tc>
          <w:tcPr>
            <w:tcW w:w="1101" w:type="dxa"/>
            <w:noWrap/>
            <w:vAlign w:val="center"/>
            <w:hideMark/>
          </w:tcPr>
          <w:p w14:paraId="4F5F817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0,89</w:t>
            </w:r>
          </w:p>
        </w:tc>
        <w:tc>
          <w:tcPr>
            <w:tcW w:w="1072" w:type="dxa"/>
            <w:vAlign w:val="center"/>
          </w:tcPr>
          <w:p w14:paraId="1DF5DA1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0,31</w:t>
            </w:r>
          </w:p>
        </w:tc>
        <w:tc>
          <w:tcPr>
            <w:tcW w:w="1134" w:type="dxa"/>
            <w:vAlign w:val="center"/>
          </w:tcPr>
          <w:p w14:paraId="7BBD735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vAlign w:val="center"/>
          </w:tcPr>
          <w:p w14:paraId="2DFF6EAF"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vAlign w:val="center"/>
          </w:tcPr>
          <w:p w14:paraId="3B45F68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0,85</w:t>
            </w:r>
          </w:p>
        </w:tc>
      </w:tr>
      <w:tr w:rsidR="00C74FE4" w:rsidRPr="00C74FE4" w14:paraId="49FCBED1" w14:textId="77777777" w:rsidTr="00316818">
        <w:trPr>
          <w:trHeight w:val="462"/>
        </w:trPr>
        <w:tc>
          <w:tcPr>
            <w:tcW w:w="2547" w:type="dxa"/>
            <w:noWrap/>
            <w:vAlign w:val="center"/>
            <w:hideMark/>
          </w:tcPr>
          <w:p w14:paraId="1F8AF6A8"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beta-PHELLANDRENE</w:t>
            </w:r>
          </w:p>
        </w:tc>
        <w:tc>
          <w:tcPr>
            <w:tcW w:w="1101" w:type="dxa"/>
            <w:noWrap/>
            <w:vAlign w:val="center"/>
            <w:hideMark/>
          </w:tcPr>
          <w:p w14:paraId="3125479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0,35</w:t>
            </w:r>
          </w:p>
        </w:tc>
        <w:tc>
          <w:tcPr>
            <w:tcW w:w="1072" w:type="dxa"/>
            <w:vAlign w:val="center"/>
          </w:tcPr>
          <w:p w14:paraId="7E37A33F" w14:textId="77777777" w:rsidR="00C74FE4" w:rsidRPr="00C74FE4" w:rsidRDefault="00C74FE4" w:rsidP="00C74FE4">
            <w:pPr>
              <w:spacing w:after="160" w:line="360" w:lineRule="auto"/>
              <w:jc w:val="center"/>
              <w:rPr>
                <w:rFonts w:ascii="Arial" w:hAnsi="Arial" w:cs="Arial"/>
                <w:sz w:val="20"/>
                <w:szCs w:val="20"/>
              </w:rPr>
            </w:pPr>
          </w:p>
        </w:tc>
        <w:tc>
          <w:tcPr>
            <w:tcW w:w="1134" w:type="dxa"/>
            <w:vAlign w:val="center"/>
          </w:tcPr>
          <w:p w14:paraId="377EA7B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0,14</w:t>
            </w:r>
          </w:p>
        </w:tc>
        <w:tc>
          <w:tcPr>
            <w:tcW w:w="1134" w:type="dxa"/>
            <w:vAlign w:val="center"/>
          </w:tcPr>
          <w:p w14:paraId="10F4ECD4"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0,17</w:t>
            </w:r>
          </w:p>
        </w:tc>
        <w:tc>
          <w:tcPr>
            <w:tcW w:w="1134" w:type="dxa"/>
            <w:vAlign w:val="center"/>
          </w:tcPr>
          <w:p w14:paraId="1F2E3039"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0,08</w:t>
            </w:r>
          </w:p>
        </w:tc>
      </w:tr>
      <w:tr w:rsidR="00C74FE4" w:rsidRPr="00C74FE4" w14:paraId="14BF1420" w14:textId="77777777" w:rsidTr="00316818">
        <w:trPr>
          <w:trHeight w:val="462"/>
        </w:trPr>
        <w:tc>
          <w:tcPr>
            <w:tcW w:w="2547" w:type="dxa"/>
            <w:noWrap/>
            <w:vAlign w:val="center"/>
            <w:hideMark/>
          </w:tcPr>
          <w:p w14:paraId="0031360A"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cis-beta-OCIMENE  </w:t>
            </w:r>
          </w:p>
        </w:tc>
        <w:tc>
          <w:tcPr>
            <w:tcW w:w="1101" w:type="dxa"/>
            <w:noWrap/>
            <w:vAlign w:val="center"/>
            <w:hideMark/>
          </w:tcPr>
          <w:p w14:paraId="7AF2D680"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6,86</w:t>
            </w:r>
          </w:p>
        </w:tc>
        <w:tc>
          <w:tcPr>
            <w:tcW w:w="1072" w:type="dxa"/>
            <w:vAlign w:val="center"/>
          </w:tcPr>
          <w:p w14:paraId="511BE78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8,60</w:t>
            </w:r>
          </w:p>
        </w:tc>
        <w:tc>
          <w:tcPr>
            <w:tcW w:w="1134" w:type="dxa"/>
            <w:vAlign w:val="center"/>
          </w:tcPr>
          <w:p w14:paraId="368E3E60"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8,05</w:t>
            </w:r>
          </w:p>
        </w:tc>
        <w:tc>
          <w:tcPr>
            <w:tcW w:w="1134" w:type="dxa"/>
            <w:vAlign w:val="center"/>
          </w:tcPr>
          <w:p w14:paraId="09FBA6E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6,67</w:t>
            </w:r>
          </w:p>
        </w:tc>
        <w:tc>
          <w:tcPr>
            <w:tcW w:w="1134" w:type="dxa"/>
            <w:vAlign w:val="center"/>
          </w:tcPr>
          <w:p w14:paraId="163F482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8,82</w:t>
            </w:r>
          </w:p>
        </w:tc>
      </w:tr>
      <w:tr w:rsidR="00C74FE4" w:rsidRPr="00C74FE4" w14:paraId="30D8AAAE" w14:textId="77777777" w:rsidTr="00316818">
        <w:trPr>
          <w:trHeight w:val="462"/>
        </w:trPr>
        <w:tc>
          <w:tcPr>
            <w:tcW w:w="2547" w:type="dxa"/>
            <w:noWrap/>
            <w:vAlign w:val="center"/>
            <w:hideMark/>
          </w:tcPr>
          <w:p w14:paraId="0173C5F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trans-beta-OCIMENE</w:t>
            </w:r>
          </w:p>
        </w:tc>
        <w:tc>
          <w:tcPr>
            <w:tcW w:w="1101" w:type="dxa"/>
            <w:noWrap/>
            <w:vAlign w:val="center"/>
            <w:hideMark/>
          </w:tcPr>
          <w:p w14:paraId="517DC93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3,43</w:t>
            </w:r>
          </w:p>
        </w:tc>
        <w:tc>
          <w:tcPr>
            <w:tcW w:w="1072" w:type="dxa"/>
            <w:vAlign w:val="center"/>
          </w:tcPr>
          <w:p w14:paraId="619CA622"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4,75</w:t>
            </w:r>
          </w:p>
        </w:tc>
        <w:tc>
          <w:tcPr>
            <w:tcW w:w="1134" w:type="dxa"/>
            <w:vAlign w:val="center"/>
          </w:tcPr>
          <w:p w14:paraId="519E4E4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3,95</w:t>
            </w:r>
          </w:p>
        </w:tc>
        <w:tc>
          <w:tcPr>
            <w:tcW w:w="1134" w:type="dxa"/>
            <w:vAlign w:val="center"/>
          </w:tcPr>
          <w:p w14:paraId="412DD12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3,47</w:t>
            </w:r>
          </w:p>
        </w:tc>
        <w:tc>
          <w:tcPr>
            <w:tcW w:w="1134" w:type="dxa"/>
            <w:vAlign w:val="center"/>
          </w:tcPr>
          <w:p w14:paraId="15BDE3CB"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5,00</w:t>
            </w:r>
          </w:p>
        </w:tc>
      </w:tr>
      <w:tr w:rsidR="00C74FE4" w:rsidRPr="00C74FE4" w14:paraId="7186597F" w14:textId="77777777" w:rsidTr="00316818">
        <w:trPr>
          <w:trHeight w:val="462"/>
        </w:trPr>
        <w:tc>
          <w:tcPr>
            <w:tcW w:w="2547" w:type="dxa"/>
            <w:noWrap/>
            <w:vAlign w:val="center"/>
            <w:hideMark/>
          </w:tcPr>
          <w:p w14:paraId="0318971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3-OCTANONE</w:t>
            </w:r>
          </w:p>
        </w:tc>
        <w:tc>
          <w:tcPr>
            <w:tcW w:w="1101" w:type="dxa"/>
            <w:noWrap/>
            <w:vAlign w:val="center"/>
            <w:hideMark/>
          </w:tcPr>
          <w:p w14:paraId="616880C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1,03</w:t>
            </w:r>
          </w:p>
        </w:tc>
        <w:tc>
          <w:tcPr>
            <w:tcW w:w="1072" w:type="dxa"/>
            <w:vAlign w:val="center"/>
          </w:tcPr>
          <w:p w14:paraId="01213A1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0,96</w:t>
            </w:r>
          </w:p>
        </w:tc>
        <w:tc>
          <w:tcPr>
            <w:tcW w:w="1134" w:type="dxa"/>
            <w:vAlign w:val="center"/>
          </w:tcPr>
          <w:p w14:paraId="72BDA4F8"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0,91</w:t>
            </w:r>
          </w:p>
        </w:tc>
        <w:tc>
          <w:tcPr>
            <w:tcW w:w="1134" w:type="dxa"/>
            <w:vAlign w:val="center"/>
          </w:tcPr>
          <w:p w14:paraId="706EB58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1,03</w:t>
            </w:r>
          </w:p>
        </w:tc>
        <w:tc>
          <w:tcPr>
            <w:tcW w:w="1134" w:type="dxa"/>
            <w:vAlign w:val="center"/>
          </w:tcPr>
          <w:p w14:paraId="6236F5F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0,71</w:t>
            </w:r>
          </w:p>
        </w:tc>
      </w:tr>
      <w:tr w:rsidR="00C74FE4" w:rsidRPr="00C74FE4" w14:paraId="4E54FC2B" w14:textId="77777777" w:rsidTr="00316818">
        <w:trPr>
          <w:trHeight w:val="462"/>
        </w:trPr>
        <w:tc>
          <w:tcPr>
            <w:tcW w:w="2547" w:type="dxa"/>
            <w:noWrap/>
            <w:vAlign w:val="center"/>
            <w:hideMark/>
          </w:tcPr>
          <w:p w14:paraId="4A243E65"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CAMPHOR</w:t>
            </w:r>
          </w:p>
        </w:tc>
        <w:tc>
          <w:tcPr>
            <w:tcW w:w="1101" w:type="dxa"/>
            <w:noWrap/>
            <w:vAlign w:val="center"/>
            <w:hideMark/>
          </w:tcPr>
          <w:p w14:paraId="6B7A79D6"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0,29</w:t>
            </w:r>
          </w:p>
        </w:tc>
        <w:tc>
          <w:tcPr>
            <w:tcW w:w="1072" w:type="dxa"/>
            <w:vAlign w:val="center"/>
          </w:tcPr>
          <w:p w14:paraId="54A0FC1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0,27</w:t>
            </w:r>
          </w:p>
        </w:tc>
        <w:tc>
          <w:tcPr>
            <w:tcW w:w="1134" w:type="dxa"/>
            <w:vAlign w:val="center"/>
          </w:tcPr>
          <w:p w14:paraId="3EF3767D"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0,31</w:t>
            </w:r>
          </w:p>
        </w:tc>
        <w:tc>
          <w:tcPr>
            <w:tcW w:w="1134" w:type="dxa"/>
            <w:vAlign w:val="center"/>
          </w:tcPr>
          <w:p w14:paraId="1D15707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0,32</w:t>
            </w:r>
          </w:p>
        </w:tc>
        <w:tc>
          <w:tcPr>
            <w:tcW w:w="1134" w:type="dxa"/>
            <w:vAlign w:val="center"/>
          </w:tcPr>
          <w:p w14:paraId="5A88D4B5"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0,39</w:t>
            </w:r>
          </w:p>
        </w:tc>
      </w:tr>
      <w:tr w:rsidR="00C74FE4" w:rsidRPr="00C74FE4" w14:paraId="13010D57" w14:textId="77777777" w:rsidTr="00316818">
        <w:trPr>
          <w:trHeight w:val="462"/>
        </w:trPr>
        <w:tc>
          <w:tcPr>
            <w:tcW w:w="2547" w:type="dxa"/>
            <w:noWrap/>
            <w:vAlign w:val="center"/>
            <w:hideMark/>
          </w:tcPr>
          <w:p w14:paraId="2D5AE459"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LINALOOL</w:t>
            </w:r>
          </w:p>
        </w:tc>
        <w:tc>
          <w:tcPr>
            <w:tcW w:w="1101" w:type="dxa"/>
            <w:noWrap/>
            <w:vAlign w:val="center"/>
            <w:hideMark/>
          </w:tcPr>
          <w:p w14:paraId="12F7054C"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29,38</w:t>
            </w:r>
          </w:p>
        </w:tc>
        <w:tc>
          <w:tcPr>
            <w:tcW w:w="1072" w:type="dxa"/>
            <w:vAlign w:val="center"/>
          </w:tcPr>
          <w:p w14:paraId="2992FBB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28,06</w:t>
            </w:r>
          </w:p>
        </w:tc>
        <w:tc>
          <w:tcPr>
            <w:tcW w:w="1134" w:type="dxa"/>
            <w:vAlign w:val="center"/>
          </w:tcPr>
          <w:p w14:paraId="06CF83C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26,1</w:t>
            </w:r>
          </w:p>
        </w:tc>
        <w:tc>
          <w:tcPr>
            <w:tcW w:w="1134" w:type="dxa"/>
            <w:vAlign w:val="center"/>
          </w:tcPr>
          <w:p w14:paraId="61FF6380"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28,84</w:t>
            </w:r>
          </w:p>
        </w:tc>
        <w:tc>
          <w:tcPr>
            <w:tcW w:w="1134" w:type="dxa"/>
            <w:vAlign w:val="center"/>
          </w:tcPr>
          <w:p w14:paraId="1D99092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27,23</w:t>
            </w:r>
          </w:p>
        </w:tc>
      </w:tr>
      <w:tr w:rsidR="00C74FE4" w:rsidRPr="00C74FE4" w14:paraId="56C3C38B" w14:textId="77777777" w:rsidTr="00316818">
        <w:trPr>
          <w:trHeight w:val="462"/>
        </w:trPr>
        <w:tc>
          <w:tcPr>
            <w:tcW w:w="2547" w:type="dxa"/>
            <w:noWrap/>
            <w:vAlign w:val="center"/>
            <w:hideMark/>
          </w:tcPr>
          <w:p w14:paraId="2A6972DC"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LINALYL ACETATE</w:t>
            </w:r>
          </w:p>
        </w:tc>
        <w:tc>
          <w:tcPr>
            <w:tcW w:w="1101" w:type="dxa"/>
            <w:noWrap/>
            <w:vAlign w:val="center"/>
            <w:hideMark/>
          </w:tcPr>
          <w:p w14:paraId="2A683AD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28,28</w:t>
            </w:r>
          </w:p>
        </w:tc>
        <w:tc>
          <w:tcPr>
            <w:tcW w:w="1072" w:type="dxa"/>
            <w:vAlign w:val="center"/>
          </w:tcPr>
          <w:p w14:paraId="7BA6FB0F"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28,59</w:t>
            </w:r>
          </w:p>
        </w:tc>
        <w:tc>
          <w:tcPr>
            <w:tcW w:w="1134" w:type="dxa"/>
            <w:vAlign w:val="center"/>
          </w:tcPr>
          <w:p w14:paraId="4FFA794A"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32,03</w:t>
            </w:r>
          </w:p>
        </w:tc>
        <w:tc>
          <w:tcPr>
            <w:tcW w:w="1134" w:type="dxa"/>
            <w:vAlign w:val="center"/>
          </w:tcPr>
          <w:p w14:paraId="570BFC0D"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28,36</w:t>
            </w:r>
          </w:p>
        </w:tc>
        <w:tc>
          <w:tcPr>
            <w:tcW w:w="1134" w:type="dxa"/>
            <w:vAlign w:val="center"/>
          </w:tcPr>
          <w:p w14:paraId="01D1555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28,10</w:t>
            </w:r>
          </w:p>
        </w:tc>
      </w:tr>
      <w:tr w:rsidR="00C74FE4" w:rsidRPr="00C74FE4" w14:paraId="2A8499F6" w14:textId="77777777" w:rsidTr="00316818">
        <w:trPr>
          <w:trHeight w:val="462"/>
        </w:trPr>
        <w:tc>
          <w:tcPr>
            <w:tcW w:w="2547" w:type="dxa"/>
            <w:noWrap/>
            <w:vAlign w:val="center"/>
            <w:hideMark/>
          </w:tcPr>
          <w:p w14:paraId="2F319CA4"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LINALOOL/LINALYL ACETATE</w:t>
            </w:r>
          </w:p>
        </w:tc>
        <w:tc>
          <w:tcPr>
            <w:tcW w:w="1101" w:type="dxa"/>
            <w:noWrap/>
            <w:vAlign w:val="center"/>
            <w:hideMark/>
          </w:tcPr>
          <w:p w14:paraId="1D5314B3"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1,03</w:t>
            </w:r>
          </w:p>
        </w:tc>
        <w:tc>
          <w:tcPr>
            <w:tcW w:w="1072" w:type="dxa"/>
            <w:vAlign w:val="center"/>
          </w:tcPr>
          <w:p w14:paraId="174DD7B1"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0,98</w:t>
            </w:r>
          </w:p>
        </w:tc>
        <w:tc>
          <w:tcPr>
            <w:tcW w:w="1134" w:type="dxa"/>
            <w:vAlign w:val="center"/>
          </w:tcPr>
          <w:p w14:paraId="205871C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0,81</w:t>
            </w:r>
          </w:p>
        </w:tc>
        <w:tc>
          <w:tcPr>
            <w:tcW w:w="1134" w:type="dxa"/>
            <w:vAlign w:val="center"/>
          </w:tcPr>
          <w:p w14:paraId="7C1195EA"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1,01</w:t>
            </w:r>
          </w:p>
        </w:tc>
        <w:tc>
          <w:tcPr>
            <w:tcW w:w="1134" w:type="dxa"/>
            <w:vAlign w:val="center"/>
          </w:tcPr>
          <w:p w14:paraId="49B11BC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0,80</w:t>
            </w:r>
          </w:p>
        </w:tc>
      </w:tr>
      <w:tr w:rsidR="00C74FE4" w:rsidRPr="00C74FE4" w14:paraId="53244293" w14:textId="77777777" w:rsidTr="00316818">
        <w:trPr>
          <w:trHeight w:val="462"/>
        </w:trPr>
        <w:tc>
          <w:tcPr>
            <w:tcW w:w="2547" w:type="dxa"/>
            <w:noWrap/>
            <w:vAlign w:val="center"/>
            <w:hideMark/>
          </w:tcPr>
          <w:p w14:paraId="3C1329F7"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TERPINENE-4-OL  </w:t>
            </w:r>
          </w:p>
        </w:tc>
        <w:tc>
          <w:tcPr>
            <w:tcW w:w="1101" w:type="dxa"/>
            <w:noWrap/>
            <w:vAlign w:val="center"/>
            <w:hideMark/>
          </w:tcPr>
          <w:p w14:paraId="463DBA07"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4,60</w:t>
            </w:r>
          </w:p>
        </w:tc>
        <w:tc>
          <w:tcPr>
            <w:tcW w:w="1072" w:type="dxa"/>
            <w:vAlign w:val="center"/>
          </w:tcPr>
          <w:p w14:paraId="49167B7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3,45</w:t>
            </w:r>
          </w:p>
        </w:tc>
        <w:tc>
          <w:tcPr>
            <w:tcW w:w="1134" w:type="dxa"/>
            <w:vAlign w:val="center"/>
          </w:tcPr>
          <w:p w14:paraId="7E8AF3F8"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4,41</w:t>
            </w:r>
          </w:p>
        </w:tc>
        <w:tc>
          <w:tcPr>
            <w:tcW w:w="1134" w:type="dxa"/>
            <w:vAlign w:val="center"/>
          </w:tcPr>
          <w:p w14:paraId="33BE6156"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4,94</w:t>
            </w:r>
          </w:p>
        </w:tc>
        <w:tc>
          <w:tcPr>
            <w:tcW w:w="1134" w:type="dxa"/>
            <w:vAlign w:val="center"/>
          </w:tcPr>
          <w:p w14:paraId="29A8FDFB"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4,55</w:t>
            </w:r>
          </w:p>
        </w:tc>
      </w:tr>
      <w:tr w:rsidR="00C74FE4" w:rsidRPr="00C74FE4" w14:paraId="26C9C153" w14:textId="77777777" w:rsidTr="00316818">
        <w:trPr>
          <w:trHeight w:val="462"/>
        </w:trPr>
        <w:tc>
          <w:tcPr>
            <w:tcW w:w="2547" w:type="dxa"/>
            <w:noWrap/>
            <w:vAlign w:val="center"/>
            <w:hideMark/>
          </w:tcPr>
          <w:p w14:paraId="311AEAAE"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LAVANDULYL ACETATE  </w:t>
            </w:r>
          </w:p>
        </w:tc>
        <w:tc>
          <w:tcPr>
            <w:tcW w:w="1101" w:type="dxa"/>
            <w:noWrap/>
            <w:vAlign w:val="center"/>
            <w:hideMark/>
          </w:tcPr>
          <w:p w14:paraId="70A9D08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3,96</w:t>
            </w:r>
          </w:p>
        </w:tc>
        <w:tc>
          <w:tcPr>
            <w:tcW w:w="1072" w:type="dxa"/>
            <w:vAlign w:val="center"/>
          </w:tcPr>
          <w:p w14:paraId="3DB2AC0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4,06</w:t>
            </w:r>
          </w:p>
        </w:tc>
        <w:tc>
          <w:tcPr>
            <w:tcW w:w="1134" w:type="dxa"/>
            <w:vAlign w:val="center"/>
          </w:tcPr>
          <w:p w14:paraId="0A7E7DA9"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3,67</w:t>
            </w:r>
          </w:p>
        </w:tc>
        <w:tc>
          <w:tcPr>
            <w:tcW w:w="1134" w:type="dxa"/>
            <w:vAlign w:val="center"/>
          </w:tcPr>
          <w:p w14:paraId="31A76C33"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4,15</w:t>
            </w:r>
          </w:p>
        </w:tc>
        <w:tc>
          <w:tcPr>
            <w:tcW w:w="1134" w:type="dxa"/>
            <w:vAlign w:val="center"/>
          </w:tcPr>
          <w:p w14:paraId="7EEEB60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3,96</w:t>
            </w:r>
          </w:p>
        </w:tc>
      </w:tr>
      <w:tr w:rsidR="00C74FE4" w:rsidRPr="00C74FE4" w14:paraId="570F3944" w14:textId="77777777" w:rsidTr="00316818">
        <w:trPr>
          <w:trHeight w:val="462"/>
        </w:trPr>
        <w:tc>
          <w:tcPr>
            <w:tcW w:w="2547" w:type="dxa"/>
            <w:noWrap/>
            <w:vAlign w:val="center"/>
            <w:hideMark/>
          </w:tcPr>
          <w:p w14:paraId="250A4906"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t xml:space="preserve">LAVANDULOL </w:t>
            </w:r>
          </w:p>
        </w:tc>
        <w:tc>
          <w:tcPr>
            <w:tcW w:w="1101" w:type="dxa"/>
            <w:noWrap/>
            <w:vAlign w:val="center"/>
            <w:hideMark/>
          </w:tcPr>
          <w:p w14:paraId="16A023AE"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0,88</w:t>
            </w:r>
          </w:p>
        </w:tc>
        <w:tc>
          <w:tcPr>
            <w:tcW w:w="1072" w:type="dxa"/>
            <w:vAlign w:val="center"/>
          </w:tcPr>
          <w:p w14:paraId="18857C0A"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0,64</w:t>
            </w:r>
          </w:p>
        </w:tc>
        <w:tc>
          <w:tcPr>
            <w:tcW w:w="1134" w:type="dxa"/>
            <w:vAlign w:val="center"/>
          </w:tcPr>
          <w:p w14:paraId="53F45D74"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0,8</w:t>
            </w:r>
          </w:p>
        </w:tc>
        <w:tc>
          <w:tcPr>
            <w:tcW w:w="1134" w:type="dxa"/>
            <w:vAlign w:val="center"/>
          </w:tcPr>
          <w:p w14:paraId="60B21277"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0,95</w:t>
            </w:r>
          </w:p>
        </w:tc>
        <w:tc>
          <w:tcPr>
            <w:tcW w:w="1134" w:type="dxa"/>
            <w:vAlign w:val="center"/>
          </w:tcPr>
          <w:p w14:paraId="2A7B4B94"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0,64</w:t>
            </w:r>
          </w:p>
        </w:tc>
      </w:tr>
      <w:tr w:rsidR="00C74FE4" w:rsidRPr="00C74FE4" w14:paraId="2E81B862" w14:textId="77777777" w:rsidTr="00316818">
        <w:trPr>
          <w:trHeight w:val="462"/>
        </w:trPr>
        <w:tc>
          <w:tcPr>
            <w:tcW w:w="2547" w:type="dxa"/>
            <w:tcBorders>
              <w:bottom w:val="single" w:sz="4" w:space="0" w:color="auto"/>
            </w:tcBorders>
            <w:noWrap/>
            <w:vAlign w:val="center"/>
            <w:hideMark/>
          </w:tcPr>
          <w:p w14:paraId="7E14D0FF" w14:textId="77777777" w:rsidR="00C74FE4" w:rsidRPr="00C74FE4" w:rsidRDefault="00C74FE4" w:rsidP="00C74FE4">
            <w:pPr>
              <w:spacing w:after="160" w:line="360" w:lineRule="auto"/>
              <w:rPr>
                <w:rFonts w:ascii="Arial" w:hAnsi="Arial" w:cs="Arial"/>
                <w:bCs/>
                <w:sz w:val="20"/>
                <w:szCs w:val="20"/>
              </w:rPr>
            </w:pPr>
            <w:r w:rsidRPr="00C74FE4">
              <w:rPr>
                <w:rFonts w:ascii="Arial" w:hAnsi="Arial" w:cs="Arial"/>
                <w:bCs/>
                <w:sz w:val="20"/>
                <w:szCs w:val="20"/>
              </w:rPr>
              <w:lastRenderedPageBreak/>
              <w:t xml:space="preserve">alpha-TERPINEOL </w:t>
            </w:r>
          </w:p>
        </w:tc>
        <w:tc>
          <w:tcPr>
            <w:tcW w:w="1101" w:type="dxa"/>
            <w:tcBorders>
              <w:bottom w:val="single" w:sz="4" w:space="0" w:color="auto"/>
            </w:tcBorders>
            <w:noWrap/>
            <w:vAlign w:val="center"/>
            <w:hideMark/>
          </w:tcPr>
          <w:p w14:paraId="7FA2CB08"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1,11</w:t>
            </w:r>
          </w:p>
        </w:tc>
        <w:tc>
          <w:tcPr>
            <w:tcW w:w="1072" w:type="dxa"/>
            <w:tcBorders>
              <w:bottom w:val="single" w:sz="4" w:space="0" w:color="auto"/>
            </w:tcBorders>
            <w:vAlign w:val="center"/>
          </w:tcPr>
          <w:p w14:paraId="2353F09D"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0,25</w:t>
            </w:r>
          </w:p>
        </w:tc>
        <w:tc>
          <w:tcPr>
            <w:tcW w:w="1134" w:type="dxa"/>
            <w:tcBorders>
              <w:bottom w:val="single" w:sz="4" w:space="0" w:color="auto"/>
            </w:tcBorders>
            <w:vAlign w:val="center"/>
          </w:tcPr>
          <w:p w14:paraId="66427081"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1,02</w:t>
            </w:r>
          </w:p>
        </w:tc>
        <w:tc>
          <w:tcPr>
            <w:tcW w:w="1134" w:type="dxa"/>
            <w:tcBorders>
              <w:bottom w:val="single" w:sz="4" w:space="0" w:color="auto"/>
            </w:tcBorders>
            <w:vAlign w:val="center"/>
          </w:tcPr>
          <w:p w14:paraId="1DE2EAEB" w14:textId="77777777" w:rsidR="00C74FE4" w:rsidRPr="00C74FE4" w:rsidRDefault="00C74FE4" w:rsidP="00C74FE4">
            <w:pPr>
              <w:spacing w:after="160" w:line="360" w:lineRule="auto"/>
              <w:jc w:val="center"/>
              <w:rPr>
                <w:rFonts w:ascii="Arial" w:hAnsi="Arial" w:cs="Arial"/>
                <w:sz w:val="20"/>
                <w:szCs w:val="20"/>
              </w:rPr>
            </w:pPr>
            <w:r w:rsidRPr="00C74FE4">
              <w:rPr>
                <w:rFonts w:ascii="Arial" w:eastAsia="Times New Roman" w:hAnsi="Arial" w:cs="Arial"/>
                <w:bCs/>
                <w:color w:val="000000"/>
                <w:sz w:val="20"/>
                <w:szCs w:val="20"/>
              </w:rPr>
              <w:t>1,04</w:t>
            </w:r>
          </w:p>
        </w:tc>
        <w:tc>
          <w:tcPr>
            <w:tcW w:w="1134" w:type="dxa"/>
            <w:tcBorders>
              <w:bottom w:val="single" w:sz="4" w:space="0" w:color="auto"/>
            </w:tcBorders>
            <w:vAlign w:val="center"/>
          </w:tcPr>
          <w:p w14:paraId="255AFBFC" w14:textId="77777777" w:rsidR="00C74FE4" w:rsidRPr="00C74FE4" w:rsidRDefault="00C74FE4" w:rsidP="00C74FE4">
            <w:pPr>
              <w:spacing w:after="160" w:line="360" w:lineRule="auto"/>
              <w:jc w:val="center"/>
              <w:rPr>
                <w:rFonts w:ascii="Arial" w:hAnsi="Arial" w:cs="Arial"/>
                <w:sz w:val="20"/>
                <w:szCs w:val="20"/>
              </w:rPr>
            </w:pPr>
            <w:r w:rsidRPr="00C74FE4">
              <w:rPr>
                <w:rFonts w:ascii="Arial" w:hAnsi="Arial" w:cs="Arial"/>
                <w:sz w:val="20"/>
                <w:szCs w:val="20"/>
              </w:rPr>
              <w:t>0,67</w:t>
            </w:r>
          </w:p>
        </w:tc>
      </w:tr>
    </w:tbl>
    <w:p w14:paraId="418B462B" w14:textId="77777777" w:rsidR="00976CCF" w:rsidRPr="00976CCF" w:rsidRDefault="00976CCF" w:rsidP="00976CCF">
      <w:pPr>
        <w:pStyle w:val="Body"/>
        <w:rPr>
          <w:rFonts w:ascii="Arial" w:hAnsi="Arial" w:cs="Arial"/>
        </w:rPr>
      </w:pPr>
    </w:p>
    <w:p w14:paraId="170FACCD" w14:textId="77777777" w:rsidR="00976CCF" w:rsidRPr="00D81482" w:rsidRDefault="00976CCF" w:rsidP="00976CCF">
      <w:pPr>
        <w:pStyle w:val="Body"/>
        <w:rPr>
          <w:rFonts w:ascii="Arial" w:hAnsi="Arial" w:cs="Arial"/>
          <w:b/>
          <w:sz w:val="22"/>
          <w:szCs w:val="22"/>
          <w:u w:val="single"/>
        </w:rPr>
      </w:pPr>
      <w:r w:rsidRPr="00D81482">
        <w:rPr>
          <w:rFonts w:ascii="Arial" w:hAnsi="Arial" w:cs="Arial"/>
          <w:b/>
          <w:sz w:val="22"/>
          <w:szCs w:val="22"/>
          <w:u w:val="single"/>
        </w:rPr>
        <w:t>3.</w:t>
      </w:r>
      <w:r w:rsidR="00D81482" w:rsidRPr="00D81482">
        <w:rPr>
          <w:rFonts w:ascii="Arial" w:hAnsi="Arial" w:cs="Arial"/>
          <w:b/>
          <w:sz w:val="22"/>
          <w:szCs w:val="22"/>
          <w:u w:val="single"/>
        </w:rPr>
        <w:t>4</w:t>
      </w:r>
      <w:r w:rsidRPr="00D81482">
        <w:rPr>
          <w:rFonts w:ascii="Arial" w:hAnsi="Arial" w:cs="Arial"/>
          <w:b/>
          <w:sz w:val="22"/>
          <w:szCs w:val="22"/>
          <w:u w:val="single"/>
        </w:rPr>
        <w:t xml:space="preserve"> Statistical correlations </w:t>
      </w:r>
    </w:p>
    <w:p w14:paraId="4F64EB65" w14:textId="77777777" w:rsidR="00976CCF" w:rsidRPr="00976CCF" w:rsidRDefault="00976CCF" w:rsidP="00976CCF">
      <w:pPr>
        <w:pStyle w:val="Body"/>
        <w:rPr>
          <w:rFonts w:ascii="Arial" w:hAnsi="Arial" w:cs="Arial"/>
        </w:rPr>
      </w:pPr>
      <w:r w:rsidRPr="00976CCF">
        <w:rPr>
          <w:rFonts w:ascii="Arial" w:hAnsi="Arial" w:cs="Arial"/>
        </w:rPr>
        <w:t>Table 2 presents the results of the Pearson correlation analysis between NDVI, NDWI and weather data. NDVI is significantly positive correlated with relative humidity (0.74, p&lt;0.01) and negative significantly correlated with solar radiation (-0.71, p&lt;0.05), and daily average temperature (-0.69, p&lt;0.05). No significant correlations were found between NDVI and precipitations or dew point temperature. On the other hand, NDWI is significantly positive correlated with precipitations (0.71, p&lt;0.05) and relative humidity (0.86, p&lt;0.01), while is significantly negative correlated with daily average temperature (-0.78, p&lt;0.01), dew point temperature (-0.60, p&lt;0.05) and solar radiation (-0.68, p&lt;0.05).</w:t>
      </w:r>
    </w:p>
    <w:p w14:paraId="6DA760FF" w14:textId="77777777" w:rsidR="00976CCF" w:rsidRPr="00976CCF" w:rsidRDefault="00976CCF" w:rsidP="00976CCF">
      <w:pPr>
        <w:pStyle w:val="Body"/>
        <w:rPr>
          <w:rFonts w:ascii="Arial" w:hAnsi="Arial" w:cs="Arial"/>
        </w:rPr>
      </w:pPr>
    </w:p>
    <w:p w14:paraId="494118A3" w14:textId="77777777" w:rsidR="003478FC" w:rsidRPr="00D81482" w:rsidRDefault="00976CCF" w:rsidP="003478FC">
      <w:pPr>
        <w:pStyle w:val="Body"/>
        <w:rPr>
          <w:rFonts w:ascii="Arial" w:hAnsi="Arial" w:cs="Arial"/>
          <w:b/>
        </w:rPr>
      </w:pPr>
      <w:r w:rsidRPr="00D81482">
        <w:rPr>
          <w:rFonts w:ascii="Arial" w:hAnsi="Arial" w:cs="Arial"/>
          <w:b/>
        </w:rPr>
        <w:t>Table 2. Correlations among daily average temperature, precipitations, relative humidity, temperature at dew point, solar radiation and crop indices.</w:t>
      </w:r>
    </w:p>
    <w:tbl>
      <w:tblPr>
        <w:tblStyle w:val="2"/>
        <w:tblW w:w="6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1658"/>
        <w:gridCol w:w="1428"/>
        <w:gridCol w:w="708"/>
        <w:gridCol w:w="837"/>
        <w:gridCol w:w="1200"/>
      </w:tblGrid>
      <w:tr w:rsidR="003478FC" w:rsidRPr="003478FC" w14:paraId="54ACAC8E" w14:textId="77777777" w:rsidTr="003478FC">
        <w:tc>
          <w:tcPr>
            <w:tcW w:w="1133" w:type="dxa"/>
            <w:tcBorders>
              <w:top w:val="single" w:sz="4" w:space="0" w:color="auto"/>
              <w:bottom w:val="single" w:sz="4" w:space="0" w:color="auto"/>
            </w:tcBorders>
            <w:vAlign w:val="center"/>
          </w:tcPr>
          <w:p w14:paraId="615B04BF" w14:textId="77777777" w:rsidR="003478FC" w:rsidRPr="003478FC" w:rsidRDefault="003478FC" w:rsidP="003478FC">
            <w:pPr>
              <w:rPr>
                <w:rFonts w:ascii="Arial" w:hAnsi="Arial" w:cs="Arial"/>
                <w:b/>
                <w:sz w:val="20"/>
                <w:szCs w:val="20"/>
              </w:rPr>
            </w:pPr>
            <w:r w:rsidRPr="003478FC">
              <w:rPr>
                <w:rFonts w:ascii="Arial" w:hAnsi="Arial" w:cs="Arial"/>
                <w:b/>
                <w:sz w:val="20"/>
                <w:szCs w:val="20"/>
              </w:rPr>
              <w:t>Crop Indices</w:t>
            </w:r>
          </w:p>
        </w:tc>
        <w:tc>
          <w:tcPr>
            <w:tcW w:w="1682" w:type="dxa"/>
            <w:tcBorders>
              <w:top w:val="single" w:sz="4" w:space="0" w:color="auto"/>
              <w:bottom w:val="single" w:sz="4" w:space="0" w:color="auto"/>
            </w:tcBorders>
            <w:vAlign w:val="center"/>
          </w:tcPr>
          <w:p w14:paraId="7BD203ED" w14:textId="77777777" w:rsidR="003478FC" w:rsidRPr="003478FC" w:rsidRDefault="003478FC" w:rsidP="003478FC">
            <w:pPr>
              <w:jc w:val="center"/>
              <w:rPr>
                <w:rFonts w:ascii="Arial" w:hAnsi="Arial" w:cs="Arial"/>
                <w:b/>
                <w:sz w:val="20"/>
                <w:szCs w:val="20"/>
              </w:rPr>
            </w:pPr>
            <w:r w:rsidRPr="003478FC">
              <w:rPr>
                <w:rFonts w:ascii="Arial" w:hAnsi="Arial" w:cs="Arial"/>
                <w:b/>
                <w:sz w:val="20"/>
                <w:szCs w:val="20"/>
              </w:rPr>
              <w:t>Daily Temperature (Avg)</w:t>
            </w:r>
          </w:p>
        </w:tc>
        <w:tc>
          <w:tcPr>
            <w:tcW w:w="1317" w:type="dxa"/>
            <w:tcBorders>
              <w:top w:val="single" w:sz="4" w:space="0" w:color="auto"/>
              <w:bottom w:val="single" w:sz="4" w:space="0" w:color="auto"/>
            </w:tcBorders>
            <w:vAlign w:val="center"/>
          </w:tcPr>
          <w:p w14:paraId="42ED948E" w14:textId="77777777" w:rsidR="003478FC" w:rsidRPr="003478FC" w:rsidRDefault="003478FC" w:rsidP="003478FC">
            <w:pPr>
              <w:rPr>
                <w:rFonts w:ascii="Arial" w:hAnsi="Arial" w:cs="Arial"/>
                <w:b/>
                <w:sz w:val="20"/>
                <w:szCs w:val="20"/>
              </w:rPr>
            </w:pPr>
            <w:r w:rsidRPr="003478FC">
              <w:rPr>
                <w:rFonts w:ascii="Arial" w:hAnsi="Arial" w:cs="Arial"/>
                <w:b/>
                <w:sz w:val="20"/>
                <w:szCs w:val="20"/>
              </w:rPr>
              <w:t>Precipitation</w:t>
            </w:r>
          </w:p>
        </w:tc>
        <w:tc>
          <w:tcPr>
            <w:tcW w:w="708" w:type="dxa"/>
            <w:tcBorders>
              <w:top w:val="single" w:sz="4" w:space="0" w:color="auto"/>
              <w:bottom w:val="single" w:sz="4" w:space="0" w:color="auto"/>
            </w:tcBorders>
            <w:vAlign w:val="center"/>
          </w:tcPr>
          <w:p w14:paraId="2F68F65C" w14:textId="77777777" w:rsidR="003478FC" w:rsidRPr="003478FC" w:rsidRDefault="003478FC" w:rsidP="003478FC">
            <w:pPr>
              <w:rPr>
                <w:rFonts w:ascii="Arial" w:hAnsi="Arial" w:cs="Arial"/>
                <w:b/>
                <w:sz w:val="20"/>
                <w:szCs w:val="20"/>
              </w:rPr>
            </w:pPr>
            <w:r w:rsidRPr="003478FC">
              <w:rPr>
                <w:rFonts w:ascii="Arial" w:hAnsi="Arial" w:cs="Arial"/>
                <w:b/>
                <w:sz w:val="20"/>
                <w:szCs w:val="20"/>
              </w:rPr>
              <w:t>RH</w:t>
            </w:r>
          </w:p>
        </w:tc>
        <w:tc>
          <w:tcPr>
            <w:tcW w:w="848" w:type="dxa"/>
            <w:tcBorders>
              <w:top w:val="single" w:sz="4" w:space="0" w:color="auto"/>
              <w:bottom w:val="single" w:sz="4" w:space="0" w:color="auto"/>
            </w:tcBorders>
            <w:vAlign w:val="center"/>
          </w:tcPr>
          <w:p w14:paraId="68BFFB0A" w14:textId="77777777" w:rsidR="003478FC" w:rsidRPr="003478FC" w:rsidRDefault="003478FC" w:rsidP="003478FC">
            <w:pPr>
              <w:rPr>
                <w:rFonts w:ascii="Arial" w:hAnsi="Arial" w:cs="Arial"/>
                <w:b/>
                <w:sz w:val="20"/>
                <w:szCs w:val="20"/>
              </w:rPr>
            </w:pPr>
            <w:r w:rsidRPr="003478FC">
              <w:rPr>
                <w:rFonts w:ascii="Arial" w:hAnsi="Arial" w:cs="Arial"/>
                <w:b/>
                <w:sz w:val="20"/>
                <w:szCs w:val="20"/>
              </w:rPr>
              <w:t>Tdew</w:t>
            </w:r>
          </w:p>
        </w:tc>
        <w:tc>
          <w:tcPr>
            <w:tcW w:w="1255" w:type="dxa"/>
            <w:tcBorders>
              <w:top w:val="single" w:sz="4" w:space="0" w:color="auto"/>
              <w:bottom w:val="single" w:sz="4" w:space="0" w:color="auto"/>
            </w:tcBorders>
            <w:vAlign w:val="center"/>
          </w:tcPr>
          <w:p w14:paraId="280EA3BF" w14:textId="77777777" w:rsidR="003478FC" w:rsidRPr="003478FC" w:rsidRDefault="003478FC" w:rsidP="003478FC">
            <w:pPr>
              <w:rPr>
                <w:rFonts w:ascii="Arial" w:hAnsi="Arial" w:cs="Arial"/>
                <w:b/>
                <w:sz w:val="20"/>
                <w:szCs w:val="20"/>
              </w:rPr>
            </w:pPr>
            <w:r w:rsidRPr="003478FC">
              <w:rPr>
                <w:rFonts w:ascii="Arial" w:hAnsi="Arial" w:cs="Arial"/>
                <w:b/>
                <w:sz w:val="20"/>
                <w:szCs w:val="20"/>
              </w:rPr>
              <w:t>Srad</w:t>
            </w:r>
          </w:p>
        </w:tc>
      </w:tr>
      <w:tr w:rsidR="003478FC" w:rsidRPr="003478FC" w14:paraId="1F7C6EEF" w14:textId="77777777" w:rsidTr="003478FC">
        <w:tc>
          <w:tcPr>
            <w:tcW w:w="1133" w:type="dxa"/>
            <w:tcBorders>
              <w:top w:val="single" w:sz="4" w:space="0" w:color="auto"/>
            </w:tcBorders>
          </w:tcPr>
          <w:p w14:paraId="7F649913" w14:textId="77777777" w:rsidR="003478FC" w:rsidRPr="003478FC" w:rsidRDefault="003478FC" w:rsidP="003478FC">
            <w:pPr>
              <w:rPr>
                <w:rFonts w:ascii="Arial" w:hAnsi="Arial" w:cs="Arial"/>
                <w:sz w:val="20"/>
                <w:szCs w:val="20"/>
              </w:rPr>
            </w:pPr>
            <w:r w:rsidRPr="003478FC">
              <w:rPr>
                <w:rFonts w:ascii="Arial" w:hAnsi="Arial" w:cs="Arial"/>
                <w:sz w:val="20"/>
                <w:szCs w:val="20"/>
              </w:rPr>
              <w:t>NDVI</w:t>
            </w:r>
          </w:p>
        </w:tc>
        <w:tc>
          <w:tcPr>
            <w:tcW w:w="1682" w:type="dxa"/>
            <w:tcBorders>
              <w:top w:val="single" w:sz="4" w:space="0" w:color="auto"/>
            </w:tcBorders>
          </w:tcPr>
          <w:p w14:paraId="515177C5"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-0,69</w:t>
            </w:r>
            <w:r w:rsidRPr="003478FC">
              <w:rPr>
                <w:rFonts w:ascii="Arial" w:hAnsi="Arial" w:cs="Arial"/>
                <w:sz w:val="20"/>
                <w:szCs w:val="20"/>
                <w:vertAlign w:val="superscript"/>
              </w:rPr>
              <w:t>*</w:t>
            </w:r>
          </w:p>
        </w:tc>
        <w:tc>
          <w:tcPr>
            <w:tcW w:w="1317" w:type="dxa"/>
            <w:tcBorders>
              <w:top w:val="single" w:sz="4" w:space="0" w:color="auto"/>
            </w:tcBorders>
          </w:tcPr>
          <w:p w14:paraId="3D6CA2CC"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0,18</w:t>
            </w:r>
          </w:p>
        </w:tc>
        <w:tc>
          <w:tcPr>
            <w:tcW w:w="708" w:type="dxa"/>
            <w:tcBorders>
              <w:top w:val="single" w:sz="4" w:space="0" w:color="auto"/>
            </w:tcBorders>
          </w:tcPr>
          <w:p w14:paraId="0BAE4AF9" w14:textId="77777777" w:rsidR="003478FC" w:rsidRPr="003478FC" w:rsidRDefault="003478FC" w:rsidP="003478FC">
            <w:pPr>
              <w:rPr>
                <w:rFonts w:ascii="Arial" w:hAnsi="Arial" w:cs="Arial"/>
                <w:sz w:val="20"/>
                <w:szCs w:val="20"/>
              </w:rPr>
            </w:pPr>
            <w:r w:rsidRPr="003478FC">
              <w:rPr>
                <w:rFonts w:ascii="Arial" w:hAnsi="Arial" w:cs="Arial"/>
                <w:sz w:val="20"/>
                <w:szCs w:val="20"/>
              </w:rPr>
              <w:t>0,74</w:t>
            </w:r>
            <w:r w:rsidRPr="003478FC">
              <w:rPr>
                <w:rFonts w:ascii="Arial" w:hAnsi="Arial" w:cs="Arial"/>
                <w:sz w:val="20"/>
                <w:szCs w:val="20"/>
                <w:vertAlign w:val="superscript"/>
              </w:rPr>
              <w:t>**</w:t>
            </w:r>
          </w:p>
        </w:tc>
        <w:tc>
          <w:tcPr>
            <w:tcW w:w="848" w:type="dxa"/>
            <w:tcBorders>
              <w:top w:val="single" w:sz="4" w:space="0" w:color="auto"/>
            </w:tcBorders>
          </w:tcPr>
          <w:p w14:paraId="387EE449" w14:textId="77777777" w:rsidR="003478FC" w:rsidRPr="003478FC" w:rsidRDefault="003478FC" w:rsidP="003478FC">
            <w:pPr>
              <w:rPr>
                <w:rFonts w:ascii="Arial" w:hAnsi="Arial" w:cs="Arial"/>
                <w:sz w:val="20"/>
                <w:szCs w:val="20"/>
              </w:rPr>
            </w:pPr>
            <w:r w:rsidRPr="003478FC">
              <w:rPr>
                <w:rFonts w:ascii="Arial" w:hAnsi="Arial" w:cs="Arial"/>
                <w:sz w:val="20"/>
                <w:szCs w:val="20"/>
              </w:rPr>
              <w:t>-0,06</w:t>
            </w:r>
          </w:p>
        </w:tc>
        <w:tc>
          <w:tcPr>
            <w:tcW w:w="1255" w:type="dxa"/>
            <w:tcBorders>
              <w:top w:val="single" w:sz="4" w:space="0" w:color="auto"/>
            </w:tcBorders>
          </w:tcPr>
          <w:p w14:paraId="77089657" w14:textId="77777777" w:rsidR="003478FC" w:rsidRPr="003478FC" w:rsidRDefault="003478FC" w:rsidP="003478FC">
            <w:pPr>
              <w:rPr>
                <w:rFonts w:ascii="Arial" w:hAnsi="Arial" w:cs="Arial"/>
                <w:sz w:val="20"/>
                <w:szCs w:val="20"/>
              </w:rPr>
            </w:pPr>
            <w:r w:rsidRPr="003478FC">
              <w:rPr>
                <w:rFonts w:ascii="Arial" w:hAnsi="Arial" w:cs="Arial"/>
                <w:sz w:val="20"/>
                <w:szCs w:val="20"/>
              </w:rPr>
              <w:t>-0,71</w:t>
            </w:r>
            <w:r w:rsidRPr="003478FC">
              <w:rPr>
                <w:rFonts w:ascii="Arial" w:hAnsi="Arial" w:cs="Arial"/>
                <w:sz w:val="20"/>
                <w:szCs w:val="20"/>
                <w:vertAlign w:val="superscript"/>
              </w:rPr>
              <w:t>*</w:t>
            </w:r>
          </w:p>
        </w:tc>
      </w:tr>
      <w:tr w:rsidR="003478FC" w:rsidRPr="003478FC" w14:paraId="0E50B039" w14:textId="77777777" w:rsidTr="003478FC">
        <w:tc>
          <w:tcPr>
            <w:tcW w:w="1133" w:type="dxa"/>
            <w:tcBorders>
              <w:bottom w:val="single" w:sz="4" w:space="0" w:color="auto"/>
            </w:tcBorders>
          </w:tcPr>
          <w:p w14:paraId="03B88CE3" w14:textId="77777777" w:rsidR="003478FC" w:rsidRPr="003478FC" w:rsidRDefault="003478FC" w:rsidP="003478FC">
            <w:pPr>
              <w:rPr>
                <w:rFonts w:ascii="Arial" w:hAnsi="Arial" w:cs="Arial"/>
                <w:sz w:val="20"/>
                <w:szCs w:val="20"/>
              </w:rPr>
            </w:pPr>
            <w:r w:rsidRPr="003478FC">
              <w:rPr>
                <w:rFonts w:ascii="Arial" w:hAnsi="Arial" w:cs="Arial"/>
                <w:sz w:val="20"/>
                <w:szCs w:val="20"/>
              </w:rPr>
              <w:t>NDWI</w:t>
            </w:r>
          </w:p>
        </w:tc>
        <w:tc>
          <w:tcPr>
            <w:tcW w:w="1682" w:type="dxa"/>
            <w:tcBorders>
              <w:bottom w:val="single" w:sz="4" w:space="0" w:color="auto"/>
            </w:tcBorders>
          </w:tcPr>
          <w:p w14:paraId="5A018D92"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-0,78</w:t>
            </w:r>
            <w:r w:rsidRPr="003478FC">
              <w:rPr>
                <w:rFonts w:ascii="Arial" w:hAnsi="Arial" w:cs="Arial"/>
                <w:sz w:val="20"/>
                <w:szCs w:val="20"/>
                <w:vertAlign w:val="superscript"/>
              </w:rPr>
              <w:t>**</w:t>
            </w:r>
          </w:p>
        </w:tc>
        <w:tc>
          <w:tcPr>
            <w:tcW w:w="1317" w:type="dxa"/>
            <w:tcBorders>
              <w:bottom w:val="single" w:sz="4" w:space="0" w:color="auto"/>
            </w:tcBorders>
          </w:tcPr>
          <w:p w14:paraId="08A10138"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0,71</w:t>
            </w:r>
            <w:r w:rsidRPr="003478FC">
              <w:rPr>
                <w:rFonts w:ascii="Arial" w:hAnsi="Arial" w:cs="Arial"/>
                <w:sz w:val="20"/>
                <w:szCs w:val="20"/>
                <w:vertAlign w:val="superscript"/>
              </w:rPr>
              <w:t>*</w:t>
            </w:r>
          </w:p>
        </w:tc>
        <w:tc>
          <w:tcPr>
            <w:tcW w:w="708" w:type="dxa"/>
            <w:tcBorders>
              <w:bottom w:val="single" w:sz="4" w:space="0" w:color="auto"/>
            </w:tcBorders>
          </w:tcPr>
          <w:p w14:paraId="23B87964" w14:textId="77777777" w:rsidR="003478FC" w:rsidRPr="003478FC" w:rsidRDefault="003478FC" w:rsidP="003478FC">
            <w:pPr>
              <w:rPr>
                <w:rFonts w:ascii="Arial" w:hAnsi="Arial" w:cs="Arial"/>
                <w:sz w:val="20"/>
                <w:szCs w:val="20"/>
              </w:rPr>
            </w:pPr>
            <w:r w:rsidRPr="003478FC">
              <w:rPr>
                <w:rFonts w:ascii="Arial" w:hAnsi="Arial" w:cs="Arial"/>
                <w:sz w:val="20"/>
                <w:szCs w:val="20"/>
              </w:rPr>
              <w:t>0,86</w:t>
            </w:r>
            <w:r w:rsidRPr="003478FC">
              <w:rPr>
                <w:rFonts w:ascii="Arial" w:hAnsi="Arial" w:cs="Arial"/>
                <w:sz w:val="20"/>
                <w:szCs w:val="20"/>
                <w:vertAlign w:val="superscript"/>
              </w:rPr>
              <w:t>**</w:t>
            </w:r>
          </w:p>
        </w:tc>
        <w:tc>
          <w:tcPr>
            <w:tcW w:w="848" w:type="dxa"/>
            <w:tcBorders>
              <w:bottom w:val="single" w:sz="4" w:space="0" w:color="auto"/>
            </w:tcBorders>
          </w:tcPr>
          <w:p w14:paraId="7715C612" w14:textId="77777777" w:rsidR="003478FC" w:rsidRPr="003478FC" w:rsidRDefault="003478FC" w:rsidP="003478FC">
            <w:pPr>
              <w:rPr>
                <w:rFonts w:ascii="Arial" w:hAnsi="Arial" w:cs="Arial"/>
                <w:sz w:val="20"/>
                <w:szCs w:val="20"/>
              </w:rPr>
            </w:pPr>
            <w:r w:rsidRPr="003478FC">
              <w:rPr>
                <w:rFonts w:ascii="Arial" w:hAnsi="Arial" w:cs="Arial"/>
                <w:sz w:val="20"/>
                <w:szCs w:val="20"/>
              </w:rPr>
              <w:t>-0,60</w:t>
            </w:r>
            <w:r w:rsidRPr="003478FC">
              <w:rPr>
                <w:rFonts w:ascii="Arial" w:hAnsi="Arial" w:cs="Arial"/>
                <w:sz w:val="20"/>
                <w:szCs w:val="20"/>
                <w:vertAlign w:val="superscript"/>
              </w:rPr>
              <w:t>*</w:t>
            </w:r>
          </w:p>
        </w:tc>
        <w:tc>
          <w:tcPr>
            <w:tcW w:w="1255" w:type="dxa"/>
            <w:tcBorders>
              <w:bottom w:val="single" w:sz="4" w:space="0" w:color="auto"/>
            </w:tcBorders>
          </w:tcPr>
          <w:p w14:paraId="195C8B17" w14:textId="77777777" w:rsidR="003478FC" w:rsidRPr="003478FC" w:rsidRDefault="003478FC" w:rsidP="003478FC">
            <w:pPr>
              <w:rPr>
                <w:rFonts w:ascii="Arial" w:hAnsi="Arial" w:cs="Arial"/>
                <w:sz w:val="20"/>
                <w:szCs w:val="20"/>
              </w:rPr>
            </w:pPr>
            <w:r w:rsidRPr="003478FC">
              <w:rPr>
                <w:rFonts w:ascii="Arial" w:hAnsi="Arial" w:cs="Arial"/>
                <w:sz w:val="20"/>
                <w:szCs w:val="20"/>
              </w:rPr>
              <w:t>-0,68</w:t>
            </w:r>
            <w:r w:rsidRPr="003478FC">
              <w:rPr>
                <w:rFonts w:ascii="Arial" w:hAnsi="Arial" w:cs="Arial"/>
                <w:sz w:val="20"/>
                <w:szCs w:val="20"/>
                <w:vertAlign w:val="superscript"/>
              </w:rPr>
              <w:t>*</w:t>
            </w:r>
          </w:p>
        </w:tc>
      </w:tr>
    </w:tbl>
    <w:p w14:paraId="48853D65" w14:textId="77777777" w:rsidR="00976CCF" w:rsidRPr="00976CCF" w:rsidRDefault="00976CCF" w:rsidP="003478FC">
      <w:pPr>
        <w:pStyle w:val="Body"/>
        <w:spacing w:after="0"/>
        <w:rPr>
          <w:rFonts w:ascii="Arial" w:hAnsi="Arial" w:cs="Arial"/>
        </w:rPr>
      </w:pPr>
      <w:r w:rsidRPr="00976CCF">
        <w:rPr>
          <w:rFonts w:ascii="Arial" w:hAnsi="Arial" w:cs="Arial"/>
        </w:rPr>
        <w:t>**. Correlation is significant at the 0.01 level</w:t>
      </w:r>
    </w:p>
    <w:p w14:paraId="3A91187E" w14:textId="77777777" w:rsidR="00976CCF" w:rsidRDefault="00976CCF" w:rsidP="003478FC">
      <w:pPr>
        <w:pStyle w:val="Body"/>
        <w:spacing w:after="0"/>
        <w:rPr>
          <w:rFonts w:ascii="Arial" w:hAnsi="Arial" w:cs="Arial"/>
        </w:rPr>
      </w:pPr>
      <w:r w:rsidRPr="00976CCF">
        <w:rPr>
          <w:rFonts w:ascii="Arial" w:hAnsi="Arial" w:cs="Arial"/>
        </w:rPr>
        <w:t>*. Correlation is significant at the 0.05 level</w:t>
      </w:r>
    </w:p>
    <w:p w14:paraId="6B657A94" w14:textId="77777777" w:rsidR="003478FC" w:rsidRPr="00976CCF" w:rsidRDefault="003478FC" w:rsidP="003478FC">
      <w:pPr>
        <w:pStyle w:val="Body"/>
        <w:spacing w:after="0"/>
        <w:rPr>
          <w:rFonts w:ascii="Arial" w:hAnsi="Arial" w:cs="Arial"/>
        </w:rPr>
      </w:pPr>
    </w:p>
    <w:p w14:paraId="2F1C73AE" w14:textId="77777777" w:rsidR="00976CCF" w:rsidRPr="00976CCF" w:rsidRDefault="00976CCF" w:rsidP="00976CCF">
      <w:pPr>
        <w:pStyle w:val="Body"/>
        <w:rPr>
          <w:rFonts w:ascii="Arial" w:hAnsi="Arial" w:cs="Arial"/>
        </w:rPr>
      </w:pPr>
      <w:r w:rsidRPr="00976CCF">
        <w:rPr>
          <w:rFonts w:ascii="Arial" w:hAnsi="Arial" w:cs="Arial"/>
        </w:rPr>
        <w:t xml:space="preserve">The Pearson correlation between precipitation and quality of EOs reveals that precipitation is significantly negative correlated with limonene concentration (-0.957, p&lt;0.05), 3-octanone concentration (-0.962, p&lt;0.01), linalool/linalyl acetate (-0.704, p&lt;0.05), </w:t>
      </w:r>
      <w:proofErr w:type="spellStart"/>
      <w:r w:rsidRPr="00976CCF">
        <w:rPr>
          <w:rFonts w:ascii="Arial" w:hAnsi="Arial" w:cs="Arial"/>
        </w:rPr>
        <w:t>Lavandulol</w:t>
      </w:r>
      <w:proofErr w:type="spellEnd"/>
      <w:r w:rsidRPr="00976CCF">
        <w:rPr>
          <w:rFonts w:ascii="Arial" w:hAnsi="Arial" w:cs="Arial"/>
        </w:rPr>
        <w:t xml:space="preserve"> concentration (-0.727, p&lt;0.05) and linalool concentration (-0.845, p&lt;0.05). In contrast, precipitations were positive correlated with camphor (0.888, p&lt;0.05), cis-beta-OCIMENE (0.754, p&lt;0.05), trans-beta-OCIMENE (0.725, p&lt;0.05) and Linalyl Acetate (0.844, p&lt;0.05). </w:t>
      </w:r>
    </w:p>
    <w:p w14:paraId="718EB40C" w14:textId="77777777" w:rsidR="00976CCF" w:rsidRPr="00976CCF" w:rsidRDefault="00976CCF" w:rsidP="00976CCF">
      <w:pPr>
        <w:pStyle w:val="Body"/>
        <w:rPr>
          <w:rFonts w:ascii="Arial" w:hAnsi="Arial" w:cs="Arial"/>
        </w:rPr>
      </w:pPr>
      <w:r w:rsidRPr="00976CCF">
        <w:rPr>
          <w:rFonts w:ascii="Arial" w:hAnsi="Arial" w:cs="Arial"/>
        </w:rPr>
        <w:t xml:space="preserve">NDVI was significantly positive correlated with cis-beta-OCIMENE (0.721, p&lt;0.05), trans-beta-OCIMENE (0.805, p&lt;0.05), and </w:t>
      </w:r>
      <w:proofErr w:type="spellStart"/>
      <w:r w:rsidRPr="00976CCF">
        <w:rPr>
          <w:rFonts w:ascii="Arial" w:hAnsi="Arial" w:cs="Arial"/>
        </w:rPr>
        <w:t>Lavandulyl</w:t>
      </w:r>
      <w:proofErr w:type="spellEnd"/>
      <w:r w:rsidRPr="00976CCF">
        <w:rPr>
          <w:rFonts w:ascii="Arial" w:hAnsi="Arial" w:cs="Arial"/>
        </w:rPr>
        <w:t xml:space="preserve"> Acetate (0.770, p&lt;0.05) and significantly negative correlated with Limonene (0.773, p&lt;0.05), 1,8-CINEOLE (0,724, p&lt;0.05), TERPINENE-4-OL (0.690, p&lt;0.05), LAVANDULOL (0.727, p&lt;0.05) and alpha-TERPINEOL (0.870, p&lt;0.05). NDWI was significantly positive correlated only with cis-beta-OCIMENE (0.712, p&lt;0.05) and significantly negative correlated with 1,8-CINEOLE (-0.707, p&lt;0.05), TERPINENE-4-OL (-0.818, p&lt;0.05), </w:t>
      </w:r>
      <w:proofErr w:type="spellStart"/>
      <w:r w:rsidRPr="00976CCF">
        <w:rPr>
          <w:rFonts w:ascii="Arial" w:hAnsi="Arial" w:cs="Arial"/>
        </w:rPr>
        <w:t>Lavandulyl</w:t>
      </w:r>
      <w:proofErr w:type="spellEnd"/>
      <w:r w:rsidRPr="00976CCF">
        <w:rPr>
          <w:rFonts w:ascii="Arial" w:hAnsi="Arial" w:cs="Arial"/>
        </w:rPr>
        <w:t xml:space="preserve"> Acetate (-0.709, p&lt;0.05), </w:t>
      </w:r>
      <w:proofErr w:type="spellStart"/>
      <w:r w:rsidRPr="00976CCF">
        <w:rPr>
          <w:rFonts w:ascii="Arial" w:hAnsi="Arial" w:cs="Arial"/>
        </w:rPr>
        <w:t>Lavandulol</w:t>
      </w:r>
      <w:proofErr w:type="spellEnd"/>
      <w:r w:rsidRPr="00976CCF">
        <w:rPr>
          <w:rFonts w:ascii="Arial" w:hAnsi="Arial" w:cs="Arial"/>
        </w:rPr>
        <w:t xml:space="preserve"> (-0.680, p&lt;0.05) and alpha-TERPINEOL (-0.650, p&lt;0.05).</w:t>
      </w:r>
    </w:p>
    <w:p w14:paraId="0A9E2866" w14:textId="77777777" w:rsidR="00976CCF" w:rsidRPr="00976CCF" w:rsidRDefault="00976CCF" w:rsidP="00976CCF">
      <w:pPr>
        <w:pStyle w:val="Body"/>
        <w:rPr>
          <w:rFonts w:ascii="Arial" w:hAnsi="Arial" w:cs="Arial"/>
        </w:rPr>
      </w:pPr>
      <w:r w:rsidRPr="00976CCF">
        <w:rPr>
          <w:rFonts w:ascii="Arial" w:hAnsi="Arial" w:cs="Arial"/>
        </w:rPr>
        <w:t xml:space="preserve">Pearson correlation analysis was conducted among the EO compounds over the five years of the study. The most important statistically significant results are summarized in Table 3. The analysis revealed both positive and negative significant correlations among the various EO components. </w:t>
      </w:r>
    </w:p>
    <w:p w14:paraId="7080843A" w14:textId="77777777" w:rsidR="00976CCF" w:rsidRDefault="00976CCF" w:rsidP="00976CCF">
      <w:pPr>
        <w:pStyle w:val="Body"/>
        <w:rPr>
          <w:rFonts w:ascii="Arial" w:hAnsi="Arial" w:cs="Arial"/>
        </w:rPr>
      </w:pPr>
      <w:r w:rsidRPr="003478FC">
        <w:rPr>
          <w:rFonts w:ascii="Arial" w:hAnsi="Arial" w:cs="Arial"/>
          <w:b/>
        </w:rPr>
        <w:t>Table 3 presents the results of Pearson correlation among the EO compounds</w:t>
      </w:r>
      <w:r w:rsidRPr="00976CCF">
        <w:rPr>
          <w:rFonts w:ascii="Arial" w:hAnsi="Arial" w:cs="Arial"/>
        </w:rPr>
        <w:t>.</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104"/>
      </w:tblGrid>
      <w:tr w:rsidR="003478FC" w:rsidRPr="003478FC" w14:paraId="7F26912F" w14:textId="77777777" w:rsidTr="00316818">
        <w:tc>
          <w:tcPr>
            <w:tcW w:w="4675" w:type="dxa"/>
            <w:tcBorders>
              <w:top w:val="single" w:sz="4" w:space="0" w:color="auto"/>
              <w:bottom w:val="single" w:sz="4" w:space="0" w:color="auto"/>
            </w:tcBorders>
          </w:tcPr>
          <w:p w14:paraId="0D5DA799" w14:textId="77777777" w:rsidR="003478FC" w:rsidRPr="003478FC" w:rsidRDefault="003478FC" w:rsidP="003478FC">
            <w:pPr>
              <w:jc w:val="both"/>
              <w:rPr>
                <w:rFonts w:ascii="Arial" w:hAnsi="Arial" w:cs="Arial"/>
                <w:b/>
                <w:sz w:val="20"/>
                <w:szCs w:val="20"/>
              </w:rPr>
            </w:pPr>
            <w:r w:rsidRPr="003478FC">
              <w:rPr>
                <w:rFonts w:ascii="Arial" w:hAnsi="Arial" w:cs="Arial"/>
                <w:b/>
                <w:sz w:val="20"/>
                <w:szCs w:val="20"/>
              </w:rPr>
              <w:t>EO Components</w:t>
            </w:r>
          </w:p>
        </w:tc>
        <w:tc>
          <w:tcPr>
            <w:tcW w:w="4675" w:type="dxa"/>
            <w:tcBorders>
              <w:top w:val="single" w:sz="4" w:space="0" w:color="auto"/>
              <w:bottom w:val="single" w:sz="4" w:space="0" w:color="auto"/>
            </w:tcBorders>
          </w:tcPr>
          <w:p w14:paraId="5CF35C3E" w14:textId="77777777" w:rsidR="003478FC" w:rsidRPr="003478FC" w:rsidRDefault="003478FC" w:rsidP="003478FC">
            <w:pPr>
              <w:jc w:val="both"/>
              <w:rPr>
                <w:rFonts w:ascii="Arial" w:hAnsi="Arial" w:cs="Arial"/>
                <w:b/>
                <w:sz w:val="20"/>
                <w:szCs w:val="20"/>
              </w:rPr>
            </w:pPr>
            <w:r w:rsidRPr="003478FC">
              <w:rPr>
                <w:rFonts w:ascii="Arial" w:hAnsi="Arial" w:cs="Arial"/>
                <w:b/>
                <w:sz w:val="20"/>
                <w:szCs w:val="20"/>
              </w:rPr>
              <w:t>Correlations</w:t>
            </w:r>
          </w:p>
        </w:tc>
      </w:tr>
      <w:tr w:rsidR="003478FC" w:rsidRPr="003478FC" w14:paraId="348B579C" w14:textId="77777777" w:rsidTr="00316818">
        <w:tc>
          <w:tcPr>
            <w:tcW w:w="4675" w:type="dxa"/>
            <w:tcBorders>
              <w:top w:val="single" w:sz="4" w:space="0" w:color="auto"/>
              <w:bottom w:val="single" w:sz="4" w:space="0" w:color="auto"/>
            </w:tcBorders>
            <w:vAlign w:val="center"/>
          </w:tcPr>
          <w:p w14:paraId="059CB00A"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lastRenderedPageBreak/>
              <w:t>LIMONENE</w:t>
            </w:r>
          </w:p>
        </w:tc>
        <w:tc>
          <w:tcPr>
            <w:tcW w:w="4675" w:type="dxa"/>
            <w:tcBorders>
              <w:top w:val="single" w:sz="4" w:space="0" w:color="auto"/>
              <w:bottom w:val="single" w:sz="4" w:space="0" w:color="auto"/>
            </w:tcBorders>
          </w:tcPr>
          <w:p w14:paraId="671A1BC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(-0.82, p&lt;0.05)</w:t>
            </w:r>
          </w:p>
          <w:p w14:paraId="6FA807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(-0.86, p&lt;0.05)</w:t>
            </w:r>
          </w:p>
          <w:p w14:paraId="1C35409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(0.98, p&lt;0.01)</w:t>
            </w:r>
          </w:p>
          <w:p w14:paraId="41FB175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(-0.79, p&lt;0.05)</w:t>
            </w:r>
          </w:p>
          <w:p w14:paraId="58BBAA4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(-0.87, p&lt;0.05)</w:t>
            </w:r>
          </w:p>
          <w:p w14:paraId="327FD2FD"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(0.79, p&lt;0.05)</w:t>
            </w:r>
          </w:p>
          <w:p w14:paraId="6CCDF70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(0.77, p&lt;0.05)</w:t>
            </w:r>
          </w:p>
        </w:tc>
      </w:tr>
      <w:tr w:rsidR="003478FC" w:rsidRPr="003478FC" w14:paraId="34EFC891" w14:textId="77777777" w:rsidTr="00316818">
        <w:tc>
          <w:tcPr>
            <w:tcW w:w="4675" w:type="dxa"/>
            <w:tcBorders>
              <w:top w:val="single" w:sz="4" w:space="0" w:color="auto"/>
              <w:bottom w:val="single" w:sz="4" w:space="0" w:color="auto"/>
            </w:tcBorders>
            <w:vAlign w:val="center"/>
          </w:tcPr>
          <w:p w14:paraId="60ACC3D3"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1,8-CINEOLE</w:t>
            </w:r>
          </w:p>
        </w:tc>
        <w:tc>
          <w:tcPr>
            <w:tcW w:w="4675" w:type="dxa"/>
            <w:tcBorders>
              <w:top w:val="single" w:sz="4" w:space="0" w:color="auto"/>
              <w:bottom w:val="single" w:sz="4" w:space="0" w:color="auto"/>
            </w:tcBorders>
          </w:tcPr>
          <w:p w14:paraId="5EE172C8" w14:textId="77777777" w:rsidR="003478FC" w:rsidRPr="003478FC" w:rsidRDefault="003478FC" w:rsidP="003478FC">
            <w:pPr>
              <w:jc w:val="both"/>
              <w:rPr>
                <w:rFonts w:ascii="Arial" w:hAnsi="Arial" w:cs="Arial"/>
                <w:color w:val="000000"/>
                <w:sz w:val="20"/>
                <w:szCs w:val="20"/>
                <w:lang w:val="en-GB"/>
              </w:rPr>
            </w:pPr>
            <w:r w:rsidRPr="003478FC">
              <w:rPr>
                <w:rFonts w:ascii="Arial" w:hAnsi="Arial" w:cs="Arial"/>
                <w:color w:val="000000"/>
                <w:sz w:val="20"/>
                <w:szCs w:val="20"/>
                <w:lang w:val="en-GB"/>
              </w:rPr>
              <w:t>TERPINENE-4-OL (0.93, p&lt;0.05)</w:t>
            </w:r>
          </w:p>
          <w:p w14:paraId="09FD498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(0.68, p&lt;0.05)</w:t>
            </w:r>
          </w:p>
          <w:p w14:paraId="54FACF4E"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alpha-TERPINEOL (0.92, p&lt;0.05)</w:t>
            </w:r>
          </w:p>
        </w:tc>
      </w:tr>
      <w:tr w:rsidR="003478FC" w:rsidRPr="003478FC" w14:paraId="77A269E6" w14:textId="77777777" w:rsidTr="00316818">
        <w:tc>
          <w:tcPr>
            <w:tcW w:w="4675" w:type="dxa"/>
            <w:tcBorders>
              <w:top w:val="single" w:sz="4" w:space="0" w:color="auto"/>
              <w:bottom w:val="single" w:sz="4" w:space="0" w:color="auto"/>
            </w:tcBorders>
            <w:vAlign w:val="center"/>
          </w:tcPr>
          <w:p w14:paraId="6DEE255C" w14:textId="77777777" w:rsidR="003478FC" w:rsidRPr="003478FC" w:rsidRDefault="003478FC" w:rsidP="003478FC">
            <w:pPr>
              <w:jc w:val="center"/>
              <w:rPr>
                <w:rFonts w:ascii="Arial" w:hAnsi="Arial" w:cs="Arial"/>
                <w:sz w:val="20"/>
                <w:szCs w:val="20"/>
              </w:rPr>
            </w:pPr>
            <w:r w:rsidRPr="003478FC">
              <w:rPr>
                <w:rFonts w:ascii="Arial" w:hAnsi="Arial" w:cs="Arial"/>
                <w:sz w:val="20"/>
                <w:szCs w:val="20"/>
              </w:rPr>
              <w:t>cis-beta-OCIMENE</w:t>
            </w:r>
          </w:p>
        </w:tc>
        <w:tc>
          <w:tcPr>
            <w:tcW w:w="4675" w:type="dxa"/>
            <w:tcBorders>
              <w:top w:val="single" w:sz="4" w:space="0" w:color="auto"/>
              <w:bottom w:val="single" w:sz="4" w:space="0" w:color="auto"/>
            </w:tcBorders>
          </w:tcPr>
          <w:p w14:paraId="641C2D96" w14:textId="77777777" w:rsidR="003478FC" w:rsidRPr="003478FC" w:rsidRDefault="003478FC" w:rsidP="003478FC">
            <w:pPr>
              <w:jc w:val="both"/>
              <w:rPr>
                <w:rFonts w:ascii="Arial" w:hAnsi="Arial" w:cs="Arial"/>
                <w:sz w:val="20"/>
                <w:szCs w:val="20"/>
                <w:lang w:val="en-GB"/>
              </w:rPr>
            </w:pPr>
            <w:proofErr w:type="gramStart"/>
            <w:r w:rsidRPr="003478FC">
              <w:rPr>
                <w:rFonts w:ascii="Arial" w:hAnsi="Arial" w:cs="Arial"/>
                <w:sz w:val="20"/>
                <w:szCs w:val="20"/>
                <w:lang w:val="en-GB"/>
              </w:rPr>
              <w:t>LIMONENE(</w:t>
            </w:r>
            <w:proofErr w:type="gramEnd"/>
            <w:r w:rsidRPr="003478FC">
              <w:rPr>
                <w:rFonts w:ascii="Arial" w:hAnsi="Arial" w:cs="Arial"/>
                <w:sz w:val="20"/>
                <w:szCs w:val="20"/>
                <w:lang w:val="en-GB"/>
              </w:rPr>
              <w:t>-0.82, p&lt;0.05)</w:t>
            </w:r>
          </w:p>
          <w:p w14:paraId="280DB46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(0.95, p&lt;0.05)</w:t>
            </w:r>
          </w:p>
          <w:p w14:paraId="30CD9B6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(-0.79, p&lt;0.05)</w:t>
            </w:r>
          </w:p>
          <w:p w14:paraId="5ACF475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(-0.70, p&lt;0.05)</w:t>
            </w:r>
          </w:p>
          <w:p w14:paraId="5CF0795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(-0.96, p&lt;0.01)</w:t>
            </w:r>
          </w:p>
          <w:p w14:paraId="106B18C8"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alpha-TERPINEOL (-0.75, p&lt;0.05)</w:t>
            </w:r>
          </w:p>
        </w:tc>
      </w:tr>
      <w:tr w:rsidR="003478FC" w:rsidRPr="003478FC" w14:paraId="6C804C8B" w14:textId="77777777" w:rsidTr="00316818">
        <w:tc>
          <w:tcPr>
            <w:tcW w:w="4675" w:type="dxa"/>
            <w:tcBorders>
              <w:top w:val="single" w:sz="4" w:space="0" w:color="auto"/>
              <w:bottom w:val="single" w:sz="4" w:space="0" w:color="auto"/>
            </w:tcBorders>
            <w:shd w:val="clear" w:color="auto" w:fill="auto"/>
            <w:vAlign w:val="center"/>
          </w:tcPr>
          <w:p w14:paraId="2CC59411"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trans-beta-OCIMENE</w:t>
            </w:r>
          </w:p>
        </w:tc>
        <w:tc>
          <w:tcPr>
            <w:tcW w:w="4675" w:type="dxa"/>
            <w:tcBorders>
              <w:top w:val="single" w:sz="4" w:space="0" w:color="auto"/>
              <w:bottom w:val="single" w:sz="4" w:space="0" w:color="auto"/>
            </w:tcBorders>
          </w:tcPr>
          <w:p w14:paraId="32CE1F3A" w14:textId="77777777" w:rsidR="003478FC" w:rsidRPr="003478FC" w:rsidRDefault="003478FC" w:rsidP="003478FC">
            <w:pPr>
              <w:jc w:val="both"/>
              <w:rPr>
                <w:rFonts w:ascii="Arial" w:hAnsi="Arial" w:cs="Arial"/>
                <w:sz w:val="20"/>
                <w:szCs w:val="20"/>
                <w:lang w:val="en-GB"/>
              </w:rPr>
            </w:pPr>
            <w:proofErr w:type="gramStart"/>
            <w:r w:rsidRPr="003478FC">
              <w:rPr>
                <w:rFonts w:ascii="Arial" w:hAnsi="Arial" w:cs="Arial"/>
                <w:sz w:val="20"/>
                <w:szCs w:val="20"/>
                <w:lang w:val="en-GB"/>
              </w:rPr>
              <w:t>LIMONENE(</w:t>
            </w:r>
            <w:proofErr w:type="gramEnd"/>
            <w:r w:rsidRPr="003478FC">
              <w:rPr>
                <w:rFonts w:ascii="Arial" w:hAnsi="Arial" w:cs="Arial"/>
                <w:sz w:val="20"/>
                <w:szCs w:val="20"/>
                <w:lang w:val="en-GB"/>
              </w:rPr>
              <w:t>-0.86, p&lt;0.05)</w:t>
            </w:r>
          </w:p>
          <w:p w14:paraId="2890BFC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(0.95, p&lt;0.05)</w:t>
            </w:r>
          </w:p>
          <w:p w14:paraId="5418EDC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(-0.79, p&lt;0.05)</w:t>
            </w:r>
          </w:p>
          <w:p w14:paraId="5B66107B" w14:textId="77777777" w:rsidR="003478FC" w:rsidRPr="003478FC" w:rsidRDefault="003478FC" w:rsidP="003478FC">
            <w:pPr>
              <w:jc w:val="both"/>
              <w:rPr>
                <w:rFonts w:ascii="Arial" w:hAnsi="Arial" w:cs="Arial"/>
                <w:color w:val="000000"/>
                <w:sz w:val="20"/>
                <w:szCs w:val="20"/>
                <w:lang w:val="en-GB"/>
              </w:rPr>
            </w:pPr>
            <w:r w:rsidRPr="003478FC">
              <w:rPr>
                <w:rFonts w:ascii="Arial" w:hAnsi="Arial" w:cs="Arial"/>
                <w:color w:val="000000"/>
                <w:sz w:val="20"/>
                <w:szCs w:val="20"/>
                <w:lang w:val="en-GB"/>
              </w:rPr>
              <w:t>TERPINENE-4-OL (-0.60, p&lt;0.05)</w:t>
            </w:r>
          </w:p>
          <w:p w14:paraId="759312D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(-0.97, p&lt;0.01)</w:t>
            </w:r>
          </w:p>
          <w:p w14:paraId="2646282F"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alpha-TERPINEOL (-0.83, p&lt;0.05)</w:t>
            </w:r>
          </w:p>
        </w:tc>
      </w:tr>
      <w:tr w:rsidR="003478FC" w:rsidRPr="003478FC" w14:paraId="081BF0AA" w14:textId="77777777" w:rsidTr="00316818">
        <w:tc>
          <w:tcPr>
            <w:tcW w:w="4675" w:type="dxa"/>
            <w:tcBorders>
              <w:top w:val="single" w:sz="4" w:space="0" w:color="auto"/>
              <w:bottom w:val="single" w:sz="4" w:space="0" w:color="auto"/>
            </w:tcBorders>
            <w:shd w:val="clear" w:color="auto" w:fill="auto"/>
            <w:vAlign w:val="center"/>
          </w:tcPr>
          <w:p w14:paraId="1105568D"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3-OCTANONE</w:t>
            </w:r>
          </w:p>
        </w:tc>
        <w:tc>
          <w:tcPr>
            <w:tcW w:w="4675" w:type="dxa"/>
            <w:tcBorders>
              <w:top w:val="single" w:sz="4" w:space="0" w:color="auto"/>
              <w:bottom w:val="single" w:sz="4" w:space="0" w:color="auto"/>
            </w:tcBorders>
          </w:tcPr>
          <w:p w14:paraId="14D621FD"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LIMONENE </w:t>
            </w:r>
            <w:r w:rsidRPr="003478FC">
              <w:rPr>
                <w:rFonts w:ascii="Arial" w:hAnsi="Arial" w:cs="Arial"/>
                <w:sz w:val="20"/>
                <w:szCs w:val="20"/>
                <w:lang w:val="en-GB"/>
              </w:rPr>
              <w:t>(0.98, p&lt;0.01)</w:t>
            </w:r>
          </w:p>
          <w:p w14:paraId="75E2945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(-0.79, p&lt;0.05)</w:t>
            </w:r>
          </w:p>
          <w:p w14:paraId="1060C41E"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trans-beta-OCIMENE </w:t>
            </w:r>
            <w:r w:rsidRPr="003478FC">
              <w:rPr>
                <w:rFonts w:ascii="Arial" w:hAnsi="Arial" w:cs="Arial"/>
                <w:sz w:val="20"/>
                <w:szCs w:val="20"/>
                <w:lang w:val="en-GB"/>
              </w:rPr>
              <w:t>(-0.79, p&lt;0.05)</w:t>
            </w:r>
          </w:p>
          <w:p w14:paraId="6B505A88"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CAMPHOR </w:t>
            </w:r>
            <w:r w:rsidRPr="003478FC">
              <w:rPr>
                <w:rFonts w:ascii="Arial" w:hAnsi="Arial" w:cs="Arial"/>
                <w:sz w:val="20"/>
                <w:szCs w:val="20"/>
                <w:lang w:val="en-GB"/>
              </w:rPr>
              <w:t>(-0.82, p&lt;0.05)</w:t>
            </w:r>
          </w:p>
          <w:p w14:paraId="04AE16FC"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LINALOOL </w:t>
            </w:r>
            <w:r w:rsidRPr="003478FC">
              <w:rPr>
                <w:rFonts w:ascii="Arial" w:hAnsi="Arial" w:cs="Arial"/>
                <w:sz w:val="20"/>
                <w:szCs w:val="20"/>
                <w:lang w:val="en-GB"/>
              </w:rPr>
              <w:t>(0.62, p&lt;0.05)</w:t>
            </w:r>
          </w:p>
          <w:p w14:paraId="25B47387"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LINALYL ACETATE </w:t>
            </w:r>
            <w:r w:rsidRPr="003478FC">
              <w:rPr>
                <w:rFonts w:ascii="Arial" w:hAnsi="Arial" w:cs="Arial"/>
                <w:sz w:val="20"/>
                <w:szCs w:val="20"/>
                <w:lang w:val="en-GB"/>
              </w:rPr>
              <w:t>(-0.93, p&lt;0.01)</w:t>
            </w:r>
          </w:p>
          <w:p w14:paraId="16C0BB71"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LINALOOL/LINALYL ACETATE </w:t>
            </w:r>
            <w:r w:rsidRPr="003478FC">
              <w:rPr>
                <w:rFonts w:ascii="Arial" w:hAnsi="Arial" w:cs="Arial"/>
                <w:sz w:val="20"/>
                <w:szCs w:val="20"/>
                <w:lang w:val="en-GB"/>
              </w:rPr>
              <w:t>(0.86, p&lt;0.05)</w:t>
            </w:r>
          </w:p>
          <w:p w14:paraId="7AE396C5" w14:textId="77777777" w:rsidR="003478FC" w:rsidRPr="003478FC" w:rsidRDefault="003478FC" w:rsidP="003478FC">
            <w:pPr>
              <w:jc w:val="both"/>
              <w:rPr>
                <w:rFonts w:ascii="Arial" w:hAnsi="Arial" w:cs="Arial"/>
                <w:sz w:val="20"/>
                <w:szCs w:val="20"/>
                <w:lang w:val="en-GB"/>
              </w:rPr>
            </w:pPr>
            <w:r w:rsidRPr="003478FC">
              <w:rPr>
                <w:rFonts w:ascii="Arial" w:hAnsi="Arial" w:cs="Arial"/>
                <w:color w:val="000000"/>
                <w:sz w:val="20"/>
                <w:szCs w:val="20"/>
                <w:lang w:val="en-GB"/>
              </w:rPr>
              <w:t xml:space="preserve">LAVANDULOL </w:t>
            </w:r>
            <w:r w:rsidRPr="003478FC">
              <w:rPr>
                <w:rFonts w:ascii="Arial" w:hAnsi="Arial" w:cs="Arial"/>
                <w:sz w:val="20"/>
                <w:szCs w:val="20"/>
                <w:lang w:val="en-GB"/>
              </w:rPr>
              <w:t>(0.72, p&lt;0.05)</w:t>
            </w:r>
          </w:p>
        </w:tc>
      </w:tr>
      <w:tr w:rsidR="003478FC" w:rsidRPr="003478FC" w14:paraId="114D0F1A" w14:textId="77777777" w:rsidTr="00316818">
        <w:tc>
          <w:tcPr>
            <w:tcW w:w="4675" w:type="dxa"/>
            <w:tcBorders>
              <w:top w:val="single" w:sz="4" w:space="0" w:color="auto"/>
              <w:bottom w:val="single" w:sz="4" w:space="0" w:color="auto"/>
            </w:tcBorders>
            <w:shd w:val="clear" w:color="auto" w:fill="auto"/>
            <w:vAlign w:val="center"/>
          </w:tcPr>
          <w:p w14:paraId="32EC6F38"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CAMPHOR</w:t>
            </w:r>
          </w:p>
        </w:tc>
        <w:tc>
          <w:tcPr>
            <w:tcW w:w="4675" w:type="dxa"/>
            <w:tcBorders>
              <w:top w:val="single" w:sz="4" w:space="0" w:color="auto"/>
              <w:bottom w:val="single" w:sz="4" w:space="0" w:color="auto"/>
            </w:tcBorders>
          </w:tcPr>
          <w:p w14:paraId="3373796E"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(-0.79, p&lt;0.05)</w:t>
            </w:r>
          </w:p>
          <w:p w14:paraId="700652BD"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(-0.82, p&lt;0.05)</w:t>
            </w:r>
          </w:p>
          <w:p w14:paraId="3DA11E7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(0.80, p&lt;0.05)</w:t>
            </w:r>
          </w:p>
          <w:p w14:paraId="6919793D"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LINALOOL/LINALYL ACETATE (-0.65, p&lt;0.05)</w:t>
            </w:r>
          </w:p>
        </w:tc>
      </w:tr>
      <w:tr w:rsidR="003478FC" w:rsidRPr="003478FC" w14:paraId="78336A91" w14:textId="77777777" w:rsidTr="00316818">
        <w:tc>
          <w:tcPr>
            <w:tcW w:w="4675" w:type="dxa"/>
            <w:tcBorders>
              <w:top w:val="single" w:sz="4" w:space="0" w:color="auto"/>
              <w:bottom w:val="single" w:sz="4" w:space="0" w:color="auto"/>
            </w:tcBorders>
            <w:shd w:val="clear" w:color="auto" w:fill="auto"/>
            <w:vAlign w:val="center"/>
          </w:tcPr>
          <w:p w14:paraId="5449082C"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LINALOOL</w:t>
            </w:r>
          </w:p>
        </w:tc>
        <w:tc>
          <w:tcPr>
            <w:tcW w:w="4675" w:type="dxa"/>
            <w:tcBorders>
              <w:top w:val="single" w:sz="4" w:space="0" w:color="auto"/>
              <w:bottom w:val="single" w:sz="4" w:space="0" w:color="auto"/>
            </w:tcBorders>
          </w:tcPr>
          <w:p w14:paraId="10CB74E0"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(-0.67, p&lt;0.05)</w:t>
            </w:r>
            <w:r w:rsidRPr="003478FC">
              <w:rPr>
                <w:rFonts w:ascii="Arial" w:hAnsi="Arial" w:cs="Arial"/>
                <w:sz w:val="20"/>
                <w:szCs w:val="20"/>
                <w:lang w:val="en-GB"/>
              </w:rPr>
              <w:tab/>
            </w:r>
          </w:p>
          <w:p w14:paraId="684F76A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(0.62, p&lt;0.05)</w:t>
            </w:r>
          </w:p>
          <w:p w14:paraId="4B872D1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w:t>
            </w:r>
            <w:r w:rsidRPr="003478FC">
              <w:rPr>
                <w:rFonts w:ascii="Arial" w:hAnsi="Arial" w:cs="Arial"/>
                <w:sz w:val="20"/>
                <w:szCs w:val="20"/>
                <w:lang w:val="en-GB"/>
              </w:rPr>
              <w:tab/>
              <w:t xml:space="preserve"> (-0.79, p&lt;0.05)</w:t>
            </w:r>
          </w:p>
          <w:p w14:paraId="1BD8EDEC"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(0.92, p&lt;0.05)</w:t>
            </w:r>
            <w:r w:rsidRPr="003478FC">
              <w:rPr>
                <w:rFonts w:ascii="Arial" w:hAnsi="Arial" w:cs="Arial"/>
                <w:sz w:val="20"/>
                <w:szCs w:val="20"/>
                <w:lang w:val="en-GB"/>
              </w:rPr>
              <w:tab/>
            </w:r>
          </w:p>
          <w:p w14:paraId="6C2C3D2A"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LAVANDULYL ACETATE (0.76, p&lt;0.05)</w:t>
            </w:r>
          </w:p>
        </w:tc>
      </w:tr>
      <w:tr w:rsidR="003478FC" w:rsidRPr="003478FC" w14:paraId="477EFE4C" w14:textId="77777777" w:rsidTr="00316818">
        <w:tc>
          <w:tcPr>
            <w:tcW w:w="4675" w:type="dxa"/>
            <w:tcBorders>
              <w:top w:val="single" w:sz="4" w:space="0" w:color="auto"/>
              <w:bottom w:val="single" w:sz="4" w:space="0" w:color="auto"/>
            </w:tcBorders>
            <w:shd w:val="clear" w:color="auto" w:fill="auto"/>
            <w:vAlign w:val="center"/>
          </w:tcPr>
          <w:p w14:paraId="678C35AF"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LINALYL ACETATE</w:t>
            </w:r>
          </w:p>
        </w:tc>
        <w:tc>
          <w:tcPr>
            <w:tcW w:w="4675" w:type="dxa"/>
            <w:tcBorders>
              <w:top w:val="single" w:sz="4" w:space="0" w:color="auto"/>
              <w:bottom w:val="single" w:sz="4" w:space="0" w:color="auto"/>
            </w:tcBorders>
          </w:tcPr>
          <w:p w14:paraId="08F461E7"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(-0.87, p&lt;0.05)</w:t>
            </w:r>
            <w:r w:rsidRPr="003478FC">
              <w:rPr>
                <w:rFonts w:ascii="Arial" w:hAnsi="Arial" w:cs="Arial"/>
                <w:sz w:val="20"/>
                <w:szCs w:val="20"/>
                <w:lang w:val="en-GB"/>
              </w:rPr>
              <w:tab/>
            </w:r>
          </w:p>
          <w:p w14:paraId="225CA0E7"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(-0.93, p&lt;0.05)</w:t>
            </w:r>
          </w:p>
          <w:p w14:paraId="56958A6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CAMPHOR (0.80, p&lt;0.05)</w:t>
            </w:r>
          </w:p>
          <w:p w14:paraId="41EC162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 (-0.79, p&lt;0.05)</w:t>
            </w:r>
          </w:p>
          <w:p w14:paraId="191B4DA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LINALOOL/LINALYL ACETATE (-0.96, p&lt;0.01)</w:t>
            </w:r>
            <w:r w:rsidRPr="003478FC">
              <w:rPr>
                <w:rFonts w:ascii="Arial" w:hAnsi="Arial" w:cs="Arial"/>
                <w:sz w:val="20"/>
                <w:szCs w:val="20"/>
                <w:lang w:val="en-GB"/>
              </w:rPr>
              <w:tab/>
            </w:r>
          </w:p>
        </w:tc>
      </w:tr>
      <w:tr w:rsidR="003478FC" w:rsidRPr="003478FC" w14:paraId="6341297C" w14:textId="77777777" w:rsidTr="00316818">
        <w:tc>
          <w:tcPr>
            <w:tcW w:w="4675" w:type="dxa"/>
            <w:tcBorders>
              <w:top w:val="single" w:sz="4" w:space="0" w:color="auto"/>
              <w:bottom w:val="single" w:sz="4" w:space="0" w:color="auto"/>
            </w:tcBorders>
            <w:shd w:val="clear" w:color="auto" w:fill="auto"/>
            <w:vAlign w:val="center"/>
          </w:tcPr>
          <w:p w14:paraId="6DEE8266"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LINALOOL/LINALYL ACETATE</w:t>
            </w:r>
          </w:p>
        </w:tc>
        <w:tc>
          <w:tcPr>
            <w:tcW w:w="4675" w:type="dxa"/>
            <w:tcBorders>
              <w:top w:val="single" w:sz="4" w:space="0" w:color="auto"/>
              <w:bottom w:val="single" w:sz="4" w:space="0" w:color="auto"/>
            </w:tcBorders>
          </w:tcPr>
          <w:p w14:paraId="720D664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(0.79, p&lt;0.05)</w:t>
            </w:r>
            <w:r w:rsidRPr="003478FC">
              <w:rPr>
                <w:rFonts w:ascii="Arial" w:hAnsi="Arial" w:cs="Arial"/>
                <w:sz w:val="20"/>
                <w:szCs w:val="20"/>
                <w:lang w:val="en-GB"/>
              </w:rPr>
              <w:tab/>
            </w:r>
          </w:p>
          <w:p w14:paraId="0718DEB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(-0.70, p&lt;0.05)</w:t>
            </w:r>
            <w:r w:rsidRPr="003478FC">
              <w:rPr>
                <w:rFonts w:ascii="Arial" w:hAnsi="Arial" w:cs="Arial"/>
                <w:sz w:val="20"/>
                <w:szCs w:val="20"/>
                <w:lang w:val="en-GB"/>
              </w:rPr>
              <w:tab/>
            </w:r>
          </w:p>
          <w:p w14:paraId="6024421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(-0.86, p&lt;0.05)</w:t>
            </w:r>
            <w:r w:rsidRPr="003478FC">
              <w:rPr>
                <w:rFonts w:ascii="Arial" w:hAnsi="Arial" w:cs="Arial"/>
                <w:sz w:val="20"/>
                <w:szCs w:val="20"/>
                <w:lang w:val="en-GB"/>
              </w:rPr>
              <w:tab/>
            </w:r>
          </w:p>
          <w:p w14:paraId="6A07FD4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lastRenderedPageBreak/>
              <w:t>CAMPHOR (-0.65, p&lt;0.05)</w:t>
            </w:r>
            <w:r w:rsidRPr="003478FC">
              <w:rPr>
                <w:rFonts w:ascii="Arial" w:hAnsi="Arial" w:cs="Arial"/>
                <w:sz w:val="20"/>
                <w:szCs w:val="20"/>
                <w:lang w:val="en-GB"/>
              </w:rPr>
              <w:tab/>
            </w:r>
          </w:p>
          <w:p w14:paraId="4F8CDBA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LINALOOL (0.92, p&lt;0.05)</w:t>
            </w:r>
            <w:r w:rsidRPr="003478FC">
              <w:rPr>
                <w:rFonts w:ascii="Arial" w:hAnsi="Arial" w:cs="Arial"/>
                <w:sz w:val="20"/>
                <w:szCs w:val="20"/>
                <w:lang w:val="en-GB"/>
              </w:rPr>
              <w:tab/>
            </w:r>
          </w:p>
          <w:p w14:paraId="69D41C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LINALYL ACETATE (-0.96, p&lt;0.01)</w:t>
            </w:r>
            <w:r w:rsidRPr="003478FC">
              <w:rPr>
                <w:rFonts w:ascii="Arial" w:hAnsi="Arial" w:cs="Arial"/>
                <w:sz w:val="20"/>
                <w:szCs w:val="20"/>
                <w:lang w:val="en-GB"/>
              </w:rPr>
              <w:tab/>
            </w:r>
          </w:p>
          <w:p w14:paraId="0956D54A"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LAVANDULYL ACETATE (0.67, p&lt;0.05)</w:t>
            </w:r>
            <w:r w:rsidRPr="003478FC">
              <w:rPr>
                <w:rFonts w:ascii="Arial" w:hAnsi="Arial" w:cs="Arial"/>
                <w:sz w:val="20"/>
                <w:szCs w:val="20"/>
                <w:lang w:val="en-GB"/>
              </w:rPr>
              <w:tab/>
            </w:r>
          </w:p>
        </w:tc>
      </w:tr>
      <w:tr w:rsidR="003478FC" w:rsidRPr="003478FC" w14:paraId="30251CBF" w14:textId="77777777" w:rsidTr="00316818">
        <w:tc>
          <w:tcPr>
            <w:tcW w:w="4675" w:type="dxa"/>
            <w:tcBorders>
              <w:top w:val="single" w:sz="4" w:space="0" w:color="auto"/>
              <w:bottom w:val="single" w:sz="4" w:space="0" w:color="auto"/>
            </w:tcBorders>
            <w:shd w:val="clear" w:color="auto" w:fill="auto"/>
            <w:vAlign w:val="center"/>
          </w:tcPr>
          <w:p w14:paraId="55E15D53"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lastRenderedPageBreak/>
              <w:t>TERPINENE-4-OL</w:t>
            </w:r>
          </w:p>
        </w:tc>
        <w:tc>
          <w:tcPr>
            <w:tcW w:w="4675" w:type="dxa"/>
            <w:tcBorders>
              <w:top w:val="single" w:sz="4" w:space="0" w:color="auto"/>
              <w:bottom w:val="single" w:sz="4" w:space="0" w:color="auto"/>
            </w:tcBorders>
          </w:tcPr>
          <w:p w14:paraId="41C62CD8"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1,8-CINEOLE (0.93, p&lt;0.05)</w:t>
            </w:r>
          </w:p>
          <w:p w14:paraId="6AB31F53"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(-0.63, p&lt;0.05)</w:t>
            </w:r>
          </w:p>
          <w:p w14:paraId="74C5B09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(-0.60, p&lt;0.05)</w:t>
            </w:r>
          </w:p>
          <w:p w14:paraId="5F142084"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LAVANDULOL (0.71, p&lt;0.05)</w:t>
            </w:r>
          </w:p>
          <w:p w14:paraId="22304072"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alpha-TERPINEOL (0.86, p&lt;0.05)</w:t>
            </w:r>
          </w:p>
        </w:tc>
      </w:tr>
      <w:tr w:rsidR="003478FC" w:rsidRPr="003478FC" w14:paraId="23C38DCA" w14:textId="77777777" w:rsidTr="00316818">
        <w:tc>
          <w:tcPr>
            <w:tcW w:w="4675" w:type="dxa"/>
            <w:tcBorders>
              <w:top w:val="single" w:sz="4" w:space="0" w:color="auto"/>
              <w:bottom w:val="single" w:sz="4" w:space="0" w:color="auto"/>
            </w:tcBorders>
            <w:shd w:val="clear" w:color="auto" w:fill="auto"/>
            <w:vAlign w:val="center"/>
          </w:tcPr>
          <w:p w14:paraId="1ACCA23B"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LAVANDULYL ACETATE</w:t>
            </w:r>
          </w:p>
        </w:tc>
        <w:tc>
          <w:tcPr>
            <w:tcW w:w="4675" w:type="dxa"/>
            <w:tcBorders>
              <w:top w:val="single" w:sz="4" w:space="0" w:color="auto"/>
              <w:bottom w:val="single" w:sz="4" w:space="0" w:color="auto"/>
            </w:tcBorders>
            <w:vAlign w:val="center"/>
          </w:tcPr>
          <w:p w14:paraId="377878EB" w14:textId="77777777" w:rsidR="003478FC" w:rsidRPr="003478FC" w:rsidRDefault="003478FC" w:rsidP="003478FC">
            <w:pPr>
              <w:rPr>
                <w:rFonts w:ascii="Arial" w:hAnsi="Arial" w:cs="Arial"/>
                <w:color w:val="000000"/>
                <w:sz w:val="20"/>
                <w:szCs w:val="20"/>
              </w:rPr>
            </w:pPr>
            <w:r w:rsidRPr="003478FC">
              <w:rPr>
                <w:rFonts w:ascii="Arial" w:hAnsi="Arial" w:cs="Arial"/>
                <w:color w:val="000000"/>
                <w:sz w:val="20"/>
                <w:szCs w:val="20"/>
              </w:rPr>
              <w:t xml:space="preserve">LINALOOL/LINALYL ACETATE </w:t>
            </w:r>
            <w:r w:rsidRPr="003478FC">
              <w:rPr>
                <w:rFonts w:ascii="Arial" w:hAnsi="Arial" w:cs="Arial"/>
                <w:sz w:val="20"/>
                <w:szCs w:val="20"/>
              </w:rPr>
              <w:t>(0.67, p&lt;0.05)</w:t>
            </w:r>
          </w:p>
        </w:tc>
      </w:tr>
      <w:tr w:rsidR="003478FC" w:rsidRPr="003478FC" w14:paraId="3395F453" w14:textId="77777777" w:rsidTr="00316818">
        <w:tc>
          <w:tcPr>
            <w:tcW w:w="4675" w:type="dxa"/>
            <w:tcBorders>
              <w:top w:val="single" w:sz="4" w:space="0" w:color="auto"/>
              <w:bottom w:val="single" w:sz="4" w:space="0" w:color="auto"/>
            </w:tcBorders>
            <w:shd w:val="clear" w:color="auto" w:fill="auto"/>
            <w:vAlign w:val="center"/>
          </w:tcPr>
          <w:p w14:paraId="20233DA0"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LAVANDULOL</w:t>
            </w:r>
          </w:p>
        </w:tc>
        <w:tc>
          <w:tcPr>
            <w:tcW w:w="4675" w:type="dxa"/>
            <w:tcBorders>
              <w:top w:val="single" w:sz="4" w:space="0" w:color="auto"/>
              <w:bottom w:val="single" w:sz="4" w:space="0" w:color="auto"/>
            </w:tcBorders>
          </w:tcPr>
          <w:p w14:paraId="02FFE24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LIMONENE (0.77, p&lt;0.05)</w:t>
            </w:r>
          </w:p>
          <w:p w14:paraId="2D990F7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1,8-CINEOLE (0.68, p&lt;0.05)</w:t>
            </w:r>
          </w:p>
          <w:p w14:paraId="63F244BB"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(-0.96, p&lt;0.01)</w:t>
            </w:r>
          </w:p>
          <w:p w14:paraId="6043B33E"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(-0.97, p&lt;0.01)</w:t>
            </w:r>
          </w:p>
          <w:p w14:paraId="20402E4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3-OCTANONE (0.72, p&lt;0.05)</w:t>
            </w:r>
          </w:p>
          <w:p w14:paraId="593C7B69"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TERPINENE-4-OL (0.71, p&lt;0.05)</w:t>
            </w:r>
          </w:p>
          <w:p w14:paraId="005763A2"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alpha-TERPINEOL (0.84, p&lt;0.05)</w:t>
            </w:r>
          </w:p>
        </w:tc>
      </w:tr>
      <w:tr w:rsidR="003478FC" w:rsidRPr="003478FC" w14:paraId="7FDB1841" w14:textId="77777777" w:rsidTr="00316818">
        <w:tc>
          <w:tcPr>
            <w:tcW w:w="4675" w:type="dxa"/>
            <w:tcBorders>
              <w:top w:val="single" w:sz="4" w:space="0" w:color="auto"/>
              <w:bottom w:val="single" w:sz="4" w:space="0" w:color="auto"/>
            </w:tcBorders>
            <w:shd w:val="clear" w:color="auto" w:fill="auto"/>
            <w:vAlign w:val="center"/>
          </w:tcPr>
          <w:p w14:paraId="1ACAF005" w14:textId="77777777" w:rsidR="003478FC" w:rsidRPr="003478FC" w:rsidRDefault="003478FC" w:rsidP="003478FC">
            <w:pPr>
              <w:jc w:val="center"/>
              <w:rPr>
                <w:rFonts w:ascii="Arial" w:hAnsi="Arial" w:cs="Arial"/>
                <w:sz w:val="20"/>
                <w:szCs w:val="20"/>
              </w:rPr>
            </w:pPr>
            <w:r w:rsidRPr="003478FC">
              <w:rPr>
                <w:rFonts w:ascii="Arial" w:hAnsi="Arial" w:cs="Arial"/>
                <w:color w:val="000000"/>
                <w:sz w:val="20"/>
                <w:szCs w:val="20"/>
              </w:rPr>
              <w:t>alpha-TERPINEOL</w:t>
            </w:r>
          </w:p>
        </w:tc>
        <w:tc>
          <w:tcPr>
            <w:tcW w:w="4675" w:type="dxa"/>
            <w:tcBorders>
              <w:top w:val="single" w:sz="4" w:space="0" w:color="auto"/>
              <w:bottom w:val="single" w:sz="4" w:space="0" w:color="auto"/>
            </w:tcBorders>
          </w:tcPr>
          <w:p w14:paraId="7666A5D6"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1,8-CINEOLE (0.92, p&lt;0.05)</w:t>
            </w:r>
          </w:p>
          <w:p w14:paraId="5AF5018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cis-beta-OCIMENE (-0.75, p&lt;0.05)</w:t>
            </w:r>
            <w:r w:rsidRPr="003478FC">
              <w:rPr>
                <w:rFonts w:ascii="Arial" w:hAnsi="Arial" w:cs="Arial"/>
                <w:sz w:val="20"/>
                <w:szCs w:val="20"/>
                <w:lang w:val="en-GB"/>
              </w:rPr>
              <w:tab/>
            </w:r>
          </w:p>
          <w:p w14:paraId="0448320C"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trans-beta-OCIMENE (-0.83, p&lt;0.05)</w:t>
            </w:r>
          </w:p>
          <w:p w14:paraId="60B4AAF5" w14:textId="77777777" w:rsidR="003478FC" w:rsidRPr="003478FC" w:rsidRDefault="003478FC" w:rsidP="003478FC">
            <w:pPr>
              <w:jc w:val="both"/>
              <w:rPr>
                <w:rFonts w:ascii="Arial" w:hAnsi="Arial" w:cs="Arial"/>
                <w:sz w:val="20"/>
                <w:szCs w:val="20"/>
                <w:lang w:val="en-GB"/>
              </w:rPr>
            </w:pPr>
            <w:r w:rsidRPr="003478FC">
              <w:rPr>
                <w:rFonts w:ascii="Arial" w:hAnsi="Arial" w:cs="Arial"/>
                <w:sz w:val="20"/>
                <w:szCs w:val="20"/>
                <w:lang w:val="en-GB"/>
              </w:rPr>
              <w:t>TERPINENE-4-OL (0.86, p&lt;0.05)</w:t>
            </w:r>
          </w:p>
          <w:p w14:paraId="0E0F667A" w14:textId="77777777" w:rsidR="003478FC" w:rsidRPr="003478FC" w:rsidRDefault="003478FC" w:rsidP="003478FC">
            <w:pPr>
              <w:jc w:val="both"/>
              <w:rPr>
                <w:rFonts w:ascii="Arial" w:hAnsi="Arial" w:cs="Arial"/>
                <w:sz w:val="20"/>
                <w:szCs w:val="20"/>
              </w:rPr>
            </w:pPr>
            <w:r w:rsidRPr="003478FC">
              <w:rPr>
                <w:rFonts w:ascii="Arial" w:hAnsi="Arial" w:cs="Arial"/>
                <w:sz w:val="20"/>
                <w:szCs w:val="20"/>
              </w:rPr>
              <w:t>LAVANDULOL (0.84, p&lt;0.05)</w:t>
            </w:r>
          </w:p>
        </w:tc>
      </w:tr>
    </w:tbl>
    <w:p w14:paraId="133E6FD3" w14:textId="77777777" w:rsidR="00976CCF" w:rsidRPr="00976CCF" w:rsidRDefault="00976CCF" w:rsidP="00976CCF">
      <w:pPr>
        <w:pStyle w:val="Body"/>
        <w:rPr>
          <w:rFonts w:ascii="Arial" w:hAnsi="Arial" w:cs="Arial"/>
        </w:rPr>
      </w:pPr>
    </w:p>
    <w:p w14:paraId="5D54AF04" w14:textId="77777777" w:rsidR="00121CEF" w:rsidRPr="00D81482" w:rsidRDefault="00976CCF" w:rsidP="00121CEF">
      <w:pPr>
        <w:pStyle w:val="Body"/>
        <w:rPr>
          <w:rFonts w:ascii="Arial" w:hAnsi="Arial" w:cs="Arial"/>
          <w:b/>
          <w:sz w:val="22"/>
          <w:szCs w:val="22"/>
        </w:rPr>
      </w:pPr>
      <w:r w:rsidRPr="00D81482">
        <w:rPr>
          <w:rFonts w:ascii="Arial" w:hAnsi="Arial" w:cs="Arial"/>
          <w:b/>
          <w:sz w:val="22"/>
          <w:szCs w:val="22"/>
        </w:rPr>
        <w:t xml:space="preserve"> </w:t>
      </w:r>
      <w:r w:rsidR="00C30A0F" w:rsidRPr="00D81482">
        <w:rPr>
          <w:rFonts w:ascii="Arial" w:hAnsi="Arial" w:cs="Arial"/>
          <w:b/>
          <w:sz w:val="22"/>
          <w:szCs w:val="22"/>
        </w:rPr>
        <w:t xml:space="preserve"> </w:t>
      </w:r>
      <w:r w:rsidR="00121CEF" w:rsidRPr="00D81482">
        <w:rPr>
          <w:rFonts w:ascii="Arial" w:hAnsi="Arial" w:cs="Arial"/>
          <w:b/>
          <w:sz w:val="22"/>
          <w:szCs w:val="22"/>
        </w:rPr>
        <w:t>4. Discussion</w:t>
      </w:r>
    </w:p>
    <w:p w14:paraId="14CB2398" w14:textId="77777777" w:rsidR="00121CEF" w:rsidRPr="00121CEF" w:rsidRDefault="00121CEF" w:rsidP="00121CEF">
      <w:pPr>
        <w:pStyle w:val="Body"/>
        <w:rPr>
          <w:rFonts w:ascii="Arial" w:hAnsi="Arial" w:cs="Arial"/>
        </w:rPr>
      </w:pPr>
      <w:r w:rsidRPr="00121CEF">
        <w:rPr>
          <w:rFonts w:ascii="Arial" w:hAnsi="Arial" w:cs="Arial"/>
        </w:rPr>
        <w:t xml:space="preserve">Previous studies have reported that lavender oil quality is influenced by weather conditions during harvest, geographic locations [20] and weather conditions during the flowering period [21]. This study explored how remotely sensed crop characteristics, such as NDVI and NDWI, affect lavender EO and how these indices are influenced by weather conditions. It is important to note that previous research has proved that EO concentration is mainly affected by site-associated factors [43, 44, 45]. Additionally, precipitation has found to play an important role in the concentrations of EO components in many plants [46]. Consistent with these findings, this study demonstrated that precipitation levels influenced lavender EO production. </w:t>
      </w:r>
      <w:proofErr w:type="gramStart"/>
      <w:r w:rsidRPr="00121CEF">
        <w:rPr>
          <w:rFonts w:ascii="Arial" w:hAnsi="Arial" w:cs="Arial"/>
        </w:rPr>
        <w:t>Specifically</w:t>
      </w:r>
      <w:proofErr w:type="gramEnd"/>
      <w:r w:rsidRPr="00121CEF">
        <w:rPr>
          <w:rFonts w:ascii="Arial" w:hAnsi="Arial" w:cs="Arial"/>
        </w:rPr>
        <w:t xml:space="preserve"> higher precipitation levels corresponded to increased EO yield, while lower precipitation resulted in reduced yields. It is also important to note that no precipitation occurred in the 10 to 15 days preceding harvest each year. If precipitation had occurred during this period, the results might have been different, as previous studies have reported a reduction in oil content in rose and Eucalyptus citriodora when rainfall occurs during the harvest period [2]. </w:t>
      </w:r>
    </w:p>
    <w:p w14:paraId="50212A5A" w14:textId="77777777" w:rsidR="00121CEF" w:rsidRPr="00121CEF" w:rsidRDefault="00121CEF" w:rsidP="00121CEF">
      <w:pPr>
        <w:pStyle w:val="Body"/>
        <w:rPr>
          <w:rFonts w:ascii="Arial" w:hAnsi="Arial" w:cs="Arial"/>
        </w:rPr>
      </w:pPr>
      <w:r w:rsidRPr="00121CEF">
        <w:rPr>
          <w:rFonts w:ascii="Arial" w:hAnsi="Arial" w:cs="Arial"/>
        </w:rPr>
        <w:t xml:space="preserve">In addition to EO yield, lavender oil quality was also influenced by precipitation. For instance, linalool, the major compound of lavender oil, showed a significant negative correlation with total amount of precipitation. Levels. A similar pattern was observed for limonene, 3-octanon and </w:t>
      </w:r>
      <w:proofErr w:type="spellStart"/>
      <w:r w:rsidRPr="00121CEF">
        <w:rPr>
          <w:rFonts w:ascii="Arial" w:hAnsi="Arial" w:cs="Arial"/>
        </w:rPr>
        <w:t>lavandulol</w:t>
      </w:r>
      <w:proofErr w:type="spellEnd"/>
      <w:r w:rsidRPr="00121CEF">
        <w:rPr>
          <w:rFonts w:ascii="Arial" w:hAnsi="Arial" w:cs="Arial"/>
        </w:rPr>
        <w:t xml:space="preserve"> concentrations. In contrast, studies on Thymus vulgaris have reported that at moderate altitudes, where precipitation is higher, linalool content tends to increase [47, 48]. Furthermore, in the current study, linalyl acetate concentration was found to be significantly positive correlated with precipitation. However, previous research has suggested that linalyl acetate is not influenced by environmental factors [21]. A similar pattern was also observed for camphor, cis-beta-ocimene and trans-beta-ocimene.</w:t>
      </w:r>
    </w:p>
    <w:p w14:paraId="23629803" w14:textId="77777777" w:rsidR="00121CEF" w:rsidRPr="00121CEF" w:rsidRDefault="00121CEF" w:rsidP="00121CEF">
      <w:pPr>
        <w:pStyle w:val="Body"/>
        <w:rPr>
          <w:rFonts w:ascii="Arial" w:hAnsi="Arial" w:cs="Arial"/>
        </w:rPr>
      </w:pPr>
      <w:r w:rsidRPr="00121CEF">
        <w:rPr>
          <w:rFonts w:ascii="Arial" w:hAnsi="Arial" w:cs="Arial"/>
        </w:rPr>
        <w:lastRenderedPageBreak/>
        <w:t xml:space="preserve">Regarding NDVI previous studies have shown a significant positive correlation between NDVI and both precipitation and temperature across a </w:t>
      </w:r>
      <w:proofErr w:type="gramStart"/>
      <w:r w:rsidRPr="00121CEF">
        <w:rPr>
          <w:rFonts w:ascii="Arial" w:hAnsi="Arial" w:cs="Arial"/>
        </w:rPr>
        <w:t>various types of vegetation</w:t>
      </w:r>
      <w:proofErr w:type="gramEnd"/>
      <w:r w:rsidRPr="00121CEF">
        <w:rPr>
          <w:rFonts w:ascii="Arial" w:hAnsi="Arial" w:cs="Arial"/>
        </w:rPr>
        <w:t xml:space="preserve"> [49]. However, this study found that NDVI is negatively correlated with temperature and not correlated with precipitation. Additionally, NDVI was found to be positively correlated with solar radiation and negatively correlated with temperature at dew point. Regarding NDWI large-scale vegetation studies have indicated an inverse relationship with temperature and a positive relationship with precipitation [50]. Similarly, this study confirmed that NDWI is significantly negatively correlated with daily average temperature, solar radiation and dew point temperature, while showing a significant positive correlation with precipitation and relative humidity.</w:t>
      </w:r>
    </w:p>
    <w:p w14:paraId="186E7259" w14:textId="77777777" w:rsidR="00121CEF" w:rsidRPr="00121CEF" w:rsidRDefault="00121CEF" w:rsidP="00121CEF">
      <w:pPr>
        <w:pStyle w:val="Body"/>
        <w:rPr>
          <w:rFonts w:ascii="Arial" w:hAnsi="Arial" w:cs="Arial"/>
        </w:rPr>
      </w:pPr>
      <w:r w:rsidRPr="00121CEF">
        <w:rPr>
          <w:rFonts w:ascii="Arial" w:hAnsi="Arial" w:cs="Arial"/>
        </w:rPr>
        <w:t xml:space="preserve">In addition to NDVI and weather parameters, the concentrations of EO components were also affected by NDVI. Specifically, NDVI showed a significant positive correlation with cis-beta-OCIMENE, trans-beta-OCIMENE, and </w:t>
      </w:r>
      <w:proofErr w:type="spellStart"/>
      <w:r w:rsidRPr="00121CEF">
        <w:rPr>
          <w:rFonts w:ascii="Arial" w:hAnsi="Arial" w:cs="Arial"/>
        </w:rPr>
        <w:t>Lavandulyl</w:t>
      </w:r>
      <w:proofErr w:type="spellEnd"/>
      <w:r w:rsidRPr="00121CEF">
        <w:rPr>
          <w:rFonts w:ascii="Arial" w:hAnsi="Arial" w:cs="Arial"/>
        </w:rPr>
        <w:t xml:space="preserve"> Acetate, while displaying a significant negative correlation with Limonene, 1,8-CINEOLE, TERPINENE-4-OL, LAVANDULOL and alpha-TERPINEOL. On the other hand, the NDWI was significantly positively correlated only with cis-beta-OCIMENE, whereas it was significantly negatively correlated with 1,8-CINEOLE, TERPINENE-4-OL, </w:t>
      </w:r>
      <w:proofErr w:type="spellStart"/>
      <w:r w:rsidRPr="00121CEF">
        <w:rPr>
          <w:rFonts w:ascii="Arial" w:hAnsi="Arial" w:cs="Arial"/>
        </w:rPr>
        <w:t>Lavandulyl</w:t>
      </w:r>
      <w:proofErr w:type="spellEnd"/>
      <w:r w:rsidRPr="00121CEF">
        <w:rPr>
          <w:rFonts w:ascii="Arial" w:hAnsi="Arial" w:cs="Arial"/>
        </w:rPr>
        <w:t xml:space="preserve"> Acetate, </w:t>
      </w:r>
      <w:proofErr w:type="spellStart"/>
      <w:r w:rsidRPr="00121CEF">
        <w:rPr>
          <w:rFonts w:ascii="Arial" w:hAnsi="Arial" w:cs="Arial"/>
        </w:rPr>
        <w:t>Lavandulol</w:t>
      </w:r>
      <w:proofErr w:type="spellEnd"/>
      <w:r w:rsidRPr="00121CEF">
        <w:rPr>
          <w:rFonts w:ascii="Arial" w:hAnsi="Arial" w:cs="Arial"/>
        </w:rPr>
        <w:t xml:space="preserve"> and alpha-TERPINEOL. All these components associated with NDVI and NDWI are considered minor components in terms of EO quality assessment. However, the major EO components (</w:t>
      </w:r>
      <w:proofErr w:type="spellStart"/>
      <w:r w:rsidRPr="00121CEF">
        <w:rPr>
          <w:rFonts w:ascii="Arial" w:hAnsi="Arial" w:cs="Arial"/>
        </w:rPr>
        <w:t>linanool</w:t>
      </w:r>
      <w:proofErr w:type="spellEnd"/>
      <w:r w:rsidRPr="00121CEF">
        <w:rPr>
          <w:rFonts w:ascii="Arial" w:hAnsi="Arial" w:cs="Arial"/>
        </w:rPr>
        <w:t xml:space="preserve"> and linalyl acetate) were not correlated with either NDVI or NDWI. Notably, no similar studies exist in the literature for direct comparison of these findings.  </w:t>
      </w:r>
    </w:p>
    <w:p w14:paraId="60259034" w14:textId="77777777" w:rsidR="00C30A0F" w:rsidRDefault="00121CEF" w:rsidP="00121CEF">
      <w:pPr>
        <w:pStyle w:val="Body"/>
        <w:spacing w:after="0"/>
        <w:rPr>
          <w:rFonts w:ascii="Arial" w:hAnsi="Arial" w:cs="Arial"/>
        </w:rPr>
      </w:pPr>
      <w:r w:rsidRPr="00121CEF">
        <w:rPr>
          <w:rFonts w:ascii="Arial" w:hAnsi="Arial" w:cs="Arial"/>
        </w:rPr>
        <w:t xml:space="preserve">The analysis of correlations among EO components revealed both negative and positive significant relationships. Specifically, linalool, one of the main EO components showed a significant positive correlation with 3-octanon and </w:t>
      </w:r>
      <w:proofErr w:type="spellStart"/>
      <w:r w:rsidRPr="00121CEF">
        <w:rPr>
          <w:rFonts w:ascii="Arial" w:hAnsi="Arial" w:cs="Arial"/>
        </w:rPr>
        <w:t>lavandulyl</w:t>
      </w:r>
      <w:proofErr w:type="spellEnd"/>
      <w:r w:rsidRPr="00121CEF">
        <w:rPr>
          <w:rFonts w:ascii="Arial" w:hAnsi="Arial" w:cs="Arial"/>
        </w:rPr>
        <w:t xml:space="preserve"> acetate, while showing a significant negative correlation with cis-beta-ocimene and linalyl acetate. Conversely, linalyl acetate, the second important EO component was significantly positively correlated with camphor and significantly negatively correlated with limonene, 3-octanone and linalool. According to previous studies, high quality lavender oil is characterized by high levels of linalool and linalyl acetate, with minimal to moderate amounts of 1.8 cineole and camphor [51]. However, in our case achieving high levels of linalool and linalyl acetate at the same time appears challenging, as the results indicate a significant negative correlation between these two key components. This could be attributed to the conversion of linalool to linalyl acetate. Linalool is produced from the monoterpene synthase </w:t>
      </w:r>
      <w:proofErr w:type="spellStart"/>
      <w:r w:rsidRPr="00121CEF">
        <w:rPr>
          <w:rFonts w:ascii="Arial" w:hAnsi="Arial" w:cs="Arial"/>
        </w:rPr>
        <w:t>LaLINS</w:t>
      </w:r>
      <w:proofErr w:type="spellEnd"/>
      <w:r w:rsidRPr="00121CEF">
        <w:rPr>
          <w:rFonts w:ascii="Arial" w:hAnsi="Arial" w:cs="Arial"/>
        </w:rPr>
        <w:t xml:space="preserve"> in L. angustifolia while the linalool to linalyl acetate ratio is controlled through a single quantitative trait locus on chromosome 8 of the lavender reference genome [16, 52]. The expression of </w:t>
      </w:r>
      <w:proofErr w:type="spellStart"/>
      <w:r w:rsidRPr="00121CEF">
        <w:rPr>
          <w:rFonts w:ascii="Arial" w:hAnsi="Arial" w:cs="Arial"/>
        </w:rPr>
        <w:t>LaLINS</w:t>
      </w:r>
      <w:proofErr w:type="spellEnd"/>
      <w:r w:rsidRPr="00121CEF">
        <w:rPr>
          <w:rFonts w:ascii="Arial" w:hAnsi="Arial" w:cs="Arial"/>
        </w:rPr>
        <w:t xml:space="preserve"> is at the highest level during the flowering period while </w:t>
      </w:r>
      <w:proofErr w:type="spellStart"/>
      <w:r w:rsidRPr="00121CEF">
        <w:rPr>
          <w:rFonts w:ascii="Arial" w:hAnsi="Arial" w:cs="Arial"/>
        </w:rPr>
        <w:t>LaLIMS</w:t>
      </w:r>
      <w:proofErr w:type="spellEnd"/>
      <w:r w:rsidRPr="00121CEF">
        <w:rPr>
          <w:rFonts w:ascii="Arial" w:hAnsi="Arial" w:cs="Arial"/>
        </w:rPr>
        <w:t>, which is responsible for the production of limonene and several other terpenes such as 1,8-cineole and ocimene, is downregulated during full bloom [18].</w:t>
      </w:r>
    </w:p>
    <w:p w14:paraId="1C1A0CDC" w14:textId="77777777" w:rsidR="00E053D0" w:rsidRDefault="00E053D0" w:rsidP="00441B6F">
      <w:pPr>
        <w:pStyle w:val="Body"/>
        <w:spacing w:after="0"/>
        <w:rPr>
          <w:rFonts w:ascii="Arial" w:hAnsi="Arial" w:cs="Arial"/>
        </w:rPr>
      </w:pPr>
    </w:p>
    <w:p w14:paraId="2E6C11F7" w14:textId="77777777" w:rsidR="00790ADA" w:rsidRPr="00FB3A86" w:rsidRDefault="00790ADA" w:rsidP="00441B6F">
      <w:pPr>
        <w:pStyle w:val="Body"/>
        <w:spacing w:after="0"/>
        <w:rPr>
          <w:rFonts w:ascii="Arial" w:hAnsi="Arial" w:cs="Arial"/>
        </w:rPr>
      </w:pPr>
    </w:p>
    <w:p w14:paraId="02F9F37F" w14:textId="77777777" w:rsidR="00B01FCD" w:rsidRDefault="00D8148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FEFC8B" w14:textId="77777777" w:rsidR="00790ADA" w:rsidRPr="00FB3A86" w:rsidRDefault="00790ADA" w:rsidP="00441B6F">
      <w:pPr>
        <w:pStyle w:val="ConcHead"/>
        <w:spacing w:after="0"/>
        <w:jc w:val="both"/>
        <w:rPr>
          <w:rFonts w:ascii="Arial" w:hAnsi="Arial" w:cs="Arial"/>
        </w:rPr>
      </w:pPr>
    </w:p>
    <w:p w14:paraId="562B3D2F" w14:textId="77777777" w:rsidR="00790ADA" w:rsidRDefault="00D81482" w:rsidP="00441B6F">
      <w:pPr>
        <w:pStyle w:val="Body"/>
        <w:spacing w:after="0"/>
        <w:rPr>
          <w:rFonts w:ascii="Arial" w:hAnsi="Arial" w:cs="Arial"/>
        </w:rPr>
      </w:pPr>
      <w:r w:rsidRPr="00D81482">
        <w:rPr>
          <w:rFonts w:ascii="Arial" w:hAnsi="Arial" w:cs="Arial"/>
        </w:rPr>
        <w:t xml:space="preserve">The current five years’ work studied the effect of environmental factors on </w:t>
      </w:r>
      <w:proofErr w:type="spellStart"/>
      <w:r w:rsidRPr="00D81482">
        <w:rPr>
          <w:rFonts w:ascii="Arial" w:hAnsi="Arial" w:cs="Arial"/>
        </w:rPr>
        <w:t>levander</w:t>
      </w:r>
      <w:proofErr w:type="spellEnd"/>
      <w:r w:rsidRPr="00D81482">
        <w:rPr>
          <w:rFonts w:ascii="Arial" w:hAnsi="Arial" w:cs="Arial"/>
        </w:rPr>
        <w:t xml:space="preserve"> oil quality. Thus, remotely sensed weather data and indices such as NDVI and NDWI were acquired from online sources from 2019 to 2023. The comparison of both indices with weather data proved that NDVI is significantly positive correlated with relative humidity and negative significantly correlated with solar radiation, and daily average temperature. On the other hand, NDWI is significantly positive correlated with precipitations and relative humidity, while is significantly negative correlated with daily average temperature, dew point temperature and solar radiation. The statistical analysis between indices and EO quality showed that NDVI is significantly positive correlated with cis-beta-OCIMENE, trans-beta-OCIMENE, and </w:t>
      </w:r>
      <w:proofErr w:type="spellStart"/>
      <w:r w:rsidRPr="00D81482">
        <w:rPr>
          <w:rFonts w:ascii="Arial" w:hAnsi="Arial" w:cs="Arial"/>
        </w:rPr>
        <w:t>Lavandulyl</w:t>
      </w:r>
      <w:proofErr w:type="spellEnd"/>
      <w:r w:rsidRPr="00D81482">
        <w:rPr>
          <w:rFonts w:ascii="Arial" w:hAnsi="Arial" w:cs="Arial"/>
        </w:rPr>
        <w:t xml:space="preserve"> Acetate and significantly negative correlated with Limonene, 1,8-CINEOLE, TERPINENE-4-OL, </w:t>
      </w:r>
      <w:r w:rsidRPr="00D81482">
        <w:rPr>
          <w:rFonts w:ascii="Arial" w:hAnsi="Arial" w:cs="Arial"/>
        </w:rPr>
        <w:lastRenderedPageBreak/>
        <w:t xml:space="preserve">LAVANDULOL and alpha-TERPINEOL. NDWI was significantly positive correlated only with cis-beta-OCIMENE and significantly negative correlated with 1,8-CINEOLE, TERPINENE-4-OL, </w:t>
      </w:r>
      <w:proofErr w:type="spellStart"/>
      <w:r w:rsidRPr="00D81482">
        <w:rPr>
          <w:rFonts w:ascii="Arial" w:hAnsi="Arial" w:cs="Arial"/>
        </w:rPr>
        <w:t>Lavandulyl</w:t>
      </w:r>
      <w:proofErr w:type="spellEnd"/>
      <w:r w:rsidRPr="00D81482">
        <w:rPr>
          <w:rFonts w:ascii="Arial" w:hAnsi="Arial" w:cs="Arial"/>
        </w:rPr>
        <w:t xml:space="preserve"> Acetate, </w:t>
      </w:r>
      <w:proofErr w:type="spellStart"/>
      <w:r w:rsidRPr="00D81482">
        <w:rPr>
          <w:rFonts w:ascii="Arial" w:hAnsi="Arial" w:cs="Arial"/>
        </w:rPr>
        <w:t>Lavandulol</w:t>
      </w:r>
      <w:proofErr w:type="spellEnd"/>
      <w:r w:rsidRPr="00D81482">
        <w:rPr>
          <w:rFonts w:ascii="Arial" w:hAnsi="Arial" w:cs="Arial"/>
        </w:rPr>
        <w:t xml:space="preserve"> and alpha-TERPINEOL. These results underscore the importance of using remotely sensed data in medicinal plants to understand how environmental factors affect EO quality and predict the EO quality before harvest. Furthermore, based on these findings, it is possible to better assess the impacts the climate change on lavender production and EO quality.</w:t>
      </w:r>
    </w:p>
    <w:p w14:paraId="53D71900" w14:textId="77777777" w:rsidR="00315186" w:rsidRPr="00315186" w:rsidRDefault="00315186" w:rsidP="00441B6F"/>
    <w:p w14:paraId="271AE665" w14:textId="77777777" w:rsidR="00860000" w:rsidRDefault="00860000" w:rsidP="00441B6F">
      <w:pPr>
        <w:pStyle w:val="ReferHead"/>
        <w:spacing w:after="0"/>
        <w:jc w:val="both"/>
        <w:rPr>
          <w:rFonts w:ascii="Arial" w:hAnsi="Arial" w:cs="Arial"/>
        </w:rPr>
      </w:pPr>
      <w:bookmarkStart w:id="0" w:name="_GoBack"/>
      <w:bookmarkEnd w:id="0"/>
    </w:p>
    <w:p w14:paraId="4E0589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753705" w14:textId="77777777" w:rsidR="00D81482" w:rsidRDefault="00D81482" w:rsidP="00441B6F">
      <w:pPr>
        <w:pStyle w:val="ReferHead"/>
        <w:spacing w:after="0"/>
        <w:jc w:val="both"/>
        <w:rPr>
          <w:rFonts w:ascii="Arial" w:hAnsi="Arial" w:cs="Arial"/>
        </w:rPr>
      </w:pPr>
    </w:p>
    <w:p w14:paraId="3CCC854C"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 Upson, T.; Andrews, S. The genus Lavandula, </w:t>
      </w:r>
      <w:r w:rsidRPr="00D81482">
        <w:rPr>
          <w:rFonts w:ascii="Arial" w:hAnsi="Arial" w:cs="Arial"/>
          <w:i/>
        </w:rPr>
        <w:t>Royal Botanic Gardens</w:t>
      </w:r>
      <w:r w:rsidRPr="00D81482">
        <w:rPr>
          <w:rFonts w:ascii="Arial" w:hAnsi="Arial" w:cs="Arial"/>
        </w:rPr>
        <w:t xml:space="preserve">, </w:t>
      </w:r>
      <w:r w:rsidRPr="00D81482">
        <w:rPr>
          <w:rFonts w:ascii="Arial" w:hAnsi="Arial" w:cs="Arial"/>
          <w:b/>
        </w:rPr>
        <w:t>2004</w:t>
      </w:r>
      <w:r w:rsidRPr="00D81482">
        <w:rPr>
          <w:rFonts w:ascii="Arial" w:hAnsi="Arial" w:cs="Arial"/>
        </w:rPr>
        <w:t>, Kew.</w:t>
      </w:r>
    </w:p>
    <w:p w14:paraId="0D227D3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 Weiss, E.A. Essential Oil Crops. CAB International, </w:t>
      </w:r>
      <w:r w:rsidRPr="00D81482">
        <w:rPr>
          <w:rFonts w:ascii="Arial" w:hAnsi="Arial" w:cs="Arial"/>
          <w:b/>
        </w:rPr>
        <w:t>1997</w:t>
      </w:r>
      <w:r w:rsidRPr="00D81482">
        <w:rPr>
          <w:rFonts w:ascii="Arial" w:hAnsi="Arial" w:cs="Arial"/>
        </w:rPr>
        <w:t xml:space="preserve">, New York, USA. </w:t>
      </w:r>
    </w:p>
    <w:p w14:paraId="7F2A8131"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 Kageyama, A.; Ueno, T.; Oshio, M.; Masuda, H.; Horiuchi, H.; </w:t>
      </w:r>
      <w:proofErr w:type="spellStart"/>
      <w:r w:rsidRPr="00D81482">
        <w:rPr>
          <w:rFonts w:ascii="Arial" w:hAnsi="Arial" w:cs="Arial"/>
        </w:rPr>
        <w:t>Yokogoshi</w:t>
      </w:r>
      <w:proofErr w:type="spellEnd"/>
      <w:r w:rsidRPr="00D81482">
        <w:rPr>
          <w:rFonts w:ascii="Arial" w:hAnsi="Arial" w:cs="Arial"/>
        </w:rPr>
        <w:t xml:space="preserve">, H. Antidepressant-like effects of an aqueous extract of lavender (Lavandula angustifolia Mill) in rats. </w:t>
      </w:r>
      <w:r w:rsidRPr="00D81482">
        <w:rPr>
          <w:rFonts w:ascii="Arial" w:hAnsi="Arial" w:cs="Arial"/>
          <w:i/>
        </w:rPr>
        <w:t>Food Sci. Technol. Res</w:t>
      </w:r>
      <w:r w:rsidRPr="00D81482">
        <w:rPr>
          <w:rFonts w:ascii="Arial" w:hAnsi="Arial" w:cs="Arial"/>
        </w:rPr>
        <w:t xml:space="preserve">., 18, </w:t>
      </w:r>
      <w:r w:rsidRPr="00D81482">
        <w:rPr>
          <w:rFonts w:ascii="Arial" w:hAnsi="Arial" w:cs="Arial"/>
          <w:b/>
        </w:rPr>
        <w:t>2012</w:t>
      </w:r>
      <w:r w:rsidRPr="00D81482">
        <w:rPr>
          <w:rFonts w:ascii="Arial" w:hAnsi="Arial" w:cs="Arial"/>
        </w:rPr>
        <w:t>, pp. 473-479.</w:t>
      </w:r>
    </w:p>
    <w:p w14:paraId="1CAB2951"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4. </w:t>
      </w:r>
      <w:proofErr w:type="spellStart"/>
      <w:r w:rsidRPr="00D81482">
        <w:rPr>
          <w:rFonts w:ascii="Arial" w:hAnsi="Arial" w:cs="Arial"/>
        </w:rPr>
        <w:t>Koulivand</w:t>
      </w:r>
      <w:proofErr w:type="spellEnd"/>
      <w:r w:rsidRPr="00D81482">
        <w:rPr>
          <w:rFonts w:ascii="Arial" w:hAnsi="Arial" w:cs="Arial"/>
        </w:rPr>
        <w:t xml:space="preserve">, P.H.; </w:t>
      </w:r>
      <w:proofErr w:type="spellStart"/>
      <w:r w:rsidRPr="00D81482">
        <w:rPr>
          <w:rFonts w:ascii="Arial" w:hAnsi="Arial" w:cs="Arial"/>
        </w:rPr>
        <w:t>Ghadiri</w:t>
      </w:r>
      <w:proofErr w:type="spellEnd"/>
      <w:r w:rsidRPr="00D81482">
        <w:rPr>
          <w:rFonts w:ascii="Arial" w:hAnsi="Arial" w:cs="Arial"/>
        </w:rPr>
        <w:t xml:space="preserve">, M.K.; Gorji, A. Lavender and the nervous system. </w:t>
      </w:r>
      <w:r w:rsidRPr="00D81482">
        <w:rPr>
          <w:rFonts w:ascii="Arial" w:hAnsi="Arial" w:cs="Arial"/>
          <w:i/>
        </w:rPr>
        <w:t>Evid. Based Complement Alternat. Med.</w:t>
      </w:r>
      <w:r w:rsidRPr="00D81482">
        <w:rPr>
          <w:rFonts w:ascii="Arial" w:hAnsi="Arial" w:cs="Arial"/>
        </w:rPr>
        <w:t xml:space="preserve">, </w:t>
      </w:r>
      <w:r w:rsidRPr="00D81482">
        <w:rPr>
          <w:rFonts w:ascii="Arial" w:hAnsi="Arial" w:cs="Arial"/>
          <w:b/>
        </w:rPr>
        <w:t>2013</w:t>
      </w:r>
      <w:r w:rsidRPr="00D81482">
        <w:rPr>
          <w:rFonts w:ascii="Arial" w:hAnsi="Arial" w:cs="Arial"/>
        </w:rPr>
        <w:t>, p. 681304, 10.1155/2013/681304.</w:t>
      </w:r>
    </w:p>
    <w:p w14:paraId="6D5CCD4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5. </w:t>
      </w:r>
      <w:proofErr w:type="spellStart"/>
      <w:r w:rsidRPr="00D81482">
        <w:rPr>
          <w:rFonts w:ascii="Arial" w:hAnsi="Arial" w:cs="Arial"/>
        </w:rPr>
        <w:t>Kovatcheva</w:t>
      </w:r>
      <w:proofErr w:type="spellEnd"/>
      <w:r w:rsidRPr="00D81482">
        <w:rPr>
          <w:rFonts w:ascii="Arial" w:hAnsi="Arial" w:cs="Arial"/>
        </w:rPr>
        <w:t xml:space="preserve">, A.G.; </w:t>
      </w:r>
      <w:proofErr w:type="spellStart"/>
      <w:r w:rsidRPr="00D81482">
        <w:rPr>
          <w:rFonts w:ascii="Arial" w:hAnsi="Arial" w:cs="Arial"/>
        </w:rPr>
        <w:t>KolevaI</w:t>
      </w:r>
      <w:proofErr w:type="spellEnd"/>
      <w:r w:rsidRPr="00D81482">
        <w:rPr>
          <w:rFonts w:ascii="Arial" w:hAnsi="Arial" w:cs="Arial"/>
        </w:rPr>
        <w:t xml:space="preserve">, L.; Ilieva, M.; Pavlov, A.; </w:t>
      </w:r>
      <w:proofErr w:type="spellStart"/>
      <w:r w:rsidRPr="00D81482">
        <w:rPr>
          <w:rFonts w:ascii="Arial" w:hAnsi="Arial" w:cs="Arial"/>
        </w:rPr>
        <w:t>Mincheva</w:t>
      </w:r>
      <w:proofErr w:type="spellEnd"/>
      <w:r w:rsidRPr="00D81482">
        <w:rPr>
          <w:rFonts w:ascii="Arial" w:hAnsi="Arial" w:cs="Arial"/>
        </w:rPr>
        <w:t xml:space="preserve">, M.; </w:t>
      </w:r>
      <w:proofErr w:type="spellStart"/>
      <w:r w:rsidRPr="00D81482">
        <w:rPr>
          <w:rFonts w:ascii="Arial" w:hAnsi="Arial" w:cs="Arial"/>
        </w:rPr>
        <w:t>Konushlieva</w:t>
      </w:r>
      <w:proofErr w:type="spellEnd"/>
      <w:r w:rsidRPr="00D81482">
        <w:rPr>
          <w:rFonts w:ascii="Arial" w:hAnsi="Arial" w:cs="Arial"/>
        </w:rPr>
        <w:t xml:space="preserve">, M. Antioxidant activity of extract from Lavandula vera M. in cell cultures. </w:t>
      </w:r>
      <w:r w:rsidRPr="00D81482">
        <w:rPr>
          <w:rFonts w:ascii="Arial" w:hAnsi="Arial" w:cs="Arial"/>
          <w:i/>
        </w:rPr>
        <w:t>Food Chem</w:t>
      </w:r>
      <w:r w:rsidRPr="00D81482">
        <w:rPr>
          <w:rFonts w:ascii="Arial" w:hAnsi="Arial" w:cs="Arial"/>
        </w:rPr>
        <w:t>., 72, 2001, pp. 295-300.</w:t>
      </w:r>
    </w:p>
    <w:p w14:paraId="1C3C409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6. </w:t>
      </w:r>
      <w:proofErr w:type="spellStart"/>
      <w:r w:rsidRPr="00D81482">
        <w:rPr>
          <w:rFonts w:ascii="Arial" w:hAnsi="Arial" w:cs="Arial"/>
        </w:rPr>
        <w:t>Piccaglia</w:t>
      </w:r>
      <w:proofErr w:type="spellEnd"/>
      <w:r w:rsidRPr="00D81482">
        <w:rPr>
          <w:rFonts w:ascii="Arial" w:hAnsi="Arial" w:cs="Arial"/>
        </w:rPr>
        <w:t xml:space="preserve">, R. Aromatic plants: a world of </w:t>
      </w:r>
      <w:proofErr w:type="spellStart"/>
      <w:r w:rsidRPr="00D81482">
        <w:rPr>
          <w:rFonts w:ascii="Arial" w:hAnsi="Arial" w:cs="Arial"/>
        </w:rPr>
        <w:t>flavouring</w:t>
      </w:r>
      <w:proofErr w:type="spellEnd"/>
      <w:r w:rsidRPr="00D81482">
        <w:rPr>
          <w:rFonts w:ascii="Arial" w:hAnsi="Arial" w:cs="Arial"/>
        </w:rPr>
        <w:t xml:space="preserve"> compounds. </w:t>
      </w:r>
      <w:proofErr w:type="spellStart"/>
      <w:r w:rsidRPr="00D81482">
        <w:rPr>
          <w:rFonts w:ascii="Arial" w:hAnsi="Arial" w:cs="Arial"/>
          <w:i/>
        </w:rPr>
        <w:t>Agro</w:t>
      </w:r>
      <w:proofErr w:type="spellEnd"/>
      <w:r w:rsidRPr="00D81482">
        <w:rPr>
          <w:rFonts w:ascii="Arial" w:hAnsi="Arial" w:cs="Arial"/>
          <w:i/>
        </w:rPr>
        <w:t xml:space="preserve"> Food Ind. </w:t>
      </w:r>
      <w:proofErr w:type="spellStart"/>
      <w:r w:rsidRPr="00D81482">
        <w:rPr>
          <w:rFonts w:ascii="Arial" w:hAnsi="Arial" w:cs="Arial"/>
          <w:i/>
        </w:rPr>
        <w:t>HiTech</w:t>
      </w:r>
      <w:proofErr w:type="spellEnd"/>
      <w:r w:rsidRPr="00D81482">
        <w:rPr>
          <w:rFonts w:ascii="Arial" w:hAnsi="Arial" w:cs="Arial"/>
        </w:rPr>
        <w:t xml:space="preserve"> 93, </w:t>
      </w:r>
      <w:r w:rsidRPr="00D81482">
        <w:rPr>
          <w:rFonts w:ascii="Arial" w:hAnsi="Arial" w:cs="Arial"/>
          <w:b/>
        </w:rPr>
        <w:t>1998</w:t>
      </w:r>
      <w:r w:rsidRPr="00D81482">
        <w:rPr>
          <w:rFonts w:ascii="Arial" w:hAnsi="Arial" w:cs="Arial"/>
        </w:rPr>
        <w:t>, 12–15.</w:t>
      </w:r>
    </w:p>
    <w:p w14:paraId="4E86970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7. Lis-Balchin. Lavender, the Genus Lavandula. Taylor and Francis, </w:t>
      </w:r>
      <w:r w:rsidRPr="00D81482">
        <w:rPr>
          <w:rFonts w:ascii="Arial" w:hAnsi="Arial" w:cs="Arial"/>
          <w:b/>
        </w:rPr>
        <w:t>2002</w:t>
      </w:r>
      <w:r w:rsidRPr="00D81482">
        <w:rPr>
          <w:rFonts w:ascii="Arial" w:hAnsi="Arial" w:cs="Arial"/>
        </w:rPr>
        <w:t>, pp. 206–214.</w:t>
      </w:r>
    </w:p>
    <w:p w14:paraId="1C5CCDE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8. Grant, W.; Zerihun, D.; Mark, R.; Soheil, M. Biosynthesis and therapeutic properties of Lavandula essential oil constituents. </w:t>
      </w:r>
      <w:r w:rsidRPr="00D81482">
        <w:rPr>
          <w:rFonts w:ascii="Arial" w:hAnsi="Arial" w:cs="Arial"/>
          <w:i/>
        </w:rPr>
        <w:t>Planta Med</w:t>
      </w:r>
      <w:r w:rsidRPr="00D81482">
        <w:rPr>
          <w:rFonts w:ascii="Arial" w:hAnsi="Arial" w:cs="Arial"/>
        </w:rPr>
        <w:t xml:space="preserve">. </w:t>
      </w:r>
      <w:r w:rsidRPr="00D81482">
        <w:rPr>
          <w:rFonts w:ascii="Arial" w:hAnsi="Arial" w:cs="Arial"/>
          <w:b/>
        </w:rPr>
        <w:t>2011</w:t>
      </w:r>
      <w:r w:rsidRPr="00D81482">
        <w:rPr>
          <w:rFonts w:ascii="Arial" w:hAnsi="Arial" w:cs="Arial"/>
        </w:rPr>
        <w:t>, 77 (1), 7–15.</w:t>
      </w:r>
    </w:p>
    <w:p w14:paraId="2F53A8A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9. </w:t>
      </w:r>
      <w:proofErr w:type="spellStart"/>
      <w:r w:rsidRPr="00D81482">
        <w:rPr>
          <w:rFonts w:ascii="Arial" w:hAnsi="Arial" w:cs="Arial"/>
        </w:rPr>
        <w:t>Jinau</w:t>
      </w:r>
      <w:proofErr w:type="spellEnd"/>
      <w:r w:rsidRPr="00D81482">
        <w:rPr>
          <w:rFonts w:ascii="Arial" w:hAnsi="Arial" w:cs="Arial"/>
        </w:rPr>
        <w:t xml:space="preserve">, C.; Pop, G.; </w:t>
      </w:r>
      <w:proofErr w:type="spellStart"/>
      <w:r w:rsidRPr="00D81482">
        <w:rPr>
          <w:rFonts w:ascii="Arial" w:hAnsi="Arial" w:cs="Arial"/>
        </w:rPr>
        <w:t>Gruia</w:t>
      </w:r>
      <w:proofErr w:type="spellEnd"/>
      <w:r w:rsidRPr="00D81482">
        <w:rPr>
          <w:rFonts w:ascii="Arial" w:hAnsi="Arial" w:cs="Arial"/>
        </w:rPr>
        <w:t xml:space="preserve">, A.T.; </w:t>
      </w:r>
      <w:proofErr w:type="spellStart"/>
      <w:r w:rsidRPr="00D81482">
        <w:rPr>
          <w:rFonts w:ascii="Arial" w:hAnsi="Arial" w:cs="Arial"/>
        </w:rPr>
        <w:t>Horhat</w:t>
      </w:r>
      <w:proofErr w:type="spellEnd"/>
      <w:r w:rsidRPr="00D81482">
        <w:rPr>
          <w:rFonts w:ascii="Arial" w:hAnsi="Arial" w:cs="Arial"/>
        </w:rPr>
        <w:t xml:space="preserve">, F.G. Chemical composition and antimicrobial activity of essential oils of lavender (Lavandula angustifolia) and lavandin (Lavandula x intermedia) grown in western Romania. </w:t>
      </w:r>
      <w:r w:rsidRPr="00D81482">
        <w:rPr>
          <w:rFonts w:ascii="Arial" w:hAnsi="Arial" w:cs="Arial"/>
          <w:i/>
        </w:rPr>
        <w:t>Int. J. Agric. Biol</w:t>
      </w:r>
      <w:r w:rsidRPr="00D81482">
        <w:rPr>
          <w:rFonts w:ascii="Arial" w:hAnsi="Arial" w:cs="Arial"/>
        </w:rPr>
        <w:t xml:space="preserve">. </w:t>
      </w:r>
      <w:r w:rsidRPr="00D81482">
        <w:rPr>
          <w:rFonts w:ascii="Arial" w:hAnsi="Arial" w:cs="Arial"/>
          <w:b/>
        </w:rPr>
        <w:t>2013</w:t>
      </w:r>
      <w:r w:rsidRPr="00D81482">
        <w:rPr>
          <w:rFonts w:ascii="Arial" w:hAnsi="Arial" w:cs="Arial"/>
        </w:rPr>
        <w:t>, 15 (4), 772–776.</w:t>
      </w:r>
    </w:p>
    <w:p w14:paraId="377AD090"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10. Giovannini, D.; Gismondi, A.; Basso, A.; </w:t>
      </w:r>
      <w:proofErr w:type="spellStart"/>
      <w:r w:rsidRPr="00D81482">
        <w:rPr>
          <w:rFonts w:ascii="Arial" w:hAnsi="Arial" w:cs="Arial"/>
        </w:rPr>
        <w:t>Canuti</w:t>
      </w:r>
      <w:proofErr w:type="spellEnd"/>
      <w:r w:rsidRPr="00D81482">
        <w:rPr>
          <w:rFonts w:ascii="Arial" w:hAnsi="Arial" w:cs="Arial"/>
        </w:rPr>
        <w:t xml:space="preserve">, L.; Braglia, R.; Canini, A.; Mariani, F.; Cappelli, G.  Lavandula angustifolia mill. Essential oil exerts antibacterial and anti-inflammatory effect in macrophage mediated immune response to Staphylococcus aureus. </w:t>
      </w:r>
      <w:r w:rsidRPr="00D81482">
        <w:rPr>
          <w:rFonts w:ascii="Arial" w:hAnsi="Arial" w:cs="Arial"/>
          <w:i/>
        </w:rPr>
        <w:t>Immunol. Invest</w:t>
      </w:r>
      <w:r w:rsidRPr="00D81482">
        <w:rPr>
          <w:rFonts w:ascii="Arial" w:hAnsi="Arial" w:cs="Arial"/>
        </w:rPr>
        <w:t xml:space="preserve">. </w:t>
      </w:r>
      <w:r w:rsidRPr="00D81482">
        <w:rPr>
          <w:rFonts w:ascii="Arial" w:hAnsi="Arial" w:cs="Arial"/>
          <w:b/>
        </w:rPr>
        <w:t>2016,</w:t>
      </w:r>
      <w:r w:rsidRPr="00D81482">
        <w:rPr>
          <w:rFonts w:ascii="Arial" w:hAnsi="Arial" w:cs="Arial"/>
        </w:rPr>
        <w:t xml:space="preserve"> 45 (1), 11–28.</w:t>
      </w:r>
    </w:p>
    <w:p w14:paraId="7D9FE45F"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11. </w:t>
      </w:r>
      <w:proofErr w:type="spellStart"/>
      <w:r w:rsidRPr="00D81482">
        <w:rPr>
          <w:rFonts w:ascii="Arial" w:hAnsi="Arial" w:cs="Arial"/>
        </w:rPr>
        <w:t>Aprotosoaie</w:t>
      </w:r>
      <w:proofErr w:type="spellEnd"/>
      <w:r w:rsidRPr="00D81482">
        <w:rPr>
          <w:rFonts w:ascii="Arial" w:hAnsi="Arial" w:cs="Arial"/>
        </w:rPr>
        <w:t xml:space="preserve"> A.C.; </w:t>
      </w:r>
      <w:proofErr w:type="spellStart"/>
      <w:r w:rsidRPr="00D81482">
        <w:rPr>
          <w:rFonts w:ascii="Arial" w:hAnsi="Arial" w:cs="Arial"/>
        </w:rPr>
        <w:t>Hancianu</w:t>
      </w:r>
      <w:proofErr w:type="spellEnd"/>
      <w:r w:rsidRPr="00D81482">
        <w:rPr>
          <w:rFonts w:ascii="Arial" w:hAnsi="Arial" w:cs="Arial"/>
        </w:rPr>
        <w:t xml:space="preserve"> M.; Costache I.I; Miron A. Linalool: a review on a key odorant molecule with valuable biological properties, </w:t>
      </w:r>
      <w:r w:rsidRPr="00D81482">
        <w:rPr>
          <w:rFonts w:ascii="Arial" w:hAnsi="Arial" w:cs="Arial"/>
          <w:b/>
        </w:rPr>
        <w:t>2014</w:t>
      </w:r>
      <w:r w:rsidRPr="00D81482">
        <w:rPr>
          <w:rFonts w:ascii="Arial" w:hAnsi="Arial" w:cs="Arial"/>
        </w:rPr>
        <w:t>, Romania.</w:t>
      </w:r>
    </w:p>
    <w:p w14:paraId="7A091C53"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12. </w:t>
      </w:r>
      <w:proofErr w:type="spellStart"/>
      <w:r w:rsidRPr="00D81482">
        <w:rPr>
          <w:rFonts w:ascii="Arial" w:hAnsi="Arial" w:cs="Arial"/>
        </w:rPr>
        <w:t>Crișan</w:t>
      </w:r>
      <w:proofErr w:type="spellEnd"/>
      <w:r w:rsidRPr="00D81482">
        <w:rPr>
          <w:rFonts w:ascii="Arial" w:hAnsi="Arial" w:cs="Arial"/>
        </w:rPr>
        <w:t xml:space="preserve">, I.; Ona, A.; </w:t>
      </w:r>
      <w:proofErr w:type="spellStart"/>
      <w:r w:rsidRPr="00D81482">
        <w:rPr>
          <w:rFonts w:ascii="Arial" w:hAnsi="Arial" w:cs="Arial"/>
        </w:rPr>
        <w:t>Vârban</w:t>
      </w:r>
      <w:proofErr w:type="spellEnd"/>
      <w:r w:rsidRPr="00D81482">
        <w:rPr>
          <w:rFonts w:ascii="Arial" w:hAnsi="Arial" w:cs="Arial"/>
        </w:rPr>
        <w:t xml:space="preserve">, D.; Muntean, L.; </w:t>
      </w:r>
      <w:proofErr w:type="spellStart"/>
      <w:r w:rsidRPr="00D81482">
        <w:rPr>
          <w:rFonts w:ascii="Arial" w:hAnsi="Arial" w:cs="Arial"/>
        </w:rPr>
        <w:t>Vârban</w:t>
      </w:r>
      <w:proofErr w:type="spellEnd"/>
      <w:r w:rsidRPr="00D81482">
        <w:rPr>
          <w:rFonts w:ascii="Arial" w:hAnsi="Arial" w:cs="Arial"/>
        </w:rPr>
        <w:t xml:space="preserve">, R.; </w:t>
      </w:r>
      <w:proofErr w:type="spellStart"/>
      <w:r w:rsidRPr="00D81482">
        <w:rPr>
          <w:rFonts w:ascii="Arial" w:hAnsi="Arial" w:cs="Arial"/>
        </w:rPr>
        <w:t>Stoie</w:t>
      </w:r>
      <w:proofErr w:type="spellEnd"/>
      <w:r w:rsidRPr="00D81482">
        <w:rPr>
          <w:rFonts w:ascii="Arial" w:hAnsi="Arial" w:cs="Arial"/>
        </w:rPr>
        <w:t xml:space="preserve">, A.; Mihăiescu, T.; Morea A. Current Trends for Lavender (Lavandula angustifolia Mill.) Crops and Products with Emphasis on Essential Oil Quality, </w:t>
      </w:r>
      <w:r w:rsidRPr="00D81482">
        <w:rPr>
          <w:rFonts w:ascii="Arial" w:hAnsi="Arial" w:cs="Arial"/>
          <w:b/>
        </w:rPr>
        <w:t>2023</w:t>
      </w:r>
      <w:r w:rsidRPr="00D81482">
        <w:rPr>
          <w:rFonts w:ascii="Arial" w:hAnsi="Arial" w:cs="Arial"/>
        </w:rPr>
        <w:t>, Romania.</w:t>
      </w:r>
    </w:p>
    <w:p w14:paraId="4A909A42"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13. </w:t>
      </w:r>
      <w:proofErr w:type="spellStart"/>
      <w:r w:rsidRPr="00D81482">
        <w:rPr>
          <w:rFonts w:ascii="Arial" w:hAnsi="Arial" w:cs="Arial"/>
        </w:rPr>
        <w:t>Pharmacopoea</w:t>
      </w:r>
      <w:proofErr w:type="spellEnd"/>
      <w:r w:rsidRPr="00D81482">
        <w:rPr>
          <w:rFonts w:ascii="Arial" w:hAnsi="Arial" w:cs="Arial"/>
        </w:rPr>
        <w:t xml:space="preserve"> </w:t>
      </w:r>
      <w:proofErr w:type="spellStart"/>
      <w:r w:rsidRPr="00D81482">
        <w:rPr>
          <w:rFonts w:ascii="Arial" w:hAnsi="Arial" w:cs="Arial"/>
        </w:rPr>
        <w:t>Hungarica</w:t>
      </w:r>
      <w:proofErr w:type="spellEnd"/>
      <w:r w:rsidRPr="00D81482">
        <w:rPr>
          <w:rFonts w:ascii="Arial" w:hAnsi="Arial" w:cs="Arial"/>
        </w:rPr>
        <w:t xml:space="preserve">, V.I.I., </w:t>
      </w:r>
      <w:proofErr w:type="spellStart"/>
      <w:r w:rsidRPr="00D81482">
        <w:rPr>
          <w:rFonts w:ascii="Arial" w:hAnsi="Arial" w:cs="Arial"/>
        </w:rPr>
        <w:t>Medicina</w:t>
      </w:r>
      <w:proofErr w:type="spellEnd"/>
      <w:r w:rsidRPr="00D81482">
        <w:rPr>
          <w:rFonts w:ascii="Arial" w:hAnsi="Arial" w:cs="Arial"/>
        </w:rPr>
        <w:t xml:space="preserve"> </w:t>
      </w:r>
      <w:proofErr w:type="spellStart"/>
      <w:r w:rsidRPr="00D81482">
        <w:rPr>
          <w:rFonts w:ascii="Arial" w:hAnsi="Arial" w:cs="Arial"/>
        </w:rPr>
        <w:t>Könyvkiadó</w:t>
      </w:r>
      <w:proofErr w:type="spellEnd"/>
      <w:r w:rsidRPr="00D81482">
        <w:rPr>
          <w:rFonts w:ascii="Arial" w:hAnsi="Arial" w:cs="Arial"/>
        </w:rPr>
        <w:t xml:space="preserve"> Rt., Antal Végh, </w:t>
      </w:r>
      <w:r w:rsidRPr="00D81482">
        <w:rPr>
          <w:rFonts w:ascii="Arial" w:hAnsi="Arial" w:cs="Arial"/>
          <w:b/>
        </w:rPr>
        <w:t>1986</w:t>
      </w:r>
      <w:r w:rsidRPr="00D81482">
        <w:rPr>
          <w:rFonts w:ascii="Arial" w:hAnsi="Arial" w:cs="Arial"/>
        </w:rPr>
        <w:t xml:space="preserve">, Budapest, I. </w:t>
      </w:r>
      <w:proofErr w:type="spellStart"/>
      <w:r w:rsidRPr="00D81482">
        <w:rPr>
          <w:rFonts w:ascii="Arial" w:hAnsi="Arial" w:cs="Arial"/>
        </w:rPr>
        <w:t>Kötet</w:t>
      </w:r>
      <w:proofErr w:type="spellEnd"/>
      <w:r w:rsidRPr="00D81482">
        <w:rPr>
          <w:rFonts w:ascii="Arial" w:hAnsi="Arial" w:cs="Arial"/>
        </w:rPr>
        <w:t xml:space="preserve"> (Volume I.) - Tomus I., J/c.15. pp. 395–399.</w:t>
      </w:r>
    </w:p>
    <w:p w14:paraId="287AA46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14. </w:t>
      </w:r>
      <w:proofErr w:type="spellStart"/>
      <w:r w:rsidRPr="00D81482">
        <w:rPr>
          <w:rFonts w:ascii="Arial" w:hAnsi="Arial" w:cs="Arial"/>
        </w:rPr>
        <w:t>Chrysargyris</w:t>
      </w:r>
      <w:proofErr w:type="spellEnd"/>
      <w:r w:rsidRPr="00D81482">
        <w:rPr>
          <w:rFonts w:ascii="Arial" w:hAnsi="Arial" w:cs="Arial"/>
        </w:rPr>
        <w:t xml:space="preserve">, A.; Panayiotou, C.; </w:t>
      </w:r>
      <w:proofErr w:type="spellStart"/>
      <w:r w:rsidRPr="00D81482">
        <w:rPr>
          <w:rFonts w:ascii="Arial" w:hAnsi="Arial" w:cs="Arial"/>
        </w:rPr>
        <w:t>Tzortzakis</w:t>
      </w:r>
      <w:proofErr w:type="spellEnd"/>
      <w:r w:rsidRPr="00D81482">
        <w:rPr>
          <w:rFonts w:ascii="Arial" w:hAnsi="Arial" w:cs="Arial"/>
        </w:rPr>
        <w:t xml:space="preserve">, N. Nitrogen and phosphorus levels affected plant growth, essential oil composition and antioxidant status of lavender plant (Lavandula angustifolia Mill.), </w:t>
      </w:r>
      <w:r w:rsidRPr="00D81482">
        <w:rPr>
          <w:rFonts w:ascii="Arial" w:hAnsi="Arial" w:cs="Arial"/>
          <w:b/>
        </w:rPr>
        <w:t>2015</w:t>
      </w:r>
      <w:r w:rsidRPr="00D81482">
        <w:rPr>
          <w:rFonts w:ascii="Arial" w:hAnsi="Arial" w:cs="Arial"/>
        </w:rPr>
        <w:t>, Cyprus.</w:t>
      </w:r>
    </w:p>
    <w:p w14:paraId="0402CA4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15. </w:t>
      </w:r>
      <w:proofErr w:type="spellStart"/>
      <w:r w:rsidRPr="00D81482">
        <w:rPr>
          <w:rFonts w:ascii="Arial" w:hAnsi="Arial" w:cs="Arial"/>
        </w:rPr>
        <w:t>Duskova</w:t>
      </w:r>
      <w:proofErr w:type="spellEnd"/>
      <w:r w:rsidRPr="00D81482">
        <w:rPr>
          <w:rFonts w:ascii="Arial" w:hAnsi="Arial" w:cs="Arial"/>
        </w:rPr>
        <w:t xml:space="preserve"> E.; Dusek K.; </w:t>
      </w:r>
      <w:proofErr w:type="spellStart"/>
      <w:r w:rsidRPr="00D81482">
        <w:rPr>
          <w:rFonts w:ascii="Arial" w:hAnsi="Arial" w:cs="Arial"/>
        </w:rPr>
        <w:t>Indrak</w:t>
      </w:r>
      <w:proofErr w:type="spellEnd"/>
      <w:r w:rsidRPr="00D81482">
        <w:rPr>
          <w:rFonts w:ascii="Arial" w:hAnsi="Arial" w:cs="Arial"/>
        </w:rPr>
        <w:t xml:space="preserve"> P.; </w:t>
      </w:r>
      <w:proofErr w:type="spellStart"/>
      <w:r w:rsidRPr="00D81482">
        <w:rPr>
          <w:rFonts w:ascii="Arial" w:hAnsi="Arial" w:cs="Arial"/>
        </w:rPr>
        <w:t>Smekalova</w:t>
      </w:r>
      <w:proofErr w:type="spellEnd"/>
      <w:r w:rsidRPr="00D81482">
        <w:rPr>
          <w:rFonts w:ascii="Arial" w:hAnsi="Arial" w:cs="Arial"/>
        </w:rPr>
        <w:t xml:space="preserve"> K. Postharvest changes in essential oil content and quality of lavender flowers, </w:t>
      </w:r>
      <w:r w:rsidRPr="00D81482">
        <w:rPr>
          <w:rFonts w:ascii="Arial" w:hAnsi="Arial" w:cs="Arial"/>
          <w:b/>
        </w:rPr>
        <w:t>2016</w:t>
      </w:r>
      <w:r w:rsidRPr="00D81482">
        <w:rPr>
          <w:rFonts w:ascii="Arial" w:hAnsi="Arial" w:cs="Arial"/>
        </w:rPr>
        <w:t>, Czech Republic.</w:t>
      </w:r>
    </w:p>
    <w:p w14:paraId="7A16059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16. Landmann, C.; Fink, B.; </w:t>
      </w:r>
      <w:proofErr w:type="spellStart"/>
      <w:r w:rsidRPr="00D81482">
        <w:rPr>
          <w:rFonts w:ascii="Arial" w:hAnsi="Arial" w:cs="Arial"/>
        </w:rPr>
        <w:t>Festner</w:t>
      </w:r>
      <w:proofErr w:type="spellEnd"/>
      <w:r w:rsidRPr="00D81482">
        <w:rPr>
          <w:rFonts w:ascii="Arial" w:hAnsi="Arial" w:cs="Arial"/>
        </w:rPr>
        <w:t xml:space="preserve">, M.; </w:t>
      </w:r>
      <w:proofErr w:type="spellStart"/>
      <w:r w:rsidRPr="00D81482">
        <w:rPr>
          <w:rFonts w:ascii="Arial" w:hAnsi="Arial" w:cs="Arial"/>
        </w:rPr>
        <w:t>Dregus</w:t>
      </w:r>
      <w:proofErr w:type="spellEnd"/>
      <w:r w:rsidRPr="00D81482">
        <w:rPr>
          <w:rFonts w:ascii="Arial" w:hAnsi="Arial" w:cs="Arial"/>
        </w:rPr>
        <w:t xml:space="preserve">, M.; Engel, K.-H.; Schwab, W. Cloning and functional characterization of three terpene synthases from lavender (Lavandula E. </w:t>
      </w:r>
      <w:proofErr w:type="spellStart"/>
      <w:r w:rsidRPr="00D81482">
        <w:rPr>
          <w:rFonts w:ascii="Arial" w:hAnsi="Arial" w:cs="Arial"/>
        </w:rPr>
        <w:t>Détár</w:t>
      </w:r>
      <w:proofErr w:type="spellEnd"/>
      <w:r w:rsidRPr="00D81482">
        <w:rPr>
          <w:rFonts w:ascii="Arial" w:hAnsi="Arial" w:cs="Arial"/>
        </w:rPr>
        <w:t xml:space="preserve">, et al. Biochemical Systematics and Ecology 90 (2020) 104020 6 angustifolia). </w:t>
      </w:r>
      <w:r w:rsidRPr="00D81482">
        <w:rPr>
          <w:rFonts w:ascii="Arial" w:hAnsi="Arial" w:cs="Arial"/>
          <w:i/>
        </w:rPr>
        <w:t xml:space="preserve">Arch. </w:t>
      </w:r>
      <w:proofErr w:type="spellStart"/>
      <w:r w:rsidRPr="00D81482">
        <w:rPr>
          <w:rFonts w:ascii="Arial" w:hAnsi="Arial" w:cs="Arial"/>
          <w:i/>
        </w:rPr>
        <w:t>Biochem</w:t>
      </w:r>
      <w:proofErr w:type="spellEnd"/>
      <w:r w:rsidRPr="00D81482">
        <w:rPr>
          <w:rFonts w:ascii="Arial" w:hAnsi="Arial" w:cs="Arial"/>
          <w:i/>
        </w:rPr>
        <w:t xml:space="preserve">. </w:t>
      </w:r>
      <w:proofErr w:type="spellStart"/>
      <w:r w:rsidRPr="00D81482">
        <w:rPr>
          <w:rFonts w:ascii="Arial" w:hAnsi="Arial" w:cs="Arial"/>
          <w:i/>
        </w:rPr>
        <w:t>Biophys</w:t>
      </w:r>
      <w:proofErr w:type="spellEnd"/>
      <w:r w:rsidRPr="00D81482">
        <w:rPr>
          <w:rFonts w:ascii="Arial" w:hAnsi="Arial" w:cs="Arial"/>
        </w:rPr>
        <w:t xml:space="preserve">. </w:t>
      </w:r>
      <w:r w:rsidRPr="00D81482">
        <w:rPr>
          <w:rFonts w:ascii="Arial" w:hAnsi="Arial" w:cs="Arial"/>
          <w:b/>
        </w:rPr>
        <w:t>2007</w:t>
      </w:r>
      <w:r w:rsidRPr="00D81482">
        <w:rPr>
          <w:rFonts w:ascii="Arial" w:hAnsi="Arial" w:cs="Arial"/>
        </w:rPr>
        <w:t>, 465, 417–429.</w:t>
      </w:r>
    </w:p>
    <w:p w14:paraId="39E153D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17. </w:t>
      </w:r>
      <w:proofErr w:type="spellStart"/>
      <w:r w:rsidRPr="00D81482">
        <w:rPr>
          <w:rFonts w:ascii="Arial" w:hAnsi="Arial" w:cs="Arial"/>
        </w:rPr>
        <w:t>Boeckelmann</w:t>
      </w:r>
      <w:proofErr w:type="spellEnd"/>
      <w:r w:rsidRPr="00D81482">
        <w:rPr>
          <w:rFonts w:ascii="Arial" w:hAnsi="Arial" w:cs="Arial"/>
        </w:rPr>
        <w:t xml:space="preserve">, A. Monoterpene Production and Regulation in Lavenders (Lavandula Angustifolia and Lavandula X Intermedia). </w:t>
      </w:r>
      <w:r w:rsidRPr="00D81482">
        <w:rPr>
          <w:rFonts w:ascii="Arial" w:hAnsi="Arial" w:cs="Arial"/>
          <w:b/>
        </w:rPr>
        <w:t>2008</w:t>
      </w:r>
      <w:r w:rsidRPr="00D81482">
        <w:rPr>
          <w:rFonts w:ascii="Arial" w:hAnsi="Arial" w:cs="Arial"/>
        </w:rPr>
        <w:t>, University of British Columbia, Okanagan MSc thesis).</w:t>
      </w:r>
    </w:p>
    <w:p w14:paraId="145B0F3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18. Guitton, Y.; Florence, N.; Sandrine, M.; Tarek, B.; Nadine, V.; Sylvain, L.; Frédéric, J.; Laurent, L. Lavender inflorescence: a model to study regulation of terpenes synthesis. </w:t>
      </w:r>
      <w:r w:rsidRPr="00D81482">
        <w:rPr>
          <w:rFonts w:ascii="Arial" w:hAnsi="Arial" w:cs="Arial"/>
          <w:i/>
        </w:rPr>
        <w:t xml:space="preserve">Plant Signal </w:t>
      </w:r>
      <w:proofErr w:type="spellStart"/>
      <w:r w:rsidRPr="00D81482">
        <w:rPr>
          <w:rFonts w:ascii="Arial" w:hAnsi="Arial" w:cs="Arial"/>
          <w:i/>
        </w:rPr>
        <w:t>Behav</w:t>
      </w:r>
      <w:proofErr w:type="spellEnd"/>
      <w:r w:rsidRPr="00D81482">
        <w:rPr>
          <w:rFonts w:ascii="Arial" w:hAnsi="Arial" w:cs="Arial"/>
        </w:rPr>
        <w:t xml:space="preserve">. </w:t>
      </w:r>
      <w:r w:rsidRPr="00D81482">
        <w:rPr>
          <w:rFonts w:ascii="Arial" w:hAnsi="Arial" w:cs="Arial"/>
          <w:b/>
        </w:rPr>
        <w:t xml:space="preserve">2010, </w:t>
      </w:r>
      <w:r w:rsidRPr="00D81482">
        <w:rPr>
          <w:rFonts w:ascii="Arial" w:hAnsi="Arial" w:cs="Arial"/>
        </w:rPr>
        <w:t xml:space="preserve">5(6):749-51. </w:t>
      </w:r>
      <w:proofErr w:type="spellStart"/>
      <w:r w:rsidRPr="00D81482">
        <w:rPr>
          <w:rFonts w:ascii="Arial" w:hAnsi="Arial" w:cs="Arial"/>
        </w:rPr>
        <w:t>doi</w:t>
      </w:r>
      <w:proofErr w:type="spellEnd"/>
      <w:r w:rsidRPr="00D81482">
        <w:rPr>
          <w:rFonts w:ascii="Arial" w:hAnsi="Arial" w:cs="Arial"/>
        </w:rPr>
        <w:t>: 10.4161/psb.5.6.11704.</w:t>
      </w:r>
    </w:p>
    <w:p w14:paraId="04647BB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19. Zámbori-Németh, É. Natural variability of essential oil components. In: Baser, K.H.C., </w:t>
      </w:r>
      <w:proofErr w:type="spellStart"/>
      <w:r w:rsidRPr="00D81482">
        <w:rPr>
          <w:rFonts w:ascii="Arial" w:hAnsi="Arial" w:cs="Arial"/>
        </w:rPr>
        <w:t>Buchbauer</w:t>
      </w:r>
      <w:proofErr w:type="spellEnd"/>
      <w:r w:rsidRPr="00D81482">
        <w:rPr>
          <w:rFonts w:ascii="Arial" w:hAnsi="Arial" w:cs="Arial"/>
        </w:rPr>
        <w:t xml:space="preserve">, G. (Eds.), </w:t>
      </w:r>
      <w:r w:rsidRPr="00D81482">
        <w:rPr>
          <w:rFonts w:ascii="Arial" w:hAnsi="Arial" w:cs="Arial"/>
          <w:i/>
        </w:rPr>
        <w:t>Handbook of Essential Oils, Science, Technology, and Applications</w:t>
      </w:r>
      <w:r w:rsidRPr="00D81482">
        <w:rPr>
          <w:rFonts w:ascii="Arial" w:hAnsi="Arial" w:cs="Arial"/>
        </w:rPr>
        <w:t xml:space="preserve">, second ed. CRC Press - Taylor and Francis Group LLC, Boca-Raton, U.S., 978-1-4665-9046-5, </w:t>
      </w:r>
      <w:r w:rsidRPr="00D81482">
        <w:rPr>
          <w:rFonts w:ascii="Arial" w:hAnsi="Arial" w:cs="Arial"/>
          <w:b/>
        </w:rPr>
        <w:t>2015</w:t>
      </w:r>
      <w:r w:rsidRPr="00D81482">
        <w:rPr>
          <w:rFonts w:ascii="Arial" w:hAnsi="Arial" w:cs="Arial"/>
        </w:rPr>
        <w:t>, pp. 87–126.</w:t>
      </w:r>
    </w:p>
    <w:p w14:paraId="1DEAEC2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20. </w:t>
      </w:r>
      <w:proofErr w:type="spellStart"/>
      <w:r w:rsidRPr="00D81482">
        <w:rPr>
          <w:rFonts w:ascii="Arial" w:hAnsi="Arial" w:cs="Arial"/>
        </w:rPr>
        <w:t>Hassiotis</w:t>
      </w:r>
      <w:proofErr w:type="spellEnd"/>
      <w:r w:rsidRPr="00D81482">
        <w:rPr>
          <w:rFonts w:ascii="Arial" w:hAnsi="Arial" w:cs="Arial"/>
        </w:rPr>
        <w:t xml:space="preserve">, C.N.; </w:t>
      </w:r>
      <w:proofErr w:type="spellStart"/>
      <w:r w:rsidRPr="00D81482">
        <w:rPr>
          <w:rFonts w:ascii="Arial" w:hAnsi="Arial" w:cs="Arial"/>
        </w:rPr>
        <w:t>Lazari</w:t>
      </w:r>
      <w:proofErr w:type="spellEnd"/>
      <w:r w:rsidRPr="00D81482">
        <w:rPr>
          <w:rFonts w:ascii="Arial" w:hAnsi="Arial" w:cs="Arial"/>
        </w:rPr>
        <w:t xml:space="preserve">, D.M.; </w:t>
      </w:r>
      <w:proofErr w:type="spellStart"/>
      <w:r w:rsidRPr="00D81482">
        <w:rPr>
          <w:rFonts w:ascii="Arial" w:hAnsi="Arial" w:cs="Arial"/>
        </w:rPr>
        <w:t>Vlachonasios</w:t>
      </w:r>
      <w:proofErr w:type="spellEnd"/>
      <w:r w:rsidRPr="00D81482">
        <w:rPr>
          <w:rFonts w:ascii="Arial" w:hAnsi="Arial" w:cs="Arial"/>
        </w:rPr>
        <w:t xml:space="preserve">, K.E. The effects of habitat type and diurnal harvest on essential oil yield and composition of Lavandula angustifolia Mill. </w:t>
      </w:r>
      <w:r w:rsidRPr="00D81482">
        <w:rPr>
          <w:rFonts w:ascii="Arial" w:hAnsi="Arial" w:cs="Arial"/>
          <w:i/>
        </w:rPr>
        <w:t>Fresenius Environmental Bulletin</w:t>
      </w:r>
      <w:r w:rsidRPr="00D81482">
        <w:rPr>
          <w:rFonts w:ascii="Arial" w:hAnsi="Arial" w:cs="Arial"/>
        </w:rPr>
        <w:t xml:space="preserve">, PSP </w:t>
      </w:r>
      <w:r w:rsidRPr="00D81482">
        <w:rPr>
          <w:rFonts w:ascii="Arial" w:hAnsi="Arial" w:cs="Arial"/>
          <w:b/>
        </w:rPr>
        <w:t>2010</w:t>
      </w:r>
      <w:r w:rsidRPr="00D81482">
        <w:rPr>
          <w:rFonts w:ascii="Arial" w:hAnsi="Arial" w:cs="Arial"/>
        </w:rPr>
        <w:t xml:space="preserve">, (19), 8. </w:t>
      </w:r>
    </w:p>
    <w:p w14:paraId="58736C3D"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21. </w:t>
      </w:r>
      <w:proofErr w:type="spellStart"/>
      <w:r w:rsidRPr="00D81482">
        <w:rPr>
          <w:rFonts w:ascii="Arial" w:hAnsi="Arial" w:cs="Arial"/>
        </w:rPr>
        <w:t>Hassiotis</w:t>
      </w:r>
      <w:proofErr w:type="spellEnd"/>
      <w:r w:rsidRPr="00D81482">
        <w:rPr>
          <w:rFonts w:ascii="Arial" w:hAnsi="Arial" w:cs="Arial"/>
        </w:rPr>
        <w:t xml:space="preserve">, C.N.; </w:t>
      </w:r>
      <w:proofErr w:type="spellStart"/>
      <w:r w:rsidRPr="00D81482">
        <w:rPr>
          <w:rFonts w:ascii="Arial" w:hAnsi="Arial" w:cs="Arial"/>
        </w:rPr>
        <w:t>Ntanab</w:t>
      </w:r>
      <w:proofErr w:type="spellEnd"/>
      <w:r w:rsidRPr="00D81482">
        <w:rPr>
          <w:rFonts w:ascii="Arial" w:hAnsi="Arial" w:cs="Arial"/>
        </w:rPr>
        <w:t xml:space="preserve">, F.; </w:t>
      </w:r>
      <w:proofErr w:type="spellStart"/>
      <w:r w:rsidRPr="00D81482">
        <w:rPr>
          <w:rFonts w:ascii="Arial" w:hAnsi="Arial" w:cs="Arial"/>
        </w:rPr>
        <w:t>Lazaric</w:t>
      </w:r>
      <w:proofErr w:type="spellEnd"/>
      <w:r w:rsidRPr="00D81482">
        <w:rPr>
          <w:rFonts w:ascii="Arial" w:hAnsi="Arial" w:cs="Arial"/>
        </w:rPr>
        <w:t xml:space="preserve">, D.M.; </w:t>
      </w:r>
      <w:proofErr w:type="spellStart"/>
      <w:r w:rsidRPr="00D81482">
        <w:rPr>
          <w:rFonts w:ascii="Arial" w:hAnsi="Arial" w:cs="Arial"/>
        </w:rPr>
        <w:t>Pouliosb</w:t>
      </w:r>
      <w:proofErr w:type="spellEnd"/>
      <w:r w:rsidRPr="00D81482">
        <w:rPr>
          <w:rFonts w:ascii="Arial" w:hAnsi="Arial" w:cs="Arial"/>
        </w:rPr>
        <w:t xml:space="preserve">, S.; </w:t>
      </w:r>
      <w:proofErr w:type="spellStart"/>
      <w:r w:rsidRPr="00D81482">
        <w:rPr>
          <w:rFonts w:ascii="Arial" w:hAnsi="Arial" w:cs="Arial"/>
        </w:rPr>
        <w:t>Vlachonasiosb</w:t>
      </w:r>
      <w:proofErr w:type="spellEnd"/>
      <w:r w:rsidRPr="00D81482">
        <w:rPr>
          <w:rFonts w:ascii="Arial" w:hAnsi="Arial" w:cs="Arial"/>
        </w:rPr>
        <w:t xml:space="preserve">, K.E. Environmental and developmental factors affect essential oil production and quality of Lavandula angustifolia during flowering period. </w:t>
      </w:r>
      <w:r w:rsidRPr="00D81482">
        <w:rPr>
          <w:rFonts w:ascii="Arial" w:hAnsi="Arial" w:cs="Arial"/>
          <w:i/>
        </w:rPr>
        <w:t>Ind. Crop. Prod</w:t>
      </w:r>
      <w:r w:rsidRPr="00D81482">
        <w:rPr>
          <w:rFonts w:ascii="Arial" w:hAnsi="Arial" w:cs="Arial"/>
        </w:rPr>
        <w:t xml:space="preserve">. </w:t>
      </w:r>
      <w:r w:rsidRPr="00D81482">
        <w:rPr>
          <w:rFonts w:ascii="Arial" w:hAnsi="Arial" w:cs="Arial"/>
          <w:b/>
        </w:rPr>
        <w:t>2014</w:t>
      </w:r>
      <w:r w:rsidRPr="00D81482">
        <w:rPr>
          <w:rFonts w:ascii="Arial" w:hAnsi="Arial" w:cs="Arial"/>
        </w:rPr>
        <w:t>, 62, 359–366.</w:t>
      </w:r>
    </w:p>
    <w:p w14:paraId="5F0C3D98"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22. </w:t>
      </w:r>
      <w:proofErr w:type="spellStart"/>
      <w:r w:rsidRPr="00D81482">
        <w:rPr>
          <w:rFonts w:ascii="Arial" w:hAnsi="Arial" w:cs="Arial"/>
        </w:rPr>
        <w:t>Zheljazkov</w:t>
      </w:r>
      <w:proofErr w:type="spellEnd"/>
      <w:r w:rsidRPr="00D81482">
        <w:rPr>
          <w:rFonts w:ascii="Arial" w:hAnsi="Arial" w:cs="Arial"/>
        </w:rPr>
        <w:t xml:space="preserve">, V.D.; Tess, A.; Alexander, N.H. Lavender and hyssop productivity, oil content, and bioactivity as a function of harvest time and drying. </w:t>
      </w:r>
      <w:r w:rsidRPr="00D81482">
        <w:rPr>
          <w:rFonts w:ascii="Arial" w:hAnsi="Arial" w:cs="Arial"/>
          <w:i/>
        </w:rPr>
        <w:t>Ind. Crop. Prod.</w:t>
      </w:r>
      <w:r w:rsidRPr="00D81482">
        <w:rPr>
          <w:rFonts w:ascii="Arial" w:hAnsi="Arial" w:cs="Arial"/>
        </w:rPr>
        <w:t xml:space="preserve"> </w:t>
      </w:r>
      <w:r w:rsidRPr="00D81482">
        <w:rPr>
          <w:rFonts w:ascii="Arial" w:hAnsi="Arial" w:cs="Arial"/>
          <w:b/>
        </w:rPr>
        <w:t>2012</w:t>
      </w:r>
      <w:r w:rsidRPr="00D81482">
        <w:rPr>
          <w:rFonts w:ascii="Arial" w:hAnsi="Arial" w:cs="Arial"/>
        </w:rPr>
        <w:t xml:space="preserve">, 36, 222–228. </w:t>
      </w:r>
    </w:p>
    <w:p w14:paraId="73A3DD7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23. </w:t>
      </w:r>
      <w:proofErr w:type="spellStart"/>
      <w:r w:rsidRPr="00D81482">
        <w:rPr>
          <w:rFonts w:ascii="Arial" w:hAnsi="Arial" w:cs="Arial"/>
        </w:rPr>
        <w:t>Cordovilla</w:t>
      </w:r>
      <w:proofErr w:type="spellEnd"/>
      <w:r w:rsidRPr="00D81482">
        <w:rPr>
          <w:rFonts w:ascii="Arial" w:hAnsi="Arial" w:cs="Arial"/>
        </w:rPr>
        <w:t xml:space="preserve">, M.P.; Bueno, M.; Aparicio, C.; </w:t>
      </w:r>
      <w:proofErr w:type="spellStart"/>
      <w:r w:rsidRPr="00D81482">
        <w:rPr>
          <w:rFonts w:ascii="Arial" w:hAnsi="Arial" w:cs="Arial"/>
        </w:rPr>
        <w:t>Urrestarazu</w:t>
      </w:r>
      <w:proofErr w:type="spellEnd"/>
      <w:r w:rsidRPr="00D81482">
        <w:rPr>
          <w:rFonts w:ascii="Arial" w:hAnsi="Arial" w:cs="Arial"/>
        </w:rPr>
        <w:t xml:space="preserve">, M. Effects of salinity and the interaction between Thymus vulgaris and Lavandula angustifolia on growth, ethylene production and essential oil contents. </w:t>
      </w:r>
      <w:r w:rsidRPr="00D81482">
        <w:rPr>
          <w:rFonts w:ascii="Arial" w:hAnsi="Arial" w:cs="Arial"/>
          <w:i/>
        </w:rPr>
        <w:t xml:space="preserve">J. Plant </w:t>
      </w:r>
      <w:proofErr w:type="spellStart"/>
      <w:r w:rsidRPr="00D81482">
        <w:rPr>
          <w:rFonts w:ascii="Arial" w:hAnsi="Arial" w:cs="Arial"/>
          <w:i/>
        </w:rPr>
        <w:t>Nutr</w:t>
      </w:r>
      <w:proofErr w:type="spellEnd"/>
      <w:r w:rsidRPr="00D81482">
        <w:rPr>
          <w:rFonts w:ascii="Arial" w:hAnsi="Arial" w:cs="Arial"/>
        </w:rPr>
        <w:t xml:space="preserve">. </w:t>
      </w:r>
      <w:r w:rsidRPr="00D81482">
        <w:rPr>
          <w:rFonts w:ascii="Arial" w:hAnsi="Arial" w:cs="Arial"/>
          <w:b/>
        </w:rPr>
        <w:t>2014</w:t>
      </w:r>
      <w:r w:rsidRPr="00D81482">
        <w:rPr>
          <w:rFonts w:ascii="Arial" w:hAnsi="Arial" w:cs="Arial"/>
        </w:rPr>
        <w:t>, 37, 875–888.</w:t>
      </w:r>
    </w:p>
    <w:p w14:paraId="7073F19F"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24. Zeliha, K.; Sabri, E.; Ibrahim, E.; Hasan, B.; Figen, E. Effect of different nitrogen doses on plant growth, quality characteristics and nutrient concentrations of lavandin (Lavandula × intermedia </w:t>
      </w:r>
      <w:proofErr w:type="spellStart"/>
      <w:r w:rsidRPr="00D81482">
        <w:rPr>
          <w:rFonts w:ascii="Arial" w:hAnsi="Arial" w:cs="Arial"/>
        </w:rPr>
        <w:t>emeric</w:t>
      </w:r>
      <w:proofErr w:type="spellEnd"/>
      <w:r w:rsidRPr="00D81482">
        <w:rPr>
          <w:rFonts w:ascii="Arial" w:hAnsi="Arial" w:cs="Arial"/>
        </w:rPr>
        <w:t xml:space="preserve"> ex </w:t>
      </w:r>
      <w:proofErr w:type="spellStart"/>
      <w:r w:rsidRPr="00D81482">
        <w:rPr>
          <w:rFonts w:ascii="Arial" w:hAnsi="Arial" w:cs="Arial"/>
        </w:rPr>
        <w:t>loisel</w:t>
      </w:r>
      <w:proofErr w:type="spellEnd"/>
      <w:r w:rsidRPr="00D81482">
        <w:rPr>
          <w:rFonts w:ascii="Arial" w:hAnsi="Arial" w:cs="Arial"/>
        </w:rPr>
        <w:t xml:space="preserve">. Var. Super A). </w:t>
      </w:r>
      <w:r w:rsidRPr="00D81482">
        <w:rPr>
          <w:rFonts w:ascii="Arial" w:hAnsi="Arial" w:cs="Arial"/>
          <w:i/>
        </w:rPr>
        <w:t xml:space="preserve">J. Essent. Oil. </w:t>
      </w:r>
      <w:proofErr w:type="spellStart"/>
      <w:r w:rsidRPr="00D81482">
        <w:rPr>
          <w:rFonts w:ascii="Arial" w:hAnsi="Arial" w:cs="Arial"/>
          <w:i/>
        </w:rPr>
        <w:t>Bearing.Plants</w:t>
      </w:r>
      <w:proofErr w:type="spellEnd"/>
      <w:r w:rsidRPr="00D81482">
        <w:rPr>
          <w:rFonts w:ascii="Arial" w:hAnsi="Arial" w:cs="Arial"/>
          <w:i/>
        </w:rPr>
        <w:t>,</w:t>
      </w:r>
      <w:r w:rsidRPr="00D81482">
        <w:rPr>
          <w:rFonts w:ascii="Arial" w:hAnsi="Arial" w:cs="Arial"/>
        </w:rPr>
        <w:t xml:space="preserve"> TEOP, </w:t>
      </w:r>
      <w:r w:rsidRPr="00D81482">
        <w:rPr>
          <w:rFonts w:ascii="Arial" w:hAnsi="Arial" w:cs="Arial"/>
          <w:b/>
        </w:rPr>
        <w:t>2013</w:t>
      </w:r>
      <w:r w:rsidRPr="00D81482">
        <w:rPr>
          <w:rFonts w:ascii="Arial" w:hAnsi="Arial" w:cs="Arial"/>
        </w:rPr>
        <w:t>, 18 (1), 36–43.</w:t>
      </w:r>
    </w:p>
    <w:p w14:paraId="2B096769"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25. Baydar, H.; Erbas, S. Effects of harvest time and drying temperature on essential oil content and composition in lavandin (Lavandula x intermedia </w:t>
      </w:r>
      <w:proofErr w:type="spellStart"/>
      <w:r w:rsidRPr="00D81482">
        <w:rPr>
          <w:rFonts w:ascii="Arial" w:hAnsi="Arial" w:cs="Arial"/>
        </w:rPr>
        <w:t>Emerice</w:t>
      </w:r>
      <w:proofErr w:type="spellEnd"/>
      <w:r w:rsidRPr="00D81482">
        <w:rPr>
          <w:rFonts w:ascii="Arial" w:hAnsi="Arial" w:cs="Arial"/>
        </w:rPr>
        <w:t xml:space="preserve"> x Loisel.). </w:t>
      </w:r>
      <w:r w:rsidRPr="00D81482">
        <w:rPr>
          <w:rFonts w:ascii="Arial" w:hAnsi="Arial" w:cs="Arial"/>
          <w:i/>
        </w:rPr>
        <w:t xml:space="preserve">Turkish </w:t>
      </w:r>
      <w:proofErr w:type="spellStart"/>
      <w:proofErr w:type="gramStart"/>
      <w:r w:rsidRPr="00D81482">
        <w:rPr>
          <w:rFonts w:ascii="Arial" w:hAnsi="Arial" w:cs="Arial"/>
          <w:i/>
        </w:rPr>
        <w:t>J.Field</w:t>
      </w:r>
      <w:proofErr w:type="spellEnd"/>
      <w:proofErr w:type="gramEnd"/>
      <w:r w:rsidRPr="00D81482">
        <w:rPr>
          <w:rFonts w:ascii="Arial" w:hAnsi="Arial" w:cs="Arial"/>
          <w:i/>
        </w:rPr>
        <w:t xml:space="preserve"> Crop</w:t>
      </w:r>
      <w:r w:rsidRPr="00D81482">
        <w:rPr>
          <w:rFonts w:ascii="Arial" w:hAnsi="Arial" w:cs="Arial"/>
        </w:rPr>
        <w:t xml:space="preserve"> </w:t>
      </w:r>
      <w:r w:rsidRPr="00D81482">
        <w:rPr>
          <w:rFonts w:ascii="Arial" w:hAnsi="Arial" w:cs="Arial"/>
          <w:b/>
        </w:rPr>
        <w:t>2009</w:t>
      </w:r>
      <w:r w:rsidRPr="00D81482">
        <w:rPr>
          <w:rFonts w:ascii="Arial" w:hAnsi="Arial" w:cs="Arial"/>
        </w:rPr>
        <w:t>, 13 (1), 23–31.</w:t>
      </w:r>
    </w:p>
    <w:p w14:paraId="22D0EA5B"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26. </w:t>
      </w:r>
      <w:proofErr w:type="spellStart"/>
      <w:r w:rsidRPr="00D81482">
        <w:rPr>
          <w:rFonts w:ascii="Arial" w:hAnsi="Arial" w:cs="Arial"/>
        </w:rPr>
        <w:t>Zagorcheva</w:t>
      </w:r>
      <w:proofErr w:type="spellEnd"/>
      <w:r w:rsidRPr="00D81482">
        <w:rPr>
          <w:rFonts w:ascii="Arial" w:hAnsi="Arial" w:cs="Arial"/>
        </w:rPr>
        <w:t>, T.; Stanev, S.; Rusanov, K.; Atanassov, I., 2013. Comparative GC/MS analysis of lavender (Lavandula angustifolia Mill) inflorescence and essential oil volatiles</w:t>
      </w:r>
      <w:r w:rsidRPr="00D81482">
        <w:rPr>
          <w:rFonts w:ascii="Arial" w:hAnsi="Arial" w:cs="Arial"/>
          <w:i/>
        </w:rPr>
        <w:t>. J. of Agric. Science and Technology</w:t>
      </w:r>
      <w:r w:rsidRPr="00D81482">
        <w:rPr>
          <w:rFonts w:ascii="Arial" w:hAnsi="Arial" w:cs="Arial"/>
        </w:rPr>
        <w:t xml:space="preserve">, </w:t>
      </w:r>
      <w:r w:rsidRPr="00D81482">
        <w:rPr>
          <w:rFonts w:ascii="Arial" w:hAnsi="Arial" w:cs="Arial"/>
          <w:b/>
        </w:rPr>
        <w:t>2013</w:t>
      </w:r>
      <w:r w:rsidRPr="00D81482">
        <w:rPr>
          <w:rFonts w:ascii="Arial" w:hAnsi="Arial" w:cs="Arial"/>
        </w:rPr>
        <w:t>, 5(4), 459 – 462.</w:t>
      </w:r>
    </w:p>
    <w:p w14:paraId="43BB7C4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27. </w:t>
      </w:r>
      <w:proofErr w:type="spellStart"/>
      <w:r w:rsidRPr="00D81482">
        <w:rPr>
          <w:rFonts w:ascii="Arial" w:hAnsi="Arial" w:cs="Arial"/>
        </w:rPr>
        <w:t>Zheljazkov</w:t>
      </w:r>
      <w:proofErr w:type="spellEnd"/>
      <w:r w:rsidRPr="00D81482">
        <w:rPr>
          <w:rFonts w:ascii="Arial" w:hAnsi="Arial" w:cs="Arial"/>
        </w:rPr>
        <w:t xml:space="preserve">, V.D.; Cantrell, C.L.; </w:t>
      </w:r>
      <w:proofErr w:type="spellStart"/>
      <w:r w:rsidRPr="00D81482">
        <w:rPr>
          <w:rFonts w:ascii="Arial" w:hAnsi="Arial" w:cs="Arial"/>
        </w:rPr>
        <w:t>Astatkie</w:t>
      </w:r>
      <w:proofErr w:type="spellEnd"/>
      <w:r w:rsidRPr="00D81482">
        <w:rPr>
          <w:rFonts w:ascii="Arial" w:hAnsi="Arial" w:cs="Arial"/>
        </w:rPr>
        <w:t xml:space="preserve">, T.; </w:t>
      </w:r>
      <w:proofErr w:type="spellStart"/>
      <w:r w:rsidRPr="00D81482">
        <w:rPr>
          <w:rFonts w:ascii="Arial" w:hAnsi="Arial" w:cs="Arial"/>
        </w:rPr>
        <w:t>Jeliazkova</w:t>
      </w:r>
      <w:proofErr w:type="spellEnd"/>
      <w:r w:rsidRPr="00D81482">
        <w:rPr>
          <w:rFonts w:ascii="Arial" w:hAnsi="Arial" w:cs="Arial"/>
        </w:rPr>
        <w:t xml:space="preserve">, E. Distillation time effect on lavender essential oil yield and composition. </w:t>
      </w:r>
      <w:r w:rsidRPr="00D81482">
        <w:rPr>
          <w:rFonts w:ascii="Arial" w:hAnsi="Arial" w:cs="Arial"/>
          <w:i/>
        </w:rPr>
        <w:t>J. Oleo Sci</w:t>
      </w:r>
      <w:r w:rsidRPr="00D81482">
        <w:rPr>
          <w:rFonts w:ascii="Arial" w:hAnsi="Arial" w:cs="Arial"/>
        </w:rPr>
        <w:t xml:space="preserve">. </w:t>
      </w:r>
      <w:r w:rsidRPr="00D81482">
        <w:rPr>
          <w:rFonts w:ascii="Arial" w:hAnsi="Arial" w:cs="Arial"/>
          <w:b/>
        </w:rPr>
        <w:t>2013</w:t>
      </w:r>
      <w:r w:rsidRPr="00D81482">
        <w:rPr>
          <w:rFonts w:ascii="Arial" w:hAnsi="Arial" w:cs="Arial"/>
        </w:rPr>
        <w:t xml:space="preserve">, 62 (4), 195–199. </w:t>
      </w:r>
    </w:p>
    <w:p w14:paraId="0A9B73C2"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28. Rouse, J.W.; Haas, R.H.; Schell, J.A.; Deering, D.W. Monitoring Vegetation Systems in the Great Plains with ERTS. </w:t>
      </w:r>
      <w:r w:rsidRPr="00D81482">
        <w:rPr>
          <w:rFonts w:ascii="Arial" w:hAnsi="Arial" w:cs="Arial"/>
          <w:i/>
        </w:rPr>
        <w:t>Third ERTS-1 Symposium NASA</w:t>
      </w:r>
      <w:r w:rsidRPr="00D81482">
        <w:rPr>
          <w:rFonts w:ascii="Arial" w:hAnsi="Arial" w:cs="Arial"/>
        </w:rPr>
        <w:t xml:space="preserve">, </w:t>
      </w:r>
      <w:r w:rsidRPr="00D81482">
        <w:rPr>
          <w:rFonts w:ascii="Arial" w:hAnsi="Arial" w:cs="Arial"/>
          <w:b/>
        </w:rPr>
        <w:t>1974</w:t>
      </w:r>
      <w:r w:rsidRPr="00D81482">
        <w:rPr>
          <w:rFonts w:ascii="Arial" w:hAnsi="Arial" w:cs="Arial"/>
        </w:rPr>
        <w:t>, NASA SP-351, Washington DC, 309-317.</w:t>
      </w:r>
    </w:p>
    <w:p w14:paraId="08B4834A"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29. Genovese, G.; </w:t>
      </w:r>
      <w:proofErr w:type="spellStart"/>
      <w:r w:rsidRPr="00D81482">
        <w:rPr>
          <w:rFonts w:ascii="Arial" w:hAnsi="Arial" w:cs="Arial"/>
        </w:rPr>
        <w:t>Vignolles</w:t>
      </w:r>
      <w:proofErr w:type="spellEnd"/>
      <w:r w:rsidRPr="00D81482">
        <w:rPr>
          <w:rFonts w:ascii="Arial" w:hAnsi="Arial" w:cs="Arial"/>
        </w:rPr>
        <w:t xml:space="preserve">, C.; Negre, T.; Passera, G. A methodology for a combined use of normalized difference vegetation index and CORINE land cover data for crop yield monitoring and forecasting. A case study on Spain. </w:t>
      </w:r>
      <w:proofErr w:type="spellStart"/>
      <w:r w:rsidRPr="00D81482">
        <w:rPr>
          <w:rFonts w:ascii="Arial" w:hAnsi="Arial" w:cs="Arial"/>
          <w:i/>
        </w:rPr>
        <w:t>Agronomie</w:t>
      </w:r>
      <w:proofErr w:type="spellEnd"/>
      <w:r w:rsidRPr="00D81482">
        <w:rPr>
          <w:rFonts w:ascii="Arial" w:hAnsi="Arial" w:cs="Arial"/>
        </w:rPr>
        <w:t xml:space="preserve"> </w:t>
      </w:r>
      <w:r w:rsidRPr="00D81482">
        <w:rPr>
          <w:rFonts w:ascii="Arial" w:hAnsi="Arial" w:cs="Arial"/>
          <w:b/>
        </w:rPr>
        <w:t>2001</w:t>
      </w:r>
      <w:r w:rsidRPr="00D81482">
        <w:rPr>
          <w:rFonts w:ascii="Arial" w:hAnsi="Arial" w:cs="Arial"/>
        </w:rPr>
        <w:t>, 21, 91–111.</w:t>
      </w:r>
    </w:p>
    <w:p w14:paraId="101D6F00"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30. Meng, J.; Du, X.; Wu, B. Generation of high spatial and temporal resolution NDVI and its application in crop biomass estimation. </w:t>
      </w:r>
      <w:r w:rsidRPr="00D81482">
        <w:rPr>
          <w:rFonts w:ascii="Arial" w:hAnsi="Arial" w:cs="Arial"/>
          <w:i/>
        </w:rPr>
        <w:t>Int. J. Dig. Earth</w:t>
      </w:r>
      <w:r w:rsidRPr="00D81482">
        <w:rPr>
          <w:rFonts w:ascii="Arial" w:hAnsi="Arial" w:cs="Arial"/>
        </w:rPr>
        <w:t xml:space="preserve">. </w:t>
      </w:r>
      <w:r w:rsidRPr="00D81482">
        <w:rPr>
          <w:rFonts w:ascii="Arial" w:hAnsi="Arial" w:cs="Arial"/>
          <w:b/>
        </w:rPr>
        <w:t>2013</w:t>
      </w:r>
      <w:r w:rsidRPr="00D81482">
        <w:rPr>
          <w:rFonts w:ascii="Arial" w:hAnsi="Arial" w:cs="Arial"/>
        </w:rPr>
        <w:t>, 6, 203–218.</w:t>
      </w:r>
    </w:p>
    <w:p w14:paraId="5438008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31. Liakos, V.; </w:t>
      </w:r>
      <w:proofErr w:type="spellStart"/>
      <w:r w:rsidRPr="00D81482">
        <w:rPr>
          <w:rFonts w:ascii="Arial" w:hAnsi="Arial" w:cs="Arial"/>
        </w:rPr>
        <w:t>Navrozidis</w:t>
      </w:r>
      <w:proofErr w:type="spellEnd"/>
      <w:r w:rsidRPr="00D81482">
        <w:rPr>
          <w:rFonts w:ascii="Arial" w:hAnsi="Arial" w:cs="Arial"/>
        </w:rPr>
        <w:t xml:space="preserve">, I.E.; </w:t>
      </w:r>
      <w:proofErr w:type="spellStart"/>
      <w:r w:rsidRPr="00D81482">
        <w:rPr>
          <w:rFonts w:ascii="Arial" w:hAnsi="Arial" w:cs="Arial"/>
        </w:rPr>
        <w:t>Koutsogeorgiou</w:t>
      </w:r>
      <w:proofErr w:type="spellEnd"/>
      <w:r w:rsidRPr="00D81482">
        <w:rPr>
          <w:rFonts w:ascii="Arial" w:hAnsi="Arial" w:cs="Arial"/>
        </w:rPr>
        <w:t xml:space="preserve">, E.I.; </w:t>
      </w:r>
      <w:proofErr w:type="spellStart"/>
      <w:r w:rsidRPr="00D81482">
        <w:rPr>
          <w:rFonts w:ascii="Arial" w:hAnsi="Arial" w:cs="Arial"/>
        </w:rPr>
        <w:t>Gogolashvili</w:t>
      </w:r>
      <w:proofErr w:type="spellEnd"/>
      <w:r w:rsidRPr="00D81482">
        <w:rPr>
          <w:rFonts w:ascii="Arial" w:hAnsi="Arial" w:cs="Arial"/>
        </w:rPr>
        <w:t xml:space="preserve">, N.E.; </w:t>
      </w:r>
      <w:proofErr w:type="spellStart"/>
      <w:r w:rsidRPr="00D81482">
        <w:rPr>
          <w:rFonts w:ascii="Arial" w:hAnsi="Arial" w:cs="Arial"/>
        </w:rPr>
        <w:t>Samourgkanidou</w:t>
      </w:r>
      <w:proofErr w:type="spellEnd"/>
      <w:r w:rsidRPr="00D81482">
        <w:rPr>
          <w:rFonts w:ascii="Arial" w:hAnsi="Arial" w:cs="Arial"/>
        </w:rPr>
        <w:t xml:space="preserve">, E.; </w:t>
      </w:r>
      <w:proofErr w:type="spellStart"/>
      <w:r w:rsidRPr="00D81482">
        <w:rPr>
          <w:rFonts w:ascii="Arial" w:hAnsi="Arial" w:cs="Arial"/>
        </w:rPr>
        <w:t>Faraslis</w:t>
      </w:r>
      <w:proofErr w:type="spellEnd"/>
      <w:r w:rsidRPr="00D81482">
        <w:rPr>
          <w:rFonts w:ascii="Arial" w:hAnsi="Arial" w:cs="Arial"/>
        </w:rPr>
        <w:t xml:space="preserve">, I.; </w:t>
      </w:r>
      <w:proofErr w:type="spellStart"/>
      <w:r w:rsidRPr="00D81482">
        <w:rPr>
          <w:rFonts w:ascii="Arial" w:hAnsi="Arial" w:cs="Arial"/>
        </w:rPr>
        <w:t>Gravalos</w:t>
      </w:r>
      <w:proofErr w:type="spellEnd"/>
      <w:r w:rsidRPr="00D81482">
        <w:rPr>
          <w:rFonts w:ascii="Arial" w:hAnsi="Arial" w:cs="Arial"/>
        </w:rPr>
        <w:t xml:space="preserve">, I.; </w:t>
      </w:r>
      <w:proofErr w:type="spellStart"/>
      <w:r w:rsidRPr="00D81482">
        <w:rPr>
          <w:rFonts w:ascii="Arial" w:hAnsi="Arial" w:cs="Arial"/>
        </w:rPr>
        <w:t>Thomidis</w:t>
      </w:r>
      <w:proofErr w:type="spellEnd"/>
      <w:r w:rsidRPr="00D81482">
        <w:rPr>
          <w:rFonts w:ascii="Arial" w:hAnsi="Arial" w:cs="Arial"/>
        </w:rPr>
        <w:t xml:space="preserve">, T.; Andreadis, S.S. Analyzing On-Farm Spatiotemporal Distribution of </w:t>
      </w:r>
      <w:proofErr w:type="spellStart"/>
      <w:r w:rsidRPr="00D81482">
        <w:rPr>
          <w:rFonts w:ascii="Arial" w:hAnsi="Arial" w:cs="Arial"/>
        </w:rPr>
        <w:t>Halyomorpha</w:t>
      </w:r>
      <w:proofErr w:type="spellEnd"/>
      <w:r w:rsidRPr="00D81482">
        <w:rPr>
          <w:rFonts w:ascii="Arial" w:hAnsi="Arial" w:cs="Arial"/>
        </w:rPr>
        <w:t xml:space="preserve"> </w:t>
      </w:r>
      <w:proofErr w:type="spellStart"/>
      <w:r w:rsidRPr="00D81482">
        <w:rPr>
          <w:rFonts w:ascii="Arial" w:hAnsi="Arial" w:cs="Arial"/>
        </w:rPr>
        <w:t>halys</w:t>
      </w:r>
      <w:proofErr w:type="spellEnd"/>
      <w:r w:rsidRPr="00D81482">
        <w:rPr>
          <w:rFonts w:ascii="Arial" w:hAnsi="Arial" w:cs="Arial"/>
        </w:rPr>
        <w:t xml:space="preserve"> (</w:t>
      </w:r>
      <w:proofErr w:type="spellStart"/>
      <w:r w:rsidRPr="00D81482">
        <w:rPr>
          <w:rFonts w:ascii="Arial" w:hAnsi="Arial" w:cs="Arial"/>
        </w:rPr>
        <w:t>Stål</w:t>
      </w:r>
      <w:proofErr w:type="spellEnd"/>
      <w:r w:rsidRPr="00D81482">
        <w:rPr>
          <w:rFonts w:ascii="Arial" w:hAnsi="Arial" w:cs="Arial"/>
        </w:rPr>
        <w:t xml:space="preserve">) (Hemiptera: Pentatomidae) Populations from a Precision Agriculture Perspective. </w:t>
      </w:r>
      <w:r w:rsidRPr="00D81482">
        <w:rPr>
          <w:rFonts w:ascii="Arial" w:hAnsi="Arial" w:cs="Arial"/>
          <w:i/>
        </w:rPr>
        <w:t>Plants</w:t>
      </w:r>
      <w:r w:rsidRPr="00D81482">
        <w:rPr>
          <w:rFonts w:ascii="Arial" w:hAnsi="Arial" w:cs="Arial"/>
        </w:rPr>
        <w:t xml:space="preserve"> </w:t>
      </w:r>
      <w:r w:rsidRPr="00D81482">
        <w:rPr>
          <w:rFonts w:ascii="Arial" w:hAnsi="Arial" w:cs="Arial"/>
          <w:b/>
        </w:rPr>
        <w:t>2023</w:t>
      </w:r>
      <w:r w:rsidRPr="00D81482">
        <w:rPr>
          <w:rFonts w:ascii="Arial" w:hAnsi="Arial" w:cs="Arial"/>
        </w:rPr>
        <w:t>, 12, 2282. https://doi.org/10.3390/plants12122282.</w:t>
      </w:r>
    </w:p>
    <w:p w14:paraId="037A323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32. Jamshidi, E.; Yusup, Y.; Hooy, C.; Kamaruddin, M.; Hassan, H.; Muhammad, S.; </w:t>
      </w:r>
      <w:proofErr w:type="spellStart"/>
      <w:r w:rsidRPr="00D81482">
        <w:rPr>
          <w:rFonts w:ascii="Arial" w:hAnsi="Arial" w:cs="Arial"/>
        </w:rPr>
        <w:t>Shafri</w:t>
      </w:r>
      <w:proofErr w:type="spellEnd"/>
      <w:r w:rsidRPr="00D81482">
        <w:rPr>
          <w:rFonts w:ascii="Arial" w:hAnsi="Arial" w:cs="Arial"/>
        </w:rPr>
        <w:t xml:space="preserve">, H.; Then, K.; </w:t>
      </w:r>
      <w:proofErr w:type="spellStart"/>
      <w:r w:rsidRPr="00D81482">
        <w:rPr>
          <w:rFonts w:ascii="Arial" w:hAnsi="Arial" w:cs="Arial"/>
        </w:rPr>
        <w:t>Norizan</w:t>
      </w:r>
      <w:proofErr w:type="spellEnd"/>
      <w:r w:rsidRPr="00D81482">
        <w:rPr>
          <w:rFonts w:ascii="Arial" w:hAnsi="Arial" w:cs="Arial"/>
        </w:rPr>
        <w:t xml:space="preserve">, M.; Tan, C. Predicting oil palm yield using a comprehensive agronomy dataset and 17 machine learning and deep learning models, </w:t>
      </w:r>
      <w:r w:rsidRPr="00D81482">
        <w:rPr>
          <w:rFonts w:ascii="Arial" w:hAnsi="Arial" w:cs="Arial"/>
          <w:i/>
        </w:rPr>
        <w:t>Ecological Informatics</w:t>
      </w:r>
      <w:r w:rsidRPr="00D81482">
        <w:rPr>
          <w:rFonts w:ascii="Arial" w:hAnsi="Arial" w:cs="Arial"/>
        </w:rPr>
        <w:t xml:space="preserve">, Volume 81, </w:t>
      </w:r>
      <w:r w:rsidRPr="00D81482">
        <w:rPr>
          <w:rFonts w:ascii="Arial" w:hAnsi="Arial" w:cs="Arial"/>
          <w:b/>
        </w:rPr>
        <w:t>2024</w:t>
      </w:r>
      <w:r w:rsidRPr="00D81482">
        <w:rPr>
          <w:rFonts w:ascii="Arial" w:hAnsi="Arial" w:cs="Arial"/>
        </w:rPr>
        <w:t xml:space="preserve">, 102595, ISSN 1574-9541, </w:t>
      </w:r>
      <w:hyperlink r:id="rId21" w:history="1">
        <w:r w:rsidRPr="00D81482">
          <w:rPr>
            <w:rStyle w:val="Hyperlink"/>
            <w:rFonts w:ascii="Arial" w:hAnsi="Arial" w:cs="Arial"/>
          </w:rPr>
          <w:t>https://doi.org/10.1016/j.ecoinf.2024.102595</w:t>
        </w:r>
      </w:hyperlink>
      <w:r w:rsidRPr="00D81482">
        <w:rPr>
          <w:rFonts w:ascii="Arial" w:hAnsi="Arial" w:cs="Arial"/>
        </w:rPr>
        <w:t>.</w:t>
      </w:r>
    </w:p>
    <w:p w14:paraId="01E5074E"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33. Demir, S.; </w:t>
      </w:r>
      <w:proofErr w:type="spellStart"/>
      <w:r w:rsidRPr="00D81482">
        <w:rPr>
          <w:rFonts w:ascii="Arial" w:hAnsi="Arial" w:cs="Arial"/>
        </w:rPr>
        <w:t>Dedeoğlu</w:t>
      </w:r>
      <w:proofErr w:type="spellEnd"/>
      <w:r w:rsidRPr="00D81482">
        <w:rPr>
          <w:rFonts w:ascii="Arial" w:hAnsi="Arial" w:cs="Arial"/>
        </w:rPr>
        <w:t xml:space="preserve">, M.; </w:t>
      </w:r>
      <w:proofErr w:type="spellStart"/>
      <w:r w:rsidRPr="00D81482">
        <w:rPr>
          <w:rFonts w:ascii="Arial" w:hAnsi="Arial" w:cs="Arial"/>
        </w:rPr>
        <w:t>Başayiğit</w:t>
      </w:r>
      <w:proofErr w:type="spellEnd"/>
      <w:r w:rsidRPr="00D81482">
        <w:rPr>
          <w:rFonts w:ascii="Arial" w:hAnsi="Arial" w:cs="Arial"/>
        </w:rPr>
        <w:t xml:space="preserve">, L.; Yield prediction models of organic oil rose farming with agricultural unmanned aerial vehicles (UAVs) images and machine learning algorithms, </w:t>
      </w:r>
      <w:r w:rsidRPr="00D81482">
        <w:rPr>
          <w:rFonts w:ascii="Arial" w:hAnsi="Arial" w:cs="Arial"/>
          <w:i/>
        </w:rPr>
        <w:t>Remote Sensing Applications: Society and Environment</w:t>
      </w:r>
      <w:r w:rsidRPr="00D81482">
        <w:rPr>
          <w:rFonts w:ascii="Arial" w:hAnsi="Arial" w:cs="Arial"/>
        </w:rPr>
        <w:t xml:space="preserve">, Volume 33, </w:t>
      </w:r>
      <w:r w:rsidRPr="00D81482">
        <w:rPr>
          <w:rFonts w:ascii="Arial" w:hAnsi="Arial" w:cs="Arial"/>
          <w:b/>
        </w:rPr>
        <w:t>2024</w:t>
      </w:r>
      <w:r w:rsidRPr="00D81482">
        <w:rPr>
          <w:rFonts w:ascii="Arial" w:hAnsi="Arial" w:cs="Arial"/>
        </w:rPr>
        <w:t xml:space="preserve">, 101131, ISSN 2352-9385, </w:t>
      </w:r>
      <w:hyperlink r:id="rId22" w:history="1">
        <w:r w:rsidRPr="00D81482">
          <w:rPr>
            <w:rStyle w:val="Hyperlink"/>
            <w:rFonts w:ascii="Arial" w:hAnsi="Arial" w:cs="Arial"/>
          </w:rPr>
          <w:t>https://doi.org/10.1016/j.rsase.2023.101131</w:t>
        </w:r>
      </w:hyperlink>
      <w:r w:rsidRPr="00D81482">
        <w:rPr>
          <w:rFonts w:ascii="Arial" w:hAnsi="Arial" w:cs="Arial"/>
        </w:rPr>
        <w:t>.</w:t>
      </w:r>
    </w:p>
    <w:p w14:paraId="4A55EBF7"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34. Jorge, J.; </w:t>
      </w:r>
      <w:proofErr w:type="spellStart"/>
      <w:r w:rsidRPr="00D81482">
        <w:rPr>
          <w:rFonts w:ascii="Arial" w:hAnsi="Arial" w:cs="Arial"/>
        </w:rPr>
        <w:t>Vallbé</w:t>
      </w:r>
      <w:proofErr w:type="spellEnd"/>
      <w:r w:rsidRPr="00D81482">
        <w:rPr>
          <w:rFonts w:ascii="Arial" w:hAnsi="Arial" w:cs="Arial"/>
        </w:rPr>
        <w:t xml:space="preserve">, M.; Soler, J. A. Detection of irrigation inhomogeneities in an olive grove using the NDRE vegetation index obtained from UAV images. </w:t>
      </w:r>
      <w:r w:rsidRPr="00D81482">
        <w:rPr>
          <w:rFonts w:ascii="Arial" w:hAnsi="Arial" w:cs="Arial"/>
          <w:i/>
        </w:rPr>
        <w:t>European Journal of Remote Sensing</w:t>
      </w:r>
      <w:r w:rsidRPr="00D81482">
        <w:rPr>
          <w:rFonts w:ascii="Arial" w:hAnsi="Arial" w:cs="Arial"/>
        </w:rPr>
        <w:t xml:space="preserve">, </w:t>
      </w:r>
      <w:r w:rsidRPr="00D81482">
        <w:rPr>
          <w:rFonts w:ascii="Arial" w:hAnsi="Arial" w:cs="Arial"/>
          <w:b/>
        </w:rPr>
        <w:t>2019</w:t>
      </w:r>
      <w:r w:rsidRPr="00D81482">
        <w:rPr>
          <w:rFonts w:ascii="Arial" w:hAnsi="Arial" w:cs="Arial"/>
        </w:rPr>
        <w:t xml:space="preserve">, 52(1), 169–177. </w:t>
      </w:r>
      <w:hyperlink r:id="rId23" w:history="1">
        <w:r w:rsidRPr="00D81482">
          <w:rPr>
            <w:rStyle w:val="Hyperlink"/>
            <w:rFonts w:ascii="Arial" w:hAnsi="Arial" w:cs="Arial"/>
          </w:rPr>
          <w:t>https://doi.org/10.1080/22797254.2019.1572459</w:t>
        </w:r>
      </w:hyperlink>
    </w:p>
    <w:p w14:paraId="5D4A3826" w14:textId="77777777" w:rsidR="00D81482" w:rsidRPr="00D81482" w:rsidRDefault="00D81482" w:rsidP="00D81482">
      <w:pPr>
        <w:spacing w:line="360" w:lineRule="auto"/>
        <w:jc w:val="both"/>
        <w:rPr>
          <w:rFonts w:ascii="Arial" w:hAnsi="Arial" w:cs="Arial"/>
        </w:rPr>
      </w:pPr>
      <w:r w:rsidRPr="00D81482">
        <w:rPr>
          <w:rFonts w:ascii="Arial" w:hAnsi="Arial" w:cs="Arial"/>
        </w:rPr>
        <w:t xml:space="preserve">35. Zhang, K.; Ge, X.; Shen, P.; Li, W.; Liu, X.; Cao, Q.; Zhu, Y.; Cao, W.; Tian, Y. Predicting Rice Grain Yield Based on Dynamic Changes in Vegetation Indexes during Early to Mid-Growth Stages. </w:t>
      </w:r>
      <w:r w:rsidRPr="00D81482">
        <w:rPr>
          <w:rFonts w:ascii="Arial" w:hAnsi="Arial" w:cs="Arial"/>
          <w:i/>
        </w:rPr>
        <w:t>Remote Sens</w:t>
      </w:r>
      <w:r w:rsidRPr="00D81482">
        <w:rPr>
          <w:rFonts w:ascii="Arial" w:hAnsi="Arial" w:cs="Arial"/>
        </w:rPr>
        <w:t xml:space="preserve">. </w:t>
      </w:r>
      <w:r w:rsidRPr="00D81482">
        <w:rPr>
          <w:rFonts w:ascii="Arial" w:hAnsi="Arial" w:cs="Arial"/>
          <w:b/>
        </w:rPr>
        <w:t>2019</w:t>
      </w:r>
      <w:r w:rsidRPr="00D81482">
        <w:rPr>
          <w:rFonts w:ascii="Arial" w:hAnsi="Arial" w:cs="Arial"/>
        </w:rPr>
        <w:t xml:space="preserve">, 11, 387. </w:t>
      </w:r>
      <w:hyperlink r:id="rId24" w:history="1">
        <w:r w:rsidRPr="00D81482">
          <w:rPr>
            <w:rStyle w:val="Hyperlink"/>
            <w:rFonts w:ascii="Arial" w:hAnsi="Arial" w:cs="Arial"/>
          </w:rPr>
          <w:t>https://doi.org/10.3390/rs11040387</w:t>
        </w:r>
      </w:hyperlink>
      <w:r w:rsidRPr="00D81482">
        <w:rPr>
          <w:rFonts w:ascii="Arial" w:hAnsi="Arial" w:cs="Arial"/>
        </w:rPr>
        <w:t>.</w:t>
      </w:r>
    </w:p>
    <w:p w14:paraId="0358FD59" w14:textId="77777777" w:rsidR="00D81482" w:rsidRPr="00D81482" w:rsidRDefault="00D81482" w:rsidP="00D81482">
      <w:pPr>
        <w:spacing w:line="360" w:lineRule="auto"/>
        <w:jc w:val="both"/>
        <w:rPr>
          <w:rFonts w:ascii="Arial" w:hAnsi="Arial" w:cs="Arial"/>
        </w:rPr>
      </w:pPr>
      <w:r w:rsidRPr="00D81482">
        <w:rPr>
          <w:rFonts w:ascii="Arial" w:hAnsi="Arial" w:cs="Arial"/>
        </w:rPr>
        <w:lastRenderedPageBreak/>
        <w:t xml:space="preserve">36. Yang M, Hassan MA, Xu K, Zheng C, Rasheed A, Zhang Y, Jin X, Xia X, Xiao Y, He Z. Assessment of Water and Nitrogen Use Efficiencies Through UAV-Based Multispectral Phenotyping in Winter Wheat. </w:t>
      </w:r>
      <w:r w:rsidRPr="00D81482">
        <w:rPr>
          <w:rFonts w:ascii="Arial" w:hAnsi="Arial" w:cs="Arial"/>
          <w:i/>
        </w:rPr>
        <w:t>Front Plant Sci.</w:t>
      </w:r>
      <w:r w:rsidRPr="00D81482">
        <w:rPr>
          <w:rFonts w:ascii="Arial" w:hAnsi="Arial" w:cs="Arial"/>
        </w:rPr>
        <w:t xml:space="preserve"> </w:t>
      </w:r>
      <w:r w:rsidRPr="00D81482">
        <w:rPr>
          <w:rFonts w:ascii="Arial" w:hAnsi="Arial" w:cs="Arial"/>
          <w:b/>
        </w:rPr>
        <w:t>2020</w:t>
      </w:r>
      <w:r w:rsidRPr="00D81482">
        <w:rPr>
          <w:rFonts w:ascii="Arial" w:hAnsi="Arial" w:cs="Arial"/>
        </w:rPr>
        <w:t xml:space="preserve">, 11:927. </w:t>
      </w:r>
      <w:proofErr w:type="spellStart"/>
      <w:r w:rsidRPr="00D81482">
        <w:rPr>
          <w:rFonts w:ascii="Arial" w:hAnsi="Arial" w:cs="Arial"/>
        </w:rPr>
        <w:t>doi</w:t>
      </w:r>
      <w:proofErr w:type="spellEnd"/>
      <w:r w:rsidRPr="00D81482">
        <w:rPr>
          <w:rFonts w:ascii="Arial" w:hAnsi="Arial" w:cs="Arial"/>
        </w:rPr>
        <w:t>: 10.3389/fpls.2020.00927.</w:t>
      </w:r>
    </w:p>
    <w:p w14:paraId="07FBF642" w14:textId="77777777" w:rsidR="00D81482" w:rsidRPr="00D81482" w:rsidRDefault="00D81482" w:rsidP="00D81482">
      <w:pPr>
        <w:spacing w:line="360" w:lineRule="auto"/>
        <w:jc w:val="both"/>
        <w:rPr>
          <w:rFonts w:ascii="Arial" w:hAnsi="Arial" w:cs="Arial"/>
          <w:color w:val="222222"/>
          <w:shd w:val="clear" w:color="auto" w:fill="FFFFFF"/>
        </w:rPr>
      </w:pPr>
      <w:r w:rsidRPr="00D81482">
        <w:rPr>
          <w:rFonts w:ascii="Arial" w:hAnsi="Arial" w:cs="Arial"/>
          <w:color w:val="222222"/>
          <w:shd w:val="clear" w:color="auto" w:fill="FFFFFF"/>
        </w:rPr>
        <w:t xml:space="preserve">37. Jackson, T.J.; Chen, D.; </w:t>
      </w:r>
      <w:proofErr w:type="spellStart"/>
      <w:r w:rsidRPr="00D81482">
        <w:rPr>
          <w:rFonts w:ascii="Arial" w:hAnsi="Arial" w:cs="Arial"/>
          <w:color w:val="222222"/>
          <w:shd w:val="clear" w:color="auto" w:fill="FFFFFF"/>
        </w:rPr>
        <w:t>Cosh</w:t>
      </w:r>
      <w:proofErr w:type="spellEnd"/>
      <w:r w:rsidRPr="00D81482">
        <w:rPr>
          <w:rFonts w:ascii="Arial" w:hAnsi="Arial" w:cs="Arial"/>
          <w:color w:val="222222"/>
          <w:shd w:val="clear" w:color="auto" w:fill="FFFFFF"/>
        </w:rPr>
        <w:t xml:space="preserve">, M.; Li, F.; Anderson, M.; Walthall, C.; </w:t>
      </w:r>
      <w:proofErr w:type="spellStart"/>
      <w:r w:rsidRPr="00D81482">
        <w:rPr>
          <w:rFonts w:ascii="Arial" w:hAnsi="Arial" w:cs="Arial"/>
          <w:color w:val="222222"/>
          <w:shd w:val="clear" w:color="auto" w:fill="FFFFFF"/>
        </w:rPr>
        <w:t>Doriaswamy</w:t>
      </w:r>
      <w:proofErr w:type="spellEnd"/>
      <w:r w:rsidRPr="00D81482">
        <w:rPr>
          <w:rFonts w:ascii="Arial" w:hAnsi="Arial" w:cs="Arial"/>
          <w:color w:val="222222"/>
          <w:shd w:val="clear" w:color="auto" w:fill="FFFFFF"/>
        </w:rPr>
        <w:t>, P.; Hunt, E.R. Vegetation water content mapping using Landsat data derived normalized difference water index for corn and soybeans. </w:t>
      </w:r>
      <w:r w:rsidRPr="00D81482">
        <w:rPr>
          <w:rStyle w:val="html-italic"/>
          <w:rFonts w:ascii="Arial" w:hAnsi="Arial" w:cs="Arial"/>
          <w:i/>
          <w:iCs/>
          <w:color w:val="222222"/>
          <w:shd w:val="clear" w:color="auto" w:fill="FFFFFF"/>
        </w:rPr>
        <w:t>Remote Sens. Environ.</w:t>
      </w:r>
      <w:r w:rsidRPr="00D81482">
        <w:rPr>
          <w:rFonts w:ascii="Arial" w:hAnsi="Arial" w:cs="Arial"/>
          <w:color w:val="222222"/>
          <w:shd w:val="clear" w:color="auto" w:fill="FFFFFF"/>
        </w:rPr>
        <w:t> </w:t>
      </w:r>
      <w:r w:rsidRPr="00D81482">
        <w:rPr>
          <w:rFonts w:ascii="Arial" w:hAnsi="Arial" w:cs="Arial"/>
          <w:b/>
          <w:bCs/>
          <w:color w:val="222222"/>
          <w:shd w:val="clear" w:color="auto" w:fill="FFFFFF"/>
        </w:rPr>
        <w:t>2004</w:t>
      </w:r>
      <w:r w:rsidRPr="00D81482">
        <w:rPr>
          <w:rFonts w:ascii="Arial" w:hAnsi="Arial" w:cs="Arial"/>
          <w:color w:val="222222"/>
          <w:shd w:val="clear" w:color="auto" w:fill="FFFFFF"/>
        </w:rPr>
        <w:t>, </w:t>
      </w:r>
      <w:r w:rsidRPr="00D81482">
        <w:rPr>
          <w:rStyle w:val="html-italic"/>
          <w:rFonts w:ascii="Arial" w:hAnsi="Arial" w:cs="Arial"/>
          <w:i/>
          <w:iCs/>
          <w:color w:val="222222"/>
          <w:shd w:val="clear" w:color="auto" w:fill="FFFFFF"/>
        </w:rPr>
        <w:t>92</w:t>
      </w:r>
      <w:r w:rsidRPr="00D81482">
        <w:rPr>
          <w:rFonts w:ascii="Arial" w:hAnsi="Arial" w:cs="Arial"/>
          <w:color w:val="222222"/>
          <w:shd w:val="clear" w:color="auto" w:fill="FFFFFF"/>
        </w:rPr>
        <w:t>, 475–482.</w:t>
      </w:r>
    </w:p>
    <w:p w14:paraId="6822FAEC"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38. Boles, S.H.; Xiao, X.; Liu, J.; Zhang, Q.; </w:t>
      </w:r>
      <w:proofErr w:type="spellStart"/>
      <w:r w:rsidRPr="00D81482">
        <w:rPr>
          <w:rFonts w:ascii="Arial" w:hAnsi="Arial" w:cs="Arial"/>
          <w:color w:val="222222"/>
        </w:rPr>
        <w:t>Munktuya</w:t>
      </w:r>
      <w:proofErr w:type="spellEnd"/>
      <w:r w:rsidRPr="00D81482">
        <w:rPr>
          <w:rFonts w:ascii="Arial" w:hAnsi="Arial" w:cs="Arial"/>
          <w:color w:val="222222"/>
        </w:rPr>
        <w:t>, S.; Chen, S.; Ojima, D. Land cover characterization of Temperate East Asia using multi-temporal VEGETATION sensor data. </w:t>
      </w:r>
      <w:r w:rsidRPr="00D81482">
        <w:rPr>
          <w:rStyle w:val="html-italic"/>
          <w:rFonts w:ascii="Arial" w:hAnsi="Arial" w:cs="Arial"/>
          <w:i/>
          <w:iCs/>
          <w:color w:val="222222"/>
        </w:rPr>
        <w:t>Remote Sens. Environ.</w:t>
      </w:r>
      <w:r w:rsidRPr="00D81482">
        <w:rPr>
          <w:rFonts w:ascii="Arial" w:hAnsi="Arial" w:cs="Arial"/>
          <w:color w:val="222222"/>
        </w:rPr>
        <w:t> </w:t>
      </w:r>
      <w:r w:rsidRPr="00D81482">
        <w:rPr>
          <w:rFonts w:ascii="Arial" w:hAnsi="Arial" w:cs="Arial"/>
          <w:b/>
          <w:bCs/>
          <w:color w:val="222222"/>
        </w:rPr>
        <w:t>2004</w:t>
      </w:r>
      <w:r w:rsidRPr="00D81482">
        <w:rPr>
          <w:rFonts w:ascii="Arial" w:hAnsi="Arial" w:cs="Arial"/>
          <w:color w:val="222222"/>
        </w:rPr>
        <w:t>, </w:t>
      </w:r>
      <w:r w:rsidRPr="00D81482">
        <w:rPr>
          <w:rStyle w:val="html-italic"/>
          <w:rFonts w:ascii="Arial" w:hAnsi="Arial" w:cs="Arial"/>
          <w:i/>
          <w:iCs/>
          <w:color w:val="222222"/>
        </w:rPr>
        <w:t>90</w:t>
      </w:r>
      <w:r w:rsidRPr="00D81482">
        <w:rPr>
          <w:rFonts w:ascii="Arial" w:hAnsi="Arial" w:cs="Arial"/>
          <w:color w:val="222222"/>
        </w:rPr>
        <w:t>, 477–489.</w:t>
      </w:r>
    </w:p>
    <w:p w14:paraId="21010B60" w14:textId="77777777" w:rsidR="00D81482" w:rsidRPr="00D81482" w:rsidRDefault="00D81482" w:rsidP="00D81482">
      <w:pPr>
        <w:shd w:val="clear" w:color="auto" w:fill="FFFFFF"/>
        <w:spacing w:line="360" w:lineRule="auto"/>
        <w:jc w:val="both"/>
        <w:rPr>
          <w:rFonts w:ascii="Arial" w:hAnsi="Arial" w:cs="Arial"/>
          <w:color w:val="222222"/>
        </w:rPr>
      </w:pPr>
    </w:p>
    <w:p w14:paraId="401E1AF8"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39. Xiao, X.; Boles, S.; Liu, J.; Zhuang, D.; Liu, M. Characterization of forest types in Northeastern China, using multi-temporal SPOT-4 VEGETATION sensor data. </w:t>
      </w:r>
      <w:r w:rsidRPr="00D81482">
        <w:rPr>
          <w:rStyle w:val="html-italic"/>
          <w:rFonts w:ascii="Arial" w:hAnsi="Arial" w:cs="Arial"/>
          <w:i/>
          <w:iCs/>
          <w:color w:val="222222"/>
        </w:rPr>
        <w:t>Remote Sens. Environ.</w:t>
      </w:r>
      <w:r w:rsidRPr="00D81482">
        <w:rPr>
          <w:rFonts w:ascii="Arial" w:hAnsi="Arial" w:cs="Arial"/>
          <w:color w:val="222222"/>
        </w:rPr>
        <w:t> </w:t>
      </w:r>
      <w:r w:rsidRPr="00D81482">
        <w:rPr>
          <w:rFonts w:ascii="Arial" w:hAnsi="Arial" w:cs="Arial"/>
          <w:b/>
          <w:bCs/>
          <w:color w:val="222222"/>
        </w:rPr>
        <w:t>2002</w:t>
      </w:r>
      <w:r w:rsidRPr="00D81482">
        <w:rPr>
          <w:rFonts w:ascii="Arial" w:hAnsi="Arial" w:cs="Arial"/>
          <w:color w:val="222222"/>
        </w:rPr>
        <w:t>, </w:t>
      </w:r>
      <w:r w:rsidRPr="00D81482">
        <w:rPr>
          <w:rStyle w:val="html-italic"/>
          <w:rFonts w:ascii="Arial" w:hAnsi="Arial" w:cs="Arial"/>
          <w:i/>
          <w:iCs/>
          <w:color w:val="222222"/>
        </w:rPr>
        <w:t>82</w:t>
      </w:r>
      <w:r w:rsidRPr="00D81482">
        <w:rPr>
          <w:rFonts w:ascii="Arial" w:hAnsi="Arial" w:cs="Arial"/>
          <w:color w:val="222222"/>
        </w:rPr>
        <w:t>, 335–348.</w:t>
      </w:r>
    </w:p>
    <w:p w14:paraId="5DFD85AB"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40. </w:t>
      </w:r>
      <w:r w:rsidRPr="00D81482">
        <w:rPr>
          <w:rFonts w:ascii="Arial" w:hAnsi="Arial" w:cs="Arial"/>
          <w:color w:val="222222"/>
          <w:shd w:val="clear" w:color="auto" w:fill="FFFFFF"/>
        </w:rPr>
        <w:t>Fensholt, R.; Sandholt, I. Derivation of a shortwave infrared water stress index from MODIS near- and shortwave infrared data in a semiarid environment. </w:t>
      </w:r>
      <w:r w:rsidRPr="00D81482">
        <w:rPr>
          <w:rStyle w:val="html-italic"/>
          <w:rFonts w:ascii="Arial" w:hAnsi="Arial" w:cs="Arial"/>
          <w:i/>
          <w:iCs/>
          <w:color w:val="222222"/>
          <w:shd w:val="clear" w:color="auto" w:fill="FFFFFF"/>
        </w:rPr>
        <w:t>Remote Sens. Environ.</w:t>
      </w:r>
      <w:r w:rsidRPr="00D81482">
        <w:rPr>
          <w:rFonts w:ascii="Arial" w:hAnsi="Arial" w:cs="Arial"/>
          <w:color w:val="222222"/>
          <w:shd w:val="clear" w:color="auto" w:fill="FFFFFF"/>
        </w:rPr>
        <w:t> </w:t>
      </w:r>
      <w:r w:rsidRPr="00D81482">
        <w:rPr>
          <w:rFonts w:ascii="Arial" w:hAnsi="Arial" w:cs="Arial"/>
          <w:b/>
          <w:bCs/>
          <w:color w:val="222222"/>
          <w:shd w:val="clear" w:color="auto" w:fill="FFFFFF"/>
        </w:rPr>
        <w:t>2003</w:t>
      </w:r>
      <w:r w:rsidRPr="00D81482">
        <w:rPr>
          <w:rFonts w:ascii="Arial" w:hAnsi="Arial" w:cs="Arial"/>
          <w:color w:val="222222"/>
          <w:shd w:val="clear" w:color="auto" w:fill="FFFFFF"/>
        </w:rPr>
        <w:t>, </w:t>
      </w:r>
      <w:r w:rsidRPr="00D81482">
        <w:rPr>
          <w:rStyle w:val="html-italic"/>
          <w:rFonts w:ascii="Arial" w:hAnsi="Arial" w:cs="Arial"/>
          <w:i/>
          <w:iCs/>
          <w:color w:val="222222"/>
          <w:shd w:val="clear" w:color="auto" w:fill="FFFFFF"/>
        </w:rPr>
        <w:t>87</w:t>
      </w:r>
      <w:r w:rsidRPr="00D81482">
        <w:rPr>
          <w:rFonts w:ascii="Arial" w:hAnsi="Arial" w:cs="Arial"/>
          <w:color w:val="222222"/>
          <w:shd w:val="clear" w:color="auto" w:fill="FFFFFF"/>
        </w:rPr>
        <w:t>, 111–121.</w:t>
      </w:r>
    </w:p>
    <w:p w14:paraId="61FDC856"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41. Huntington, J.; Hegewisch, K.; </w:t>
      </w:r>
      <w:proofErr w:type="spellStart"/>
      <w:r w:rsidRPr="00D81482">
        <w:rPr>
          <w:rFonts w:ascii="Arial" w:hAnsi="Arial" w:cs="Arial"/>
          <w:color w:val="222222"/>
        </w:rPr>
        <w:t>Daudert</w:t>
      </w:r>
      <w:proofErr w:type="spellEnd"/>
      <w:r w:rsidRPr="00D81482">
        <w:rPr>
          <w:rFonts w:ascii="Arial" w:hAnsi="Arial" w:cs="Arial"/>
          <w:color w:val="222222"/>
        </w:rPr>
        <w:t xml:space="preserve">, B.; Morton, C.; </w:t>
      </w:r>
      <w:proofErr w:type="spellStart"/>
      <w:r w:rsidRPr="00D81482">
        <w:rPr>
          <w:rFonts w:ascii="Arial" w:hAnsi="Arial" w:cs="Arial"/>
          <w:color w:val="222222"/>
        </w:rPr>
        <w:t>Abatzoglou</w:t>
      </w:r>
      <w:proofErr w:type="spellEnd"/>
      <w:r w:rsidRPr="00D81482">
        <w:rPr>
          <w:rFonts w:ascii="Arial" w:hAnsi="Arial" w:cs="Arial"/>
          <w:color w:val="222222"/>
        </w:rPr>
        <w:t xml:space="preserve">, J.Y.; McEvoy, D.J.; Erickson. T. Climate Engine: cloud computing of climate and remote sensing data for enhanced natural resource monitoring and process understanding. </w:t>
      </w:r>
      <w:r w:rsidRPr="00D81482">
        <w:rPr>
          <w:rFonts w:ascii="Arial" w:hAnsi="Arial" w:cs="Arial"/>
          <w:i/>
          <w:color w:val="222222"/>
        </w:rPr>
        <w:t xml:space="preserve">Bull. Am. </w:t>
      </w:r>
      <w:proofErr w:type="spellStart"/>
      <w:r w:rsidRPr="00D81482">
        <w:rPr>
          <w:rFonts w:ascii="Arial" w:hAnsi="Arial" w:cs="Arial"/>
          <w:i/>
          <w:color w:val="222222"/>
        </w:rPr>
        <w:t>Meteorol</w:t>
      </w:r>
      <w:proofErr w:type="spellEnd"/>
      <w:r w:rsidRPr="00D81482">
        <w:rPr>
          <w:rFonts w:ascii="Arial" w:hAnsi="Arial" w:cs="Arial"/>
          <w:i/>
          <w:color w:val="222222"/>
        </w:rPr>
        <w:t>. Soc</w:t>
      </w:r>
      <w:r w:rsidRPr="00D81482">
        <w:rPr>
          <w:rFonts w:ascii="Arial" w:hAnsi="Arial" w:cs="Arial"/>
          <w:color w:val="222222"/>
        </w:rPr>
        <w:t xml:space="preserve">., </w:t>
      </w:r>
      <w:r w:rsidRPr="00D81482">
        <w:rPr>
          <w:rFonts w:ascii="Arial" w:hAnsi="Arial" w:cs="Arial"/>
          <w:b/>
          <w:color w:val="222222"/>
        </w:rPr>
        <w:t>2017</w:t>
      </w:r>
      <w:r w:rsidRPr="00D81482">
        <w:rPr>
          <w:rFonts w:ascii="Arial" w:hAnsi="Arial" w:cs="Arial"/>
          <w:color w:val="222222"/>
        </w:rPr>
        <w:t>, 98, pp. 2397-2410.</w:t>
      </w:r>
    </w:p>
    <w:p w14:paraId="5FFB7590"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42. Gorelick, N.; Hancher, M.; Dixon, M.; </w:t>
      </w:r>
      <w:proofErr w:type="spellStart"/>
      <w:r w:rsidRPr="00D81482">
        <w:rPr>
          <w:rFonts w:ascii="Arial" w:hAnsi="Arial" w:cs="Arial"/>
          <w:color w:val="222222"/>
        </w:rPr>
        <w:t>Ilyushchenko</w:t>
      </w:r>
      <w:proofErr w:type="spellEnd"/>
      <w:r w:rsidRPr="00D81482">
        <w:rPr>
          <w:rFonts w:ascii="Arial" w:hAnsi="Arial" w:cs="Arial"/>
          <w:color w:val="222222"/>
        </w:rPr>
        <w:t xml:space="preserve">, S.; </w:t>
      </w:r>
      <w:proofErr w:type="spellStart"/>
      <w:r w:rsidRPr="00D81482">
        <w:rPr>
          <w:rFonts w:ascii="Arial" w:hAnsi="Arial" w:cs="Arial"/>
          <w:color w:val="222222"/>
        </w:rPr>
        <w:t>Thau</w:t>
      </w:r>
      <w:proofErr w:type="spellEnd"/>
      <w:r w:rsidRPr="00D81482">
        <w:rPr>
          <w:rFonts w:ascii="Arial" w:hAnsi="Arial" w:cs="Arial"/>
          <w:color w:val="222222"/>
        </w:rPr>
        <w:t xml:space="preserve">, D.; Moore, R. Google Earth Engine: planetary-scale geospatial analysis for everyone. </w:t>
      </w:r>
      <w:r w:rsidRPr="00D81482">
        <w:rPr>
          <w:rFonts w:ascii="Arial" w:hAnsi="Arial" w:cs="Arial"/>
          <w:i/>
          <w:color w:val="222222"/>
        </w:rPr>
        <w:t>Rem. Sens. Environ</w:t>
      </w:r>
      <w:r w:rsidRPr="00D81482">
        <w:rPr>
          <w:rFonts w:ascii="Arial" w:hAnsi="Arial" w:cs="Arial"/>
          <w:color w:val="222222"/>
        </w:rPr>
        <w:t xml:space="preserve">., </w:t>
      </w:r>
      <w:r w:rsidRPr="00D81482">
        <w:rPr>
          <w:rFonts w:ascii="Arial" w:hAnsi="Arial" w:cs="Arial"/>
          <w:b/>
          <w:color w:val="222222"/>
        </w:rPr>
        <w:t>2017</w:t>
      </w:r>
      <w:r w:rsidRPr="00D81482">
        <w:rPr>
          <w:rFonts w:ascii="Arial" w:hAnsi="Arial" w:cs="Arial"/>
          <w:color w:val="222222"/>
        </w:rPr>
        <w:t>, 202, pp. 18-27.</w:t>
      </w:r>
    </w:p>
    <w:p w14:paraId="4CDA0BD9"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43. </w:t>
      </w:r>
      <w:proofErr w:type="spellStart"/>
      <w:r w:rsidRPr="00D81482">
        <w:rPr>
          <w:rFonts w:ascii="Arial" w:hAnsi="Arial" w:cs="Arial"/>
          <w:color w:val="222222"/>
        </w:rPr>
        <w:t>Delazar</w:t>
      </w:r>
      <w:proofErr w:type="spellEnd"/>
      <w:r w:rsidRPr="00D81482">
        <w:rPr>
          <w:rFonts w:ascii="Arial" w:hAnsi="Arial" w:cs="Arial"/>
          <w:color w:val="222222"/>
        </w:rPr>
        <w:t xml:space="preserve">, A.; Bahmani, M.; </w:t>
      </w:r>
      <w:proofErr w:type="spellStart"/>
      <w:r w:rsidRPr="00D81482">
        <w:rPr>
          <w:rFonts w:ascii="Arial" w:hAnsi="Arial" w:cs="Arial"/>
          <w:color w:val="222222"/>
        </w:rPr>
        <w:t>Hekmat-Shoar</w:t>
      </w:r>
      <w:proofErr w:type="spellEnd"/>
      <w:r w:rsidRPr="00D81482">
        <w:rPr>
          <w:rFonts w:ascii="Arial" w:hAnsi="Arial" w:cs="Arial"/>
          <w:color w:val="222222"/>
        </w:rPr>
        <w:t xml:space="preserve">, H.; Tabatabaei-Raisi, A.; </w:t>
      </w:r>
      <w:proofErr w:type="spellStart"/>
      <w:r w:rsidRPr="00D81482">
        <w:rPr>
          <w:rFonts w:ascii="Arial" w:hAnsi="Arial" w:cs="Arial"/>
          <w:color w:val="222222"/>
        </w:rPr>
        <w:t>Asnaashari</w:t>
      </w:r>
      <w:proofErr w:type="spellEnd"/>
      <w:r w:rsidRPr="00D81482">
        <w:rPr>
          <w:rFonts w:ascii="Arial" w:hAnsi="Arial" w:cs="Arial"/>
          <w:color w:val="222222"/>
        </w:rPr>
        <w:t xml:space="preserve">, S.; Nahar, L.; Sarker, S.D. Effect of altitude, temperature and soil on essential oil production in Thymus </w:t>
      </w:r>
      <w:proofErr w:type="spellStart"/>
      <w:r w:rsidRPr="00D81482">
        <w:rPr>
          <w:rFonts w:ascii="Arial" w:hAnsi="Arial" w:cs="Arial"/>
          <w:color w:val="222222"/>
        </w:rPr>
        <w:t>fedtschenkoi</w:t>
      </w:r>
      <w:proofErr w:type="spellEnd"/>
      <w:r w:rsidRPr="00D81482">
        <w:rPr>
          <w:rFonts w:ascii="Arial" w:hAnsi="Arial" w:cs="Arial"/>
          <w:color w:val="222222"/>
        </w:rPr>
        <w:t xml:space="preserve"> flowers in </w:t>
      </w:r>
      <w:proofErr w:type="spellStart"/>
      <w:r w:rsidRPr="00D81482">
        <w:rPr>
          <w:rFonts w:ascii="Arial" w:hAnsi="Arial" w:cs="Arial"/>
          <w:color w:val="222222"/>
        </w:rPr>
        <w:t>Osko</w:t>
      </w:r>
      <w:proofErr w:type="spellEnd"/>
      <w:r w:rsidRPr="00D81482">
        <w:rPr>
          <w:rFonts w:ascii="Arial" w:hAnsi="Arial" w:cs="Arial"/>
          <w:color w:val="222222"/>
        </w:rPr>
        <w:t xml:space="preserve"> and surrounding areas in Iran. </w:t>
      </w:r>
      <w:r w:rsidRPr="00D81482">
        <w:rPr>
          <w:rFonts w:ascii="Arial" w:hAnsi="Arial" w:cs="Arial"/>
          <w:i/>
          <w:color w:val="222222"/>
        </w:rPr>
        <w:t>J. Essent. Oil Bear. Plants</w:t>
      </w:r>
      <w:r w:rsidRPr="00D81482">
        <w:rPr>
          <w:rFonts w:ascii="Arial" w:hAnsi="Arial" w:cs="Arial"/>
          <w:color w:val="222222"/>
        </w:rPr>
        <w:t xml:space="preserve">, </w:t>
      </w:r>
      <w:r w:rsidRPr="00D81482">
        <w:rPr>
          <w:rFonts w:ascii="Arial" w:hAnsi="Arial" w:cs="Arial"/>
          <w:b/>
          <w:color w:val="222222"/>
        </w:rPr>
        <w:t>2011</w:t>
      </w:r>
      <w:r w:rsidRPr="00D81482">
        <w:rPr>
          <w:rFonts w:ascii="Arial" w:hAnsi="Arial" w:cs="Arial"/>
          <w:color w:val="222222"/>
        </w:rPr>
        <w:t>, 4, pp. 23-29.</w:t>
      </w:r>
    </w:p>
    <w:p w14:paraId="64056B4E"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44. Martin, P., Chang, X. Production potential and crop agronomy of sweet gale (Myrica gale L.) in the north of Scotland. </w:t>
      </w:r>
      <w:r w:rsidRPr="00D81482">
        <w:rPr>
          <w:rFonts w:ascii="Arial" w:hAnsi="Arial" w:cs="Arial"/>
          <w:i/>
          <w:color w:val="222222"/>
        </w:rPr>
        <w:t>Ind. Crop Prod</w:t>
      </w:r>
      <w:r w:rsidRPr="00D81482">
        <w:rPr>
          <w:rFonts w:ascii="Arial" w:hAnsi="Arial" w:cs="Arial"/>
          <w:color w:val="222222"/>
        </w:rPr>
        <w:t xml:space="preserve">., </w:t>
      </w:r>
      <w:r w:rsidRPr="00D81482">
        <w:rPr>
          <w:rFonts w:ascii="Arial" w:hAnsi="Arial" w:cs="Arial"/>
          <w:b/>
          <w:color w:val="222222"/>
        </w:rPr>
        <w:t>2013</w:t>
      </w:r>
      <w:r w:rsidRPr="00D81482">
        <w:rPr>
          <w:rFonts w:ascii="Arial" w:hAnsi="Arial" w:cs="Arial"/>
          <w:color w:val="222222"/>
        </w:rPr>
        <w:t>, 46, pp. 39-49.</w:t>
      </w:r>
    </w:p>
    <w:p w14:paraId="3EF2899F"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45. Stevović, S.; </w:t>
      </w:r>
      <w:proofErr w:type="spellStart"/>
      <w:r w:rsidRPr="00D81482">
        <w:rPr>
          <w:rFonts w:ascii="Arial" w:hAnsi="Arial" w:cs="Arial"/>
          <w:color w:val="222222"/>
        </w:rPr>
        <w:t>Ćalić</w:t>
      </w:r>
      <w:proofErr w:type="spellEnd"/>
      <w:r w:rsidRPr="00D81482">
        <w:rPr>
          <w:rFonts w:ascii="Arial" w:hAnsi="Arial" w:cs="Arial"/>
          <w:color w:val="222222"/>
        </w:rPr>
        <w:t xml:space="preserve"> </w:t>
      </w:r>
      <w:proofErr w:type="spellStart"/>
      <w:r w:rsidRPr="00D81482">
        <w:rPr>
          <w:rFonts w:ascii="Arial" w:hAnsi="Arial" w:cs="Arial"/>
          <w:color w:val="222222"/>
        </w:rPr>
        <w:t>Dragosavac</w:t>
      </w:r>
      <w:proofErr w:type="spellEnd"/>
      <w:r w:rsidRPr="00D81482">
        <w:rPr>
          <w:rFonts w:ascii="Arial" w:hAnsi="Arial" w:cs="Arial"/>
          <w:color w:val="222222"/>
        </w:rPr>
        <w:t xml:space="preserve">, D.; </w:t>
      </w:r>
      <w:proofErr w:type="spellStart"/>
      <w:r w:rsidRPr="00D81482">
        <w:rPr>
          <w:rFonts w:ascii="Arial" w:hAnsi="Arial" w:cs="Arial"/>
          <w:color w:val="222222"/>
        </w:rPr>
        <w:t>Mikovilović</w:t>
      </w:r>
      <w:proofErr w:type="spellEnd"/>
      <w:r w:rsidRPr="00D81482">
        <w:rPr>
          <w:rFonts w:ascii="Arial" w:hAnsi="Arial" w:cs="Arial"/>
          <w:color w:val="222222"/>
        </w:rPr>
        <w:t xml:space="preserve">, V. Correlation between environment and essential oil in medical plants. </w:t>
      </w:r>
      <w:r w:rsidRPr="00D81482">
        <w:rPr>
          <w:rFonts w:ascii="Arial" w:hAnsi="Arial" w:cs="Arial"/>
          <w:i/>
          <w:color w:val="222222"/>
        </w:rPr>
        <w:t>Adv. Environ. Biol</w:t>
      </w:r>
      <w:r w:rsidRPr="00D81482">
        <w:rPr>
          <w:rFonts w:ascii="Arial" w:hAnsi="Arial" w:cs="Arial"/>
          <w:color w:val="222222"/>
        </w:rPr>
        <w:t xml:space="preserve">., </w:t>
      </w:r>
      <w:r w:rsidRPr="00D81482">
        <w:rPr>
          <w:rFonts w:ascii="Arial" w:hAnsi="Arial" w:cs="Arial"/>
          <w:b/>
          <w:color w:val="222222"/>
        </w:rPr>
        <w:t>2011</w:t>
      </w:r>
      <w:r w:rsidRPr="00D81482">
        <w:rPr>
          <w:rFonts w:ascii="Arial" w:hAnsi="Arial" w:cs="Arial"/>
          <w:color w:val="222222"/>
        </w:rPr>
        <w:t>, 5, pp. 465-468.</w:t>
      </w:r>
    </w:p>
    <w:p w14:paraId="79965D05"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46. Sangwan, N.S.; Farooqi, A.H.A.; </w:t>
      </w:r>
      <w:proofErr w:type="spellStart"/>
      <w:r w:rsidRPr="00D81482">
        <w:rPr>
          <w:rFonts w:ascii="Arial" w:hAnsi="Arial" w:cs="Arial"/>
          <w:color w:val="222222"/>
        </w:rPr>
        <w:t>Shabih</w:t>
      </w:r>
      <w:proofErr w:type="spellEnd"/>
      <w:r w:rsidRPr="00D81482">
        <w:rPr>
          <w:rFonts w:ascii="Arial" w:hAnsi="Arial" w:cs="Arial"/>
          <w:color w:val="222222"/>
        </w:rPr>
        <w:t>, F.; Sangwan, R.S. Regulation of essential oil production in plants</w:t>
      </w:r>
      <w:r w:rsidRPr="00D81482">
        <w:rPr>
          <w:rFonts w:ascii="Arial" w:hAnsi="Arial" w:cs="Arial"/>
          <w:i/>
          <w:color w:val="222222"/>
        </w:rPr>
        <w:t xml:space="preserve">. Plant Growth </w:t>
      </w:r>
      <w:proofErr w:type="spellStart"/>
      <w:r w:rsidRPr="00D81482">
        <w:rPr>
          <w:rFonts w:ascii="Arial" w:hAnsi="Arial" w:cs="Arial"/>
          <w:i/>
          <w:color w:val="222222"/>
        </w:rPr>
        <w:t>Regul</w:t>
      </w:r>
      <w:proofErr w:type="spellEnd"/>
      <w:r w:rsidRPr="00D81482">
        <w:rPr>
          <w:rFonts w:ascii="Arial" w:hAnsi="Arial" w:cs="Arial"/>
          <w:color w:val="222222"/>
        </w:rPr>
        <w:t xml:space="preserve">. </w:t>
      </w:r>
      <w:r w:rsidRPr="00D81482">
        <w:rPr>
          <w:rFonts w:ascii="Arial" w:hAnsi="Arial" w:cs="Arial"/>
          <w:b/>
          <w:color w:val="222222"/>
        </w:rPr>
        <w:t>2001</w:t>
      </w:r>
      <w:r w:rsidRPr="00D81482">
        <w:rPr>
          <w:rFonts w:ascii="Arial" w:hAnsi="Arial" w:cs="Arial"/>
          <w:color w:val="222222"/>
        </w:rPr>
        <w:t>, 34, pp. 3-21.</w:t>
      </w:r>
    </w:p>
    <w:p w14:paraId="187B74DE"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47. Hadef, Y.; </w:t>
      </w:r>
      <w:proofErr w:type="spellStart"/>
      <w:r w:rsidRPr="00D81482">
        <w:rPr>
          <w:rFonts w:ascii="Arial" w:hAnsi="Arial" w:cs="Arial"/>
          <w:color w:val="222222"/>
        </w:rPr>
        <w:t>Kaloustian</w:t>
      </w:r>
      <w:proofErr w:type="spellEnd"/>
      <w:r w:rsidRPr="00D81482">
        <w:rPr>
          <w:rFonts w:ascii="Arial" w:hAnsi="Arial" w:cs="Arial"/>
          <w:color w:val="222222"/>
        </w:rPr>
        <w:t xml:space="preserve">, </w:t>
      </w:r>
      <w:proofErr w:type="gramStart"/>
      <w:r w:rsidRPr="00D81482">
        <w:rPr>
          <w:rFonts w:ascii="Arial" w:hAnsi="Arial" w:cs="Arial"/>
          <w:color w:val="222222"/>
        </w:rPr>
        <w:t>J,;</w:t>
      </w:r>
      <w:proofErr w:type="gramEnd"/>
      <w:r w:rsidRPr="00D81482">
        <w:rPr>
          <w:rFonts w:ascii="Arial" w:hAnsi="Arial" w:cs="Arial"/>
          <w:color w:val="222222"/>
        </w:rPr>
        <w:t xml:space="preserve"> </w:t>
      </w:r>
      <w:proofErr w:type="spellStart"/>
      <w:r w:rsidRPr="00D81482">
        <w:rPr>
          <w:rFonts w:ascii="Arial" w:hAnsi="Arial" w:cs="Arial"/>
          <w:color w:val="222222"/>
        </w:rPr>
        <w:t>Chefrour</w:t>
      </w:r>
      <w:proofErr w:type="spellEnd"/>
      <w:r w:rsidRPr="00D81482">
        <w:rPr>
          <w:rFonts w:ascii="Arial" w:hAnsi="Arial" w:cs="Arial"/>
          <w:color w:val="222222"/>
        </w:rPr>
        <w:t xml:space="preserve">, A.; Mikail, C.; Abou, L.; </w:t>
      </w:r>
      <w:proofErr w:type="spellStart"/>
      <w:r w:rsidRPr="00D81482">
        <w:rPr>
          <w:rFonts w:ascii="Arial" w:hAnsi="Arial" w:cs="Arial"/>
          <w:color w:val="222222"/>
        </w:rPr>
        <w:t>Giodani</w:t>
      </w:r>
      <w:proofErr w:type="spellEnd"/>
      <w:r w:rsidRPr="00D81482">
        <w:rPr>
          <w:rFonts w:ascii="Arial" w:hAnsi="Arial" w:cs="Arial"/>
          <w:color w:val="222222"/>
        </w:rPr>
        <w:t xml:space="preserve">, R.; Nikolay, A.; Portugal. H. Chemical composition and variability of the essential oil of Thymus </w:t>
      </w:r>
      <w:proofErr w:type="spellStart"/>
      <w:r w:rsidRPr="00D81482">
        <w:rPr>
          <w:rFonts w:ascii="Arial" w:hAnsi="Arial" w:cs="Arial"/>
          <w:color w:val="222222"/>
        </w:rPr>
        <w:t>numidicus</w:t>
      </w:r>
      <w:proofErr w:type="spellEnd"/>
      <w:r w:rsidRPr="00D81482">
        <w:rPr>
          <w:rFonts w:ascii="Arial" w:hAnsi="Arial" w:cs="Arial"/>
          <w:color w:val="222222"/>
        </w:rPr>
        <w:t xml:space="preserve"> </w:t>
      </w:r>
      <w:proofErr w:type="spellStart"/>
      <w:r w:rsidRPr="00D81482">
        <w:rPr>
          <w:rFonts w:ascii="Arial" w:hAnsi="Arial" w:cs="Arial"/>
          <w:color w:val="222222"/>
        </w:rPr>
        <w:t>Poir</w:t>
      </w:r>
      <w:proofErr w:type="spellEnd"/>
      <w:r w:rsidRPr="00D81482">
        <w:rPr>
          <w:rFonts w:ascii="Arial" w:hAnsi="Arial" w:cs="Arial"/>
          <w:color w:val="222222"/>
        </w:rPr>
        <w:t xml:space="preserve">. from Algeria. </w:t>
      </w:r>
      <w:r w:rsidRPr="00D81482">
        <w:rPr>
          <w:rFonts w:ascii="Arial" w:hAnsi="Arial" w:cs="Arial"/>
          <w:i/>
          <w:color w:val="222222"/>
        </w:rPr>
        <w:t>Acta Bot. Gall</w:t>
      </w:r>
      <w:r w:rsidRPr="00D81482">
        <w:rPr>
          <w:rFonts w:ascii="Arial" w:hAnsi="Arial" w:cs="Arial"/>
          <w:color w:val="222222"/>
        </w:rPr>
        <w:t xml:space="preserve">., </w:t>
      </w:r>
      <w:r w:rsidRPr="00D81482">
        <w:rPr>
          <w:rFonts w:ascii="Arial" w:hAnsi="Arial" w:cs="Arial"/>
          <w:b/>
          <w:color w:val="222222"/>
        </w:rPr>
        <w:t>2007</w:t>
      </w:r>
      <w:r w:rsidRPr="00D81482">
        <w:rPr>
          <w:rFonts w:ascii="Arial" w:hAnsi="Arial" w:cs="Arial"/>
          <w:color w:val="222222"/>
        </w:rPr>
        <w:t>, 154, pp. 265-274.</w:t>
      </w:r>
    </w:p>
    <w:p w14:paraId="533F196D"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lastRenderedPageBreak/>
        <w:t xml:space="preserve">48. Morgan, R.K. </w:t>
      </w:r>
      <w:proofErr w:type="spellStart"/>
      <w:r w:rsidRPr="00D81482">
        <w:rPr>
          <w:rFonts w:ascii="Arial" w:hAnsi="Arial" w:cs="Arial"/>
          <w:color w:val="222222"/>
        </w:rPr>
        <w:t>Chemotypic</w:t>
      </w:r>
      <w:proofErr w:type="spellEnd"/>
      <w:r w:rsidRPr="00D81482">
        <w:rPr>
          <w:rFonts w:ascii="Arial" w:hAnsi="Arial" w:cs="Arial"/>
          <w:color w:val="222222"/>
        </w:rPr>
        <w:t xml:space="preserve"> characteristics of Thymus vulgaris L. in Central Otago, New Zealand. </w:t>
      </w:r>
      <w:r w:rsidRPr="00D81482">
        <w:rPr>
          <w:rFonts w:ascii="Arial" w:hAnsi="Arial" w:cs="Arial"/>
          <w:i/>
          <w:color w:val="222222"/>
        </w:rPr>
        <w:t xml:space="preserve">J. </w:t>
      </w:r>
      <w:proofErr w:type="spellStart"/>
      <w:r w:rsidRPr="00D81482">
        <w:rPr>
          <w:rFonts w:ascii="Arial" w:hAnsi="Arial" w:cs="Arial"/>
          <w:i/>
          <w:color w:val="222222"/>
        </w:rPr>
        <w:t>Biogeogr</w:t>
      </w:r>
      <w:proofErr w:type="spellEnd"/>
      <w:r w:rsidRPr="00D81482">
        <w:rPr>
          <w:rFonts w:ascii="Arial" w:hAnsi="Arial" w:cs="Arial"/>
          <w:i/>
          <w:color w:val="222222"/>
        </w:rPr>
        <w:t>.,</w:t>
      </w:r>
      <w:r w:rsidRPr="00D81482">
        <w:rPr>
          <w:rFonts w:ascii="Arial" w:hAnsi="Arial" w:cs="Arial"/>
          <w:color w:val="222222"/>
        </w:rPr>
        <w:t xml:space="preserve"> </w:t>
      </w:r>
      <w:r w:rsidRPr="00D81482">
        <w:rPr>
          <w:rFonts w:ascii="Arial" w:hAnsi="Arial" w:cs="Arial"/>
          <w:b/>
          <w:color w:val="222222"/>
        </w:rPr>
        <w:t>1989</w:t>
      </w:r>
      <w:r w:rsidRPr="00D81482">
        <w:rPr>
          <w:rFonts w:ascii="Arial" w:hAnsi="Arial" w:cs="Arial"/>
          <w:color w:val="222222"/>
        </w:rPr>
        <w:t>, 16, pp. 483-491.</w:t>
      </w:r>
    </w:p>
    <w:p w14:paraId="36BF4DF4"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49. Meng, </w:t>
      </w:r>
      <w:proofErr w:type="gramStart"/>
      <w:r w:rsidRPr="00D81482">
        <w:rPr>
          <w:rFonts w:ascii="Arial" w:hAnsi="Arial" w:cs="Arial"/>
          <w:color w:val="222222"/>
        </w:rPr>
        <w:t>M,;</w:t>
      </w:r>
      <w:proofErr w:type="gramEnd"/>
      <w:r w:rsidRPr="00D81482">
        <w:rPr>
          <w:rFonts w:ascii="Arial" w:hAnsi="Arial" w:cs="Arial"/>
          <w:color w:val="222222"/>
        </w:rPr>
        <w:t xml:space="preserve"> Huang, N,; Wu, M,; Pei, J,; Wang, J,; Niu, Z. Vegetation change in response to climate factors and human activities on the Mongolian Plateau. </w:t>
      </w:r>
      <w:proofErr w:type="spellStart"/>
      <w:r w:rsidRPr="00D81482">
        <w:rPr>
          <w:rFonts w:ascii="Arial" w:hAnsi="Arial" w:cs="Arial"/>
          <w:i/>
          <w:color w:val="222222"/>
        </w:rPr>
        <w:t>PeerJ</w:t>
      </w:r>
      <w:proofErr w:type="spellEnd"/>
      <w:r w:rsidRPr="00D81482">
        <w:rPr>
          <w:rFonts w:ascii="Arial" w:hAnsi="Arial" w:cs="Arial"/>
          <w:i/>
          <w:color w:val="222222"/>
        </w:rPr>
        <w:t>.</w:t>
      </w:r>
      <w:r w:rsidRPr="00D81482">
        <w:rPr>
          <w:rFonts w:ascii="Arial" w:hAnsi="Arial" w:cs="Arial"/>
          <w:color w:val="222222"/>
        </w:rPr>
        <w:t xml:space="preserve"> </w:t>
      </w:r>
      <w:r w:rsidRPr="00D81482">
        <w:rPr>
          <w:rFonts w:ascii="Arial" w:hAnsi="Arial" w:cs="Arial"/>
          <w:b/>
          <w:color w:val="222222"/>
        </w:rPr>
        <w:t>2019</w:t>
      </w:r>
      <w:r w:rsidRPr="00D81482">
        <w:rPr>
          <w:rFonts w:ascii="Arial" w:hAnsi="Arial" w:cs="Arial"/>
          <w:color w:val="222222"/>
        </w:rPr>
        <w:t xml:space="preserve">, </w:t>
      </w:r>
      <w:proofErr w:type="gramStart"/>
      <w:r w:rsidRPr="00D81482">
        <w:rPr>
          <w:rFonts w:ascii="Arial" w:hAnsi="Arial" w:cs="Arial"/>
          <w:color w:val="222222"/>
        </w:rPr>
        <w:t>7:e</w:t>
      </w:r>
      <w:proofErr w:type="gramEnd"/>
      <w:r w:rsidRPr="00D81482">
        <w:rPr>
          <w:rFonts w:ascii="Arial" w:hAnsi="Arial" w:cs="Arial"/>
          <w:color w:val="222222"/>
        </w:rPr>
        <w:t>7735 https://doi.org/10.7717/peerj.7735</w:t>
      </w:r>
    </w:p>
    <w:p w14:paraId="641E5DEF"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50. Oad, V.K.; Szymkiewicz, A.; Khan, N.; Ashraf, S.; Nawaz, R.; </w:t>
      </w:r>
      <w:proofErr w:type="spellStart"/>
      <w:r w:rsidRPr="00D81482">
        <w:rPr>
          <w:rFonts w:ascii="Arial" w:hAnsi="Arial" w:cs="Arial"/>
          <w:color w:val="222222"/>
        </w:rPr>
        <w:t>Elnashar</w:t>
      </w:r>
      <w:proofErr w:type="spellEnd"/>
      <w:r w:rsidRPr="00D81482">
        <w:rPr>
          <w:rFonts w:ascii="Arial" w:hAnsi="Arial" w:cs="Arial"/>
          <w:color w:val="222222"/>
        </w:rPr>
        <w:t xml:space="preserve">, A.; Saad, S.; Qureshi, A. Time series analysis and impact assessment of the temperature changes on the vegetation and the water availability: A case study of Bakun-Murum Catchment Region in Malaysia. </w:t>
      </w:r>
      <w:r w:rsidRPr="00D81482">
        <w:rPr>
          <w:rFonts w:ascii="Arial" w:hAnsi="Arial" w:cs="Arial"/>
          <w:i/>
          <w:color w:val="222222"/>
        </w:rPr>
        <w:t>Remote Sensing Applications: Society and Environment,</w:t>
      </w:r>
      <w:r w:rsidRPr="00D81482">
        <w:rPr>
          <w:rFonts w:ascii="Arial" w:hAnsi="Arial" w:cs="Arial"/>
          <w:color w:val="222222"/>
        </w:rPr>
        <w:t xml:space="preserve"> Volume 29, </w:t>
      </w:r>
      <w:r w:rsidRPr="00D81482">
        <w:rPr>
          <w:rFonts w:ascii="Arial" w:hAnsi="Arial" w:cs="Arial"/>
          <w:b/>
          <w:color w:val="222222"/>
        </w:rPr>
        <w:t>2023</w:t>
      </w:r>
      <w:r w:rsidRPr="00D81482">
        <w:rPr>
          <w:rFonts w:ascii="Arial" w:hAnsi="Arial" w:cs="Arial"/>
          <w:color w:val="222222"/>
        </w:rPr>
        <w:t xml:space="preserve">, 100915, ISSN 2352-9385, </w:t>
      </w:r>
      <w:hyperlink r:id="rId25" w:history="1">
        <w:r w:rsidRPr="00D81482">
          <w:rPr>
            <w:rStyle w:val="Hyperlink"/>
            <w:rFonts w:ascii="Arial" w:hAnsi="Arial" w:cs="Arial"/>
          </w:rPr>
          <w:t>https://doi.org/10.1016/j.rsase.2022.100915</w:t>
        </w:r>
      </w:hyperlink>
      <w:r w:rsidRPr="00D81482">
        <w:rPr>
          <w:rFonts w:ascii="Arial" w:hAnsi="Arial" w:cs="Arial"/>
          <w:color w:val="222222"/>
        </w:rPr>
        <w:t>.</w:t>
      </w:r>
    </w:p>
    <w:p w14:paraId="7C0680EC" w14:textId="77777777" w:rsidR="00D81482" w:rsidRPr="00D81482" w:rsidRDefault="00D81482" w:rsidP="00D81482">
      <w:pPr>
        <w:shd w:val="clear" w:color="auto" w:fill="FFFFFF"/>
        <w:spacing w:line="360" w:lineRule="auto"/>
        <w:jc w:val="both"/>
        <w:rPr>
          <w:rFonts w:ascii="Arial" w:hAnsi="Arial" w:cs="Arial"/>
          <w:color w:val="222222"/>
        </w:rPr>
      </w:pPr>
      <w:r w:rsidRPr="00D81482">
        <w:rPr>
          <w:rFonts w:ascii="Arial" w:hAnsi="Arial" w:cs="Arial"/>
          <w:color w:val="222222"/>
        </w:rPr>
        <w:t xml:space="preserve">51. Kara, N; Baydar, H. Determination of lavender and lavandin cultivars (Lavandula sp.) containing high quality essential oil in </w:t>
      </w:r>
      <w:proofErr w:type="spellStart"/>
      <w:r w:rsidRPr="00D81482">
        <w:rPr>
          <w:rFonts w:ascii="Arial" w:hAnsi="Arial" w:cs="Arial"/>
          <w:color w:val="222222"/>
        </w:rPr>
        <w:t>Isparta</w:t>
      </w:r>
      <w:proofErr w:type="spellEnd"/>
      <w:r w:rsidRPr="00D81482">
        <w:rPr>
          <w:rFonts w:ascii="Arial" w:hAnsi="Arial" w:cs="Arial"/>
          <w:color w:val="222222"/>
        </w:rPr>
        <w:t xml:space="preserve">, Turkey. </w:t>
      </w:r>
      <w:r w:rsidRPr="00D81482">
        <w:rPr>
          <w:rFonts w:ascii="Arial" w:hAnsi="Arial" w:cs="Arial"/>
          <w:i/>
          <w:color w:val="222222"/>
        </w:rPr>
        <w:t>Turk. J. Field Crops</w:t>
      </w:r>
      <w:r w:rsidRPr="00D81482">
        <w:rPr>
          <w:rFonts w:ascii="Arial" w:hAnsi="Arial" w:cs="Arial"/>
          <w:color w:val="222222"/>
        </w:rPr>
        <w:t xml:space="preserve">, </w:t>
      </w:r>
      <w:r w:rsidRPr="00D81482">
        <w:rPr>
          <w:rFonts w:ascii="Arial" w:hAnsi="Arial" w:cs="Arial"/>
          <w:b/>
          <w:color w:val="222222"/>
        </w:rPr>
        <w:t>2013</w:t>
      </w:r>
      <w:r w:rsidRPr="00D81482">
        <w:rPr>
          <w:rFonts w:ascii="Arial" w:hAnsi="Arial" w:cs="Arial"/>
          <w:color w:val="222222"/>
        </w:rPr>
        <w:t>, 18: 58–65.</w:t>
      </w:r>
    </w:p>
    <w:p w14:paraId="208CDB8B" w14:textId="77777777" w:rsidR="00790ADA" w:rsidRPr="00FB3A86" w:rsidRDefault="00D81482" w:rsidP="00D81482">
      <w:pPr>
        <w:shd w:val="clear" w:color="auto" w:fill="FFFFFF"/>
        <w:spacing w:line="360" w:lineRule="auto"/>
        <w:jc w:val="both"/>
        <w:rPr>
          <w:rFonts w:ascii="Arial" w:hAnsi="Arial" w:cs="Arial"/>
        </w:rPr>
      </w:pPr>
      <w:r w:rsidRPr="00D81482">
        <w:rPr>
          <w:rFonts w:ascii="Arial" w:hAnsi="Arial" w:cs="Arial"/>
        </w:rPr>
        <w:t xml:space="preserve">52. Rusanov, K.; </w:t>
      </w:r>
      <w:proofErr w:type="spellStart"/>
      <w:r w:rsidRPr="00D81482">
        <w:rPr>
          <w:rFonts w:ascii="Arial" w:hAnsi="Arial" w:cs="Arial"/>
        </w:rPr>
        <w:t>Vassileva</w:t>
      </w:r>
      <w:proofErr w:type="spellEnd"/>
      <w:r w:rsidRPr="00D81482">
        <w:rPr>
          <w:rFonts w:ascii="Arial" w:hAnsi="Arial" w:cs="Arial"/>
        </w:rPr>
        <w:t xml:space="preserve">, P.; </w:t>
      </w:r>
      <w:proofErr w:type="spellStart"/>
      <w:r w:rsidRPr="00D81482">
        <w:rPr>
          <w:rFonts w:ascii="Arial" w:hAnsi="Arial" w:cs="Arial"/>
        </w:rPr>
        <w:t>Rusanova</w:t>
      </w:r>
      <w:proofErr w:type="spellEnd"/>
      <w:r w:rsidRPr="00D81482">
        <w:rPr>
          <w:rFonts w:ascii="Arial" w:hAnsi="Arial" w:cs="Arial"/>
        </w:rPr>
        <w:t xml:space="preserve">, M.; Atanassov, I. Identification of QTL controlling the ratio of linalool to linalyl acetate in the flowers of Lavandula angustifolia Mill var. </w:t>
      </w:r>
      <w:proofErr w:type="spellStart"/>
      <w:r w:rsidRPr="00D81482">
        <w:rPr>
          <w:rFonts w:ascii="Arial" w:hAnsi="Arial" w:cs="Arial"/>
        </w:rPr>
        <w:t>Hemus</w:t>
      </w:r>
      <w:proofErr w:type="spellEnd"/>
      <w:r w:rsidRPr="00D81482">
        <w:rPr>
          <w:rFonts w:ascii="Arial" w:hAnsi="Arial" w:cs="Arial"/>
        </w:rPr>
        <w:t xml:space="preserve">. </w:t>
      </w:r>
      <w:r w:rsidRPr="00D81482">
        <w:rPr>
          <w:rFonts w:ascii="Arial" w:hAnsi="Arial" w:cs="Arial"/>
          <w:i/>
        </w:rPr>
        <w:t>Biotechnology &amp; Biotechnological Equipment</w:t>
      </w:r>
      <w:r w:rsidRPr="00D81482">
        <w:rPr>
          <w:rFonts w:ascii="Arial" w:hAnsi="Arial" w:cs="Arial"/>
        </w:rPr>
        <w:t xml:space="preserve">, </w:t>
      </w:r>
      <w:r w:rsidRPr="00D81482">
        <w:rPr>
          <w:rFonts w:ascii="Arial" w:hAnsi="Arial" w:cs="Arial"/>
          <w:b/>
        </w:rPr>
        <w:t>2023</w:t>
      </w:r>
      <w:r w:rsidRPr="00D81482">
        <w:rPr>
          <w:rFonts w:ascii="Arial" w:hAnsi="Arial" w:cs="Arial"/>
        </w:rPr>
        <w:t xml:space="preserve">, 37(1). </w:t>
      </w:r>
      <w:hyperlink r:id="rId26" w:history="1">
        <w:r w:rsidRPr="00D81482">
          <w:rPr>
            <w:rStyle w:val="Hyperlink"/>
            <w:rFonts w:ascii="Arial" w:hAnsi="Arial" w:cs="Arial"/>
          </w:rPr>
          <w:t>https://doi.org/10.1080/13102818.2023.2288929</w:t>
        </w:r>
      </w:hyperlink>
      <w:r w:rsidRPr="00D81482">
        <w:rPr>
          <w:rFonts w:ascii="Arial" w:hAnsi="Arial" w:cs="Arial"/>
        </w:rPr>
        <w:t>.</w:t>
      </w:r>
    </w:p>
    <w:sectPr w:rsidR="00790ADA" w:rsidRPr="00FB3A86" w:rsidSect="009D13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FA11" w14:textId="77777777" w:rsidR="008A0468" w:rsidRDefault="008A0468" w:rsidP="00C37E61">
      <w:r>
        <w:separator/>
      </w:r>
    </w:p>
  </w:endnote>
  <w:endnote w:type="continuationSeparator" w:id="0">
    <w:p w14:paraId="1FEC935E" w14:textId="77777777" w:rsidR="008A0468" w:rsidRDefault="008A04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544" w14:textId="77777777" w:rsidR="009D1306" w:rsidRDefault="009D1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2190" w14:textId="77777777" w:rsidR="009D1306" w:rsidRDefault="009D1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C03C" w14:textId="77777777" w:rsidR="009E048A" w:rsidRDefault="009E048A">
    <w:pPr>
      <w:pStyle w:val="Footer"/>
      <w:rPr>
        <w:rFonts w:ascii="Arial" w:hAnsi="Arial" w:cs="Arial"/>
        <w:sz w:val="16"/>
      </w:rPr>
    </w:pPr>
  </w:p>
  <w:p w14:paraId="52DFA61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F3E0ED" w14:textId="77777777" w:rsidR="009E048A" w:rsidRDefault="009E048A">
    <w:pPr>
      <w:pStyle w:val="Footer"/>
      <w:rPr>
        <w:rFonts w:ascii="Arial" w:hAnsi="Arial" w:cs="Arial"/>
        <w:sz w:val="16"/>
      </w:rPr>
    </w:pPr>
  </w:p>
  <w:p w14:paraId="6F08C7C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8CBC3" w14:textId="77777777" w:rsidR="008A0468" w:rsidRDefault="008A0468" w:rsidP="00C37E61">
      <w:r>
        <w:separator/>
      </w:r>
    </w:p>
  </w:footnote>
  <w:footnote w:type="continuationSeparator" w:id="0">
    <w:p w14:paraId="7EF56F9A" w14:textId="77777777" w:rsidR="008A0468" w:rsidRDefault="008A04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ED2A" w14:textId="128020F9" w:rsidR="009D1306" w:rsidRDefault="009D1306">
    <w:pPr>
      <w:pStyle w:val="Header"/>
    </w:pPr>
    <w:r>
      <w:rPr>
        <w:noProof/>
      </w:rPr>
      <w:pict w14:anchorId="5DFEC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FF2B" w14:textId="71A2374B" w:rsidR="009D1306" w:rsidRDefault="009D1306">
    <w:pPr>
      <w:pStyle w:val="Header"/>
    </w:pPr>
    <w:r>
      <w:rPr>
        <w:noProof/>
      </w:rPr>
      <w:pict w14:anchorId="7EED5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891A" w14:textId="7767ADBB" w:rsidR="00296529" w:rsidRPr="00296529" w:rsidRDefault="009D1306" w:rsidP="00296529">
    <w:pPr>
      <w:ind w:left="2160"/>
      <w:jc w:val="center"/>
      <w:rPr>
        <w:rFonts w:ascii="Times New Roman" w:eastAsia="Calibri" w:hAnsi="Times New Roman"/>
        <w:i/>
        <w:sz w:val="18"/>
        <w:szCs w:val="22"/>
      </w:rPr>
    </w:pPr>
    <w:r>
      <w:rPr>
        <w:noProof/>
      </w:rPr>
      <w:pict w14:anchorId="79D4E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45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FD77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E8AB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133B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DC87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3A2E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1D633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1CEF"/>
    <w:rsid w:val="00123C9F"/>
    <w:rsid w:val="00126190"/>
    <w:rsid w:val="00130F17"/>
    <w:rsid w:val="001320BF"/>
    <w:rsid w:val="00163BC4"/>
    <w:rsid w:val="00191062"/>
    <w:rsid w:val="00192B72"/>
    <w:rsid w:val="001A29D8"/>
    <w:rsid w:val="001A5CAA"/>
    <w:rsid w:val="001B0427"/>
    <w:rsid w:val="001B064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8FC"/>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704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483"/>
    <w:rsid w:val="008A0468"/>
    <w:rsid w:val="008B459E"/>
    <w:rsid w:val="008E13AE"/>
    <w:rsid w:val="008E1506"/>
    <w:rsid w:val="008E710C"/>
    <w:rsid w:val="008F69D6"/>
    <w:rsid w:val="00902823"/>
    <w:rsid w:val="00915CA6"/>
    <w:rsid w:val="00927834"/>
    <w:rsid w:val="009500A6"/>
    <w:rsid w:val="00957C18"/>
    <w:rsid w:val="009659BA"/>
    <w:rsid w:val="00971021"/>
    <w:rsid w:val="00976CCF"/>
    <w:rsid w:val="00983040"/>
    <w:rsid w:val="009B3FB9"/>
    <w:rsid w:val="009C2465"/>
    <w:rsid w:val="009D130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042F"/>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FC0"/>
    <w:rsid w:val="00C70F1B"/>
    <w:rsid w:val="00C71A47"/>
    <w:rsid w:val="00C7464C"/>
    <w:rsid w:val="00C74FE4"/>
    <w:rsid w:val="00C85588"/>
    <w:rsid w:val="00CD6755"/>
    <w:rsid w:val="00CD6856"/>
    <w:rsid w:val="00CE0089"/>
    <w:rsid w:val="00CE793C"/>
    <w:rsid w:val="00CF193C"/>
    <w:rsid w:val="00D173F1"/>
    <w:rsid w:val="00D74CB0"/>
    <w:rsid w:val="00D81482"/>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216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B091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1">
    <w:name w:val="Πλέγμα πίνακα1"/>
    <w:basedOn w:val="TableNormal"/>
    <w:next w:val="TableGrid"/>
    <w:uiPriority w:val="59"/>
    <w:rsid w:val="00C74FE4"/>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3478FC"/>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59"/>
    <w:rsid w:val="003478FC"/>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D8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doi.org/10.1080/13102818.2023.2288929" TargetMode="External"/><Relationship Id="rId3" Type="http://schemas.openxmlformats.org/officeDocument/2006/relationships/customXml" Target="../customXml/item3.xml"/><Relationship Id="rId21" Type="http://schemas.openxmlformats.org/officeDocument/2006/relationships/hyperlink" Target="https://doi.org/10.1016/j.ecoinf.2024.10259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1016/j.rsase.2022.100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3390/rs11040387"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080/22797254.2019.157245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16/j.rsase.2023.10113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2cc3eb-a4d2-4676-aebd-ed8972a14a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C0454FE7F8A61149B89D13989A71918B" ma:contentTypeVersion="16" ma:contentTypeDescription="Δημιουργία νέου εγγράφου" ma:contentTypeScope="" ma:versionID="b5eba3cb252a80a0d63e1b580da7267e">
  <xsd:schema xmlns:xsd="http://www.w3.org/2001/XMLSchema" xmlns:xs="http://www.w3.org/2001/XMLSchema" xmlns:p="http://schemas.microsoft.com/office/2006/metadata/properties" xmlns:ns3="a52cc3eb-a4d2-4676-aebd-ed8972a14a45" xmlns:ns4="cf032932-a557-4a4f-aa93-55c9f3ddfe82" targetNamespace="http://schemas.microsoft.com/office/2006/metadata/properties" ma:root="true" ma:fieldsID="8a03642f4375f7972d2a01607d63fd86" ns3:_="" ns4:_="">
    <xsd:import namespace="a52cc3eb-a4d2-4676-aebd-ed8972a14a45"/>
    <xsd:import namespace="cf032932-a557-4a4f-aa93-55c9f3ddf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3eb-a4d2-4676-aebd-ed8972a14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32932-a557-4a4f-aa93-55c9f3ddfe8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SharingHintHash" ma:index="18"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43A2-2956-4D16-B284-68FFA54D9F20}">
  <ds:schemaRefs>
    <ds:schemaRef ds:uri="http://schemas.microsoft.com/office/2006/metadata/properties"/>
    <ds:schemaRef ds:uri="http://schemas.microsoft.com/office/infopath/2007/PartnerControls"/>
    <ds:schemaRef ds:uri="a52cc3eb-a4d2-4676-aebd-ed8972a14a45"/>
  </ds:schemaRefs>
</ds:datastoreItem>
</file>

<file path=customXml/itemProps2.xml><?xml version="1.0" encoding="utf-8"?>
<ds:datastoreItem xmlns:ds="http://schemas.openxmlformats.org/officeDocument/2006/customXml" ds:itemID="{1FB52E64-09E9-45E5-8552-CC197CE62384}">
  <ds:schemaRefs>
    <ds:schemaRef ds:uri="http://schemas.microsoft.com/sharepoint/v3/contenttype/forms"/>
  </ds:schemaRefs>
</ds:datastoreItem>
</file>

<file path=customXml/itemProps3.xml><?xml version="1.0" encoding="utf-8"?>
<ds:datastoreItem xmlns:ds="http://schemas.openxmlformats.org/officeDocument/2006/customXml" ds:itemID="{37778D77-9ACB-4CF3-A484-045C096A8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cc3eb-a4d2-4676-aebd-ed8972a14a45"/>
    <ds:schemaRef ds:uri="cf032932-a557-4a4f-aa93-55c9f3ddf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F2377-ADA9-4D46-97AF-917460AF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5793</Words>
  <Characters>33025</Characters>
  <Application>Microsoft Office Word</Application>
  <DocSecurity>0</DocSecurity>
  <Lines>275</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38741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6</cp:revision>
  <cp:lastPrinted>1999-07-06T11:00:00Z</cp:lastPrinted>
  <dcterms:created xsi:type="dcterms:W3CDTF">2025-07-17T11:07:00Z</dcterms:created>
  <dcterms:modified xsi:type="dcterms:W3CDTF">2025-07-18T13:24:00Z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0x010100C0454FE7F8A61149B89D13989A71918B</vt:lpwstr>
  </property>
</Properties>
</file>