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3C951" w14:textId="77777777" w:rsidR="00C37FCF" w:rsidRDefault="00C37FCF" w:rsidP="002F1C14">
      <w:pPr>
        <w:spacing w:line="240" w:lineRule="auto"/>
        <w:jc w:val="right"/>
        <w:rPr>
          <w:rFonts w:ascii="Arial" w:hAnsi="Arial" w:cs="Arial"/>
          <w:b/>
          <w:sz w:val="36"/>
          <w:szCs w:val="36"/>
        </w:rPr>
      </w:pPr>
    </w:p>
    <w:p w14:paraId="641EADF2" w14:textId="4FCAD15F" w:rsidR="00C37FCF" w:rsidRPr="00C37FCF" w:rsidRDefault="00C37FCF" w:rsidP="00C37FCF">
      <w:pPr>
        <w:spacing w:line="240" w:lineRule="auto"/>
        <w:rPr>
          <w:rFonts w:ascii="Arial" w:hAnsi="Arial" w:cs="Arial"/>
          <w:b/>
          <w:sz w:val="28"/>
          <w:szCs w:val="28"/>
          <w:u w:val="single"/>
        </w:rPr>
      </w:pPr>
      <w:r w:rsidRPr="00C37FCF">
        <w:rPr>
          <w:rFonts w:ascii="Arial" w:hAnsi="Arial" w:cs="Arial"/>
          <w:b/>
          <w:sz w:val="28"/>
          <w:szCs w:val="28"/>
          <w:u w:val="single"/>
        </w:rPr>
        <w:t>Original Research Article</w:t>
      </w:r>
    </w:p>
    <w:p w14:paraId="48A49068" w14:textId="464F1D2A" w:rsidR="00F9306C" w:rsidRPr="002F1C14" w:rsidRDefault="005B7B02" w:rsidP="002F1C14">
      <w:pPr>
        <w:spacing w:line="240" w:lineRule="auto"/>
        <w:jc w:val="right"/>
        <w:rPr>
          <w:rFonts w:ascii="Arial" w:hAnsi="Arial" w:cs="Arial"/>
          <w:b/>
          <w:sz w:val="36"/>
          <w:szCs w:val="36"/>
        </w:rPr>
      </w:pPr>
      <w:r w:rsidRPr="002F1C14">
        <w:rPr>
          <w:rFonts w:ascii="Arial" w:hAnsi="Arial" w:cs="Arial"/>
          <w:b/>
          <w:sz w:val="36"/>
          <w:szCs w:val="36"/>
        </w:rPr>
        <w:t>Comparison Of The Effects Of Azolla Filiculoides, Chromolaena Odorata And A Mineral Fertilizer On Agro-Morphological Parameters Of Potato (</w:t>
      </w:r>
      <w:r w:rsidRPr="002F1C14">
        <w:rPr>
          <w:rFonts w:ascii="Arial" w:hAnsi="Arial" w:cs="Arial"/>
          <w:b/>
          <w:i/>
          <w:sz w:val="36"/>
          <w:szCs w:val="36"/>
        </w:rPr>
        <w:t>Solanum Tuberosum</w:t>
      </w:r>
      <w:r w:rsidRPr="002F1C14">
        <w:rPr>
          <w:rFonts w:ascii="Arial" w:hAnsi="Arial" w:cs="Arial"/>
          <w:b/>
          <w:sz w:val="36"/>
          <w:szCs w:val="36"/>
        </w:rPr>
        <w:t xml:space="preserve"> L.) In The Humid Tropical Zone Of West-Central </w:t>
      </w:r>
      <w:r w:rsidR="006C4FCA">
        <w:rPr>
          <w:rFonts w:ascii="Arial" w:hAnsi="Arial" w:cs="Arial"/>
          <w:b/>
          <w:sz w:val="36"/>
          <w:szCs w:val="36"/>
        </w:rPr>
        <w:t>Côte d’Ivoire</w:t>
      </w:r>
      <w:r w:rsidRPr="002F1C14" w:rsidDel="00DB450F">
        <w:rPr>
          <w:rFonts w:ascii="Arial" w:hAnsi="Arial" w:cs="Arial"/>
          <w:b/>
          <w:sz w:val="36"/>
          <w:szCs w:val="36"/>
        </w:rPr>
        <w:t xml:space="preserve"> </w:t>
      </w:r>
    </w:p>
    <w:p w14:paraId="6C44C084" w14:textId="77777777" w:rsidR="00DB450F" w:rsidRPr="006C4FCA" w:rsidRDefault="00DB450F" w:rsidP="00DB450F">
      <w:pPr>
        <w:spacing w:after="38" w:line="246" w:lineRule="auto"/>
        <w:ind w:left="-5" w:right="3"/>
        <w:jc w:val="right"/>
        <w:rPr>
          <w:rFonts w:ascii="Arial" w:hAnsi="Arial" w:cs="Arial"/>
          <w:b/>
          <w:sz w:val="20"/>
          <w:szCs w:val="24"/>
        </w:rPr>
      </w:pPr>
    </w:p>
    <w:p w14:paraId="00C0B54F" w14:textId="0B53BE03" w:rsidR="00F8164F" w:rsidRDefault="00F8164F" w:rsidP="007B1EEF">
      <w:pPr>
        <w:spacing w:line="240" w:lineRule="auto"/>
        <w:jc w:val="center"/>
        <w:rPr>
          <w:rFonts w:eastAsia="Times New Roman" w:cs="Times New Roman"/>
          <w:szCs w:val="24"/>
          <w:lang w:eastAsia="fr-FR"/>
        </w:rPr>
      </w:pPr>
    </w:p>
    <w:p w14:paraId="26AD3DBA" w14:textId="77777777" w:rsidR="00AF17C1" w:rsidRDefault="00AF17C1" w:rsidP="007B1EEF">
      <w:pPr>
        <w:spacing w:line="240" w:lineRule="auto"/>
        <w:jc w:val="center"/>
        <w:rPr>
          <w:rFonts w:eastAsia="Times New Roman" w:cs="Times New Roman"/>
          <w:szCs w:val="24"/>
          <w:lang w:eastAsia="fr-FR"/>
        </w:rPr>
      </w:pPr>
    </w:p>
    <w:p w14:paraId="7BF83CDC" w14:textId="77777777" w:rsidR="007B1EEF" w:rsidRDefault="007B1EEF" w:rsidP="007B1EEF">
      <w:pPr>
        <w:spacing w:line="240" w:lineRule="auto"/>
        <w:rPr>
          <w:rFonts w:eastAsia="Times New Roman" w:cs="Times New Roman"/>
          <w:szCs w:val="24"/>
          <w:lang w:eastAsia="fr-FR"/>
        </w:rPr>
      </w:pPr>
    </w:p>
    <w:p w14:paraId="7D43C7B8" w14:textId="77777777" w:rsidR="0007076A" w:rsidRDefault="0007076A" w:rsidP="002F1C14">
      <w:pPr>
        <w:spacing w:line="240" w:lineRule="auto"/>
        <w:rPr>
          <w:rFonts w:ascii="Arial" w:hAnsi="Arial" w:cs="Arial"/>
          <w:b/>
          <w:sz w:val="22"/>
        </w:rPr>
      </w:pPr>
      <w:r w:rsidRPr="002F1C14">
        <w:rPr>
          <w:rFonts w:ascii="Arial" w:hAnsi="Arial" w:cs="Arial"/>
          <w:b/>
          <w:sz w:val="22"/>
        </w:rPr>
        <w:t>ABSTRACT</w:t>
      </w:r>
    </w:p>
    <w:p w14:paraId="2C51D6B4" w14:textId="77777777" w:rsidR="005B7B02" w:rsidRPr="002F1C14" w:rsidRDefault="005B7B02" w:rsidP="002F1C14">
      <w:pPr>
        <w:spacing w:line="240" w:lineRule="auto"/>
        <w:rPr>
          <w:rFonts w:ascii="Arial" w:hAnsi="Arial" w:cs="Arial"/>
          <w:b/>
          <w:sz w:val="22"/>
        </w:rPr>
      </w:pPr>
    </w:p>
    <w:p w14:paraId="5AA690C7" w14:textId="77777777" w:rsidR="0007076A" w:rsidRPr="002F1C14" w:rsidRDefault="0007076A" w:rsidP="0007076A">
      <w:pPr>
        <w:spacing w:line="240" w:lineRule="auto"/>
        <w:ind w:left="-6"/>
        <w:jc w:val="both"/>
        <w:rPr>
          <w:rFonts w:ascii="Arial" w:hAnsi="Arial" w:cs="Arial"/>
          <w:sz w:val="20"/>
          <w:szCs w:val="20"/>
        </w:rPr>
      </w:pPr>
      <w:r w:rsidRPr="002F1C14">
        <w:rPr>
          <w:rFonts w:ascii="Arial" w:hAnsi="Arial" w:cs="Arial"/>
          <w:sz w:val="20"/>
          <w:szCs w:val="20"/>
        </w:rPr>
        <w:t>Potatoes (</w:t>
      </w:r>
      <w:r w:rsidRPr="002F1C14">
        <w:rPr>
          <w:rFonts w:ascii="Arial" w:eastAsia="Times New Roman" w:hAnsi="Arial" w:cs="Arial"/>
          <w:i/>
          <w:sz w:val="20"/>
          <w:szCs w:val="20"/>
        </w:rPr>
        <w:t xml:space="preserve">Solanum tuberosum </w:t>
      </w:r>
      <w:r w:rsidRPr="002F1C14">
        <w:rPr>
          <w:rFonts w:ascii="Arial" w:hAnsi="Arial" w:cs="Arial"/>
          <w:sz w:val="20"/>
          <w:szCs w:val="20"/>
        </w:rPr>
        <w:t>L.), a major food crop worldwide, are enjoying increasing popularity in West Africa, particularly in Côte d'Ivoire, where they represent a strategic alternative to food insecurity. However, its production remains limited by low soil fertility and unsustainable fertilization practices. The aim of this study was to compare the efficacy of two biofertilizers (</w:t>
      </w:r>
      <w:r w:rsidRPr="002F1C14">
        <w:rPr>
          <w:rFonts w:ascii="Arial" w:eastAsia="Times New Roman" w:hAnsi="Arial" w:cs="Arial"/>
          <w:i/>
          <w:sz w:val="20"/>
          <w:szCs w:val="20"/>
        </w:rPr>
        <w:t xml:space="preserve">Azolla filiculoides </w:t>
      </w:r>
      <w:r w:rsidRPr="002F1C14">
        <w:rPr>
          <w:rFonts w:ascii="Arial" w:hAnsi="Arial" w:cs="Arial"/>
          <w:sz w:val="20"/>
          <w:szCs w:val="20"/>
        </w:rPr>
        <w:t xml:space="preserve">and </w:t>
      </w:r>
      <w:r w:rsidRPr="002F1C14">
        <w:rPr>
          <w:rFonts w:ascii="Arial" w:eastAsia="Times New Roman" w:hAnsi="Arial" w:cs="Arial"/>
          <w:i/>
          <w:sz w:val="20"/>
          <w:szCs w:val="20"/>
        </w:rPr>
        <w:t>Chromolaena odorata</w:t>
      </w:r>
      <w:r w:rsidRPr="002F1C14">
        <w:rPr>
          <w:rFonts w:ascii="Arial" w:hAnsi="Arial" w:cs="Arial"/>
          <w:sz w:val="20"/>
          <w:szCs w:val="20"/>
        </w:rPr>
        <w:t xml:space="preserve">) with that of a mineral fertilizer NPK 15-15-15, on the agro-morphological growth of the Bintje variety, under the humid tropical conditions of central-western Côte d'Ivoire. The trial was conducted in Daloa, from March to June 2025, on a sandy-clay textured soil (37.09% </w:t>
      </w:r>
      <w:proofErr w:type="gramStart"/>
      <w:r w:rsidRPr="002F1C14">
        <w:rPr>
          <w:rFonts w:ascii="Arial" w:hAnsi="Arial" w:cs="Arial"/>
          <w:sz w:val="20"/>
          <w:szCs w:val="20"/>
        </w:rPr>
        <w:t>clay;</w:t>
      </w:r>
      <w:proofErr w:type="gramEnd"/>
      <w:r w:rsidRPr="002F1C14">
        <w:rPr>
          <w:rFonts w:ascii="Arial" w:hAnsi="Arial" w:cs="Arial"/>
          <w:sz w:val="20"/>
          <w:szCs w:val="20"/>
        </w:rPr>
        <w:t xml:space="preserve"> 46.84% sand), with a slightly acid pH (5.95) and moderate organic matter content (2.3%), but with high deficiencies in assimilable phosphorus (0.57 mg/kg), magnesium (0.6 cmol/kg) and calcium (3.175 cmol/kg), as well as low base saturation (33.9%). The experimental design was a completely randomized Fisher block, with four treatments (control, </w:t>
      </w:r>
      <w:r w:rsidRPr="002F1C14">
        <w:rPr>
          <w:rFonts w:ascii="Arial" w:eastAsia="Times New Roman" w:hAnsi="Arial" w:cs="Arial"/>
          <w:i/>
          <w:sz w:val="20"/>
          <w:szCs w:val="20"/>
        </w:rPr>
        <w:t>A. filiculoides</w:t>
      </w:r>
      <w:r w:rsidRPr="002F1C14">
        <w:rPr>
          <w:rFonts w:ascii="Arial" w:hAnsi="Arial" w:cs="Arial"/>
          <w:sz w:val="20"/>
          <w:szCs w:val="20"/>
        </w:rPr>
        <w:t xml:space="preserve">, </w:t>
      </w:r>
      <w:r w:rsidRPr="002F1C14">
        <w:rPr>
          <w:rFonts w:ascii="Arial" w:eastAsia="Times New Roman" w:hAnsi="Arial" w:cs="Arial"/>
          <w:i/>
          <w:sz w:val="20"/>
          <w:szCs w:val="20"/>
        </w:rPr>
        <w:t>C. odorata</w:t>
      </w:r>
      <w:r w:rsidRPr="002F1C14">
        <w:rPr>
          <w:rFonts w:ascii="Arial" w:hAnsi="Arial" w:cs="Arial"/>
          <w:sz w:val="20"/>
          <w:szCs w:val="20"/>
        </w:rPr>
        <w:t xml:space="preserve">, NPK) and five replicates. Biofertilizers were applied at 10 t/ha and 9 t/ha respectively, while NPK was used at 175 kg/ha. Parameters measured included crown diameter, plant height, number of leaves and stems, and leaf dimensions. Data were analyzed by one-factor ANOVA, followed by Fisher's 5% test. Results show that NPK significantly improved vegetative </w:t>
      </w:r>
      <w:proofErr w:type="gramStart"/>
      <w:r w:rsidRPr="002F1C14">
        <w:rPr>
          <w:rFonts w:ascii="Arial" w:hAnsi="Arial" w:cs="Arial"/>
          <w:sz w:val="20"/>
          <w:szCs w:val="20"/>
        </w:rPr>
        <w:t>growth:</w:t>
      </w:r>
      <w:proofErr w:type="gramEnd"/>
      <w:r w:rsidRPr="002F1C14">
        <w:rPr>
          <w:rFonts w:ascii="Arial" w:hAnsi="Arial" w:cs="Arial"/>
          <w:sz w:val="20"/>
          <w:szCs w:val="20"/>
        </w:rPr>
        <w:t xml:space="preserve"> maximum collar diameter (0.7 cm), average height of 74.4 cm and highest number of leaves (13.86). </w:t>
      </w:r>
      <w:r w:rsidRPr="002F1C14">
        <w:rPr>
          <w:rFonts w:ascii="Arial" w:eastAsia="Times New Roman" w:hAnsi="Arial" w:cs="Arial"/>
          <w:i/>
          <w:sz w:val="20"/>
          <w:szCs w:val="20"/>
        </w:rPr>
        <w:t xml:space="preserve">A. filiculoides </w:t>
      </w:r>
      <w:r w:rsidRPr="002F1C14">
        <w:rPr>
          <w:rFonts w:ascii="Arial" w:hAnsi="Arial" w:cs="Arial"/>
          <w:sz w:val="20"/>
          <w:szCs w:val="20"/>
        </w:rPr>
        <w:t xml:space="preserve">produced intermediate performances (0.64 </w:t>
      </w:r>
      <w:proofErr w:type="gramStart"/>
      <w:r w:rsidRPr="002F1C14">
        <w:rPr>
          <w:rFonts w:ascii="Arial" w:hAnsi="Arial" w:cs="Arial"/>
          <w:sz w:val="20"/>
          <w:szCs w:val="20"/>
        </w:rPr>
        <w:t>cm;</w:t>
      </w:r>
      <w:proofErr w:type="gramEnd"/>
      <w:r w:rsidRPr="002F1C14">
        <w:rPr>
          <w:rFonts w:ascii="Arial" w:hAnsi="Arial" w:cs="Arial"/>
          <w:sz w:val="20"/>
          <w:szCs w:val="20"/>
        </w:rPr>
        <w:t xml:space="preserve"> 64.52 cm), followed by </w:t>
      </w:r>
      <w:r w:rsidRPr="002F1C14">
        <w:rPr>
          <w:rFonts w:ascii="Arial" w:eastAsia="Times New Roman" w:hAnsi="Arial" w:cs="Arial"/>
          <w:i/>
          <w:sz w:val="20"/>
          <w:szCs w:val="20"/>
        </w:rPr>
        <w:t>C. odorata</w:t>
      </w:r>
      <w:r w:rsidRPr="002F1C14">
        <w:rPr>
          <w:rFonts w:ascii="Arial" w:hAnsi="Arial" w:cs="Arial"/>
          <w:sz w:val="20"/>
          <w:szCs w:val="20"/>
        </w:rPr>
        <w:t xml:space="preserve">, which produced lesser effects but greater than the control. The number of stems did not vary significantly between treatments. Although biofertilizers are less effective than NPK in the short term, their properties (atmospheric nitrogen fixation for </w:t>
      </w:r>
      <w:r w:rsidRPr="002F1C14">
        <w:rPr>
          <w:rFonts w:ascii="Arial" w:eastAsia="Times New Roman" w:hAnsi="Arial" w:cs="Arial"/>
          <w:i/>
          <w:sz w:val="20"/>
          <w:szCs w:val="20"/>
        </w:rPr>
        <w:t>A. filiculoides</w:t>
      </w:r>
      <w:r w:rsidRPr="002F1C14">
        <w:rPr>
          <w:rFonts w:ascii="Arial" w:hAnsi="Arial" w:cs="Arial"/>
          <w:sz w:val="20"/>
          <w:szCs w:val="20"/>
        </w:rPr>
        <w:t xml:space="preserve">, mineral richness and improved soil structure for </w:t>
      </w:r>
      <w:r w:rsidRPr="002F1C14">
        <w:rPr>
          <w:rFonts w:ascii="Arial" w:eastAsia="Times New Roman" w:hAnsi="Arial" w:cs="Arial"/>
          <w:i/>
          <w:sz w:val="20"/>
          <w:szCs w:val="20"/>
        </w:rPr>
        <w:t>C. odorata</w:t>
      </w:r>
      <w:r w:rsidRPr="002F1C14">
        <w:rPr>
          <w:rFonts w:ascii="Arial" w:hAnsi="Arial" w:cs="Arial"/>
          <w:sz w:val="20"/>
          <w:szCs w:val="20"/>
        </w:rPr>
        <w:t xml:space="preserve">) make them promising alternatives for reducing dependence on chemical fertilizers and promoting sustainable potato fertilization in the humid tropics. </w:t>
      </w:r>
    </w:p>
    <w:p w14:paraId="430D16E2" w14:textId="77777777" w:rsidR="0007076A" w:rsidRPr="002F1C14" w:rsidRDefault="0007076A" w:rsidP="0007076A">
      <w:pPr>
        <w:spacing w:after="112" w:line="259" w:lineRule="auto"/>
        <w:rPr>
          <w:rFonts w:ascii="Arial" w:hAnsi="Arial" w:cs="Arial"/>
          <w:sz w:val="20"/>
        </w:rPr>
      </w:pPr>
      <w:r>
        <w:t xml:space="preserve"> </w:t>
      </w:r>
    </w:p>
    <w:p w14:paraId="6833A7DA" w14:textId="77777777" w:rsidR="0007076A" w:rsidRPr="002F1C14" w:rsidRDefault="0007076A" w:rsidP="002F1C14">
      <w:pPr>
        <w:spacing w:line="240" w:lineRule="auto"/>
        <w:ind w:left="-6"/>
        <w:jc w:val="both"/>
        <w:rPr>
          <w:rFonts w:ascii="Arial" w:hAnsi="Arial" w:cs="Arial"/>
          <w:sz w:val="20"/>
          <w:szCs w:val="20"/>
        </w:rPr>
      </w:pPr>
      <w:proofErr w:type="gramStart"/>
      <w:r w:rsidRPr="002F1C14">
        <w:rPr>
          <w:rFonts w:ascii="Arial" w:eastAsia="Times New Roman" w:hAnsi="Arial" w:cs="Arial"/>
          <w:sz w:val="20"/>
          <w:szCs w:val="20"/>
        </w:rPr>
        <w:t>Keywords</w:t>
      </w:r>
      <w:r w:rsidRPr="002F1C14">
        <w:rPr>
          <w:rFonts w:ascii="Arial" w:hAnsi="Arial" w:cs="Arial"/>
          <w:sz w:val="20"/>
          <w:szCs w:val="20"/>
        </w:rPr>
        <w:t>:</w:t>
      </w:r>
      <w:proofErr w:type="gramEnd"/>
      <w:r w:rsidRPr="002F1C14">
        <w:rPr>
          <w:rFonts w:ascii="Arial" w:hAnsi="Arial" w:cs="Arial"/>
          <w:sz w:val="20"/>
          <w:szCs w:val="20"/>
        </w:rPr>
        <w:t xml:space="preserve"> </w:t>
      </w:r>
      <w:r w:rsidRPr="002F1C14">
        <w:rPr>
          <w:rFonts w:ascii="Arial" w:eastAsia="Times New Roman" w:hAnsi="Arial" w:cs="Arial"/>
          <w:i/>
          <w:sz w:val="20"/>
          <w:szCs w:val="20"/>
        </w:rPr>
        <w:t xml:space="preserve">Azolla filiculoides, </w:t>
      </w:r>
      <w:r w:rsidRPr="002F1C14">
        <w:rPr>
          <w:rFonts w:ascii="Arial" w:hAnsi="Arial" w:cs="Arial"/>
          <w:sz w:val="20"/>
          <w:szCs w:val="20"/>
        </w:rPr>
        <w:t>Biofertilizer</w:t>
      </w:r>
      <w:r w:rsidRPr="002F1C14">
        <w:rPr>
          <w:rFonts w:ascii="Arial" w:eastAsia="Times New Roman" w:hAnsi="Arial" w:cs="Arial"/>
          <w:i/>
          <w:sz w:val="20"/>
          <w:szCs w:val="20"/>
        </w:rPr>
        <w:t>, Chromolaena odorata</w:t>
      </w:r>
      <w:r w:rsidRPr="002F1C14">
        <w:rPr>
          <w:rFonts w:ascii="Arial" w:hAnsi="Arial" w:cs="Arial"/>
          <w:sz w:val="20"/>
          <w:szCs w:val="20"/>
        </w:rPr>
        <w:t xml:space="preserve">, agromorphological parameters, potato </w:t>
      </w:r>
    </w:p>
    <w:p w14:paraId="20BB488A" w14:textId="77777777" w:rsidR="007B1EEF" w:rsidRPr="00F8164F" w:rsidRDefault="007B1EEF" w:rsidP="007B1EEF">
      <w:pPr>
        <w:spacing w:line="240" w:lineRule="auto"/>
        <w:rPr>
          <w:rFonts w:eastAsia="Times New Roman" w:cs="Times New Roman"/>
          <w:szCs w:val="24"/>
          <w:lang w:eastAsia="fr-FR"/>
        </w:rPr>
      </w:pPr>
    </w:p>
    <w:p w14:paraId="4BDA90A7" w14:textId="77777777" w:rsidR="00F8164F" w:rsidRDefault="00F8164F" w:rsidP="00F8164F">
      <w:pPr>
        <w:spacing w:line="240" w:lineRule="auto"/>
        <w:rPr>
          <w:rFonts w:cs="Times New Roman"/>
          <w:szCs w:val="24"/>
        </w:rPr>
      </w:pPr>
    </w:p>
    <w:p w14:paraId="1AEC2B31" w14:textId="77777777" w:rsidR="0007076A" w:rsidRDefault="0007076A" w:rsidP="00F8164F">
      <w:pPr>
        <w:spacing w:line="240" w:lineRule="auto"/>
        <w:rPr>
          <w:rFonts w:cs="Times New Roman"/>
          <w:szCs w:val="24"/>
        </w:rPr>
      </w:pPr>
    </w:p>
    <w:p w14:paraId="7141A614" w14:textId="77777777" w:rsidR="0007076A" w:rsidRDefault="0007076A" w:rsidP="00F8164F">
      <w:pPr>
        <w:spacing w:line="240" w:lineRule="auto"/>
        <w:rPr>
          <w:rFonts w:cs="Times New Roman"/>
          <w:szCs w:val="24"/>
        </w:rPr>
      </w:pPr>
    </w:p>
    <w:p w14:paraId="7E8D3EB4" w14:textId="77777777" w:rsidR="005B7B02" w:rsidRDefault="005B7B02" w:rsidP="00F8164F">
      <w:pPr>
        <w:spacing w:line="240" w:lineRule="auto"/>
        <w:rPr>
          <w:rFonts w:cs="Times New Roman"/>
          <w:szCs w:val="24"/>
        </w:rPr>
      </w:pPr>
    </w:p>
    <w:p w14:paraId="0BAB7FE5" w14:textId="77777777" w:rsidR="005B7B02" w:rsidRDefault="005B7B02" w:rsidP="00F8164F">
      <w:pPr>
        <w:spacing w:line="240" w:lineRule="auto"/>
        <w:rPr>
          <w:rFonts w:cs="Times New Roman"/>
          <w:szCs w:val="24"/>
        </w:rPr>
      </w:pPr>
    </w:p>
    <w:p w14:paraId="4D563B73" w14:textId="77777777" w:rsidR="005B7B02" w:rsidRDefault="005B7B02" w:rsidP="00F8164F">
      <w:pPr>
        <w:spacing w:line="240" w:lineRule="auto"/>
        <w:rPr>
          <w:rFonts w:cs="Times New Roman"/>
          <w:szCs w:val="24"/>
        </w:rPr>
      </w:pPr>
    </w:p>
    <w:p w14:paraId="00337AA8" w14:textId="77777777" w:rsidR="005B7B02" w:rsidRDefault="005B7B02" w:rsidP="002F1C14">
      <w:pPr>
        <w:spacing w:line="240" w:lineRule="auto"/>
        <w:rPr>
          <w:rFonts w:ascii="Arial" w:hAnsi="Arial" w:cs="Arial"/>
          <w:b/>
          <w:sz w:val="22"/>
        </w:rPr>
      </w:pPr>
      <w:r w:rsidRPr="002F1C14">
        <w:rPr>
          <w:rFonts w:ascii="Arial" w:hAnsi="Arial" w:cs="Arial"/>
          <w:b/>
          <w:sz w:val="22"/>
        </w:rPr>
        <w:t xml:space="preserve">1. </w:t>
      </w:r>
      <w:r w:rsidR="0007076A" w:rsidRPr="002F1C14">
        <w:rPr>
          <w:rFonts w:ascii="Arial" w:hAnsi="Arial" w:cs="Arial"/>
          <w:b/>
          <w:sz w:val="22"/>
        </w:rPr>
        <w:t xml:space="preserve">INTRODUCTION </w:t>
      </w:r>
    </w:p>
    <w:p w14:paraId="51F52445" w14:textId="77777777" w:rsidR="0007076A" w:rsidRPr="002F1C14" w:rsidRDefault="0007076A" w:rsidP="002F1C14">
      <w:pPr>
        <w:spacing w:line="240" w:lineRule="auto"/>
        <w:rPr>
          <w:rFonts w:ascii="Arial" w:hAnsi="Arial" w:cs="Arial"/>
          <w:b/>
          <w:sz w:val="22"/>
        </w:rPr>
      </w:pPr>
    </w:p>
    <w:p w14:paraId="447D4F79" w14:textId="77777777" w:rsidR="0007076A" w:rsidRPr="002F1C14" w:rsidRDefault="0007076A" w:rsidP="002F1C14">
      <w:pPr>
        <w:spacing w:line="240" w:lineRule="auto"/>
        <w:ind w:left="-6"/>
        <w:jc w:val="both"/>
        <w:rPr>
          <w:rFonts w:ascii="Arial" w:hAnsi="Arial" w:cs="Arial"/>
          <w:sz w:val="20"/>
          <w:szCs w:val="20"/>
        </w:rPr>
      </w:pPr>
      <w:r w:rsidRPr="002F1C14">
        <w:rPr>
          <w:rFonts w:ascii="Arial" w:hAnsi="Arial" w:cs="Arial"/>
          <w:sz w:val="20"/>
          <w:szCs w:val="20"/>
        </w:rPr>
        <w:t>The potato (</w:t>
      </w:r>
      <w:r w:rsidRPr="002F1C14">
        <w:rPr>
          <w:rFonts w:ascii="Arial" w:hAnsi="Arial" w:cs="Arial"/>
          <w:i/>
          <w:sz w:val="20"/>
          <w:szCs w:val="20"/>
        </w:rPr>
        <w:t>Solanum tuberosum</w:t>
      </w:r>
      <w:r w:rsidRPr="002F1C14">
        <w:rPr>
          <w:rFonts w:ascii="Arial" w:hAnsi="Arial" w:cs="Arial"/>
          <w:sz w:val="20"/>
          <w:szCs w:val="20"/>
        </w:rPr>
        <w:t xml:space="preserve"> L.) is one of the world's most widely consumed food crops, and an essential source of carbohydrates, plant proteins and micronutrients (Muthoni and Shimelis, 2023). In West Africa, its cultivation is gaining in importance, particularly in Côte d'Ivoire, where it is seen as a strategic alternative in the face of food insecurity. However, its productivity remains limited by agronomic factors, among which fertilization management plays a central role. Mineral fertilizers, while effective in increasing yields in the short term, are associated with a number of negative effects, such as soil impoverishment, groundwater pollution and biodiversity loss (Schröder et al., 2011). Faced with these </w:t>
      </w:r>
      <w:r w:rsidRPr="002F1C14">
        <w:rPr>
          <w:rFonts w:ascii="Arial" w:hAnsi="Arial" w:cs="Arial"/>
          <w:sz w:val="20"/>
          <w:szCs w:val="20"/>
        </w:rPr>
        <w:lastRenderedPageBreak/>
        <w:t xml:space="preserve">limitations, more sustainable alternatives are being sought, notably bio-natural fertilizers based on plant or organic resources. These not only improve soil fertility, but also limit the environmental impact of agricultural practices (Ramos et al., </w:t>
      </w:r>
      <w:r w:rsidR="00A7549E" w:rsidRPr="002F1C14">
        <w:rPr>
          <w:rFonts w:ascii="Arial" w:hAnsi="Arial" w:cs="Arial"/>
          <w:sz w:val="20"/>
          <w:szCs w:val="20"/>
        </w:rPr>
        <w:t>2017 ;</w:t>
      </w:r>
      <w:r w:rsidRPr="002F1C14">
        <w:rPr>
          <w:rFonts w:ascii="Arial" w:hAnsi="Arial" w:cs="Arial"/>
          <w:sz w:val="20"/>
          <w:szCs w:val="20"/>
        </w:rPr>
        <w:t xml:space="preserve"> Gichuru </w:t>
      </w:r>
      <w:r w:rsidRPr="002F1C14">
        <w:rPr>
          <w:rFonts w:ascii="Arial" w:hAnsi="Arial" w:cs="Arial"/>
          <w:i/>
          <w:sz w:val="20"/>
          <w:szCs w:val="20"/>
        </w:rPr>
        <w:t>et al</w:t>
      </w:r>
      <w:r w:rsidRPr="002F1C14">
        <w:rPr>
          <w:rFonts w:ascii="Arial" w:hAnsi="Arial" w:cs="Arial"/>
          <w:sz w:val="20"/>
          <w:szCs w:val="20"/>
        </w:rPr>
        <w:t>., 2003). Promising biofertilizers include Azolla filiculoides, an aquatic fern capable of fixing atmospheric nitrogen through its symbiosis with cyanobacteria (Wagner, 1997), and Chromolaena odorata, a pioneer plant known for its ability to improve soil structure and mineral richness, particularly in calcium and or</w:t>
      </w:r>
      <w:r w:rsidR="00476D81" w:rsidRPr="002F1C14">
        <w:rPr>
          <w:rFonts w:ascii="Arial" w:hAnsi="Arial" w:cs="Arial"/>
          <w:sz w:val="20"/>
          <w:szCs w:val="20"/>
        </w:rPr>
        <w:t xml:space="preserve">ganic matter (Tondoh </w:t>
      </w:r>
      <w:r w:rsidR="00476D81" w:rsidRPr="002F1C14">
        <w:rPr>
          <w:rFonts w:ascii="Arial" w:hAnsi="Arial" w:cs="Arial"/>
          <w:i/>
          <w:sz w:val="20"/>
          <w:szCs w:val="20"/>
        </w:rPr>
        <w:t>et al</w:t>
      </w:r>
      <w:r w:rsidR="00476D81" w:rsidRPr="002F1C14">
        <w:rPr>
          <w:rFonts w:ascii="Arial" w:hAnsi="Arial" w:cs="Arial"/>
          <w:sz w:val="20"/>
          <w:szCs w:val="20"/>
        </w:rPr>
        <w:t xml:space="preserve">., </w:t>
      </w:r>
      <w:r w:rsidR="009F6F31" w:rsidRPr="002F1C14">
        <w:rPr>
          <w:rFonts w:ascii="Arial" w:hAnsi="Arial" w:cs="Arial"/>
          <w:sz w:val="20"/>
          <w:szCs w:val="20"/>
        </w:rPr>
        <w:t>2013 ;</w:t>
      </w:r>
      <w:r w:rsidRPr="002F1C14">
        <w:rPr>
          <w:rFonts w:ascii="Arial" w:hAnsi="Arial" w:cs="Arial"/>
          <w:sz w:val="20"/>
          <w:szCs w:val="20"/>
        </w:rPr>
        <w:t xml:space="preserve"> Nandjui </w:t>
      </w:r>
      <w:r w:rsidRPr="002F1C14">
        <w:rPr>
          <w:rFonts w:ascii="Arial" w:hAnsi="Arial" w:cs="Arial"/>
          <w:i/>
          <w:sz w:val="20"/>
          <w:szCs w:val="20"/>
        </w:rPr>
        <w:t>et al</w:t>
      </w:r>
      <w:r w:rsidRPr="002F1C14">
        <w:rPr>
          <w:rFonts w:ascii="Arial" w:hAnsi="Arial" w:cs="Arial"/>
          <w:sz w:val="20"/>
          <w:szCs w:val="20"/>
        </w:rPr>
        <w:t xml:space="preserve">., </w:t>
      </w:r>
      <w:r w:rsidR="00A00E0F" w:rsidRPr="002F1C14">
        <w:rPr>
          <w:rFonts w:ascii="Arial" w:hAnsi="Arial" w:cs="Arial"/>
          <w:sz w:val="20"/>
          <w:szCs w:val="20"/>
        </w:rPr>
        <w:t>2007 ;</w:t>
      </w:r>
      <w:r w:rsidR="009F6F31" w:rsidRPr="002F1C14">
        <w:rPr>
          <w:rFonts w:ascii="Arial" w:hAnsi="Arial" w:cs="Arial"/>
          <w:sz w:val="20"/>
          <w:szCs w:val="20"/>
        </w:rPr>
        <w:t xml:space="preserve"> Indrabayu &amp; Mahmud., </w:t>
      </w:r>
      <w:r w:rsidR="00A00E0F" w:rsidRPr="002F1C14">
        <w:rPr>
          <w:rFonts w:ascii="Arial" w:hAnsi="Arial" w:cs="Arial"/>
          <w:sz w:val="20"/>
          <w:szCs w:val="20"/>
        </w:rPr>
        <w:t>2019 ;</w:t>
      </w:r>
      <w:r w:rsidRPr="002F1C14">
        <w:rPr>
          <w:rFonts w:ascii="Arial" w:hAnsi="Arial" w:cs="Arial"/>
          <w:sz w:val="20"/>
          <w:szCs w:val="20"/>
        </w:rPr>
        <w:t xml:space="preserve"> Konan </w:t>
      </w:r>
      <w:r w:rsidRPr="002F1C14">
        <w:rPr>
          <w:rFonts w:ascii="Arial" w:hAnsi="Arial" w:cs="Arial"/>
          <w:i/>
          <w:sz w:val="20"/>
          <w:szCs w:val="20"/>
        </w:rPr>
        <w:t>et al</w:t>
      </w:r>
      <w:r w:rsidRPr="002F1C14">
        <w:rPr>
          <w:rFonts w:ascii="Arial" w:hAnsi="Arial" w:cs="Arial"/>
          <w:sz w:val="20"/>
          <w:szCs w:val="20"/>
        </w:rPr>
        <w:t xml:space="preserve">., 2025). Several studies have shown that the application of these plants as organic amendments can stimulate crop growth and improve yields (Edoukou et al., </w:t>
      </w:r>
      <w:r w:rsidR="00A7549E" w:rsidRPr="002F1C14">
        <w:rPr>
          <w:rFonts w:ascii="Arial" w:hAnsi="Arial" w:cs="Arial"/>
          <w:sz w:val="20"/>
          <w:szCs w:val="20"/>
        </w:rPr>
        <w:t>2013 ;</w:t>
      </w:r>
      <w:r w:rsidRPr="002F1C14">
        <w:rPr>
          <w:rFonts w:ascii="Arial" w:hAnsi="Arial" w:cs="Arial"/>
          <w:sz w:val="20"/>
          <w:szCs w:val="20"/>
        </w:rPr>
        <w:t xml:space="preserve"> Marzouk </w:t>
      </w:r>
      <w:r w:rsidRPr="002F1C14">
        <w:rPr>
          <w:rFonts w:ascii="Arial" w:hAnsi="Arial" w:cs="Arial"/>
          <w:i/>
          <w:sz w:val="20"/>
          <w:szCs w:val="20"/>
        </w:rPr>
        <w:t>et al</w:t>
      </w:r>
      <w:r w:rsidRPr="002F1C14">
        <w:rPr>
          <w:rFonts w:ascii="Arial" w:hAnsi="Arial" w:cs="Arial"/>
          <w:sz w:val="20"/>
          <w:szCs w:val="20"/>
        </w:rPr>
        <w:t xml:space="preserve">., 2023). However, few studies have comparatively assessed the effect of these biofertilizers versus conventional mineral fertilizers under specific agroecological conditions such as those of the central-western region of Côte d'Ivoire. In addition, soil-filled sack cropping systems, which allow better control of growth parameters, provide a relevant framework for testing the efficacy of these fertilizers (Resh, 2022). The present study thus aims to compare the effects of Azolla foliculoides, </w:t>
      </w:r>
      <w:r w:rsidRPr="002F1C14">
        <w:rPr>
          <w:rFonts w:ascii="Arial" w:hAnsi="Arial" w:cs="Arial"/>
          <w:i/>
          <w:sz w:val="20"/>
          <w:szCs w:val="20"/>
        </w:rPr>
        <w:t>Chromolaena odorata</w:t>
      </w:r>
      <w:r w:rsidRPr="002F1C14">
        <w:rPr>
          <w:rFonts w:ascii="Arial" w:hAnsi="Arial" w:cs="Arial"/>
          <w:sz w:val="20"/>
          <w:szCs w:val="20"/>
        </w:rPr>
        <w:t xml:space="preserve"> and a ternary mineral fertilizer commonly used in potato production in Africa (Sedkaoui, 2018), on the agro-morphological parameters of this plant. It is part of a research approach for more ecological and economical fertilization practices.  </w:t>
      </w:r>
    </w:p>
    <w:p w14:paraId="165EA61B" w14:textId="77777777" w:rsidR="0007076A" w:rsidRPr="002F1C14" w:rsidRDefault="0007076A" w:rsidP="002F1C14">
      <w:pPr>
        <w:spacing w:line="240" w:lineRule="auto"/>
        <w:rPr>
          <w:rFonts w:ascii="Arial" w:hAnsi="Arial" w:cs="Arial"/>
          <w:sz w:val="20"/>
          <w:szCs w:val="20"/>
        </w:rPr>
      </w:pPr>
      <w:r w:rsidRPr="002F1C14">
        <w:rPr>
          <w:rFonts w:eastAsia="Times New Roman" w:cs="Times New Roman"/>
          <w:b/>
          <w:sz w:val="20"/>
          <w:szCs w:val="20"/>
        </w:rPr>
        <w:t xml:space="preserve"> </w:t>
      </w:r>
    </w:p>
    <w:p w14:paraId="481728C8" w14:textId="77777777" w:rsidR="00A60F10" w:rsidRDefault="005B7B02" w:rsidP="002F1C14">
      <w:pPr>
        <w:spacing w:line="240" w:lineRule="auto"/>
        <w:rPr>
          <w:rFonts w:ascii="Arial" w:hAnsi="Arial" w:cs="Arial"/>
          <w:b/>
          <w:sz w:val="20"/>
          <w:szCs w:val="20"/>
        </w:rPr>
      </w:pPr>
      <w:r w:rsidRPr="002F1C14">
        <w:rPr>
          <w:rFonts w:ascii="Arial" w:hAnsi="Arial" w:cs="Arial"/>
          <w:b/>
          <w:sz w:val="20"/>
          <w:szCs w:val="20"/>
        </w:rPr>
        <w:t xml:space="preserve">2. </w:t>
      </w:r>
      <w:r w:rsidR="0007076A" w:rsidRPr="002F1C14">
        <w:rPr>
          <w:rFonts w:ascii="Arial" w:hAnsi="Arial" w:cs="Arial"/>
          <w:b/>
          <w:sz w:val="20"/>
          <w:szCs w:val="20"/>
        </w:rPr>
        <w:t>MATERIALS AND METHODS</w:t>
      </w:r>
    </w:p>
    <w:p w14:paraId="3B846BBB" w14:textId="77777777" w:rsidR="0007076A" w:rsidRPr="002F1C14" w:rsidRDefault="0007076A" w:rsidP="002F1C14">
      <w:pPr>
        <w:spacing w:line="240" w:lineRule="auto"/>
        <w:rPr>
          <w:rFonts w:ascii="Arial" w:hAnsi="Arial" w:cs="Arial"/>
          <w:b/>
          <w:sz w:val="20"/>
          <w:szCs w:val="20"/>
        </w:rPr>
      </w:pPr>
      <w:r w:rsidRPr="002F1C14">
        <w:rPr>
          <w:rFonts w:ascii="Arial" w:hAnsi="Arial" w:cs="Arial"/>
          <w:b/>
          <w:sz w:val="20"/>
          <w:szCs w:val="20"/>
        </w:rPr>
        <w:t xml:space="preserve"> </w:t>
      </w:r>
    </w:p>
    <w:p w14:paraId="6225AE10" w14:textId="77777777" w:rsidR="00A00E0F" w:rsidRDefault="005B7B02" w:rsidP="002F1C14">
      <w:pPr>
        <w:spacing w:line="240" w:lineRule="auto"/>
        <w:ind w:left="-5"/>
        <w:jc w:val="both"/>
        <w:rPr>
          <w:rFonts w:ascii="Arial" w:eastAsia="Times New Roman" w:hAnsi="Arial" w:cs="Arial"/>
          <w:b/>
          <w:sz w:val="20"/>
          <w:szCs w:val="20"/>
        </w:rPr>
      </w:pPr>
      <w:r w:rsidRPr="002F1C14">
        <w:rPr>
          <w:rFonts w:ascii="Arial" w:hAnsi="Arial" w:cs="Arial"/>
          <w:b/>
          <w:sz w:val="20"/>
          <w:szCs w:val="20"/>
        </w:rPr>
        <w:t xml:space="preserve">2.1. </w:t>
      </w:r>
      <w:r w:rsidR="0007076A" w:rsidRPr="002F1C14">
        <w:rPr>
          <w:rFonts w:ascii="Arial" w:eastAsia="Times New Roman" w:hAnsi="Arial" w:cs="Arial"/>
          <w:b/>
          <w:sz w:val="20"/>
          <w:szCs w:val="20"/>
        </w:rPr>
        <w:t>Study site</w:t>
      </w:r>
    </w:p>
    <w:p w14:paraId="5A938071" w14:textId="77777777" w:rsidR="00A60F10" w:rsidRPr="002F1C14" w:rsidRDefault="00A60F10" w:rsidP="002F1C14">
      <w:pPr>
        <w:spacing w:line="240" w:lineRule="auto"/>
        <w:ind w:left="-5"/>
        <w:jc w:val="both"/>
        <w:rPr>
          <w:rFonts w:ascii="Arial" w:eastAsia="Times New Roman" w:hAnsi="Arial" w:cs="Arial"/>
          <w:b/>
          <w:sz w:val="20"/>
          <w:szCs w:val="20"/>
        </w:rPr>
      </w:pPr>
    </w:p>
    <w:p w14:paraId="67B346B7" w14:textId="77777777" w:rsidR="0007076A" w:rsidRPr="006C4FCA" w:rsidRDefault="0007076A" w:rsidP="002F1C14">
      <w:pPr>
        <w:spacing w:line="240" w:lineRule="auto"/>
        <w:ind w:left="-6"/>
        <w:jc w:val="both"/>
        <w:rPr>
          <w:rFonts w:ascii="Arial" w:hAnsi="Arial" w:cs="Arial"/>
          <w:sz w:val="20"/>
          <w:szCs w:val="20"/>
        </w:rPr>
      </w:pPr>
      <w:r w:rsidRPr="002F1C14">
        <w:rPr>
          <w:rFonts w:ascii="Arial" w:hAnsi="Arial" w:cs="Arial"/>
          <w:sz w:val="20"/>
          <w:szCs w:val="20"/>
        </w:rPr>
        <w:t xml:space="preserve">The study was carried out in Daloa, in the central-western region of </w:t>
      </w:r>
      <w:r w:rsidR="006C4FCA">
        <w:rPr>
          <w:rFonts w:ascii="Arial" w:hAnsi="Arial" w:cs="Arial"/>
          <w:sz w:val="20"/>
          <w:szCs w:val="20"/>
        </w:rPr>
        <w:t>Côte d’</w:t>
      </w:r>
      <w:r w:rsidR="006C4FCA" w:rsidRPr="00DC3C0E">
        <w:rPr>
          <w:rFonts w:ascii="Arial" w:hAnsi="Arial" w:cs="Arial"/>
          <w:sz w:val="20"/>
          <w:szCs w:val="20"/>
        </w:rPr>
        <w:t>Ivo</w:t>
      </w:r>
      <w:r w:rsidR="006C4FCA">
        <w:rPr>
          <w:rFonts w:ascii="Arial" w:hAnsi="Arial" w:cs="Arial"/>
          <w:sz w:val="20"/>
          <w:szCs w:val="20"/>
        </w:rPr>
        <w:t>ire</w:t>
      </w:r>
      <w:r w:rsidRPr="006C4FCA">
        <w:rPr>
          <w:rFonts w:ascii="Arial" w:hAnsi="Arial" w:cs="Arial"/>
          <w:sz w:val="20"/>
          <w:szCs w:val="20"/>
        </w:rPr>
        <w:t xml:space="preserve">, characterized by a humid sub-equatorial climate. The experimental site is located at the </w:t>
      </w:r>
      <w:r w:rsidR="004A6B55" w:rsidRPr="00DC3C0E">
        <w:rPr>
          <w:rFonts w:ascii="Arial" w:hAnsi="Arial" w:cs="Arial"/>
          <w:sz w:val="20"/>
          <w:szCs w:val="20"/>
        </w:rPr>
        <w:t>Jean Lorougnon Gu</w:t>
      </w:r>
      <w:r w:rsidR="004A6B55">
        <w:rPr>
          <w:rFonts w:ascii="Arial" w:hAnsi="Arial" w:cs="Arial"/>
          <w:sz w:val="20"/>
          <w:szCs w:val="20"/>
        </w:rPr>
        <w:t>e</w:t>
      </w:r>
      <w:r w:rsidR="004A6B55" w:rsidRPr="00DC3C0E">
        <w:rPr>
          <w:rFonts w:ascii="Arial" w:hAnsi="Arial" w:cs="Arial"/>
          <w:sz w:val="20"/>
          <w:szCs w:val="20"/>
        </w:rPr>
        <w:t>d</w:t>
      </w:r>
      <w:r w:rsidR="004A6B55">
        <w:rPr>
          <w:rFonts w:ascii="Arial" w:hAnsi="Arial" w:cs="Arial"/>
          <w:sz w:val="20"/>
          <w:szCs w:val="20"/>
        </w:rPr>
        <w:t>e</w:t>
      </w:r>
      <w:r w:rsidR="004A6B55" w:rsidRPr="00DC3C0E">
        <w:rPr>
          <w:rFonts w:ascii="Arial" w:hAnsi="Arial" w:cs="Arial"/>
          <w:sz w:val="20"/>
          <w:szCs w:val="20"/>
        </w:rPr>
        <w:t xml:space="preserve"> University</w:t>
      </w:r>
      <w:r w:rsidRPr="006C4FCA">
        <w:rPr>
          <w:rFonts w:ascii="Arial" w:hAnsi="Arial" w:cs="Arial"/>
          <w:sz w:val="20"/>
          <w:szCs w:val="20"/>
        </w:rPr>
        <w:t xml:space="preserve">, in the Tazibouo district, in the heart of the commune of Daloa, capital of the Haut-Sassandra region. This region covers an area of 15,200 km². The climate has two rainy </w:t>
      </w:r>
      <w:r w:rsidR="00A7549E" w:rsidRPr="006C4FCA">
        <w:rPr>
          <w:rFonts w:ascii="Arial" w:hAnsi="Arial" w:cs="Arial"/>
          <w:sz w:val="20"/>
          <w:szCs w:val="20"/>
        </w:rPr>
        <w:t>seasons :</w:t>
      </w:r>
      <w:r w:rsidRPr="006C4FCA">
        <w:rPr>
          <w:rFonts w:ascii="Arial" w:hAnsi="Arial" w:cs="Arial"/>
          <w:sz w:val="20"/>
          <w:szCs w:val="20"/>
        </w:rPr>
        <w:t xml:space="preserve"> a long season from March to October, and a short season from November to February, with average annual rainfall of between 1,200 and 1,500 mm. The soil at the study site is ferralitic, of granitic origin, with a sandy-loamy texture and an acid to slightly acid pH (Konan et al., 2022). Although moderately desaturated, this substrate remains suitable for agriculture, while requiring appropriate fertilizer management (Collinet, 1984</w:t>
      </w:r>
      <w:r w:rsidR="00722EC5" w:rsidRPr="006C4FCA">
        <w:rPr>
          <w:rFonts w:ascii="Arial" w:hAnsi="Arial" w:cs="Arial"/>
          <w:sz w:val="20"/>
          <w:szCs w:val="20"/>
        </w:rPr>
        <w:t xml:space="preserve"> </w:t>
      </w:r>
      <w:r w:rsidRPr="006C4FCA">
        <w:rPr>
          <w:rFonts w:ascii="Arial" w:hAnsi="Arial" w:cs="Arial"/>
          <w:sz w:val="20"/>
          <w:szCs w:val="20"/>
        </w:rPr>
        <w:t>; Koné et al., 2009</w:t>
      </w:r>
      <w:r w:rsidR="00722EC5" w:rsidRPr="006C4FCA">
        <w:rPr>
          <w:rFonts w:ascii="Arial" w:hAnsi="Arial" w:cs="Arial"/>
          <w:sz w:val="20"/>
          <w:szCs w:val="20"/>
        </w:rPr>
        <w:t xml:space="preserve"> </w:t>
      </w:r>
      <w:r w:rsidRPr="006C4FCA">
        <w:rPr>
          <w:rFonts w:ascii="Arial" w:hAnsi="Arial" w:cs="Arial"/>
          <w:sz w:val="20"/>
          <w:szCs w:val="20"/>
        </w:rPr>
        <w:t xml:space="preserve">; N'ganzoua et al., 2023). The natural vegetation is dominated by semi-deciduous dense rainforest. In this context, the soilless cultivation system, using substrate-filled bags, offers the advantage of better control of environmental variables and more accurate assessment of the impact of fertilizers. </w:t>
      </w:r>
    </w:p>
    <w:p w14:paraId="63ACC840" w14:textId="77777777" w:rsidR="0007076A" w:rsidRPr="006C4FCA" w:rsidRDefault="0007076A" w:rsidP="006C4FCA">
      <w:pPr>
        <w:spacing w:line="240" w:lineRule="auto"/>
        <w:rPr>
          <w:rFonts w:ascii="Arial" w:hAnsi="Arial" w:cs="Arial"/>
          <w:sz w:val="20"/>
        </w:rPr>
      </w:pPr>
      <w:r>
        <w:rPr>
          <w:rFonts w:eastAsia="Times New Roman" w:cs="Times New Roman"/>
          <w:b/>
        </w:rPr>
        <w:t xml:space="preserve"> </w:t>
      </w:r>
    </w:p>
    <w:p w14:paraId="768B1D0F" w14:textId="77777777" w:rsidR="00A00E0F" w:rsidRDefault="005B7B02" w:rsidP="006C4FCA">
      <w:pPr>
        <w:spacing w:line="240" w:lineRule="auto"/>
        <w:ind w:left="-6"/>
        <w:jc w:val="both"/>
        <w:rPr>
          <w:rFonts w:ascii="Arial" w:eastAsia="Times New Roman" w:hAnsi="Arial" w:cs="Arial"/>
          <w:b/>
          <w:sz w:val="22"/>
          <w:szCs w:val="20"/>
        </w:rPr>
      </w:pPr>
      <w:r w:rsidRPr="004A6B55">
        <w:rPr>
          <w:rFonts w:ascii="Arial" w:hAnsi="Arial" w:cs="Arial"/>
          <w:b/>
          <w:sz w:val="22"/>
          <w:szCs w:val="20"/>
        </w:rPr>
        <w:t xml:space="preserve">2.2. </w:t>
      </w:r>
      <w:r w:rsidR="0007076A" w:rsidRPr="006C4FCA">
        <w:rPr>
          <w:rFonts w:ascii="Arial" w:eastAsia="Times New Roman" w:hAnsi="Arial" w:cs="Arial"/>
          <w:b/>
          <w:sz w:val="22"/>
          <w:szCs w:val="20"/>
        </w:rPr>
        <w:t>Material used</w:t>
      </w:r>
    </w:p>
    <w:p w14:paraId="51E6B22C" w14:textId="77777777" w:rsidR="005B7B02" w:rsidRPr="006C4FCA" w:rsidRDefault="005B7B02" w:rsidP="006C4FCA">
      <w:pPr>
        <w:spacing w:line="240" w:lineRule="auto"/>
        <w:ind w:left="-6"/>
        <w:jc w:val="both"/>
        <w:rPr>
          <w:rFonts w:ascii="Arial" w:eastAsia="Times New Roman" w:hAnsi="Arial" w:cs="Arial"/>
          <w:b/>
          <w:sz w:val="20"/>
          <w:szCs w:val="20"/>
        </w:rPr>
      </w:pPr>
    </w:p>
    <w:p w14:paraId="1A4E2737" w14:textId="77777777" w:rsidR="0007076A" w:rsidRPr="006C4FCA" w:rsidRDefault="0007076A" w:rsidP="006C4FCA">
      <w:pPr>
        <w:spacing w:line="240" w:lineRule="auto"/>
        <w:ind w:left="-6"/>
        <w:jc w:val="both"/>
        <w:rPr>
          <w:rFonts w:ascii="Arial" w:hAnsi="Arial" w:cs="Arial"/>
          <w:sz w:val="20"/>
          <w:szCs w:val="20"/>
        </w:rPr>
      </w:pPr>
      <w:r w:rsidRPr="006C4FCA">
        <w:rPr>
          <w:rFonts w:ascii="Arial" w:hAnsi="Arial" w:cs="Arial"/>
          <w:sz w:val="20"/>
          <w:szCs w:val="20"/>
        </w:rPr>
        <w:t xml:space="preserve">The material used to carry out this study comprises plant material, fertilizer inputs and edaphic substrate. Firstly, the plant material consisted of potato tubers of the </w:t>
      </w:r>
      <w:r w:rsidRPr="006C4FCA">
        <w:rPr>
          <w:rFonts w:ascii="Arial" w:eastAsia="Times New Roman" w:hAnsi="Arial" w:cs="Arial"/>
          <w:i/>
          <w:sz w:val="20"/>
          <w:szCs w:val="20"/>
        </w:rPr>
        <w:t xml:space="preserve">Bintje </w:t>
      </w:r>
      <w:r w:rsidRPr="006C4FCA">
        <w:rPr>
          <w:rFonts w:ascii="Arial" w:hAnsi="Arial" w:cs="Arial"/>
          <w:sz w:val="20"/>
          <w:szCs w:val="20"/>
        </w:rPr>
        <w:t xml:space="preserve">variety, a variety characterized by a ripening time of between 90 and 120 days (Figure 1A). Then, the fertilizing inputs are composed, on the one hand, of bio-natural fertilizers, notably </w:t>
      </w:r>
      <w:r w:rsidRPr="006C4FCA">
        <w:rPr>
          <w:rFonts w:ascii="Arial" w:eastAsia="Times New Roman" w:hAnsi="Arial" w:cs="Arial"/>
          <w:i/>
          <w:sz w:val="20"/>
          <w:szCs w:val="20"/>
        </w:rPr>
        <w:t xml:space="preserve">Azolla filiculoïdes </w:t>
      </w:r>
      <w:r w:rsidRPr="006C4FCA">
        <w:rPr>
          <w:rFonts w:ascii="Arial" w:hAnsi="Arial" w:cs="Arial"/>
          <w:sz w:val="20"/>
          <w:szCs w:val="20"/>
        </w:rPr>
        <w:t xml:space="preserve">and decomposed </w:t>
      </w:r>
      <w:r w:rsidRPr="006C4FCA">
        <w:rPr>
          <w:rFonts w:ascii="Arial" w:eastAsia="Times New Roman" w:hAnsi="Arial" w:cs="Arial"/>
          <w:i/>
          <w:sz w:val="20"/>
          <w:szCs w:val="20"/>
        </w:rPr>
        <w:t>Chromolaena odorata</w:t>
      </w:r>
      <w:r w:rsidRPr="006C4FCA">
        <w:rPr>
          <w:rFonts w:ascii="Arial" w:hAnsi="Arial" w:cs="Arial"/>
          <w:sz w:val="20"/>
          <w:szCs w:val="20"/>
        </w:rPr>
        <w:t xml:space="preserve">, and, on the other hand, of a ternary mineral fertilizer, NPK-15-15, rich in nitrogen, phosphorus and potassium. Finally, the soil substrate is a dark reddish-brown sandy-clay soil (7.5 YR 4/2 according to the Munsell code), devoid of organic matter. For this purpose, 50 kg bags with a surface area of </w:t>
      </w:r>
      <w:r w:rsidR="003F571C" w:rsidRPr="006C4FCA">
        <w:rPr>
          <w:rStyle w:val="Strong"/>
          <w:rFonts w:ascii="Arial" w:hAnsi="Arial" w:cs="Arial"/>
          <w:b w:val="0"/>
          <w:sz w:val="20"/>
          <w:szCs w:val="20"/>
        </w:rPr>
        <w:t>1 963 cm²</w:t>
      </w:r>
      <w:r w:rsidRPr="006C4FCA">
        <w:rPr>
          <w:rFonts w:ascii="Arial" w:hAnsi="Arial" w:cs="Arial"/>
          <w:sz w:val="20"/>
          <w:szCs w:val="20"/>
        </w:rPr>
        <w:t xml:space="preserve"> were filled to serve as culture media (Figure 1B). </w:t>
      </w:r>
    </w:p>
    <w:p w14:paraId="43432BAB" w14:textId="77777777" w:rsidR="0007076A" w:rsidRDefault="00A31DB8" w:rsidP="00A31DB8">
      <w:pPr>
        <w:spacing w:after="148" w:line="259" w:lineRule="auto"/>
        <w:jc w:val="center"/>
      </w:pPr>
      <w:r w:rsidRPr="00A31DB8">
        <w:rPr>
          <w:noProof/>
          <w:lang w:eastAsia="fr-FR"/>
        </w:rPr>
        <w:drawing>
          <wp:inline distT="0" distB="0" distL="0" distR="0" wp14:anchorId="01CC8196" wp14:editId="1D9407C0">
            <wp:extent cx="4051300" cy="1673191"/>
            <wp:effectExtent l="0" t="0" r="6350" b="3810"/>
            <wp:docPr id="5" name="Image 5" descr="C:\Users\TOURE BESSIMORY\Pictures\Screenshots\Capture d'écran 2025-08-06 184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URE BESSIMORY\Pictures\Screenshots\Capture d'écran 2025-08-06 184404.png"/>
                    <pic:cNvPicPr>
                      <a:picLocks noChangeAspect="1" noChangeArrowheads="1"/>
                    </pic:cNvPicPr>
                  </pic:nvPicPr>
                  <pic:blipFill rotWithShape="1">
                    <a:blip r:embed="rId6">
                      <a:extLst>
                        <a:ext uri="{28A0092B-C50C-407E-A947-70E740481C1C}">
                          <a14:useLocalDpi xmlns:a14="http://schemas.microsoft.com/office/drawing/2010/main" val="0"/>
                        </a:ext>
                      </a:extLst>
                    </a:blip>
                    <a:srcRect l="1434" t="1703" r="4832" b="6390"/>
                    <a:stretch/>
                  </pic:blipFill>
                  <pic:spPr bwMode="auto">
                    <a:xfrm>
                      <a:off x="0" y="0"/>
                      <a:ext cx="4052789" cy="1673806"/>
                    </a:xfrm>
                    <a:prstGeom prst="rect">
                      <a:avLst/>
                    </a:prstGeom>
                    <a:noFill/>
                    <a:ln>
                      <a:noFill/>
                    </a:ln>
                    <a:extLst>
                      <a:ext uri="{53640926-AAD7-44D8-BBD7-CCE9431645EC}">
                        <a14:shadowObscured xmlns:a14="http://schemas.microsoft.com/office/drawing/2010/main"/>
                      </a:ext>
                    </a:extLst>
                  </pic:spPr>
                </pic:pic>
              </a:graphicData>
            </a:graphic>
          </wp:inline>
        </w:drawing>
      </w:r>
    </w:p>
    <w:p w14:paraId="02EF0BED" w14:textId="77777777" w:rsidR="0007076A" w:rsidRPr="006C4FCA" w:rsidRDefault="0007076A" w:rsidP="0007076A">
      <w:pPr>
        <w:spacing w:after="113" w:line="259" w:lineRule="auto"/>
        <w:ind w:left="39" w:right="34"/>
        <w:jc w:val="center"/>
        <w:rPr>
          <w:rFonts w:ascii="Arial" w:hAnsi="Arial" w:cs="Arial"/>
          <w:b/>
          <w:sz w:val="20"/>
          <w:szCs w:val="20"/>
        </w:rPr>
      </w:pPr>
      <w:r w:rsidRPr="006C4FCA">
        <w:rPr>
          <w:rFonts w:ascii="Arial" w:hAnsi="Arial" w:cs="Arial"/>
          <w:b/>
          <w:sz w:val="20"/>
          <w:szCs w:val="20"/>
        </w:rPr>
        <w:t>Fig</w:t>
      </w:r>
      <w:r w:rsidR="000B0DB1">
        <w:rPr>
          <w:rFonts w:ascii="Arial" w:hAnsi="Arial" w:cs="Arial"/>
          <w:b/>
          <w:sz w:val="20"/>
          <w:szCs w:val="20"/>
        </w:rPr>
        <w:t>.</w:t>
      </w:r>
      <w:r w:rsidRPr="006C4FCA">
        <w:rPr>
          <w:rFonts w:ascii="Arial" w:hAnsi="Arial" w:cs="Arial"/>
          <w:b/>
          <w:sz w:val="20"/>
          <w:szCs w:val="20"/>
        </w:rPr>
        <w:t xml:space="preserve"> 1</w:t>
      </w:r>
      <w:r w:rsidR="000B0DB1">
        <w:rPr>
          <w:rFonts w:ascii="Arial" w:hAnsi="Arial" w:cs="Arial"/>
          <w:b/>
          <w:sz w:val="20"/>
          <w:szCs w:val="20"/>
        </w:rPr>
        <w:t>.</w:t>
      </w:r>
      <w:r w:rsidRPr="006C4FCA">
        <w:rPr>
          <w:rFonts w:ascii="Arial" w:hAnsi="Arial" w:cs="Arial"/>
          <w:b/>
          <w:sz w:val="20"/>
          <w:szCs w:val="20"/>
        </w:rPr>
        <w:t xml:space="preserve"> Equipment used </w:t>
      </w:r>
    </w:p>
    <w:p w14:paraId="27A93D8B" w14:textId="77777777" w:rsidR="0007076A" w:rsidRPr="006C4FCA" w:rsidRDefault="0007076A" w:rsidP="0007076A">
      <w:pPr>
        <w:spacing w:after="113" w:line="259" w:lineRule="auto"/>
        <w:ind w:left="39" w:right="40"/>
        <w:jc w:val="center"/>
        <w:rPr>
          <w:rFonts w:ascii="Arial" w:hAnsi="Arial" w:cs="Arial"/>
          <w:i/>
          <w:sz w:val="20"/>
          <w:szCs w:val="20"/>
        </w:rPr>
      </w:pPr>
      <w:r w:rsidRPr="006C4FCA">
        <w:rPr>
          <w:rFonts w:ascii="Arial" w:hAnsi="Arial" w:cs="Arial"/>
          <w:i/>
          <w:sz w:val="20"/>
          <w:szCs w:val="20"/>
        </w:rPr>
        <w:t>A</w:t>
      </w:r>
      <w:r w:rsidR="00A31DB8" w:rsidRPr="006C4FCA">
        <w:rPr>
          <w:rFonts w:ascii="Arial" w:hAnsi="Arial" w:cs="Arial"/>
          <w:i/>
          <w:sz w:val="20"/>
          <w:szCs w:val="20"/>
        </w:rPr>
        <w:t xml:space="preserve"> </w:t>
      </w:r>
      <w:r w:rsidRPr="006C4FCA">
        <w:rPr>
          <w:rFonts w:ascii="Arial" w:hAnsi="Arial" w:cs="Arial"/>
          <w:i/>
          <w:sz w:val="20"/>
          <w:szCs w:val="20"/>
        </w:rPr>
        <w:t>: Bintje apple variety and B</w:t>
      </w:r>
      <w:r w:rsidR="00A31DB8" w:rsidRPr="006C4FCA">
        <w:rPr>
          <w:rFonts w:ascii="Arial" w:hAnsi="Arial" w:cs="Arial"/>
          <w:i/>
          <w:sz w:val="20"/>
          <w:szCs w:val="20"/>
        </w:rPr>
        <w:t xml:space="preserve"> </w:t>
      </w:r>
      <w:r w:rsidRPr="006C4FCA">
        <w:rPr>
          <w:rFonts w:ascii="Arial" w:hAnsi="Arial" w:cs="Arial"/>
          <w:i/>
          <w:sz w:val="20"/>
          <w:szCs w:val="20"/>
        </w:rPr>
        <w:t xml:space="preserve">: Bag filled with soil supporting the crop. </w:t>
      </w:r>
    </w:p>
    <w:p w14:paraId="22AACB0D" w14:textId="77777777" w:rsidR="000B0DB1" w:rsidRPr="006C4FCA" w:rsidRDefault="0007076A" w:rsidP="006C4FCA">
      <w:pPr>
        <w:spacing w:line="240" w:lineRule="auto"/>
        <w:rPr>
          <w:rFonts w:ascii="Arial" w:eastAsia="Times New Roman" w:hAnsi="Arial" w:cs="Arial"/>
          <w:b/>
          <w:sz w:val="20"/>
          <w:szCs w:val="20"/>
        </w:rPr>
      </w:pPr>
      <w:r w:rsidRPr="006C4FCA">
        <w:rPr>
          <w:rFonts w:ascii="Arial" w:hAnsi="Arial" w:cs="Arial"/>
          <w:sz w:val="20"/>
          <w:szCs w:val="20"/>
        </w:rPr>
        <w:t xml:space="preserve"> </w:t>
      </w:r>
    </w:p>
    <w:p w14:paraId="0D3C7C21" w14:textId="77777777" w:rsidR="00A00E0F" w:rsidRPr="006C4FCA" w:rsidRDefault="000B0DB1" w:rsidP="006C4FCA">
      <w:pPr>
        <w:spacing w:line="240" w:lineRule="auto"/>
        <w:rPr>
          <w:rFonts w:ascii="Arial" w:hAnsi="Arial" w:cs="Arial"/>
          <w:sz w:val="22"/>
        </w:rPr>
      </w:pPr>
      <w:r w:rsidRPr="00F9766F">
        <w:rPr>
          <w:rFonts w:ascii="Arial" w:hAnsi="Arial" w:cs="Arial"/>
          <w:b/>
          <w:sz w:val="22"/>
          <w:szCs w:val="20"/>
        </w:rPr>
        <w:lastRenderedPageBreak/>
        <w:t>2.</w:t>
      </w:r>
      <w:r>
        <w:rPr>
          <w:rFonts w:ascii="Arial" w:hAnsi="Arial" w:cs="Arial"/>
          <w:b/>
          <w:sz w:val="22"/>
          <w:szCs w:val="20"/>
        </w:rPr>
        <w:t>3</w:t>
      </w:r>
      <w:r w:rsidRPr="00F9766F">
        <w:rPr>
          <w:rFonts w:ascii="Arial" w:hAnsi="Arial" w:cs="Arial"/>
          <w:b/>
          <w:sz w:val="22"/>
          <w:szCs w:val="20"/>
        </w:rPr>
        <w:t>.</w:t>
      </w:r>
      <w:r>
        <w:rPr>
          <w:rFonts w:ascii="Arial" w:hAnsi="Arial" w:cs="Arial"/>
          <w:b/>
          <w:sz w:val="22"/>
          <w:szCs w:val="20"/>
        </w:rPr>
        <w:t xml:space="preserve"> </w:t>
      </w:r>
      <w:r w:rsidR="0007076A" w:rsidRPr="006C4FCA">
        <w:rPr>
          <w:rFonts w:ascii="Arial" w:eastAsia="Times New Roman" w:hAnsi="Arial" w:cs="Arial"/>
          <w:b/>
          <w:sz w:val="22"/>
        </w:rPr>
        <w:t>Chemical analysis of the soil substrate</w:t>
      </w:r>
    </w:p>
    <w:p w14:paraId="6472BFA0" w14:textId="77777777" w:rsidR="000B0DB1" w:rsidRDefault="000B0DB1" w:rsidP="006C4FCA">
      <w:pPr>
        <w:spacing w:line="240" w:lineRule="auto"/>
        <w:ind w:left="-6"/>
        <w:jc w:val="both"/>
        <w:rPr>
          <w:rFonts w:ascii="Arial" w:hAnsi="Arial" w:cs="Arial"/>
          <w:sz w:val="20"/>
          <w:szCs w:val="20"/>
        </w:rPr>
      </w:pPr>
    </w:p>
    <w:p w14:paraId="212E3B76" w14:textId="77777777" w:rsidR="000B0DB1" w:rsidRPr="006C4FCA" w:rsidRDefault="0007076A" w:rsidP="006C4FCA">
      <w:pPr>
        <w:spacing w:line="240" w:lineRule="auto"/>
        <w:ind w:left="-5"/>
        <w:jc w:val="both"/>
        <w:rPr>
          <w:rFonts w:ascii="Arial" w:hAnsi="Arial" w:cs="Arial"/>
          <w:sz w:val="20"/>
          <w:szCs w:val="20"/>
        </w:rPr>
      </w:pPr>
      <w:r w:rsidRPr="006C4FCA">
        <w:rPr>
          <w:rFonts w:ascii="Arial" w:hAnsi="Arial" w:cs="Arial"/>
          <w:sz w:val="20"/>
          <w:szCs w:val="20"/>
        </w:rPr>
        <w:t>A sample of the soil substrate used was taken and analyzed to determine its particle size and chemical composition, taking into account the main parameters relating to soil reaction (pH), organic carbon, nitrogen, phosphorus, potassium, calcium and magnesium. Firstly, particle size analysis was carried out using the classic Robinson pipette method described by Gee and Bauder (1986). Next, organic carbon content was determined using the Walkley and Black method (Nelson &amp; Sommers, 1982), while total nitrogen was determined using the Kjeldahl method (Bremner, 1996). In addition, exchangeable bases, namely calcium (</w:t>
      </w:r>
      <w:proofErr w:type="gramStart"/>
      <w:r w:rsidRPr="006C4FCA">
        <w:rPr>
          <w:rFonts w:ascii="Arial" w:hAnsi="Arial" w:cs="Arial"/>
          <w:sz w:val="20"/>
          <w:szCs w:val="20"/>
        </w:rPr>
        <w:t>Ca</w:t>
      </w:r>
      <w:proofErr w:type="gramEnd"/>
      <w:r w:rsidRPr="006C4FCA">
        <w:rPr>
          <w:rFonts w:ascii="Arial" w:hAnsi="Arial" w:cs="Arial"/>
          <w:sz w:val="20"/>
          <w:szCs w:val="20"/>
        </w:rPr>
        <w:t>²</w:t>
      </w:r>
      <w:r w:rsidRPr="006C4FCA">
        <w:rPr>
          <w:rFonts w:ascii="Cambria Math" w:hAnsi="Cambria Math" w:cs="Cambria Math"/>
          <w:sz w:val="20"/>
          <w:szCs w:val="20"/>
        </w:rPr>
        <w:t>⁺</w:t>
      </w:r>
      <w:r w:rsidRPr="006C4FCA">
        <w:rPr>
          <w:rFonts w:ascii="Arial" w:hAnsi="Arial" w:cs="Arial"/>
          <w:sz w:val="20"/>
          <w:szCs w:val="20"/>
        </w:rPr>
        <w:t>), magnesium (Mg²</w:t>
      </w:r>
      <w:r w:rsidRPr="006C4FCA">
        <w:rPr>
          <w:rFonts w:ascii="Cambria Math" w:hAnsi="Cambria Math" w:cs="Cambria Math"/>
          <w:sz w:val="20"/>
          <w:szCs w:val="20"/>
        </w:rPr>
        <w:t>⁺</w:t>
      </w:r>
      <w:r w:rsidRPr="006C4FCA">
        <w:rPr>
          <w:rFonts w:ascii="Arial" w:hAnsi="Arial" w:cs="Arial"/>
          <w:sz w:val="20"/>
          <w:szCs w:val="20"/>
        </w:rPr>
        <w:t>) and potassium (K</w:t>
      </w:r>
      <w:r w:rsidRPr="006C4FCA">
        <w:rPr>
          <w:rFonts w:ascii="Cambria Math" w:hAnsi="Cambria Math" w:cs="Cambria Math"/>
          <w:sz w:val="20"/>
          <w:szCs w:val="20"/>
        </w:rPr>
        <w:t>⁺</w:t>
      </w:r>
      <w:r w:rsidRPr="006C4FCA">
        <w:rPr>
          <w:rFonts w:ascii="Arial" w:hAnsi="Arial" w:cs="Arial"/>
          <w:sz w:val="20"/>
          <w:szCs w:val="20"/>
        </w:rPr>
        <w:t xml:space="preserve">), were determined by atomic absorption spectrometry. Finally, pH was measured using an electronic pH meter, on a soil-water suspension prepared in a </w:t>
      </w:r>
      <w:proofErr w:type="gramStart"/>
      <w:r w:rsidRPr="006C4FCA">
        <w:rPr>
          <w:rFonts w:ascii="Arial" w:hAnsi="Arial" w:cs="Arial"/>
          <w:sz w:val="20"/>
          <w:szCs w:val="20"/>
        </w:rPr>
        <w:t>1:</w:t>
      </w:r>
      <w:proofErr w:type="gramEnd"/>
      <w:r w:rsidRPr="006C4FCA">
        <w:rPr>
          <w:rFonts w:ascii="Arial" w:hAnsi="Arial" w:cs="Arial"/>
          <w:sz w:val="20"/>
          <w:szCs w:val="20"/>
        </w:rPr>
        <w:t xml:space="preserve">2 ratio. </w:t>
      </w:r>
    </w:p>
    <w:p w14:paraId="05ABEBA6" w14:textId="77777777" w:rsidR="000B0DB1" w:rsidRPr="006C4FCA" w:rsidRDefault="000B0DB1" w:rsidP="006C4FCA">
      <w:pPr>
        <w:spacing w:line="240" w:lineRule="auto"/>
        <w:ind w:left="-6"/>
        <w:jc w:val="both"/>
        <w:rPr>
          <w:rFonts w:ascii="Arial" w:hAnsi="Arial" w:cs="Arial"/>
          <w:sz w:val="20"/>
          <w:szCs w:val="20"/>
        </w:rPr>
      </w:pPr>
    </w:p>
    <w:p w14:paraId="2F7BE140" w14:textId="77777777" w:rsidR="00A00E0F" w:rsidRDefault="000B0DB1" w:rsidP="006C4FCA">
      <w:pPr>
        <w:spacing w:line="240" w:lineRule="auto"/>
        <w:ind w:left="-6"/>
        <w:jc w:val="both"/>
        <w:rPr>
          <w:rFonts w:ascii="Arial" w:eastAsia="Times New Roman" w:hAnsi="Arial" w:cs="Arial"/>
          <w:b/>
          <w:sz w:val="22"/>
        </w:rPr>
      </w:pPr>
      <w:r w:rsidRPr="00F9766F">
        <w:rPr>
          <w:rFonts w:ascii="Arial" w:hAnsi="Arial" w:cs="Arial"/>
          <w:b/>
          <w:sz w:val="22"/>
          <w:szCs w:val="20"/>
        </w:rPr>
        <w:t>2.</w:t>
      </w:r>
      <w:r>
        <w:rPr>
          <w:rFonts w:ascii="Arial" w:hAnsi="Arial" w:cs="Arial"/>
          <w:b/>
          <w:sz w:val="22"/>
          <w:szCs w:val="20"/>
        </w:rPr>
        <w:t>4</w:t>
      </w:r>
      <w:r w:rsidRPr="00F9766F">
        <w:rPr>
          <w:rFonts w:ascii="Arial" w:hAnsi="Arial" w:cs="Arial"/>
          <w:b/>
          <w:sz w:val="22"/>
          <w:szCs w:val="20"/>
        </w:rPr>
        <w:t>.</w:t>
      </w:r>
      <w:r>
        <w:rPr>
          <w:rFonts w:ascii="Arial" w:hAnsi="Arial" w:cs="Arial"/>
          <w:b/>
          <w:sz w:val="22"/>
          <w:szCs w:val="20"/>
        </w:rPr>
        <w:t xml:space="preserve"> </w:t>
      </w:r>
      <w:r w:rsidR="0007076A" w:rsidRPr="006C4FCA">
        <w:rPr>
          <w:rFonts w:ascii="Arial" w:eastAsia="Times New Roman" w:hAnsi="Arial" w:cs="Arial"/>
          <w:b/>
          <w:sz w:val="22"/>
        </w:rPr>
        <w:t>Biofertilizer preparation and fertilizer application</w:t>
      </w:r>
    </w:p>
    <w:p w14:paraId="3E7D1297" w14:textId="77777777" w:rsidR="000B0DB1" w:rsidRPr="006C4FCA" w:rsidRDefault="000B0DB1" w:rsidP="006C4FCA">
      <w:pPr>
        <w:spacing w:line="240" w:lineRule="auto"/>
        <w:ind w:left="-6"/>
        <w:jc w:val="both"/>
        <w:rPr>
          <w:rFonts w:ascii="Arial" w:eastAsia="Times New Roman" w:hAnsi="Arial" w:cs="Arial"/>
          <w:b/>
          <w:sz w:val="20"/>
        </w:rPr>
      </w:pPr>
    </w:p>
    <w:p w14:paraId="5F3F097D" w14:textId="77777777" w:rsidR="0007076A" w:rsidRDefault="008E4C00" w:rsidP="006C4FCA">
      <w:pPr>
        <w:spacing w:line="240" w:lineRule="auto"/>
        <w:jc w:val="both"/>
        <w:rPr>
          <w:rFonts w:ascii="Arial" w:hAnsi="Arial" w:cs="Arial"/>
          <w:sz w:val="20"/>
          <w:szCs w:val="20"/>
        </w:rPr>
      </w:pPr>
      <w:r w:rsidRPr="006C4FCA">
        <w:rPr>
          <w:rFonts w:ascii="Arial" w:hAnsi="Arial" w:cs="Arial"/>
          <w:sz w:val="20"/>
          <w:szCs w:val="20"/>
        </w:rPr>
        <w:t xml:space="preserve">Biofertilisers were developed from two organic </w:t>
      </w:r>
      <w:r w:rsidR="00A00E0F" w:rsidRPr="006C4FCA">
        <w:rPr>
          <w:rFonts w:ascii="Arial" w:hAnsi="Arial" w:cs="Arial"/>
          <w:sz w:val="20"/>
          <w:szCs w:val="20"/>
        </w:rPr>
        <w:t>sources :</w:t>
      </w:r>
      <w:r w:rsidRPr="006C4FCA">
        <w:rPr>
          <w:rFonts w:ascii="Arial" w:hAnsi="Arial" w:cs="Arial"/>
          <w:sz w:val="20"/>
          <w:szCs w:val="20"/>
        </w:rPr>
        <w:t xml:space="preserve"> </w:t>
      </w:r>
      <w:r w:rsidRPr="006C4FCA">
        <w:rPr>
          <w:rStyle w:val="Emphasis"/>
          <w:rFonts w:ascii="Arial" w:hAnsi="Arial" w:cs="Arial"/>
          <w:sz w:val="20"/>
          <w:szCs w:val="20"/>
        </w:rPr>
        <w:t>Chromolaena odorata</w:t>
      </w:r>
      <w:r w:rsidRPr="006C4FCA">
        <w:rPr>
          <w:rFonts w:ascii="Arial" w:hAnsi="Arial" w:cs="Arial"/>
          <w:sz w:val="20"/>
          <w:szCs w:val="20"/>
        </w:rPr>
        <w:t xml:space="preserve"> and </w:t>
      </w:r>
      <w:r w:rsidRPr="006C4FCA">
        <w:rPr>
          <w:rStyle w:val="Emphasis"/>
          <w:rFonts w:ascii="Arial" w:hAnsi="Arial" w:cs="Arial"/>
          <w:sz w:val="20"/>
          <w:szCs w:val="20"/>
        </w:rPr>
        <w:t>Azolla filiculoides</w:t>
      </w:r>
      <w:r w:rsidRPr="006C4FCA">
        <w:rPr>
          <w:rFonts w:ascii="Arial" w:hAnsi="Arial" w:cs="Arial"/>
          <w:sz w:val="20"/>
          <w:szCs w:val="20"/>
        </w:rPr>
        <w:t xml:space="preserve">. The biomass of </w:t>
      </w:r>
      <w:r w:rsidRPr="006C4FCA">
        <w:rPr>
          <w:rStyle w:val="Emphasis"/>
          <w:rFonts w:ascii="Arial" w:hAnsi="Arial" w:cs="Arial"/>
          <w:sz w:val="20"/>
          <w:szCs w:val="20"/>
        </w:rPr>
        <w:t>C. odorata</w:t>
      </w:r>
      <w:r w:rsidRPr="006C4FCA">
        <w:rPr>
          <w:rFonts w:ascii="Arial" w:hAnsi="Arial" w:cs="Arial"/>
          <w:sz w:val="20"/>
          <w:szCs w:val="20"/>
        </w:rPr>
        <w:t xml:space="preserve"> was finely ground and then packed into plastic bags for wet composting (Figures 2A and 2B), until reaching an optimal stage of degradation suitable for incorporation into the growth substrate (Norgrove et al., </w:t>
      </w:r>
      <w:r w:rsidR="00A00E0F" w:rsidRPr="006C4FCA">
        <w:rPr>
          <w:rFonts w:ascii="Arial" w:hAnsi="Arial" w:cs="Arial"/>
          <w:sz w:val="20"/>
          <w:szCs w:val="20"/>
        </w:rPr>
        <w:t>2000 ;</w:t>
      </w:r>
      <w:r w:rsidRPr="006C4FCA">
        <w:rPr>
          <w:rFonts w:ascii="Arial" w:hAnsi="Arial" w:cs="Arial"/>
          <w:sz w:val="20"/>
          <w:szCs w:val="20"/>
        </w:rPr>
        <w:t xml:space="preserve"> Quansah et al., 2001). Meanwhile, </w:t>
      </w:r>
      <w:r w:rsidRPr="006C4FCA">
        <w:rPr>
          <w:rStyle w:val="Emphasis"/>
          <w:rFonts w:ascii="Arial" w:hAnsi="Arial" w:cs="Arial"/>
          <w:sz w:val="20"/>
          <w:szCs w:val="20"/>
        </w:rPr>
        <w:t>A. filiculoides</w:t>
      </w:r>
      <w:r w:rsidRPr="006C4FCA">
        <w:rPr>
          <w:rFonts w:ascii="Arial" w:hAnsi="Arial" w:cs="Arial"/>
          <w:sz w:val="20"/>
          <w:szCs w:val="20"/>
        </w:rPr>
        <w:t xml:space="preserve"> was cultivated under controlled aquatic conditions in tanks containing a nutrient solution enriched with organic nitrogen derived from previously decomposed poultry manure (Figures 3A and 3B). After a 21-day growth period, the harvested biomass underwent controlled self-decomposition, promoting partial mineralisation of the organic matter and resulting in the production of a stabilised amendment ready for incorporation into the substrate. The mineral fertiliser employed was NPK 15-15-15, applied at a rate of 175 kg/ha. The decomposed biomasses of </w:t>
      </w:r>
      <w:r w:rsidRPr="006C4FCA">
        <w:rPr>
          <w:rStyle w:val="Emphasis"/>
          <w:rFonts w:ascii="Arial" w:hAnsi="Arial" w:cs="Arial"/>
          <w:sz w:val="20"/>
          <w:szCs w:val="20"/>
        </w:rPr>
        <w:t>C. odorata</w:t>
      </w:r>
      <w:r w:rsidRPr="006C4FCA">
        <w:rPr>
          <w:rFonts w:ascii="Arial" w:hAnsi="Arial" w:cs="Arial"/>
          <w:sz w:val="20"/>
          <w:szCs w:val="20"/>
        </w:rPr>
        <w:t xml:space="preserve"> and </w:t>
      </w:r>
      <w:r w:rsidRPr="006C4FCA">
        <w:rPr>
          <w:rStyle w:val="Emphasis"/>
          <w:rFonts w:ascii="Arial" w:hAnsi="Arial" w:cs="Arial"/>
          <w:sz w:val="20"/>
          <w:szCs w:val="20"/>
        </w:rPr>
        <w:t>A. filiculoides</w:t>
      </w:r>
      <w:r w:rsidRPr="006C4FCA">
        <w:rPr>
          <w:rFonts w:ascii="Arial" w:hAnsi="Arial" w:cs="Arial"/>
          <w:sz w:val="20"/>
          <w:szCs w:val="20"/>
        </w:rPr>
        <w:t xml:space="preserve"> were each applied at a rate of 3 t/ha (</w:t>
      </w:r>
      <w:r w:rsidR="00A00E0F" w:rsidRPr="006C4FCA">
        <w:rPr>
          <w:rFonts w:ascii="Arial" w:hAnsi="Arial" w:cs="Arial"/>
          <w:sz w:val="20"/>
          <w:szCs w:val="20"/>
        </w:rPr>
        <w:t xml:space="preserve">Lumpkin &amp; Plucknett, 1980 ; </w:t>
      </w:r>
      <w:r w:rsidRPr="006C4FCA">
        <w:rPr>
          <w:rFonts w:ascii="Arial" w:hAnsi="Arial" w:cs="Arial"/>
          <w:sz w:val="20"/>
          <w:szCs w:val="20"/>
        </w:rPr>
        <w:t xml:space="preserve">Indrabayu &amp; Mahmud, </w:t>
      </w:r>
      <w:r w:rsidR="00A00E0F" w:rsidRPr="006C4FCA">
        <w:rPr>
          <w:rFonts w:ascii="Arial" w:hAnsi="Arial" w:cs="Arial"/>
          <w:sz w:val="20"/>
          <w:szCs w:val="20"/>
        </w:rPr>
        <w:t>2019 ;</w:t>
      </w:r>
      <w:r w:rsidRPr="006C4FCA">
        <w:rPr>
          <w:rFonts w:ascii="Arial" w:hAnsi="Arial" w:cs="Arial"/>
          <w:sz w:val="20"/>
          <w:szCs w:val="20"/>
        </w:rPr>
        <w:t xml:space="preserve"> Suri &amp; Yudono, </w:t>
      </w:r>
      <w:r w:rsidR="00A00E0F" w:rsidRPr="006C4FCA">
        <w:rPr>
          <w:rFonts w:ascii="Arial" w:hAnsi="Arial" w:cs="Arial"/>
          <w:sz w:val="20"/>
          <w:szCs w:val="20"/>
        </w:rPr>
        <w:t xml:space="preserve">2020 ; Adhikari et al., 2022 ; René et al., 2024 ; </w:t>
      </w:r>
      <w:r w:rsidRPr="006C4FCA">
        <w:rPr>
          <w:rFonts w:ascii="Arial" w:hAnsi="Arial" w:cs="Arial"/>
          <w:sz w:val="20"/>
          <w:szCs w:val="20"/>
        </w:rPr>
        <w:t>Konan et al., 2025). To correspond to this application rate, a sample of 60 g was collected and incorporated into a 0.20 m² growth substrate.</w:t>
      </w:r>
    </w:p>
    <w:p w14:paraId="105BEA10" w14:textId="77777777" w:rsidR="000B0DB1" w:rsidRPr="006C4FCA" w:rsidRDefault="000B0DB1" w:rsidP="006C4FCA">
      <w:pPr>
        <w:spacing w:line="240" w:lineRule="auto"/>
        <w:jc w:val="both"/>
        <w:rPr>
          <w:rFonts w:ascii="Arial" w:hAnsi="Arial" w:cs="Arial"/>
          <w:sz w:val="20"/>
          <w:szCs w:val="20"/>
        </w:rPr>
      </w:pPr>
    </w:p>
    <w:p w14:paraId="312F1FA3" w14:textId="77777777" w:rsidR="0007076A" w:rsidRDefault="0007076A" w:rsidP="000228F6">
      <w:pPr>
        <w:spacing w:after="55" w:line="259" w:lineRule="auto"/>
        <w:ind w:right="53"/>
        <w:jc w:val="center"/>
      </w:pPr>
      <w:r>
        <w:rPr>
          <w:noProof/>
          <w:lang w:eastAsia="fr-FR"/>
        </w:rPr>
        <w:drawing>
          <wp:inline distT="0" distB="0" distL="0" distR="0" wp14:anchorId="52FA0354" wp14:editId="5C5E8F4C">
            <wp:extent cx="3820332" cy="1455289"/>
            <wp:effectExtent l="0" t="0" r="0" b="0"/>
            <wp:docPr id="411" name="Picture 411"/>
            <wp:cNvGraphicFramePr/>
            <a:graphic xmlns:a="http://schemas.openxmlformats.org/drawingml/2006/main">
              <a:graphicData uri="http://schemas.openxmlformats.org/drawingml/2006/picture">
                <pic:pic xmlns:pic="http://schemas.openxmlformats.org/drawingml/2006/picture">
                  <pic:nvPicPr>
                    <pic:cNvPr id="411" name="Picture 411"/>
                    <pic:cNvPicPr/>
                  </pic:nvPicPr>
                  <pic:blipFill rotWithShape="1">
                    <a:blip r:embed="rId7"/>
                    <a:srcRect r="32050"/>
                    <a:stretch/>
                  </pic:blipFill>
                  <pic:spPr bwMode="auto">
                    <a:xfrm>
                      <a:off x="0" y="0"/>
                      <a:ext cx="3820677" cy="1455420"/>
                    </a:xfrm>
                    <a:prstGeom prst="rect">
                      <a:avLst/>
                    </a:prstGeom>
                    <a:ln>
                      <a:noFill/>
                    </a:ln>
                    <a:extLst>
                      <a:ext uri="{53640926-AAD7-44D8-BBD7-CCE9431645EC}">
                        <a14:shadowObscured xmlns:a14="http://schemas.microsoft.com/office/drawing/2010/main"/>
                      </a:ext>
                    </a:extLst>
                  </pic:spPr>
                </pic:pic>
              </a:graphicData>
            </a:graphic>
          </wp:inline>
        </w:drawing>
      </w:r>
    </w:p>
    <w:p w14:paraId="77DD700D" w14:textId="77777777" w:rsidR="000B0DB1" w:rsidRDefault="000B0DB1" w:rsidP="0007076A">
      <w:pPr>
        <w:spacing w:after="113" w:line="259" w:lineRule="auto"/>
        <w:ind w:left="39" w:right="34"/>
        <w:jc w:val="center"/>
        <w:rPr>
          <w:rFonts w:ascii="Arial" w:hAnsi="Arial" w:cs="Arial"/>
          <w:b/>
          <w:sz w:val="20"/>
        </w:rPr>
      </w:pPr>
    </w:p>
    <w:p w14:paraId="052099A3" w14:textId="77777777" w:rsidR="0007076A" w:rsidRPr="006C4FCA" w:rsidRDefault="0007076A" w:rsidP="0007076A">
      <w:pPr>
        <w:spacing w:after="113" w:line="259" w:lineRule="auto"/>
        <w:ind w:left="39" w:right="34"/>
        <w:jc w:val="center"/>
        <w:rPr>
          <w:rFonts w:ascii="Arial" w:hAnsi="Arial" w:cs="Arial"/>
          <w:b/>
          <w:sz w:val="20"/>
        </w:rPr>
      </w:pPr>
      <w:r w:rsidRPr="006C4FCA">
        <w:rPr>
          <w:rFonts w:ascii="Arial" w:hAnsi="Arial" w:cs="Arial"/>
          <w:b/>
          <w:sz w:val="20"/>
        </w:rPr>
        <w:t>Fig</w:t>
      </w:r>
      <w:r w:rsidR="000B0DB1" w:rsidRPr="006C4FCA">
        <w:rPr>
          <w:rFonts w:ascii="Arial" w:hAnsi="Arial" w:cs="Arial"/>
          <w:b/>
          <w:sz w:val="20"/>
        </w:rPr>
        <w:t>.</w:t>
      </w:r>
      <w:r w:rsidRPr="006C4FCA">
        <w:rPr>
          <w:rFonts w:ascii="Arial" w:hAnsi="Arial" w:cs="Arial"/>
          <w:b/>
          <w:sz w:val="20"/>
        </w:rPr>
        <w:t xml:space="preserve"> 2</w:t>
      </w:r>
      <w:r w:rsidR="000B0DB1" w:rsidRPr="006C4FCA">
        <w:rPr>
          <w:rFonts w:ascii="Arial" w:hAnsi="Arial" w:cs="Arial"/>
          <w:b/>
          <w:sz w:val="20"/>
        </w:rPr>
        <w:t>.</w:t>
      </w:r>
      <w:r w:rsidRPr="006C4FCA">
        <w:rPr>
          <w:rFonts w:ascii="Arial" w:hAnsi="Arial" w:cs="Arial"/>
          <w:b/>
          <w:sz w:val="20"/>
        </w:rPr>
        <w:t xml:space="preserve"> Preparation of </w:t>
      </w:r>
      <w:r w:rsidRPr="006C4FCA">
        <w:rPr>
          <w:rFonts w:ascii="Arial" w:eastAsia="Times New Roman" w:hAnsi="Arial" w:cs="Arial"/>
          <w:b/>
          <w:i/>
          <w:sz w:val="20"/>
        </w:rPr>
        <w:t xml:space="preserve">Chromolaena odorata </w:t>
      </w:r>
      <w:r w:rsidRPr="006C4FCA">
        <w:rPr>
          <w:rFonts w:ascii="Arial" w:hAnsi="Arial" w:cs="Arial"/>
          <w:b/>
          <w:sz w:val="20"/>
        </w:rPr>
        <w:t xml:space="preserve">biofertilizer </w:t>
      </w:r>
    </w:p>
    <w:p w14:paraId="4EB2BFE1" w14:textId="77777777" w:rsidR="0007076A" w:rsidRPr="006C4FCA" w:rsidRDefault="0007076A" w:rsidP="0007076A">
      <w:pPr>
        <w:spacing w:after="113" w:line="259" w:lineRule="auto"/>
        <w:ind w:left="39" w:right="38"/>
        <w:jc w:val="center"/>
        <w:rPr>
          <w:rFonts w:ascii="Arial" w:hAnsi="Arial" w:cs="Arial"/>
          <w:i/>
          <w:sz w:val="18"/>
          <w:szCs w:val="18"/>
        </w:rPr>
      </w:pPr>
      <w:proofErr w:type="gramStart"/>
      <w:r w:rsidRPr="006C4FCA">
        <w:rPr>
          <w:rFonts w:ascii="Arial" w:hAnsi="Arial" w:cs="Arial"/>
          <w:i/>
          <w:sz w:val="18"/>
          <w:szCs w:val="18"/>
        </w:rPr>
        <w:t>A:</w:t>
      </w:r>
      <w:proofErr w:type="gramEnd"/>
      <w:r w:rsidRPr="006C4FCA">
        <w:rPr>
          <w:rFonts w:ascii="Arial" w:hAnsi="Arial" w:cs="Arial"/>
          <w:i/>
          <w:sz w:val="18"/>
          <w:szCs w:val="18"/>
        </w:rPr>
        <w:t xml:space="preserve"> C.odorata leaf</w:t>
      </w:r>
      <w:r w:rsidR="00722EC5" w:rsidRPr="006C4FCA">
        <w:rPr>
          <w:rFonts w:ascii="Arial" w:hAnsi="Arial" w:cs="Arial"/>
          <w:i/>
          <w:sz w:val="18"/>
          <w:szCs w:val="18"/>
        </w:rPr>
        <w:t xml:space="preserve"> </w:t>
      </w:r>
      <w:r w:rsidR="0092192B" w:rsidRPr="006C4FCA">
        <w:rPr>
          <w:rFonts w:ascii="Arial" w:hAnsi="Arial" w:cs="Arial"/>
          <w:i/>
          <w:sz w:val="18"/>
          <w:szCs w:val="18"/>
        </w:rPr>
        <w:t>and</w:t>
      </w:r>
      <w:r w:rsidRPr="006C4FCA">
        <w:rPr>
          <w:rFonts w:ascii="Arial" w:hAnsi="Arial" w:cs="Arial"/>
          <w:i/>
          <w:sz w:val="18"/>
          <w:szCs w:val="18"/>
        </w:rPr>
        <w:t xml:space="preserve"> B: fragmented C.</w:t>
      </w:r>
      <w:r w:rsidR="00722EC5" w:rsidRPr="006C4FCA">
        <w:rPr>
          <w:rFonts w:ascii="Arial" w:hAnsi="Arial" w:cs="Arial"/>
          <w:i/>
          <w:sz w:val="18"/>
          <w:szCs w:val="18"/>
        </w:rPr>
        <w:t xml:space="preserve"> </w:t>
      </w:r>
      <w:r w:rsidRPr="006C4FCA">
        <w:rPr>
          <w:rFonts w:ascii="Arial" w:hAnsi="Arial" w:cs="Arial"/>
          <w:i/>
          <w:sz w:val="18"/>
          <w:szCs w:val="18"/>
        </w:rPr>
        <w:t>odorata</w:t>
      </w:r>
    </w:p>
    <w:p w14:paraId="3A780763" w14:textId="77777777" w:rsidR="0007076A" w:rsidRDefault="0007076A" w:rsidP="0007076A">
      <w:pPr>
        <w:spacing w:after="158" w:line="259" w:lineRule="auto"/>
      </w:pPr>
      <w:r>
        <w:t xml:space="preserve">  </w:t>
      </w:r>
    </w:p>
    <w:p w14:paraId="29C022FA" w14:textId="77777777" w:rsidR="0007076A" w:rsidRDefault="0007076A" w:rsidP="0007076A">
      <w:pPr>
        <w:spacing w:line="259" w:lineRule="auto"/>
        <w:ind w:right="1205"/>
        <w:jc w:val="right"/>
      </w:pPr>
      <w:r>
        <w:rPr>
          <w:noProof/>
          <w:lang w:eastAsia="fr-FR"/>
        </w:rPr>
        <w:drawing>
          <wp:inline distT="0" distB="0" distL="0" distR="0" wp14:anchorId="32AC3206" wp14:editId="1307DABD">
            <wp:extent cx="4160520" cy="1565275"/>
            <wp:effectExtent l="0" t="0" r="0" b="0"/>
            <wp:docPr id="413" name="Picture 413"/>
            <wp:cNvGraphicFramePr/>
            <a:graphic xmlns:a="http://schemas.openxmlformats.org/drawingml/2006/main">
              <a:graphicData uri="http://schemas.openxmlformats.org/drawingml/2006/picture">
                <pic:pic xmlns:pic="http://schemas.openxmlformats.org/drawingml/2006/picture">
                  <pic:nvPicPr>
                    <pic:cNvPr id="413" name="Picture 413"/>
                    <pic:cNvPicPr/>
                  </pic:nvPicPr>
                  <pic:blipFill>
                    <a:blip r:embed="rId8"/>
                    <a:stretch>
                      <a:fillRect/>
                    </a:stretch>
                  </pic:blipFill>
                  <pic:spPr>
                    <a:xfrm>
                      <a:off x="0" y="0"/>
                      <a:ext cx="4160520" cy="1565275"/>
                    </a:xfrm>
                    <a:prstGeom prst="rect">
                      <a:avLst/>
                    </a:prstGeom>
                  </pic:spPr>
                </pic:pic>
              </a:graphicData>
            </a:graphic>
          </wp:inline>
        </w:drawing>
      </w:r>
      <w:r>
        <w:t xml:space="preserve"> </w:t>
      </w:r>
    </w:p>
    <w:p w14:paraId="4B0AABA2" w14:textId="77777777" w:rsidR="0007076A" w:rsidRPr="006C4FCA" w:rsidRDefault="0007076A" w:rsidP="0007076A">
      <w:pPr>
        <w:spacing w:after="113" w:line="259" w:lineRule="auto"/>
        <w:ind w:left="39" w:right="34"/>
        <w:jc w:val="center"/>
        <w:rPr>
          <w:rFonts w:ascii="Arial" w:hAnsi="Arial" w:cs="Arial"/>
          <w:b/>
          <w:sz w:val="20"/>
        </w:rPr>
      </w:pPr>
      <w:r w:rsidRPr="006C4FCA">
        <w:rPr>
          <w:rFonts w:ascii="Arial" w:hAnsi="Arial" w:cs="Arial"/>
          <w:b/>
          <w:sz w:val="20"/>
        </w:rPr>
        <w:t>Fig</w:t>
      </w:r>
      <w:r w:rsidR="000B0DB1" w:rsidRPr="006C4FCA">
        <w:rPr>
          <w:rFonts w:ascii="Arial" w:hAnsi="Arial" w:cs="Arial"/>
          <w:b/>
          <w:sz w:val="20"/>
        </w:rPr>
        <w:t>.</w:t>
      </w:r>
      <w:r w:rsidRPr="006C4FCA">
        <w:rPr>
          <w:rFonts w:ascii="Arial" w:hAnsi="Arial" w:cs="Arial"/>
          <w:b/>
          <w:sz w:val="20"/>
        </w:rPr>
        <w:t xml:space="preserve"> 3</w:t>
      </w:r>
      <w:r w:rsidR="000B0DB1" w:rsidRPr="006C4FCA">
        <w:rPr>
          <w:rFonts w:ascii="Arial" w:hAnsi="Arial" w:cs="Arial"/>
          <w:b/>
          <w:sz w:val="20"/>
        </w:rPr>
        <w:t>.</w:t>
      </w:r>
      <w:r w:rsidRPr="006C4FCA">
        <w:rPr>
          <w:rFonts w:ascii="Arial" w:hAnsi="Arial" w:cs="Arial"/>
          <w:b/>
          <w:sz w:val="20"/>
        </w:rPr>
        <w:t xml:space="preserve"> Preparation of </w:t>
      </w:r>
      <w:r w:rsidRPr="006C4FCA">
        <w:rPr>
          <w:rFonts w:ascii="Arial" w:eastAsia="Times New Roman" w:hAnsi="Arial" w:cs="Arial"/>
          <w:b/>
          <w:i/>
          <w:sz w:val="20"/>
        </w:rPr>
        <w:t xml:space="preserve">Azolla filiculoides </w:t>
      </w:r>
      <w:r w:rsidRPr="006C4FCA">
        <w:rPr>
          <w:rFonts w:ascii="Arial" w:hAnsi="Arial" w:cs="Arial"/>
          <w:b/>
          <w:sz w:val="20"/>
        </w:rPr>
        <w:t xml:space="preserve">biofertilizer </w:t>
      </w:r>
    </w:p>
    <w:p w14:paraId="73674562" w14:textId="77777777" w:rsidR="0007076A" w:rsidRDefault="0007076A" w:rsidP="006C4FCA">
      <w:pPr>
        <w:spacing w:after="110" w:line="259" w:lineRule="auto"/>
        <w:ind w:right="4"/>
        <w:jc w:val="both"/>
        <w:rPr>
          <w:rFonts w:ascii="Arial" w:hAnsi="Arial" w:cs="Arial"/>
          <w:sz w:val="18"/>
          <w:szCs w:val="20"/>
        </w:rPr>
      </w:pPr>
      <w:proofErr w:type="gramStart"/>
      <w:r w:rsidRPr="006C4FCA">
        <w:rPr>
          <w:rFonts w:ascii="Arial" w:hAnsi="Arial" w:cs="Arial"/>
          <w:sz w:val="18"/>
          <w:szCs w:val="20"/>
        </w:rPr>
        <w:t>A:</w:t>
      </w:r>
      <w:proofErr w:type="gramEnd"/>
      <w:r w:rsidRPr="006C4FCA">
        <w:rPr>
          <w:rFonts w:ascii="Arial" w:hAnsi="Arial" w:cs="Arial"/>
          <w:sz w:val="18"/>
          <w:szCs w:val="20"/>
        </w:rPr>
        <w:t xml:space="preserve"> Cultivated </w:t>
      </w:r>
      <w:r w:rsidRPr="006C4FCA">
        <w:rPr>
          <w:rFonts w:ascii="Arial" w:eastAsia="Times New Roman" w:hAnsi="Arial" w:cs="Arial"/>
          <w:i/>
          <w:sz w:val="18"/>
          <w:szCs w:val="20"/>
        </w:rPr>
        <w:t xml:space="preserve">Azolla filiculoides </w:t>
      </w:r>
      <w:r w:rsidRPr="006C4FCA">
        <w:rPr>
          <w:rFonts w:ascii="Arial" w:hAnsi="Arial" w:cs="Arial"/>
          <w:sz w:val="18"/>
          <w:szCs w:val="20"/>
        </w:rPr>
        <w:t xml:space="preserve">and B: Decomposed </w:t>
      </w:r>
      <w:r w:rsidRPr="006C4FCA">
        <w:rPr>
          <w:rFonts w:ascii="Arial" w:eastAsia="Times New Roman" w:hAnsi="Arial" w:cs="Arial"/>
          <w:i/>
          <w:sz w:val="18"/>
          <w:szCs w:val="20"/>
        </w:rPr>
        <w:t>Azolla filiculoides</w:t>
      </w:r>
      <w:r w:rsidRPr="006C4FCA">
        <w:rPr>
          <w:rFonts w:ascii="Arial" w:hAnsi="Arial" w:cs="Arial"/>
          <w:sz w:val="18"/>
          <w:szCs w:val="20"/>
        </w:rPr>
        <w:t xml:space="preserve"> </w:t>
      </w:r>
    </w:p>
    <w:p w14:paraId="5BDDB124" w14:textId="77777777" w:rsidR="000B0DB1" w:rsidRPr="006C4FCA" w:rsidRDefault="000B0DB1" w:rsidP="006C4FCA">
      <w:pPr>
        <w:spacing w:line="240" w:lineRule="auto"/>
        <w:ind w:right="6"/>
        <w:rPr>
          <w:rFonts w:ascii="Arial" w:hAnsi="Arial" w:cs="Arial"/>
          <w:sz w:val="20"/>
          <w:szCs w:val="20"/>
        </w:rPr>
      </w:pPr>
    </w:p>
    <w:p w14:paraId="62E1ABAF" w14:textId="77777777" w:rsidR="007A2C15" w:rsidRDefault="000B0DB1" w:rsidP="006C4FCA">
      <w:pPr>
        <w:spacing w:line="240" w:lineRule="auto"/>
        <w:jc w:val="both"/>
        <w:rPr>
          <w:rFonts w:ascii="Arial" w:eastAsia="Times New Roman" w:hAnsi="Arial" w:cs="Arial"/>
          <w:b/>
          <w:sz w:val="22"/>
        </w:rPr>
      </w:pPr>
      <w:r w:rsidRPr="00F9766F">
        <w:rPr>
          <w:rFonts w:ascii="Arial" w:hAnsi="Arial" w:cs="Arial"/>
          <w:b/>
          <w:sz w:val="22"/>
          <w:szCs w:val="20"/>
        </w:rPr>
        <w:lastRenderedPageBreak/>
        <w:t>2.</w:t>
      </w:r>
      <w:r>
        <w:rPr>
          <w:rFonts w:ascii="Arial" w:hAnsi="Arial" w:cs="Arial"/>
          <w:b/>
          <w:sz w:val="22"/>
          <w:szCs w:val="20"/>
        </w:rPr>
        <w:t>5</w:t>
      </w:r>
      <w:r w:rsidRPr="00F9766F">
        <w:rPr>
          <w:rFonts w:ascii="Arial" w:hAnsi="Arial" w:cs="Arial"/>
          <w:b/>
          <w:sz w:val="22"/>
          <w:szCs w:val="20"/>
        </w:rPr>
        <w:t>.</w:t>
      </w:r>
      <w:r>
        <w:rPr>
          <w:rFonts w:ascii="Arial" w:hAnsi="Arial" w:cs="Arial"/>
          <w:b/>
          <w:sz w:val="22"/>
          <w:szCs w:val="20"/>
        </w:rPr>
        <w:t xml:space="preserve"> </w:t>
      </w:r>
      <w:r w:rsidR="0007076A" w:rsidRPr="006C4FCA">
        <w:rPr>
          <w:rFonts w:ascii="Arial" w:eastAsia="Times New Roman" w:hAnsi="Arial" w:cs="Arial"/>
          <w:b/>
          <w:sz w:val="22"/>
        </w:rPr>
        <w:t>Chemical analysis of the soil substrate</w:t>
      </w:r>
    </w:p>
    <w:p w14:paraId="06845136" w14:textId="77777777" w:rsidR="000B0DB1" w:rsidRPr="006C4FCA" w:rsidRDefault="000B0DB1" w:rsidP="006C4FCA">
      <w:pPr>
        <w:spacing w:line="240" w:lineRule="auto"/>
        <w:jc w:val="both"/>
        <w:rPr>
          <w:rFonts w:ascii="Arial" w:eastAsia="Times New Roman" w:hAnsi="Arial" w:cs="Arial"/>
          <w:b/>
          <w:sz w:val="20"/>
        </w:rPr>
      </w:pPr>
    </w:p>
    <w:p w14:paraId="1D2C4907" w14:textId="77777777" w:rsidR="0007076A" w:rsidRDefault="0007076A" w:rsidP="006C4FCA">
      <w:pPr>
        <w:spacing w:line="240" w:lineRule="auto"/>
        <w:jc w:val="both"/>
        <w:rPr>
          <w:rFonts w:ascii="Arial" w:hAnsi="Arial" w:cs="Arial"/>
          <w:sz w:val="20"/>
        </w:rPr>
      </w:pPr>
      <w:r w:rsidRPr="006C4FCA">
        <w:rPr>
          <w:rFonts w:ascii="Arial" w:hAnsi="Arial" w:cs="Arial"/>
          <w:sz w:val="20"/>
        </w:rPr>
        <w:t>A sample of the soil substrate was taken to determine its particle size and chemical composition, in particular pH, organic carbon, nitrogen, phosphorus, potassium, calcium and magnesium. Particle size analysis was carried out using the classic Robinson pipette method (Gee &amp; Bauder, 1986). Organic carbon content was measured using the Walkley and Black method (Nelson &amp; Sommers, 1982), while total nitrogen was determined using the Kjeldahl method (Bremner, 1996). Exchangeable bases, namely calcium (</w:t>
      </w:r>
      <w:proofErr w:type="gramStart"/>
      <w:r w:rsidRPr="006C4FCA">
        <w:rPr>
          <w:rFonts w:ascii="Arial" w:hAnsi="Arial" w:cs="Arial"/>
          <w:sz w:val="20"/>
        </w:rPr>
        <w:t>Ca</w:t>
      </w:r>
      <w:proofErr w:type="gramEnd"/>
      <w:r w:rsidRPr="006C4FCA">
        <w:rPr>
          <w:rFonts w:ascii="Arial" w:hAnsi="Arial" w:cs="Arial"/>
          <w:sz w:val="20"/>
        </w:rPr>
        <w:t>²</w:t>
      </w:r>
      <w:r w:rsidRPr="006C4FCA">
        <w:rPr>
          <w:rFonts w:ascii="Cambria Math" w:hAnsi="Cambria Math" w:cs="Cambria Math"/>
          <w:sz w:val="20"/>
        </w:rPr>
        <w:t>⁺</w:t>
      </w:r>
      <w:r w:rsidRPr="006C4FCA">
        <w:rPr>
          <w:rFonts w:ascii="Arial" w:hAnsi="Arial" w:cs="Arial"/>
          <w:sz w:val="20"/>
        </w:rPr>
        <w:t>), magnesium (Mg²</w:t>
      </w:r>
      <w:r w:rsidRPr="006C4FCA">
        <w:rPr>
          <w:rFonts w:ascii="Cambria Math" w:hAnsi="Cambria Math" w:cs="Cambria Math"/>
          <w:sz w:val="20"/>
        </w:rPr>
        <w:t>⁺</w:t>
      </w:r>
      <w:r w:rsidRPr="006C4FCA">
        <w:rPr>
          <w:rFonts w:ascii="Arial" w:hAnsi="Arial" w:cs="Arial"/>
          <w:sz w:val="20"/>
        </w:rPr>
        <w:t>) and potassium (K</w:t>
      </w:r>
      <w:r w:rsidRPr="006C4FCA">
        <w:rPr>
          <w:rFonts w:ascii="Cambria Math" w:hAnsi="Cambria Math" w:cs="Cambria Math"/>
          <w:sz w:val="20"/>
        </w:rPr>
        <w:t>⁺</w:t>
      </w:r>
      <w:r w:rsidRPr="006C4FCA">
        <w:rPr>
          <w:rFonts w:ascii="Arial" w:hAnsi="Arial" w:cs="Arial"/>
          <w:sz w:val="20"/>
        </w:rPr>
        <w:t xml:space="preserve">), were determined by atomic absorption spectrometry. Finally, pH was measured using an electronic pH meter, on a soil-water suspension in a </w:t>
      </w:r>
      <w:proofErr w:type="gramStart"/>
      <w:r w:rsidRPr="006C4FCA">
        <w:rPr>
          <w:rFonts w:ascii="Arial" w:hAnsi="Arial" w:cs="Arial"/>
          <w:sz w:val="20"/>
        </w:rPr>
        <w:t>1:</w:t>
      </w:r>
      <w:proofErr w:type="gramEnd"/>
      <w:r w:rsidRPr="006C4FCA">
        <w:rPr>
          <w:rFonts w:ascii="Arial" w:hAnsi="Arial" w:cs="Arial"/>
          <w:sz w:val="20"/>
        </w:rPr>
        <w:t xml:space="preserve">2 ratio.  </w:t>
      </w:r>
    </w:p>
    <w:p w14:paraId="46FA652A" w14:textId="77777777" w:rsidR="000B0DB1" w:rsidRPr="006C4FCA" w:rsidRDefault="000B0DB1" w:rsidP="006C4FCA">
      <w:pPr>
        <w:spacing w:line="240" w:lineRule="auto"/>
        <w:jc w:val="both"/>
        <w:rPr>
          <w:rFonts w:ascii="Arial" w:hAnsi="Arial" w:cs="Arial"/>
          <w:sz w:val="20"/>
        </w:rPr>
      </w:pPr>
    </w:p>
    <w:p w14:paraId="0F07CB03" w14:textId="77777777" w:rsidR="007A2C15" w:rsidRDefault="000B0DB1" w:rsidP="006C4FCA">
      <w:pPr>
        <w:spacing w:line="240" w:lineRule="auto"/>
        <w:ind w:left="-5"/>
        <w:jc w:val="both"/>
        <w:rPr>
          <w:rFonts w:ascii="Arial" w:eastAsia="Times New Roman" w:hAnsi="Arial" w:cs="Arial"/>
          <w:b/>
          <w:sz w:val="22"/>
        </w:rPr>
      </w:pPr>
      <w:r w:rsidRPr="00F9766F">
        <w:rPr>
          <w:rFonts w:ascii="Arial" w:hAnsi="Arial" w:cs="Arial"/>
          <w:b/>
          <w:sz w:val="22"/>
          <w:szCs w:val="20"/>
        </w:rPr>
        <w:t>2.</w:t>
      </w:r>
      <w:r>
        <w:rPr>
          <w:rFonts w:ascii="Arial" w:hAnsi="Arial" w:cs="Arial"/>
          <w:b/>
          <w:sz w:val="22"/>
          <w:szCs w:val="20"/>
        </w:rPr>
        <w:t>6</w:t>
      </w:r>
      <w:r w:rsidRPr="00F9766F">
        <w:rPr>
          <w:rFonts w:ascii="Arial" w:hAnsi="Arial" w:cs="Arial"/>
          <w:b/>
          <w:sz w:val="22"/>
          <w:szCs w:val="20"/>
        </w:rPr>
        <w:t>.</w:t>
      </w:r>
      <w:r>
        <w:rPr>
          <w:rFonts w:ascii="Arial" w:hAnsi="Arial" w:cs="Arial"/>
          <w:b/>
          <w:sz w:val="22"/>
          <w:szCs w:val="20"/>
        </w:rPr>
        <w:t xml:space="preserve"> </w:t>
      </w:r>
      <w:r w:rsidR="0007076A" w:rsidRPr="006C4FCA">
        <w:rPr>
          <w:rFonts w:ascii="Arial" w:eastAsia="Times New Roman" w:hAnsi="Arial" w:cs="Arial"/>
          <w:b/>
          <w:sz w:val="22"/>
        </w:rPr>
        <w:t>Experimental design and evaluation of agromorphological parameters</w:t>
      </w:r>
    </w:p>
    <w:p w14:paraId="3903E1E5" w14:textId="77777777" w:rsidR="000B0DB1" w:rsidRPr="006C4FCA" w:rsidRDefault="000B0DB1" w:rsidP="006C4FCA">
      <w:pPr>
        <w:spacing w:line="240" w:lineRule="auto"/>
        <w:ind w:left="-6"/>
        <w:jc w:val="both"/>
        <w:rPr>
          <w:rFonts w:ascii="Arial" w:eastAsia="Times New Roman" w:hAnsi="Arial" w:cs="Arial"/>
          <w:b/>
          <w:sz w:val="20"/>
        </w:rPr>
      </w:pPr>
    </w:p>
    <w:p w14:paraId="64FDE3AF" w14:textId="77777777" w:rsidR="0007076A" w:rsidRDefault="0007076A" w:rsidP="006C4FCA">
      <w:pPr>
        <w:spacing w:line="240" w:lineRule="auto"/>
        <w:ind w:left="-5"/>
        <w:jc w:val="both"/>
        <w:rPr>
          <w:rFonts w:ascii="Arial" w:hAnsi="Arial" w:cs="Arial"/>
          <w:sz w:val="20"/>
        </w:rPr>
      </w:pPr>
      <w:r w:rsidRPr="006C4FCA">
        <w:rPr>
          <w:rFonts w:ascii="Arial" w:hAnsi="Arial" w:cs="Arial"/>
          <w:sz w:val="20"/>
        </w:rPr>
        <w:t xml:space="preserve">The experiment was conducted in a completely randomized Fisher block design, comprising four treatments and five replicates. Treatments included an absolute control (T0), </w:t>
      </w:r>
      <w:r w:rsidRPr="006C4FCA">
        <w:rPr>
          <w:rFonts w:ascii="Arial" w:eastAsia="Times New Roman" w:hAnsi="Arial" w:cs="Arial"/>
          <w:i/>
          <w:sz w:val="20"/>
        </w:rPr>
        <w:t xml:space="preserve">Azolla filiculoides </w:t>
      </w:r>
      <w:r w:rsidRPr="006C4FCA">
        <w:rPr>
          <w:rFonts w:ascii="Arial" w:hAnsi="Arial" w:cs="Arial"/>
          <w:sz w:val="20"/>
        </w:rPr>
        <w:t xml:space="preserve">(AF), </w:t>
      </w:r>
      <w:r w:rsidRPr="006C4FCA">
        <w:rPr>
          <w:rFonts w:ascii="Arial" w:eastAsia="Times New Roman" w:hAnsi="Arial" w:cs="Arial"/>
          <w:i/>
          <w:sz w:val="20"/>
        </w:rPr>
        <w:t xml:space="preserve">Chromolaena odorata </w:t>
      </w:r>
      <w:r w:rsidRPr="006C4FCA">
        <w:rPr>
          <w:rFonts w:ascii="Arial" w:hAnsi="Arial" w:cs="Arial"/>
          <w:sz w:val="20"/>
        </w:rPr>
        <w:t xml:space="preserve">(Co) and NPK 15-15-15 mineral fertilizer (Figure 4). The agromorphological parameters measured focused mainly on vegetative growth indicators. These included crown diameter, plant height, number of stems and leaves per plant, and leaf dimensions (length and width of main leaves). Together, these variables constitute reliable criteria for characterizing plant vigor and morphological development. </w:t>
      </w:r>
    </w:p>
    <w:p w14:paraId="7B149413" w14:textId="77777777" w:rsidR="000B0DB1" w:rsidRPr="006C4FCA" w:rsidRDefault="000B0DB1" w:rsidP="006C4FCA">
      <w:pPr>
        <w:spacing w:line="240" w:lineRule="auto"/>
        <w:ind w:left="-5"/>
        <w:jc w:val="both"/>
        <w:rPr>
          <w:rFonts w:ascii="Arial" w:hAnsi="Arial" w:cs="Arial"/>
          <w:sz w:val="20"/>
        </w:rPr>
      </w:pPr>
    </w:p>
    <w:p w14:paraId="5F81A57F" w14:textId="77777777" w:rsidR="0007076A" w:rsidRDefault="0007076A" w:rsidP="0007076A">
      <w:pPr>
        <w:spacing w:after="55" w:line="259" w:lineRule="auto"/>
        <w:ind w:left="55"/>
        <w:jc w:val="center"/>
      </w:pPr>
      <w:r>
        <w:rPr>
          <w:noProof/>
          <w:lang w:eastAsia="fr-FR"/>
        </w:rPr>
        <w:drawing>
          <wp:inline distT="0" distB="0" distL="0" distR="0" wp14:anchorId="2F5F2DDF" wp14:editId="716F9A1A">
            <wp:extent cx="3378200" cy="2616581"/>
            <wp:effectExtent l="0" t="0" r="0" b="0"/>
            <wp:docPr id="495" name="Picture 495"/>
            <wp:cNvGraphicFramePr/>
            <a:graphic xmlns:a="http://schemas.openxmlformats.org/drawingml/2006/main">
              <a:graphicData uri="http://schemas.openxmlformats.org/drawingml/2006/picture">
                <pic:pic xmlns:pic="http://schemas.openxmlformats.org/drawingml/2006/picture">
                  <pic:nvPicPr>
                    <pic:cNvPr id="495" name="Picture 495"/>
                    <pic:cNvPicPr/>
                  </pic:nvPicPr>
                  <pic:blipFill>
                    <a:blip r:embed="rId9"/>
                    <a:stretch>
                      <a:fillRect/>
                    </a:stretch>
                  </pic:blipFill>
                  <pic:spPr>
                    <a:xfrm>
                      <a:off x="0" y="0"/>
                      <a:ext cx="3378200" cy="2616581"/>
                    </a:xfrm>
                    <a:prstGeom prst="rect">
                      <a:avLst/>
                    </a:prstGeom>
                  </pic:spPr>
                </pic:pic>
              </a:graphicData>
            </a:graphic>
          </wp:inline>
        </w:drawing>
      </w:r>
      <w:r>
        <w:t xml:space="preserve"> </w:t>
      </w:r>
    </w:p>
    <w:p w14:paraId="0BB6D813" w14:textId="77777777" w:rsidR="0007076A" w:rsidRDefault="0007076A" w:rsidP="006C4FCA">
      <w:pPr>
        <w:spacing w:line="240" w:lineRule="auto"/>
        <w:ind w:left="40" w:right="40"/>
        <w:jc w:val="center"/>
        <w:rPr>
          <w:rFonts w:ascii="Arial" w:hAnsi="Arial" w:cs="Arial"/>
          <w:b/>
          <w:sz w:val="20"/>
        </w:rPr>
      </w:pPr>
      <w:r w:rsidRPr="006C4FCA">
        <w:rPr>
          <w:rFonts w:ascii="Arial" w:hAnsi="Arial" w:cs="Arial"/>
          <w:b/>
          <w:sz w:val="20"/>
        </w:rPr>
        <w:t>Fig</w:t>
      </w:r>
      <w:r w:rsidR="000B0DB1" w:rsidRPr="006C4FCA">
        <w:rPr>
          <w:rFonts w:ascii="Arial" w:hAnsi="Arial" w:cs="Arial"/>
          <w:b/>
          <w:sz w:val="20"/>
        </w:rPr>
        <w:t>.</w:t>
      </w:r>
      <w:r w:rsidRPr="006C4FCA">
        <w:rPr>
          <w:rFonts w:ascii="Arial" w:hAnsi="Arial" w:cs="Arial"/>
          <w:b/>
          <w:sz w:val="20"/>
        </w:rPr>
        <w:t xml:space="preserve"> 4</w:t>
      </w:r>
      <w:r w:rsidR="000B0DB1" w:rsidRPr="006C4FCA">
        <w:rPr>
          <w:rFonts w:ascii="Arial" w:hAnsi="Arial" w:cs="Arial"/>
          <w:b/>
          <w:sz w:val="20"/>
        </w:rPr>
        <w:t>.</w:t>
      </w:r>
      <w:r w:rsidRPr="006C4FCA">
        <w:rPr>
          <w:rFonts w:ascii="Arial" w:hAnsi="Arial" w:cs="Arial"/>
          <w:b/>
          <w:sz w:val="20"/>
        </w:rPr>
        <w:t xml:space="preserve"> </w:t>
      </w:r>
      <w:r w:rsidR="000B0DB1" w:rsidRPr="006C4FCA">
        <w:rPr>
          <w:rFonts w:ascii="Arial" w:hAnsi="Arial" w:cs="Arial"/>
          <w:b/>
          <w:sz w:val="20"/>
        </w:rPr>
        <w:t>E</w:t>
      </w:r>
      <w:r w:rsidRPr="006C4FCA">
        <w:rPr>
          <w:rFonts w:ascii="Arial" w:hAnsi="Arial" w:cs="Arial"/>
          <w:b/>
          <w:sz w:val="20"/>
        </w:rPr>
        <w:t xml:space="preserve">xperimental set-up diagram </w:t>
      </w:r>
    </w:p>
    <w:p w14:paraId="008C09B4" w14:textId="77777777" w:rsidR="000B0DB1" w:rsidRPr="006C4FCA" w:rsidRDefault="000B0DB1" w:rsidP="006C4FCA">
      <w:pPr>
        <w:spacing w:line="240" w:lineRule="auto"/>
        <w:ind w:left="40" w:right="40"/>
        <w:jc w:val="center"/>
        <w:rPr>
          <w:rFonts w:ascii="Arial" w:hAnsi="Arial" w:cs="Arial"/>
          <w:b/>
          <w:sz w:val="20"/>
        </w:rPr>
      </w:pPr>
    </w:p>
    <w:p w14:paraId="175CE5BB" w14:textId="77777777" w:rsidR="0007076A" w:rsidRPr="006C4FCA" w:rsidRDefault="0007076A" w:rsidP="006C4FCA">
      <w:pPr>
        <w:spacing w:after="2"/>
        <w:ind w:left="39"/>
        <w:jc w:val="both"/>
        <w:rPr>
          <w:rFonts w:ascii="Arial" w:hAnsi="Arial" w:cs="Arial"/>
          <w:i/>
          <w:sz w:val="18"/>
          <w:szCs w:val="18"/>
        </w:rPr>
      </w:pPr>
      <w:proofErr w:type="gramStart"/>
      <w:r w:rsidRPr="006C4FCA">
        <w:rPr>
          <w:rFonts w:ascii="Arial" w:hAnsi="Arial" w:cs="Arial"/>
          <w:i/>
          <w:sz w:val="18"/>
          <w:szCs w:val="18"/>
        </w:rPr>
        <w:t>B:</w:t>
      </w:r>
      <w:proofErr w:type="gramEnd"/>
      <w:r w:rsidRPr="006C4FCA">
        <w:rPr>
          <w:rFonts w:ascii="Arial" w:hAnsi="Arial" w:cs="Arial"/>
          <w:i/>
          <w:sz w:val="18"/>
          <w:szCs w:val="18"/>
        </w:rPr>
        <w:t xml:space="preserve"> block; To: control; NP</w:t>
      </w:r>
      <w:r w:rsidR="00445444" w:rsidRPr="006C4FCA">
        <w:rPr>
          <w:rFonts w:ascii="Arial" w:hAnsi="Arial" w:cs="Arial"/>
          <w:i/>
          <w:sz w:val="18"/>
          <w:szCs w:val="18"/>
        </w:rPr>
        <w:t>K</w:t>
      </w:r>
      <w:r w:rsidRPr="006C4FCA">
        <w:rPr>
          <w:rFonts w:ascii="Arial" w:hAnsi="Arial" w:cs="Arial"/>
          <w:i/>
          <w:sz w:val="18"/>
          <w:szCs w:val="18"/>
        </w:rPr>
        <w:t xml:space="preserve">: </w:t>
      </w:r>
      <w:r w:rsidR="00445444" w:rsidRPr="006C4FCA">
        <w:rPr>
          <w:rFonts w:ascii="Arial" w:eastAsia="Times New Roman" w:hAnsi="Arial" w:cs="Arial"/>
          <w:i/>
          <w:sz w:val="18"/>
          <w:szCs w:val="18"/>
        </w:rPr>
        <w:t>Nitrogen-Phosphorus-Potassium</w:t>
      </w:r>
      <w:r w:rsidRPr="006C4FCA">
        <w:rPr>
          <w:rFonts w:ascii="Arial" w:hAnsi="Arial" w:cs="Arial"/>
          <w:i/>
          <w:sz w:val="18"/>
          <w:szCs w:val="18"/>
        </w:rPr>
        <w:t>; AF</w:t>
      </w:r>
      <w:r w:rsidRPr="006C4FCA">
        <w:rPr>
          <w:rFonts w:ascii="Arial" w:eastAsia="Times New Roman" w:hAnsi="Arial" w:cs="Arial"/>
          <w:i/>
          <w:sz w:val="18"/>
          <w:szCs w:val="18"/>
        </w:rPr>
        <w:t xml:space="preserve">: Azolla filiculoides </w:t>
      </w:r>
      <w:r w:rsidRPr="006C4FCA">
        <w:rPr>
          <w:rFonts w:ascii="Arial" w:hAnsi="Arial" w:cs="Arial"/>
          <w:i/>
          <w:sz w:val="18"/>
          <w:szCs w:val="18"/>
        </w:rPr>
        <w:t xml:space="preserve">and Co: </w:t>
      </w:r>
      <w:r w:rsidRPr="006C4FCA">
        <w:rPr>
          <w:rFonts w:ascii="Arial" w:eastAsia="Times New Roman" w:hAnsi="Arial" w:cs="Arial"/>
          <w:i/>
          <w:sz w:val="18"/>
          <w:szCs w:val="18"/>
        </w:rPr>
        <w:t xml:space="preserve">Chromolaena odorata </w:t>
      </w:r>
    </w:p>
    <w:p w14:paraId="61E5F845" w14:textId="77777777" w:rsidR="0007076A" w:rsidRDefault="0007076A" w:rsidP="0007076A">
      <w:pPr>
        <w:spacing w:after="110" w:line="259" w:lineRule="auto"/>
        <w:rPr>
          <w:rFonts w:ascii="Arial" w:eastAsia="Times New Roman" w:hAnsi="Arial" w:cs="Arial"/>
          <w:b/>
          <w:sz w:val="20"/>
        </w:rPr>
      </w:pPr>
      <w:r>
        <w:rPr>
          <w:rFonts w:eastAsia="Times New Roman" w:cs="Times New Roman"/>
          <w:b/>
        </w:rPr>
        <w:t xml:space="preserve"> </w:t>
      </w:r>
    </w:p>
    <w:p w14:paraId="4E726364" w14:textId="77777777" w:rsidR="00A60F10" w:rsidRPr="006C4FCA" w:rsidRDefault="00A60F10" w:rsidP="0007076A">
      <w:pPr>
        <w:spacing w:after="110" w:line="259" w:lineRule="auto"/>
        <w:rPr>
          <w:rFonts w:ascii="Arial" w:hAnsi="Arial" w:cs="Arial"/>
          <w:sz w:val="20"/>
        </w:rPr>
      </w:pPr>
    </w:p>
    <w:p w14:paraId="155BE047" w14:textId="77777777" w:rsidR="007A2C15" w:rsidRPr="006C4FCA" w:rsidRDefault="000B0DB1" w:rsidP="006C4FCA">
      <w:pPr>
        <w:spacing w:line="240" w:lineRule="auto"/>
        <w:ind w:left="-6"/>
        <w:jc w:val="both"/>
        <w:rPr>
          <w:rFonts w:ascii="Arial" w:eastAsia="Times New Roman" w:hAnsi="Arial" w:cs="Arial"/>
          <w:b/>
          <w:sz w:val="22"/>
          <w:szCs w:val="20"/>
        </w:rPr>
      </w:pPr>
      <w:r w:rsidRPr="00636E71">
        <w:rPr>
          <w:rFonts w:ascii="Arial" w:hAnsi="Arial" w:cs="Arial"/>
          <w:b/>
          <w:sz w:val="22"/>
          <w:szCs w:val="20"/>
        </w:rPr>
        <w:t xml:space="preserve">2.7. </w:t>
      </w:r>
      <w:r w:rsidR="0007076A" w:rsidRPr="006C4FCA">
        <w:rPr>
          <w:rFonts w:ascii="Arial" w:eastAsia="Times New Roman" w:hAnsi="Arial" w:cs="Arial"/>
          <w:b/>
          <w:sz w:val="22"/>
          <w:szCs w:val="20"/>
        </w:rPr>
        <w:t>Statistical analyses</w:t>
      </w:r>
    </w:p>
    <w:p w14:paraId="00B7BB52" w14:textId="77777777" w:rsidR="000B0DB1" w:rsidRPr="006C4FCA" w:rsidRDefault="000B0DB1" w:rsidP="006C4FCA">
      <w:pPr>
        <w:spacing w:line="240" w:lineRule="auto"/>
        <w:ind w:left="-6"/>
        <w:jc w:val="both"/>
        <w:rPr>
          <w:rFonts w:ascii="Arial" w:hAnsi="Arial" w:cs="Arial"/>
          <w:sz w:val="20"/>
          <w:szCs w:val="20"/>
        </w:rPr>
      </w:pPr>
    </w:p>
    <w:p w14:paraId="2399DCC2" w14:textId="77777777" w:rsidR="0007076A" w:rsidRPr="006C4FCA" w:rsidRDefault="0007076A" w:rsidP="006C4FCA">
      <w:pPr>
        <w:spacing w:line="240" w:lineRule="auto"/>
        <w:ind w:left="-6"/>
        <w:jc w:val="both"/>
        <w:rPr>
          <w:rFonts w:ascii="Arial" w:hAnsi="Arial" w:cs="Arial"/>
          <w:sz w:val="20"/>
          <w:szCs w:val="20"/>
        </w:rPr>
      </w:pPr>
      <w:r w:rsidRPr="006C4FCA">
        <w:rPr>
          <w:rFonts w:ascii="Arial" w:hAnsi="Arial" w:cs="Arial"/>
          <w:sz w:val="20"/>
          <w:szCs w:val="20"/>
        </w:rPr>
        <w:t>The data collected were entered into Excel 2019, then the means were subjected to a one-factor analysis of variance (ANOVA), after checking the normality of the distribution (Shapiro-Wilk test) and the homogeneity of the variances (Levene test). In the event of a significant difference between means, a multiple comparison was carried out using Fisher's LSD post-hoc test, at the 5% threshold, to identify homogeneous groups. All statistical analyses were performed using Statistica software, version 7.1</w:t>
      </w:r>
      <w:r w:rsidR="007A2C15" w:rsidRPr="006C4FCA">
        <w:rPr>
          <w:rFonts w:ascii="Arial" w:hAnsi="Arial" w:cs="Arial"/>
          <w:sz w:val="20"/>
          <w:szCs w:val="20"/>
        </w:rPr>
        <w:t>.</w:t>
      </w:r>
      <w:r w:rsidRPr="006C4FCA">
        <w:rPr>
          <w:rFonts w:ascii="Arial" w:hAnsi="Arial" w:cs="Arial"/>
          <w:sz w:val="20"/>
          <w:szCs w:val="20"/>
        </w:rPr>
        <w:t xml:space="preserve"> </w:t>
      </w:r>
    </w:p>
    <w:p w14:paraId="60B6B925" w14:textId="77777777" w:rsidR="0007076A" w:rsidRPr="006C4FCA" w:rsidRDefault="0007076A" w:rsidP="006C4FCA">
      <w:pPr>
        <w:spacing w:line="240" w:lineRule="auto"/>
        <w:rPr>
          <w:sz w:val="20"/>
        </w:rPr>
      </w:pPr>
      <w:r>
        <w:rPr>
          <w:rFonts w:eastAsia="Times New Roman" w:cs="Times New Roman"/>
          <w:b/>
        </w:rPr>
        <w:t xml:space="preserve"> </w:t>
      </w:r>
    </w:p>
    <w:p w14:paraId="5CE9AE66" w14:textId="77777777" w:rsidR="000B0DB1" w:rsidRDefault="000B0DB1" w:rsidP="006C4FCA">
      <w:pPr>
        <w:spacing w:line="240" w:lineRule="auto"/>
        <w:rPr>
          <w:rFonts w:ascii="Arial" w:hAnsi="Arial" w:cs="Arial"/>
          <w:b/>
          <w:sz w:val="22"/>
        </w:rPr>
      </w:pPr>
      <w:r w:rsidRPr="006C4FCA">
        <w:rPr>
          <w:rFonts w:ascii="Arial" w:hAnsi="Arial" w:cs="Arial"/>
          <w:b/>
          <w:sz w:val="22"/>
        </w:rPr>
        <w:t xml:space="preserve">3. </w:t>
      </w:r>
      <w:r w:rsidR="0007076A" w:rsidRPr="006C4FCA">
        <w:rPr>
          <w:rFonts w:ascii="Arial" w:hAnsi="Arial" w:cs="Arial"/>
          <w:b/>
          <w:sz w:val="22"/>
        </w:rPr>
        <w:t>RESULTS AND DISCUSSION</w:t>
      </w:r>
    </w:p>
    <w:p w14:paraId="0BD45B12" w14:textId="77777777" w:rsidR="00636E71" w:rsidRPr="006C4FCA" w:rsidRDefault="00636E71" w:rsidP="006C4FCA">
      <w:pPr>
        <w:spacing w:line="240" w:lineRule="auto"/>
        <w:rPr>
          <w:rFonts w:ascii="Arial" w:hAnsi="Arial" w:cs="Arial"/>
          <w:b/>
          <w:sz w:val="20"/>
        </w:rPr>
      </w:pPr>
    </w:p>
    <w:p w14:paraId="6CB6771C" w14:textId="77777777" w:rsidR="0007076A" w:rsidRDefault="000B0DB1" w:rsidP="006C4FCA">
      <w:pPr>
        <w:spacing w:line="240" w:lineRule="auto"/>
        <w:rPr>
          <w:rFonts w:ascii="Arial" w:hAnsi="Arial" w:cs="Arial"/>
          <w:b/>
          <w:sz w:val="22"/>
        </w:rPr>
      </w:pPr>
      <w:r w:rsidRPr="006C4FCA">
        <w:rPr>
          <w:rFonts w:ascii="Arial" w:hAnsi="Arial" w:cs="Arial"/>
          <w:b/>
          <w:sz w:val="22"/>
        </w:rPr>
        <w:t>3.1. Results</w:t>
      </w:r>
    </w:p>
    <w:p w14:paraId="2F046881" w14:textId="77777777" w:rsidR="00636E71" w:rsidRPr="006C4FCA" w:rsidRDefault="00636E71" w:rsidP="006C4FCA">
      <w:pPr>
        <w:spacing w:line="240" w:lineRule="auto"/>
        <w:rPr>
          <w:rFonts w:ascii="Arial" w:hAnsi="Arial" w:cs="Arial"/>
          <w:b/>
          <w:sz w:val="20"/>
        </w:rPr>
      </w:pPr>
    </w:p>
    <w:p w14:paraId="5729F61A" w14:textId="77777777" w:rsidR="007A2C15" w:rsidRDefault="000B0DB1" w:rsidP="006C4FCA">
      <w:pPr>
        <w:spacing w:line="240" w:lineRule="auto"/>
        <w:ind w:left="-5"/>
        <w:jc w:val="both"/>
        <w:rPr>
          <w:rFonts w:ascii="Arial" w:eastAsia="Times New Roman" w:hAnsi="Arial" w:cs="Arial"/>
          <w:b/>
          <w:sz w:val="22"/>
        </w:rPr>
      </w:pPr>
      <w:r w:rsidRPr="006C4FCA">
        <w:rPr>
          <w:rFonts w:ascii="Arial" w:hAnsi="Arial" w:cs="Arial"/>
          <w:b/>
          <w:sz w:val="22"/>
        </w:rPr>
        <w:t xml:space="preserve">3.1.1. </w:t>
      </w:r>
      <w:r w:rsidR="0007076A" w:rsidRPr="006C4FCA">
        <w:rPr>
          <w:rFonts w:ascii="Arial" w:eastAsia="Times New Roman" w:hAnsi="Arial" w:cs="Arial"/>
          <w:b/>
          <w:sz w:val="22"/>
        </w:rPr>
        <w:t>Physico-chemical characteristics of the cultivated soil</w:t>
      </w:r>
    </w:p>
    <w:p w14:paraId="7FD32A18" w14:textId="77777777" w:rsidR="00636E71" w:rsidRPr="006C4FCA" w:rsidRDefault="00636E71" w:rsidP="006C4FCA">
      <w:pPr>
        <w:spacing w:line="240" w:lineRule="auto"/>
        <w:ind w:left="-6"/>
        <w:jc w:val="both"/>
        <w:rPr>
          <w:rFonts w:ascii="Arial" w:eastAsia="Times New Roman" w:hAnsi="Arial" w:cs="Arial"/>
          <w:b/>
          <w:sz w:val="20"/>
        </w:rPr>
      </w:pPr>
    </w:p>
    <w:p w14:paraId="6302D513" w14:textId="77777777" w:rsidR="0007076A" w:rsidRDefault="0007076A" w:rsidP="0007076A">
      <w:pPr>
        <w:ind w:left="-5"/>
        <w:jc w:val="both"/>
        <w:rPr>
          <w:rFonts w:ascii="Arial" w:hAnsi="Arial" w:cs="Arial"/>
        </w:rPr>
      </w:pPr>
      <w:r w:rsidRPr="006C4FCA">
        <w:rPr>
          <w:rFonts w:ascii="Arial" w:hAnsi="Arial" w:cs="Arial"/>
          <w:sz w:val="20"/>
        </w:rPr>
        <w:lastRenderedPageBreak/>
        <w:t>Particle size analysis indicates a sandy-clay texture, characterized by a high proportion of clay (37.09%) and sand (46.84%), giving the soil good water and nutrient retention capacity, but exposing it to the risk of compaction (Table 1). The slightly acidic pH (5.95) remains acceptable, but suggests the need for moderate liming (Table 1). The organic matter content (2.3%) and C/N ratio (12.7) reflect favorable mineralization. However, assimilable phosphorus was very low (0.57 mg/kg). Potassium (1.445) is adequate, while magnesium (0.6) is low and calcium (3.175) moderate (Table 1). Cation exchange capacity (CEC) is satisfactory (16.3), but base saturation (33.9%) remains insufficient, justifying corrective additions (Table 1).</w:t>
      </w:r>
      <w:r w:rsidRPr="006C4FCA">
        <w:rPr>
          <w:rFonts w:ascii="Arial" w:hAnsi="Arial" w:cs="Arial"/>
        </w:rPr>
        <w:t xml:space="preserve"> </w:t>
      </w:r>
    </w:p>
    <w:p w14:paraId="7EB52B91" w14:textId="77777777" w:rsidR="00636E71" w:rsidRPr="006C4FCA" w:rsidRDefault="00636E71" w:rsidP="006C4FCA">
      <w:pPr>
        <w:spacing w:line="240" w:lineRule="auto"/>
        <w:ind w:left="-6"/>
        <w:jc w:val="both"/>
        <w:rPr>
          <w:rFonts w:ascii="Arial" w:hAnsi="Arial" w:cs="Arial"/>
          <w:sz w:val="20"/>
        </w:rPr>
      </w:pPr>
    </w:p>
    <w:p w14:paraId="07554893" w14:textId="77777777" w:rsidR="0007076A" w:rsidRDefault="0007076A" w:rsidP="006C4FCA">
      <w:pPr>
        <w:spacing w:line="240" w:lineRule="auto"/>
        <w:ind w:left="-6"/>
        <w:jc w:val="center"/>
        <w:rPr>
          <w:rFonts w:ascii="Arial" w:hAnsi="Arial" w:cs="Arial"/>
          <w:b/>
          <w:sz w:val="20"/>
        </w:rPr>
      </w:pPr>
      <w:r w:rsidRPr="006C4FCA">
        <w:rPr>
          <w:rFonts w:ascii="Arial" w:hAnsi="Arial" w:cs="Arial"/>
          <w:b/>
          <w:sz w:val="20"/>
        </w:rPr>
        <w:t>Table 1</w:t>
      </w:r>
      <w:r w:rsidR="00636E71" w:rsidRPr="006C4FCA">
        <w:rPr>
          <w:rFonts w:ascii="Arial" w:hAnsi="Arial" w:cs="Arial"/>
          <w:b/>
          <w:sz w:val="20"/>
        </w:rPr>
        <w:t>.</w:t>
      </w:r>
      <w:r w:rsidRPr="006C4FCA">
        <w:rPr>
          <w:rFonts w:ascii="Arial" w:hAnsi="Arial" w:cs="Arial"/>
          <w:b/>
          <w:sz w:val="20"/>
        </w:rPr>
        <w:t xml:space="preserve"> Physico-chemical properties of the test soil substrate</w:t>
      </w:r>
    </w:p>
    <w:p w14:paraId="6DCDDC48" w14:textId="77777777" w:rsidR="00636E71" w:rsidRPr="006C4FCA" w:rsidRDefault="00636E71" w:rsidP="006C4FCA">
      <w:pPr>
        <w:spacing w:line="240" w:lineRule="auto"/>
        <w:ind w:left="-6"/>
        <w:jc w:val="center"/>
        <w:rPr>
          <w:rFonts w:ascii="Arial" w:hAnsi="Arial" w:cs="Arial"/>
          <w:sz w:val="20"/>
        </w:rPr>
      </w:pPr>
    </w:p>
    <w:tbl>
      <w:tblPr>
        <w:tblW w:w="8080"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829"/>
        <w:gridCol w:w="3267"/>
        <w:gridCol w:w="1984"/>
      </w:tblGrid>
      <w:tr w:rsidR="00A31DB8" w:rsidRPr="00636E71" w14:paraId="1595DAB4" w14:textId="77777777" w:rsidTr="006C4FCA">
        <w:trPr>
          <w:trHeight w:val="227"/>
          <w:jc w:val="center"/>
        </w:trPr>
        <w:tc>
          <w:tcPr>
            <w:tcW w:w="2829" w:type="dxa"/>
            <w:vAlign w:val="center"/>
            <w:hideMark/>
          </w:tcPr>
          <w:p w14:paraId="0D88AECB" w14:textId="77777777" w:rsidR="00A31DB8" w:rsidRPr="006C4FCA" w:rsidRDefault="00A31DB8">
            <w:pPr>
              <w:spacing w:line="240" w:lineRule="auto"/>
              <w:rPr>
                <w:rFonts w:ascii="Arial" w:eastAsia="Times New Roman" w:hAnsi="Arial" w:cs="Arial"/>
                <w:b/>
                <w:bCs/>
                <w:color w:val="000000"/>
                <w:sz w:val="20"/>
                <w:szCs w:val="20"/>
                <w:lang w:eastAsia="fr-FR"/>
              </w:rPr>
            </w:pPr>
            <w:r w:rsidRPr="006C4FCA">
              <w:rPr>
                <w:rFonts w:ascii="Arial" w:eastAsia="Times New Roman" w:hAnsi="Arial" w:cs="Arial"/>
                <w:b/>
                <w:bCs/>
                <w:color w:val="000000"/>
                <w:sz w:val="20"/>
                <w:szCs w:val="20"/>
                <w:lang w:eastAsia="fr-FR"/>
              </w:rPr>
              <w:t> </w:t>
            </w:r>
          </w:p>
        </w:tc>
        <w:tc>
          <w:tcPr>
            <w:tcW w:w="3267" w:type="dxa"/>
            <w:tcBorders>
              <w:bottom w:val="single" w:sz="4" w:space="0" w:color="auto"/>
            </w:tcBorders>
            <w:vAlign w:val="center"/>
            <w:hideMark/>
          </w:tcPr>
          <w:p w14:paraId="4FA6664E" w14:textId="77777777" w:rsidR="00A31DB8" w:rsidRPr="006C4FCA" w:rsidRDefault="0092192B">
            <w:pPr>
              <w:spacing w:line="240" w:lineRule="auto"/>
              <w:rPr>
                <w:rFonts w:ascii="Arial" w:eastAsia="Times New Roman" w:hAnsi="Arial" w:cs="Arial"/>
                <w:b/>
                <w:bCs/>
                <w:color w:val="000000"/>
                <w:sz w:val="20"/>
                <w:szCs w:val="20"/>
                <w:lang w:eastAsia="fr-FR"/>
              </w:rPr>
            </w:pPr>
            <w:r w:rsidRPr="006C4FCA">
              <w:rPr>
                <w:rFonts w:ascii="Arial" w:eastAsia="Times New Roman" w:hAnsi="Arial" w:cs="Arial"/>
                <w:b/>
                <w:bCs/>
                <w:color w:val="000000"/>
                <w:sz w:val="20"/>
                <w:szCs w:val="20"/>
                <w:lang w:eastAsia="fr-FR"/>
              </w:rPr>
              <w:t>Physical</w:t>
            </w:r>
            <w:r w:rsidR="00A31DB8" w:rsidRPr="006C4FCA">
              <w:rPr>
                <w:rFonts w:ascii="Arial" w:eastAsia="Times New Roman" w:hAnsi="Arial" w:cs="Arial"/>
                <w:b/>
                <w:bCs/>
                <w:color w:val="000000"/>
                <w:sz w:val="20"/>
                <w:szCs w:val="20"/>
                <w:lang w:eastAsia="fr-FR"/>
              </w:rPr>
              <w:t xml:space="preserve"> </w:t>
            </w:r>
            <w:r w:rsidRPr="006C4FCA">
              <w:rPr>
                <w:rFonts w:ascii="Arial" w:eastAsia="Times New Roman" w:hAnsi="Arial" w:cs="Arial"/>
                <w:b/>
                <w:bCs/>
                <w:color w:val="000000"/>
                <w:sz w:val="20"/>
                <w:szCs w:val="20"/>
                <w:lang w:eastAsia="fr-FR"/>
              </w:rPr>
              <w:t>parameters</w:t>
            </w:r>
            <w:r w:rsidR="00A31DB8" w:rsidRPr="006C4FCA">
              <w:rPr>
                <w:rFonts w:ascii="Arial" w:eastAsia="Times New Roman" w:hAnsi="Arial" w:cs="Arial"/>
                <w:b/>
                <w:bCs/>
                <w:color w:val="000000"/>
                <w:sz w:val="20"/>
                <w:szCs w:val="20"/>
                <w:lang w:eastAsia="fr-FR"/>
              </w:rPr>
              <w:t xml:space="preserve"> (</w:t>
            </w:r>
            <w:r w:rsidR="00A31DB8" w:rsidRPr="006C4FCA">
              <w:rPr>
                <w:rFonts w:ascii="Arial" w:eastAsia="Times New Roman" w:hAnsi="Arial" w:cs="Arial"/>
                <w:color w:val="000000"/>
                <w:sz w:val="20"/>
                <w:szCs w:val="20"/>
                <w:lang w:eastAsia="fr-FR"/>
              </w:rPr>
              <w:t>%)</w:t>
            </w:r>
          </w:p>
        </w:tc>
        <w:tc>
          <w:tcPr>
            <w:tcW w:w="1984" w:type="dxa"/>
            <w:tcBorders>
              <w:bottom w:val="single" w:sz="4" w:space="0" w:color="auto"/>
            </w:tcBorders>
            <w:vAlign w:val="center"/>
            <w:hideMark/>
          </w:tcPr>
          <w:p w14:paraId="3DAF9FE5" w14:textId="77777777" w:rsidR="00A31DB8" w:rsidRPr="006C4FCA" w:rsidRDefault="0092192B">
            <w:pPr>
              <w:spacing w:line="240" w:lineRule="auto"/>
              <w:jc w:val="center"/>
              <w:rPr>
                <w:rFonts w:ascii="Arial" w:eastAsia="Times New Roman" w:hAnsi="Arial" w:cs="Arial"/>
                <w:b/>
                <w:bCs/>
                <w:color w:val="000000"/>
                <w:sz w:val="20"/>
                <w:szCs w:val="20"/>
                <w:lang w:eastAsia="fr-FR"/>
              </w:rPr>
            </w:pPr>
            <w:r w:rsidRPr="006C4FCA">
              <w:rPr>
                <w:rFonts w:ascii="Arial" w:eastAsia="Times New Roman" w:hAnsi="Arial" w:cs="Arial"/>
                <w:b/>
                <w:bCs/>
                <w:color w:val="000000"/>
                <w:sz w:val="20"/>
                <w:szCs w:val="20"/>
                <w:lang w:eastAsia="fr-FR"/>
              </w:rPr>
              <w:t>Content</w:t>
            </w:r>
          </w:p>
        </w:tc>
      </w:tr>
      <w:tr w:rsidR="00A31DB8" w:rsidRPr="00636E71" w14:paraId="6967CE07" w14:textId="77777777" w:rsidTr="006C4FCA">
        <w:trPr>
          <w:trHeight w:val="227"/>
          <w:jc w:val="center"/>
        </w:trPr>
        <w:tc>
          <w:tcPr>
            <w:tcW w:w="2829" w:type="dxa"/>
            <w:vMerge w:val="restart"/>
            <w:vAlign w:val="center"/>
            <w:hideMark/>
          </w:tcPr>
          <w:p w14:paraId="30F3DBF2" w14:textId="77777777" w:rsidR="00A31DB8" w:rsidRPr="006C4FCA" w:rsidRDefault="0092192B">
            <w:pPr>
              <w:spacing w:line="240" w:lineRule="auto"/>
              <w:rPr>
                <w:rFonts w:ascii="Arial" w:eastAsia="Times New Roman" w:hAnsi="Arial" w:cs="Arial"/>
                <w:bCs/>
                <w:color w:val="000000"/>
                <w:sz w:val="20"/>
                <w:szCs w:val="20"/>
                <w:lang w:eastAsia="fr-FR"/>
              </w:rPr>
            </w:pPr>
            <w:r w:rsidRPr="006C4FCA">
              <w:rPr>
                <w:rFonts w:ascii="Arial" w:eastAsia="Times New Roman" w:hAnsi="Arial" w:cs="Arial"/>
                <w:bCs/>
                <w:color w:val="000000"/>
                <w:sz w:val="20"/>
                <w:szCs w:val="20"/>
                <w:lang w:eastAsia="fr-FR"/>
              </w:rPr>
              <w:t>Particle size</w:t>
            </w:r>
          </w:p>
        </w:tc>
        <w:tc>
          <w:tcPr>
            <w:tcW w:w="3267" w:type="dxa"/>
            <w:tcBorders>
              <w:bottom w:val="nil"/>
            </w:tcBorders>
            <w:vAlign w:val="center"/>
            <w:hideMark/>
          </w:tcPr>
          <w:p w14:paraId="1649A15E"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Clay</w:t>
            </w:r>
          </w:p>
        </w:tc>
        <w:tc>
          <w:tcPr>
            <w:tcW w:w="1984" w:type="dxa"/>
            <w:tcBorders>
              <w:bottom w:val="nil"/>
            </w:tcBorders>
            <w:vAlign w:val="center"/>
            <w:hideMark/>
          </w:tcPr>
          <w:p w14:paraId="21C04D72"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37</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09 </w:t>
            </w:r>
          </w:p>
        </w:tc>
      </w:tr>
      <w:tr w:rsidR="00A31DB8" w:rsidRPr="00636E71" w14:paraId="2D549F9E" w14:textId="77777777" w:rsidTr="006C4FCA">
        <w:trPr>
          <w:trHeight w:val="227"/>
          <w:jc w:val="center"/>
        </w:trPr>
        <w:tc>
          <w:tcPr>
            <w:tcW w:w="2829" w:type="dxa"/>
            <w:vMerge/>
            <w:vAlign w:val="center"/>
            <w:hideMark/>
          </w:tcPr>
          <w:p w14:paraId="4E57C48C" w14:textId="77777777" w:rsidR="00A31DB8" w:rsidRPr="006C4FCA" w:rsidRDefault="00A31DB8">
            <w:pPr>
              <w:spacing w:line="240" w:lineRule="auto"/>
              <w:rPr>
                <w:rFonts w:ascii="Arial" w:eastAsia="Times New Roman" w:hAnsi="Arial" w:cs="Arial"/>
                <w:b/>
                <w:bCs/>
                <w:color w:val="000000"/>
                <w:sz w:val="20"/>
                <w:szCs w:val="20"/>
                <w:lang w:eastAsia="fr-FR"/>
              </w:rPr>
            </w:pPr>
          </w:p>
        </w:tc>
        <w:tc>
          <w:tcPr>
            <w:tcW w:w="3267" w:type="dxa"/>
            <w:tcBorders>
              <w:top w:val="nil"/>
              <w:bottom w:val="nil"/>
            </w:tcBorders>
            <w:vAlign w:val="center"/>
            <w:hideMark/>
          </w:tcPr>
          <w:p w14:paraId="181C1F2E"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Silt</w:t>
            </w:r>
          </w:p>
        </w:tc>
        <w:tc>
          <w:tcPr>
            <w:tcW w:w="1984" w:type="dxa"/>
            <w:tcBorders>
              <w:top w:val="nil"/>
              <w:bottom w:val="nil"/>
            </w:tcBorders>
            <w:vAlign w:val="center"/>
            <w:hideMark/>
          </w:tcPr>
          <w:p w14:paraId="09E4E5E8"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16</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07</w:t>
            </w:r>
          </w:p>
        </w:tc>
      </w:tr>
      <w:tr w:rsidR="00A31DB8" w:rsidRPr="00636E71" w14:paraId="32F18010" w14:textId="77777777" w:rsidTr="006C4FCA">
        <w:trPr>
          <w:trHeight w:val="227"/>
          <w:jc w:val="center"/>
        </w:trPr>
        <w:tc>
          <w:tcPr>
            <w:tcW w:w="2829" w:type="dxa"/>
            <w:vMerge/>
            <w:tcBorders>
              <w:bottom w:val="nil"/>
            </w:tcBorders>
            <w:vAlign w:val="center"/>
            <w:hideMark/>
          </w:tcPr>
          <w:p w14:paraId="227C3BEE" w14:textId="77777777" w:rsidR="00A31DB8" w:rsidRPr="006C4FCA" w:rsidRDefault="00A31DB8">
            <w:pPr>
              <w:spacing w:line="240" w:lineRule="auto"/>
              <w:rPr>
                <w:rFonts w:ascii="Arial" w:eastAsia="Times New Roman" w:hAnsi="Arial" w:cs="Arial"/>
                <w:b/>
                <w:bCs/>
                <w:color w:val="000000"/>
                <w:sz w:val="20"/>
                <w:szCs w:val="20"/>
                <w:lang w:eastAsia="fr-FR"/>
              </w:rPr>
            </w:pPr>
          </w:p>
        </w:tc>
        <w:tc>
          <w:tcPr>
            <w:tcW w:w="3267" w:type="dxa"/>
            <w:tcBorders>
              <w:top w:val="nil"/>
              <w:bottom w:val="nil"/>
            </w:tcBorders>
            <w:vAlign w:val="center"/>
            <w:hideMark/>
          </w:tcPr>
          <w:p w14:paraId="1313D089"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Sand</w:t>
            </w:r>
          </w:p>
        </w:tc>
        <w:tc>
          <w:tcPr>
            <w:tcW w:w="1984" w:type="dxa"/>
            <w:tcBorders>
              <w:top w:val="nil"/>
              <w:bottom w:val="nil"/>
            </w:tcBorders>
            <w:vAlign w:val="center"/>
            <w:hideMark/>
          </w:tcPr>
          <w:p w14:paraId="7A33DEA6"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46</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84 </w:t>
            </w:r>
          </w:p>
        </w:tc>
      </w:tr>
      <w:tr w:rsidR="00A31DB8" w:rsidRPr="00636E71" w14:paraId="4DC3E497" w14:textId="77777777" w:rsidTr="006C4FCA">
        <w:trPr>
          <w:trHeight w:val="227"/>
          <w:jc w:val="center"/>
        </w:trPr>
        <w:tc>
          <w:tcPr>
            <w:tcW w:w="2829" w:type="dxa"/>
            <w:tcBorders>
              <w:top w:val="nil"/>
            </w:tcBorders>
            <w:vAlign w:val="center"/>
            <w:hideMark/>
          </w:tcPr>
          <w:p w14:paraId="75CAC618" w14:textId="77777777" w:rsidR="00A31DB8" w:rsidRPr="006C4FCA" w:rsidRDefault="00A31DB8">
            <w:pPr>
              <w:spacing w:line="240" w:lineRule="auto"/>
              <w:rPr>
                <w:rFonts w:ascii="Arial" w:eastAsia="Times New Roman" w:hAnsi="Arial" w:cs="Arial"/>
                <w:bCs/>
                <w:color w:val="000000"/>
                <w:sz w:val="20"/>
                <w:szCs w:val="20"/>
                <w:lang w:eastAsia="fr-FR"/>
              </w:rPr>
            </w:pPr>
            <w:r w:rsidRPr="006C4FCA">
              <w:rPr>
                <w:rFonts w:ascii="Arial" w:eastAsia="Times New Roman" w:hAnsi="Arial" w:cs="Arial"/>
                <w:bCs/>
                <w:color w:val="000000"/>
                <w:sz w:val="20"/>
                <w:szCs w:val="20"/>
                <w:lang w:eastAsia="fr-FR"/>
              </w:rPr>
              <w:t>Texture</w:t>
            </w:r>
          </w:p>
        </w:tc>
        <w:tc>
          <w:tcPr>
            <w:tcW w:w="5251" w:type="dxa"/>
            <w:gridSpan w:val="2"/>
            <w:tcBorders>
              <w:top w:val="nil"/>
            </w:tcBorders>
            <w:vAlign w:val="center"/>
            <w:hideMark/>
          </w:tcPr>
          <w:p w14:paraId="7F1E7037" w14:textId="77777777" w:rsidR="00A31DB8" w:rsidRPr="006C4FCA" w:rsidRDefault="0092192B">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Sandy</w:t>
            </w:r>
            <w:r w:rsidR="00A31DB8" w:rsidRPr="006C4FCA">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clay</w:t>
            </w:r>
          </w:p>
        </w:tc>
      </w:tr>
      <w:tr w:rsidR="00A31DB8" w:rsidRPr="00636E71" w14:paraId="6A650CC8" w14:textId="77777777" w:rsidTr="006C4FCA">
        <w:trPr>
          <w:trHeight w:val="227"/>
          <w:jc w:val="center"/>
        </w:trPr>
        <w:tc>
          <w:tcPr>
            <w:tcW w:w="2829" w:type="dxa"/>
            <w:vAlign w:val="center"/>
            <w:hideMark/>
          </w:tcPr>
          <w:p w14:paraId="6F25635F" w14:textId="77777777" w:rsidR="00A31DB8" w:rsidRPr="006C4FCA" w:rsidRDefault="00A31DB8">
            <w:pPr>
              <w:spacing w:line="240" w:lineRule="auto"/>
              <w:jc w:val="center"/>
              <w:rPr>
                <w:rFonts w:ascii="Arial" w:eastAsia="Times New Roman" w:hAnsi="Arial" w:cs="Arial"/>
                <w:b/>
                <w:bCs/>
                <w:color w:val="000000"/>
                <w:sz w:val="20"/>
                <w:szCs w:val="20"/>
                <w:lang w:eastAsia="fr-FR"/>
              </w:rPr>
            </w:pPr>
            <w:r w:rsidRPr="006C4FCA">
              <w:rPr>
                <w:rFonts w:ascii="Arial" w:eastAsia="Times New Roman" w:hAnsi="Arial" w:cs="Arial"/>
                <w:b/>
                <w:bCs/>
                <w:color w:val="000000"/>
                <w:sz w:val="20"/>
                <w:szCs w:val="20"/>
                <w:lang w:eastAsia="fr-FR"/>
              </w:rPr>
              <w:t> </w:t>
            </w:r>
          </w:p>
        </w:tc>
        <w:tc>
          <w:tcPr>
            <w:tcW w:w="3267" w:type="dxa"/>
            <w:vAlign w:val="center"/>
            <w:hideMark/>
          </w:tcPr>
          <w:p w14:paraId="086230A5" w14:textId="77777777" w:rsidR="00A31DB8" w:rsidRPr="006C4FCA" w:rsidRDefault="0092192B">
            <w:pPr>
              <w:spacing w:line="240" w:lineRule="auto"/>
              <w:rPr>
                <w:rFonts w:ascii="Arial" w:eastAsia="Times New Roman" w:hAnsi="Arial" w:cs="Arial"/>
                <w:b/>
                <w:bCs/>
                <w:color w:val="000000"/>
                <w:sz w:val="20"/>
                <w:szCs w:val="20"/>
                <w:lang w:eastAsia="fr-FR"/>
              </w:rPr>
            </w:pPr>
            <w:r w:rsidRPr="006C4FCA">
              <w:rPr>
                <w:rFonts w:ascii="Arial" w:eastAsia="Times New Roman" w:hAnsi="Arial" w:cs="Arial"/>
                <w:b/>
                <w:bCs/>
                <w:color w:val="000000"/>
                <w:sz w:val="20"/>
                <w:szCs w:val="20"/>
                <w:lang w:eastAsia="fr-FR"/>
              </w:rPr>
              <w:t>Chemical</w:t>
            </w:r>
            <w:r w:rsidR="00A31DB8" w:rsidRPr="006C4FCA">
              <w:rPr>
                <w:rFonts w:ascii="Arial" w:eastAsia="Times New Roman" w:hAnsi="Arial" w:cs="Arial"/>
                <w:b/>
                <w:bCs/>
                <w:color w:val="000000"/>
                <w:sz w:val="20"/>
                <w:szCs w:val="20"/>
                <w:lang w:eastAsia="fr-FR"/>
              </w:rPr>
              <w:t xml:space="preserve"> </w:t>
            </w:r>
            <w:r w:rsidRPr="006C4FCA">
              <w:rPr>
                <w:rFonts w:ascii="Arial" w:eastAsia="Times New Roman" w:hAnsi="Arial" w:cs="Arial"/>
                <w:b/>
                <w:bCs/>
                <w:color w:val="000000"/>
                <w:sz w:val="20"/>
                <w:szCs w:val="20"/>
                <w:lang w:eastAsia="fr-FR"/>
              </w:rPr>
              <w:t>parameters</w:t>
            </w:r>
          </w:p>
        </w:tc>
        <w:tc>
          <w:tcPr>
            <w:tcW w:w="1984" w:type="dxa"/>
            <w:vAlign w:val="center"/>
            <w:hideMark/>
          </w:tcPr>
          <w:p w14:paraId="39F0EA9B" w14:textId="77777777" w:rsidR="00A31DB8" w:rsidRPr="006C4FCA" w:rsidRDefault="0092192B">
            <w:pPr>
              <w:spacing w:line="240" w:lineRule="auto"/>
              <w:jc w:val="center"/>
              <w:rPr>
                <w:rFonts w:ascii="Arial" w:eastAsia="Times New Roman" w:hAnsi="Arial" w:cs="Arial"/>
                <w:b/>
                <w:bCs/>
                <w:color w:val="000000"/>
                <w:sz w:val="20"/>
                <w:szCs w:val="20"/>
                <w:lang w:eastAsia="fr-FR"/>
              </w:rPr>
            </w:pPr>
            <w:r w:rsidRPr="006C4FCA">
              <w:rPr>
                <w:rFonts w:ascii="Arial" w:eastAsia="Times New Roman" w:hAnsi="Arial" w:cs="Arial"/>
                <w:b/>
                <w:bCs/>
                <w:color w:val="000000"/>
                <w:sz w:val="20"/>
                <w:szCs w:val="20"/>
                <w:lang w:eastAsia="fr-FR"/>
              </w:rPr>
              <w:t xml:space="preserve">Content </w:t>
            </w:r>
          </w:p>
        </w:tc>
      </w:tr>
      <w:tr w:rsidR="00A31DB8" w:rsidRPr="00636E71" w14:paraId="53FB84AC" w14:textId="77777777" w:rsidTr="006C4FCA">
        <w:trPr>
          <w:trHeight w:val="227"/>
          <w:jc w:val="center"/>
        </w:trPr>
        <w:tc>
          <w:tcPr>
            <w:tcW w:w="2829" w:type="dxa"/>
            <w:noWrap/>
            <w:vAlign w:val="center"/>
            <w:hideMark/>
          </w:tcPr>
          <w:p w14:paraId="41A831A4"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Acidity</w:t>
            </w:r>
          </w:p>
        </w:tc>
        <w:tc>
          <w:tcPr>
            <w:tcW w:w="3267" w:type="dxa"/>
            <w:tcBorders>
              <w:bottom w:val="single" w:sz="4" w:space="0" w:color="auto"/>
            </w:tcBorders>
            <w:noWrap/>
            <w:vAlign w:val="center"/>
            <w:hideMark/>
          </w:tcPr>
          <w:p w14:paraId="6C854A60" w14:textId="77777777" w:rsidR="00A31DB8" w:rsidRPr="006C4FCA" w:rsidRDefault="00A31DB8">
            <w:pPr>
              <w:spacing w:line="240" w:lineRule="auto"/>
              <w:rPr>
                <w:rFonts w:ascii="Arial" w:eastAsia="Times New Roman" w:hAnsi="Arial" w:cs="Arial"/>
                <w:color w:val="000000"/>
                <w:sz w:val="20"/>
                <w:szCs w:val="20"/>
                <w:lang w:eastAsia="fr-FR"/>
              </w:rPr>
            </w:pPr>
            <w:proofErr w:type="gramStart"/>
            <w:r w:rsidRPr="006C4FCA">
              <w:rPr>
                <w:rFonts w:ascii="Arial" w:eastAsia="Times New Roman" w:hAnsi="Arial" w:cs="Arial"/>
                <w:color w:val="000000"/>
                <w:sz w:val="20"/>
                <w:szCs w:val="20"/>
                <w:lang w:eastAsia="fr-FR"/>
              </w:rPr>
              <w:t>pH</w:t>
            </w:r>
            <w:proofErr w:type="gramEnd"/>
          </w:p>
        </w:tc>
        <w:tc>
          <w:tcPr>
            <w:tcW w:w="1984" w:type="dxa"/>
            <w:tcBorders>
              <w:bottom w:val="single" w:sz="4" w:space="0" w:color="auto"/>
            </w:tcBorders>
            <w:noWrap/>
            <w:vAlign w:val="center"/>
            <w:hideMark/>
          </w:tcPr>
          <w:p w14:paraId="508330FF"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5</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95</w:t>
            </w:r>
          </w:p>
        </w:tc>
      </w:tr>
      <w:tr w:rsidR="00A31DB8" w:rsidRPr="00636E71" w14:paraId="611C8A99" w14:textId="77777777" w:rsidTr="006C4FCA">
        <w:trPr>
          <w:trHeight w:val="227"/>
          <w:jc w:val="center"/>
        </w:trPr>
        <w:tc>
          <w:tcPr>
            <w:tcW w:w="2829" w:type="dxa"/>
            <w:vMerge w:val="restart"/>
            <w:noWrap/>
            <w:vAlign w:val="center"/>
            <w:hideMark/>
          </w:tcPr>
          <w:p w14:paraId="731D92BF" w14:textId="77777777" w:rsidR="0092192B"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Organic status and</w:t>
            </w:r>
          </w:p>
          <w:p w14:paraId="5093A88A" w14:textId="77777777" w:rsidR="00A31DB8" w:rsidRPr="006C4FCA" w:rsidRDefault="0092192B">
            <w:pPr>
              <w:spacing w:line="240" w:lineRule="auto"/>
              <w:rPr>
                <w:rFonts w:ascii="Arial" w:eastAsia="Times New Roman" w:hAnsi="Arial" w:cs="Arial"/>
                <w:color w:val="000000"/>
                <w:sz w:val="20"/>
                <w:szCs w:val="20"/>
                <w:lang w:eastAsia="fr-FR"/>
              </w:rPr>
            </w:pPr>
            <w:proofErr w:type="gramStart"/>
            <w:r w:rsidRPr="006C4FCA">
              <w:rPr>
                <w:rFonts w:ascii="Arial" w:eastAsia="Times New Roman" w:hAnsi="Arial" w:cs="Arial"/>
                <w:color w:val="000000"/>
                <w:sz w:val="20"/>
                <w:szCs w:val="20"/>
                <w:lang w:eastAsia="fr-FR"/>
              </w:rPr>
              <w:t>assimilable</w:t>
            </w:r>
            <w:proofErr w:type="gramEnd"/>
            <w:r w:rsidRPr="006C4FCA">
              <w:rPr>
                <w:rFonts w:ascii="Arial" w:eastAsia="Times New Roman" w:hAnsi="Arial" w:cs="Arial"/>
                <w:color w:val="000000"/>
                <w:sz w:val="20"/>
                <w:szCs w:val="20"/>
                <w:lang w:eastAsia="fr-FR"/>
              </w:rPr>
              <w:t xml:space="preserve"> phosphorus</w:t>
            </w:r>
            <w:r w:rsidR="00A31DB8" w:rsidRPr="006C4FCA">
              <w:rPr>
                <w:rFonts w:ascii="Arial" w:eastAsia="Times New Roman" w:hAnsi="Arial" w:cs="Arial"/>
                <w:color w:val="000000"/>
                <w:sz w:val="20"/>
                <w:szCs w:val="20"/>
                <w:lang w:eastAsia="fr-FR"/>
              </w:rPr>
              <w:t xml:space="preserve"> (%)</w:t>
            </w:r>
          </w:p>
        </w:tc>
        <w:tc>
          <w:tcPr>
            <w:tcW w:w="3267" w:type="dxa"/>
            <w:tcBorders>
              <w:top w:val="single" w:sz="4" w:space="0" w:color="auto"/>
              <w:bottom w:val="nil"/>
            </w:tcBorders>
            <w:noWrap/>
            <w:vAlign w:val="center"/>
            <w:hideMark/>
          </w:tcPr>
          <w:p w14:paraId="4BB5996A"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Organic matter</w:t>
            </w:r>
          </w:p>
        </w:tc>
        <w:tc>
          <w:tcPr>
            <w:tcW w:w="1984" w:type="dxa"/>
            <w:tcBorders>
              <w:top w:val="single" w:sz="4" w:space="0" w:color="auto"/>
              <w:bottom w:val="nil"/>
            </w:tcBorders>
            <w:noWrap/>
            <w:vAlign w:val="center"/>
            <w:hideMark/>
          </w:tcPr>
          <w:p w14:paraId="10CB44D6"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2</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285</w:t>
            </w:r>
          </w:p>
        </w:tc>
      </w:tr>
      <w:tr w:rsidR="00A31DB8" w:rsidRPr="00636E71" w14:paraId="621BFB06" w14:textId="77777777" w:rsidTr="006C4FCA">
        <w:trPr>
          <w:trHeight w:val="227"/>
          <w:jc w:val="center"/>
        </w:trPr>
        <w:tc>
          <w:tcPr>
            <w:tcW w:w="2829" w:type="dxa"/>
            <w:vMerge/>
            <w:vAlign w:val="center"/>
            <w:hideMark/>
          </w:tcPr>
          <w:p w14:paraId="1EFE0D04" w14:textId="77777777" w:rsidR="00A31DB8" w:rsidRPr="006C4FCA" w:rsidRDefault="00A31DB8">
            <w:pPr>
              <w:spacing w:line="240" w:lineRule="auto"/>
              <w:rPr>
                <w:rFonts w:ascii="Arial" w:eastAsia="Times New Roman" w:hAnsi="Arial" w:cs="Arial"/>
                <w:color w:val="000000"/>
                <w:sz w:val="20"/>
                <w:szCs w:val="20"/>
                <w:lang w:eastAsia="fr-FR"/>
              </w:rPr>
            </w:pPr>
          </w:p>
        </w:tc>
        <w:tc>
          <w:tcPr>
            <w:tcW w:w="3267" w:type="dxa"/>
            <w:tcBorders>
              <w:top w:val="nil"/>
              <w:bottom w:val="nil"/>
            </w:tcBorders>
            <w:noWrap/>
            <w:vAlign w:val="center"/>
            <w:hideMark/>
          </w:tcPr>
          <w:p w14:paraId="1346087B"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Carbon</w:t>
            </w:r>
          </w:p>
        </w:tc>
        <w:tc>
          <w:tcPr>
            <w:tcW w:w="1984" w:type="dxa"/>
            <w:tcBorders>
              <w:top w:val="nil"/>
              <w:bottom w:val="nil"/>
            </w:tcBorders>
            <w:noWrap/>
            <w:vAlign w:val="center"/>
            <w:hideMark/>
          </w:tcPr>
          <w:p w14:paraId="00C008BD"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1</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33</w:t>
            </w:r>
          </w:p>
        </w:tc>
      </w:tr>
      <w:tr w:rsidR="00A31DB8" w:rsidRPr="00636E71" w14:paraId="6FF7CB15" w14:textId="77777777" w:rsidTr="006C4FCA">
        <w:trPr>
          <w:trHeight w:val="227"/>
          <w:jc w:val="center"/>
        </w:trPr>
        <w:tc>
          <w:tcPr>
            <w:tcW w:w="2829" w:type="dxa"/>
            <w:vMerge/>
            <w:vAlign w:val="center"/>
            <w:hideMark/>
          </w:tcPr>
          <w:p w14:paraId="6679F024" w14:textId="77777777" w:rsidR="00A31DB8" w:rsidRPr="006C4FCA" w:rsidRDefault="00A31DB8">
            <w:pPr>
              <w:spacing w:line="240" w:lineRule="auto"/>
              <w:rPr>
                <w:rFonts w:ascii="Arial" w:eastAsia="Times New Roman" w:hAnsi="Arial" w:cs="Arial"/>
                <w:color w:val="000000"/>
                <w:sz w:val="20"/>
                <w:szCs w:val="20"/>
                <w:lang w:eastAsia="fr-FR"/>
              </w:rPr>
            </w:pPr>
          </w:p>
        </w:tc>
        <w:tc>
          <w:tcPr>
            <w:tcW w:w="3267" w:type="dxa"/>
            <w:tcBorders>
              <w:top w:val="nil"/>
              <w:bottom w:val="nil"/>
            </w:tcBorders>
            <w:noWrap/>
            <w:vAlign w:val="center"/>
            <w:hideMark/>
          </w:tcPr>
          <w:p w14:paraId="6EFE8E03"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Nitrogen</w:t>
            </w:r>
          </w:p>
        </w:tc>
        <w:tc>
          <w:tcPr>
            <w:tcW w:w="1984" w:type="dxa"/>
            <w:tcBorders>
              <w:top w:val="nil"/>
              <w:bottom w:val="nil"/>
            </w:tcBorders>
            <w:noWrap/>
            <w:vAlign w:val="center"/>
            <w:hideMark/>
          </w:tcPr>
          <w:p w14:paraId="369AE960"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0</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105</w:t>
            </w:r>
          </w:p>
        </w:tc>
      </w:tr>
      <w:tr w:rsidR="00A31DB8" w:rsidRPr="00636E71" w14:paraId="2E2624AA" w14:textId="77777777" w:rsidTr="006C4FCA">
        <w:trPr>
          <w:trHeight w:val="227"/>
          <w:jc w:val="center"/>
        </w:trPr>
        <w:tc>
          <w:tcPr>
            <w:tcW w:w="2829" w:type="dxa"/>
            <w:vMerge/>
            <w:vAlign w:val="center"/>
            <w:hideMark/>
          </w:tcPr>
          <w:p w14:paraId="1036E236" w14:textId="77777777" w:rsidR="00A31DB8" w:rsidRPr="006C4FCA" w:rsidRDefault="00A31DB8">
            <w:pPr>
              <w:spacing w:line="240" w:lineRule="auto"/>
              <w:rPr>
                <w:rFonts w:ascii="Arial" w:eastAsia="Times New Roman" w:hAnsi="Arial" w:cs="Arial"/>
                <w:color w:val="000000"/>
                <w:sz w:val="20"/>
                <w:szCs w:val="20"/>
                <w:lang w:eastAsia="fr-FR"/>
              </w:rPr>
            </w:pPr>
          </w:p>
        </w:tc>
        <w:tc>
          <w:tcPr>
            <w:tcW w:w="3267" w:type="dxa"/>
            <w:tcBorders>
              <w:top w:val="nil"/>
              <w:bottom w:val="nil"/>
            </w:tcBorders>
            <w:noWrap/>
            <w:vAlign w:val="center"/>
            <w:hideMark/>
          </w:tcPr>
          <w:p w14:paraId="2490F594"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Carbon/Nitrogen ratio</w:t>
            </w:r>
          </w:p>
        </w:tc>
        <w:tc>
          <w:tcPr>
            <w:tcW w:w="1984" w:type="dxa"/>
            <w:tcBorders>
              <w:top w:val="nil"/>
              <w:bottom w:val="nil"/>
            </w:tcBorders>
            <w:noWrap/>
            <w:vAlign w:val="center"/>
            <w:hideMark/>
          </w:tcPr>
          <w:p w14:paraId="6829FEF0"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12</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655</w:t>
            </w:r>
          </w:p>
        </w:tc>
      </w:tr>
      <w:tr w:rsidR="00A31DB8" w:rsidRPr="00636E71" w14:paraId="636A0991" w14:textId="77777777" w:rsidTr="006C4FCA">
        <w:trPr>
          <w:trHeight w:val="227"/>
          <w:jc w:val="center"/>
        </w:trPr>
        <w:tc>
          <w:tcPr>
            <w:tcW w:w="2829" w:type="dxa"/>
            <w:vMerge/>
            <w:vAlign w:val="center"/>
            <w:hideMark/>
          </w:tcPr>
          <w:p w14:paraId="085961AE" w14:textId="77777777" w:rsidR="00A31DB8" w:rsidRPr="006C4FCA" w:rsidRDefault="00A31DB8">
            <w:pPr>
              <w:spacing w:line="240" w:lineRule="auto"/>
              <w:rPr>
                <w:rFonts w:ascii="Arial" w:eastAsia="Times New Roman" w:hAnsi="Arial" w:cs="Arial"/>
                <w:color w:val="000000"/>
                <w:sz w:val="20"/>
                <w:szCs w:val="20"/>
                <w:lang w:eastAsia="fr-FR"/>
              </w:rPr>
            </w:pPr>
          </w:p>
        </w:tc>
        <w:tc>
          <w:tcPr>
            <w:tcW w:w="3267" w:type="dxa"/>
            <w:tcBorders>
              <w:top w:val="nil"/>
              <w:bottom w:val="single" w:sz="4" w:space="0" w:color="auto"/>
            </w:tcBorders>
            <w:noWrap/>
            <w:vAlign w:val="center"/>
            <w:hideMark/>
          </w:tcPr>
          <w:p w14:paraId="68051478"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Assimilable phosphorus</w:t>
            </w:r>
          </w:p>
        </w:tc>
        <w:tc>
          <w:tcPr>
            <w:tcW w:w="1984" w:type="dxa"/>
            <w:tcBorders>
              <w:top w:val="nil"/>
              <w:bottom w:val="single" w:sz="4" w:space="0" w:color="auto"/>
            </w:tcBorders>
            <w:noWrap/>
            <w:vAlign w:val="center"/>
            <w:hideMark/>
          </w:tcPr>
          <w:p w14:paraId="25EF2BA4"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0</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57</w:t>
            </w:r>
          </w:p>
        </w:tc>
      </w:tr>
      <w:tr w:rsidR="00A31DB8" w:rsidRPr="00636E71" w14:paraId="43EA66E7" w14:textId="77777777" w:rsidTr="006C4FCA">
        <w:trPr>
          <w:trHeight w:val="227"/>
          <w:jc w:val="center"/>
        </w:trPr>
        <w:tc>
          <w:tcPr>
            <w:tcW w:w="2829" w:type="dxa"/>
            <w:vMerge w:val="restart"/>
            <w:noWrap/>
            <w:vAlign w:val="center"/>
            <w:hideMark/>
          </w:tcPr>
          <w:p w14:paraId="75FDFB74"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Exchangeable cations</w:t>
            </w:r>
            <w:r w:rsidR="00A31DB8" w:rsidRPr="006C4FCA">
              <w:rPr>
                <w:rFonts w:ascii="Arial" w:eastAsia="Times New Roman" w:hAnsi="Arial" w:cs="Arial"/>
                <w:color w:val="000000"/>
                <w:sz w:val="20"/>
                <w:szCs w:val="20"/>
                <w:lang w:eastAsia="fr-FR"/>
              </w:rPr>
              <w:t xml:space="preserve"> (cmol/Kg)</w:t>
            </w:r>
          </w:p>
        </w:tc>
        <w:tc>
          <w:tcPr>
            <w:tcW w:w="3267" w:type="dxa"/>
            <w:tcBorders>
              <w:bottom w:val="nil"/>
            </w:tcBorders>
            <w:noWrap/>
            <w:vAlign w:val="center"/>
            <w:hideMark/>
          </w:tcPr>
          <w:p w14:paraId="2BA4940B"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Potassium</w:t>
            </w:r>
          </w:p>
        </w:tc>
        <w:tc>
          <w:tcPr>
            <w:tcW w:w="1984" w:type="dxa"/>
            <w:tcBorders>
              <w:bottom w:val="nil"/>
            </w:tcBorders>
            <w:noWrap/>
            <w:vAlign w:val="center"/>
            <w:hideMark/>
          </w:tcPr>
          <w:p w14:paraId="63D02A0F"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1</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445</w:t>
            </w:r>
          </w:p>
        </w:tc>
      </w:tr>
      <w:tr w:rsidR="00A31DB8" w:rsidRPr="00636E71" w14:paraId="5F06024E" w14:textId="77777777" w:rsidTr="006C4FCA">
        <w:trPr>
          <w:trHeight w:val="227"/>
          <w:jc w:val="center"/>
        </w:trPr>
        <w:tc>
          <w:tcPr>
            <w:tcW w:w="2829" w:type="dxa"/>
            <w:vMerge/>
            <w:vAlign w:val="center"/>
            <w:hideMark/>
          </w:tcPr>
          <w:p w14:paraId="127A8383" w14:textId="77777777" w:rsidR="00A31DB8" w:rsidRPr="006C4FCA" w:rsidRDefault="00A31DB8">
            <w:pPr>
              <w:spacing w:line="240" w:lineRule="auto"/>
              <w:rPr>
                <w:rFonts w:ascii="Arial" w:eastAsia="Times New Roman" w:hAnsi="Arial" w:cs="Arial"/>
                <w:color w:val="000000"/>
                <w:sz w:val="20"/>
                <w:szCs w:val="20"/>
                <w:lang w:eastAsia="fr-FR"/>
              </w:rPr>
            </w:pPr>
          </w:p>
        </w:tc>
        <w:tc>
          <w:tcPr>
            <w:tcW w:w="3267" w:type="dxa"/>
            <w:tcBorders>
              <w:top w:val="nil"/>
              <w:bottom w:val="nil"/>
            </w:tcBorders>
            <w:noWrap/>
            <w:vAlign w:val="center"/>
            <w:hideMark/>
          </w:tcPr>
          <w:p w14:paraId="0113F908"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Magnesium</w:t>
            </w:r>
          </w:p>
        </w:tc>
        <w:tc>
          <w:tcPr>
            <w:tcW w:w="1984" w:type="dxa"/>
            <w:tcBorders>
              <w:top w:val="nil"/>
              <w:bottom w:val="nil"/>
            </w:tcBorders>
            <w:noWrap/>
            <w:vAlign w:val="center"/>
            <w:hideMark/>
          </w:tcPr>
          <w:p w14:paraId="76456379"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0</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6</w:t>
            </w:r>
          </w:p>
        </w:tc>
      </w:tr>
      <w:tr w:rsidR="00A31DB8" w:rsidRPr="00636E71" w14:paraId="5055FFDA" w14:textId="77777777" w:rsidTr="006C4FCA">
        <w:trPr>
          <w:trHeight w:val="227"/>
          <w:jc w:val="center"/>
        </w:trPr>
        <w:tc>
          <w:tcPr>
            <w:tcW w:w="2829" w:type="dxa"/>
            <w:vMerge/>
            <w:vAlign w:val="center"/>
            <w:hideMark/>
          </w:tcPr>
          <w:p w14:paraId="04935E8E" w14:textId="77777777" w:rsidR="00A31DB8" w:rsidRPr="006C4FCA" w:rsidRDefault="00A31DB8">
            <w:pPr>
              <w:spacing w:line="240" w:lineRule="auto"/>
              <w:rPr>
                <w:rFonts w:ascii="Arial" w:eastAsia="Times New Roman" w:hAnsi="Arial" w:cs="Arial"/>
                <w:color w:val="000000"/>
                <w:sz w:val="20"/>
                <w:szCs w:val="20"/>
                <w:lang w:eastAsia="fr-FR"/>
              </w:rPr>
            </w:pPr>
          </w:p>
        </w:tc>
        <w:tc>
          <w:tcPr>
            <w:tcW w:w="3267" w:type="dxa"/>
            <w:tcBorders>
              <w:top w:val="nil"/>
              <w:bottom w:val="nil"/>
            </w:tcBorders>
            <w:noWrap/>
            <w:vAlign w:val="center"/>
            <w:hideMark/>
          </w:tcPr>
          <w:p w14:paraId="249F1680"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Calcium</w:t>
            </w:r>
          </w:p>
        </w:tc>
        <w:tc>
          <w:tcPr>
            <w:tcW w:w="1984" w:type="dxa"/>
            <w:tcBorders>
              <w:top w:val="nil"/>
              <w:bottom w:val="nil"/>
            </w:tcBorders>
            <w:noWrap/>
            <w:vAlign w:val="center"/>
            <w:hideMark/>
          </w:tcPr>
          <w:p w14:paraId="062EE6B9"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3</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175</w:t>
            </w:r>
          </w:p>
        </w:tc>
      </w:tr>
      <w:tr w:rsidR="00A31DB8" w:rsidRPr="00636E71" w14:paraId="2D1C6D08" w14:textId="77777777" w:rsidTr="006C4FCA">
        <w:trPr>
          <w:trHeight w:val="227"/>
          <w:jc w:val="center"/>
        </w:trPr>
        <w:tc>
          <w:tcPr>
            <w:tcW w:w="2829" w:type="dxa"/>
            <w:vMerge/>
            <w:vAlign w:val="center"/>
            <w:hideMark/>
          </w:tcPr>
          <w:p w14:paraId="0E453453" w14:textId="77777777" w:rsidR="00A31DB8" w:rsidRPr="006C4FCA" w:rsidRDefault="00A31DB8">
            <w:pPr>
              <w:spacing w:line="240" w:lineRule="auto"/>
              <w:rPr>
                <w:rFonts w:ascii="Arial" w:eastAsia="Times New Roman" w:hAnsi="Arial" w:cs="Arial"/>
                <w:color w:val="000000"/>
                <w:sz w:val="20"/>
                <w:szCs w:val="20"/>
                <w:lang w:eastAsia="fr-FR"/>
              </w:rPr>
            </w:pPr>
          </w:p>
        </w:tc>
        <w:tc>
          <w:tcPr>
            <w:tcW w:w="3267" w:type="dxa"/>
            <w:tcBorders>
              <w:top w:val="nil"/>
              <w:bottom w:val="single" w:sz="4" w:space="0" w:color="auto"/>
            </w:tcBorders>
            <w:noWrap/>
            <w:vAlign w:val="center"/>
            <w:hideMark/>
          </w:tcPr>
          <w:p w14:paraId="0FF51DBC" w14:textId="77777777" w:rsidR="00A31DB8" w:rsidRPr="006C4FCA" w:rsidRDefault="00A31DB8">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Sodium</w:t>
            </w:r>
          </w:p>
        </w:tc>
        <w:tc>
          <w:tcPr>
            <w:tcW w:w="1984" w:type="dxa"/>
            <w:tcBorders>
              <w:top w:val="nil"/>
              <w:bottom w:val="single" w:sz="4" w:space="0" w:color="auto"/>
            </w:tcBorders>
            <w:noWrap/>
            <w:vAlign w:val="center"/>
            <w:hideMark/>
          </w:tcPr>
          <w:p w14:paraId="49827702"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0</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275</w:t>
            </w:r>
          </w:p>
        </w:tc>
      </w:tr>
      <w:tr w:rsidR="00A31DB8" w:rsidRPr="00636E71" w14:paraId="68820488" w14:textId="77777777" w:rsidTr="006C4FCA">
        <w:trPr>
          <w:trHeight w:val="227"/>
          <w:jc w:val="center"/>
        </w:trPr>
        <w:tc>
          <w:tcPr>
            <w:tcW w:w="2829" w:type="dxa"/>
            <w:vMerge w:val="restart"/>
            <w:noWrap/>
            <w:vAlign w:val="center"/>
            <w:hideMark/>
          </w:tcPr>
          <w:p w14:paraId="368F9590"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 xml:space="preserve">Absorbent complex </w:t>
            </w:r>
            <w:r w:rsidR="00A31DB8" w:rsidRPr="006C4FCA">
              <w:rPr>
                <w:rFonts w:ascii="Arial" w:eastAsia="Times New Roman" w:hAnsi="Arial" w:cs="Arial"/>
                <w:color w:val="000000"/>
                <w:sz w:val="20"/>
                <w:szCs w:val="20"/>
                <w:lang w:eastAsia="fr-FR"/>
              </w:rPr>
              <w:t>(cmol/Kg)</w:t>
            </w:r>
          </w:p>
        </w:tc>
        <w:tc>
          <w:tcPr>
            <w:tcW w:w="3267" w:type="dxa"/>
            <w:tcBorders>
              <w:bottom w:val="nil"/>
            </w:tcBorders>
            <w:noWrap/>
            <w:vAlign w:val="center"/>
            <w:hideMark/>
          </w:tcPr>
          <w:p w14:paraId="3D697DFE"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Sum of exchangeable bases</w:t>
            </w:r>
            <w:r w:rsidR="00A31DB8" w:rsidRPr="006C4FCA">
              <w:rPr>
                <w:rFonts w:ascii="Arial" w:eastAsia="Times New Roman" w:hAnsi="Arial" w:cs="Arial"/>
                <w:color w:val="000000"/>
                <w:sz w:val="20"/>
                <w:szCs w:val="20"/>
                <w:lang w:eastAsia="fr-FR"/>
              </w:rPr>
              <w:t xml:space="preserve"> </w:t>
            </w:r>
          </w:p>
        </w:tc>
        <w:tc>
          <w:tcPr>
            <w:tcW w:w="1984" w:type="dxa"/>
            <w:tcBorders>
              <w:bottom w:val="nil"/>
            </w:tcBorders>
            <w:noWrap/>
            <w:vAlign w:val="center"/>
            <w:hideMark/>
          </w:tcPr>
          <w:p w14:paraId="13135A75"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5</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495</w:t>
            </w:r>
          </w:p>
        </w:tc>
      </w:tr>
      <w:tr w:rsidR="00A31DB8" w:rsidRPr="00636E71" w14:paraId="4924CFC2" w14:textId="77777777" w:rsidTr="006C4FCA">
        <w:trPr>
          <w:trHeight w:val="227"/>
          <w:jc w:val="center"/>
        </w:trPr>
        <w:tc>
          <w:tcPr>
            <w:tcW w:w="2829" w:type="dxa"/>
            <w:vMerge/>
            <w:vAlign w:val="center"/>
            <w:hideMark/>
          </w:tcPr>
          <w:p w14:paraId="5EF4C0ED" w14:textId="77777777" w:rsidR="00A31DB8" w:rsidRPr="006C4FCA" w:rsidRDefault="00A31DB8">
            <w:pPr>
              <w:spacing w:line="240" w:lineRule="auto"/>
              <w:rPr>
                <w:rFonts w:ascii="Arial" w:eastAsia="Times New Roman" w:hAnsi="Arial" w:cs="Arial"/>
                <w:color w:val="000000"/>
                <w:sz w:val="20"/>
                <w:szCs w:val="20"/>
                <w:lang w:eastAsia="fr-FR"/>
              </w:rPr>
            </w:pPr>
          </w:p>
        </w:tc>
        <w:tc>
          <w:tcPr>
            <w:tcW w:w="3267" w:type="dxa"/>
            <w:tcBorders>
              <w:top w:val="nil"/>
              <w:bottom w:val="nil"/>
            </w:tcBorders>
            <w:noWrap/>
            <w:vAlign w:val="center"/>
            <w:hideMark/>
          </w:tcPr>
          <w:p w14:paraId="6E9A3709"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Cation exchange capacity</w:t>
            </w:r>
          </w:p>
        </w:tc>
        <w:tc>
          <w:tcPr>
            <w:tcW w:w="1984" w:type="dxa"/>
            <w:tcBorders>
              <w:top w:val="nil"/>
              <w:bottom w:val="nil"/>
            </w:tcBorders>
            <w:noWrap/>
            <w:vAlign w:val="center"/>
            <w:hideMark/>
          </w:tcPr>
          <w:p w14:paraId="2D3E4689"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16</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3</w:t>
            </w:r>
          </w:p>
        </w:tc>
      </w:tr>
      <w:tr w:rsidR="00A31DB8" w:rsidRPr="00636E71" w14:paraId="15AB3FCC" w14:textId="77777777" w:rsidTr="006C4FCA">
        <w:trPr>
          <w:trHeight w:val="227"/>
          <w:jc w:val="center"/>
        </w:trPr>
        <w:tc>
          <w:tcPr>
            <w:tcW w:w="2829" w:type="dxa"/>
            <w:vMerge/>
            <w:vAlign w:val="center"/>
            <w:hideMark/>
          </w:tcPr>
          <w:p w14:paraId="24432516" w14:textId="77777777" w:rsidR="00A31DB8" w:rsidRPr="006C4FCA" w:rsidRDefault="00A31DB8">
            <w:pPr>
              <w:spacing w:line="240" w:lineRule="auto"/>
              <w:rPr>
                <w:rFonts w:ascii="Arial" w:eastAsia="Times New Roman" w:hAnsi="Arial" w:cs="Arial"/>
                <w:color w:val="000000"/>
                <w:sz w:val="20"/>
                <w:szCs w:val="20"/>
                <w:lang w:eastAsia="fr-FR"/>
              </w:rPr>
            </w:pPr>
          </w:p>
        </w:tc>
        <w:tc>
          <w:tcPr>
            <w:tcW w:w="3267" w:type="dxa"/>
            <w:tcBorders>
              <w:top w:val="nil"/>
            </w:tcBorders>
            <w:noWrap/>
            <w:vAlign w:val="center"/>
            <w:hideMark/>
          </w:tcPr>
          <w:p w14:paraId="3EF28E24" w14:textId="77777777" w:rsidR="00A31DB8" w:rsidRPr="006C4FCA" w:rsidRDefault="0005358C">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Saturation rate</w:t>
            </w:r>
          </w:p>
        </w:tc>
        <w:tc>
          <w:tcPr>
            <w:tcW w:w="1984" w:type="dxa"/>
            <w:tcBorders>
              <w:top w:val="nil"/>
            </w:tcBorders>
            <w:noWrap/>
            <w:vAlign w:val="center"/>
            <w:hideMark/>
          </w:tcPr>
          <w:p w14:paraId="7A43CA0D"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33</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93</w:t>
            </w:r>
          </w:p>
        </w:tc>
      </w:tr>
    </w:tbl>
    <w:p w14:paraId="65BB3E50" w14:textId="77777777" w:rsidR="00A31DB8" w:rsidRPr="006C4FCA" w:rsidRDefault="00A31DB8">
      <w:pPr>
        <w:spacing w:line="240" w:lineRule="auto"/>
        <w:rPr>
          <w:rFonts w:ascii="Arial" w:hAnsi="Arial" w:cs="Arial"/>
          <w:sz w:val="20"/>
          <w:szCs w:val="24"/>
        </w:rPr>
      </w:pPr>
    </w:p>
    <w:p w14:paraId="5B526EA8" w14:textId="77777777" w:rsidR="007A2C15" w:rsidRPr="006C4FCA" w:rsidRDefault="000B0DB1" w:rsidP="006C4FCA">
      <w:pPr>
        <w:spacing w:line="240" w:lineRule="auto"/>
        <w:ind w:left="-6"/>
        <w:jc w:val="both"/>
        <w:rPr>
          <w:rFonts w:ascii="Arial" w:eastAsia="Times New Roman" w:hAnsi="Arial" w:cs="Arial"/>
          <w:b/>
          <w:sz w:val="22"/>
        </w:rPr>
      </w:pPr>
      <w:r w:rsidRPr="006C4FCA">
        <w:rPr>
          <w:rFonts w:ascii="Arial" w:hAnsi="Arial" w:cs="Arial"/>
          <w:b/>
          <w:sz w:val="22"/>
        </w:rPr>
        <w:t xml:space="preserve">3.1.2. </w:t>
      </w:r>
      <w:r w:rsidR="0007076A" w:rsidRPr="006C4FCA">
        <w:rPr>
          <w:rFonts w:ascii="Arial" w:eastAsia="Times New Roman" w:hAnsi="Arial" w:cs="Arial"/>
          <w:b/>
          <w:sz w:val="22"/>
        </w:rPr>
        <w:t>Effect of treatments on crown diameter</w:t>
      </w:r>
    </w:p>
    <w:p w14:paraId="046C1CF2" w14:textId="77777777" w:rsidR="00636E71" w:rsidRPr="006C4FCA" w:rsidRDefault="00636E71" w:rsidP="006C4FCA">
      <w:pPr>
        <w:spacing w:line="240" w:lineRule="auto"/>
        <w:ind w:left="-6"/>
        <w:jc w:val="both"/>
        <w:rPr>
          <w:rFonts w:ascii="Arial" w:eastAsia="Times New Roman" w:hAnsi="Arial" w:cs="Arial"/>
          <w:b/>
          <w:sz w:val="20"/>
        </w:rPr>
      </w:pPr>
    </w:p>
    <w:p w14:paraId="429F1155" w14:textId="77777777" w:rsidR="0007076A" w:rsidRPr="006C4FCA" w:rsidRDefault="0007076A" w:rsidP="006C4FCA">
      <w:pPr>
        <w:spacing w:line="240" w:lineRule="auto"/>
        <w:ind w:left="-6"/>
        <w:jc w:val="both"/>
        <w:rPr>
          <w:rFonts w:ascii="Arial" w:hAnsi="Arial" w:cs="Arial"/>
          <w:sz w:val="20"/>
        </w:rPr>
      </w:pPr>
      <w:r w:rsidRPr="006C4FCA">
        <w:rPr>
          <w:rFonts w:ascii="Arial" w:hAnsi="Arial" w:cs="Arial"/>
          <w:sz w:val="20"/>
        </w:rPr>
        <w:t xml:space="preserve">Analysis of the crown diameter of potato plants revealed a significant influence of treatments (P = 0.001) over the entire crop cycle. From the first week after sowing, significant differences appeared between modalities. In all experimental conditions, a progressive increase in diameter was observed. By the seventh week, the NPK treatment produced the highest diameter (0.70 cm), followed by </w:t>
      </w:r>
      <w:r w:rsidRPr="006C4FCA">
        <w:rPr>
          <w:rFonts w:ascii="Arial" w:eastAsia="Times New Roman" w:hAnsi="Arial" w:cs="Arial"/>
          <w:i/>
          <w:sz w:val="20"/>
        </w:rPr>
        <w:t xml:space="preserve">A. filiculoides </w:t>
      </w:r>
      <w:r w:rsidRPr="006C4FCA">
        <w:rPr>
          <w:rFonts w:ascii="Arial" w:hAnsi="Arial" w:cs="Arial"/>
          <w:sz w:val="20"/>
        </w:rPr>
        <w:t xml:space="preserve">(0.64 cm) and </w:t>
      </w:r>
      <w:r w:rsidRPr="006C4FCA">
        <w:rPr>
          <w:rFonts w:ascii="Arial" w:eastAsia="Times New Roman" w:hAnsi="Arial" w:cs="Arial"/>
          <w:i/>
          <w:sz w:val="20"/>
        </w:rPr>
        <w:t xml:space="preserve">C. odorata </w:t>
      </w:r>
      <w:r w:rsidRPr="006C4FCA">
        <w:rPr>
          <w:rFonts w:ascii="Arial" w:hAnsi="Arial" w:cs="Arial"/>
          <w:sz w:val="20"/>
        </w:rPr>
        <w:t>(0.62 cm), while the control had the lowest value (0.52 cm)</w:t>
      </w:r>
      <w:r w:rsidRPr="006C4FCA">
        <w:rPr>
          <w:rFonts w:ascii="Arial" w:hAnsi="Arial" w:cs="Arial"/>
          <w:color w:val="FF0000"/>
          <w:sz w:val="20"/>
        </w:rPr>
        <w:t xml:space="preserve">. </w:t>
      </w:r>
    </w:p>
    <w:p w14:paraId="6B68C42A" w14:textId="77777777" w:rsidR="0007076A" w:rsidRDefault="00A31DB8" w:rsidP="00A31DB8">
      <w:pPr>
        <w:spacing w:line="240" w:lineRule="auto"/>
        <w:jc w:val="center"/>
        <w:rPr>
          <w:rFonts w:cs="Times New Roman"/>
          <w:szCs w:val="24"/>
        </w:rPr>
      </w:pPr>
      <w:r w:rsidRPr="00A02D41">
        <w:rPr>
          <w:noProof/>
          <w:szCs w:val="24"/>
          <w:lang w:eastAsia="fr-FR"/>
        </w:rPr>
        <w:lastRenderedPageBreak/>
        <w:drawing>
          <wp:inline distT="0" distB="0" distL="0" distR="0" wp14:anchorId="6177CC55" wp14:editId="4BE6C081">
            <wp:extent cx="5431790" cy="3831771"/>
            <wp:effectExtent l="0" t="0" r="16510" b="16510"/>
            <wp:docPr id="11" name="Graphique 1">
              <a:extLst xmlns:a="http://schemas.openxmlformats.org/drawingml/2006/main">
                <a:ext uri="{FF2B5EF4-FFF2-40B4-BE49-F238E27FC236}">
                  <a16:creationId xmlns:a16="http://schemas.microsoft.com/office/drawing/2014/main" id="{31E5F94E-F4A4-1750-011E-802246D464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3A7ABE" w14:textId="77777777" w:rsidR="00636E71" w:rsidRPr="006C4FCA" w:rsidRDefault="00636E71" w:rsidP="006C4FCA">
      <w:pPr>
        <w:spacing w:line="240" w:lineRule="auto"/>
        <w:jc w:val="center"/>
        <w:rPr>
          <w:rFonts w:ascii="Arial" w:eastAsia="Times New Roman" w:hAnsi="Arial" w:cs="Arial"/>
          <w:b/>
          <w:sz w:val="20"/>
          <w:szCs w:val="24"/>
          <w:lang w:eastAsia="fr-FR"/>
        </w:rPr>
      </w:pPr>
    </w:p>
    <w:p w14:paraId="37838BB0" w14:textId="77777777" w:rsidR="007E1824" w:rsidRDefault="007E1824" w:rsidP="006C4FCA">
      <w:pPr>
        <w:spacing w:line="240" w:lineRule="auto"/>
        <w:jc w:val="center"/>
        <w:rPr>
          <w:rFonts w:ascii="Arial" w:eastAsia="Times New Roman" w:hAnsi="Arial" w:cs="Arial"/>
          <w:b/>
          <w:sz w:val="20"/>
          <w:szCs w:val="20"/>
          <w:lang w:eastAsia="fr-FR"/>
        </w:rPr>
      </w:pPr>
      <w:r w:rsidRPr="006C4FCA">
        <w:rPr>
          <w:rFonts w:ascii="Arial" w:eastAsia="Times New Roman" w:hAnsi="Arial" w:cs="Arial"/>
          <w:b/>
          <w:sz w:val="20"/>
          <w:szCs w:val="20"/>
          <w:lang w:eastAsia="fr-FR"/>
        </w:rPr>
        <w:t>Fig</w:t>
      </w:r>
      <w:r w:rsidR="00636E71">
        <w:rPr>
          <w:rFonts w:ascii="Arial" w:eastAsia="Times New Roman" w:hAnsi="Arial" w:cs="Arial"/>
          <w:b/>
          <w:sz w:val="20"/>
          <w:szCs w:val="20"/>
          <w:lang w:eastAsia="fr-FR"/>
        </w:rPr>
        <w:t>.</w:t>
      </w:r>
      <w:r w:rsidRPr="006C4FCA">
        <w:rPr>
          <w:rFonts w:ascii="Arial" w:eastAsia="Times New Roman" w:hAnsi="Arial" w:cs="Arial"/>
          <w:b/>
          <w:sz w:val="20"/>
          <w:szCs w:val="20"/>
          <w:lang w:eastAsia="fr-FR"/>
        </w:rPr>
        <w:t xml:space="preserve"> 5</w:t>
      </w:r>
      <w:r w:rsidR="00636E71">
        <w:rPr>
          <w:rFonts w:ascii="Arial" w:eastAsia="Times New Roman" w:hAnsi="Arial" w:cs="Arial"/>
          <w:b/>
          <w:sz w:val="20"/>
          <w:szCs w:val="20"/>
          <w:lang w:eastAsia="fr-FR"/>
        </w:rPr>
        <w:t>.</w:t>
      </w:r>
      <w:r w:rsidRPr="006C4FCA">
        <w:rPr>
          <w:rFonts w:ascii="Arial" w:eastAsia="Times New Roman" w:hAnsi="Arial" w:cs="Arial"/>
          <w:b/>
          <w:sz w:val="20"/>
          <w:szCs w:val="20"/>
          <w:lang w:eastAsia="fr-FR"/>
        </w:rPr>
        <w:t xml:space="preserve"> Changes in crown diameter as a function of time and treatments.</w:t>
      </w:r>
    </w:p>
    <w:p w14:paraId="4C92AF69" w14:textId="77777777" w:rsidR="00636E71" w:rsidRPr="006C4FCA" w:rsidRDefault="00636E71" w:rsidP="006C4FCA">
      <w:pPr>
        <w:spacing w:line="240" w:lineRule="auto"/>
        <w:jc w:val="center"/>
        <w:rPr>
          <w:rFonts w:ascii="Arial" w:eastAsia="Times New Roman" w:hAnsi="Arial" w:cs="Arial"/>
          <w:b/>
          <w:sz w:val="20"/>
          <w:szCs w:val="20"/>
          <w:lang w:eastAsia="fr-FR"/>
        </w:rPr>
      </w:pPr>
    </w:p>
    <w:p w14:paraId="32602C22" w14:textId="77777777" w:rsidR="00A31DB8" w:rsidRPr="006C4FCA" w:rsidRDefault="007E1824" w:rsidP="006C4FCA">
      <w:pPr>
        <w:spacing w:line="240" w:lineRule="auto"/>
        <w:ind w:left="-6" w:right="-6"/>
        <w:jc w:val="both"/>
        <w:rPr>
          <w:rFonts w:ascii="Arial" w:hAnsi="Arial" w:cs="Arial"/>
          <w:sz w:val="18"/>
          <w:szCs w:val="18"/>
        </w:rPr>
      </w:pPr>
      <w:r w:rsidRPr="006C4FCA">
        <w:rPr>
          <w:rFonts w:ascii="Arial" w:eastAsia="Times New Roman" w:hAnsi="Arial" w:cs="Arial"/>
          <w:i/>
          <w:sz w:val="18"/>
          <w:szCs w:val="18"/>
        </w:rPr>
        <w:t xml:space="preserve">S : Week ; </w:t>
      </w:r>
      <w:proofErr w:type="gramStart"/>
      <w:r w:rsidRPr="006C4FCA">
        <w:rPr>
          <w:rFonts w:ascii="Arial" w:eastAsia="Times New Roman" w:hAnsi="Arial" w:cs="Arial"/>
          <w:i/>
          <w:sz w:val="18"/>
          <w:szCs w:val="18"/>
        </w:rPr>
        <w:t>D</w:t>
      </w:r>
      <w:r w:rsidR="00A31DB8" w:rsidRPr="006C4FCA">
        <w:rPr>
          <w:rFonts w:ascii="Arial" w:eastAsia="Times New Roman" w:hAnsi="Arial" w:cs="Arial"/>
          <w:i/>
          <w:sz w:val="18"/>
          <w:szCs w:val="18"/>
        </w:rPr>
        <w:t>AS:</w:t>
      </w:r>
      <w:proofErr w:type="gramEnd"/>
      <w:r w:rsidR="00A31DB8" w:rsidRPr="006C4FCA">
        <w:rPr>
          <w:rFonts w:ascii="Arial" w:eastAsia="Times New Roman" w:hAnsi="Arial" w:cs="Arial"/>
          <w:i/>
          <w:sz w:val="18"/>
          <w:szCs w:val="18"/>
        </w:rPr>
        <w:t xml:space="preserve"> Day After Sowing; NPK (15 15 15): Nitrogen-Phosphorus-Potassium; T0 = control; AF : Azolla filiculoïdes and Co: Chromolaena odorata.</w:t>
      </w:r>
    </w:p>
    <w:p w14:paraId="2E89D7CA" w14:textId="77777777" w:rsidR="00A31DB8" w:rsidRPr="006C4FCA" w:rsidRDefault="00A31DB8" w:rsidP="007A2C15">
      <w:pPr>
        <w:jc w:val="both"/>
        <w:rPr>
          <w:rFonts w:ascii="Arial" w:hAnsi="Arial" w:cs="Arial"/>
          <w:sz w:val="20"/>
          <w:szCs w:val="24"/>
        </w:rPr>
      </w:pPr>
    </w:p>
    <w:p w14:paraId="79282623" w14:textId="77777777" w:rsidR="007A2C15" w:rsidRDefault="000B0DB1" w:rsidP="006C4FCA">
      <w:pPr>
        <w:spacing w:line="240" w:lineRule="auto"/>
        <w:ind w:left="-6"/>
        <w:rPr>
          <w:rFonts w:ascii="Arial" w:hAnsi="Arial" w:cs="Arial"/>
          <w:b/>
          <w:sz w:val="20"/>
          <w:szCs w:val="20"/>
        </w:rPr>
      </w:pPr>
      <w:r w:rsidRPr="006C4FCA">
        <w:rPr>
          <w:rFonts w:ascii="Arial" w:hAnsi="Arial" w:cs="Arial"/>
          <w:b/>
          <w:sz w:val="20"/>
          <w:szCs w:val="20"/>
        </w:rPr>
        <w:t xml:space="preserve">3.1.3. </w:t>
      </w:r>
      <w:r w:rsidR="0007076A" w:rsidRPr="006C4FCA">
        <w:rPr>
          <w:rFonts w:ascii="Arial" w:hAnsi="Arial" w:cs="Arial"/>
          <w:b/>
          <w:sz w:val="20"/>
          <w:szCs w:val="20"/>
        </w:rPr>
        <w:t xml:space="preserve">Effect of </w:t>
      </w:r>
      <w:r w:rsidR="0007076A" w:rsidRPr="006C4FCA">
        <w:rPr>
          <w:rFonts w:ascii="Arial" w:hAnsi="Arial" w:cs="Arial"/>
          <w:b/>
          <w:sz w:val="20"/>
          <w:szCs w:val="20"/>
        </w:rPr>
        <w:tab/>
        <w:t>treatments on</w:t>
      </w:r>
      <w:r w:rsidR="0007076A" w:rsidRPr="006C4FCA">
        <w:rPr>
          <w:rFonts w:ascii="Arial" w:hAnsi="Arial" w:cs="Arial"/>
          <w:b/>
          <w:sz w:val="20"/>
          <w:szCs w:val="20"/>
        </w:rPr>
        <w:tab/>
        <w:t>leaf development and number of stems</w:t>
      </w:r>
    </w:p>
    <w:p w14:paraId="144C110B" w14:textId="77777777" w:rsidR="00636E71" w:rsidRPr="006C4FCA" w:rsidRDefault="00636E71" w:rsidP="006C4FCA">
      <w:pPr>
        <w:spacing w:line="240" w:lineRule="auto"/>
        <w:ind w:left="-6"/>
        <w:rPr>
          <w:rFonts w:ascii="Arial" w:eastAsia="Times New Roman" w:hAnsi="Arial" w:cs="Arial"/>
          <w:b/>
          <w:sz w:val="20"/>
          <w:szCs w:val="20"/>
        </w:rPr>
      </w:pPr>
    </w:p>
    <w:p w14:paraId="45367E14" w14:textId="77777777" w:rsidR="007A2C15" w:rsidRPr="006C4FCA" w:rsidRDefault="0007076A" w:rsidP="006C4FCA">
      <w:pPr>
        <w:spacing w:line="240" w:lineRule="auto"/>
        <w:ind w:left="-6"/>
        <w:jc w:val="both"/>
        <w:rPr>
          <w:rFonts w:ascii="Arial" w:hAnsi="Arial" w:cs="Arial"/>
          <w:sz w:val="20"/>
          <w:szCs w:val="20"/>
        </w:rPr>
      </w:pPr>
      <w:r w:rsidRPr="006C4FCA">
        <w:rPr>
          <w:rFonts w:ascii="Arial" w:hAnsi="Arial" w:cs="Arial"/>
          <w:sz w:val="20"/>
          <w:szCs w:val="20"/>
        </w:rPr>
        <w:t xml:space="preserve">Treatments had a significant influence on the average number of leaves (p = 0.02). NPK generated the highest value (13.86), followed by </w:t>
      </w:r>
      <w:r w:rsidRPr="006C4FCA">
        <w:rPr>
          <w:rFonts w:ascii="Arial" w:eastAsia="Times New Roman" w:hAnsi="Arial" w:cs="Arial"/>
          <w:i/>
          <w:sz w:val="20"/>
          <w:szCs w:val="20"/>
        </w:rPr>
        <w:t xml:space="preserve">A. filiculoides </w:t>
      </w:r>
      <w:r w:rsidRPr="006C4FCA">
        <w:rPr>
          <w:rFonts w:ascii="Arial" w:hAnsi="Arial" w:cs="Arial"/>
          <w:sz w:val="20"/>
          <w:szCs w:val="20"/>
        </w:rPr>
        <w:t xml:space="preserve">(13.14), while </w:t>
      </w:r>
      <w:r w:rsidRPr="006C4FCA">
        <w:rPr>
          <w:rFonts w:ascii="Arial" w:eastAsia="Times New Roman" w:hAnsi="Arial" w:cs="Arial"/>
          <w:i/>
          <w:sz w:val="20"/>
          <w:szCs w:val="20"/>
        </w:rPr>
        <w:t xml:space="preserve">C. odorata </w:t>
      </w:r>
      <w:r w:rsidRPr="006C4FCA">
        <w:rPr>
          <w:rFonts w:ascii="Arial" w:hAnsi="Arial" w:cs="Arial"/>
          <w:sz w:val="20"/>
          <w:szCs w:val="20"/>
        </w:rPr>
        <w:t xml:space="preserve">and the control (T0) presented lower and statistically similar values (11.78 and 11.48). On the other hand, no significant difference was observed for the number of stems (p &gt; 0.05). However, NPK produced the highest mean (2.70), followed by </w:t>
      </w:r>
      <w:r w:rsidRPr="006C4FCA">
        <w:rPr>
          <w:rFonts w:ascii="Arial" w:eastAsia="Times New Roman" w:hAnsi="Arial" w:cs="Arial"/>
          <w:i/>
          <w:sz w:val="20"/>
          <w:szCs w:val="20"/>
        </w:rPr>
        <w:t xml:space="preserve">A. filiculoides </w:t>
      </w:r>
      <w:r w:rsidRPr="006C4FCA">
        <w:rPr>
          <w:rFonts w:ascii="Arial" w:hAnsi="Arial" w:cs="Arial"/>
          <w:sz w:val="20"/>
          <w:szCs w:val="20"/>
        </w:rPr>
        <w:t xml:space="preserve">(2.41), while </w:t>
      </w:r>
      <w:r w:rsidRPr="006C4FCA">
        <w:rPr>
          <w:rFonts w:ascii="Arial" w:eastAsia="Times New Roman" w:hAnsi="Arial" w:cs="Arial"/>
          <w:i/>
          <w:sz w:val="20"/>
          <w:szCs w:val="20"/>
        </w:rPr>
        <w:t xml:space="preserve">C. odorata </w:t>
      </w:r>
      <w:r w:rsidRPr="006C4FCA">
        <w:rPr>
          <w:rFonts w:ascii="Arial" w:hAnsi="Arial" w:cs="Arial"/>
          <w:sz w:val="20"/>
          <w:szCs w:val="20"/>
        </w:rPr>
        <w:t>and T0 showed comparable values (2.24) (Table 2).</w:t>
      </w:r>
    </w:p>
    <w:p w14:paraId="568FB01D" w14:textId="77777777" w:rsidR="00722EC5" w:rsidRPr="006C4FCA" w:rsidRDefault="0007076A" w:rsidP="006C4FCA">
      <w:pPr>
        <w:spacing w:line="240" w:lineRule="auto"/>
        <w:ind w:left="-6"/>
        <w:jc w:val="both"/>
        <w:rPr>
          <w:rFonts w:ascii="Arial" w:hAnsi="Arial" w:cs="Arial"/>
          <w:sz w:val="20"/>
          <w:szCs w:val="20"/>
        </w:rPr>
      </w:pPr>
      <w:r w:rsidRPr="006C4FCA">
        <w:rPr>
          <w:rFonts w:ascii="Arial" w:hAnsi="Arial" w:cs="Arial"/>
          <w:sz w:val="20"/>
          <w:szCs w:val="20"/>
        </w:rPr>
        <w:t xml:space="preserve"> </w:t>
      </w:r>
    </w:p>
    <w:p w14:paraId="6164231F" w14:textId="77777777" w:rsidR="0007076A" w:rsidRPr="006C4FCA" w:rsidRDefault="0007076A" w:rsidP="006C4FCA">
      <w:pPr>
        <w:spacing w:line="240" w:lineRule="auto"/>
        <w:ind w:left="-6"/>
        <w:jc w:val="center"/>
        <w:rPr>
          <w:rFonts w:ascii="Arial" w:hAnsi="Arial" w:cs="Arial"/>
          <w:b/>
          <w:sz w:val="20"/>
          <w:szCs w:val="20"/>
        </w:rPr>
      </w:pPr>
      <w:r w:rsidRPr="006C4FCA">
        <w:rPr>
          <w:rFonts w:ascii="Arial" w:hAnsi="Arial" w:cs="Arial"/>
          <w:b/>
          <w:sz w:val="20"/>
          <w:szCs w:val="20"/>
        </w:rPr>
        <w:t xml:space="preserve">Table </w:t>
      </w:r>
      <w:r w:rsidR="007A2C15" w:rsidRPr="006C4FCA">
        <w:rPr>
          <w:rFonts w:ascii="Arial" w:hAnsi="Arial" w:cs="Arial"/>
          <w:b/>
          <w:sz w:val="20"/>
          <w:szCs w:val="20"/>
        </w:rPr>
        <w:t>2</w:t>
      </w:r>
      <w:r w:rsidR="00636E71">
        <w:rPr>
          <w:rFonts w:ascii="Arial" w:hAnsi="Arial" w:cs="Arial"/>
          <w:b/>
          <w:sz w:val="20"/>
          <w:szCs w:val="20"/>
        </w:rPr>
        <w:t xml:space="preserve">. </w:t>
      </w:r>
      <w:r w:rsidRPr="006C4FCA">
        <w:rPr>
          <w:rFonts w:ascii="Arial" w:hAnsi="Arial" w:cs="Arial"/>
          <w:b/>
          <w:sz w:val="20"/>
          <w:szCs w:val="20"/>
        </w:rPr>
        <w:t>Effect of different treatments on variation in average number of leaves and stems</w:t>
      </w:r>
    </w:p>
    <w:p w14:paraId="59A44D41" w14:textId="77777777" w:rsidR="0007076A" w:rsidRDefault="0007076A" w:rsidP="00F8164F">
      <w:pPr>
        <w:spacing w:line="240" w:lineRule="auto"/>
        <w:rPr>
          <w:rFonts w:cs="Times New Roman"/>
          <w:szCs w:val="24"/>
        </w:rPr>
      </w:pPr>
    </w:p>
    <w:tbl>
      <w:tblPr>
        <w:tblStyle w:val="TableGrid"/>
        <w:tblW w:w="6537" w:type="dxa"/>
        <w:tblInd w:w="1262" w:type="dxa"/>
        <w:tblCellMar>
          <w:top w:w="22" w:type="dxa"/>
          <w:left w:w="84" w:type="dxa"/>
          <w:right w:w="77" w:type="dxa"/>
        </w:tblCellMar>
        <w:tblLook w:val="04A0" w:firstRow="1" w:lastRow="0" w:firstColumn="1" w:lastColumn="0" w:noHBand="0" w:noVBand="1"/>
      </w:tblPr>
      <w:tblGrid>
        <w:gridCol w:w="1302"/>
        <w:gridCol w:w="3250"/>
        <w:gridCol w:w="1985"/>
      </w:tblGrid>
      <w:tr w:rsidR="00A31DB8" w:rsidRPr="00636E71" w14:paraId="218CE505" w14:textId="77777777" w:rsidTr="006C4FCA">
        <w:trPr>
          <w:trHeight w:val="227"/>
        </w:trPr>
        <w:tc>
          <w:tcPr>
            <w:tcW w:w="1302" w:type="dxa"/>
            <w:tcBorders>
              <w:top w:val="single" w:sz="4" w:space="0" w:color="000000"/>
              <w:left w:val="nil"/>
              <w:bottom w:val="single" w:sz="4" w:space="0" w:color="000000"/>
            </w:tcBorders>
          </w:tcPr>
          <w:p w14:paraId="0F348D29" w14:textId="77777777" w:rsidR="00A31DB8" w:rsidRPr="006C4FCA" w:rsidRDefault="00A31DB8" w:rsidP="004B5135">
            <w:pPr>
              <w:spacing w:line="259" w:lineRule="auto"/>
              <w:rPr>
                <w:rFonts w:ascii="Arial" w:hAnsi="Arial" w:cs="Arial"/>
                <w:b/>
                <w:sz w:val="20"/>
                <w:szCs w:val="20"/>
              </w:rPr>
            </w:pPr>
            <w:r w:rsidRPr="006C4FCA">
              <w:rPr>
                <w:rFonts w:ascii="Arial" w:hAnsi="Arial" w:cs="Arial"/>
                <w:b/>
                <w:sz w:val="20"/>
                <w:szCs w:val="20"/>
              </w:rPr>
              <w:t xml:space="preserve">Treatments </w:t>
            </w:r>
          </w:p>
        </w:tc>
        <w:tc>
          <w:tcPr>
            <w:tcW w:w="3250" w:type="dxa"/>
            <w:tcBorders>
              <w:top w:val="single" w:sz="4" w:space="0" w:color="000000"/>
              <w:bottom w:val="single" w:sz="4" w:space="0" w:color="000000"/>
            </w:tcBorders>
          </w:tcPr>
          <w:p w14:paraId="6E180980" w14:textId="77777777" w:rsidR="00A31DB8" w:rsidRPr="006C4FCA" w:rsidRDefault="00A31DB8" w:rsidP="004B5135">
            <w:pPr>
              <w:spacing w:line="259" w:lineRule="auto"/>
              <w:ind w:right="13"/>
              <w:jc w:val="center"/>
              <w:rPr>
                <w:rFonts w:ascii="Arial" w:hAnsi="Arial" w:cs="Arial"/>
                <w:b/>
                <w:sz w:val="20"/>
                <w:szCs w:val="20"/>
              </w:rPr>
            </w:pPr>
            <w:r w:rsidRPr="006C4FCA">
              <w:rPr>
                <w:rFonts w:ascii="Arial" w:hAnsi="Arial" w:cs="Arial"/>
                <w:b/>
                <w:sz w:val="20"/>
                <w:szCs w:val="20"/>
              </w:rPr>
              <w:t xml:space="preserve">Number of leaves </w:t>
            </w:r>
          </w:p>
        </w:tc>
        <w:tc>
          <w:tcPr>
            <w:tcW w:w="1985" w:type="dxa"/>
            <w:tcBorders>
              <w:top w:val="single" w:sz="4" w:space="0" w:color="000000"/>
              <w:bottom w:val="single" w:sz="4" w:space="0" w:color="000000"/>
              <w:right w:val="nil"/>
            </w:tcBorders>
          </w:tcPr>
          <w:p w14:paraId="2B3168C4" w14:textId="77777777" w:rsidR="00A31DB8" w:rsidRPr="006C4FCA" w:rsidRDefault="00A31DB8" w:rsidP="004B5135">
            <w:pPr>
              <w:spacing w:line="259" w:lineRule="auto"/>
              <w:ind w:left="82"/>
              <w:rPr>
                <w:rFonts w:ascii="Arial" w:hAnsi="Arial" w:cs="Arial"/>
                <w:b/>
                <w:sz w:val="20"/>
                <w:szCs w:val="20"/>
              </w:rPr>
            </w:pPr>
            <w:r w:rsidRPr="006C4FCA">
              <w:rPr>
                <w:rFonts w:ascii="Arial" w:hAnsi="Arial" w:cs="Arial"/>
                <w:b/>
                <w:sz w:val="20"/>
                <w:szCs w:val="20"/>
              </w:rPr>
              <w:t xml:space="preserve">Number of stems </w:t>
            </w:r>
          </w:p>
        </w:tc>
      </w:tr>
      <w:tr w:rsidR="00A31DB8" w:rsidRPr="00636E71" w14:paraId="3FC2F1AD" w14:textId="77777777" w:rsidTr="006C4FCA">
        <w:trPr>
          <w:trHeight w:val="227"/>
        </w:trPr>
        <w:tc>
          <w:tcPr>
            <w:tcW w:w="1302" w:type="dxa"/>
            <w:tcBorders>
              <w:top w:val="single" w:sz="4" w:space="0" w:color="000000"/>
              <w:left w:val="nil"/>
              <w:bottom w:val="nil"/>
            </w:tcBorders>
          </w:tcPr>
          <w:p w14:paraId="353AC509" w14:textId="77777777" w:rsidR="00A31DB8" w:rsidRPr="006C4FCA" w:rsidRDefault="00A31DB8" w:rsidP="004B5135">
            <w:pPr>
              <w:spacing w:line="259" w:lineRule="auto"/>
              <w:rPr>
                <w:rFonts w:ascii="Arial" w:hAnsi="Arial" w:cs="Arial"/>
                <w:sz w:val="20"/>
                <w:szCs w:val="20"/>
              </w:rPr>
            </w:pPr>
            <w:r w:rsidRPr="006C4FCA">
              <w:rPr>
                <w:rFonts w:ascii="Arial" w:hAnsi="Arial" w:cs="Arial"/>
                <w:sz w:val="20"/>
                <w:szCs w:val="20"/>
              </w:rPr>
              <w:t xml:space="preserve">Co </w:t>
            </w:r>
          </w:p>
        </w:tc>
        <w:tc>
          <w:tcPr>
            <w:tcW w:w="3250" w:type="dxa"/>
            <w:tcBorders>
              <w:top w:val="single" w:sz="4" w:space="0" w:color="000000"/>
              <w:bottom w:val="nil"/>
            </w:tcBorders>
          </w:tcPr>
          <w:p w14:paraId="2AA5CA67" w14:textId="77777777" w:rsidR="00A31DB8" w:rsidRPr="006C4FCA" w:rsidRDefault="00A31DB8" w:rsidP="004B5135">
            <w:pPr>
              <w:spacing w:line="259" w:lineRule="auto"/>
              <w:ind w:right="9"/>
              <w:jc w:val="center"/>
              <w:rPr>
                <w:rFonts w:ascii="Arial" w:hAnsi="Arial" w:cs="Arial"/>
                <w:sz w:val="20"/>
                <w:szCs w:val="20"/>
              </w:rPr>
            </w:pPr>
            <w:r w:rsidRPr="006C4FCA">
              <w:rPr>
                <w:rFonts w:ascii="Arial" w:hAnsi="Arial" w:cs="Arial"/>
                <w:sz w:val="20"/>
                <w:szCs w:val="20"/>
              </w:rPr>
              <w:t>11</w:t>
            </w:r>
            <w:r w:rsidR="00911145">
              <w:rPr>
                <w:rFonts w:ascii="Arial" w:hAnsi="Arial" w:cs="Arial"/>
                <w:sz w:val="20"/>
                <w:szCs w:val="20"/>
              </w:rPr>
              <w:t>.</w:t>
            </w:r>
            <w:r w:rsidRPr="006C4FCA">
              <w:rPr>
                <w:rFonts w:ascii="Arial" w:hAnsi="Arial" w:cs="Arial"/>
                <w:sz w:val="20"/>
                <w:szCs w:val="20"/>
              </w:rPr>
              <w:t xml:space="preserve">48a </w:t>
            </w:r>
          </w:p>
        </w:tc>
        <w:tc>
          <w:tcPr>
            <w:tcW w:w="1985" w:type="dxa"/>
            <w:tcBorders>
              <w:top w:val="single" w:sz="4" w:space="0" w:color="000000"/>
              <w:bottom w:val="nil"/>
              <w:right w:val="nil"/>
            </w:tcBorders>
          </w:tcPr>
          <w:p w14:paraId="3552ACFB" w14:textId="77777777" w:rsidR="00A31DB8" w:rsidRPr="006C4FCA" w:rsidRDefault="00A31DB8" w:rsidP="004B5135">
            <w:pPr>
              <w:spacing w:line="259" w:lineRule="auto"/>
              <w:ind w:right="7"/>
              <w:jc w:val="center"/>
              <w:rPr>
                <w:rFonts w:ascii="Arial" w:hAnsi="Arial" w:cs="Arial"/>
                <w:sz w:val="20"/>
                <w:szCs w:val="20"/>
              </w:rPr>
            </w:pPr>
            <w:r w:rsidRPr="006C4FCA">
              <w:rPr>
                <w:rFonts w:ascii="Arial" w:hAnsi="Arial" w:cs="Arial"/>
                <w:sz w:val="20"/>
                <w:szCs w:val="20"/>
              </w:rPr>
              <w:t>2</w:t>
            </w:r>
            <w:r w:rsidR="00911145">
              <w:rPr>
                <w:rFonts w:ascii="Arial" w:hAnsi="Arial" w:cs="Arial"/>
                <w:sz w:val="20"/>
                <w:szCs w:val="20"/>
              </w:rPr>
              <w:t>.</w:t>
            </w:r>
            <w:r w:rsidRPr="006C4FCA">
              <w:rPr>
                <w:rFonts w:ascii="Arial" w:hAnsi="Arial" w:cs="Arial"/>
                <w:sz w:val="20"/>
                <w:szCs w:val="20"/>
              </w:rPr>
              <w:t xml:space="preserve">24a </w:t>
            </w:r>
          </w:p>
        </w:tc>
      </w:tr>
      <w:tr w:rsidR="00A31DB8" w:rsidRPr="00636E71" w14:paraId="1AB4FBF6" w14:textId="77777777" w:rsidTr="006C4FCA">
        <w:trPr>
          <w:trHeight w:val="227"/>
        </w:trPr>
        <w:tc>
          <w:tcPr>
            <w:tcW w:w="1302" w:type="dxa"/>
            <w:tcBorders>
              <w:top w:val="nil"/>
              <w:left w:val="nil"/>
              <w:bottom w:val="nil"/>
            </w:tcBorders>
          </w:tcPr>
          <w:p w14:paraId="34BE412E" w14:textId="77777777" w:rsidR="00A31DB8" w:rsidRPr="006C4FCA" w:rsidRDefault="00A31DB8" w:rsidP="004B5135">
            <w:pPr>
              <w:spacing w:line="259" w:lineRule="auto"/>
              <w:rPr>
                <w:rFonts w:ascii="Arial" w:hAnsi="Arial" w:cs="Arial"/>
                <w:sz w:val="20"/>
                <w:szCs w:val="20"/>
              </w:rPr>
            </w:pPr>
            <w:r w:rsidRPr="006C4FCA">
              <w:rPr>
                <w:rFonts w:ascii="Arial" w:hAnsi="Arial" w:cs="Arial"/>
                <w:sz w:val="20"/>
                <w:szCs w:val="20"/>
              </w:rPr>
              <w:t xml:space="preserve">T0 </w:t>
            </w:r>
          </w:p>
        </w:tc>
        <w:tc>
          <w:tcPr>
            <w:tcW w:w="3250" w:type="dxa"/>
            <w:tcBorders>
              <w:top w:val="nil"/>
              <w:bottom w:val="nil"/>
            </w:tcBorders>
          </w:tcPr>
          <w:p w14:paraId="01D7588F" w14:textId="77777777" w:rsidR="00A31DB8" w:rsidRPr="006C4FCA" w:rsidRDefault="00A31DB8" w:rsidP="004B5135">
            <w:pPr>
              <w:spacing w:line="259" w:lineRule="auto"/>
              <w:ind w:right="9"/>
              <w:jc w:val="center"/>
              <w:rPr>
                <w:rFonts w:ascii="Arial" w:hAnsi="Arial" w:cs="Arial"/>
                <w:sz w:val="20"/>
                <w:szCs w:val="20"/>
              </w:rPr>
            </w:pPr>
            <w:r w:rsidRPr="006C4FCA">
              <w:rPr>
                <w:rFonts w:ascii="Arial" w:hAnsi="Arial" w:cs="Arial"/>
                <w:sz w:val="20"/>
                <w:szCs w:val="20"/>
              </w:rPr>
              <w:t>11</w:t>
            </w:r>
            <w:r w:rsidR="00911145">
              <w:rPr>
                <w:rFonts w:ascii="Arial" w:hAnsi="Arial" w:cs="Arial"/>
                <w:sz w:val="20"/>
                <w:szCs w:val="20"/>
              </w:rPr>
              <w:t>.</w:t>
            </w:r>
            <w:r w:rsidRPr="006C4FCA">
              <w:rPr>
                <w:rFonts w:ascii="Arial" w:hAnsi="Arial" w:cs="Arial"/>
                <w:sz w:val="20"/>
                <w:szCs w:val="20"/>
              </w:rPr>
              <w:t xml:space="preserve">78a </w:t>
            </w:r>
          </w:p>
        </w:tc>
        <w:tc>
          <w:tcPr>
            <w:tcW w:w="1985" w:type="dxa"/>
            <w:tcBorders>
              <w:top w:val="nil"/>
              <w:bottom w:val="nil"/>
              <w:right w:val="nil"/>
            </w:tcBorders>
          </w:tcPr>
          <w:p w14:paraId="3D6D0711" w14:textId="77777777" w:rsidR="00A31DB8" w:rsidRPr="006C4FCA" w:rsidRDefault="00A31DB8" w:rsidP="004B5135">
            <w:pPr>
              <w:spacing w:line="259" w:lineRule="auto"/>
              <w:ind w:right="7"/>
              <w:jc w:val="center"/>
              <w:rPr>
                <w:rFonts w:ascii="Arial" w:hAnsi="Arial" w:cs="Arial"/>
                <w:sz w:val="20"/>
                <w:szCs w:val="20"/>
              </w:rPr>
            </w:pPr>
            <w:r w:rsidRPr="006C4FCA">
              <w:rPr>
                <w:rFonts w:ascii="Arial" w:hAnsi="Arial" w:cs="Arial"/>
                <w:sz w:val="20"/>
                <w:szCs w:val="20"/>
              </w:rPr>
              <w:t>2</w:t>
            </w:r>
            <w:r w:rsidR="00911145">
              <w:rPr>
                <w:rFonts w:ascii="Arial" w:hAnsi="Arial" w:cs="Arial"/>
                <w:sz w:val="20"/>
                <w:szCs w:val="20"/>
              </w:rPr>
              <w:t>.</w:t>
            </w:r>
            <w:r w:rsidRPr="006C4FCA">
              <w:rPr>
                <w:rFonts w:ascii="Arial" w:hAnsi="Arial" w:cs="Arial"/>
                <w:sz w:val="20"/>
                <w:szCs w:val="20"/>
              </w:rPr>
              <w:t xml:space="preserve">24a </w:t>
            </w:r>
          </w:p>
        </w:tc>
      </w:tr>
      <w:tr w:rsidR="00A31DB8" w:rsidRPr="00636E71" w14:paraId="79C4B115" w14:textId="77777777" w:rsidTr="006C4FCA">
        <w:trPr>
          <w:trHeight w:val="227"/>
        </w:trPr>
        <w:tc>
          <w:tcPr>
            <w:tcW w:w="1302" w:type="dxa"/>
            <w:tcBorders>
              <w:top w:val="nil"/>
              <w:left w:val="nil"/>
              <w:bottom w:val="nil"/>
            </w:tcBorders>
          </w:tcPr>
          <w:p w14:paraId="2C32BC3F" w14:textId="77777777" w:rsidR="00A31DB8" w:rsidRPr="006C4FCA" w:rsidRDefault="00A31DB8" w:rsidP="004B5135">
            <w:pPr>
              <w:spacing w:line="259" w:lineRule="auto"/>
              <w:rPr>
                <w:rFonts w:ascii="Arial" w:hAnsi="Arial" w:cs="Arial"/>
                <w:sz w:val="20"/>
                <w:szCs w:val="20"/>
              </w:rPr>
            </w:pPr>
            <w:r w:rsidRPr="006C4FCA">
              <w:rPr>
                <w:rFonts w:ascii="Arial" w:hAnsi="Arial" w:cs="Arial"/>
                <w:sz w:val="20"/>
                <w:szCs w:val="20"/>
              </w:rPr>
              <w:t xml:space="preserve">AF </w:t>
            </w:r>
          </w:p>
        </w:tc>
        <w:tc>
          <w:tcPr>
            <w:tcW w:w="3250" w:type="dxa"/>
            <w:tcBorders>
              <w:top w:val="nil"/>
              <w:bottom w:val="nil"/>
            </w:tcBorders>
          </w:tcPr>
          <w:p w14:paraId="316C9959" w14:textId="77777777" w:rsidR="00A31DB8" w:rsidRPr="006C4FCA" w:rsidRDefault="00A31DB8" w:rsidP="004B5135">
            <w:pPr>
              <w:spacing w:line="259" w:lineRule="auto"/>
              <w:ind w:right="10"/>
              <w:jc w:val="center"/>
              <w:rPr>
                <w:rFonts w:ascii="Arial" w:hAnsi="Arial" w:cs="Arial"/>
                <w:sz w:val="20"/>
                <w:szCs w:val="20"/>
              </w:rPr>
            </w:pPr>
            <w:r w:rsidRPr="006C4FCA">
              <w:rPr>
                <w:rFonts w:ascii="Arial" w:hAnsi="Arial" w:cs="Arial"/>
                <w:sz w:val="20"/>
                <w:szCs w:val="20"/>
              </w:rPr>
              <w:t xml:space="preserve">13.14ab </w:t>
            </w:r>
          </w:p>
        </w:tc>
        <w:tc>
          <w:tcPr>
            <w:tcW w:w="1985" w:type="dxa"/>
            <w:tcBorders>
              <w:top w:val="nil"/>
              <w:bottom w:val="nil"/>
              <w:right w:val="nil"/>
            </w:tcBorders>
          </w:tcPr>
          <w:p w14:paraId="2E43CAB8" w14:textId="77777777" w:rsidR="00A31DB8" w:rsidRPr="006C4FCA" w:rsidRDefault="00A31DB8" w:rsidP="004B5135">
            <w:pPr>
              <w:spacing w:line="259" w:lineRule="auto"/>
              <w:ind w:right="7"/>
              <w:jc w:val="center"/>
              <w:rPr>
                <w:rFonts w:ascii="Arial" w:hAnsi="Arial" w:cs="Arial"/>
                <w:sz w:val="20"/>
                <w:szCs w:val="20"/>
              </w:rPr>
            </w:pPr>
            <w:r w:rsidRPr="006C4FCA">
              <w:rPr>
                <w:rFonts w:ascii="Arial" w:hAnsi="Arial" w:cs="Arial"/>
                <w:sz w:val="20"/>
                <w:szCs w:val="20"/>
              </w:rPr>
              <w:t>2</w:t>
            </w:r>
            <w:r w:rsidR="00911145">
              <w:rPr>
                <w:rFonts w:ascii="Arial" w:hAnsi="Arial" w:cs="Arial"/>
                <w:sz w:val="20"/>
                <w:szCs w:val="20"/>
              </w:rPr>
              <w:t>.</w:t>
            </w:r>
            <w:r w:rsidRPr="006C4FCA">
              <w:rPr>
                <w:rFonts w:ascii="Arial" w:hAnsi="Arial" w:cs="Arial"/>
                <w:sz w:val="20"/>
                <w:szCs w:val="20"/>
              </w:rPr>
              <w:t xml:space="preserve">41a </w:t>
            </w:r>
          </w:p>
        </w:tc>
      </w:tr>
      <w:tr w:rsidR="00A31DB8" w:rsidRPr="00636E71" w14:paraId="02A38FB6" w14:textId="77777777" w:rsidTr="006C4FCA">
        <w:trPr>
          <w:trHeight w:val="227"/>
        </w:trPr>
        <w:tc>
          <w:tcPr>
            <w:tcW w:w="1302" w:type="dxa"/>
            <w:tcBorders>
              <w:top w:val="nil"/>
              <w:left w:val="nil"/>
              <w:bottom w:val="nil"/>
            </w:tcBorders>
          </w:tcPr>
          <w:p w14:paraId="09CA7455" w14:textId="77777777" w:rsidR="00A31DB8" w:rsidRPr="006C4FCA" w:rsidRDefault="00A31DB8" w:rsidP="004B5135">
            <w:pPr>
              <w:spacing w:line="259" w:lineRule="auto"/>
              <w:rPr>
                <w:rFonts w:ascii="Arial" w:hAnsi="Arial" w:cs="Arial"/>
                <w:sz w:val="20"/>
                <w:szCs w:val="20"/>
              </w:rPr>
            </w:pPr>
            <w:r w:rsidRPr="006C4FCA">
              <w:rPr>
                <w:rFonts w:ascii="Arial" w:hAnsi="Arial" w:cs="Arial"/>
                <w:sz w:val="20"/>
                <w:szCs w:val="20"/>
              </w:rPr>
              <w:t xml:space="preserve">NPK </w:t>
            </w:r>
          </w:p>
        </w:tc>
        <w:tc>
          <w:tcPr>
            <w:tcW w:w="3250" w:type="dxa"/>
            <w:tcBorders>
              <w:top w:val="nil"/>
              <w:bottom w:val="nil"/>
            </w:tcBorders>
          </w:tcPr>
          <w:p w14:paraId="36DDA48A" w14:textId="77777777" w:rsidR="00A31DB8" w:rsidRPr="006C4FCA" w:rsidRDefault="00A31DB8" w:rsidP="004B5135">
            <w:pPr>
              <w:spacing w:line="259" w:lineRule="auto"/>
              <w:ind w:right="10"/>
              <w:jc w:val="center"/>
              <w:rPr>
                <w:rFonts w:ascii="Arial" w:hAnsi="Arial" w:cs="Arial"/>
                <w:sz w:val="20"/>
                <w:szCs w:val="20"/>
              </w:rPr>
            </w:pPr>
            <w:r w:rsidRPr="006C4FCA">
              <w:rPr>
                <w:rFonts w:ascii="Arial" w:hAnsi="Arial" w:cs="Arial"/>
                <w:sz w:val="20"/>
                <w:szCs w:val="20"/>
              </w:rPr>
              <w:t>13</w:t>
            </w:r>
            <w:r w:rsidR="00911145">
              <w:rPr>
                <w:rFonts w:ascii="Arial" w:hAnsi="Arial" w:cs="Arial"/>
                <w:sz w:val="20"/>
                <w:szCs w:val="20"/>
              </w:rPr>
              <w:t>.</w:t>
            </w:r>
            <w:r w:rsidRPr="006C4FCA">
              <w:rPr>
                <w:rFonts w:ascii="Arial" w:hAnsi="Arial" w:cs="Arial"/>
                <w:sz w:val="20"/>
                <w:szCs w:val="20"/>
              </w:rPr>
              <w:t xml:space="preserve">86b </w:t>
            </w:r>
          </w:p>
        </w:tc>
        <w:tc>
          <w:tcPr>
            <w:tcW w:w="1985" w:type="dxa"/>
            <w:tcBorders>
              <w:top w:val="nil"/>
              <w:bottom w:val="nil"/>
              <w:right w:val="nil"/>
            </w:tcBorders>
          </w:tcPr>
          <w:p w14:paraId="6FFE1CCB" w14:textId="77777777" w:rsidR="00A31DB8" w:rsidRPr="006C4FCA" w:rsidRDefault="00A31DB8" w:rsidP="004B5135">
            <w:pPr>
              <w:spacing w:line="259" w:lineRule="auto"/>
              <w:ind w:right="7"/>
              <w:jc w:val="center"/>
              <w:rPr>
                <w:rFonts w:ascii="Arial" w:hAnsi="Arial" w:cs="Arial"/>
                <w:sz w:val="20"/>
                <w:szCs w:val="20"/>
              </w:rPr>
            </w:pPr>
            <w:r w:rsidRPr="006C4FCA">
              <w:rPr>
                <w:rFonts w:ascii="Arial" w:hAnsi="Arial" w:cs="Arial"/>
                <w:sz w:val="20"/>
                <w:szCs w:val="20"/>
              </w:rPr>
              <w:t>2</w:t>
            </w:r>
            <w:r w:rsidR="00911145">
              <w:rPr>
                <w:rFonts w:ascii="Arial" w:hAnsi="Arial" w:cs="Arial"/>
                <w:sz w:val="20"/>
                <w:szCs w:val="20"/>
              </w:rPr>
              <w:t>.</w:t>
            </w:r>
            <w:r w:rsidRPr="006C4FCA">
              <w:rPr>
                <w:rFonts w:ascii="Arial" w:hAnsi="Arial" w:cs="Arial"/>
                <w:sz w:val="20"/>
                <w:szCs w:val="20"/>
              </w:rPr>
              <w:t xml:space="preserve">76a </w:t>
            </w:r>
          </w:p>
        </w:tc>
      </w:tr>
      <w:tr w:rsidR="00A31DB8" w:rsidRPr="00636E71" w14:paraId="07885F00" w14:textId="77777777" w:rsidTr="006C4FCA">
        <w:trPr>
          <w:trHeight w:val="227"/>
        </w:trPr>
        <w:tc>
          <w:tcPr>
            <w:tcW w:w="1302" w:type="dxa"/>
            <w:tcBorders>
              <w:top w:val="nil"/>
              <w:left w:val="nil"/>
              <w:bottom w:val="single" w:sz="4" w:space="0" w:color="000000"/>
            </w:tcBorders>
          </w:tcPr>
          <w:p w14:paraId="57CCE540" w14:textId="77777777" w:rsidR="00A31DB8" w:rsidRPr="006C4FCA" w:rsidRDefault="00A31DB8" w:rsidP="004B5135">
            <w:pPr>
              <w:spacing w:line="259" w:lineRule="auto"/>
              <w:rPr>
                <w:rFonts w:ascii="Arial" w:hAnsi="Arial" w:cs="Arial"/>
                <w:sz w:val="20"/>
                <w:szCs w:val="20"/>
              </w:rPr>
            </w:pPr>
            <w:r w:rsidRPr="006C4FCA">
              <w:rPr>
                <w:rFonts w:ascii="Arial" w:hAnsi="Arial" w:cs="Arial"/>
                <w:sz w:val="20"/>
                <w:szCs w:val="20"/>
              </w:rPr>
              <w:t xml:space="preserve">P value </w:t>
            </w:r>
          </w:p>
        </w:tc>
        <w:tc>
          <w:tcPr>
            <w:tcW w:w="3250" w:type="dxa"/>
            <w:tcBorders>
              <w:top w:val="nil"/>
              <w:bottom w:val="single" w:sz="4" w:space="0" w:color="000000"/>
            </w:tcBorders>
          </w:tcPr>
          <w:p w14:paraId="6A83A191" w14:textId="77777777" w:rsidR="00A31DB8" w:rsidRPr="006C4FCA" w:rsidRDefault="00A31DB8" w:rsidP="004B5135">
            <w:pPr>
              <w:spacing w:line="259" w:lineRule="auto"/>
              <w:ind w:right="10"/>
              <w:jc w:val="center"/>
              <w:rPr>
                <w:rFonts w:ascii="Arial" w:hAnsi="Arial" w:cs="Arial"/>
                <w:sz w:val="20"/>
                <w:szCs w:val="20"/>
              </w:rPr>
            </w:pPr>
            <w:r w:rsidRPr="006C4FCA">
              <w:rPr>
                <w:rFonts w:ascii="Arial" w:hAnsi="Arial" w:cs="Arial"/>
                <w:sz w:val="20"/>
                <w:szCs w:val="20"/>
              </w:rPr>
              <w:t>0</w:t>
            </w:r>
            <w:r w:rsidR="00911145">
              <w:rPr>
                <w:rFonts w:ascii="Arial" w:hAnsi="Arial" w:cs="Arial"/>
                <w:sz w:val="20"/>
                <w:szCs w:val="20"/>
              </w:rPr>
              <w:t>.</w:t>
            </w:r>
            <w:r w:rsidRPr="006C4FCA">
              <w:rPr>
                <w:rFonts w:ascii="Arial" w:hAnsi="Arial" w:cs="Arial"/>
                <w:sz w:val="20"/>
                <w:szCs w:val="20"/>
              </w:rPr>
              <w:t xml:space="preserve">02 </w:t>
            </w:r>
          </w:p>
        </w:tc>
        <w:tc>
          <w:tcPr>
            <w:tcW w:w="1985" w:type="dxa"/>
            <w:tcBorders>
              <w:top w:val="nil"/>
              <w:bottom w:val="single" w:sz="4" w:space="0" w:color="000000"/>
              <w:right w:val="nil"/>
            </w:tcBorders>
          </w:tcPr>
          <w:p w14:paraId="56DA15EF" w14:textId="77777777" w:rsidR="00A31DB8" w:rsidRPr="006C4FCA" w:rsidRDefault="00A31DB8" w:rsidP="004B5135">
            <w:pPr>
              <w:spacing w:line="259" w:lineRule="auto"/>
              <w:ind w:right="8"/>
              <w:jc w:val="center"/>
              <w:rPr>
                <w:rFonts w:ascii="Arial" w:hAnsi="Arial" w:cs="Arial"/>
                <w:sz w:val="20"/>
                <w:szCs w:val="20"/>
              </w:rPr>
            </w:pPr>
            <w:r w:rsidRPr="006C4FCA">
              <w:rPr>
                <w:rFonts w:ascii="Arial" w:hAnsi="Arial" w:cs="Arial"/>
                <w:sz w:val="20"/>
                <w:szCs w:val="20"/>
              </w:rPr>
              <w:t>0</w:t>
            </w:r>
            <w:r w:rsidR="00911145">
              <w:rPr>
                <w:rFonts w:ascii="Arial" w:hAnsi="Arial" w:cs="Arial"/>
                <w:sz w:val="20"/>
                <w:szCs w:val="20"/>
              </w:rPr>
              <w:t>.</w:t>
            </w:r>
            <w:r w:rsidRPr="006C4FCA">
              <w:rPr>
                <w:rFonts w:ascii="Arial" w:hAnsi="Arial" w:cs="Arial"/>
                <w:sz w:val="20"/>
                <w:szCs w:val="20"/>
              </w:rPr>
              <w:t xml:space="preserve">5 </w:t>
            </w:r>
          </w:p>
        </w:tc>
      </w:tr>
    </w:tbl>
    <w:p w14:paraId="15B12911" w14:textId="77777777" w:rsidR="00A31DB8" w:rsidRPr="006C4FCA" w:rsidRDefault="00A31DB8" w:rsidP="00A31DB8">
      <w:pPr>
        <w:spacing w:after="4" w:line="238" w:lineRule="auto"/>
        <w:ind w:left="-5" w:right="-8"/>
        <w:jc w:val="both"/>
        <w:rPr>
          <w:rFonts w:ascii="Arial" w:eastAsia="Times New Roman" w:hAnsi="Arial" w:cs="Arial"/>
          <w:i/>
          <w:sz w:val="18"/>
        </w:rPr>
      </w:pPr>
    </w:p>
    <w:p w14:paraId="48812F24" w14:textId="77777777" w:rsidR="00A31DB8" w:rsidRPr="006C4FCA" w:rsidRDefault="00A31DB8" w:rsidP="00A31DB8">
      <w:pPr>
        <w:spacing w:after="4" w:line="238" w:lineRule="auto"/>
        <w:ind w:left="-5" w:right="-8"/>
        <w:jc w:val="both"/>
        <w:rPr>
          <w:rFonts w:ascii="Arial" w:hAnsi="Arial" w:cs="Arial"/>
          <w:sz w:val="18"/>
          <w:szCs w:val="20"/>
        </w:rPr>
      </w:pPr>
      <w:proofErr w:type="gramStart"/>
      <w:r w:rsidRPr="006C4FCA">
        <w:rPr>
          <w:rFonts w:ascii="Arial" w:eastAsia="Times New Roman" w:hAnsi="Arial" w:cs="Arial"/>
          <w:i/>
          <w:sz w:val="18"/>
          <w:szCs w:val="20"/>
        </w:rPr>
        <w:t>Co:</w:t>
      </w:r>
      <w:proofErr w:type="gramEnd"/>
      <w:r w:rsidRPr="006C4FCA">
        <w:rPr>
          <w:rFonts w:ascii="Arial" w:eastAsia="Times New Roman" w:hAnsi="Arial" w:cs="Arial"/>
          <w:i/>
          <w:sz w:val="18"/>
          <w:szCs w:val="20"/>
        </w:rPr>
        <w:t xml:space="preserve"> Chromolaena odorata; T0 = control; AF: Azolla filiculoïdes; NPK (15 15 15): Nitrogen</w:t>
      </w:r>
      <w:r w:rsidR="00445444" w:rsidRPr="006C4FCA">
        <w:rPr>
          <w:rFonts w:ascii="Arial" w:eastAsia="Times New Roman" w:hAnsi="Arial" w:cs="Arial"/>
          <w:i/>
          <w:sz w:val="18"/>
          <w:szCs w:val="20"/>
        </w:rPr>
        <w:t>-</w:t>
      </w:r>
      <w:r w:rsidRPr="006C4FCA">
        <w:rPr>
          <w:rFonts w:ascii="Arial" w:eastAsia="Times New Roman" w:hAnsi="Arial" w:cs="Arial"/>
          <w:i/>
          <w:sz w:val="18"/>
          <w:szCs w:val="20"/>
        </w:rPr>
        <w:t xml:space="preserve">Phosphorus-Potassium; Values with the same letter do not differ significantly from each other, while those with different letters show statistically significant differences at the 5% threshold. </w:t>
      </w:r>
    </w:p>
    <w:p w14:paraId="1EFA5A3D" w14:textId="77777777" w:rsidR="0007076A" w:rsidRPr="006C4FCA" w:rsidRDefault="0007076A" w:rsidP="00F8164F">
      <w:pPr>
        <w:spacing w:line="240" w:lineRule="auto"/>
        <w:rPr>
          <w:rFonts w:ascii="Arial" w:hAnsi="Arial" w:cs="Arial"/>
          <w:sz w:val="20"/>
          <w:szCs w:val="24"/>
        </w:rPr>
      </w:pPr>
    </w:p>
    <w:p w14:paraId="056487B1" w14:textId="77777777" w:rsidR="00636E71" w:rsidRPr="006C4FCA" w:rsidRDefault="000B0DB1" w:rsidP="0007076A">
      <w:pPr>
        <w:jc w:val="both"/>
        <w:rPr>
          <w:rFonts w:ascii="Arial" w:eastAsia="Times New Roman" w:hAnsi="Arial" w:cs="Arial"/>
          <w:b/>
          <w:sz w:val="20"/>
        </w:rPr>
      </w:pPr>
      <w:r w:rsidRPr="006C4FCA">
        <w:rPr>
          <w:rFonts w:ascii="Arial" w:hAnsi="Arial" w:cs="Arial"/>
          <w:b/>
          <w:sz w:val="20"/>
        </w:rPr>
        <w:t xml:space="preserve">3.1.4. </w:t>
      </w:r>
      <w:r w:rsidR="0007076A" w:rsidRPr="006C4FCA">
        <w:rPr>
          <w:rFonts w:ascii="Arial" w:eastAsia="Times New Roman" w:hAnsi="Arial" w:cs="Arial"/>
          <w:b/>
          <w:sz w:val="20"/>
        </w:rPr>
        <w:t>Influence of treatments on plant height growth</w:t>
      </w:r>
    </w:p>
    <w:p w14:paraId="7CB6473F" w14:textId="77777777" w:rsidR="0007076A" w:rsidRDefault="00623A83" w:rsidP="006C4FCA">
      <w:pPr>
        <w:spacing w:line="240" w:lineRule="auto"/>
        <w:jc w:val="both"/>
        <w:rPr>
          <w:rFonts w:ascii="Arial" w:hAnsi="Arial" w:cs="Arial"/>
          <w:sz w:val="20"/>
        </w:rPr>
      </w:pPr>
      <w:r w:rsidRPr="006C4FCA">
        <w:rPr>
          <w:rFonts w:ascii="Arial" w:hAnsi="Arial" w:cs="Arial"/>
          <w:sz w:val="20"/>
        </w:rPr>
        <w:t>Figure 6</w:t>
      </w:r>
      <w:r w:rsidR="0007076A" w:rsidRPr="006C4FCA">
        <w:rPr>
          <w:rFonts w:ascii="Arial" w:hAnsi="Arial" w:cs="Arial"/>
          <w:sz w:val="20"/>
        </w:rPr>
        <w:t xml:space="preserve"> shows the differential effect of treatments on potato plant height. Statistical analysis indicates a significant influence of inputs (p = 0.03). Between weeks 1 and 5 (S1-S5), the NPK treatment induced the highest average heights (74.40 cm), followed by </w:t>
      </w:r>
      <w:r w:rsidR="0007076A" w:rsidRPr="006C4FCA">
        <w:rPr>
          <w:rFonts w:ascii="Arial" w:eastAsia="Times New Roman" w:hAnsi="Arial" w:cs="Arial"/>
          <w:i/>
          <w:sz w:val="20"/>
        </w:rPr>
        <w:t xml:space="preserve">A. filiculoides </w:t>
      </w:r>
      <w:r w:rsidR="0007076A" w:rsidRPr="006C4FCA">
        <w:rPr>
          <w:rFonts w:ascii="Arial" w:hAnsi="Arial" w:cs="Arial"/>
          <w:sz w:val="20"/>
        </w:rPr>
        <w:t xml:space="preserve">(64.52 cm). After this period, height growth increased in plants treated with </w:t>
      </w:r>
      <w:r w:rsidR="0007076A" w:rsidRPr="006C4FCA">
        <w:rPr>
          <w:rFonts w:ascii="Arial" w:eastAsia="Times New Roman" w:hAnsi="Arial" w:cs="Arial"/>
          <w:i/>
          <w:sz w:val="20"/>
        </w:rPr>
        <w:t xml:space="preserve">C. odorata </w:t>
      </w:r>
      <w:r w:rsidR="0007076A" w:rsidRPr="006C4FCA">
        <w:rPr>
          <w:rFonts w:ascii="Arial" w:hAnsi="Arial" w:cs="Arial"/>
          <w:sz w:val="20"/>
        </w:rPr>
        <w:t xml:space="preserve">and </w:t>
      </w:r>
      <w:r w:rsidR="0007076A" w:rsidRPr="006C4FCA">
        <w:rPr>
          <w:rFonts w:ascii="Arial" w:eastAsia="Times New Roman" w:hAnsi="Arial" w:cs="Arial"/>
          <w:i/>
          <w:sz w:val="20"/>
        </w:rPr>
        <w:t>A. filiculoides</w:t>
      </w:r>
      <w:r w:rsidR="0007076A" w:rsidRPr="006C4FCA">
        <w:rPr>
          <w:rFonts w:ascii="Arial" w:hAnsi="Arial" w:cs="Arial"/>
          <w:sz w:val="20"/>
        </w:rPr>
        <w:t>.</w:t>
      </w:r>
    </w:p>
    <w:p w14:paraId="77D833B2" w14:textId="77777777" w:rsidR="00636E71" w:rsidRPr="006C4FCA" w:rsidRDefault="00636E71" w:rsidP="006C4FCA">
      <w:pPr>
        <w:spacing w:line="240" w:lineRule="auto"/>
        <w:jc w:val="both"/>
        <w:rPr>
          <w:rFonts w:ascii="Arial" w:hAnsi="Arial" w:cs="Arial"/>
          <w:sz w:val="20"/>
        </w:rPr>
      </w:pPr>
    </w:p>
    <w:p w14:paraId="3C441E96" w14:textId="77777777" w:rsidR="0007076A" w:rsidRDefault="00A31DB8" w:rsidP="0007076A">
      <w:pPr>
        <w:jc w:val="both"/>
      </w:pPr>
      <w:r w:rsidRPr="00A02D41">
        <w:rPr>
          <w:noProof/>
          <w:lang w:eastAsia="fr-FR"/>
        </w:rPr>
        <w:drawing>
          <wp:inline distT="0" distB="0" distL="0" distR="0" wp14:anchorId="6E73F6B8" wp14:editId="71CCD339">
            <wp:extent cx="5760720" cy="3189605"/>
            <wp:effectExtent l="0" t="0" r="11430" b="10795"/>
            <wp:docPr id="16" name="Graphique 1">
              <a:extLst xmlns:a="http://schemas.openxmlformats.org/drawingml/2006/main">
                <a:ext uri="{FF2B5EF4-FFF2-40B4-BE49-F238E27FC236}">
                  <a16:creationId xmlns:a16="http://schemas.microsoft.com/office/drawing/2014/main" id="{48485F19-8D64-17AD-96FF-8AB5B216CA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564220" w14:textId="77777777" w:rsidR="007E1824" w:rsidRDefault="007E1824" w:rsidP="006C4FCA">
      <w:pPr>
        <w:spacing w:line="240" w:lineRule="auto"/>
        <w:jc w:val="center"/>
        <w:rPr>
          <w:rFonts w:ascii="Arial" w:eastAsia="Times New Roman" w:hAnsi="Arial" w:cs="Arial"/>
          <w:b/>
          <w:sz w:val="20"/>
          <w:szCs w:val="24"/>
          <w:lang w:eastAsia="fr-FR"/>
        </w:rPr>
      </w:pPr>
      <w:r w:rsidRPr="006C4FCA">
        <w:rPr>
          <w:rFonts w:ascii="Arial" w:eastAsia="Times New Roman" w:hAnsi="Arial" w:cs="Arial"/>
          <w:b/>
          <w:sz w:val="20"/>
          <w:szCs w:val="24"/>
          <w:lang w:eastAsia="fr-FR"/>
        </w:rPr>
        <w:t>Fig</w:t>
      </w:r>
      <w:r w:rsidR="00636E71" w:rsidRPr="006C4FCA">
        <w:rPr>
          <w:rFonts w:ascii="Arial" w:eastAsia="Times New Roman" w:hAnsi="Arial" w:cs="Arial"/>
          <w:b/>
          <w:sz w:val="20"/>
          <w:szCs w:val="24"/>
          <w:lang w:eastAsia="fr-FR"/>
        </w:rPr>
        <w:t>.</w:t>
      </w:r>
      <w:r w:rsidRPr="006C4FCA">
        <w:rPr>
          <w:rFonts w:ascii="Arial" w:eastAsia="Times New Roman" w:hAnsi="Arial" w:cs="Arial"/>
          <w:b/>
          <w:sz w:val="20"/>
          <w:szCs w:val="24"/>
          <w:lang w:eastAsia="fr-FR"/>
        </w:rPr>
        <w:t xml:space="preserve"> </w:t>
      </w:r>
      <w:r w:rsidR="00623A83" w:rsidRPr="006C4FCA">
        <w:rPr>
          <w:rFonts w:ascii="Arial" w:eastAsia="Times New Roman" w:hAnsi="Arial" w:cs="Arial"/>
          <w:b/>
          <w:sz w:val="20"/>
          <w:szCs w:val="24"/>
          <w:lang w:eastAsia="fr-FR"/>
        </w:rPr>
        <w:t>6</w:t>
      </w:r>
      <w:r w:rsidR="00636E71" w:rsidRPr="006C4FCA">
        <w:rPr>
          <w:rFonts w:ascii="Arial" w:eastAsia="Times New Roman" w:hAnsi="Arial" w:cs="Arial"/>
          <w:b/>
          <w:sz w:val="20"/>
          <w:szCs w:val="24"/>
          <w:lang w:eastAsia="fr-FR"/>
        </w:rPr>
        <w:t>.</w:t>
      </w:r>
      <w:r w:rsidRPr="006C4FCA">
        <w:rPr>
          <w:rFonts w:ascii="Arial" w:eastAsia="Times New Roman" w:hAnsi="Arial" w:cs="Arial"/>
          <w:b/>
          <w:sz w:val="20"/>
          <w:szCs w:val="24"/>
          <w:lang w:eastAsia="fr-FR"/>
        </w:rPr>
        <w:t xml:space="preserve"> Evolution of plant height as a function of time and treatments.</w:t>
      </w:r>
    </w:p>
    <w:p w14:paraId="3433931A" w14:textId="77777777" w:rsidR="00636E71" w:rsidRPr="006C4FCA" w:rsidRDefault="00636E71" w:rsidP="006C4FCA">
      <w:pPr>
        <w:spacing w:line="240" w:lineRule="auto"/>
        <w:jc w:val="center"/>
        <w:rPr>
          <w:rFonts w:ascii="Arial" w:eastAsia="Times New Roman" w:hAnsi="Arial" w:cs="Arial"/>
          <w:b/>
          <w:sz w:val="20"/>
          <w:szCs w:val="24"/>
          <w:lang w:eastAsia="fr-FR"/>
        </w:rPr>
      </w:pPr>
    </w:p>
    <w:p w14:paraId="399F1F3E" w14:textId="77777777" w:rsidR="00A31DB8" w:rsidRPr="006C4FCA" w:rsidRDefault="00623A83" w:rsidP="00A31DB8">
      <w:pPr>
        <w:spacing w:line="240" w:lineRule="auto"/>
        <w:ind w:left="-6"/>
        <w:jc w:val="both"/>
        <w:rPr>
          <w:rFonts w:eastAsia="Times New Roman" w:cs="Times New Roman"/>
          <w:b/>
          <w:sz w:val="18"/>
          <w:szCs w:val="20"/>
        </w:rPr>
      </w:pPr>
      <w:r w:rsidRPr="006C4FCA">
        <w:rPr>
          <w:rFonts w:eastAsia="Times New Roman" w:cs="Times New Roman"/>
          <w:i/>
          <w:sz w:val="18"/>
          <w:szCs w:val="20"/>
        </w:rPr>
        <w:t xml:space="preserve">S </w:t>
      </w:r>
      <w:r w:rsidR="00A31DB8" w:rsidRPr="006C4FCA">
        <w:rPr>
          <w:rFonts w:eastAsia="Times New Roman" w:cs="Times New Roman"/>
          <w:i/>
          <w:sz w:val="18"/>
          <w:szCs w:val="20"/>
        </w:rPr>
        <w:t xml:space="preserve">: </w:t>
      </w:r>
      <w:proofErr w:type="gramStart"/>
      <w:r w:rsidR="00A31DB8" w:rsidRPr="006C4FCA">
        <w:rPr>
          <w:rFonts w:eastAsia="Times New Roman" w:cs="Times New Roman"/>
          <w:i/>
          <w:sz w:val="18"/>
          <w:szCs w:val="20"/>
        </w:rPr>
        <w:t>Week;</w:t>
      </w:r>
      <w:proofErr w:type="gramEnd"/>
      <w:r w:rsidR="00A31DB8" w:rsidRPr="006C4FCA">
        <w:rPr>
          <w:rFonts w:eastAsia="Times New Roman" w:cs="Times New Roman"/>
          <w:i/>
          <w:sz w:val="18"/>
          <w:szCs w:val="20"/>
        </w:rPr>
        <w:t xml:space="preserve"> DAS: Day After Sowing; Co: Chromolaena odorata; T0 = control; AF: Azolla filiculoides; NPK (15 15 15): Nitrogen-Phosphorus-Potassium; Values with the same letter do not differ significantly from each other, while those with different letters show statistically significant differences at the 5% threshold.</w:t>
      </w:r>
    </w:p>
    <w:p w14:paraId="287E5C5A" w14:textId="77777777" w:rsidR="00722EC5" w:rsidRPr="006C4FCA" w:rsidRDefault="00722EC5" w:rsidP="006C4FCA">
      <w:pPr>
        <w:spacing w:line="240" w:lineRule="auto"/>
        <w:ind w:left="-6"/>
        <w:rPr>
          <w:rFonts w:ascii="Arial" w:eastAsia="Times New Roman" w:hAnsi="Arial" w:cs="Arial"/>
          <w:b/>
          <w:sz w:val="20"/>
        </w:rPr>
      </w:pPr>
    </w:p>
    <w:p w14:paraId="12A99F79" w14:textId="77777777" w:rsidR="007A2C15" w:rsidRPr="006C4FCA" w:rsidRDefault="000B0DB1" w:rsidP="006C4FCA">
      <w:pPr>
        <w:spacing w:line="240" w:lineRule="auto"/>
        <w:ind w:left="-5"/>
        <w:rPr>
          <w:rFonts w:ascii="Arial" w:eastAsia="Times New Roman" w:hAnsi="Arial" w:cs="Arial"/>
          <w:b/>
          <w:sz w:val="22"/>
          <w:szCs w:val="20"/>
        </w:rPr>
      </w:pPr>
      <w:r w:rsidRPr="006C4FCA">
        <w:rPr>
          <w:rFonts w:ascii="Arial" w:hAnsi="Arial" w:cs="Arial"/>
          <w:b/>
          <w:sz w:val="22"/>
          <w:szCs w:val="20"/>
        </w:rPr>
        <w:t xml:space="preserve">3.1.5. </w:t>
      </w:r>
      <w:r w:rsidR="0007076A" w:rsidRPr="006C4FCA">
        <w:rPr>
          <w:rFonts w:ascii="Arial" w:eastAsia="Times New Roman" w:hAnsi="Arial" w:cs="Arial"/>
          <w:b/>
          <w:sz w:val="22"/>
          <w:szCs w:val="20"/>
        </w:rPr>
        <w:t>Effect of treatments on leaf dimensions of potato plants</w:t>
      </w:r>
    </w:p>
    <w:p w14:paraId="10578FF8" w14:textId="77777777" w:rsidR="00636E71" w:rsidRPr="006C4FCA" w:rsidRDefault="00636E71" w:rsidP="006C4FCA">
      <w:pPr>
        <w:spacing w:line="240" w:lineRule="auto"/>
        <w:ind w:left="-6"/>
        <w:rPr>
          <w:rFonts w:ascii="Arial" w:eastAsia="Times New Roman" w:hAnsi="Arial" w:cs="Arial"/>
          <w:b/>
          <w:sz w:val="20"/>
          <w:szCs w:val="20"/>
        </w:rPr>
      </w:pPr>
    </w:p>
    <w:p w14:paraId="0A3ADA9D" w14:textId="77777777" w:rsidR="0007076A" w:rsidRDefault="0007076A" w:rsidP="006C4FCA">
      <w:pPr>
        <w:spacing w:line="240" w:lineRule="auto"/>
        <w:ind w:left="-5"/>
        <w:rPr>
          <w:rFonts w:ascii="Arial" w:hAnsi="Arial" w:cs="Arial"/>
          <w:sz w:val="20"/>
          <w:szCs w:val="20"/>
        </w:rPr>
      </w:pPr>
      <w:r w:rsidRPr="006C4FCA">
        <w:rPr>
          <w:rFonts w:ascii="Arial" w:hAnsi="Arial" w:cs="Arial"/>
          <w:sz w:val="20"/>
          <w:szCs w:val="20"/>
        </w:rPr>
        <w:t xml:space="preserve">Table 3 shows the evolution of leaf length and width as a function of treatments. NPK generated the highest mean values, followed by </w:t>
      </w:r>
      <w:r w:rsidRPr="006C4FCA">
        <w:rPr>
          <w:rFonts w:ascii="Arial" w:eastAsia="Times New Roman" w:hAnsi="Arial" w:cs="Arial"/>
          <w:i/>
          <w:sz w:val="20"/>
          <w:szCs w:val="20"/>
        </w:rPr>
        <w:t xml:space="preserve">A. filiculoides </w:t>
      </w:r>
      <w:r w:rsidRPr="006C4FCA">
        <w:rPr>
          <w:rFonts w:ascii="Arial" w:hAnsi="Arial" w:cs="Arial"/>
          <w:sz w:val="20"/>
          <w:szCs w:val="20"/>
        </w:rPr>
        <w:t xml:space="preserve">and </w:t>
      </w:r>
      <w:r w:rsidRPr="006C4FCA">
        <w:rPr>
          <w:rFonts w:ascii="Arial" w:eastAsia="Times New Roman" w:hAnsi="Arial" w:cs="Arial"/>
          <w:i/>
          <w:sz w:val="20"/>
          <w:szCs w:val="20"/>
        </w:rPr>
        <w:t>C. odorata</w:t>
      </w:r>
      <w:r w:rsidRPr="006C4FCA">
        <w:rPr>
          <w:rFonts w:ascii="Arial" w:hAnsi="Arial" w:cs="Arial"/>
          <w:sz w:val="20"/>
          <w:szCs w:val="20"/>
        </w:rPr>
        <w:t xml:space="preserve">. However, these differences were not statistically significant. The control showed the lowest dimensions. </w:t>
      </w:r>
    </w:p>
    <w:p w14:paraId="0EE17162" w14:textId="77777777" w:rsidR="00636E71" w:rsidRPr="006C4FCA" w:rsidRDefault="00636E71" w:rsidP="006C4FCA">
      <w:pPr>
        <w:spacing w:line="240" w:lineRule="auto"/>
        <w:ind w:left="-5"/>
        <w:rPr>
          <w:rFonts w:ascii="Arial" w:hAnsi="Arial" w:cs="Arial"/>
          <w:sz w:val="20"/>
          <w:szCs w:val="20"/>
        </w:rPr>
      </w:pPr>
    </w:p>
    <w:p w14:paraId="79C786DA" w14:textId="77777777" w:rsidR="0007076A" w:rsidRDefault="0007076A" w:rsidP="006C4FCA">
      <w:pPr>
        <w:spacing w:line="240" w:lineRule="auto"/>
        <w:ind w:left="39" w:right="37"/>
        <w:jc w:val="center"/>
        <w:rPr>
          <w:rFonts w:ascii="Arial" w:hAnsi="Arial" w:cs="Arial"/>
          <w:b/>
          <w:sz w:val="20"/>
          <w:szCs w:val="20"/>
        </w:rPr>
      </w:pPr>
      <w:r w:rsidRPr="006C4FCA">
        <w:rPr>
          <w:rFonts w:ascii="Arial" w:hAnsi="Arial" w:cs="Arial"/>
          <w:b/>
          <w:sz w:val="20"/>
          <w:szCs w:val="20"/>
        </w:rPr>
        <w:t xml:space="preserve">Table </w:t>
      </w:r>
      <w:proofErr w:type="gramStart"/>
      <w:r w:rsidRPr="006C4FCA">
        <w:rPr>
          <w:rFonts w:ascii="Arial" w:hAnsi="Arial" w:cs="Arial"/>
          <w:b/>
          <w:sz w:val="20"/>
          <w:szCs w:val="20"/>
        </w:rPr>
        <w:t>3:</w:t>
      </w:r>
      <w:proofErr w:type="gramEnd"/>
      <w:r w:rsidRPr="006C4FCA">
        <w:rPr>
          <w:rFonts w:ascii="Arial" w:hAnsi="Arial" w:cs="Arial"/>
          <w:b/>
          <w:sz w:val="20"/>
          <w:szCs w:val="20"/>
        </w:rPr>
        <w:t xml:space="preserve"> Mean values for plant leaf length and width </w:t>
      </w:r>
    </w:p>
    <w:p w14:paraId="768D599F" w14:textId="77777777" w:rsidR="00636E71" w:rsidRPr="006C4FCA" w:rsidRDefault="00636E71" w:rsidP="006C4FCA">
      <w:pPr>
        <w:spacing w:line="240" w:lineRule="auto"/>
        <w:ind w:left="39" w:right="37"/>
        <w:jc w:val="center"/>
        <w:rPr>
          <w:rFonts w:ascii="Arial" w:hAnsi="Arial" w:cs="Arial"/>
          <w:b/>
          <w:sz w:val="20"/>
          <w:szCs w:val="20"/>
        </w:rPr>
      </w:pPr>
    </w:p>
    <w:tbl>
      <w:tblPr>
        <w:tblStyle w:val="TableGrid"/>
        <w:tblW w:w="6961" w:type="dxa"/>
        <w:tblInd w:w="1049" w:type="dxa"/>
        <w:tblCellMar>
          <w:top w:w="22" w:type="dxa"/>
          <w:left w:w="86" w:type="dxa"/>
          <w:right w:w="115" w:type="dxa"/>
        </w:tblCellMar>
        <w:tblLook w:val="04A0" w:firstRow="1" w:lastRow="0" w:firstColumn="1" w:lastColumn="0" w:noHBand="0" w:noVBand="1"/>
      </w:tblPr>
      <w:tblGrid>
        <w:gridCol w:w="1429"/>
        <w:gridCol w:w="3259"/>
        <w:gridCol w:w="2273"/>
      </w:tblGrid>
      <w:tr w:rsidR="00E33F4F" w:rsidRPr="00636E71" w14:paraId="4133E560" w14:textId="77777777" w:rsidTr="006C4FCA">
        <w:trPr>
          <w:trHeight w:val="227"/>
        </w:trPr>
        <w:tc>
          <w:tcPr>
            <w:tcW w:w="1429" w:type="dxa"/>
            <w:tcBorders>
              <w:top w:val="single" w:sz="4" w:space="0" w:color="000000"/>
              <w:left w:val="nil"/>
              <w:bottom w:val="single" w:sz="4" w:space="0" w:color="000000"/>
            </w:tcBorders>
          </w:tcPr>
          <w:p w14:paraId="27B40F7D" w14:textId="77777777" w:rsidR="00E33F4F" w:rsidRPr="006C4FCA" w:rsidRDefault="00E33F4F" w:rsidP="006C4FCA">
            <w:pPr>
              <w:spacing w:line="240" w:lineRule="auto"/>
              <w:rPr>
                <w:rFonts w:ascii="Arial" w:hAnsi="Arial" w:cs="Arial"/>
                <w:b/>
                <w:sz w:val="20"/>
                <w:szCs w:val="20"/>
              </w:rPr>
            </w:pPr>
            <w:r w:rsidRPr="006C4FCA">
              <w:rPr>
                <w:rFonts w:ascii="Arial" w:hAnsi="Arial" w:cs="Arial"/>
                <w:b/>
                <w:sz w:val="20"/>
                <w:szCs w:val="20"/>
              </w:rPr>
              <w:t xml:space="preserve">Treatments </w:t>
            </w:r>
          </w:p>
        </w:tc>
        <w:tc>
          <w:tcPr>
            <w:tcW w:w="3259" w:type="dxa"/>
            <w:tcBorders>
              <w:top w:val="single" w:sz="4" w:space="0" w:color="000000"/>
              <w:bottom w:val="single" w:sz="4" w:space="0" w:color="000000"/>
            </w:tcBorders>
          </w:tcPr>
          <w:p w14:paraId="41C30973" w14:textId="77777777" w:rsidR="00E33F4F" w:rsidRPr="006C4FCA" w:rsidRDefault="00E33F4F" w:rsidP="006C4FCA">
            <w:pPr>
              <w:spacing w:line="240" w:lineRule="auto"/>
              <w:ind w:left="25"/>
              <w:jc w:val="center"/>
              <w:rPr>
                <w:rFonts w:ascii="Arial" w:hAnsi="Arial" w:cs="Arial"/>
                <w:b/>
                <w:sz w:val="20"/>
                <w:szCs w:val="20"/>
              </w:rPr>
            </w:pPr>
            <w:r w:rsidRPr="006C4FCA">
              <w:rPr>
                <w:rFonts w:ascii="Arial" w:hAnsi="Arial" w:cs="Arial"/>
                <w:b/>
                <w:sz w:val="20"/>
                <w:szCs w:val="20"/>
              </w:rPr>
              <w:t xml:space="preserve">Leaf length </w:t>
            </w:r>
          </w:p>
        </w:tc>
        <w:tc>
          <w:tcPr>
            <w:tcW w:w="2273" w:type="dxa"/>
            <w:tcBorders>
              <w:top w:val="single" w:sz="4" w:space="0" w:color="000000"/>
              <w:bottom w:val="single" w:sz="4" w:space="0" w:color="000000"/>
              <w:right w:val="nil"/>
            </w:tcBorders>
          </w:tcPr>
          <w:p w14:paraId="724E4EDA" w14:textId="77777777" w:rsidR="00E33F4F" w:rsidRPr="006C4FCA" w:rsidRDefault="00E33F4F" w:rsidP="006C4FCA">
            <w:pPr>
              <w:spacing w:line="240" w:lineRule="auto"/>
              <w:ind w:left="28"/>
              <w:jc w:val="center"/>
              <w:rPr>
                <w:rFonts w:ascii="Arial" w:hAnsi="Arial" w:cs="Arial"/>
                <w:b/>
                <w:sz w:val="20"/>
                <w:szCs w:val="20"/>
              </w:rPr>
            </w:pPr>
            <w:r w:rsidRPr="006C4FCA">
              <w:rPr>
                <w:rFonts w:ascii="Arial" w:hAnsi="Arial" w:cs="Arial"/>
                <w:b/>
                <w:sz w:val="20"/>
                <w:szCs w:val="20"/>
              </w:rPr>
              <w:t xml:space="preserve">Leaf width </w:t>
            </w:r>
          </w:p>
        </w:tc>
      </w:tr>
      <w:tr w:rsidR="00E33F4F" w:rsidRPr="00636E71" w14:paraId="0C6B292C" w14:textId="77777777" w:rsidTr="006C4FCA">
        <w:trPr>
          <w:trHeight w:val="227"/>
        </w:trPr>
        <w:tc>
          <w:tcPr>
            <w:tcW w:w="1429" w:type="dxa"/>
            <w:tcBorders>
              <w:top w:val="single" w:sz="4" w:space="0" w:color="000000"/>
              <w:left w:val="nil"/>
              <w:bottom w:val="nil"/>
            </w:tcBorders>
          </w:tcPr>
          <w:p w14:paraId="7EF3682A" w14:textId="77777777" w:rsidR="00E33F4F" w:rsidRPr="006C4FCA" w:rsidRDefault="00E33F4F" w:rsidP="006C4FCA">
            <w:pPr>
              <w:spacing w:line="240" w:lineRule="auto"/>
              <w:rPr>
                <w:rFonts w:ascii="Arial" w:hAnsi="Arial" w:cs="Arial"/>
                <w:sz w:val="20"/>
                <w:szCs w:val="20"/>
              </w:rPr>
            </w:pPr>
            <w:r w:rsidRPr="006C4FCA">
              <w:rPr>
                <w:rFonts w:ascii="Arial" w:hAnsi="Arial" w:cs="Arial"/>
                <w:sz w:val="20"/>
                <w:szCs w:val="20"/>
              </w:rPr>
              <w:t xml:space="preserve">Co </w:t>
            </w:r>
          </w:p>
        </w:tc>
        <w:tc>
          <w:tcPr>
            <w:tcW w:w="3259" w:type="dxa"/>
            <w:tcBorders>
              <w:top w:val="single" w:sz="4" w:space="0" w:color="000000"/>
              <w:bottom w:val="nil"/>
            </w:tcBorders>
          </w:tcPr>
          <w:p w14:paraId="5AF020B9" w14:textId="77777777" w:rsidR="00E33F4F" w:rsidRPr="006C4FCA" w:rsidRDefault="00E33F4F" w:rsidP="006C4FCA">
            <w:pPr>
              <w:spacing w:line="240" w:lineRule="auto"/>
              <w:ind w:left="27"/>
              <w:jc w:val="center"/>
              <w:rPr>
                <w:rFonts w:ascii="Arial" w:hAnsi="Arial" w:cs="Arial"/>
                <w:sz w:val="20"/>
                <w:szCs w:val="20"/>
              </w:rPr>
            </w:pPr>
            <w:r w:rsidRPr="006C4FCA">
              <w:rPr>
                <w:rFonts w:ascii="Arial" w:hAnsi="Arial" w:cs="Arial"/>
                <w:sz w:val="20"/>
                <w:szCs w:val="20"/>
              </w:rPr>
              <w:t>12</w:t>
            </w:r>
            <w:r w:rsidR="00911145">
              <w:rPr>
                <w:rFonts w:ascii="Arial" w:hAnsi="Arial" w:cs="Arial"/>
                <w:sz w:val="20"/>
                <w:szCs w:val="20"/>
              </w:rPr>
              <w:t>.</w:t>
            </w:r>
            <w:r w:rsidRPr="006C4FCA">
              <w:rPr>
                <w:rFonts w:ascii="Arial" w:hAnsi="Arial" w:cs="Arial"/>
                <w:sz w:val="20"/>
                <w:szCs w:val="20"/>
              </w:rPr>
              <w:t xml:space="preserve">48a </w:t>
            </w:r>
          </w:p>
        </w:tc>
        <w:tc>
          <w:tcPr>
            <w:tcW w:w="2273" w:type="dxa"/>
            <w:tcBorders>
              <w:top w:val="single" w:sz="4" w:space="0" w:color="000000"/>
              <w:bottom w:val="nil"/>
              <w:right w:val="nil"/>
            </w:tcBorders>
          </w:tcPr>
          <w:p w14:paraId="492430A6" w14:textId="77777777" w:rsidR="00E33F4F" w:rsidRPr="006C4FCA" w:rsidRDefault="00E33F4F" w:rsidP="006C4FCA">
            <w:pPr>
              <w:spacing w:line="240" w:lineRule="auto"/>
              <w:ind w:left="34"/>
              <w:jc w:val="center"/>
              <w:rPr>
                <w:rFonts w:ascii="Arial" w:hAnsi="Arial" w:cs="Arial"/>
                <w:sz w:val="20"/>
                <w:szCs w:val="20"/>
              </w:rPr>
            </w:pPr>
            <w:r w:rsidRPr="006C4FCA">
              <w:rPr>
                <w:rFonts w:ascii="Arial" w:hAnsi="Arial" w:cs="Arial"/>
                <w:sz w:val="20"/>
                <w:szCs w:val="20"/>
              </w:rPr>
              <w:t>3</w:t>
            </w:r>
            <w:r w:rsidR="00911145">
              <w:rPr>
                <w:rFonts w:ascii="Arial" w:hAnsi="Arial" w:cs="Arial"/>
                <w:sz w:val="20"/>
                <w:szCs w:val="20"/>
              </w:rPr>
              <w:t>.</w:t>
            </w:r>
            <w:r w:rsidRPr="006C4FCA">
              <w:rPr>
                <w:rFonts w:ascii="Arial" w:hAnsi="Arial" w:cs="Arial"/>
                <w:sz w:val="20"/>
                <w:szCs w:val="20"/>
              </w:rPr>
              <w:t xml:space="preserve">7a </w:t>
            </w:r>
          </w:p>
        </w:tc>
      </w:tr>
      <w:tr w:rsidR="00E33F4F" w:rsidRPr="00636E71" w14:paraId="5ABBAA1B" w14:textId="77777777" w:rsidTr="006C4FCA">
        <w:trPr>
          <w:trHeight w:val="227"/>
        </w:trPr>
        <w:tc>
          <w:tcPr>
            <w:tcW w:w="1429" w:type="dxa"/>
            <w:tcBorders>
              <w:top w:val="nil"/>
              <w:left w:val="nil"/>
              <w:bottom w:val="nil"/>
            </w:tcBorders>
          </w:tcPr>
          <w:p w14:paraId="061740CC" w14:textId="77777777" w:rsidR="00E33F4F" w:rsidRPr="006C4FCA" w:rsidRDefault="00E33F4F" w:rsidP="006C4FCA">
            <w:pPr>
              <w:spacing w:line="240" w:lineRule="auto"/>
              <w:rPr>
                <w:rFonts w:ascii="Arial" w:hAnsi="Arial" w:cs="Arial"/>
                <w:sz w:val="20"/>
                <w:szCs w:val="20"/>
              </w:rPr>
            </w:pPr>
            <w:r w:rsidRPr="006C4FCA">
              <w:rPr>
                <w:rFonts w:ascii="Arial" w:hAnsi="Arial" w:cs="Arial"/>
                <w:sz w:val="20"/>
                <w:szCs w:val="20"/>
              </w:rPr>
              <w:t xml:space="preserve">T0 </w:t>
            </w:r>
          </w:p>
        </w:tc>
        <w:tc>
          <w:tcPr>
            <w:tcW w:w="3259" w:type="dxa"/>
            <w:tcBorders>
              <w:top w:val="nil"/>
              <w:bottom w:val="nil"/>
            </w:tcBorders>
          </w:tcPr>
          <w:p w14:paraId="451D9459" w14:textId="77777777" w:rsidR="00E33F4F" w:rsidRPr="006C4FCA" w:rsidRDefault="00E33F4F" w:rsidP="006C4FCA">
            <w:pPr>
              <w:spacing w:line="240" w:lineRule="auto"/>
              <w:ind w:left="27"/>
              <w:jc w:val="center"/>
              <w:rPr>
                <w:rFonts w:ascii="Arial" w:hAnsi="Arial" w:cs="Arial"/>
                <w:sz w:val="20"/>
                <w:szCs w:val="20"/>
              </w:rPr>
            </w:pPr>
            <w:r w:rsidRPr="006C4FCA">
              <w:rPr>
                <w:rFonts w:ascii="Arial" w:hAnsi="Arial" w:cs="Arial"/>
                <w:sz w:val="20"/>
                <w:szCs w:val="20"/>
              </w:rPr>
              <w:t>11</w:t>
            </w:r>
            <w:r w:rsidR="00911145">
              <w:rPr>
                <w:rFonts w:ascii="Arial" w:hAnsi="Arial" w:cs="Arial"/>
                <w:sz w:val="20"/>
                <w:szCs w:val="20"/>
              </w:rPr>
              <w:t>.</w:t>
            </w:r>
            <w:r w:rsidRPr="006C4FCA">
              <w:rPr>
                <w:rFonts w:ascii="Arial" w:hAnsi="Arial" w:cs="Arial"/>
                <w:sz w:val="20"/>
                <w:szCs w:val="20"/>
              </w:rPr>
              <w:t xml:space="preserve">86a </w:t>
            </w:r>
          </w:p>
        </w:tc>
        <w:tc>
          <w:tcPr>
            <w:tcW w:w="2273" w:type="dxa"/>
            <w:tcBorders>
              <w:top w:val="nil"/>
              <w:bottom w:val="nil"/>
              <w:right w:val="nil"/>
            </w:tcBorders>
          </w:tcPr>
          <w:p w14:paraId="1AD0E3B0" w14:textId="77777777" w:rsidR="00E33F4F" w:rsidRPr="006C4FCA" w:rsidRDefault="00E33F4F" w:rsidP="006C4FCA">
            <w:pPr>
              <w:spacing w:line="240" w:lineRule="auto"/>
              <w:ind w:left="34"/>
              <w:jc w:val="center"/>
              <w:rPr>
                <w:rFonts w:ascii="Arial" w:hAnsi="Arial" w:cs="Arial"/>
                <w:sz w:val="20"/>
                <w:szCs w:val="20"/>
              </w:rPr>
            </w:pPr>
            <w:r w:rsidRPr="006C4FCA">
              <w:rPr>
                <w:rFonts w:ascii="Arial" w:hAnsi="Arial" w:cs="Arial"/>
                <w:sz w:val="20"/>
                <w:szCs w:val="20"/>
              </w:rPr>
              <w:t>3</w:t>
            </w:r>
            <w:r w:rsidR="00911145">
              <w:rPr>
                <w:rFonts w:ascii="Arial" w:hAnsi="Arial" w:cs="Arial"/>
                <w:sz w:val="20"/>
                <w:szCs w:val="20"/>
              </w:rPr>
              <w:t>.</w:t>
            </w:r>
            <w:r w:rsidRPr="006C4FCA">
              <w:rPr>
                <w:rFonts w:ascii="Arial" w:hAnsi="Arial" w:cs="Arial"/>
                <w:sz w:val="20"/>
                <w:szCs w:val="20"/>
              </w:rPr>
              <w:t xml:space="preserve">66a </w:t>
            </w:r>
          </w:p>
        </w:tc>
      </w:tr>
      <w:tr w:rsidR="00E33F4F" w:rsidRPr="00636E71" w14:paraId="0E24D253" w14:textId="77777777" w:rsidTr="006C4FCA">
        <w:trPr>
          <w:trHeight w:val="227"/>
        </w:trPr>
        <w:tc>
          <w:tcPr>
            <w:tcW w:w="1429" w:type="dxa"/>
            <w:tcBorders>
              <w:top w:val="nil"/>
              <w:left w:val="nil"/>
              <w:bottom w:val="nil"/>
            </w:tcBorders>
          </w:tcPr>
          <w:p w14:paraId="6C79BF79" w14:textId="77777777" w:rsidR="00E33F4F" w:rsidRPr="006C4FCA" w:rsidRDefault="00E33F4F" w:rsidP="006C4FCA">
            <w:pPr>
              <w:spacing w:line="240" w:lineRule="auto"/>
              <w:rPr>
                <w:rFonts w:ascii="Arial" w:hAnsi="Arial" w:cs="Arial"/>
                <w:sz w:val="20"/>
                <w:szCs w:val="20"/>
              </w:rPr>
            </w:pPr>
            <w:r w:rsidRPr="006C4FCA">
              <w:rPr>
                <w:rFonts w:ascii="Arial" w:hAnsi="Arial" w:cs="Arial"/>
                <w:sz w:val="20"/>
                <w:szCs w:val="20"/>
              </w:rPr>
              <w:t xml:space="preserve">AF </w:t>
            </w:r>
          </w:p>
        </w:tc>
        <w:tc>
          <w:tcPr>
            <w:tcW w:w="3259" w:type="dxa"/>
            <w:tcBorders>
              <w:top w:val="nil"/>
              <w:bottom w:val="nil"/>
            </w:tcBorders>
          </w:tcPr>
          <w:p w14:paraId="15B373DB" w14:textId="77777777" w:rsidR="00E33F4F" w:rsidRPr="006C4FCA" w:rsidRDefault="00E33F4F" w:rsidP="006C4FCA">
            <w:pPr>
              <w:spacing w:line="240" w:lineRule="auto"/>
              <w:ind w:left="27"/>
              <w:jc w:val="center"/>
              <w:rPr>
                <w:rFonts w:ascii="Arial" w:hAnsi="Arial" w:cs="Arial"/>
                <w:sz w:val="20"/>
                <w:szCs w:val="20"/>
              </w:rPr>
            </w:pPr>
            <w:r w:rsidRPr="006C4FCA">
              <w:rPr>
                <w:rFonts w:ascii="Arial" w:hAnsi="Arial" w:cs="Arial"/>
                <w:sz w:val="20"/>
                <w:szCs w:val="20"/>
              </w:rPr>
              <w:t>12</w:t>
            </w:r>
            <w:r w:rsidR="00911145">
              <w:rPr>
                <w:rFonts w:ascii="Arial" w:hAnsi="Arial" w:cs="Arial"/>
                <w:sz w:val="20"/>
                <w:szCs w:val="20"/>
              </w:rPr>
              <w:t>.</w:t>
            </w:r>
            <w:r w:rsidRPr="006C4FCA">
              <w:rPr>
                <w:rFonts w:ascii="Arial" w:hAnsi="Arial" w:cs="Arial"/>
                <w:sz w:val="20"/>
                <w:szCs w:val="20"/>
              </w:rPr>
              <w:t xml:space="preserve">87a </w:t>
            </w:r>
          </w:p>
        </w:tc>
        <w:tc>
          <w:tcPr>
            <w:tcW w:w="2273" w:type="dxa"/>
            <w:tcBorders>
              <w:top w:val="nil"/>
              <w:bottom w:val="nil"/>
              <w:right w:val="nil"/>
            </w:tcBorders>
          </w:tcPr>
          <w:p w14:paraId="20704571" w14:textId="77777777" w:rsidR="00E33F4F" w:rsidRPr="006C4FCA" w:rsidRDefault="00E33F4F" w:rsidP="006C4FCA">
            <w:pPr>
              <w:spacing w:line="240" w:lineRule="auto"/>
              <w:ind w:left="34"/>
              <w:jc w:val="center"/>
              <w:rPr>
                <w:rFonts w:ascii="Arial" w:hAnsi="Arial" w:cs="Arial"/>
                <w:sz w:val="20"/>
                <w:szCs w:val="20"/>
              </w:rPr>
            </w:pPr>
            <w:r w:rsidRPr="006C4FCA">
              <w:rPr>
                <w:rFonts w:ascii="Arial" w:hAnsi="Arial" w:cs="Arial"/>
                <w:sz w:val="20"/>
                <w:szCs w:val="20"/>
              </w:rPr>
              <w:t>3</w:t>
            </w:r>
            <w:r w:rsidR="00911145">
              <w:rPr>
                <w:rFonts w:ascii="Arial" w:hAnsi="Arial" w:cs="Arial"/>
                <w:sz w:val="20"/>
                <w:szCs w:val="20"/>
              </w:rPr>
              <w:t>.</w:t>
            </w:r>
            <w:r w:rsidRPr="006C4FCA">
              <w:rPr>
                <w:rFonts w:ascii="Arial" w:hAnsi="Arial" w:cs="Arial"/>
                <w:sz w:val="20"/>
                <w:szCs w:val="20"/>
              </w:rPr>
              <w:t xml:space="preserve">72a </w:t>
            </w:r>
          </w:p>
        </w:tc>
      </w:tr>
      <w:tr w:rsidR="00E33F4F" w:rsidRPr="00636E71" w14:paraId="711FF591" w14:textId="77777777" w:rsidTr="006C4FCA">
        <w:trPr>
          <w:trHeight w:val="227"/>
        </w:trPr>
        <w:tc>
          <w:tcPr>
            <w:tcW w:w="1429" w:type="dxa"/>
            <w:tcBorders>
              <w:top w:val="nil"/>
              <w:left w:val="nil"/>
              <w:bottom w:val="nil"/>
            </w:tcBorders>
          </w:tcPr>
          <w:p w14:paraId="35A57E90" w14:textId="77777777" w:rsidR="00E33F4F" w:rsidRPr="006C4FCA" w:rsidRDefault="00E33F4F" w:rsidP="006C4FCA">
            <w:pPr>
              <w:spacing w:line="240" w:lineRule="auto"/>
              <w:rPr>
                <w:rFonts w:ascii="Arial" w:hAnsi="Arial" w:cs="Arial"/>
                <w:sz w:val="20"/>
                <w:szCs w:val="20"/>
              </w:rPr>
            </w:pPr>
            <w:r w:rsidRPr="006C4FCA">
              <w:rPr>
                <w:rFonts w:ascii="Arial" w:hAnsi="Arial" w:cs="Arial"/>
                <w:sz w:val="20"/>
                <w:szCs w:val="20"/>
              </w:rPr>
              <w:t xml:space="preserve">NPK </w:t>
            </w:r>
          </w:p>
        </w:tc>
        <w:tc>
          <w:tcPr>
            <w:tcW w:w="3259" w:type="dxa"/>
            <w:tcBorders>
              <w:top w:val="nil"/>
              <w:bottom w:val="nil"/>
            </w:tcBorders>
          </w:tcPr>
          <w:p w14:paraId="28F52DEF" w14:textId="77777777" w:rsidR="00E33F4F" w:rsidRPr="006C4FCA" w:rsidRDefault="00E33F4F" w:rsidP="006C4FCA">
            <w:pPr>
              <w:spacing w:line="240" w:lineRule="auto"/>
              <w:ind w:left="27"/>
              <w:jc w:val="center"/>
              <w:rPr>
                <w:rFonts w:ascii="Arial" w:hAnsi="Arial" w:cs="Arial"/>
                <w:sz w:val="20"/>
                <w:szCs w:val="20"/>
              </w:rPr>
            </w:pPr>
            <w:r w:rsidRPr="006C4FCA">
              <w:rPr>
                <w:rFonts w:ascii="Arial" w:hAnsi="Arial" w:cs="Arial"/>
                <w:sz w:val="20"/>
                <w:szCs w:val="20"/>
              </w:rPr>
              <w:t>13</w:t>
            </w:r>
            <w:r w:rsidR="00911145">
              <w:rPr>
                <w:rFonts w:ascii="Arial" w:hAnsi="Arial" w:cs="Arial"/>
                <w:sz w:val="20"/>
                <w:szCs w:val="20"/>
              </w:rPr>
              <w:t>.</w:t>
            </w:r>
            <w:r w:rsidRPr="006C4FCA">
              <w:rPr>
                <w:rFonts w:ascii="Arial" w:hAnsi="Arial" w:cs="Arial"/>
                <w:sz w:val="20"/>
                <w:szCs w:val="20"/>
              </w:rPr>
              <w:t xml:space="preserve">36a </w:t>
            </w:r>
          </w:p>
        </w:tc>
        <w:tc>
          <w:tcPr>
            <w:tcW w:w="2273" w:type="dxa"/>
            <w:tcBorders>
              <w:top w:val="nil"/>
              <w:bottom w:val="nil"/>
              <w:right w:val="nil"/>
            </w:tcBorders>
          </w:tcPr>
          <w:p w14:paraId="60EFF892" w14:textId="77777777" w:rsidR="00E33F4F" w:rsidRPr="006C4FCA" w:rsidRDefault="00E33F4F" w:rsidP="006C4FCA">
            <w:pPr>
              <w:spacing w:line="240" w:lineRule="auto"/>
              <w:ind w:left="34"/>
              <w:jc w:val="center"/>
              <w:rPr>
                <w:rFonts w:ascii="Arial" w:hAnsi="Arial" w:cs="Arial"/>
                <w:sz w:val="20"/>
                <w:szCs w:val="20"/>
              </w:rPr>
            </w:pPr>
            <w:r w:rsidRPr="006C4FCA">
              <w:rPr>
                <w:rFonts w:ascii="Arial" w:hAnsi="Arial" w:cs="Arial"/>
                <w:sz w:val="20"/>
                <w:szCs w:val="20"/>
              </w:rPr>
              <w:t xml:space="preserve">3 88a </w:t>
            </w:r>
          </w:p>
        </w:tc>
      </w:tr>
      <w:tr w:rsidR="00E33F4F" w:rsidRPr="00636E71" w14:paraId="18F6CD00" w14:textId="77777777" w:rsidTr="006C4FCA">
        <w:trPr>
          <w:trHeight w:val="227"/>
        </w:trPr>
        <w:tc>
          <w:tcPr>
            <w:tcW w:w="1429" w:type="dxa"/>
            <w:tcBorders>
              <w:top w:val="nil"/>
              <w:left w:val="nil"/>
              <w:bottom w:val="single" w:sz="4" w:space="0" w:color="000000"/>
            </w:tcBorders>
          </w:tcPr>
          <w:p w14:paraId="721CB788" w14:textId="77777777" w:rsidR="00E33F4F" w:rsidRPr="006C4FCA" w:rsidRDefault="00E33F4F" w:rsidP="006C4FCA">
            <w:pPr>
              <w:spacing w:line="240" w:lineRule="auto"/>
              <w:rPr>
                <w:rFonts w:ascii="Arial" w:hAnsi="Arial" w:cs="Arial"/>
                <w:sz w:val="20"/>
                <w:szCs w:val="20"/>
              </w:rPr>
            </w:pPr>
            <w:r w:rsidRPr="006C4FCA">
              <w:rPr>
                <w:rFonts w:ascii="Arial" w:hAnsi="Arial" w:cs="Arial"/>
                <w:sz w:val="20"/>
                <w:szCs w:val="20"/>
              </w:rPr>
              <w:t xml:space="preserve">P value </w:t>
            </w:r>
          </w:p>
        </w:tc>
        <w:tc>
          <w:tcPr>
            <w:tcW w:w="3259" w:type="dxa"/>
            <w:tcBorders>
              <w:top w:val="nil"/>
              <w:bottom w:val="single" w:sz="4" w:space="0" w:color="000000"/>
            </w:tcBorders>
          </w:tcPr>
          <w:p w14:paraId="52B9BFFC" w14:textId="77777777" w:rsidR="00E33F4F" w:rsidRPr="006C4FCA" w:rsidRDefault="00E33F4F" w:rsidP="006C4FCA">
            <w:pPr>
              <w:spacing w:line="240" w:lineRule="auto"/>
              <w:ind w:left="26"/>
              <w:jc w:val="center"/>
              <w:rPr>
                <w:rFonts w:ascii="Arial" w:hAnsi="Arial" w:cs="Arial"/>
                <w:sz w:val="20"/>
                <w:szCs w:val="20"/>
              </w:rPr>
            </w:pPr>
            <w:r w:rsidRPr="006C4FCA">
              <w:rPr>
                <w:rFonts w:ascii="Arial" w:hAnsi="Arial" w:cs="Arial"/>
                <w:sz w:val="20"/>
                <w:szCs w:val="20"/>
              </w:rPr>
              <w:t>0</w:t>
            </w:r>
            <w:r w:rsidR="00911145">
              <w:rPr>
                <w:rFonts w:ascii="Arial" w:hAnsi="Arial" w:cs="Arial"/>
                <w:sz w:val="20"/>
                <w:szCs w:val="20"/>
              </w:rPr>
              <w:t>.</w:t>
            </w:r>
            <w:r w:rsidRPr="006C4FCA">
              <w:rPr>
                <w:rFonts w:ascii="Arial" w:hAnsi="Arial" w:cs="Arial"/>
                <w:sz w:val="20"/>
                <w:szCs w:val="20"/>
              </w:rPr>
              <w:t xml:space="preserve">4 </w:t>
            </w:r>
          </w:p>
        </w:tc>
        <w:tc>
          <w:tcPr>
            <w:tcW w:w="2273" w:type="dxa"/>
            <w:tcBorders>
              <w:top w:val="nil"/>
              <w:bottom w:val="single" w:sz="4" w:space="0" w:color="000000"/>
              <w:right w:val="nil"/>
            </w:tcBorders>
          </w:tcPr>
          <w:p w14:paraId="3B070FD2" w14:textId="77777777" w:rsidR="00E33F4F" w:rsidRPr="006C4FCA" w:rsidRDefault="00E33F4F" w:rsidP="006C4FCA">
            <w:pPr>
              <w:spacing w:line="240" w:lineRule="auto"/>
              <w:ind w:left="33"/>
              <w:jc w:val="center"/>
              <w:rPr>
                <w:rFonts w:ascii="Arial" w:hAnsi="Arial" w:cs="Arial"/>
                <w:sz w:val="20"/>
                <w:szCs w:val="20"/>
              </w:rPr>
            </w:pPr>
            <w:r w:rsidRPr="006C4FCA">
              <w:rPr>
                <w:rFonts w:ascii="Arial" w:hAnsi="Arial" w:cs="Arial"/>
                <w:sz w:val="20"/>
                <w:szCs w:val="20"/>
              </w:rPr>
              <w:t>0</w:t>
            </w:r>
            <w:r w:rsidR="00911145">
              <w:rPr>
                <w:rFonts w:ascii="Arial" w:hAnsi="Arial" w:cs="Arial"/>
                <w:sz w:val="20"/>
                <w:szCs w:val="20"/>
              </w:rPr>
              <w:t>.</w:t>
            </w:r>
            <w:r w:rsidRPr="006C4FCA">
              <w:rPr>
                <w:rFonts w:ascii="Arial" w:hAnsi="Arial" w:cs="Arial"/>
                <w:sz w:val="20"/>
                <w:szCs w:val="20"/>
              </w:rPr>
              <w:t xml:space="preserve">1 </w:t>
            </w:r>
          </w:p>
        </w:tc>
      </w:tr>
    </w:tbl>
    <w:p w14:paraId="4F232715" w14:textId="77777777" w:rsidR="00636E71" w:rsidRDefault="00636E71">
      <w:pPr>
        <w:spacing w:line="240" w:lineRule="auto"/>
        <w:ind w:left="-6" w:right="-6"/>
        <w:jc w:val="both"/>
        <w:rPr>
          <w:rFonts w:ascii="Arial" w:eastAsia="Times New Roman" w:hAnsi="Arial" w:cs="Arial"/>
          <w:i/>
          <w:sz w:val="20"/>
          <w:szCs w:val="20"/>
        </w:rPr>
      </w:pPr>
    </w:p>
    <w:p w14:paraId="129F1F4F" w14:textId="77777777" w:rsidR="00E33F4F" w:rsidRPr="006C4FCA" w:rsidRDefault="00E33F4F">
      <w:pPr>
        <w:spacing w:line="240" w:lineRule="auto"/>
        <w:ind w:left="-6" w:right="-6"/>
        <w:jc w:val="both"/>
        <w:rPr>
          <w:rFonts w:ascii="Arial" w:hAnsi="Arial" w:cs="Arial"/>
          <w:sz w:val="18"/>
          <w:szCs w:val="20"/>
        </w:rPr>
      </w:pPr>
      <w:proofErr w:type="gramStart"/>
      <w:r w:rsidRPr="006C4FCA">
        <w:rPr>
          <w:rFonts w:ascii="Arial" w:eastAsia="Times New Roman" w:hAnsi="Arial" w:cs="Arial"/>
          <w:i/>
          <w:sz w:val="18"/>
          <w:szCs w:val="20"/>
        </w:rPr>
        <w:t>Co:</w:t>
      </w:r>
      <w:proofErr w:type="gramEnd"/>
      <w:r w:rsidRPr="006C4FCA">
        <w:rPr>
          <w:rFonts w:ascii="Arial" w:eastAsia="Times New Roman" w:hAnsi="Arial" w:cs="Arial"/>
          <w:i/>
          <w:sz w:val="18"/>
          <w:szCs w:val="20"/>
        </w:rPr>
        <w:t xml:space="preserve"> Chromolaena odorata; T0 = control; AF: Azolla filiculoïdes; NPK (15 15 15</w:t>
      </w:r>
      <w:r w:rsidR="00445444" w:rsidRPr="006C4FCA">
        <w:rPr>
          <w:rFonts w:ascii="Arial" w:eastAsia="Times New Roman" w:hAnsi="Arial" w:cs="Arial"/>
          <w:i/>
          <w:sz w:val="18"/>
          <w:szCs w:val="20"/>
        </w:rPr>
        <w:t xml:space="preserve"> Nitrogen-Phosphorus-Potassium</w:t>
      </w:r>
      <w:r w:rsidRPr="006C4FCA">
        <w:rPr>
          <w:rFonts w:ascii="Arial" w:eastAsia="Times New Roman" w:hAnsi="Arial" w:cs="Arial"/>
          <w:i/>
          <w:sz w:val="18"/>
          <w:szCs w:val="20"/>
        </w:rPr>
        <w:t xml:space="preserve">; Values assigned the same letter do not differ significantly from each other, while those followed by different letters show statistically significant differences at the 5% threshold. </w:t>
      </w:r>
    </w:p>
    <w:p w14:paraId="7D80C288" w14:textId="77777777" w:rsidR="00E33F4F" w:rsidRPr="006C4FCA" w:rsidRDefault="00E33F4F" w:rsidP="006C4FCA">
      <w:pPr>
        <w:spacing w:line="240" w:lineRule="auto"/>
        <w:rPr>
          <w:rFonts w:ascii="Arial" w:hAnsi="Arial" w:cs="Arial"/>
          <w:sz w:val="20"/>
        </w:rPr>
      </w:pPr>
    </w:p>
    <w:p w14:paraId="4FB3DB62" w14:textId="77777777" w:rsidR="00911145" w:rsidRDefault="00636E71" w:rsidP="006C4FCA">
      <w:pPr>
        <w:spacing w:line="240" w:lineRule="auto"/>
        <w:rPr>
          <w:rFonts w:ascii="Arial" w:hAnsi="Arial" w:cs="Arial"/>
          <w:b/>
          <w:sz w:val="22"/>
          <w:szCs w:val="20"/>
        </w:rPr>
      </w:pPr>
      <w:r w:rsidRPr="004A6B55">
        <w:rPr>
          <w:rFonts w:ascii="Arial" w:hAnsi="Arial" w:cs="Arial"/>
          <w:b/>
          <w:sz w:val="22"/>
          <w:szCs w:val="20"/>
        </w:rPr>
        <w:t xml:space="preserve">3.2. </w:t>
      </w:r>
      <w:r w:rsidRPr="00636E71">
        <w:rPr>
          <w:rFonts w:ascii="Arial" w:hAnsi="Arial" w:cs="Arial"/>
          <w:b/>
          <w:sz w:val="22"/>
          <w:szCs w:val="20"/>
        </w:rPr>
        <w:t>Discussion</w:t>
      </w:r>
    </w:p>
    <w:p w14:paraId="41F421BB" w14:textId="77777777" w:rsidR="00911145" w:rsidRPr="006C4FCA" w:rsidRDefault="00636E71" w:rsidP="006C4FCA">
      <w:pPr>
        <w:spacing w:line="240" w:lineRule="auto"/>
        <w:rPr>
          <w:rFonts w:ascii="Arial" w:hAnsi="Arial" w:cs="Arial"/>
          <w:b/>
          <w:sz w:val="22"/>
          <w:szCs w:val="20"/>
        </w:rPr>
      </w:pPr>
      <w:r w:rsidRPr="00636E71">
        <w:rPr>
          <w:rFonts w:ascii="Arial" w:hAnsi="Arial" w:cs="Arial"/>
          <w:b/>
          <w:sz w:val="22"/>
          <w:szCs w:val="20"/>
        </w:rPr>
        <w:t xml:space="preserve"> </w:t>
      </w:r>
    </w:p>
    <w:p w14:paraId="4DBEE8B0" w14:textId="77777777" w:rsidR="0007076A" w:rsidRPr="006C4FCA" w:rsidRDefault="0007076A" w:rsidP="006C4FCA">
      <w:pPr>
        <w:spacing w:line="240" w:lineRule="auto"/>
        <w:ind w:left="-6"/>
        <w:jc w:val="both"/>
        <w:rPr>
          <w:rFonts w:ascii="Arial" w:hAnsi="Arial" w:cs="Arial"/>
          <w:sz w:val="20"/>
          <w:szCs w:val="20"/>
        </w:rPr>
      </w:pPr>
      <w:r w:rsidRPr="006C4FCA">
        <w:rPr>
          <w:rFonts w:ascii="Arial" w:hAnsi="Arial" w:cs="Arial"/>
          <w:sz w:val="20"/>
          <w:szCs w:val="20"/>
        </w:rPr>
        <w:t xml:space="preserve">The soil analyzed has a sandy-clay texture, composed of 37.09% clay, 16.07% silt and 46.84% sand. This textural configuration ensures a favorable balance between drainage, aeration and water retention, conditions deemed optimal for potato cultivation (Ngoyi et al., 2020). The high proportion of sand improves workability and limits compaction, which favors the formation of well-shaped tubers while reducing the risk of diseases linked to excess moisture. However, this high sand content can also reduce water and nutrient retention, necessitating strict management of irrigation and fertilizer inputs (Maraux et al., 2007). The clay content, above 35%, enhances water retention capacity, a major advantage during periods of high physiological demand, particularly during tuberization. The balance between coarse and fine fractions gives the soil a porosity favorable to root development, an essential factor for potatoes </w:t>
      </w:r>
      <w:r w:rsidRPr="006C4FCA">
        <w:rPr>
          <w:rFonts w:ascii="Arial" w:hAnsi="Arial" w:cs="Arial"/>
          <w:sz w:val="20"/>
          <w:szCs w:val="20"/>
        </w:rPr>
        <w:lastRenderedPageBreak/>
        <w:t xml:space="preserve">with shallow root systems. According to Roy </w:t>
      </w:r>
      <w:r w:rsidRPr="006C4FCA">
        <w:rPr>
          <w:rFonts w:ascii="Arial" w:hAnsi="Arial" w:cs="Arial"/>
          <w:i/>
          <w:sz w:val="20"/>
          <w:szCs w:val="20"/>
        </w:rPr>
        <w:t>et al</w:t>
      </w:r>
      <w:r w:rsidRPr="006C4FCA">
        <w:rPr>
          <w:rFonts w:ascii="Arial" w:hAnsi="Arial" w:cs="Arial"/>
          <w:sz w:val="20"/>
          <w:szCs w:val="20"/>
        </w:rPr>
        <w:t xml:space="preserve">. (2014), a well-drained, aerated soil with a pH between 5 and 6 is optimal for this </w:t>
      </w:r>
      <w:proofErr w:type="gramStart"/>
      <w:r w:rsidRPr="006C4FCA">
        <w:rPr>
          <w:rFonts w:ascii="Arial" w:hAnsi="Arial" w:cs="Arial"/>
          <w:sz w:val="20"/>
          <w:szCs w:val="20"/>
        </w:rPr>
        <w:t>crop;</w:t>
      </w:r>
      <w:proofErr w:type="gramEnd"/>
      <w:r w:rsidRPr="006C4FCA">
        <w:rPr>
          <w:rFonts w:ascii="Arial" w:hAnsi="Arial" w:cs="Arial"/>
          <w:sz w:val="20"/>
          <w:szCs w:val="20"/>
        </w:rPr>
        <w:t xml:space="preserve"> here, the pH measured at 5.95 meets these criteria. This moderate acidity optimizes the availability of major nutrients, but can limit that of calcium and magnesium, while also promoting aluminum toxicity in some cases (Brady </w:t>
      </w:r>
      <w:r w:rsidR="002664A9" w:rsidRPr="006C4FCA">
        <w:rPr>
          <w:rFonts w:ascii="Arial" w:hAnsi="Arial" w:cs="Arial"/>
          <w:sz w:val="20"/>
          <w:szCs w:val="20"/>
        </w:rPr>
        <w:t>and</w:t>
      </w:r>
      <w:r w:rsidRPr="006C4FCA">
        <w:rPr>
          <w:rFonts w:ascii="Arial" w:hAnsi="Arial" w:cs="Arial"/>
          <w:sz w:val="20"/>
          <w:szCs w:val="20"/>
        </w:rPr>
        <w:t xml:space="preserve"> Weil, 2008). Organically, organic matter is 2.285%, a moderate but low level for a tropical soil subject to rapid mineralization, which affects structural stability, water retention capacity and mineral nutrition. Total nitrogen is low (0.105%), below potato requirements, although the C/N ratio of 12.655 suggests a balance between mineralization and immobilization (Haverkort et al., 2009). On the other hand, assimilable phosphorus is very deficient (0.57 mg/kg), which could limit rooting and tuberization (Olsen et al., </w:t>
      </w:r>
      <w:proofErr w:type="gramStart"/>
      <w:r w:rsidRPr="006C4FCA">
        <w:rPr>
          <w:rFonts w:ascii="Arial" w:hAnsi="Arial" w:cs="Arial"/>
          <w:sz w:val="20"/>
          <w:szCs w:val="20"/>
        </w:rPr>
        <w:t>1954;</w:t>
      </w:r>
      <w:proofErr w:type="gramEnd"/>
      <w:r w:rsidRPr="006C4FCA">
        <w:rPr>
          <w:rFonts w:ascii="Arial" w:hAnsi="Arial" w:cs="Arial"/>
          <w:sz w:val="20"/>
          <w:szCs w:val="20"/>
        </w:rPr>
        <w:t xml:space="preserve"> White </w:t>
      </w:r>
      <w:r w:rsidR="002664A9" w:rsidRPr="006C4FCA">
        <w:rPr>
          <w:rFonts w:ascii="Arial" w:hAnsi="Arial" w:cs="Arial"/>
          <w:sz w:val="20"/>
          <w:szCs w:val="20"/>
        </w:rPr>
        <w:t>and</w:t>
      </w:r>
      <w:r w:rsidRPr="006C4FCA">
        <w:rPr>
          <w:rFonts w:ascii="Arial" w:hAnsi="Arial" w:cs="Arial"/>
          <w:sz w:val="20"/>
          <w:szCs w:val="20"/>
        </w:rPr>
        <w:t xml:space="preserve"> Brown, 2010). With regard to exchangeable cations, potassium (1.445 cmol/kg) is low to moderate, which may affect tuber quality and tolerance to abiotic stress. Calcium is satisfactory (3.175 cmol/kg), while magnesium (0.6 cmol/kg) remains marginal, which may reduce photosynthetic efficiency. Sodium is scarce (0.275 cmol/kg), limiting the risk of salinization. Cation exchange capacity (CEC) is 16.3 cmol/kg, indicating moderate chemical fertility typical of tropical soils, but low base saturation (33.93%) reveals a limited reserve of base cations and vulnerability to acidification and leaching (Bationo et al., 1998). These characteristics underline the need for an agronomic strategy integrating regular organic amendments and targeted mineral inputs to optimize potato yields in this constrained pedoclimatic context. </w:t>
      </w:r>
    </w:p>
    <w:p w14:paraId="2FF1750A" w14:textId="77777777" w:rsidR="0007076A" w:rsidRPr="006C4FCA" w:rsidRDefault="0007076A" w:rsidP="006C4FCA">
      <w:pPr>
        <w:spacing w:line="240" w:lineRule="auto"/>
        <w:ind w:left="-5"/>
        <w:jc w:val="both"/>
        <w:rPr>
          <w:rFonts w:ascii="Arial" w:hAnsi="Arial" w:cs="Arial"/>
          <w:sz w:val="20"/>
          <w:szCs w:val="20"/>
        </w:rPr>
      </w:pPr>
      <w:r w:rsidRPr="006C4FCA">
        <w:rPr>
          <w:rFonts w:ascii="Arial" w:hAnsi="Arial" w:cs="Arial"/>
          <w:sz w:val="20"/>
          <w:szCs w:val="20"/>
        </w:rPr>
        <w:t>The experiment carried out in humid tropical conditions assessed the comparative effects of two biofertilizers (</w:t>
      </w:r>
      <w:r w:rsidRPr="006C4FCA">
        <w:rPr>
          <w:rFonts w:ascii="Arial" w:eastAsia="Times New Roman" w:hAnsi="Arial" w:cs="Arial"/>
          <w:i/>
          <w:sz w:val="20"/>
          <w:szCs w:val="20"/>
        </w:rPr>
        <w:t xml:space="preserve">Chromolaena odorata </w:t>
      </w:r>
      <w:r w:rsidRPr="006C4FCA">
        <w:rPr>
          <w:rFonts w:ascii="Arial" w:hAnsi="Arial" w:cs="Arial"/>
          <w:sz w:val="20"/>
          <w:szCs w:val="20"/>
        </w:rPr>
        <w:t xml:space="preserve">and </w:t>
      </w:r>
      <w:r w:rsidRPr="006C4FCA">
        <w:rPr>
          <w:rFonts w:ascii="Arial" w:eastAsia="Times New Roman" w:hAnsi="Arial" w:cs="Arial"/>
          <w:i/>
          <w:sz w:val="20"/>
          <w:szCs w:val="20"/>
        </w:rPr>
        <w:t>Azolla filiculoides</w:t>
      </w:r>
      <w:r w:rsidRPr="006C4FCA">
        <w:rPr>
          <w:rFonts w:ascii="Arial" w:hAnsi="Arial" w:cs="Arial"/>
          <w:sz w:val="20"/>
          <w:szCs w:val="20"/>
        </w:rPr>
        <w:t xml:space="preserve">), a mineral fertilizer (NPK 1515-15) and an unfertilized control on several growth parameters of </w:t>
      </w:r>
      <w:r w:rsidRPr="006C4FCA">
        <w:rPr>
          <w:rFonts w:ascii="Arial" w:eastAsia="Times New Roman" w:hAnsi="Arial" w:cs="Arial"/>
          <w:i/>
          <w:sz w:val="20"/>
          <w:szCs w:val="20"/>
        </w:rPr>
        <w:t xml:space="preserve">Solanum tuberosum </w:t>
      </w:r>
      <w:r w:rsidRPr="006C4FCA">
        <w:rPr>
          <w:rFonts w:ascii="Arial" w:hAnsi="Arial" w:cs="Arial"/>
          <w:sz w:val="20"/>
          <w:szCs w:val="20"/>
        </w:rPr>
        <w:t xml:space="preserve">L. The results show that certain vegetative traits were significantly influenced by the treatments, reflecting their differential impact on plant growth and development. The results show that certain vegetative traits were significantly influenced by the treatments, reflecting their differential impact on plant growth and development. Diameter at collar was found to be strongly dependent on the inputs used (p = 0.001). From the first week after sowing, significant differences were perceptible, and a steady progression was observed in all treatments. By the seventh week, NPK produced the maximum diameter (0.70 cm), followed by </w:t>
      </w:r>
      <w:r w:rsidRPr="006C4FCA">
        <w:rPr>
          <w:rFonts w:ascii="Arial" w:eastAsia="Times New Roman" w:hAnsi="Arial" w:cs="Arial"/>
          <w:i/>
          <w:sz w:val="20"/>
          <w:szCs w:val="20"/>
        </w:rPr>
        <w:t xml:space="preserve">A. filiculoides </w:t>
      </w:r>
      <w:r w:rsidRPr="006C4FCA">
        <w:rPr>
          <w:rFonts w:ascii="Arial" w:hAnsi="Arial" w:cs="Arial"/>
          <w:sz w:val="20"/>
          <w:szCs w:val="20"/>
        </w:rPr>
        <w:t xml:space="preserve">(0.64 cm) and </w:t>
      </w:r>
      <w:r w:rsidRPr="006C4FCA">
        <w:rPr>
          <w:rFonts w:ascii="Arial" w:eastAsia="Times New Roman" w:hAnsi="Arial" w:cs="Arial"/>
          <w:i/>
          <w:sz w:val="20"/>
          <w:szCs w:val="20"/>
        </w:rPr>
        <w:t xml:space="preserve">C. odorata </w:t>
      </w:r>
      <w:r w:rsidRPr="006C4FCA">
        <w:rPr>
          <w:rFonts w:ascii="Arial" w:hAnsi="Arial" w:cs="Arial"/>
          <w:sz w:val="20"/>
          <w:szCs w:val="20"/>
        </w:rPr>
        <w:t xml:space="preserve">(0.62 cm), while the control reached only 0.52 cm. The average number of leaves was also significantly influenced (p = 0.02), with NPK superior (13.86) followed by </w:t>
      </w:r>
      <w:r w:rsidRPr="006C4FCA">
        <w:rPr>
          <w:rFonts w:ascii="Arial" w:eastAsia="Times New Roman" w:hAnsi="Arial" w:cs="Arial"/>
          <w:i/>
          <w:sz w:val="20"/>
          <w:szCs w:val="20"/>
        </w:rPr>
        <w:t xml:space="preserve">A. filiculoides </w:t>
      </w:r>
      <w:r w:rsidRPr="006C4FCA">
        <w:rPr>
          <w:rFonts w:ascii="Arial" w:hAnsi="Arial" w:cs="Arial"/>
          <w:sz w:val="20"/>
          <w:szCs w:val="20"/>
        </w:rPr>
        <w:t xml:space="preserve">(13.14). In contrast, </w:t>
      </w:r>
      <w:r w:rsidRPr="006C4FCA">
        <w:rPr>
          <w:rFonts w:ascii="Arial" w:eastAsia="Times New Roman" w:hAnsi="Arial" w:cs="Arial"/>
          <w:i/>
          <w:sz w:val="20"/>
          <w:szCs w:val="20"/>
        </w:rPr>
        <w:t xml:space="preserve">C. odorata </w:t>
      </w:r>
      <w:r w:rsidRPr="006C4FCA">
        <w:rPr>
          <w:rFonts w:ascii="Arial" w:hAnsi="Arial" w:cs="Arial"/>
          <w:sz w:val="20"/>
          <w:szCs w:val="20"/>
        </w:rPr>
        <w:t xml:space="preserve">and the control showed statistically comparable lower values (11.78 and 11.48, respectively). There was no significant difference in the number of stems (p &gt; 0.05), although there was an upward trend with NPK (2.70) and </w:t>
      </w:r>
      <w:r w:rsidRPr="006C4FCA">
        <w:rPr>
          <w:rFonts w:ascii="Arial" w:eastAsia="Times New Roman" w:hAnsi="Arial" w:cs="Arial"/>
          <w:i/>
          <w:sz w:val="20"/>
          <w:szCs w:val="20"/>
        </w:rPr>
        <w:t xml:space="preserve">A. filiculoides </w:t>
      </w:r>
      <w:r w:rsidRPr="006C4FCA">
        <w:rPr>
          <w:rFonts w:ascii="Arial" w:hAnsi="Arial" w:cs="Arial"/>
          <w:sz w:val="20"/>
          <w:szCs w:val="20"/>
        </w:rPr>
        <w:t xml:space="preserve">(2.41) compared with the other treatments (2.24). Plant height also varied significantly between treatments (p = 0.03). Between week 1 (S1) and week 5 (S5), NPK produced the greatest heights (74.4 cm), followed by </w:t>
      </w:r>
      <w:r w:rsidRPr="006C4FCA">
        <w:rPr>
          <w:rFonts w:ascii="Arial" w:eastAsia="Times New Roman" w:hAnsi="Arial" w:cs="Arial"/>
          <w:i/>
          <w:sz w:val="20"/>
          <w:szCs w:val="20"/>
        </w:rPr>
        <w:t xml:space="preserve">A. filiculoides </w:t>
      </w:r>
      <w:r w:rsidRPr="006C4FCA">
        <w:rPr>
          <w:rFonts w:ascii="Arial" w:hAnsi="Arial" w:cs="Arial"/>
          <w:sz w:val="20"/>
          <w:szCs w:val="20"/>
        </w:rPr>
        <w:t xml:space="preserve">(64.52 cm). Beyond this period, growth was more sustained with </w:t>
      </w:r>
      <w:r w:rsidRPr="006C4FCA">
        <w:rPr>
          <w:rFonts w:ascii="Arial" w:eastAsia="Times New Roman" w:hAnsi="Arial" w:cs="Arial"/>
          <w:i/>
          <w:sz w:val="20"/>
          <w:szCs w:val="20"/>
        </w:rPr>
        <w:t xml:space="preserve">C. odorata </w:t>
      </w:r>
      <w:r w:rsidRPr="006C4FCA">
        <w:rPr>
          <w:rFonts w:ascii="Arial" w:hAnsi="Arial" w:cs="Arial"/>
          <w:sz w:val="20"/>
          <w:szCs w:val="20"/>
        </w:rPr>
        <w:t xml:space="preserve">and </w:t>
      </w:r>
      <w:r w:rsidRPr="006C4FCA">
        <w:rPr>
          <w:rFonts w:ascii="Arial" w:eastAsia="Times New Roman" w:hAnsi="Arial" w:cs="Arial"/>
          <w:i/>
          <w:sz w:val="20"/>
          <w:szCs w:val="20"/>
        </w:rPr>
        <w:t>A. filiculoides</w:t>
      </w:r>
      <w:r w:rsidRPr="006C4FCA">
        <w:rPr>
          <w:rFonts w:ascii="Arial" w:hAnsi="Arial" w:cs="Arial"/>
          <w:sz w:val="20"/>
          <w:szCs w:val="20"/>
        </w:rPr>
        <w:t xml:space="preserve">, suggesting a delayed effect linked to the progressive mineralization of organic biomass. This mechanism contrasts with the rapid, but often ephemeral, availability of nutrients from mineral fertilizers, which are susceptible to leaching (Stockdale et al., </w:t>
      </w:r>
      <w:proofErr w:type="gramStart"/>
      <w:r w:rsidRPr="006C4FCA">
        <w:rPr>
          <w:rFonts w:ascii="Arial" w:hAnsi="Arial" w:cs="Arial"/>
          <w:sz w:val="20"/>
          <w:szCs w:val="20"/>
        </w:rPr>
        <w:t>2017;</w:t>
      </w:r>
      <w:proofErr w:type="gramEnd"/>
      <w:r w:rsidRPr="006C4FCA">
        <w:rPr>
          <w:rFonts w:ascii="Arial" w:hAnsi="Arial" w:cs="Arial"/>
          <w:sz w:val="20"/>
          <w:szCs w:val="20"/>
        </w:rPr>
        <w:t xml:space="preserve"> Groga </w:t>
      </w:r>
      <w:r w:rsidRPr="006C4FCA">
        <w:rPr>
          <w:rFonts w:ascii="Arial" w:hAnsi="Arial" w:cs="Arial"/>
          <w:i/>
          <w:sz w:val="20"/>
          <w:szCs w:val="20"/>
        </w:rPr>
        <w:t>et al</w:t>
      </w:r>
      <w:r w:rsidRPr="006C4FCA">
        <w:rPr>
          <w:rFonts w:ascii="Arial" w:hAnsi="Arial" w:cs="Arial"/>
          <w:sz w:val="20"/>
          <w:szCs w:val="20"/>
        </w:rPr>
        <w:t xml:space="preserve">., 2018). With regard to leaf dimensions (length and width), although the differences were not significant, the highest values were recorded with NPK, followed by </w:t>
      </w:r>
      <w:r w:rsidRPr="006C4FCA">
        <w:rPr>
          <w:rFonts w:ascii="Arial" w:eastAsia="Times New Roman" w:hAnsi="Arial" w:cs="Arial"/>
          <w:i/>
          <w:sz w:val="20"/>
          <w:szCs w:val="20"/>
        </w:rPr>
        <w:t xml:space="preserve">A. filiculoides </w:t>
      </w:r>
      <w:r w:rsidRPr="006C4FCA">
        <w:rPr>
          <w:rFonts w:ascii="Arial" w:hAnsi="Arial" w:cs="Arial"/>
          <w:sz w:val="20"/>
          <w:szCs w:val="20"/>
        </w:rPr>
        <w:t xml:space="preserve">and </w:t>
      </w:r>
      <w:r w:rsidRPr="006C4FCA">
        <w:rPr>
          <w:rFonts w:ascii="Arial" w:eastAsia="Times New Roman" w:hAnsi="Arial" w:cs="Arial"/>
          <w:i/>
          <w:sz w:val="20"/>
          <w:szCs w:val="20"/>
        </w:rPr>
        <w:t>C. odorata</w:t>
      </w:r>
      <w:r w:rsidRPr="006C4FCA">
        <w:rPr>
          <w:rFonts w:ascii="Arial" w:hAnsi="Arial" w:cs="Arial"/>
          <w:sz w:val="20"/>
          <w:szCs w:val="20"/>
        </w:rPr>
        <w:t xml:space="preserve">, while the control systematically displayed the lowest measurements, reflecting nutritional limitations. These results corroborate those of Ayoola </w:t>
      </w:r>
      <w:r w:rsidR="002664A9" w:rsidRPr="006C4FCA">
        <w:rPr>
          <w:rFonts w:ascii="Arial" w:hAnsi="Arial" w:cs="Arial"/>
          <w:sz w:val="20"/>
          <w:szCs w:val="20"/>
        </w:rPr>
        <w:t>and</w:t>
      </w:r>
      <w:r w:rsidRPr="006C4FCA">
        <w:rPr>
          <w:rFonts w:ascii="Arial" w:hAnsi="Arial" w:cs="Arial"/>
          <w:sz w:val="20"/>
          <w:szCs w:val="20"/>
        </w:rPr>
        <w:t xml:space="preserve"> Makinde (2008) and Suzuki </w:t>
      </w:r>
      <w:r w:rsidRPr="006C4FCA">
        <w:rPr>
          <w:rFonts w:ascii="Arial" w:hAnsi="Arial" w:cs="Arial"/>
          <w:i/>
          <w:sz w:val="20"/>
          <w:szCs w:val="20"/>
        </w:rPr>
        <w:t>et al</w:t>
      </w:r>
      <w:r w:rsidRPr="006C4FCA">
        <w:rPr>
          <w:rFonts w:ascii="Arial" w:hAnsi="Arial" w:cs="Arial"/>
          <w:sz w:val="20"/>
          <w:szCs w:val="20"/>
        </w:rPr>
        <w:t xml:space="preserve">. (2016), which highlight the positive effects of organic amendments on soil fertility. The performance of </w:t>
      </w:r>
      <w:r w:rsidRPr="006C4FCA">
        <w:rPr>
          <w:rFonts w:ascii="Arial" w:eastAsia="Times New Roman" w:hAnsi="Arial" w:cs="Arial"/>
          <w:i/>
          <w:sz w:val="20"/>
          <w:szCs w:val="20"/>
        </w:rPr>
        <w:t xml:space="preserve">A. filiculoides </w:t>
      </w:r>
      <w:r w:rsidRPr="006C4FCA">
        <w:rPr>
          <w:rFonts w:ascii="Arial" w:hAnsi="Arial" w:cs="Arial"/>
          <w:sz w:val="20"/>
          <w:szCs w:val="20"/>
        </w:rPr>
        <w:t>is explained by its ability to fix atmospheric nitrogen, thus enriching the soil in a sustainable way (</w:t>
      </w:r>
      <w:r w:rsidRPr="006C4FCA">
        <w:rPr>
          <w:rFonts w:ascii="Arial" w:hAnsi="Arial" w:cs="Arial"/>
          <w:i/>
          <w:sz w:val="20"/>
          <w:szCs w:val="20"/>
        </w:rPr>
        <w:t>Haverkort et al., 2009</w:t>
      </w:r>
      <w:r w:rsidRPr="006C4FCA">
        <w:rPr>
          <w:rFonts w:ascii="Arial" w:hAnsi="Arial" w:cs="Arial"/>
          <w:sz w:val="20"/>
          <w:szCs w:val="20"/>
        </w:rPr>
        <w:t xml:space="preserve">). As for </w:t>
      </w:r>
      <w:r w:rsidRPr="006C4FCA">
        <w:rPr>
          <w:rFonts w:ascii="Arial" w:eastAsia="Times New Roman" w:hAnsi="Arial" w:cs="Arial"/>
          <w:i/>
          <w:sz w:val="20"/>
          <w:szCs w:val="20"/>
        </w:rPr>
        <w:t>C. odorata</w:t>
      </w:r>
      <w:r w:rsidRPr="006C4FCA">
        <w:rPr>
          <w:rFonts w:ascii="Arial" w:hAnsi="Arial" w:cs="Arial"/>
          <w:sz w:val="20"/>
          <w:szCs w:val="20"/>
        </w:rPr>
        <w:t xml:space="preserve">, it is recognized for its nutrient richness (Ogundare et al., </w:t>
      </w:r>
      <w:proofErr w:type="gramStart"/>
      <w:r w:rsidRPr="006C4FCA">
        <w:rPr>
          <w:rFonts w:ascii="Arial" w:hAnsi="Arial" w:cs="Arial"/>
          <w:sz w:val="20"/>
          <w:szCs w:val="20"/>
        </w:rPr>
        <w:t>2015;</w:t>
      </w:r>
      <w:proofErr w:type="gramEnd"/>
      <w:r w:rsidRPr="006C4FCA">
        <w:rPr>
          <w:rFonts w:ascii="Arial" w:hAnsi="Arial" w:cs="Arial"/>
          <w:sz w:val="20"/>
          <w:szCs w:val="20"/>
        </w:rPr>
        <w:t xml:space="preserve"> Kouadio </w:t>
      </w:r>
      <w:r w:rsidRPr="006C4FCA">
        <w:rPr>
          <w:rFonts w:ascii="Arial" w:hAnsi="Arial" w:cs="Arial"/>
          <w:i/>
          <w:sz w:val="20"/>
          <w:szCs w:val="20"/>
        </w:rPr>
        <w:t>et al</w:t>
      </w:r>
      <w:r w:rsidRPr="006C4FCA">
        <w:rPr>
          <w:rFonts w:ascii="Arial" w:hAnsi="Arial" w:cs="Arial"/>
          <w:sz w:val="20"/>
          <w:szCs w:val="20"/>
        </w:rPr>
        <w:t xml:space="preserve">., 2023) as well as for its role in improving soil structure, aeration and water retention. Conversely, the poor performance of the control is explained by the soil constraints of the experimental </w:t>
      </w:r>
      <w:proofErr w:type="gramStart"/>
      <w:r w:rsidRPr="006C4FCA">
        <w:rPr>
          <w:rFonts w:ascii="Arial" w:hAnsi="Arial" w:cs="Arial"/>
          <w:sz w:val="20"/>
          <w:szCs w:val="20"/>
        </w:rPr>
        <w:t>site:</w:t>
      </w:r>
      <w:proofErr w:type="gramEnd"/>
      <w:r w:rsidRPr="006C4FCA">
        <w:rPr>
          <w:rFonts w:ascii="Arial" w:hAnsi="Arial" w:cs="Arial"/>
          <w:sz w:val="20"/>
          <w:szCs w:val="20"/>
        </w:rPr>
        <w:t xml:space="preserve"> low potassium content (1.445 cmol/kg), magnesium deficiency (0.6 cmol/kg), low total nitrogen (0.105%) and slightly acid pH (5.95), all of which limit the availability of essential nutrients (Munyuli et al., 2022). The use of organic soil improvers such as </w:t>
      </w:r>
      <w:r w:rsidRPr="006C4FCA">
        <w:rPr>
          <w:rFonts w:ascii="Arial" w:eastAsia="Times New Roman" w:hAnsi="Arial" w:cs="Arial"/>
          <w:i/>
          <w:sz w:val="20"/>
          <w:szCs w:val="20"/>
        </w:rPr>
        <w:t xml:space="preserve">A. filiculoides </w:t>
      </w:r>
      <w:r w:rsidRPr="006C4FCA">
        <w:rPr>
          <w:rFonts w:ascii="Arial" w:hAnsi="Arial" w:cs="Arial"/>
          <w:sz w:val="20"/>
          <w:szCs w:val="20"/>
        </w:rPr>
        <w:t xml:space="preserve">and </w:t>
      </w:r>
      <w:r w:rsidRPr="006C4FCA">
        <w:rPr>
          <w:rFonts w:ascii="Arial" w:eastAsia="Times New Roman" w:hAnsi="Arial" w:cs="Arial"/>
          <w:i/>
          <w:sz w:val="20"/>
          <w:szCs w:val="20"/>
        </w:rPr>
        <w:t xml:space="preserve">C. odorata </w:t>
      </w:r>
      <w:r w:rsidRPr="006C4FCA">
        <w:rPr>
          <w:rFonts w:ascii="Arial" w:hAnsi="Arial" w:cs="Arial"/>
          <w:sz w:val="20"/>
          <w:szCs w:val="20"/>
        </w:rPr>
        <w:t xml:space="preserve">represents a promising agroecological alternative to synthetic mineral fertilizers, promoting both mineral nutrition of seedlings and the sustainability of potato production systems. </w:t>
      </w:r>
    </w:p>
    <w:p w14:paraId="5D23D6F3" w14:textId="77777777" w:rsidR="0007076A" w:rsidRPr="006C4FCA" w:rsidRDefault="0007076A" w:rsidP="006C4FCA">
      <w:pPr>
        <w:spacing w:line="240" w:lineRule="auto"/>
        <w:rPr>
          <w:rFonts w:ascii="Arial" w:hAnsi="Arial" w:cs="Arial"/>
          <w:sz w:val="20"/>
        </w:rPr>
      </w:pPr>
      <w:r>
        <w:t xml:space="preserve"> </w:t>
      </w:r>
    </w:p>
    <w:p w14:paraId="42FA0BB5" w14:textId="77777777" w:rsidR="00A00E0F" w:rsidRDefault="00636E71" w:rsidP="006C4FCA">
      <w:pPr>
        <w:spacing w:line="240" w:lineRule="auto"/>
        <w:ind w:left="40" w:right="40"/>
        <w:jc w:val="both"/>
        <w:rPr>
          <w:rFonts w:ascii="Arial" w:eastAsia="Times New Roman" w:hAnsi="Arial" w:cs="Arial"/>
          <w:b/>
          <w:sz w:val="22"/>
        </w:rPr>
      </w:pPr>
      <w:r w:rsidRPr="00636E71">
        <w:rPr>
          <w:rFonts w:ascii="Arial" w:eastAsia="Times New Roman" w:hAnsi="Arial" w:cs="Arial"/>
          <w:b/>
          <w:sz w:val="22"/>
        </w:rPr>
        <w:t>4. CONCLUSION</w:t>
      </w:r>
    </w:p>
    <w:p w14:paraId="0D9FFA05" w14:textId="77777777" w:rsidR="00636E71" w:rsidRPr="002F1C14" w:rsidRDefault="00636E71" w:rsidP="006C4FCA">
      <w:pPr>
        <w:spacing w:line="240" w:lineRule="auto"/>
        <w:ind w:left="40" w:right="40"/>
        <w:jc w:val="both"/>
        <w:rPr>
          <w:rFonts w:ascii="Arial" w:eastAsia="Times New Roman" w:hAnsi="Arial" w:cs="Arial"/>
          <w:b/>
          <w:sz w:val="20"/>
        </w:rPr>
      </w:pPr>
    </w:p>
    <w:p w14:paraId="4D474E6F" w14:textId="77777777" w:rsidR="0007076A" w:rsidRDefault="0007076A" w:rsidP="006C4FCA">
      <w:pPr>
        <w:spacing w:line="240" w:lineRule="auto"/>
        <w:ind w:left="40" w:right="40"/>
        <w:jc w:val="both"/>
        <w:rPr>
          <w:rFonts w:ascii="Arial" w:hAnsi="Arial" w:cs="Arial"/>
          <w:sz w:val="20"/>
          <w:szCs w:val="20"/>
        </w:rPr>
      </w:pPr>
      <w:r w:rsidRPr="002F1C14">
        <w:rPr>
          <w:rFonts w:ascii="Arial" w:hAnsi="Arial" w:cs="Arial"/>
          <w:sz w:val="20"/>
          <w:szCs w:val="20"/>
        </w:rPr>
        <w:t xml:space="preserve">The study enabled us to characterize a sandy-clay soil offering a favorable compromise between drainage, aeration and water retention, conditions conducive to potato cultivation. However, physico-chemical analyses revealed several constraints, including low organic matter content (2.285%), limited total nitrogen (0.105%) and deficiencies in phosphorus, magnesium and potassium. The slightly acidic pH (5.95), although compatible with this crop, can reduce the availability of certain essential elements, thus affecting overall fertility. Agronomic trials have shown that the fertilizers applied influence </w:t>
      </w:r>
      <w:r w:rsidRPr="002F1C14">
        <w:rPr>
          <w:rFonts w:ascii="Arial" w:hAnsi="Arial" w:cs="Arial"/>
          <w:sz w:val="20"/>
          <w:szCs w:val="20"/>
        </w:rPr>
        <w:lastRenderedPageBreak/>
        <w:t xml:space="preserve">vegetative growth in different ways. NPK produced the best performance in terms of crown diameter, plant height and number of leaves, followed by </w:t>
      </w:r>
      <w:r w:rsidRPr="002F1C14">
        <w:rPr>
          <w:rFonts w:ascii="Arial" w:eastAsia="Times New Roman" w:hAnsi="Arial" w:cs="Arial"/>
          <w:i/>
          <w:sz w:val="20"/>
          <w:szCs w:val="20"/>
        </w:rPr>
        <w:t xml:space="preserve">Azolla filiculoides </w:t>
      </w:r>
      <w:r w:rsidRPr="002F1C14">
        <w:rPr>
          <w:rFonts w:ascii="Arial" w:hAnsi="Arial" w:cs="Arial"/>
          <w:sz w:val="20"/>
          <w:szCs w:val="20"/>
        </w:rPr>
        <w:t xml:space="preserve">and </w:t>
      </w:r>
      <w:r w:rsidRPr="002F1C14">
        <w:rPr>
          <w:rFonts w:ascii="Arial" w:eastAsia="Times New Roman" w:hAnsi="Arial" w:cs="Arial"/>
          <w:i/>
          <w:sz w:val="20"/>
          <w:szCs w:val="20"/>
        </w:rPr>
        <w:t>Chromolaena odorata</w:t>
      </w:r>
      <w:r w:rsidRPr="002F1C14">
        <w:rPr>
          <w:rFonts w:ascii="Arial" w:hAnsi="Arial" w:cs="Arial"/>
          <w:sz w:val="20"/>
          <w:szCs w:val="20"/>
        </w:rPr>
        <w:t xml:space="preserve">, whose effects appeared later, probably linked to the gradual mineralization of organic biomass. The unfertilized control systematically showed the lowest values, reflecting the nutritional limitations of the soil. Thus, the integration of organic amendments such as </w:t>
      </w:r>
      <w:r w:rsidRPr="002F1C14">
        <w:rPr>
          <w:rFonts w:ascii="Arial" w:eastAsia="Times New Roman" w:hAnsi="Arial" w:cs="Arial"/>
          <w:i/>
          <w:sz w:val="20"/>
          <w:szCs w:val="20"/>
        </w:rPr>
        <w:t>A. filiculoides</w:t>
      </w:r>
      <w:r w:rsidRPr="002F1C14">
        <w:rPr>
          <w:rFonts w:ascii="Arial" w:hAnsi="Arial" w:cs="Arial"/>
          <w:sz w:val="20"/>
          <w:szCs w:val="20"/>
        </w:rPr>
        <w:t xml:space="preserve">, capable of fixing nitrogen, and </w:t>
      </w:r>
      <w:r w:rsidRPr="002F1C14">
        <w:rPr>
          <w:rFonts w:ascii="Arial" w:eastAsia="Times New Roman" w:hAnsi="Arial" w:cs="Arial"/>
          <w:i/>
          <w:sz w:val="20"/>
          <w:szCs w:val="20"/>
        </w:rPr>
        <w:t>C. odorata</w:t>
      </w:r>
      <w:r w:rsidRPr="002F1C14">
        <w:rPr>
          <w:rFonts w:ascii="Arial" w:hAnsi="Arial" w:cs="Arial"/>
          <w:sz w:val="20"/>
          <w:szCs w:val="20"/>
        </w:rPr>
        <w:t>, rich in nutrients and improving soil structure, constitutes a relevant agroecological alternative. These inputs help to gradually increase fertility, reduce dependence on mineral fertilizers prone to leaching and enhance the sustainability of potato production systems in humid tropical environments.</w:t>
      </w:r>
    </w:p>
    <w:p w14:paraId="4398D024" w14:textId="77777777" w:rsidR="004757B8" w:rsidRPr="002F1C14" w:rsidRDefault="004757B8" w:rsidP="002F1C14">
      <w:pPr>
        <w:spacing w:line="240" w:lineRule="auto"/>
        <w:ind w:left="40" w:right="40"/>
        <w:jc w:val="both"/>
        <w:rPr>
          <w:rFonts w:ascii="Arial" w:hAnsi="Arial" w:cs="Arial"/>
          <w:sz w:val="20"/>
          <w:szCs w:val="20"/>
        </w:rPr>
      </w:pPr>
    </w:p>
    <w:p w14:paraId="7AE3ECAD" w14:textId="77777777" w:rsidR="000C0C91" w:rsidRDefault="000C0C91" w:rsidP="00A31DB8">
      <w:pPr>
        <w:jc w:val="both"/>
        <w:rPr>
          <w:rFonts w:ascii="Arial" w:hAnsi="Arial" w:cs="Arial"/>
          <w:sz w:val="20"/>
        </w:rPr>
      </w:pPr>
      <w:bookmarkStart w:id="0" w:name="_GoBack"/>
      <w:bookmarkEnd w:id="0"/>
    </w:p>
    <w:p w14:paraId="511D25C2" w14:textId="77777777" w:rsidR="000C0C91" w:rsidRPr="000C0C91" w:rsidRDefault="000C0C91" w:rsidP="000C0C91">
      <w:pPr>
        <w:spacing w:after="200" w:line="276" w:lineRule="auto"/>
        <w:jc w:val="both"/>
        <w:outlineLvl w:val="0"/>
        <w:rPr>
          <w:rFonts w:ascii="Arial" w:eastAsia="Times New Roman" w:hAnsi="Arial" w:cs="Arial"/>
          <w:sz w:val="22"/>
          <w:lang w:val="en-GB" w:eastAsia="en-GB"/>
        </w:rPr>
      </w:pPr>
      <w:r w:rsidRPr="000C0C91">
        <w:rPr>
          <w:rFonts w:ascii="Arial" w:eastAsia="Times New Roman" w:hAnsi="Arial" w:cs="Arial"/>
          <w:b/>
          <w:bCs/>
          <w:sz w:val="22"/>
          <w:lang w:val="en-GB" w:eastAsia="en-GB"/>
        </w:rPr>
        <w:t>COMPETING INTERESTS DISCLAIMER:</w:t>
      </w:r>
    </w:p>
    <w:p w14:paraId="663E748B" w14:textId="77777777" w:rsidR="000C0C91" w:rsidRPr="000C0C91" w:rsidRDefault="000C0C91" w:rsidP="000C0C91">
      <w:pPr>
        <w:spacing w:after="200" w:line="276" w:lineRule="auto"/>
        <w:rPr>
          <w:rFonts w:ascii="Calibri" w:eastAsia="Times New Roman" w:hAnsi="Calibri" w:cs="Times New Roman"/>
          <w:sz w:val="22"/>
          <w:lang w:val="en-GB" w:eastAsia="en-GB"/>
        </w:rPr>
      </w:pPr>
      <w:r w:rsidRPr="000C0C91">
        <w:rPr>
          <w:rFonts w:ascii="Calibri" w:eastAsia="Times New Roman" w:hAnsi="Calibri" w:cs="Times New Roman"/>
          <w:sz w:val="22"/>
          <w:lang w:val="en-GB" w:eastAsia="en-GB"/>
        </w:rPr>
        <w:t>Authors have declared that they have no known competing financial interests OR non-financial interests OR personal relationships that could have appeared to influence the work reported in this paper.</w:t>
      </w:r>
    </w:p>
    <w:p w14:paraId="172F16D9" w14:textId="77777777" w:rsidR="000C0C91" w:rsidRDefault="000C0C91" w:rsidP="00A31DB8">
      <w:pPr>
        <w:jc w:val="both"/>
        <w:rPr>
          <w:rFonts w:ascii="Arial" w:hAnsi="Arial" w:cs="Arial"/>
          <w:sz w:val="20"/>
        </w:rPr>
      </w:pPr>
    </w:p>
    <w:p w14:paraId="72AD23ED" w14:textId="77777777" w:rsidR="00911145" w:rsidRDefault="00911145" w:rsidP="00A31DB8">
      <w:pPr>
        <w:jc w:val="both"/>
        <w:rPr>
          <w:b/>
          <w:sz w:val="22"/>
          <w:szCs w:val="24"/>
        </w:rPr>
      </w:pPr>
    </w:p>
    <w:p w14:paraId="7748244B" w14:textId="77777777" w:rsidR="00A31DB8" w:rsidRPr="002F1C14" w:rsidRDefault="00A31DB8" w:rsidP="00A31DB8">
      <w:pPr>
        <w:jc w:val="both"/>
        <w:rPr>
          <w:b/>
          <w:sz w:val="22"/>
          <w:szCs w:val="24"/>
        </w:rPr>
      </w:pPr>
      <w:r w:rsidRPr="002F1C14">
        <w:rPr>
          <w:b/>
          <w:sz w:val="22"/>
          <w:szCs w:val="24"/>
        </w:rPr>
        <w:t>REFERENCES</w:t>
      </w:r>
    </w:p>
    <w:p w14:paraId="0DCC849B"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Ayoola, O., T., &amp; Makinde, E., A. (2008). Performance of green maize and soil nutrient changes with fortified organic fertilizers. African Journal of Plant Science, 2(3</w:t>
      </w:r>
      <w:proofErr w:type="gramStart"/>
      <w:r w:rsidRPr="007353C7">
        <w:rPr>
          <w:rFonts w:ascii="Arial" w:hAnsi="Arial" w:cs="Arial"/>
          <w:sz w:val="20"/>
          <w:szCs w:val="24"/>
        </w:rPr>
        <w:t>):</w:t>
      </w:r>
      <w:proofErr w:type="gramEnd"/>
      <w:r w:rsidRPr="007353C7">
        <w:rPr>
          <w:rFonts w:ascii="Arial" w:hAnsi="Arial" w:cs="Arial"/>
          <w:sz w:val="20"/>
          <w:szCs w:val="24"/>
        </w:rPr>
        <w:t xml:space="preserve"> 19-22.</w:t>
      </w:r>
    </w:p>
    <w:p w14:paraId="7A07E0BB"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 xml:space="preserve">Bationo, A., Lompo, F., &amp; Koala, S. (1998). Research on nutrient flows and balances in West </w:t>
      </w:r>
      <w:proofErr w:type="gramStart"/>
      <w:r w:rsidRPr="007353C7">
        <w:rPr>
          <w:rFonts w:ascii="Arial" w:hAnsi="Arial" w:cs="Arial"/>
          <w:sz w:val="20"/>
          <w:szCs w:val="24"/>
        </w:rPr>
        <w:t>Africa:</w:t>
      </w:r>
      <w:proofErr w:type="gramEnd"/>
      <w:r w:rsidRPr="007353C7">
        <w:rPr>
          <w:rFonts w:ascii="Arial" w:hAnsi="Arial" w:cs="Arial"/>
          <w:sz w:val="20"/>
          <w:szCs w:val="24"/>
        </w:rPr>
        <w:t xml:space="preserve"> state-of-the-art. Agriculture, ecosystems &amp; environment, 71(1-3): 19-35.</w:t>
      </w:r>
    </w:p>
    <w:p w14:paraId="1B456F81"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Brady, C.N., &amp; Weil, R., R., (2008) The nature and properties of soils. 14th Edition, Pearson Education, Inc., Upper Saddle River.</w:t>
      </w:r>
    </w:p>
    <w:p w14:paraId="51D36E38"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 xml:space="preserve">Bremner, J.M. (1996). Nitrogen–Total. In D.L. Sparks (Ed.), Methods of Soil </w:t>
      </w:r>
      <w:proofErr w:type="gramStart"/>
      <w:r w:rsidRPr="007353C7">
        <w:rPr>
          <w:rFonts w:ascii="Arial" w:hAnsi="Arial" w:cs="Arial"/>
          <w:sz w:val="20"/>
          <w:szCs w:val="24"/>
        </w:rPr>
        <w:t>Analysis:</w:t>
      </w:r>
      <w:proofErr w:type="gramEnd"/>
      <w:r w:rsidRPr="007353C7">
        <w:rPr>
          <w:rFonts w:ascii="Arial" w:hAnsi="Arial" w:cs="Arial"/>
          <w:sz w:val="20"/>
          <w:szCs w:val="24"/>
        </w:rPr>
        <w:t xml:space="preserve"> Part 3-Chemical Methods. ASA and SSSA, Madison, WI, USA (pp. 1085-1121).</w:t>
      </w:r>
    </w:p>
    <w:p w14:paraId="373849B0"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Collinet, J. (1984). Surface hydrodynamics and comparative erosion of some ferrallitic soils on traditional forest clearings (Côte d'Ivoire). Challenges in African hydrology and water resources, 499-516.</w:t>
      </w:r>
    </w:p>
    <w:p w14:paraId="056FBBA2"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 xml:space="preserve">Edoukou, E., F., Koné, A., W., &amp; Tondoh, J., E. (2013). Do fallows based on Chromolaena odorata (Asteraceae) and legumes have the same agronomic </w:t>
      </w:r>
      <w:proofErr w:type="gramStart"/>
      <w:r w:rsidRPr="007353C7">
        <w:rPr>
          <w:rFonts w:ascii="Arial" w:hAnsi="Arial" w:cs="Arial"/>
          <w:sz w:val="20"/>
          <w:szCs w:val="24"/>
        </w:rPr>
        <w:t>potential?</w:t>
      </w:r>
      <w:proofErr w:type="gramEnd"/>
      <w:r w:rsidRPr="007353C7">
        <w:rPr>
          <w:rFonts w:ascii="Arial" w:hAnsi="Arial" w:cs="Arial"/>
          <w:sz w:val="20"/>
          <w:szCs w:val="24"/>
        </w:rPr>
        <w:t xml:space="preserve"> Étude et Gestion des Sols, 20(2</w:t>
      </w:r>
      <w:proofErr w:type="gramStart"/>
      <w:r w:rsidRPr="007353C7">
        <w:rPr>
          <w:rFonts w:ascii="Arial" w:hAnsi="Arial" w:cs="Arial"/>
          <w:sz w:val="20"/>
          <w:szCs w:val="24"/>
        </w:rPr>
        <w:t>):</w:t>
      </w:r>
      <w:proofErr w:type="gramEnd"/>
      <w:r w:rsidRPr="007353C7">
        <w:rPr>
          <w:rFonts w:ascii="Arial" w:hAnsi="Arial" w:cs="Arial"/>
          <w:sz w:val="20"/>
          <w:szCs w:val="24"/>
        </w:rPr>
        <w:t xml:space="preserve"> 95-106.</w:t>
      </w:r>
    </w:p>
    <w:p w14:paraId="2A7DEF66"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 xml:space="preserve">Gee, G., W., &amp; Bauder, J., W., (1986). Particle-size analysis. In A. Klute (Ed.), Methods of Soil </w:t>
      </w:r>
      <w:proofErr w:type="gramStart"/>
      <w:r w:rsidRPr="007353C7">
        <w:rPr>
          <w:rFonts w:ascii="Arial" w:hAnsi="Arial" w:cs="Arial"/>
          <w:sz w:val="20"/>
          <w:szCs w:val="24"/>
        </w:rPr>
        <w:t>Analysis:</w:t>
      </w:r>
      <w:proofErr w:type="gramEnd"/>
      <w:r w:rsidRPr="007353C7">
        <w:rPr>
          <w:rFonts w:ascii="Arial" w:hAnsi="Arial" w:cs="Arial"/>
          <w:sz w:val="20"/>
          <w:szCs w:val="24"/>
        </w:rPr>
        <w:t xml:space="preserve"> Part 1-Physical and Mineralogical Methods (2nd ed.). ASA and SSSA, Madison, WI, USA (pp. 383-411).</w:t>
      </w:r>
    </w:p>
    <w:p w14:paraId="544DCAAA" w14:textId="77777777" w:rsid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 xml:space="preserve">Gichuru, M., P., Bationo, A., Bekunda, M., A., Goma, H., C., Mafongoya, P., L., Mugendi, D., N., Murwira, H., K., Nandwa, S., M., Nyathi, P., Swift, </w:t>
      </w:r>
      <w:proofErr w:type="gramStart"/>
      <w:r w:rsidRPr="007353C7">
        <w:rPr>
          <w:rFonts w:ascii="Arial" w:hAnsi="Arial" w:cs="Arial"/>
          <w:sz w:val="20"/>
          <w:szCs w:val="24"/>
        </w:rPr>
        <w:t>M.;</w:t>
      </w:r>
      <w:proofErr w:type="gramEnd"/>
      <w:r w:rsidRPr="007353C7">
        <w:rPr>
          <w:rFonts w:ascii="Arial" w:hAnsi="Arial" w:cs="Arial"/>
          <w:sz w:val="20"/>
          <w:szCs w:val="24"/>
        </w:rPr>
        <w:t xml:space="preserve"> J. (eds.). 2003. Soil fertility management in </w:t>
      </w:r>
      <w:proofErr w:type="gramStart"/>
      <w:r w:rsidRPr="007353C7">
        <w:rPr>
          <w:rFonts w:ascii="Arial" w:hAnsi="Arial" w:cs="Arial"/>
          <w:sz w:val="20"/>
          <w:szCs w:val="24"/>
        </w:rPr>
        <w:t>Africa:</w:t>
      </w:r>
      <w:proofErr w:type="gramEnd"/>
      <w:r w:rsidRPr="007353C7">
        <w:rPr>
          <w:rFonts w:ascii="Arial" w:hAnsi="Arial" w:cs="Arial"/>
          <w:sz w:val="20"/>
          <w:szCs w:val="24"/>
        </w:rPr>
        <w:t xml:space="preserve"> A regional perspective. Academy Science Publishers (ASP</w:t>
      </w:r>
      <w:proofErr w:type="gramStart"/>
      <w:r w:rsidRPr="007353C7">
        <w:rPr>
          <w:rFonts w:ascii="Arial" w:hAnsi="Arial" w:cs="Arial"/>
          <w:sz w:val="20"/>
          <w:szCs w:val="24"/>
        </w:rPr>
        <w:t>);</w:t>
      </w:r>
      <w:proofErr w:type="gramEnd"/>
      <w:r w:rsidRPr="007353C7">
        <w:rPr>
          <w:rFonts w:ascii="Arial" w:hAnsi="Arial" w:cs="Arial"/>
          <w:sz w:val="20"/>
          <w:szCs w:val="24"/>
        </w:rPr>
        <w:t xml:space="preserve"> Centro Internacional de Agricultura Tropical (CIAT); Tropical Soil Biology and Fertility (TSBF), Nairobi, KE (p. 306).</w:t>
      </w:r>
    </w:p>
    <w:p w14:paraId="1518D577"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Groga, N., Diomande M., Beugre G., A., M., Ouattara Y., &amp; Akaffou D., S., (2018). Comparative study of the quality of symbiosis (Anabaena azollae, Azolla caroliniana), compost and NPK on vegetative growth and yield of tomato (Lycopersicon esculentum mill. Solanaceae) in Daloa (Ivory Coast). Journal of Applied Biosciences, 129, 13004-13014.</w:t>
      </w:r>
    </w:p>
    <w:p w14:paraId="74C1E907"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Haverkort A., J., Struik, P., C., Visser, R., G., F., &amp; Jacobsen, E., J., P., R. (2009). Applied biotechnology to combat late blight in potato caused by Phytophthora infestans. Potato research, 52(3</w:t>
      </w:r>
      <w:proofErr w:type="gramStart"/>
      <w:r w:rsidRPr="007353C7">
        <w:rPr>
          <w:rFonts w:ascii="Arial" w:hAnsi="Arial" w:cs="Arial"/>
          <w:sz w:val="20"/>
          <w:szCs w:val="24"/>
        </w:rPr>
        <w:t>):</w:t>
      </w:r>
      <w:proofErr w:type="gramEnd"/>
      <w:r w:rsidRPr="007353C7">
        <w:rPr>
          <w:rFonts w:ascii="Arial" w:hAnsi="Arial" w:cs="Arial"/>
          <w:sz w:val="20"/>
          <w:szCs w:val="24"/>
        </w:rPr>
        <w:t xml:space="preserve"> 249-264.</w:t>
      </w:r>
    </w:p>
    <w:p w14:paraId="4E15B797"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Konan, K., F., Bayala, R., Tokpa, L., Z., Kouadio, K., H., &amp; Bakayoko, S. (2025). Evaluation of the impact of integrating Chromolaena odorata biomass on maize yield in soils of the Daloa region, central-western Côte d'Ivoire. International Journal of Innovation and Scientific Research, 78(1</w:t>
      </w:r>
      <w:proofErr w:type="gramStart"/>
      <w:r w:rsidRPr="007353C7">
        <w:rPr>
          <w:rFonts w:ascii="Arial" w:hAnsi="Arial" w:cs="Arial"/>
          <w:sz w:val="20"/>
          <w:szCs w:val="24"/>
        </w:rPr>
        <w:t>):</w:t>
      </w:r>
      <w:proofErr w:type="gramEnd"/>
      <w:r w:rsidRPr="007353C7">
        <w:rPr>
          <w:rFonts w:ascii="Arial" w:hAnsi="Arial" w:cs="Arial"/>
          <w:sz w:val="20"/>
          <w:szCs w:val="24"/>
        </w:rPr>
        <w:t xml:space="preserve"> 30-36.</w:t>
      </w:r>
    </w:p>
    <w:p w14:paraId="3230F40C"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Konan, K., F., N’ganzoua, K., R., Bayala, R., Ouattara, A., Abobi, A., H., D., Kouadio, K., C., &amp; Bakayoko S. (2022). Morphopedological characteristics and physical potential of Zépréguhé Soils in Daloa Region, Center West, Côte d’Ivoire. World J Adv Res Rev, 15(2</w:t>
      </w:r>
      <w:proofErr w:type="gramStart"/>
      <w:r w:rsidRPr="007353C7">
        <w:rPr>
          <w:rFonts w:ascii="Arial" w:hAnsi="Arial" w:cs="Arial"/>
          <w:sz w:val="20"/>
          <w:szCs w:val="24"/>
        </w:rPr>
        <w:t>):</w:t>
      </w:r>
      <w:proofErr w:type="gramEnd"/>
      <w:r w:rsidRPr="007353C7">
        <w:rPr>
          <w:rFonts w:ascii="Arial" w:hAnsi="Arial" w:cs="Arial"/>
          <w:sz w:val="20"/>
          <w:szCs w:val="24"/>
        </w:rPr>
        <w:t xml:space="preserve"> 598-605.</w:t>
      </w:r>
    </w:p>
    <w:p w14:paraId="1B0F422F"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Koné, B., Diatta, S., Sylvester, O., Yoro, G., Mameri, C., Desire, D., D., &amp; Ayemou, A. (2009). Estimating the potential fertility of ferralsols by color. Canadian Journal of Soil Science, 89(3</w:t>
      </w:r>
      <w:proofErr w:type="gramStart"/>
      <w:r w:rsidRPr="007353C7">
        <w:rPr>
          <w:rFonts w:ascii="Arial" w:hAnsi="Arial" w:cs="Arial"/>
          <w:sz w:val="20"/>
          <w:szCs w:val="24"/>
        </w:rPr>
        <w:t>):</w:t>
      </w:r>
      <w:proofErr w:type="gramEnd"/>
      <w:r w:rsidRPr="007353C7">
        <w:rPr>
          <w:rFonts w:ascii="Arial" w:hAnsi="Arial" w:cs="Arial"/>
          <w:sz w:val="20"/>
          <w:szCs w:val="24"/>
        </w:rPr>
        <w:t xml:space="preserve"> 331-342.</w:t>
      </w:r>
    </w:p>
    <w:p w14:paraId="336AC60A"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Kouadio, H., K., Kone, A., W., Toure, G., P., T., Abobi H., D., Konan, L., N., Assi, J., A., &amp; Masse, D. (2023). Improving cassava (Manihot esculenta CRANTZ) yields using mixed Chromolaena odorata-Cajanus cajan fallow in central Côte d’Ivoire. African Agronomy, 35(1</w:t>
      </w:r>
      <w:proofErr w:type="gramStart"/>
      <w:r w:rsidRPr="007353C7">
        <w:rPr>
          <w:rFonts w:ascii="Arial" w:hAnsi="Arial" w:cs="Arial"/>
          <w:sz w:val="20"/>
          <w:szCs w:val="24"/>
        </w:rPr>
        <w:t>):</w:t>
      </w:r>
      <w:proofErr w:type="gramEnd"/>
      <w:r w:rsidRPr="007353C7">
        <w:rPr>
          <w:rFonts w:ascii="Arial" w:hAnsi="Arial" w:cs="Arial"/>
          <w:sz w:val="20"/>
          <w:szCs w:val="24"/>
        </w:rPr>
        <w:t xml:space="preserve"> 63-74.</w:t>
      </w:r>
    </w:p>
    <w:p w14:paraId="223C339E"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lastRenderedPageBreak/>
        <w:t xml:space="preserve">Maraux F., Dugué, P., &amp; Ganry, F. (2007). Improving soil fertility and rehabilitating degraded </w:t>
      </w:r>
      <w:proofErr w:type="gramStart"/>
      <w:r w:rsidRPr="007353C7">
        <w:rPr>
          <w:rFonts w:ascii="Arial" w:hAnsi="Arial" w:cs="Arial"/>
          <w:sz w:val="20"/>
          <w:szCs w:val="24"/>
        </w:rPr>
        <w:t>lands:</w:t>
      </w:r>
      <w:proofErr w:type="gramEnd"/>
      <w:r w:rsidRPr="007353C7">
        <w:rPr>
          <w:rFonts w:ascii="Arial" w:hAnsi="Arial" w:cs="Arial"/>
          <w:sz w:val="20"/>
          <w:szCs w:val="24"/>
        </w:rPr>
        <w:t xml:space="preserve"> Socio-technical dynamics in drylands of West and Central Africa. Agricultural innovation in dryland </w:t>
      </w:r>
      <w:proofErr w:type="gramStart"/>
      <w:r w:rsidRPr="007353C7">
        <w:rPr>
          <w:rFonts w:ascii="Arial" w:hAnsi="Arial" w:cs="Arial"/>
          <w:sz w:val="20"/>
          <w:szCs w:val="24"/>
        </w:rPr>
        <w:t>Africa:</w:t>
      </w:r>
      <w:proofErr w:type="gramEnd"/>
      <w:r w:rsidRPr="007353C7">
        <w:rPr>
          <w:rFonts w:ascii="Arial" w:hAnsi="Arial" w:cs="Arial"/>
          <w:sz w:val="20"/>
          <w:szCs w:val="24"/>
        </w:rPr>
        <w:t xml:space="preserve"> What are the key drivers for success, (pp. 22-24).</w:t>
      </w:r>
    </w:p>
    <w:p w14:paraId="7A9500E6"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Marzouk, S., H., Tindwa, H., J., Amuri, N., A., &amp; Semoka J., M. (2023). An overview of underutilized benefits derived from Azolla as a promising biofertilizer in lowland rice production. Heliyon, 9(1).</w:t>
      </w:r>
    </w:p>
    <w:p w14:paraId="415062DA"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Munyuli, T., Ombeni, J., Mushagalusa, B., B., Kubuya, A., Irenge, A., &amp; Heradi, G., K., (2022). Diagnosis of the current livelihood evolution, farming practices, production constraints, post-harvest processing, trading, and value-chain systems of sweet potatoes in North Kivu province, eastern Congo. International Journal of Agriculture, Environment and Bioresearch, 7(6</w:t>
      </w:r>
      <w:proofErr w:type="gramStart"/>
      <w:r w:rsidRPr="007353C7">
        <w:rPr>
          <w:rFonts w:ascii="Arial" w:hAnsi="Arial" w:cs="Arial"/>
          <w:sz w:val="20"/>
          <w:szCs w:val="24"/>
        </w:rPr>
        <w:t>):</w:t>
      </w:r>
      <w:proofErr w:type="gramEnd"/>
      <w:r w:rsidRPr="007353C7">
        <w:rPr>
          <w:rFonts w:ascii="Arial" w:hAnsi="Arial" w:cs="Arial"/>
          <w:sz w:val="20"/>
          <w:szCs w:val="24"/>
        </w:rPr>
        <w:t xml:space="preserve"> 11–93.</w:t>
      </w:r>
    </w:p>
    <w:p w14:paraId="43ED233B"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Muthoni, J., &amp; Shimelis, H. (2023). An overview of potato production in Africa. Potato production worldwide, 435–456.</w:t>
      </w:r>
    </w:p>
    <w:p w14:paraId="7B6D66B2"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Nandjui, J., Gnonhouri, P., G., Tondoh, J., E., &amp; Tano, Y. (2007). Nematode response to forest disturbance in the Oumé region, Côte d’Ivoire. Sciences &amp; Nature, 4(2</w:t>
      </w:r>
      <w:proofErr w:type="gramStart"/>
      <w:r w:rsidRPr="007353C7">
        <w:rPr>
          <w:rFonts w:ascii="Arial" w:hAnsi="Arial" w:cs="Arial"/>
          <w:sz w:val="20"/>
          <w:szCs w:val="24"/>
        </w:rPr>
        <w:t>):</w:t>
      </w:r>
      <w:proofErr w:type="gramEnd"/>
      <w:r w:rsidRPr="007353C7">
        <w:rPr>
          <w:rFonts w:ascii="Arial" w:hAnsi="Arial" w:cs="Arial"/>
          <w:sz w:val="20"/>
          <w:szCs w:val="24"/>
        </w:rPr>
        <w:t xml:space="preserve"> 189–196.</w:t>
      </w:r>
    </w:p>
    <w:p w14:paraId="2F09B9D2"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 xml:space="preserve">Nelson, D., W., &amp; Sommers, L., E., (1982). Total carbon, organic carbon, and organic matter. In A.L. Page (Ed.), Methods of Soil </w:t>
      </w:r>
      <w:proofErr w:type="gramStart"/>
      <w:r w:rsidRPr="007353C7">
        <w:rPr>
          <w:rFonts w:ascii="Arial" w:hAnsi="Arial" w:cs="Arial"/>
          <w:sz w:val="20"/>
          <w:szCs w:val="24"/>
        </w:rPr>
        <w:t>Analysis:</w:t>
      </w:r>
      <w:proofErr w:type="gramEnd"/>
      <w:r w:rsidRPr="007353C7">
        <w:rPr>
          <w:rFonts w:ascii="Arial" w:hAnsi="Arial" w:cs="Arial"/>
          <w:sz w:val="20"/>
          <w:szCs w:val="24"/>
        </w:rPr>
        <w:t xml:space="preserve"> Part 2-Chemical and Microbiological Properties (2nd ed.). ASA and SSSA, Madison, WI, USA (pp. 539-579).</w:t>
      </w:r>
    </w:p>
    <w:p w14:paraId="232A6A35"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René, N., K., Guillaume, K., A., Noel, G., Zeh, T. L., Dognimeton, S., &amp; Sidiky, B. (2024). Effect of Plant-derived Biofertilizers (Azolla filiculoides and Tithonia diversifolia) on Growth and Yield Parameters of Lokpa Yam (Dioscorea cayenensis-rotundata) Grown on Distric Plinthic Ferralsol in the Forest Zone of Côte d'Ivoire. Asian Journal of Soil Science and Plant Nutrition, 10(4), 203–213. https://doi.org/10.9734/ajsspn/2024/v10i4396.</w:t>
      </w:r>
    </w:p>
    <w:p w14:paraId="32B5B8FA" w14:textId="77777777" w:rsid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Ngoyi, A., N., Masanga, G., K., Bila, H., M., Yashima, A., Y., Milambo, M., M., Ndjibu, L., N., &amp; Baboy, L., L. (2020). Effect of organic amendments on the growth and yield of potato (Solanum tuberosum) grown on degraded soil in the Kabinda region, Democratic Republic of Congo. International Journal of Biological and Chemical Sciences, 14 (5</w:t>
      </w:r>
      <w:proofErr w:type="gramStart"/>
      <w:r w:rsidRPr="007353C7">
        <w:rPr>
          <w:rFonts w:ascii="Arial" w:hAnsi="Arial" w:cs="Arial"/>
          <w:sz w:val="20"/>
          <w:szCs w:val="24"/>
        </w:rPr>
        <w:t>):</w:t>
      </w:r>
      <w:proofErr w:type="gramEnd"/>
      <w:r w:rsidRPr="007353C7">
        <w:rPr>
          <w:rFonts w:ascii="Arial" w:hAnsi="Arial" w:cs="Arial"/>
          <w:sz w:val="20"/>
          <w:szCs w:val="24"/>
        </w:rPr>
        <w:t xml:space="preserve"> 1812–1819.</w:t>
      </w:r>
    </w:p>
    <w:p w14:paraId="7CD2548B"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 xml:space="preserve">Norgrove, L., Hauser, S., &amp; Weise S., F. (2000). Response of Chromolaena odorata to timber tree densities in an agrisilvicultural system in </w:t>
      </w:r>
      <w:proofErr w:type="gramStart"/>
      <w:r w:rsidRPr="007353C7">
        <w:rPr>
          <w:rFonts w:ascii="Arial" w:hAnsi="Arial" w:cs="Arial"/>
          <w:sz w:val="20"/>
          <w:szCs w:val="24"/>
        </w:rPr>
        <w:t>Cameroon:</w:t>
      </w:r>
      <w:proofErr w:type="gramEnd"/>
      <w:r w:rsidRPr="007353C7">
        <w:rPr>
          <w:rFonts w:ascii="Arial" w:hAnsi="Arial" w:cs="Arial"/>
          <w:sz w:val="20"/>
          <w:szCs w:val="24"/>
        </w:rPr>
        <w:t xml:space="preserve"> aboveground biomass, residue decomposition and nutrient release. Agriculture, ecosystems &amp; environment, 81(3</w:t>
      </w:r>
      <w:proofErr w:type="gramStart"/>
      <w:r w:rsidRPr="007353C7">
        <w:rPr>
          <w:rFonts w:ascii="Arial" w:hAnsi="Arial" w:cs="Arial"/>
          <w:sz w:val="20"/>
          <w:szCs w:val="24"/>
        </w:rPr>
        <w:t>):</w:t>
      </w:r>
      <w:proofErr w:type="gramEnd"/>
      <w:r w:rsidRPr="007353C7">
        <w:rPr>
          <w:rFonts w:ascii="Arial" w:hAnsi="Arial" w:cs="Arial"/>
          <w:sz w:val="20"/>
          <w:szCs w:val="24"/>
        </w:rPr>
        <w:t xml:space="preserve"> 191-207.</w:t>
      </w:r>
    </w:p>
    <w:p w14:paraId="2C024D3C"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 xml:space="preserve">Indrabayu, A., &amp; Mahmud, R. (2019). Effectiveness of Chromolaena odorata Compost and Inorganic Fertilizer on Rice Productivity and Land Carrying Capacity. </w:t>
      </w:r>
      <w:proofErr w:type="gramStart"/>
      <w:r w:rsidRPr="007353C7">
        <w:rPr>
          <w:rFonts w:ascii="Arial" w:hAnsi="Arial" w:cs="Arial"/>
          <w:sz w:val="20"/>
          <w:szCs w:val="24"/>
        </w:rPr>
        <w:t>Journal:</w:t>
      </w:r>
      <w:proofErr w:type="gramEnd"/>
      <w:r w:rsidRPr="007353C7">
        <w:rPr>
          <w:rFonts w:ascii="Arial" w:hAnsi="Arial" w:cs="Arial"/>
          <w:sz w:val="20"/>
          <w:szCs w:val="24"/>
        </w:rPr>
        <w:t xml:space="preserve"> Jurnal Ilmu Pertanian Indonesia, 24(2), 76-84. https://smujo.id/psnmbi/article/view/1454.</w:t>
      </w:r>
    </w:p>
    <w:p w14:paraId="6F59D0A2"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Ogundare, S., K., Babatunde, I., J., Aduloju, M., O., &amp; Hinmikaiye, A., A., S. (2015). Effect of Chromolaena odorata residue and urea fertilizer on plant available nitrogen, growth and yield of maize (Zea Mays L.) in Ejiba, Kogi State, Nigeria. International Journal of Research in Agriculture and Forestry, 2(8</w:t>
      </w:r>
      <w:proofErr w:type="gramStart"/>
      <w:r w:rsidRPr="007353C7">
        <w:rPr>
          <w:rFonts w:ascii="Arial" w:hAnsi="Arial" w:cs="Arial"/>
          <w:sz w:val="20"/>
          <w:szCs w:val="24"/>
        </w:rPr>
        <w:t>):</w:t>
      </w:r>
      <w:proofErr w:type="gramEnd"/>
      <w:r w:rsidRPr="007353C7">
        <w:rPr>
          <w:rFonts w:ascii="Arial" w:hAnsi="Arial" w:cs="Arial"/>
          <w:sz w:val="20"/>
          <w:szCs w:val="24"/>
        </w:rPr>
        <w:t xml:space="preserve"> 1-5.</w:t>
      </w:r>
    </w:p>
    <w:p w14:paraId="63A5CEE3"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Quansah, C., Fening, J., O., Ampontuah, E., O., Afreh, D., &amp; Amin, A. (2001). Potential of Chromolaena odorata, Panicum maximum and Pueraria phaseoloides as nutrient sources and organic matter amendments for soil fertility maintenance in Ghana. Biological agriculture &amp; horticulture, 19(2</w:t>
      </w:r>
      <w:proofErr w:type="gramStart"/>
      <w:r w:rsidRPr="007353C7">
        <w:rPr>
          <w:rFonts w:ascii="Arial" w:hAnsi="Arial" w:cs="Arial"/>
          <w:sz w:val="20"/>
          <w:szCs w:val="24"/>
        </w:rPr>
        <w:t>):</w:t>
      </w:r>
      <w:proofErr w:type="gramEnd"/>
      <w:r w:rsidRPr="007353C7">
        <w:rPr>
          <w:rFonts w:ascii="Arial" w:hAnsi="Arial" w:cs="Arial"/>
          <w:sz w:val="20"/>
          <w:szCs w:val="24"/>
        </w:rPr>
        <w:t xml:space="preserve"> 101-113.</w:t>
      </w:r>
    </w:p>
    <w:p w14:paraId="6AFEB400"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Ramos, C., G., Querol, Evaluation of the potential of volcanic rock waste from southern Brazil as a natural soil fertilizer. Journal of Cleaner Production, 142, 2700-2706.</w:t>
      </w:r>
    </w:p>
    <w:p w14:paraId="484C6686"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René, N., G., K., Florent Z., A., D., I., Guillaume, K., A., &amp; Ferdinand, Z., B., G. (2023). Determination of Some Major Physical Characteristics of the Soil at the Jean Lorougnon Guédé Daloa University School-Field and its Suitability for Cultivation. International Journal of Innovative Science and Research Technology, 8 (7</w:t>
      </w:r>
      <w:proofErr w:type="gramStart"/>
      <w:r w:rsidRPr="007353C7">
        <w:rPr>
          <w:rFonts w:ascii="Arial" w:hAnsi="Arial" w:cs="Arial"/>
          <w:sz w:val="20"/>
          <w:szCs w:val="24"/>
        </w:rPr>
        <w:t>):</w:t>
      </w:r>
      <w:proofErr w:type="gramEnd"/>
      <w:r w:rsidRPr="007353C7">
        <w:rPr>
          <w:rFonts w:ascii="Arial" w:hAnsi="Arial" w:cs="Arial"/>
          <w:sz w:val="20"/>
          <w:szCs w:val="24"/>
        </w:rPr>
        <w:t xml:space="preserve"> 3116-3123.</w:t>
      </w:r>
    </w:p>
    <w:p w14:paraId="36060CB4"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 xml:space="preserve">Resh, H., M. (2022). Hydroponic food </w:t>
      </w:r>
      <w:proofErr w:type="gramStart"/>
      <w:r w:rsidRPr="007353C7">
        <w:rPr>
          <w:rFonts w:ascii="Arial" w:hAnsi="Arial" w:cs="Arial"/>
          <w:sz w:val="20"/>
          <w:szCs w:val="24"/>
        </w:rPr>
        <w:t>production:</w:t>
      </w:r>
      <w:proofErr w:type="gramEnd"/>
      <w:r w:rsidRPr="007353C7">
        <w:rPr>
          <w:rFonts w:ascii="Arial" w:hAnsi="Arial" w:cs="Arial"/>
          <w:sz w:val="20"/>
          <w:szCs w:val="24"/>
        </w:rPr>
        <w:t xml:space="preserve"> a definitive guidebook for the advanced home gardener and the commercial hydroponic grower, CRC press (p. 642).</w:t>
      </w:r>
    </w:p>
    <w:p w14:paraId="2122300E"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Roy, R., Chan, N., W., &amp; Rainis, R., (2014). Rice farming sustainability assessment in Bangladesh. Sustainability science, 9 (1</w:t>
      </w:r>
      <w:proofErr w:type="gramStart"/>
      <w:r w:rsidRPr="007353C7">
        <w:rPr>
          <w:rFonts w:ascii="Arial" w:hAnsi="Arial" w:cs="Arial"/>
          <w:sz w:val="20"/>
          <w:szCs w:val="24"/>
        </w:rPr>
        <w:t>):</w:t>
      </w:r>
      <w:proofErr w:type="gramEnd"/>
      <w:r w:rsidRPr="007353C7">
        <w:rPr>
          <w:rFonts w:ascii="Arial" w:hAnsi="Arial" w:cs="Arial"/>
          <w:sz w:val="20"/>
          <w:szCs w:val="24"/>
        </w:rPr>
        <w:t xml:space="preserve"> 31-44.</w:t>
      </w:r>
    </w:p>
    <w:p w14:paraId="379A5AAF"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 xml:space="preserve">Schröder, J., J., Smit, A., L., Cordell, D., &amp; Rosemarin, A. (2011). Improved phosphorus use efficiency in </w:t>
      </w:r>
      <w:proofErr w:type="gramStart"/>
      <w:r w:rsidRPr="007353C7">
        <w:rPr>
          <w:rFonts w:ascii="Arial" w:hAnsi="Arial" w:cs="Arial"/>
          <w:sz w:val="20"/>
          <w:szCs w:val="24"/>
        </w:rPr>
        <w:t>agriculture:</w:t>
      </w:r>
      <w:proofErr w:type="gramEnd"/>
      <w:r w:rsidRPr="007353C7">
        <w:rPr>
          <w:rFonts w:ascii="Arial" w:hAnsi="Arial" w:cs="Arial"/>
          <w:sz w:val="20"/>
          <w:szCs w:val="24"/>
        </w:rPr>
        <w:t xml:space="preserve"> a key requirement for its sustainable use. Chemosphere, 84 (6</w:t>
      </w:r>
      <w:proofErr w:type="gramStart"/>
      <w:r w:rsidRPr="007353C7">
        <w:rPr>
          <w:rFonts w:ascii="Arial" w:hAnsi="Arial" w:cs="Arial"/>
          <w:sz w:val="20"/>
          <w:szCs w:val="24"/>
        </w:rPr>
        <w:t>):</w:t>
      </w:r>
      <w:proofErr w:type="gramEnd"/>
      <w:r w:rsidRPr="007353C7">
        <w:rPr>
          <w:rFonts w:ascii="Arial" w:hAnsi="Arial" w:cs="Arial"/>
          <w:sz w:val="20"/>
          <w:szCs w:val="24"/>
        </w:rPr>
        <w:t xml:space="preserve"> 822-831.</w:t>
      </w:r>
    </w:p>
    <w:p w14:paraId="4406DBED" w14:textId="77777777" w:rsid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Sedkaoui T. (2018). Effect of organic and mineral fertilization on quality and yield in two potato varieties (Solanum tuberosum L) Liseta and Spunta (Mouloud Mammeri University of Tizi) (88 p).</w:t>
      </w:r>
    </w:p>
    <w:p w14:paraId="7766A5DC"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 xml:space="preserve">Stockdale, E., A., &amp; Murphy, D., V., (2017). Managing soil microbial biomass for sustainable agro-ecosystems. In Microbial </w:t>
      </w:r>
      <w:proofErr w:type="gramStart"/>
      <w:r w:rsidRPr="007353C7">
        <w:rPr>
          <w:rFonts w:ascii="Arial" w:hAnsi="Arial" w:cs="Arial"/>
          <w:sz w:val="20"/>
          <w:szCs w:val="24"/>
        </w:rPr>
        <w:t>biomass:</w:t>
      </w:r>
      <w:proofErr w:type="gramEnd"/>
      <w:r w:rsidRPr="007353C7">
        <w:rPr>
          <w:rFonts w:ascii="Arial" w:hAnsi="Arial" w:cs="Arial"/>
          <w:sz w:val="20"/>
          <w:szCs w:val="24"/>
        </w:rPr>
        <w:t xml:space="preserve"> A paradigm shift in terrestrial biogeochemistry (pp. 67-101).</w:t>
      </w:r>
    </w:p>
    <w:p w14:paraId="37F5D93D"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Suzuki, K., Matsunaga, R., Hayashi, K., Matsumoto, N., Tobita, S., Bationo, A., &amp; Okada, K. (2016). Long</w:t>
      </w:r>
      <w:r w:rsidRPr="007353C7">
        <w:rPr>
          <w:rFonts w:ascii="Cambria Math" w:hAnsi="Cambria Math" w:cs="Cambria Math"/>
          <w:sz w:val="20"/>
          <w:szCs w:val="24"/>
        </w:rPr>
        <w:t>‐</w:t>
      </w:r>
      <w:r w:rsidRPr="007353C7">
        <w:rPr>
          <w:rFonts w:ascii="Arial" w:hAnsi="Arial" w:cs="Arial"/>
          <w:sz w:val="20"/>
          <w:szCs w:val="24"/>
        </w:rPr>
        <w:t>Term Effects of Fertilizer and Organic Matter Application on Millet in Niger. Agronomy Journal, 108(2</w:t>
      </w:r>
      <w:proofErr w:type="gramStart"/>
      <w:r w:rsidRPr="007353C7">
        <w:rPr>
          <w:rFonts w:ascii="Arial" w:hAnsi="Arial" w:cs="Arial"/>
          <w:sz w:val="20"/>
          <w:szCs w:val="24"/>
        </w:rPr>
        <w:t>):</w:t>
      </w:r>
      <w:proofErr w:type="gramEnd"/>
      <w:r w:rsidRPr="007353C7">
        <w:rPr>
          <w:rFonts w:ascii="Arial" w:hAnsi="Arial" w:cs="Arial"/>
          <w:sz w:val="20"/>
          <w:szCs w:val="24"/>
        </w:rPr>
        <w:t xml:space="preserve"> 873-883.</w:t>
      </w:r>
    </w:p>
    <w:p w14:paraId="6D9BDDC9"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lastRenderedPageBreak/>
        <w:t>Tondoh, J., E., Koné, A., W., N'Dri, J., K., Tamene, L., &amp; Brunet, D. (2013). Changes in soil quality after subsequent establishment of Chromolaena odorata falls in humid savannahs, Ivory Coast. Catena, 101, 99-107.</w:t>
      </w:r>
    </w:p>
    <w:p w14:paraId="0F98660D"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 xml:space="preserve">Wagner, G., M. (1997). </w:t>
      </w:r>
      <w:proofErr w:type="gramStart"/>
      <w:r w:rsidRPr="007353C7">
        <w:rPr>
          <w:rFonts w:ascii="Arial" w:hAnsi="Arial" w:cs="Arial"/>
          <w:sz w:val="20"/>
          <w:szCs w:val="24"/>
        </w:rPr>
        <w:t>Azolla:</w:t>
      </w:r>
      <w:proofErr w:type="gramEnd"/>
      <w:r w:rsidRPr="007353C7">
        <w:rPr>
          <w:rFonts w:ascii="Arial" w:hAnsi="Arial" w:cs="Arial"/>
          <w:sz w:val="20"/>
          <w:szCs w:val="24"/>
        </w:rPr>
        <w:t xml:space="preserve"> A review of its biology and utilization. The Botanical Review, 63(1</w:t>
      </w:r>
      <w:proofErr w:type="gramStart"/>
      <w:r w:rsidRPr="007353C7">
        <w:rPr>
          <w:rFonts w:ascii="Arial" w:hAnsi="Arial" w:cs="Arial"/>
          <w:sz w:val="20"/>
          <w:szCs w:val="24"/>
        </w:rPr>
        <w:t>):</w:t>
      </w:r>
      <w:proofErr w:type="gramEnd"/>
      <w:r w:rsidRPr="007353C7">
        <w:rPr>
          <w:rFonts w:ascii="Arial" w:hAnsi="Arial" w:cs="Arial"/>
          <w:sz w:val="20"/>
          <w:szCs w:val="24"/>
        </w:rPr>
        <w:t xml:space="preserve"> 1-26.</w:t>
      </w:r>
    </w:p>
    <w:p w14:paraId="6208AC72" w14:textId="648FC847" w:rsidR="00A31DB8" w:rsidRPr="00F8164F" w:rsidRDefault="007353C7" w:rsidP="007353C7">
      <w:pPr>
        <w:spacing w:line="240" w:lineRule="auto"/>
        <w:ind w:left="567" w:hanging="567"/>
        <w:jc w:val="both"/>
        <w:rPr>
          <w:rFonts w:cs="Times New Roman"/>
          <w:szCs w:val="24"/>
        </w:rPr>
      </w:pPr>
      <w:r w:rsidRPr="007353C7">
        <w:rPr>
          <w:rFonts w:ascii="Arial" w:hAnsi="Arial" w:cs="Arial"/>
          <w:sz w:val="20"/>
          <w:szCs w:val="24"/>
        </w:rPr>
        <w:t>White, P., J., &amp; Brown, P. (2010). Plant nutrition for sustainable development and global health. Annals of botany, 105(7</w:t>
      </w:r>
      <w:proofErr w:type="gramStart"/>
      <w:r w:rsidRPr="007353C7">
        <w:rPr>
          <w:rFonts w:ascii="Arial" w:hAnsi="Arial" w:cs="Arial"/>
          <w:sz w:val="20"/>
          <w:szCs w:val="24"/>
        </w:rPr>
        <w:t>):</w:t>
      </w:r>
      <w:proofErr w:type="gramEnd"/>
      <w:r w:rsidRPr="007353C7">
        <w:rPr>
          <w:rFonts w:ascii="Arial" w:hAnsi="Arial" w:cs="Arial"/>
          <w:sz w:val="20"/>
          <w:szCs w:val="24"/>
        </w:rPr>
        <w:t xml:space="preserve"> 1073-1080</w:t>
      </w:r>
      <w:r w:rsidR="00A31DB8" w:rsidRPr="002F1C14">
        <w:rPr>
          <w:rFonts w:ascii="Arial" w:hAnsi="Arial" w:cs="Arial"/>
          <w:sz w:val="20"/>
          <w:szCs w:val="24"/>
        </w:rPr>
        <w:t>.</w:t>
      </w:r>
    </w:p>
    <w:sectPr w:rsidR="00A31DB8" w:rsidRPr="00F8164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5C80F" w14:textId="77777777" w:rsidR="00DE3515" w:rsidRDefault="00DE3515" w:rsidP="00E33F4F">
      <w:pPr>
        <w:spacing w:line="240" w:lineRule="auto"/>
      </w:pPr>
      <w:r>
        <w:separator/>
      </w:r>
    </w:p>
  </w:endnote>
  <w:endnote w:type="continuationSeparator" w:id="0">
    <w:p w14:paraId="0217CB82" w14:textId="77777777" w:rsidR="00DE3515" w:rsidRDefault="00DE3515" w:rsidP="00E33F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3696E" w14:textId="77777777" w:rsidR="00AF17C1" w:rsidRDefault="00AF1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499531"/>
      <w:docPartObj>
        <w:docPartGallery w:val="Page Numbers (Bottom of Page)"/>
        <w:docPartUnique/>
      </w:docPartObj>
    </w:sdtPr>
    <w:sdtEndPr/>
    <w:sdtContent>
      <w:p w14:paraId="1007BE76" w14:textId="77777777" w:rsidR="006C4FCA" w:rsidRDefault="006C4FCA">
        <w:pPr>
          <w:pStyle w:val="Footer"/>
          <w:jc w:val="right"/>
        </w:pPr>
        <w:r>
          <w:fldChar w:fldCharType="begin"/>
        </w:r>
        <w:r>
          <w:instrText>PAGE   \* MERGEFORMAT</w:instrText>
        </w:r>
        <w:r>
          <w:fldChar w:fldCharType="separate"/>
        </w:r>
        <w:r w:rsidR="004A1BE7">
          <w:rPr>
            <w:noProof/>
          </w:rPr>
          <w:t>9</w:t>
        </w:r>
        <w:r>
          <w:fldChar w:fldCharType="end"/>
        </w:r>
      </w:p>
    </w:sdtContent>
  </w:sdt>
  <w:p w14:paraId="14227130" w14:textId="77777777" w:rsidR="006C4FCA" w:rsidRDefault="006C4F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36B4B" w14:textId="77777777" w:rsidR="00AF17C1" w:rsidRDefault="00AF1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83B7E" w14:textId="77777777" w:rsidR="00DE3515" w:rsidRDefault="00DE3515" w:rsidP="00E33F4F">
      <w:pPr>
        <w:spacing w:line="240" w:lineRule="auto"/>
      </w:pPr>
      <w:r>
        <w:separator/>
      </w:r>
    </w:p>
  </w:footnote>
  <w:footnote w:type="continuationSeparator" w:id="0">
    <w:p w14:paraId="63B9FB18" w14:textId="77777777" w:rsidR="00DE3515" w:rsidRDefault="00DE3515" w:rsidP="00E33F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72A0" w14:textId="2DDF8126" w:rsidR="00AF17C1" w:rsidRDefault="00AF17C1">
    <w:pPr>
      <w:pStyle w:val="Header"/>
    </w:pPr>
    <w:r>
      <w:rPr>
        <w:noProof/>
      </w:rPr>
      <w:pict w14:anchorId="42AE2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40001"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3A744" w14:textId="6447EDDD" w:rsidR="00AF17C1" w:rsidRDefault="00AF17C1">
    <w:pPr>
      <w:pStyle w:val="Header"/>
    </w:pPr>
    <w:r>
      <w:rPr>
        <w:noProof/>
      </w:rPr>
      <w:pict w14:anchorId="50A4F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40002"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E8A21" w14:textId="61BC3D18" w:rsidR="00AF17C1" w:rsidRDefault="00AF17C1">
    <w:pPr>
      <w:pStyle w:val="Header"/>
    </w:pPr>
    <w:r>
      <w:rPr>
        <w:noProof/>
      </w:rPr>
      <w:pict w14:anchorId="686AB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40000"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64F"/>
    <w:rsid w:val="0000152B"/>
    <w:rsid w:val="00003919"/>
    <w:rsid w:val="000228F6"/>
    <w:rsid w:val="0005358C"/>
    <w:rsid w:val="0007076A"/>
    <w:rsid w:val="000B0DB1"/>
    <w:rsid w:val="000C0C91"/>
    <w:rsid w:val="00102E10"/>
    <w:rsid w:val="001D2E94"/>
    <w:rsid w:val="00232B22"/>
    <w:rsid w:val="00255C04"/>
    <w:rsid w:val="002664A9"/>
    <w:rsid w:val="00266AED"/>
    <w:rsid w:val="00296194"/>
    <w:rsid w:val="002E0EA3"/>
    <w:rsid w:val="002F1C14"/>
    <w:rsid w:val="00314328"/>
    <w:rsid w:val="00366985"/>
    <w:rsid w:val="003760B0"/>
    <w:rsid w:val="003F571C"/>
    <w:rsid w:val="004178FB"/>
    <w:rsid w:val="00445444"/>
    <w:rsid w:val="00470C00"/>
    <w:rsid w:val="004757B8"/>
    <w:rsid w:val="00476D81"/>
    <w:rsid w:val="004A1BE7"/>
    <w:rsid w:val="004A6B55"/>
    <w:rsid w:val="004B5135"/>
    <w:rsid w:val="00552335"/>
    <w:rsid w:val="00565F74"/>
    <w:rsid w:val="005B7B02"/>
    <w:rsid w:val="005F1F69"/>
    <w:rsid w:val="00623A83"/>
    <w:rsid w:val="00632FF5"/>
    <w:rsid w:val="00636E71"/>
    <w:rsid w:val="00694461"/>
    <w:rsid w:val="006C4FCA"/>
    <w:rsid w:val="00722EC5"/>
    <w:rsid w:val="00733705"/>
    <w:rsid w:val="007353C7"/>
    <w:rsid w:val="00744D5D"/>
    <w:rsid w:val="00756F4B"/>
    <w:rsid w:val="007A2C15"/>
    <w:rsid w:val="007B1EEF"/>
    <w:rsid w:val="007E1824"/>
    <w:rsid w:val="008379F6"/>
    <w:rsid w:val="0089001E"/>
    <w:rsid w:val="008E4C00"/>
    <w:rsid w:val="00911145"/>
    <w:rsid w:val="0092192B"/>
    <w:rsid w:val="00956731"/>
    <w:rsid w:val="00966200"/>
    <w:rsid w:val="009E333F"/>
    <w:rsid w:val="009F6F31"/>
    <w:rsid w:val="00A00E0F"/>
    <w:rsid w:val="00A3095D"/>
    <w:rsid w:val="00A314E0"/>
    <w:rsid w:val="00A31DB8"/>
    <w:rsid w:val="00A60F10"/>
    <w:rsid w:val="00A71303"/>
    <w:rsid w:val="00A7549E"/>
    <w:rsid w:val="00AB0128"/>
    <w:rsid w:val="00AD05E0"/>
    <w:rsid w:val="00AF17C1"/>
    <w:rsid w:val="00B464DD"/>
    <w:rsid w:val="00B6784F"/>
    <w:rsid w:val="00BB6F40"/>
    <w:rsid w:val="00BC3128"/>
    <w:rsid w:val="00BD1E77"/>
    <w:rsid w:val="00C00F91"/>
    <w:rsid w:val="00C37FCF"/>
    <w:rsid w:val="00DA01D5"/>
    <w:rsid w:val="00DB450F"/>
    <w:rsid w:val="00DD6590"/>
    <w:rsid w:val="00DE08D7"/>
    <w:rsid w:val="00DE3515"/>
    <w:rsid w:val="00E00FCF"/>
    <w:rsid w:val="00E33F4F"/>
    <w:rsid w:val="00F32071"/>
    <w:rsid w:val="00F8164F"/>
    <w:rsid w:val="00F9306C"/>
    <w:rsid w:val="00FC70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D93CB8"/>
  <w15:chartTrackingRefBased/>
  <w15:docId w15:val="{175EA8AA-CA95-4EF0-8B73-449975F3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64F"/>
    <w:pPr>
      <w:spacing w:after="0" w:line="360" w:lineRule="auto"/>
    </w:pPr>
    <w:rPr>
      <w:rFonts w:ascii="Times New Roman" w:hAnsi="Times New Roman"/>
      <w:sz w:val="24"/>
    </w:rPr>
  </w:style>
  <w:style w:type="paragraph" w:styleId="Heading1">
    <w:name w:val="heading 1"/>
    <w:next w:val="Normal"/>
    <w:link w:val="Heading1Char"/>
    <w:uiPriority w:val="9"/>
    <w:unhideWhenUsed/>
    <w:qFormat/>
    <w:rsid w:val="0007076A"/>
    <w:pPr>
      <w:keepNext/>
      <w:keepLines/>
      <w:spacing w:after="111"/>
      <w:ind w:left="10" w:hanging="10"/>
      <w:outlineLvl w:val="0"/>
    </w:pPr>
    <w:rPr>
      <w:rFonts w:ascii="Times New Roman" w:eastAsia="Times New Roman" w:hAnsi="Times New Roman" w:cs="Times New Roman"/>
      <w:b/>
      <w:color w:val="000000"/>
      <w:sz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164F"/>
    <w:pPr>
      <w:spacing w:before="100" w:beforeAutospacing="1" w:after="100" w:afterAutospacing="1" w:line="240" w:lineRule="auto"/>
    </w:pPr>
    <w:rPr>
      <w:rFonts w:eastAsia="Times New Roman" w:cs="Times New Roman"/>
      <w:szCs w:val="24"/>
      <w:lang w:eastAsia="fr-FR"/>
    </w:rPr>
  </w:style>
  <w:style w:type="character" w:styleId="Hyperlink">
    <w:name w:val="Hyperlink"/>
    <w:basedOn w:val="DefaultParagraphFont"/>
    <w:uiPriority w:val="99"/>
    <w:unhideWhenUsed/>
    <w:rsid w:val="00F8164F"/>
    <w:rPr>
      <w:color w:val="0000FF"/>
      <w:u w:val="single"/>
    </w:rPr>
  </w:style>
  <w:style w:type="character" w:customStyle="1" w:styleId="Heading1Char">
    <w:name w:val="Heading 1 Char"/>
    <w:basedOn w:val="DefaultParagraphFont"/>
    <w:link w:val="Heading1"/>
    <w:uiPriority w:val="9"/>
    <w:rsid w:val="0007076A"/>
    <w:rPr>
      <w:rFonts w:ascii="Times New Roman" w:eastAsia="Times New Roman" w:hAnsi="Times New Roman" w:cs="Times New Roman"/>
      <w:b/>
      <w:color w:val="000000"/>
      <w:sz w:val="24"/>
      <w:lang w:eastAsia="fr-FR"/>
    </w:rPr>
  </w:style>
  <w:style w:type="table" w:customStyle="1" w:styleId="TableGrid">
    <w:name w:val="TableGrid"/>
    <w:rsid w:val="00A31DB8"/>
    <w:pPr>
      <w:spacing w:after="0" w:line="240" w:lineRule="auto"/>
    </w:pPr>
    <w:rPr>
      <w:rFonts w:eastAsiaTheme="minorEastAsia"/>
      <w:lang w:eastAsia="fr-FR"/>
    </w:rPr>
    <w:tblPr>
      <w:tblCellMar>
        <w:top w:w="0" w:type="dxa"/>
        <w:left w:w="0" w:type="dxa"/>
        <w:bottom w:w="0" w:type="dxa"/>
        <w:right w:w="0" w:type="dxa"/>
      </w:tblCellMar>
    </w:tblPr>
  </w:style>
  <w:style w:type="paragraph" w:styleId="Header">
    <w:name w:val="header"/>
    <w:basedOn w:val="Normal"/>
    <w:link w:val="HeaderChar"/>
    <w:uiPriority w:val="99"/>
    <w:unhideWhenUsed/>
    <w:rsid w:val="00E33F4F"/>
    <w:pPr>
      <w:tabs>
        <w:tab w:val="center" w:pos="4536"/>
        <w:tab w:val="right" w:pos="9072"/>
      </w:tabs>
      <w:spacing w:line="240" w:lineRule="auto"/>
    </w:pPr>
  </w:style>
  <w:style w:type="character" w:customStyle="1" w:styleId="HeaderChar">
    <w:name w:val="Header Char"/>
    <w:basedOn w:val="DefaultParagraphFont"/>
    <w:link w:val="Header"/>
    <w:uiPriority w:val="99"/>
    <w:rsid w:val="00E33F4F"/>
    <w:rPr>
      <w:rFonts w:ascii="Times New Roman" w:hAnsi="Times New Roman"/>
      <w:sz w:val="24"/>
    </w:rPr>
  </w:style>
  <w:style w:type="paragraph" w:styleId="Footer">
    <w:name w:val="footer"/>
    <w:basedOn w:val="Normal"/>
    <w:link w:val="FooterChar"/>
    <w:uiPriority w:val="99"/>
    <w:unhideWhenUsed/>
    <w:rsid w:val="00E33F4F"/>
    <w:pPr>
      <w:tabs>
        <w:tab w:val="center" w:pos="4536"/>
        <w:tab w:val="right" w:pos="9072"/>
      </w:tabs>
      <w:spacing w:line="240" w:lineRule="auto"/>
    </w:pPr>
  </w:style>
  <w:style w:type="character" w:customStyle="1" w:styleId="FooterChar">
    <w:name w:val="Footer Char"/>
    <w:basedOn w:val="DefaultParagraphFont"/>
    <w:link w:val="Footer"/>
    <w:uiPriority w:val="99"/>
    <w:rsid w:val="00E33F4F"/>
    <w:rPr>
      <w:rFonts w:ascii="Times New Roman" w:hAnsi="Times New Roman"/>
      <w:sz w:val="24"/>
    </w:rPr>
  </w:style>
  <w:style w:type="character" w:styleId="Strong">
    <w:name w:val="Strong"/>
    <w:basedOn w:val="DefaultParagraphFont"/>
    <w:uiPriority w:val="22"/>
    <w:qFormat/>
    <w:rsid w:val="003F571C"/>
    <w:rPr>
      <w:b/>
      <w:bCs/>
    </w:rPr>
  </w:style>
  <w:style w:type="character" w:styleId="Emphasis">
    <w:name w:val="Emphasis"/>
    <w:basedOn w:val="DefaultParagraphFont"/>
    <w:uiPriority w:val="20"/>
    <w:qFormat/>
    <w:rsid w:val="008E4C00"/>
    <w:rPr>
      <w:i/>
      <w:iCs/>
    </w:rPr>
  </w:style>
  <w:style w:type="paragraph" w:styleId="ListParagraph">
    <w:name w:val="List Paragraph"/>
    <w:basedOn w:val="Normal"/>
    <w:uiPriority w:val="34"/>
    <w:qFormat/>
    <w:rsid w:val="005B7B02"/>
    <w:pPr>
      <w:ind w:left="720"/>
      <w:contextualSpacing/>
    </w:pPr>
  </w:style>
  <w:style w:type="paragraph" w:styleId="BalloonText">
    <w:name w:val="Balloon Text"/>
    <w:basedOn w:val="Normal"/>
    <w:link w:val="BalloonTextChar"/>
    <w:uiPriority w:val="99"/>
    <w:semiHidden/>
    <w:unhideWhenUsed/>
    <w:rsid w:val="004A6B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B55"/>
    <w:rPr>
      <w:rFonts w:ascii="Segoe UI" w:hAnsi="Segoe UI" w:cs="Segoe UI"/>
      <w:sz w:val="18"/>
      <w:szCs w:val="18"/>
    </w:rPr>
  </w:style>
  <w:style w:type="character" w:styleId="UnresolvedMention">
    <w:name w:val="Unresolved Mention"/>
    <w:basedOn w:val="DefaultParagraphFont"/>
    <w:uiPriority w:val="99"/>
    <w:semiHidden/>
    <w:unhideWhenUsed/>
    <w:rsid w:val="00E00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9700">
      <w:bodyDiv w:val="1"/>
      <w:marLeft w:val="0"/>
      <w:marRight w:val="0"/>
      <w:marTop w:val="0"/>
      <w:marBottom w:val="0"/>
      <w:divBdr>
        <w:top w:val="none" w:sz="0" w:space="0" w:color="auto"/>
        <w:left w:val="none" w:sz="0" w:space="0" w:color="auto"/>
        <w:bottom w:val="none" w:sz="0" w:space="0" w:color="auto"/>
        <w:right w:val="none" w:sz="0" w:space="0" w:color="auto"/>
      </w:divBdr>
    </w:div>
    <w:div w:id="941182555">
      <w:bodyDiv w:val="1"/>
      <w:marLeft w:val="0"/>
      <w:marRight w:val="0"/>
      <w:marTop w:val="0"/>
      <w:marBottom w:val="0"/>
      <w:divBdr>
        <w:top w:val="none" w:sz="0" w:space="0" w:color="auto"/>
        <w:left w:val="none" w:sz="0" w:space="0" w:color="auto"/>
        <w:bottom w:val="none" w:sz="0" w:space="0" w:color="auto"/>
        <w:right w:val="none" w:sz="0" w:space="0" w:color="auto"/>
      </w:divBdr>
    </w:div>
    <w:div w:id="1242449264">
      <w:bodyDiv w:val="1"/>
      <w:marLeft w:val="0"/>
      <w:marRight w:val="0"/>
      <w:marTop w:val="0"/>
      <w:marBottom w:val="0"/>
      <w:divBdr>
        <w:top w:val="none" w:sz="0" w:space="0" w:color="auto"/>
        <w:left w:val="none" w:sz="0" w:space="0" w:color="auto"/>
        <w:bottom w:val="none" w:sz="0" w:space="0" w:color="auto"/>
        <w:right w:val="none" w:sz="0" w:space="0" w:color="auto"/>
      </w:divBdr>
    </w:div>
    <w:div w:id="1249458650">
      <w:bodyDiv w:val="1"/>
      <w:marLeft w:val="0"/>
      <w:marRight w:val="0"/>
      <w:marTop w:val="0"/>
      <w:marBottom w:val="0"/>
      <w:divBdr>
        <w:top w:val="none" w:sz="0" w:space="0" w:color="auto"/>
        <w:left w:val="none" w:sz="0" w:space="0" w:color="auto"/>
        <w:bottom w:val="none" w:sz="0" w:space="0" w:color="auto"/>
        <w:right w:val="none" w:sz="0" w:space="0" w:color="auto"/>
      </w:divBdr>
    </w:div>
    <w:div w:id="1344361940">
      <w:bodyDiv w:val="1"/>
      <w:marLeft w:val="0"/>
      <w:marRight w:val="0"/>
      <w:marTop w:val="0"/>
      <w:marBottom w:val="0"/>
      <w:divBdr>
        <w:top w:val="none" w:sz="0" w:space="0" w:color="auto"/>
        <w:left w:val="none" w:sz="0" w:space="0" w:color="auto"/>
        <w:bottom w:val="none" w:sz="0" w:space="0" w:color="auto"/>
        <w:right w:val="none" w:sz="0" w:space="0" w:color="auto"/>
      </w:divBdr>
    </w:div>
    <w:div w:id="1621761792">
      <w:bodyDiv w:val="1"/>
      <w:marLeft w:val="0"/>
      <w:marRight w:val="0"/>
      <w:marTop w:val="0"/>
      <w:marBottom w:val="0"/>
      <w:divBdr>
        <w:top w:val="none" w:sz="0" w:space="0" w:color="auto"/>
        <w:left w:val="none" w:sz="0" w:space="0" w:color="auto"/>
        <w:bottom w:val="none" w:sz="0" w:space="0" w:color="auto"/>
        <w:right w:val="none" w:sz="0" w:space="0" w:color="auto"/>
      </w:divBdr>
    </w:div>
    <w:div w:id="1705012460">
      <w:bodyDiv w:val="1"/>
      <w:marLeft w:val="0"/>
      <w:marRight w:val="0"/>
      <w:marTop w:val="0"/>
      <w:marBottom w:val="0"/>
      <w:divBdr>
        <w:top w:val="none" w:sz="0" w:space="0" w:color="auto"/>
        <w:left w:val="none" w:sz="0" w:space="0" w:color="auto"/>
        <w:bottom w:val="none" w:sz="0" w:space="0" w:color="auto"/>
        <w:right w:val="none" w:sz="0" w:space="0" w:color="auto"/>
      </w:divBdr>
    </w:div>
    <w:div w:id="200719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2.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PC%20MARKET%20CI\Desktop\MESURES%20FINALES%20CYRIL%203.xls"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C:\Users\PC%20MARKET%20CI\Desktop\MESURES%20FINALES%20CYRIL%20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92324813735435"/>
          <c:y val="3.6987222595830531E-2"/>
          <c:w val="0.85968161508453012"/>
          <c:h val="0.79531477529666561"/>
        </c:manualLayout>
      </c:layout>
      <c:lineChart>
        <c:grouping val="standard"/>
        <c:varyColors val="0"/>
        <c:ser>
          <c:idx val="0"/>
          <c:order val="0"/>
          <c:tx>
            <c:strRef>
              <c:f>Feuil2!$L$5</c:f>
              <c:strCache>
                <c:ptCount val="1"/>
                <c:pt idx="0">
                  <c:v>NPK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Feuil2!$M$4:$S$4</c:f>
              <c:strCache>
                <c:ptCount val="7"/>
                <c:pt idx="0">
                  <c:v>S1</c:v>
                </c:pt>
                <c:pt idx="1">
                  <c:v>S2</c:v>
                </c:pt>
                <c:pt idx="2">
                  <c:v>S3</c:v>
                </c:pt>
                <c:pt idx="3">
                  <c:v>S4</c:v>
                </c:pt>
                <c:pt idx="4">
                  <c:v>S5</c:v>
                </c:pt>
                <c:pt idx="5">
                  <c:v>S6</c:v>
                </c:pt>
                <c:pt idx="6">
                  <c:v>S7</c:v>
                </c:pt>
              </c:strCache>
            </c:strRef>
          </c:cat>
          <c:val>
            <c:numRef>
              <c:f>Feuil2!$M$5:$S$5</c:f>
              <c:numCache>
                <c:formatCode>General</c:formatCode>
                <c:ptCount val="7"/>
                <c:pt idx="0">
                  <c:v>0.55000000000000004</c:v>
                </c:pt>
                <c:pt idx="1">
                  <c:v>0.71</c:v>
                </c:pt>
                <c:pt idx="2">
                  <c:v>0.74</c:v>
                </c:pt>
                <c:pt idx="3">
                  <c:v>0.69</c:v>
                </c:pt>
                <c:pt idx="4">
                  <c:v>0.69</c:v>
                </c:pt>
                <c:pt idx="5">
                  <c:v>0.6</c:v>
                </c:pt>
                <c:pt idx="6">
                  <c:v>0.7</c:v>
                </c:pt>
              </c:numCache>
            </c:numRef>
          </c:val>
          <c:smooth val="0"/>
          <c:extLst>
            <c:ext xmlns:c16="http://schemas.microsoft.com/office/drawing/2014/chart" uri="{C3380CC4-5D6E-409C-BE32-E72D297353CC}">
              <c16:uniqueId val="{00000000-7B46-4FFA-B76A-6EFDAF8085E6}"/>
            </c:ext>
          </c:extLst>
        </c:ser>
        <c:ser>
          <c:idx val="1"/>
          <c:order val="1"/>
          <c:tx>
            <c:strRef>
              <c:f>Feuil2!$L$6</c:f>
              <c:strCache>
                <c:ptCount val="1"/>
                <c:pt idx="0">
                  <c:v>T0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Feuil2!$M$4:$S$4</c:f>
              <c:strCache>
                <c:ptCount val="7"/>
                <c:pt idx="0">
                  <c:v>S1</c:v>
                </c:pt>
                <c:pt idx="1">
                  <c:v>S2</c:v>
                </c:pt>
                <c:pt idx="2">
                  <c:v>S3</c:v>
                </c:pt>
                <c:pt idx="3">
                  <c:v>S4</c:v>
                </c:pt>
                <c:pt idx="4">
                  <c:v>S5</c:v>
                </c:pt>
                <c:pt idx="5">
                  <c:v>S6</c:v>
                </c:pt>
                <c:pt idx="6">
                  <c:v>S7</c:v>
                </c:pt>
              </c:strCache>
            </c:strRef>
          </c:cat>
          <c:val>
            <c:numRef>
              <c:f>Feuil2!$M$6:$S$6</c:f>
              <c:numCache>
                <c:formatCode>General</c:formatCode>
                <c:ptCount val="7"/>
                <c:pt idx="0">
                  <c:v>0.41</c:v>
                </c:pt>
                <c:pt idx="1">
                  <c:v>0.43</c:v>
                </c:pt>
                <c:pt idx="2">
                  <c:v>0.47</c:v>
                </c:pt>
                <c:pt idx="3">
                  <c:v>0.47</c:v>
                </c:pt>
                <c:pt idx="4">
                  <c:v>0.49</c:v>
                </c:pt>
                <c:pt idx="5">
                  <c:v>0.5</c:v>
                </c:pt>
                <c:pt idx="6">
                  <c:v>0.52</c:v>
                </c:pt>
              </c:numCache>
            </c:numRef>
          </c:val>
          <c:smooth val="0"/>
          <c:extLst>
            <c:ext xmlns:c16="http://schemas.microsoft.com/office/drawing/2014/chart" uri="{C3380CC4-5D6E-409C-BE32-E72D297353CC}">
              <c16:uniqueId val="{00000001-7B46-4FFA-B76A-6EFDAF8085E6}"/>
            </c:ext>
          </c:extLst>
        </c:ser>
        <c:ser>
          <c:idx val="2"/>
          <c:order val="2"/>
          <c:tx>
            <c:strRef>
              <c:f>Feuil2!$L$7</c:f>
              <c:strCache>
                <c:ptCount val="1"/>
                <c:pt idx="0">
                  <c:v>AF</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Feuil2!$M$4:$S$4</c:f>
              <c:strCache>
                <c:ptCount val="7"/>
                <c:pt idx="0">
                  <c:v>S1</c:v>
                </c:pt>
                <c:pt idx="1">
                  <c:v>S2</c:v>
                </c:pt>
                <c:pt idx="2">
                  <c:v>S3</c:v>
                </c:pt>
                <c:pt idx="3">
                  <c:v>S4</c:v>
                </c:pt>
                <c:pt idx="4">
                  <c:v>S5</c:v>
                </c:pt>
                <c:pt idx="5">
                  <c:v>S6</c:v>
                </c:pt>
                <c:pt idx="6">
                  <c:v>S7</c:v>
                </c:pt>
              </c:strCache>
            </c:strRef>
          </c:cat>
          <c:val>
            <c:numRef>
              <c:f>Feuil2!$M$7:$S$7</c:f>
              <c:numCache>
                <c:formatCode>General</c:formatCode>
                <c:ptCount val="7"/>
                <c:pt idx="0">
                  <c:v>0.44</c:v>
                </c:pt>
                <c:pt idx="1">
                  <c:v>0.51</c:v>
                </c:pt>
                <c:pt idx="2">
                  <c:v>0.5</c:v>
                </c:pt>
                <c:pt idx="3">
                  <c:v>0.56999999999999995</c:v>
                </c:pt>
                <c:pt idx="4">
                  <c:v>0.63</c:v>
                </c:pt>
                <c:pt idx="5">
                  <c:v>0.64</c:v>
                </c:pt>
                <c:pt idx="6">
                  <c:v>0.64</c:v>
                </c:pt>
              </c:numCache>
            </c:numRef>
          </c:val>
          <c:smooth val="0"/>
          <c:extLst>
            <c:ext xmlns:c16="http://schemas.microsoft.com/office/drawing/2014/chart" uri="{C3380CC4-5D6E-409C-BE32-E72D297353CC}">
              <c16:uniqueId val="{00000002-7B46-4FFA-B76A-6EFDAF8085E6}"/>
            </c:ext>
          </c:extLst>
        </c:ser>
        <c:ser>
          <c:idx val="3"/>
          <c:order val="3"/>
          <c:tx>
            <c:strRef>
              <c:f>Feuil2!$L$8</c:f>
              <c:strCache>
                <c:ptCount val="1"/>
                <c:pt idx="0">
                  <c:v>Co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Feuil2!$M$4:$S$4</c:f>
              <c:strCache>
                <c:ptCount val="7"/>
                <c:pt idx="0">
                  <c:v>S1</c:v>
                </c:pt>
                <c:pt idx="1">
                  <c:v>S2</c:v>
                </c:pt>
                <c:pt idx="2">
                  <c:v>S3</c:v>
                </c:pt>
                <c:pt idx="3">
                  <c:v>S4</c:v>
                </c:pt>
                <c:pt idx="4">
                  <c:v>S5</c:v>
                </c:pt>
                <c:pt idx="5">
                  <c:v>S6</c:v>
                </c:pt>
                <c:pt idx="6">
                  <c:v>S7</c:v>
                </c:pt>
              </c:strCache>
            </c:strRef>
          </c:cat>
          <c:val>
            <c:numRef>
              <c:f>Feuil2!$M$8:$S$8</c:f>
              <c:numCache>
                <c:formatCode>General</c:formatCode>
                <c:ptCount val="7"/>
                <c:pt idx="0">
                  <c:v>0.41</c:v>
                </c:pt>
                <c:pt idx="1">
                  <c:v>0.47</c:v>
                </c:pt>
                <c:pt idx="2">
                  <c:v>0.6</c:v>
                </c:pt>
                <c:pt idx="3">
                  <c:v>0.57999999999999996</c:v>
                </c:pt>
                <c:pt idx="4">
                  <c:v>0.7</c:v>
                </c:pt>
                <c:pt idx="5">
                  <c:v>0.57999999999999996</c:v>
                </c:pt>
                <c:pt idx="6">
                  <c:v>0.62</c:v>
                </c:pt>
              </c:numCache>
            </c:numRef>
          </c:val>
          <c:smooth val="0"/>
          <c:extLst>
            <c:ext xmlns:c16="http://schemas.microsoft.com/office/drawing/2014/chart" uri="{C3380CC4-5D6E-409C-BE32-E72D297353CC}">
              <c16:uniqueId val="{00000003-7B46-4FFA-B76A-6EFDAF8085E6}"/>
            </c:ext>
          </c:extLst>
        </c:ser>
        <c:dLbls>
          <c:showLegendKey val="0"/>
          <c:showVal val="0"/>
          <c:showCatName val="0"/>
          <c:showSerName val="0"/>
          <c:showPercent val="0"/>
          <c:showBubbleSize val="0"/>
        </c:dLbls>
        <c:marker val="1"/>
        <c:smooth val="0"/>
        <c:axId val="314763984"/>
        <c:axId val="314764376"/>
      </c:lineChart>
      <c:catAx>
        <c:axId val="314763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1">
                    <a:latin typeface="Times New Roman" panose="02020603050405020304" pitchFamily="18" charset="0"/>
                    <a:cs typeface="Times New Roman" panose="02020603050405020304" pitchFamily="18" charset="0"/>
                  </a:rPr>
                  <a:t>DAS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64376"/>
        <c:crosses val="autoZero"/>
        <c:auto val="1"/>
        <c:lblAlgn val="ctr"/>
        <c:lblOffset val="100"/>
        <c:noMultiLvlLbl val="0"/>
      </c:catAx>
      <c:valAx>
        <c:axId val="31476437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1">
                    <a:latin typeface="Times New Roman" panose="02020603050405020304" pitchFamily="18" charset="0"/>
                    <a:cs typeface="Times New Roman" panose="02020603050405020304" pitchFamily="18" charset="0"/>
                  </a:rPr>
                  <a:t>Neck diameter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63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31221626612635"/>
          <c:y val="2.1539292882507333E-2"/>
          <c:w val="0.84396062992125986"/>
          <c:h val="0.74677103597344452"/>
        </c:manualLayout>
      </c:layout>
      <c:barChart>
        <c:barDir val="col"/>
        <c:grouping val="clustered"/>
        <c:varyColors val="0"/>
        <c:ser>
          <c:idx val="0"/>
          <c:order val="0"/>
          <c:tx>
            <c:strRef>
              <c:f>Feuil2!$L$13</c:f>
              <c:strCache>
                <c:ptCount val="1"/>
                <c:pt idx="0">
                  <c:v>NPK</c:v>
                </c:pt>
              </c:strCache>
            </c:strRef>
          </c:tx>
          <c:spPr>
            <a:solidFill>
              <a:schemeClr val="accent1"/>
            </a:solidFill>
            <a:ln>
              <a:noFill/>
            </a:ln>
            <a:effectLst/>
          </c:spPr>
          <c:invertIfNegative val="0"/>
          <c:cat>
            <c:strRef>
              <c:f>Feuil2!$M$12:$S$12</c:f>
              <c:strCache>
                <c:ptCount val="7"/>
                <c:pt idx="0">
                  <c:v>S1</c:v>
                </c:pt>
                <c:pt idx="1">
                  <c:v>S2</c:v>
                </c:pt>
                <c:pt idx="2">
                  <c:v>S3</c:v>
                </c:pt>
                <c:pt idx="3">
                  <c:v>S4</c:v>
                </c:pt>
                <c:pt idx="4">
                  <c:v>S5</c:v>
                </c:pt>
                <c:pt idx="5">
                  <c:v>S6</c:v>
                </c:pt>
                <c:pt idx="6">
                  <c:v>S7</c:v>
                </c:pt>
              </c:strCache>
            </c:strRef>
          </c:cat>
          <c:val>
            <c:numRef>
              <c:f>Feuil2!$M$13:$S$13</c:f>
              <c:numCache>
                <c:formatCode>General</c:formatCode>
                <c:ptCount val="7"/>
                <c:pt idx="0">
                  <c:v>27.9</c:v>
                </c:pt>
                <c:pt idx="1">
                  <c:v>40.880000000000003</c:v>
                </c:pt>
                <c:pt idx="2">
                  <c:v>56.34</c:v>
                </c:pt>
                <c:pt idx="3">
                  <c:v>58.14</c:v>
                </c:pt>
                <c:pt idx="4">
                  <c:v>74.400000000000006</c:v>
                </c:pt>
                <c:pt idx="5">
                  <c:v>61.48</c:v>
                </c:pt>
                <c:pt idx="6">
                  <c:v>54.3</c:v>
                </c:pt>
              </c:numCache>
            </c:numRef>
          </c:val>
          <c:extLst>
            <c:ext xmlns:c16="http://schemas.microsoft.com/office/drawing/2014/chart" uri="{C3380CC4-5D6E-409C-BE32-E72D297353CC}">
              <c16:uniqueId val="{00000000-3838-44B0-82F8-CB8DB0AB0997}"/>
            </c:ext>
          </c:extLst>
        </c:ser>
        <c:ser>
          <c:idx val="1"/>
          <c:order val="1"/>
          <c:tx>
            <c:strRef>
              <c:f>Feuil2!$L$14</c:f>
              <c:strCache>
                <c:ptCount val="1"/>
                <c:pt idx="0">
                  <c:v>T0</c:v>
                </c:pt>
              </c:strCache>
            </c:strRef>
          </c:tx>
          <c:spPr>
            <a:solidFill>
              <a:schemeClr val="accent2"/>
            </a:solidFill>
            <a:ln>
              <a:noFill/>
            </a:ln>
            <a:effectLst/>
          </c:spPr>
          <c:invertIfNegative val="0"/>
          <c:cat>
            <c:strRef>
              <c:f>Feuil2!$M$12:$S$12</c:f>
              <c:strCache>
                <c:ptCount val="7"/>
                <c:pt idx="0">
                  <c:v>S1</c:v>
                </c:pt>
                <c:pt idx="1">
                  <c:v>S2</c:v>
                </c:pt>
                <c:pt idx="2">
                  <c:v>S3</c:v>
                </c:pt>
                <c:pt idx="3">
                  <c:v>S4</c:v>
                </c:pt>
                <c:pt idx="4">
                  <c:v>S5</c:v>
                </c:pt>
                <c:pt idx="5">
                  <c:v>S6</c:v>
                </c:pt>
                <c:pt idx="6">
                  <c:v>S7</c:v>
                </c:pt>
              </c:strCache>
            </c:strRef>
          </c:cat>
          <c:val>
            <c:numRef>
              <c:f>Feuil2!$M$14:$S$14</c:f>
              <c:numCache>
                <c:formatCode>General</c:formatCode>
                <c:ptCount val="7"/>
                <c:pt idx="0">
                  <c:v>17.899999999999999</c:v>
                </c:pt>
                <c:pt idx="1">
                  <c:v>27.58</c:v>
                </c:pt>
                <c:pt idx="2">
                  <c:v>41.4</c:v>
                </c:pt>
                <c:pt idx="3">
                  <c:v>46.6</c:v>
                </c:pt>
                <c:pt idx="4">
                  <c:v>54.28</c:v>
                </c:pt>
                <c:pt idx="5">
                  <c:v>52.8</c:v>
                </c:pt>
                <c:pt idx="6">
                  <c:v>55.6</c:v>
                </c:pt>
              </c:numCache>
            </c:numRef>
          </c:val>
          <c:extLst>
            <c:ext xmlns:c16="http://schemas.microsoft.com/office/drawing/2014/chart" uri="{C3380CC4-5D6E-409C-BE32-E72D297353CC}">
              <c16:uniqueId val="{00000001-3838-44B0-82F8-CB8DB0AB0997}"/>
            </c:ext>
          </c:extLst>
        </c:ser>
        <c:ser>
          <c:idx val="2"/>
          <c:order val="2"/>
          <c:tx>
            <c:strRef>
              <c:f>Feuil2!$L$15</c:f>
              <c:strCache>
                <c:ptCount val="1"/>
                <c:pt idx="0">
                  <c:v>AF</c:v>
                </c:pt>
              </c:strCache>
            </c:strRef>
          </c:tx>
          <c:spPr>
            <a:solidFill>
              <a:schemeClr val="accent3"/>
            </a:solidFill>
            <a:ln>
              <a:noFill/>
            </a:ln>
            <a:effectLst/>
          </c:spPr>
          <c:invertIfNegative val="0"/>
          <c:cat>
            <c:strRef>
              <c:f>Feuil2!$M$12:$S$12</c:f>
              <c:strCache>
                <c:ptCount val="7"/>
                <c:pt idx="0">
                  <c:v>S1</c:v>
                </c:pt>
                <c:pt idx="1">
                  <c:v>S2</c:v>
                </c:pt>
                <c:pt idx="2">
                  <c:v>S3</c:v>
                </c:pt>
                <c:pt idx="3">
                  <c:v>S4</c:v>
                </c:pt>
                <c:pt idx="4">
                  <c:v>S5</c:v>
                </c:pt>
                <c:pt idx="5">
                  <c:v>S6</c:v>
                </c:pt>
                <c:pt idx="6">
                  <c:v>S7</c:v>
                </c:pt>
              </c:strCache>
            </c:strRef>
          </c:cat>
          <c:val>
            <c:numRef>
              <c:f>Feuil2!$M$15:$S$15</c:f>
              <c:numCache>
                <c:formatCode>General</c:formatCode>
                <c:ptCount val="7"/>
                <c:pt idx="0">
                  <c:v>18.88</c:v>
                </c:pt>
                <c:pt idx="1">
                  <c:v>32.4</c:v>
                </c:pt>
                <c:pt idx="2">
                  <c:v>47</c:v>
                </c:pt>
                <c:pt idx="3">
                  <c:v>58.6</c:v>
                </c:pt>
                <c:pt idx="4">
                  <c:v>64.52</c:v>
                </c:pt>
                <c:pt idx="5">
                  <c:v>62.2</c:v>
                </c:pt>
                <c:pt idx="6">
                  <c:v>65.739999999999995</c:v>
                </c:pt>
              </c:numCache>
            </c:numRef>
          </c:val>
          <c:extLst>
            <c:ext xmlns:c16="http://schemas.microsoft.com/office/drawing/2014/chart" uri="{C3380CC4-5D6E-409C-BE32-E72D297353CC}">
              <c16:uniqueId val="{00000002-3838-44B0-82F8-CB8DB0AB0997}"/>
            </c:ext>
          </c:extLst>
        </c:ser>
        <c:ser>
          <c:idx val="3"/>
          <c:order val="3"/>
          <c:tx>
            <c:strRef>
              <c:f>Feuil2!$L$16</c:f>
              <c:strCache>
                <c:ptCount val="1"/>
                <c:pt idx="0">
                  <c:v>Co</c:v>
                </c:pt>
              </c:strCache>
            </c:strRef>
          </c:tx>
          <c:spPr>
            <a:solidFill>
              <a:schemeClr val="accent4"/>
            </a:solidFill>
            <a:ln>
              <a:noFill/>
            </a:ln>
            <a:effectLst/>
          </c:spPr>
          <c:invertIfNegative val="0"/>
          <c:cat>
            <c:strRef>
              <c:f>Feuil2!$M$12:$S$12</c:f>
              <c:strCache>
                <c:ptCount val="7"/>
                <c:pt idx="0">
                  <c:v>S1</c:v>
                </c:pt>
                <c:pt idx="1">
                  <c:v>S2</c:v>
                </c:pt>
                <c:pt idx="2">
                  <c:v>S3</c:v>
                </c:pt>
                <c:pt idx="3">
                  <c:v>S4</c:v>
                </c:pt>
                <c:pt idx="4">
                  <c:v>S5</c:v>
                </c:pt>
                <c:pt idx="5">
                  <c:v>S6</c:v>
                </c:pt>
                <c:pt idx="6">
                  <c:v>S7</c:v>
                </c:pt>
              </c:strCache>
            </c:strRef>
          </c:cat>
          <c:val>
            <c:numRef>
              <c:f>Feuil2!$M$16:$S$16</c:f>
              <c:numCache>
                <c:formatCode>General</c:formatCode>
                <c:ptCount val="7"/>
                <c:pt idx="0">
                  <c:v>8.9600000000000009</c:v>
                </c:pt>
                <c:pt idx="1">
                  <c:v>20.2</c:v>
                </c:pt>
                <c:pt idx="2">
                  <c:v>32.76</c:v>
                </c:pt>
                <c:pt idx="3">
                  <c:v>46.74</c:v>
                </c:pt>
                <c:pt idx="4">
                  <c:v>68.58</c:v>
                </c:pt>
                <c:pt idx="5">
                  <c:v>57.02</c:v>
                </c:pt>
                <c:pt idx="6">
                  <c:v>66.680000000000007</c:v>
                </c:pt>
              </c:numCache>
            </c:numRef>
          </c:val>
          <c:extLst>
            <c:ext xmlns:c16="http://schemas.microsoft.com/office/drawing/2014/chart" uri="{C3380CC4-5D6E-409C-BE32-E72D297353CC}">
              <c16:uniqueId val="{00000003-3838-44B0-82F8-CB8DB0AB0997}"/>
            </c:ext>
          </c:extLst>
        </c:ser>
        <c:dLbls>
          <c:showLegendKey val="0"/>
          <c:showVal val="0"/>
          <c:showCatName val="0"/>
          <c:showSerName val="0"/>
          <c:showPercent val="0"/>
          <c:showBubbleSize val="0"/>
        </c:dLbls>
        <c:gapWidth val="219"/>
        <c:overlap val="-27"/>
        <c:axId val="314762024"/>
        <c:axId val="314763200"/>
      </c:barChart>
      <c:catAx>
        <c:axId val="314762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latin typeface="Times New Roman" panose="02020603050405020304" pitchFamily="18" charset="0"/>
                    <a:cs typeface="Times New Roman" panose="02020603050405020304" pitchFamily="18" charset="0"/>
                  </a:rPr>
                  <a:t>DAS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63200"/>
        <c:crosses val="autoZero"/>
        <c:auto val="1"/>
        <c:lblAlgn val="ctr"/>
        <c:lblOffset val="100"/>
        <c:noMultiLvlLbl val="0"/>
      </c:catAx>
      <c:valAx>
        <c:axId val="3147632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latin typeface="Times New Roman" panose="02020603050405020304" pitchFamily="18" charset="0"/>
                    <a:cs typeface="Times New Roman" panose="02020603050405020304" pitchFamily="18" charset="0"/>
                  </a:rPr>
                  <a:t>Height </a:t>
                </a:r>
                <a:r>
                  <a:rPr lang="fr-FR">
                    <a:latin typeface="Times New Roman" panose="02020603050405020304" pitchFamily="18" charset="0"/>
                    <a:cs typeface="Times New Roman" panose="02020603050405020304" pitchFamily="18" charset="0"/>
                  </a:rPr>
                  <a:t>(cm)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62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0.13029</cdr:x>
      <cdr:y>0.44706</cdr:y>
    </cdr:from>
    <cdr:to>
      <cdr:x>0.16612</cdr:x>
      <cdr:y>0.59412</cdr:y>
    </cdr:to>
    <cdr:sp macro="" textlink="">
      <cdr:nvSpPr>
        <cdr:cNvPr id="3" name="Zone de texte 2"/>
        <cdr:cNvSpPr txBox="1"/>
      </cdr:nvSpPr>
      <cdr:spPr>
        <a:xfrm xmlns:a="http://schemas.openxmlformats.org/drawingml/2006/main">
          <a:off x="762000" y="1447800"/>
          <a:ext cx="209550" cy="4762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a:t>a</a:t>
          </a:r>
        </a:p>
      </cdr:txBody>
    </cdr:sp>
  </cdr:relSizeAnchor>
  <cdr:relSizeAnchor xmlns:cdr="http://schemas.openxmlformats.org/drawingml/2006/chartDrawing">
    <cdr:from>
      <cdr:x>0.15201</cdr:x>
      <cdr:y>0.53922</cdr:y>
    </cdr:from>
    <cdr:to>
      <cdr:x>0.18784</cdr:x>
      <cdr:y>0.68627</cdr:y>
    </cdr:to>
    <cdr:sp macro="" textlink="">
      <cdr:nvSpPr>
        <cdr:cNvPr id="4" name="Zone de texte 1"/>
        <cdr:cNvSpPr txBox="1"/>
      </cdr:nvSpPr>
      <cdr:spPr>
        <a:xfrm xmlns:a="http://schemas.openxmlformats.org/drawingml/2006/main">
          <a:off x="889000" y="1746250"/>
          <a:ext cx="209550" cy="4762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bc</a:t>
          </a:r>
        </a:p>
      </cdr:txBody>
    </cdr:sp>
  </cdr:relSizeAnchor>
  <cdr:relSizeAnchor xmlns:cdr="http://schemas.openxmlformats.org/drawingml/2006/chartDrawing">
    <cdr:from>
      <cdr:x>0.19761</cdr:x>
      <cdr:y>0.61863</cdr:y>
    </cdr:from>
    <cdr:to>
      <cdr:x>0.23344</cdr:x>
      <cdr:y>0.76569</cdr:y>
    </cdr:to>
    <cdr:sp macro="" textlink="">
      <cdr:nvSpPr>
        <cdr:cNvPr id="5" name="Zone de texte 1"/>
        <cdr:cNvSpPr txBox="1"/>
      </cdr:nvSpPr>
      <cdr:spPr>
        <a:xfrm xmlns:a="http://schemas.openxmlformats.org/drawingml/2006/main">
          <a:off x="1155700" y="2003425"/>
          <a:ext cx="209550" cy="4762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c</a:t>
          </a:r>
        </a:p>
      </cdr:txBody>
    </cdr:sp>
  </cdr:relSizeAnchor>
  <cdr:relSizeAnchor xmlns:cdr="http://schemas.openxmlformats.org/drawingml/2006/chartDrawing">
    <cdr:from>
      <cdr:x>0.25136</cdr:x>
      <cdr:y>0.31863</cdr:y>
    </cdr:from>
    <cdr:to>
      <cdr:x>0.28719</cdr:x>
      <cdr:y>0.46569</cdr:y>
    </cdr:to>
    <cdr:sp macro="" textlink="">
      <cdr:nvSpPr>
        <cdr:cNvPr id="6" name="Zone de texte 1"/>
        <cdr:cNvSpPr txBox="1"/>
      </cdr:nvSpPr>
      <cdr:spPr>
        <a:xfrm xmlns:a="http://schemas.openxmlformats.org/drawingml/2006/main">
          <a:off x="1470025" y="1031875"/>
          <a:ext cx="209550" cy="4762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0.17698</cdr:x>
      <cdr:y>0.53137</cdr:y>
    </cdr:from>
    <cdr:to>
      <cdr:x>0.21281</cdr:x>
      <cdr:y>0.67843</cdr:y>
    </cdr:to>
    <cdr:sp macro="" textlink="">
      <cdr:nvSpPr>
        <cdr:cNvPr id="7" name="Zone de texte 1"/>
        <cdr:cNvSpPr txBox="1"/>
      </cdr:nvSpPr>
      <cdr:spPr>
        <a:xfrm xmlns:a="http://schemas.openxmlformats.org/drawingml/2006/main">
          <a:off x="1035050" y="1720850"/>
          <a:ext cx="209550" cy="4762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bc</a:t>
          </a:r>
        </a:p>
      </cdr:txBody>
    </cdr:sp>
  </cdr:relSizeAnchor>
  <cdr:relSizeAnchor xmlns:cdr="http://schemas.openxmlformats.org/drawingml/2006/chartDrawing">
    <cdr:from>
      <cdr:x>0.27199</cdr:x>
      <cdr:y>0.45</cdr:y>
    </cdr:from>
    <cdr:to>
      <cdr:x>0.31759</cdr:x>
      <cdr:y>0.57059</cdr:y>
    </cdr:to>
    <cdr:sp macro="" textlink="">
      <cdr:nvSpPr>
        <cdr:cNvPr id="8" name="Zone de texte 7"/>
        <cdr:cNvSpPr txBox="1"/>
      </cdr:nvSpPr>
      <cdr:spPr>
        <a:xfrm xmlns:a="http://schemas.openxmlformats.org/drawingml/2006/main">
          <a:off x="1590676" y="1457325"/>
          <a:ext cx="266700" cy="3905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a:t>b</a:t>
          </a:r>
        </a:p>
      </cdr:txBody>
    </cdr:sp>
  </cdr:relSizeAnchor>
  <cdr:relSizeAnchor xmlns:cdr="http://schemas.openxmlformats.org/drawingml/2006/chartDrawing">
    <cdr:from>
      <cdr:x>0.64858</cdr:x>
      <cdr:y>0.09216</cdr:y>
    </cdr:from>
    <cdr:to>
      <cdr:x>0.69418</cdr:x>
      <cdr:y>0.21275</cdr:y>
    </cdr:to>
    <cdr:sp macro="" textlink="">
      <cdr:nvSpPr>
        <cdr:cNvPr id="9" name="Zone de texte 1"/>
        <cdr:cNvSpPr txBox="1"/>
      </cdr:nvSpPr>
      <cdr:spPr>
        <a:xfrm xmlns:a="http://schemas.openxmlformats.org/drawingml/2006/main">
          <a:off x="3736264" y="293954"/>
          <a:ext cx="262689" cy="38463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bc</a:t>
          </a:r>
        </a:p>
      </cdr:txBody>
    </cdr:sp>
  </cdr:relSizeAnchor>
  <cdr:relSizeAnchor xmlns:cdr="http://schemas.openxmlformats.org/drawingml/2006/chartDrawing">
    <cdr:from>
      <cdr:x>0.29207</cdr:x>
      <cdr:y>0.39412</cdr:y>
    </cdr:from>
    <cdr:to>
      <cdr:x>0.33768</cdr:x>
      <cdr:y>0.46275</cdr:y>
    </cdr:to>
    <cdr:sp macro="" textlink="">
      <cdr:nvSpPr>
        <cdr:cNvPr id="10" name="Zone de texte 1"/>
        <cdr:cNvSpPr txBox="1"/>
      </cdr:nvSpPr>
      <cdr:spPr>
        <a:xfrm xmlns:a="http://schemas.openxmlformats.org/drawingml/2006/main">
          <a:off x="1708151" y="1276350"/>
          <a:ext cx="266700" cy="2222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ab</a:t>
          </a:r>
        </a:p>
      </cdr:txBody>
    </cdr:sp>
  </cdr:relSizeAnchor>
  <cdr:relSizeAnchor xmlns:cdr="http://schemas.openxmlformats.org/drawingml/2006/chartDrawing">
    <cdr:from>
      <cdr:x>0.31813</cdr:x>
      <cdr:y>0.50098</cdr:y>
    </cdr:from>
    <cdr:to>
      <cdr:x>0.36374</cdr:x>
      <cdr:y>0.62157</cdr:y>
    </cdr:to>
    <cdr:sp macro="" textlink="">
      <cdr:nvSpPr>
        <cdr:cNvPr id="11" name="Zone de texte 1"/>
        <cdr:cNvSpPr txBox="1"/>
      </cdr:nvSpPr>
      <cdr:spPr>
        <a:xfrm xmlns:a="http://schemas.openxmlformats.org/drawingml/2006/main">
          <a:off x="1860551" y="1622425"/>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c</a:t>
          </a:r>
        </a:p>
      </cdr:txBody>
    </cdr:sp>
  </cdr:relSizeAnchor>
  <cdr:relSizeAnchor xmlns:cdr="http://schemas.openxmlformats.org/drawingml/2006/chartDrawing">
    <cdr:from>
      <cdr:x>0.37025</cdr:x>
      <cdr:y>0.17745</cdr:y>
    </cdr:from>
    <cdr:to>
      <cdr:x>0.41585</cdr:x>
      <cdr:y>0.29804</cdr:y>
    </cdr:to>
    <cdr:sp macro="" textlink="">
      <cdr:nvSpPr>
        <cdr:cNvPr id="12" name="Zone de texte 1"/>
        <cdr:cNvSpPr txBox="1"/>
      </cdr:nvSpPr>
      <cdr:spPr>
        <a:xfrm xmlns:a="http://schemas.openxmlformats.org/drawingml/2006/main">
          <a:off x="2165351" y="574675"/>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0.87405</cdr:x>
      <cdr:y>0.17255</cdr:y>
    </cdr:from>
    <cdr:to>
      <cdr:x>0.91965</cdr:x>
      <cdr:y>0.29314</cdr:y>
    </cdr:to>
    <cdr:sp macro="" textlink="">
      <cdr:nvSpPr>
        <cdr:cNvPr id="13" name="Zone de texte 1"/>
        <cdr:cNvSpPr txBox="1"/>
      </cdr:nvSpPr>
      <cdr:spPr>
        <a:xfrm xmlns:a="http://schemas.openxmlformats.org/drawingml/2006/main">
          <a:off x="5111751" y="558800"/>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a:t>
          </a:r>
        </a:p>
      </cdr:txBody>
    </cdr:sp>
  </cdr:relSizeAnchor>
  <cdr:relSizeAnchor xmlns:cdr="http://schemas.openxmlformats.org/drawingml/2006/chartDrawing">
    <cdr:from>
      <cdr:x>0.7291</cdr:x>
      <cdr:y>0.11373</cdr:y>
    </cdr:from>
    <cdr:to>
      <cdr:x>0.7747</cdr:x>
      <cdr:y>0.23431</cdr:y>
    </cdr:to>
    <cdr:sp macro="" textlink="">
      <cdr:nvSpPr>
        <cdr:cNvPr id="14" name="Zone de texte 1"/>
        <cdr:cNvSpPr txBox="1"/>
      </cdr:nvSpPr>
      <cdr:spPr>
        <a:xfrm xmlns:a="http://schemas.openxmlformats.org/drawingml/2006/main">
          <a:off x="4264026" y="368300"/>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0.67852</cdr:x>
      <cdr:y>0.05807</cdr:y>
    </cdr:from>
    <cdr:to>
      <cdr:x>0.72412</cdr:x>
      <cdr:y>0.17866</cdr:y>
    </cdr:to>
    <cdr:sp macro="" textlink="">
      <cdr:nvSpPr>
        <cdr:cNvPr id="15" name="Zone de texte 1"/>
        <cdr:cNvSpPr txBox="1"/>
      </cdr:nvSpPr>
      <cdr:spPr>
        <a:xfrm xmlns:a="http://schemas.openxmlformats.org/drawingml/2006/main">
          <a:off x="3908742" y="185225"/>
          <a:ext cx="262689" cy="38463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a:t>
          </a:r>
        </a:p>
      </cdr:txBody>
    </cdr:sp>
  </cdr:relSizeAnchor>
  <cdr:relSizeAnchor xmlns:cdr="http://schemas.openxmlformats.org/drawingml/2006/chartDrawing">
    <cdr:from>
      <cdr:x>0.56298</cdr:x>
      <cdr:y>0.25882</cdr:y>
    </cdr:from>
    <cdr:to>
      <cdr:x>0.59446</cdr:x>
      <cdr:y>0.3402</cdr:y>
    </cdr:to>
    <cdr:sp macro="" textlink="">
      <cdr:nvSpPr>
        <cdr:cNvPr id="16" name="Zone de texte 1"/>
        <cdr:cNvSpPr txBox="1"/>
      </cdr:nvSpPr>
      <cdr:spPr>
        <a:xfrm xmlns:a="http://schemas.openxmlformats.org/drawingml/2006/main">
          <a:off x="3292476" y="838200"/>
          <a:ext cx="184149" cy="263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a:t>
          </a:r>
        </a:p>
      </cdr:txBody>
    </cdr:sp>
  </cdr:relSizeAnchor>
  <cdr:relSizeAnchor xmlns:cdr="http://schemas.openxmlformats.org/drawingml/2006/chartDrawing">
    <cdr:from>
      <cdr:x>0.53855</cdr:x>
      <cdr:y>0.15784</cdr:y>
    </cdr:from>
    <cdr:to>
      <cdr:x>0.58415</cdr:x>
      <cdr:y>0.27843</cdr:y>
    </cdr:to>
    <cdr:sp macro="" textlink="">
      <cdr:nvSpPr>
        <cdr:cNvPr id="17" name="Zone de texte 1"/>
        <cdr:cNvSpPr txBox="1"/>
      </cdr:nvSpPr>
      <cdr:spPr>
        <a:xfrm xmlns:a="http://schemas.openxmlformats.org/drawingml/2006/main">
          <a:off x="3149601" y="511175"/>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0.51412</cdr:x>
      <cdr:y>0.26667</cdr:y>
    </cdr:from>
    <cdr:to>
      <cdr:x>0.55972</cdr:x>
      <cdr:y>0.38725</cdr:y>
    </cdr:to>
    <cdr:sp macro="" textlink="">
      <cdr:nvSpPr>
        <cdr:cNvPr id="18" name="Zone de texte 1"/>
        <cdr:cNvSpPr txBox="1"/>
      </cdr:nvSpPr>
      <cdr:spPr>
        <a:xfrm xmlns:a="http://schemas.openxmlformats.org/drawingml/2006/main">
          <a:off x="3006726" y="863600"/>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a:t>
          </a:r>
        </a:p>
      </cdr:txBody>
    </cdr:sp>
  </cdr:relSizeAnchor>
  <cdr:relSizeAnchor xmlns:cdr="http://schemas.openxmlformats.org/drawingml/2006/chartDrawing">
    <cdr:from>
      <cdr:x>0.41314</cdr:x>
      <cdr:y>0.26667</cdr:y>
    </cdr:from>
    <cdr:to>
      <cdr:x>0.45874</cdr:x>
      <cdr:y>0.38725</cdr:y>
    </cdr:to>
    <cdr:sp macro="" textlink="">
      <cdr:nvSpPr>
        <cdr:cNvPr id="19" name="Zone de texte 1"/>
        <cdr:cNvSpPr txBox="1"/>
      </cdr:nvSpPr>
      <cdr:spPr>
        <a:xfrm xmlns:a="http://schemas.openxmlformats.org/drawingml/2006/main">
          <a:off x="2416176" y="863600"/>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a:t>
          </a:r>
        </a:p>
      </cdr:txBody>
    </cdr:sp>
  </cdr:relSizeAnchor>
  <cdr:relSizeAnchor xmlns:cdr="http://schemas.openxmlformats.org/drawingml/2006/chartDrawing">
    <cdr:from>
      <cdr:x>0.44083</cdr:x>
      <cdr:y>0.39902</cdr:y>
    </cdr:from>
    <cdr:to>
      <cdr:x>0.48643</cdr:x>
      <cdr:y>0.51961</cdr:y>
    </cdr:to>
    <cdr:sp macro="" textlink="">
      <cdr:nvSpPr>
        <cdr:cNvPr id="20" name="Zone de texte 1"/>
        <cdr:cNvSpPr txBox="1"/>
      </cdr:nvSpPr>
      <cdr:spPr>
        <a:xfrm xmlns:a="http://schemas.openxmlformats.org/drawingml/2006/main">
          <a:off x="2578101" y="1292225"/>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c</a:t>
          </a:r>
        </a:p>
      </cdr:txBody>
    </cdr:sp>
  </cdr:relSizeAnchor>
  <cdr:relSizeAnchor xmlns:cdr="http://schemas.openxmlformats.org/drawingml/2006/chartDrawing">
    <cdr:from>
      <cdr:x>0.49131</cdr:x>
      <cdr:y>0.15784</cdr:y>
    </cdr:from>
    <cdr:to>
      <cdr:x>0.53692</cdr:x>
      <cdr:y>0.27843</cdr:y>
    </cdr:to>
    <cdr:sp macro="" textlink="">
      <cdr:nvSpPr>
        <cdr:cNvPr id="21" name="Zone de texte 1"/>
        <cdr:cNvSpPr txBox="1"/>
      </cdr:nvSpPr>
      <cdr:spPr>
        <a:xfrm xmlns:a="http://schemas.openxmlformats.org/drawingml/2006/main">
          <a:off x="2873376" y="511175"/>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0.63627</cdr:x>
      <cdr:y>0.16961</cdr:y>
    </cdr:from>
    <cdr:to>
      <cdr:x>0.68187</cdr:x>
      <cdr:y>0.2902</cdr:y>
    </cdr:to>
    <cdr:sp macro="" textlink="">
      <cdr:nvSpPr>
        <cdr:cNvPr id="22" name="Zone de texte 1"/>
        <cdr:cNvSpPr txBox="1"/>
      </cdr:nvSpPr>
      <cdr:spPr>
        <a:xfrm xmlns:a="http://schemas.openxmlformats.org/drawingml/2006/main">
          <a:off x="3721101" y="549275"/>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c</a:t>
          </a:r>
        </a:p>
      </cdr:txBody>
    </cdr:sp>
  </cdr:relSizeAnchor>
  <cdr:relSizeAnchor xmlns:cdr="http://schemas.openxmlformats.org/drawingml/2006/chartDrawing">
    <cdr:from>
      <cdr:x>0.61021</cdr:x>
      <cdr:y>0.00784</cdr:y>
    </cdr:from>
    <cdr:to>
      <cdr:x>0.65581</cdr:x>
      <cdr:y>0.12843</cdr:y>
    </cdr:to>
    <cdr:sp macro="" textlink="">
      <cdr:nvSpPr>
        <cdr:cNvPr id="23" name="Zone de texte 1"/>
        <cdr:cNvSpPr txBox="1"/>
      </cdr:nvSpPr>
      <cdr:spPr>
        <a:xfrm xmlns:a="http://schemas.openxmlformats.org/drawingml/2006/main">
          <a:off x="3568701" y="25400"/>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0.77307</cdr:x>
      <cdr:y>0.10784</cdr:y>
    </cdr:from>
    <cdr:to>
      <cdr:x>0.81868</cdr:x>
      <cdr:y>0.22843</cdr:y>
    </cdr:to>
    <cdr:sp macro="" textlink="">
      <cdr:nvSpPr>
        <cdr:cNvPr id="24" name="Zone de texte 1"/>
        <cdr:cNvSpPr txBox="1"/>
      </cdr:nvSpPr>
      <cdr:spPr>
        <a:xfrm xmlns:a="http://schemas.openxmlformats.org/drawingml/2006/main">
          <a:off x="4521201" y="349250"/>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0.38427</cdr:x>
      <cdr:y>0.31356</cdr:y>
    </cdr:from>
    <cdr:to>
      <cdr:x>0.42987</cdr:x>
      <cdr:y>0.41452</cdr:y>
    </cdr:to>
    <cdr:sp macro="" textlink="">
      <cdr:nvSpPr>
        <cdr:cNvPr id="25" name="Zone de texte 1"/>
        <cdr:cNvSpPr txBox="1"/>
      </cdr:nvSpPr>
      <cdr:spPr>
        <a:xfrm xmlns:a="http://schemas.openxmlformats.org/drawingml/2006/main">
          <a:off x="2213650" y="1000125"/>
          <a:ext cx="262689" cy="32204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bc</a:t>
          </a:r>
        </a:p>
      </cdr:txBody>
    </cdr:sp>
  </cdr:relSizeAnchor>
  <cdr:relSizeAnchor xmlns:cdr="http://schemas.openxmlformats.org/drawingml/2006/chartDrawing">
    <cdr:from>
      <cdr:x>0.8875</cdr:x>
      <cdr:y>0.08244</cdr:y>
    </cdr:from>
    <cdr:to>
      <cdr:x>0.9331</cdr:x>
      <cdr:y>0.20303</cdr:y>
    </cdr:to>
    <cdr:sp macro="" textlink="">
      <cdr:nvSpPr>
        <cdr:cNvPr id="26" name="Zone de texte 1"/>
        <cdr:cNvSpPr txBox="1"/>
      </cdr:nvSpPr>
      <cdr:spPr>
        <a:xfrm xmlns:a="http://schemas.openxmlformats.org/drawingml/2006/main">
          <a:off x="5112655" y="262959"/>
          <a:ext cx="262689" cy="3846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0.84853</cdr:x>
      <cdr:y>0.19412</cdr:y>
    </cdr:from>
    <cdr:to>
      <cdr:x>0.89414</cdr:x>
      <cdr:y>0.31471</cdr:y>
    </cdr:to>
    <cdr:sp macro="" textlink="">
      <cdr:nvSpPr>
        <cdr:cNvPr id="27" name="Zone de texte 1"/>
        <cdr:cNvSpPr txBox="1"/>
      </cdr:nvSpPr>
      <cdr:spPr>
        <a:xfrm xmlns:a="http://schemas.openxmlformats.org/drawingml/2006/main">
          <a:off x="4962526" y="628650"/>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fr-FR" sz="1100"/>
        </a:p>
      </cdr:txBody>
    </cdr:sp>
  </cdr:relSizeAnchor>
  <cdr:relSizeAnchor xmlns:cdr="http://schemas.openxmlformats.org/drawingml/2006/chartDrawing">
    <cdr:from>
      <cdr:x>0.80293</cdr:x>
      <cdr:y>0.16176</cdr:y>
    </cdr:from>
    <cdr:to>
      <cdr:x>0.84853</cdr:x>
      <cdr:y>0.28235</cdr:y>
    </cdr:to>
    <cdr:sp macro="" textlink="">
      <cdr:nvSpPr>
        <cdr:cNvPr id="28" name="Zone de texte 1"/>
        <cdr:cNvSpPr txBox="1"/>
      </cdr:nvSpPr>
      <cdr:spPr>
        <a:xfrm xmlns:a="http://schemas.openxmlformats.org/drawingml/2006/main">
          <a:off x="4695826" y="523875"/>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bc</a:t>
          </a:r>
        </a:p>
      </cdr:txBody>
    </cdr:sp>
  </cdr:relSizeAnchor>
  <cdr:relSizeAnchor xmlns:cdr="http://schemas.openxmlformats.org/drawingml/2006/chartDrawing">
    <cdr:from>
      <cdr:x>0.75733</cdr:x>
      <cdr:y>0.19706</cdr:y>
    </cdr:from>
    <cdr:to>
      <cdr:x>0.80293</cdr:x>
      <cdr:y>0.31765</cdr:y>
    </cdr:to>
    <cdr:sp macro="" textlink="">
      <cdr:nvSpPr>
        <cdr:cNvPr id="29" name="Zone de texte 1"/>
        <cdr:cNvSpPr txBox="1"/>
      </cdr:nvSpPr>
      <cdr:spPr>
        <a:xfrm xmlns:a="http://schemas.openxmlformats.org/drawingml/2006/main">
          <a:off x="4429126" y="638175"/>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c</a:t>
          </a:r>
        </a:p>
      </cdr:txBody>
    </cdr:sp>
  </cdr:relSizeAnchor>
  <cdr:relSizeAnchor xmlns:cdr="http://schemas.openxmlformats.org/drawingml/2006/chartDrawing">
    <cdr:from>
      <cdr:x>0.92237</cdr:x>
      <cdr:y>0.06275</cdr:y>
    </cdr:from>
    <cdr:to>
      <cdr:x>0.96797</cdr:x>
      <cdr:y>0.18333</cdr:y>
    </cdr:to>
    <cdr:sp macro="" textlink="">
      <cdr:nvSpPr>
        <cdr:cNvPr id="30" name="Zone de texte 1"/>
        <cdr:cNvSpPr txBox="1"/>
      </cdr:nvSpPr>
      <cdr:spPr>
        <a:xfrm xmlns:a="http://schemas.openxmlformats.org/drawingml/2006/main">
          <a:off x="5394326" y="203200"/>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0.85016</cdr:x>
      <cdr:y>0.18529</cdr:y>
    </cdr:from>
    <cdr:to>
      <cdr:x>0.89577</cdr:x>
      <cdr:y>0.30588</cdr:y>
    </cdr:to>
    <cdr:sp macro="" textlink="">
      <cdr:nvSpPr>
        <cdr:cNvPr id="31" name="Zone de texte 1"/>
        <cdr:cNvSpPr txBox="1"/>
      </cdr:nvSpPr>
      <cdr:spPr>
        <a:xfrm xmlns:a="http://schemas.openxmlformats.org/drawingml/2006/main">
          <a:off x="4972051" y="600075"/>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TotalTime>
  <Pages>11</Pages>
  <Words>4915</Words>
  <Characters>28018</Characters>
  <Application>Microsoft Office Word</Application>
  <DocSecurity>0</DocSecurity>
  <Lines>233</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TOURE BESSIMORY</dc:creator>
  <cp:keywords/>
  <dc:description/>
  <cp:lastModifiedBy>SDI 1084</cp:lastModifiedBy>
  <cp:revision>11</cp:revision>
  <dcterms:created xsi:type="dcterms:W3CDTF">2025-08-20T12:03:00Z</dcterms:created>
  <dcterms:modified xsi:type="dcterms:W3CDTF">2025-08-21T07:58:00Z</dcterms:modified>
</cp:coreProperties>
</file>