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4C6C7" w14:textId="456C1C02" w:rsidR="00244BC9" w:rsidRDefault="5C8FAE4C" w:rsidP="00F83447">
      <w:pPr>
        <w:pStyle w:val="Heading1"/>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 xml:space="preserve">Comparative National Prescriptive and </w:t>
      </w:r>
      <w:proofErr w:type="spellStart"/>
      <w:r w:rsidRPr="769E5782">
        <w:rPr>
          <w:rFonts w:ascii="Times New Roman" w:eastAsia="Times New Roman" w:hAnsi="Times New Roman" w:cs="Times New Roman"/>
          <w:b/>
          <w:bCs/>
          <w:color w:val="auto"/>
          <w:sz w:val="24"/>
          <w:szCs w:val="24"/>
        </w:rPr>
        <w:t>Dosimetric</w:t>
      </w:r>
      <w:proofErr w:type="spellEnd"/>
      <w:r w:rsidRPr="769E5782">
        <w:rPr>
          <w:rFonts w:ascii="Times New Roman" w:eastAsia="Times New Roman" w:hAnsi="Times New Roman" w:cs="Times New Roman"/>
          <w:b/>
          <w:bCs/>
          <w:color w:val="auto"/>
          <w:sz w:val="24"/>
          <w:szCs w:val="24"/>
        </w:rPr>
        <w:t xml:space="preserve"> Characteristics of Beta-Blocker Therapy in Asian Heart Failure Patients</w:t>
      </w:r>
    </w:p>
    <w:p w14:paraId="69523F61" w14:textId="7AFEE9AE"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2057B86A" w14:textId="604A8C41"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p>
    <w:p w14:paraId="26F379F9" w14:textId="659B0F8F"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p>
    <w:p w14:paraId="08B0D371" w14:textId="02AC5E83"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p>
    <w:p w14:paraId="29B26D81" w14:textId="3D1FC442"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p>
    <w:p w14:paraId="06B8F305" w14:textId="004FAE88"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p>
    <w:p w14:paraId="0BE7553A" w14:textId="44BD3FEE"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p>
    <w:p w14:paraId="2B4A559C" w14:textId="5DC30927"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p>
    <w:p w14:paraId="1E4301F3" w14:textId="77777777" w:rsidR="00814388" w:rsidRDefault="00814388" w:rsidP="00F83447">
      <w:pPr>
        <w:shd w:val="clear" w:color="auto" w:fill="FFFFFF" w:themeFill="background1"/>
        <w:spacing w:after="0" w:line="240" w:lineRule="auto"/>
        <w:jc w:val="both"/>
        <w:rPr>
          <w:rFonts w:ascii="Times New Roman" w:eastAsia="Times New Roman" w:hAnsi="Times New Roman" w:cs="Times New Roman"/>
        </w:rPr>
      </w:pPr>
      <w:bookmarkStart w:id="0" w:name="_GoBack"/>
      <w:bookmarkEnd w:id="0"/>
    </w:p>
    <w:p w14:paraId="0E92FB64" w14:textId="4926A76F" w:rsidR="00244BC9" w:rsidRDefault="5C8FAE4C" w:rsidP="00F83447">
      <w:pPr>
        <w:shd w:val="clear" w:color="auto" w:fill="FFFFFF" w:themeFill="background1"/>
        <w:spacing w:after="0" w:line="240" w:lineRule="auto"/>
        <w:jc w:val="both"/>
        <w:rPr>
          <w:rFonts w:ascii="Times New Roman" w:eastAsia="Times New Roman" w:hAnsi="Times New Roman" w:cs="Times New Roman"/>
          <w:b/>
          <w:bCs/>
        </w:rPr>
      </w:pPr>
      <w:r w:rsidRPr="769E5782">
        <w:rPr>
          <w:rFonts w:ascii="Times New Roman" w:eastAsia="Times New Roman" w:hAnsi="Times New Roman" w:cs="Times New Roman"/>
          <w:b/>
          <w:bCs/>
        </w:rPr>
        <w:t>Abstract.</w:t>
      </w:r>
    </w:p>
    <w:p w14:paraId="13E15EBD" w14:textId="5BB8D4BF" w:rsidR="00244BC9" w:rsidRDefault="5C8FAE4C" w:rsidP="00F83447">
      <w:pPr>
        <w:shd w:val="clear" w:color="auto" w:fill="FFFFFF" w:themeFill="background1"/>
        <w:spacing w:after="0" w:line="240" w:lineRule="auto"/>
        <w:jc w:val="both"/>
        <w:rPr>
          <w:rFonts w:ascii="Times New Roman" w:eastAsia="Times New Roman" w:hAnsi="Times New Roman" w:cs="Times New Roman"/>
          <w:sz w:val="20"/>
          <w:szCs w:val="20"/>
        </w:rPr>
      </w:pPr>
      <w:r w:rsidRPr="769E5782">
        <w:rPr>
          <w:rFonts w:ascii="Times New Roman" w:eastAsia="Times New Roman" w:hAnsi="Times New Roman" w:cs="Times New Roman"/>
          <w:sz w:val="20"/>
          <w:szCs w:val="20"/>
        </w:rPr>
        <w:t xml:space="preserve">Contemporary evidence challenges established paradigms surrounding beta-blocker therapy in heart failure management, particularly among Asian populations. The accumulated data demonstrates that beta-blockers exhibit remarkable therapeutic efficacy across diverse heart failure phenotypes when dosing strategies account for population-specific pharmacokinetic properties. Regional prescription disparities—ranging from 61% adoption in Indonesia to 91% in Japan—belie the consistent mortality benefits observed throughout Asian cohorts. The pharmacogenetic distinctions between Asian and Western populations warrant substantive reconsideration of dosing protocols. Japanese patients achieve equivalent clinical outcomes at reduced doses compared to their Western counterparts, necessitating a departure from universal dosing standards. Safety profiles among Asian populations further support tailored therapeutic approaches. The reduced discontinuation rates and favorable adverse event profiles observed in Asian cohorts suggest that concerns regarding beta-blocker tolerability may be less pronounced when dosing strategies reflect population-specific characteristics. The absence of statistical differences in serious adverse events between various beta-blocker formulations provides clinicians with reasonable latitude in agent selection. The compatibility between beta-blockers and contemporary heart failure therapeutics, particularly SGLT2 inhibitors, presents opportunities for synergistic treatment approaches. Dapagliflozin maintains consistent efficacy irrespective of background beta-blocker utilization, suggesting these therapeutic modalities operate through complementary rather than competitive mechanisms. Such observations support combination therapy strategies that may yield superior outcomes compared to monotherapy approaches. Guideline discordance between major cardiology organizations reflects the evolving understanding of heart failure therapeutics, particularly in </w:t>
      </w:r>
      <w:proofErr w:type="spellStart"/>
      <w:r w:rsidRPr="769E5782">
        <w:rPr>
          <w:rFonts w:ascii="Times New Roman" w:eastAsia="Times New Roman" w:hAnsi="Times New Roman" w:cs="Times New Roman"/>
          <w:sz w:val="20"/>
          <w:szCs w:val="20"/>
        </w:rPr>
        <w:t>HFpEF</w:t>
      </w:r>
      <w:proofErr w:type="spellEnd"/>
      <w:r w:rsidRPr="769E5782">
        <w:rPr>
          <w:rFonts w:ascii="Times New Roman" w:eastAsia="Times New Roman" w:hAnsi="Times New Roman" w:cs="Times New Roman"/>
          <w:sz w:val="20"/>
          <w:szCs w:val="20"/>
        </w:rPr>
        <w:t xml:space="preserve"> management. </w:t>
      </w:r>
      <w:proofErr w:type="spellStart"/>
      <w:r w:rsidRPr="769E5782">
        <w:rPr>
          <w:rFonts w:ascii="Times New Roman" w:eastAsia="Times New Roman" w:hAnsi="Times New Roman" w:cs="Times New Roman"/>
          <w:sz w:val="20"/>
          <w:szCs w:val="20"/>
        </w:rPr>
        <w:t>Cardioselective</w:t>
      </w:r>
      <w:proofErr w:type="spellEnd"/>
      <w:r w:rsidRPr="769E5782">
        <w:rPr>
          <w:rFonts w:ascii="Times New Roman" w:eastAsia="Times New Roman" w:hAnsi="Times New Roman" w:cs="Times New Roman"/>
          <w:sz w:val="20"/>
          <w:szCs w:val="20"/>
        </w:rPr>
        <w:t xml:space="preserve"> beta-blockers demonstrate promise in Asian populations, especially when prescribed considerations account for comorbid conditions and left ventricular function. Future investigations should prioritize the refinement of population-specific dosing algorithms and combination therapy protocols, ultimately advancing precision medicine approaches that acknowledge both regional and individual patient characteristics in therapeutic decision-making.</w:t>
      </w:r>
    </w:p>
    <w:p w14:paraId="5CC68910" w14:textId="4785174F" w:rsidR="00F83447" w:rsidRDefault="00F83447" w:rsidP="00F83447">
      <w:pPr>
        <w:shd w:val="clear" w:color="auto" w:fill="FFFFFF" w:themeFill="background1"/>
        <w:spacing w:after="0" w:line="240" w:lineRule="auto"/>
        <w:jc w:val="both"/>
        <w:rPr>
          <w:rFonts w:ascii="Times New Roman" w:eastAsia="Times New Roman" w:hAnsi="Times New Roman" w:cs="Times New Roman"/>
        </w:rPr>
      </w:pPr>
    </w:p>
    <w:p w14:paraId="57DC0C23" w14:textId="09B542F1" w:rsidR="00F83447" w:rsidRDefault="00F83447" w:rsidP="00F83447">
      <w:pPr>
        <w:shd w:val="clear" w:color="auto" w:fill="FFFFFF" w:themeFill="background1"/>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Keywords:</w:t>
      </w:r>
      <w:r w:rsidRPr="00F83447">
        <w:rPr>
          <w:rFonts w:ascii="Times New Roman" w:eastAsia="Times New Roman" w:hAnsi="Times New Roman" w:cs="Times New Roman"/>
          <w:sz w:val="20"/>
          <w:szCs w:val="20"/>
        </w:rPr>
        <w:t xml:space="preserve"> </w:t>
      </w:r>
      <w:r w:rsidRPr="769E5782">
        <w:rPr>
          <w:rFonts w:ascii="Times New Roman" w:eastAsia="Times New Roman" w:hAnsi="Times New Roman" w:cs="Times New Roman"/>
          <w:sz w:val="20"/>
          <w:szCs w:val="20"/>
        </w:rPr>
        <w:t>ventricular function</w:t>
      </w:r>
      <w:r>
        <w:rPr>
          <w:rFonts w:ascii="Times New Roman" w:eastAsia="Times New Roman" w:hAnsi="Times New Roman" w:cs="Times New Roman"/>
          <w:sz w:val="20"/>
          <w:szCs w:val="20"/>
        </w:rPr>
        <w:t xml:space="preserve">, heart failure, </w:t>
      </w:r>
      <w:r w:rsidRPr="769E5782">
        <w:rPr>
          <w:rFonts w:ascii="Times New Roman" w:eastAsia="Times New Roman" w:hAnsi="Times New Roman" w:cs="Times New Roman"/>
          <w:sz w:val="20"/>
          <w:szCs w:val="20"/>
        </w:rPr>
        <w:t>beta-blocker tolerability</w:t>
      </w:r>
      <w:r>
        <w:rPr>
          <w:rFonts w:ascii="Times New Roman" w:eastAsia="Times New Roman" w:hAnsi="Times New Roman" w:cs="Times New Roman"/>
          <w:sz w:val="20"/>
          <w:szCs w:val="20"/>
        </w:rPr>
        <w:t xml:space="preserve">, </w:t>
      </w:r>
      <w:r w:rsidRPr="769E5782">
        <w:rPr>
          <w:rFonts w:ascii="Times New Roman" w:eastAsia="Times New Roman" w:hAnsi="Times New Roman" w:cs="Times New Roman"/>
          <w:sz w:val="20"/>
          <w:szCs w:val="20"/>
        </w:rPr>
        <w:t>therapeutic approaches</w:t>
      </w:r>
    </w:p>
    <w:p w14:paraId="19999714" w14:textId="3445A27F" w:rsidR="00F83447" w:rsidRDefault="00F83447" w:rsidP="00F83447">
      <w:pPr>
        <w:shd w:val="clear" w:color="auto" w:fill="FFFFFF" w:themeFill="background1"/>
        <w:spacing w:after="0" w:line="240" w:lineRule="auto"/>
        <w:jc w:val="both"/>
        <w:rPr>
          <w:rFonts w:ascii="Times New Roman" w:eastAsia="Times New Roman" w:hAnsi="Times New Roman" w:cs="Times New Roman"/>
          <w:b/>
        </w:rPr>
      </w:pPr>
    </w:p>
    <w:p w14:paraId="6E77BFDF" w14:textId="77777777" w:rsidR="00F83447" w:rsidRPr="00F83447" w:rsidRDefault="00F83447" w:rsidP="00F83447">
      <w:pPr>
        <w:shd w:val="clear" w:color="auto" w:fill="FFFFFF" w:themeFill="background1"/>
        <w:spacing w:after="0" w:line="240" w:lineRule="auto"/>
        <w:jc w:val="both"/>
        <w:rPr>
          <w:rFonts w:ascii="Times New Roman" w:eastAsia="Times New Roman" w:hAnsi="Times New Roman" w:cs="Times New Roman"/>
          <w:b/>
        </w:rPr>
      </w:pPr>
    </w:p>
    <w:p w14:paraId="20902E63" w14:textId="5EC3081E" w:rsidR="00244BC9" w:rsidRDefault="00F83447" w:rsidP="00F83447">
      <w:pPr>
        <w:shd w:val="clear" w:color="auto" w:fill="FFFFFF" w:themeFill="background1"/>
        <w:spacing w:after="0" w:line="240" w:lineRule="auto"/>
        <w:jc w:val="both"/>
        <w:rPr>
          <w:rFonts w:ascii="Times New Roman" w:eastAsia="Times New Roman" w:hAnsi="Times New Roman" w:cs="Times New Roman"/>
          <w:b/>
        </w:rPr>
      </w:pPr>
      <w:r w:rsidRPr="00F83447">
        <w:rPr>
          <w:rFonts w:ascii="Times New Roman" w:eastAsia="Times New Roman" w:hAnsi="Times New Roman" w:cs="Times New Roman"/>
          <w:b/>
        </w:rPr>
        <w:t>Introduction</w:t>
      </w:r>
    </w:p>
    <w:p w14:paraId="7B1B47ED" w14:textId="77777777" w:rsidR="00F83447" w:rsidRDefault="00F83447" w:rsidP="00F83447">
      <w:pPr>
        <w:shd w:val="clear" w:color="auto" w:fill="FFFFFF" w:themeFill="background1"/>
        <w:spacing w:after="0" w:line="240" w:lineRule="auto"/>
        <w:jc w:val="both"/>
        <w:rPr>
          <w:rFonts w:ascii="Times New Roman" w:eastAsia="Times New Roman" w:hAnsi="Times New Roman" w:cs="Times New Roman"/>
        </w:rPr>
      </w:pPr>
    </w:p>
    <w:p w14:paraId="1C351DB6" w14:textId="34CFC807" w:rsidR="00244BC9" w:rsidRDefault="605F5D12" w:rsidP="00F83447">
      <w:pPr>
        <w:spacing w:line="240" w:lineRule="auto"/>
        <w:jc w:val="both"/>
        <w:rPr>
          <w:rFonts w:ascii="Times New Roman" w:eastAsia="Times New Roman" w:hAnsi="Times New Roman" w:cs="Times New Roman"/>
        </w:rPr>
      </w:pPr>
      <w:r w:rsidRPr="769E5782">
        <w:rPr>
          <w:rFonts w:ascii="Times New Roman" w:eastAsia="Times New Roman" w:hAnsi="Times New Roman" w:cs="Times New Roman"/>
        </w:rPr>
        <w:t>Beta-blocker therapy persists as a foundational intervention for heart failure management</w:t>
      </w:r>
      <w:r w:rsidR="310FD12F" w:rsidRPr="769E5782">
        <w:rPr>
          <w:rFonts w:ascii="Times New Roman" w:eastAsia="Times New Roman" w:hAnsi="Times New Roman" w:cs="Times New Roman"/>
        </w:rPr>
        <w:t xml:space="preserve"> in Asia and around the world</w:t>
      </w:r>
      <w:r w:rsidRPr="769E5782">
        <w:rPr>
          <w:rFonts w:ascii="Times New Roman" w:eastAsia="Times New Roman" w:hAnsi="Times New Roman" w:cs="Times New Roman"/>
        </w:rPr>
        <w:t>, with contemporary investigations demonstrating utilization rates of 83% across multiple national cohorts</w:t>
      </w:r>
      <w:r w:rsidR="6C90F7D0" w:rsidRPr="769E5782">
        <w:rPr>
          <w:rFonts w:ascii="Times New Roman" w:eastAsia="Times New Roman" w:hAnsi="Times New Roman" w:cs="Times New Roman"/>
        </w:rPr>
        <w:t xml:space="preserve"> [</w:t>
      </w:r>
      <w:hyperlink r:id="rId7">
        <w:r w:rsidRPr="769E5782">
          <w:rPr>
            <w:rStyle w:val="Hyperlink"/>
            <w:rFonts w:ascii="Times New Roman" w:eastAsia="Times New Roman" w:hAnsi="Times New Roman" w:cs="Times New Roman"/>
            <w:color w:val="auto"/>
            <w:u w:val="none"/>
          </w:rPr>
          <w:t>1</w:t>
        </w:r>
        <w:r w:rsidR="76D943CE"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0014A5E0" w:rsidRPr="769E5782">
        <w:rPr>
          <w:rFonts w:ascii="Times New Roman" w:eastAsia="Times New Roman" w:hAnsi="Times New Roman" w:cs="Times New Roman"/>
        </w:rPr>
        <w:t xml:space="preserve"> Interestingly,</w:t>
      </w:r>
      <w:r w:rsidRPr="769E5782">
        <w:rPr>
          <w:rFonts w:ascii="Times New Roman" w:eastAsia="Times New Roman" w:hAnsi="Times New Roman" w:cs="Times New Roman"/>
        </w:rPr>
        <w:t xml:space="preserve"> </w:t>
      </w:r>
      <w:r w:rsidR="6C38348B" w:rsidRPr="769E5782">
        <w:rPr>
          <w:rFonts w:ascii="Times New Roman" w:eastAsia="Times New Roman" w:hAnsi="Times New Roman" w:cs="Times New Roman"/>
        </w:rPr>
        <w:t xml:space="preserve">the </w:t>
      </w:r>
      <w:r w:rsidRPr="769E5782">
        <w:rPr>
          <w:rFonts w:ascii="Times New Roman" w:eastAsia="Times New Roman" w:hAnsi="Times New Roman" w:cs="Times New Roman"/>
        </w:rPr>
        <w:t>therapeutic landscape reveals considerable heterogeneity in prescriptive practices, clinical effectiveness, and patient outcomes among distinct population groups. Clinical trial participants</w:t>
      </w:r>
      <w:r w:rsidR="761ADD80" w:rsidRPr="769E5782">
        <w:rPr>
          <w:rFonts w:ascii="Times New Roman" w:eastAsia="Times New Roman" w:hAnsi="Times New Roman" w:cs="Times New Roman"/>
        </w:rPr>
        <w:t xml:space="preserve"> in the US</w:t>
      </w:r>
      <w:r w:rsidRPr="769E5782">
        <w:rPr>
          <w:rFonts w:ascii="Times New Roman" w:eastAsia="Times New Roman" w:hAnsi="Times New Roman" w:cs="Times New Roman"/>
        </w:rPr>
        <w:t xml:space="preserve"> commonly receive bisoprolol (30%), carvedilol (30%), or metoprolol (40%) for treatment durations averaging 27.54 weeks</w:t>
      </w:r>
      <w:r w:rsidR="0A9B294C" w:rsidRPr="769E5782">
        <w:rPr>
          <w:rFonts w:ascii="Times New Roman" w:eastAsia="Times New Roman" w:hAnsi="Times New Roman" w:cs="Times New Roman"/>
        </w:rPr>
        <w:t xml:space="preserve"> [</w:t>
      </w:r>
      <w:hyperlink r:id="rId8">
        <w:r w:rsidRPr="769E5782">
          <w:rPr>
            <w:rStyle w:val="Hyperlink"/>
            <w:rFonts w:ascii="Times New Roman" w:eastAsia="Times New Roman" w:hAnsi="Times New Roman" w:cs="Times New Roman"/>
            <w:color w:val="auto"/>
            <w:u w:val="none"/>
          </w:rPr>
          <w:t>2</w:t>
        </w:r>
        <w:r w:rsidR="784D0B02"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4D147170" w:rsidRPr="769E5782">
        <w:rPr>
          <w:rFonts w:ascii="Times New Roman" w:eastAsia="Times New Roman" w:hAnsi="Times New Roman" w:cs="Times New Roman"/>
        </w:rPr>
        <w:t xml:space="preserve"> </w:t>
      </w:r>
      <w:r w:rsidR="3347F03F" w:rsidRPr="769E5782">
        <w:rPr>
          <w:rFonts w:ascii="Times New Roman" w:eastAsia="Times New Roman" w:hAnsi="Times New Roman" w:cs="Times New Roman"/>
        </w:rPr>
        <w:t>According to the National Institutes of Health (NIH)</w:t>
      </w:r>
      <w:r w:rsidR="1B83EF80" w:rsidRPr="769E5782">
        <w:rPr>
          <w:rFonts w:ascii="Times New Roman" w:eastAsia="Times New Roman" w:hAnsi="Times New Roman" w:cs="Times New Roman"/>
        </w:rPr>
        <w:t>, t</w:t>
      </w:r>
      <w:r w:rsidRPr="769E5782">
        <w:rPr>
          <w:rFonts w:ascii="Times New Roman" w:eastAsia="Times New Roman" w:hAnsi="Times New Roman" w:cs="Times New Roman"/>
        </w:rPr>
        <w:t>he mortality burden among heart failure patients</w:t>
      </w:r>
      <w:r w:rsidR="6B0DDC31" w:rsidRPr="769E5782">
        <w:rPr>
          <w:rFonts w:ascii="Times New Roman" w:eastAsia="Times New Roman" w:hAnsi="Times New Roman" w:cs="Times New Roman"/>
        </w:rPr>
        <w:t xml:space="preserve"> in the US</w:t>
      </w:r>
      <w:r w:rsidRPr="769E5782">
        <w:rPr>
          <w:rFonts w:ascii="Times New Roman" w:eastAsia="Times New Roman" w:hAnsi="Times New Roman" w:cs="Times New Roman"/>
        </w:rPr>
        <w:t xml:space="preserve"> extends to 44.2% across comprehensive study populations, </w:t>
      </w:r>
      <w:r w:rsidR="537FDB66" w:rsidRPr="769E5782">
        <w:rPr>
          <w:rFonts w:ascii="Times New Roman" w:eastAsia="Times New Roman" w:hAnsi="Times New Roman" w:cs="Times New Roman"/>
        </w:rPr>
        <w:t>but</w:t>
      </w:r>
      <w:r w:rsidRPr="769E5782">
        <w:rPr>
          <w:rFonts w:ascii="Times New Roman" w:eastAsia="Times New Roman" w:hAnsi="Times New Roman" w:cs="Times New Roman"/>
        </w:rPr>
        <w:t xml:space="preserve"> no statistically significant differences emerge </w:t>
      </w:r>
      <w:r w:rsidR="177C4BA8" w:rsidRPr="769E5782">
        <w:rPr>
          <w:rFonts w:ascii="Times New Roman" w:eastAsia="Times New Roman" w:hAnsi="Times New Roman" w:cs="Times New Roman"/>
        </w:rPr>
        <w:t>among</w:t>
      </w:r>
      <w:r w:rsidRPr="769E5782">
        <w:rPr>
          <w:rFonts w:ascii="Times New Roman" w:eastAsia="Times New Roman" w:hAnsi="Times New Roman" w:cs="Times New Roman"/>
        </w:rPr>
        <w:t xml:space="preserve"> the three primary beta-blocker classifications (p = 0.301)</w:t>
      </w:r>
      <w:r w:rsidR="0C6C24EE" w:rsidRPr="769E5782">
        <w:rPr>
          <w:rFonts w:ascii="Times New Roman" w:eastAsia="Times New Roman" w:hAnsi="Times New Roman" w:cs="Times New Roman"/>
        </w:rPr>
        <w:t xml:space="preserve"> [</w:t>
      </w:r>
      <w:hyperlink r:id="rId9">
        <w:r w:rsidRPr="769E5782">
          <w:rPr>
            <w:rStyle w:val="Hyperlink"/>
            <w:rFonts w:ascii="Times New Roman" w:eastAsia="Times New Roman" w:hAnsi="Times New Roman" w:cs="Times New Roman"/>
            <w:color w:val="auto"/>
            <w:u w:val="none"/>
          </w:rPr>
          <w:t>2</w:t>
        </w:r>
        <w:r w:rsidR="5F07655C"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More compelling evidence surfaces when examining beta-blocker utilization through </w:t>
      </w:r>
      <w:r w:rsidRPr="769E5782">
        <w:rPr>
          <w:rFonts w:ascii="Times New Roman" w:eastAsia="Times New Roman" w:hAnsi="Times New Roman" w:cs="Times New Roman"/>
        </w:rPr>
        <w:lastRenderedPageBreak/>
        <w:t>covariate-adjusted analytical frameworks, where these agents associate with reduced risk for primary composite outcomes (HR: 0.70; 95% CI: 0.60-0.83)</w:t>
      </w:r>
      <w:r w:rsidR="1C6CA4E3" w:rsidRPr="769E5782">
        <w:rPr>
          <w:rFonts w:ascii="Times New Roman" w:eastAsia="Times New Roman" w:hAnsi="Times New Roman" w:cs="Times New Roman"/>
        </w:rPr>
        <w:t xml:space="preserve"> [</w:t>
      </w:r>
      <w:hyperlink r:id="rId10">
        <w:r w:rsidRPr="769E5782">
          <w:rPr>
            <w:rStyle w:val="Hyperlink"/>
            <w:rFonts w:ascii="Times New Roman" w:eastAsia="Times New Roman" w:hAnsi="Times New Roman" w:cs="Times New Roman"/>
            <w:color w:val="auto"/>
            <w:u w:val="none"/>
          </w:rPr>
          <w:t>1</w:t>
        </w:r>
        <w:r w:rsidR="32791A34"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w:t>
      </w:r>
      <w:r w:rsidR="31B8C32D" w:rsidRPr="769E5782">
        <w:rPr>
          <w:rFonts w:ascii="Times New Roman" w:eastAsia="Times New Roman" w:hAnsi="Times New Roman" w:cs="Times New Roman"/>
        </w:rPr>
        <w:t>The safety and efficacity of c</w:t>
      </w:r>
      <w:r w:rsidR="169EAC1B" w:rsidRPr="769E5782">
        <w:rPr>
          <w:rFonts w:ascii="Times New Roman" w:eastAsia="Times New Roman" w:hAnsi="Times New Roman" w:cs="Times New Roman"/>
        </w:rPr>
        <w:t>o-administration of b</w:t>
      </w:r>
      <w:r w:rsidRPr="769E5782">
        <w:rPr>
          <w:rFonts w:ascii="Times New Roman" w:eastAsia="Times New Roman" w:hAnsi="Times New Roman" w:cs="Times New Roman"/>
        </w:rPr>
        <w:t>eta-blocker</w:t>
      </w:r>
      <w:r w:rsidR="6F2B9829" w:rsidRPr="769E5782">
        <w:rPr>
          <w:rFonts w:ascii="Times New Roman" w:eastAsia="Times New Roman" w:hAnsi="Times New Roman" w:cs="Times New Roman"/>
        </w:rPr>
        <w:t>s</w:t>
      </w:r>
      <w:r w:rsidRPr="769E5782">
        <w:rPr>
          <w:rFonts w:ascii="Times New Roman" w:eastAsia="Times New Roman" w:hAnsi="Times New Roman" w:cs="Times New Roman"/>
        </w:rPr>
        <w:t xml:space="preserve"> with </w:t>
      </w:r>
      <w:r w:rsidR="7A87C9BC" w:rsidRPr="769E5782">
        <w:rPr>
          <w:rFonts w:ascii="Times New Roman" w:eastAsia="Times New Roman" w:hAnsi="Times New Roman" w:cs="Times New Roman"/>
        </w:rPr>
        <w:t>sodium glucose co-transporter 2 inhibitors (SGLT2)</w:t>
      </w:r>
      <w:r w:rsidRPr="769E5782">
        <w:rPr>
          <w:rFonts w:ascii="Times New Roman" w:eastAsia="Times New Roman" w:hAnsi="Times New Roman" w:cs="Times New Roman"/>
        </w:rPr>
        <w:t xml:space="preserve"> </w:t>
      </w:r>
      <w:r w:rsidR="4A3E9EFA" w:rsidRPr="769E5782">
        <w:rPr>
          <w:rFonts w:ascii="Times New Roman" w:eastAsia="Times New Roman" w:hAnsi="Times New Roman" w:cs="Times New Roman"/>
        </w:rPr>
        <w:t>like</w:t>
      </w:r>
      <w:r w:rsidR="6D4FAEF1" w:rsidRPr="769E5782">
        <w:rPr>
          <w:rFonts w:ascii="Times New Roman" w:eastAsia="Times New Roman" w:hAnsi="Times New Roman" w:cs="Times New Roman"/>
        </w:rPr>
        <w:t xml:space="preserve"> dapagliflozin</w:t>
      </w:r>
      <w:r w:rsidR="4A3E9EFA" w:rsidRPr="769E5782">
        <w:rPr>
          <w:rFonts w:ascii="Times New Roman" w:eastAsia="Times New Roman" w:hAnsi="Times New Roman" w:cs="Times New Roman"/>
        </w:rPr>
        <w:t xml:space="preserve"> </w:t>
      </w:r>
      <w:r w:rsidRPr="769E5782">
        <w:rPr>
          <w:rFonts w:ascii="Times New Roman" w:eastAsia="Times New Roman" w:hAnsi="Times New Roman" w:cs="Times New Roman"/>
        </w:rPr>
        <w:t>warrants careful examination. The DELIVER investigation, encompassing 6,263 patients with symptomatic heart failure and preserved ejection fraction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provides evidence that beta-blocker therapy does not augment the risk of worsening heart failure events, cardiovascular mortality, or deterioration in health-related quality of life measures</w:t>
      </w:r>
      <w:r w:rsidR="5920027E" w:rsidRPr="769E5782">
        <w:rPr>
          <w:rFonts w:ascii="Times New Roman" w:eastAsia="Times New Roman" w:hAnsi="Times New Roman" w:cs="Times New Roman"/>
        </w:rPr>
        <w:t xml:space="preserve"> [</w:t>
      </w:r>
      <w:hyperlink r:id="rId11">
        <w:r w:rsidRPr="769E5782">
          <w:rPr>
            <w:rStyle w:val="Hyperlink"/>
            <w:rFonts w:ascii="Times New Roman" w:eastAsia="Times New Roman" w:hAnsi="Times New Roman" w:cs="Times New Roman"/>
            <w:color w:val="auto"/>
            <w:u w:val="none"/>
          </w:rPr>
          <w:t>3</w:t>
        </w:r>
        <w:r w:rsidR="0421432A"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These observations challenge longstanding concerns regarding potential antagonistic interactions between beta-blockers and contemporary heart failure pharmacotherapy.</w:t>
      </w:r>
    </w:p>
    <w:p w14:paraId="1A2222B5" w14:textId="76DFA7BE" w:rsidR="00244BC9" w:rsidRDefault="00244BC9"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p>
    <w:p w14:paraId="4C598A8F" w14:textId="19AC75C5" w:rsidR="00244BC9" w:rsidRDefault="605F5D12"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 xml:space="preserve">Prescriptive Patterns Among Asian Populations with </w:t>
      </w:r>
      <w:proofErr w:type="spellStart"/>
      <w:r w:rsidRPr="769E5782">
        <w:rPr>
          <w:rFonts w:ascii="Times New Roman" w:eastAsia="Times New Roman" w:hAnsi="Times New Roman" w:cs="Times New Roman"/>
          <w:b/>
          <w:bCs/>
          <w:color w:val="auto"/>
          <w:sz w:val="24"/>
          <w:szCs w:val="24"/>
        </w:rPr>
        <w:t>HFmrEF</w:t>
      </w:r>
      <w:proofErr w:type="spellEnd"/>
      <w:r w:rsidRPr="769E5782">
        <w:rPr>
          <w:rFonts w:ascii="Times New Roman" w:eastAsia="Times New Roman" w:hAnsi="Times New Roman" w:cs="Times New Roman"/>
          <w:b/>
          <w:bCs/>
          <w:color w:val="auto"/>
          <w:sz w:val="24"/>
          <w:szCs w:val="24"/>
        </w:rPr>
        <w:t xml:space="preserve"> and </w:t>
      </w:r>
      <w:proofErr w:type="spellStart"/>
      <w:r w:rsidRPr="769E5782">
        <w:rPr>
          <w:rFonts w:ascii="Times New Roman" w:eastAsia="Times New Roman" w:hAnsi="Times New Roman" w:cs="Times New Roman"/>
          <w:b/>
          <w:bCs/>
          <w:color w:val="auto"/>
          <w:sz w:val="24"/>
          <w:szCs w:val="24"/>
        </w:rPr>
        <w:t>HFpEF</w:t>
      </w:r>
      <w:proofErr w:type="spellEnd"/>
    </w:p>
    <w:p w14:paraId="4FEDAF51" w14:textId="7BA8898C"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Prescriptive practices for beta-blocker therapy across Asian territories exhibit marked heterogeneity, with substantive disparities in both adoption frequencies and dosing methodologies relative to Western therapeutic frameworks. Such regional variation necessitates systematic investigation to optimize treatment paradigms for heart failure patients presenting with mid-range ejection fraction (</w:t>
      </w:r>
      <w:proofErr w:type="spellStart"/>
      <w:r w:rsidRPr="769E5782">
        <w:rPr>
          <w:rFonts w:ascii="Times New Roman" w:eastAsia="Times New Roman" w:hAnsi="Times New Roman" w:cs="Times New Roman"/>
        </w:rPr>
        <w:t>HFmrEF</w:t>
      </w:r>
      <w:proofErr w:type="spellEnd"/>
      <w:r w:rsidRPr="769E5782">
        <w:rPr>
          <w:rFonts w:ascii="Times New Roman" w:eastAsia="Times New Roman" w:hAnsi="Times New Roman" w:cs="Times New Roman"/>
        </w:rPr>
        <w:t>) and preserved ejection fraction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phenotypes.</w:t>
      </w:r>
      <w:r w:rsidR="46DE1EC2" w:rsidRPr="769E5782">
        <w:rPr>
          <w:rFonts w:ascii="Times New Roman" w:eastAsia="Times New Roman" w:hAnsi="Times New Roman" w:cs="Times New Roman"/>
        </w:rPr>
        <w:t xml:space="preserve"> </w:t>
      </w:r>
      <w:r w:rsidRPr="769E5782">
        <w:rPr>
          <w:rFonts w:ascii="Times New Roman" w:eastAsia="Times New Roman" w:hAnsi="Times New Roman" w:cs="Times New Roman"/>
        </w:rPr>
        <w:t>The ASIAN-HF registry data reveals pronounced geographic disparities in beta-blocker utilization throughout the region. Indonesia demonstrates the most conservative adoption patterns at 61%</w:t>
      </w:r>
      <w:r w:rsidR="6E090A33" w:rsidRPr="769E5782">
        <w:rPr>
          <w:rFonts w:ascii="Times New Roman" w:eastAsia="Times New Roman" w:hAnsi="Times New Roman" w:cs="Times New Roman"/>
        </w:rPr>
        <w:t xml:space="preserve"> [</w:t>
      </w:r>
      <w:hyperlink r:id="rId12">
        <w:r w:rsidRPr="769E5782">
          <w:rPr>
            <w:rStyle w:val="Hyperlink"/>
            <w:rFonts w:ascii="Times New Roman" w:eastAsia="Times New Roman" w:hAnsi="Times New Roman" w:cs="Times New Roman"/>
            <w:color w:val="auto"/>
            <w:u w:val="none"/>
          </w:rPr>
          <w:t>4</w:t>
        </w:r>
        <w:r w:rsidR="2C5EB3C5"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whereas Japan exhibits remarkably elevated usage frequencies approaching 91%</w:t>
      </w:r>
      <w:r w:rsidR="2FE9619C" w:rsidRPr="769E5782">
        <w:rPr>
          <w:rFonts w:ascii="Times New Roman" w:eastAsia="Times New Roman" w:hAnsi="Times New Roman" w:cs="Times New Roman"/>
        </w:rPr>
        <w:t xml:space="preserve"> [</w:t>
      </w:r>
      <w:hyperlink r:id="rId13">
        <w:r w:rsidRPr="769E5782">
          <w:rPr>
            <w:rStyle w:val="Hyperlink"/>
            <w:rFonts w:ascii="Times New Roman" w:eastAsia="Times New Roman" w:hAnsi="Times New Roman" w:cs="Times New Roman"/>
            <w:color w:val="auto"/>
            <w:u w:val="none"/>
          </w:rPr>
          <w:t>4</w:t>
        </w:r>
        <w:r w:rsidR="3EFD129C"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Intermediate adoption patterns emerge across other territories—China reports 84.2% utilization among hospitalized </w:t>
      </w:r>
      <w:proofErr w:type="spellStart"/>
      <w:r w:rsidRPr="769E5782">
        <w:rPr>
          <w:rFonts w:ascii="Times New Roman" w:eastAsia="Times New Roman" w:hAnsi="Times New Roman" w:cs="Times New Roman"/>
        </w:rPr>
        <w:t>HFrEF</w:t>
      </w:r>
      <w:proofErr w:type="spellEnd"/>
      <w:r w:rsidRPr="769E5782">
        <w:rPr>
          <w:rFonts w:ascii="Times New Roman" w:eastAsia="Times New Roman" w:hAnsi="Times New Roman" w:cs="Times New Roman"/>
        </w:rPr>
        <w:t xml:space="preserve"> patients</w:t>
      </w:r>
      <w:r w:rsidR="0A24EC39" w:rsidRPr="769E5782">
        <w:rPr>
          <w:rFonts w:ascii="Times New Roman" w:eastAsia="Times New Roman" w:hAnsi="Times New Roman" w:cs="Times New Roman"/>
        </w:rPr>
        <w:t xml:space="preserve"> [</w:t>
      </w:r>
      <w:hyperlink r:id="rId14">
        <w:r w:rsidRPr="769E5782">
          <w:rPr>
            <w:rStyle w:val="Hyperlink"/>
            <w:rFonts w:ascii="Times New Roman" w:eastAsia="Times New Roman" w:hAnsi="Times New Roman" w:cs="Times New Roman"/>
            <w:color w:val="auto"/>
            <w:u w:val="none"/>
          </w:rPr>
          <w:t>5</w:t>
        </w:r>
        <w:r w:rsidR="4AD1C630"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Southeast Asian nations demonstrate 70.2% overall usage</w:t>
      </w:r>
      <w:r w:rsidR="7F9CE0AE" w:rsidRPr="769E5782">
        <w:rPr>
          <w:rFonts w:ascii="Times New Roman" w:eastAsia="Times New Roman" w:hAnsi="Times New Roman" w:cs="Times New Roman"/>
        </w:rPr>
        <w:t xml:space="preserve"> [</w:t>
      </w:r>
      <w:hyperlink r:id="rId15">
        <w:r w:rsidRPr="769E5782">
          <w:rPr>
            <w:rStyle w:val="Hyperlink"/>
            <w:rFonts w:ascii="Times New Roman" w:eastAsia="Times New Roman" w:hAnsi="Times New Roman" w:cs="Times New Roman"/>
            <w:color w:val="auto"/>
            <w:u w:val="none"/>
          </w:rPr>
          <w:t>6</w:t>
        </w:r>
        <w:r w:rsidR="30B48C64"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and South Korea maintains prescription frequencies exceeding 65%</w:t>
      </w:r>
      <w:r w:rsidR="3E9B1950" w:rsidRPr="769E5782">
        <w:rPr>
          <w:rFonts w:ascii="Times New Roman" w:eastAsia="Times New Roman" w:hAnsi="Times New Roman" w:cs="Times New Roman"/>
        </w:rPr>
        <w:t xml:space="preserve"> [</w:t>
      </w:r>
      <w:hyperlink r:id="rId16">
        <w:r w:rsidRPr="769E5782">
          <w:rPr>
            <w:rStyle w:val="Hyperlink"/>
            <w:rFonts w:ascii="Times New Roman" w:eastAsia="Times New Roman" w:hAnsi="Times New Roman" w:cs="Times New Roman"/>
            <w:color w:val="auto"/>
            <w:u w:val="none"/>
          </w:rPr>
          <w:t>4</w:t>
        </w:r>
        <w:r w:rsidR="1ABAF4CE"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288F4D0B" w14:textId="326E4BC7"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Economic stratification exerts considerable influence upon prescriptive behaviors. High-income territories including Singapore (71%), Hong Kong (70%), Korea (65%), and Japan (63%) demonstrate enhanced propensity for dual first-line therapeutic approaches combining ACE inhibitors or ARBs with beta-blockers compared to lower-income nations</w:t>
      </w:r>
      <w:r w:rsidR="4F65206D" w:rsidRPr="769E5782">
        <w:rPr>
          <w:rFonts w:ascii="Times New Roman" w:eastAsia="Times New Roman" w:hAnsi="Times New Roman" w:cs="Times New Roman"/>
        </w:rPr>
        <w:t xml:space="preserve"> [</w:t>
      </w:r>
      <w:hyperlink r:id="rId17">
        <w:r w:rsidRPr="769E5782">
          <w:rPr>
            <w:rStyle w:val="Hyperlink"/>
            <w:rFonts w:ascii="Times New Roman" w:eastAsia="Times New Roman" w:hAnsi="Times New Roman" w:cs="Times New Roman"/>
            <w:color w:val="auto"/>
            <w:u w:val="none"/>
          </w:rPr>
          <w:t>4</w:t>
        </w:r>
        <w:r w:rsidR="12344812"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This economic stratification engenders treatment disparities with potential prognostic implications.</w:t>
      </w:r>
    </w:p>
    <w:p w14:paraId="166A009D" w14:textId="6E35FD65"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 xml:space="preserve">Regional heterogeneity extends beyond elementary prescription frequencies. Among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populations, where evidentiary support for beta-blocker efficacy remains less established, prescription rates nonetheless achieve 78.9% across Southeast Asian countries</w:t>
      </w:r>
      <w:r w:rsidR="66B74B59" w:rsidRPr="769E5782">
        <w:rPr>
          <w:rFonts w:ascii="Times New Roman" w:eastAsia="Times New Roman" w:hAnsi="Times New Roman" w:cs="Times New Roman"/>
        </w:rPr>
        <w:t xml:space="preserve"> [</w:t>
      </w:r>
      <w:r w:rsidR="5BFB18A2" w:rsidRPr="769E5782">
        <w:rPr>
          <w:rFonts w:ascii="Times New Roman" w:eastAsia="Times New Roman" w:hAnsi="Times New Roman" w:cs="Times New Roman"/>
        </w:rPr>
        <w:t>6]</w:t>
      </w:r>
      <w:r w:rsidRPr="769E5782">
        <w:rPr>
          <w:rFonts w:ascii="Times New Roman" w:eastAsia="Times New Roman" w:hAnsi="Times New Roman" w:cs="Times New Roman"/>
        </w:rPr>
        <w:t xml:space="preserve">. The DELIVER trial cohort indicates approximately 80% of </w:t>
      </w:r>
      <w:proofErr w:type="spellStart"/>
      <w:r w:rsidRPr="769E5782">
        <w:rPr>
          <w:rFonts w:ascii="Times New Roman" w:eastAsia="Times New Roman" w:hAnsi="Times New Roman" w:cs="Times New Roman"/>
        </w:rPr>
        <w:t>HFmrEF</w:t>
      </w:r>
      <w:proofErr w:type="spellEnd"/>
      <w:r w:rsidRPr="769E5782">
        <w:rPr>
          <w:rFonts w:ascii="Times New Roman" w:eastAsia="Times New Roman" w:hAnsi="Times New Roman" w:cs="Times New Roman"/>
        </w:rPr>
        <w:t xml:space="preserve"> and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patients receive beta-blockers</w:t>
      </w:r>
      <w:r w:rsidR="4DEAF7BF" w:rsidRPr="769E5782">
        <w:rPr>
          <w:rFonts w:ascii="Times New Roman" w:eastAsia="Times New Roman" w:hAnsi="Times New Roman" w:cs="Times New Roman"/>
        </w:rPr>
        <w:t xml:space="preserve"> [</w:t>
      </w:r>
      <w:hyperlink r:id="rId18">
        <w:r w:rsidRPr="769E5782">
          <w:rPr>
            <w:rStyle w:val="Hyperlink"/>
            <w:rFonts w:ascii="Times New Roman" w:eastAsia="Times New Roman" w:hAnsi="Times New Roman" w:cs="Times New Roman"/>
            <w:color w:val="auto"/>
            <w:u w:val="none"/>
          </w:rPr>
          <w:t>3</w:t>
        </w:r>
        <w:r w:rsidR="210C0DE4"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predominantly for comorbid conditions rather than heart failure management </w:t>
      </w:r>
      <w:r w:rsidRPr="769E5782">
        <w:rPr>
          <w:rFonts w:ascii="Times New Roman" w:eastAsia="Times New Roman" w:hAnsi="Times New Roman" w:cs="Times New Roman"/>
          <w:i/>
          <w:iCs/>
        </w:rPr>
        <w:t>per se</w:t>
      </w:r>
      <w:r w:rsidRPr="769E5782">
        <w:rPr>
          <w:rFonts w:ascii="Times New Roman" w:eastAsia="Times New Roman" w:hAnsi="Times New Roman" w:cs="Times New Roman"/>
        </w:rPr>
        <w:t>.</w:t>
      </w:r>
    </w:p>
    <w:p w14:paraId="1CA36C92" w14:textId="64A6AA11"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1BB5081A" w14:textId="66E839C1" w:rsidR="00244BC9" w:rsidRDefault="605F5D12" w:rsidP="00F83447">
      <w:pPr>
        <w:pStyle w:val="Heading3"/>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Carvedilol-Equivalent Dosing Strategies Among Asian Cohorts</w:t>
      </w:r>
    </w:p>
    <w:p w14:paraId="170CD7DA" w14:textId="5456A2A8"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Carvedilol (37%), bisoprolol (30%), and metoprolol (11%) comprise the most frequently prescribed beta-blockers across Asian territories</w:t>
      </w:r>
      <w:r w:rsidR="3D1DDD6C" w:rsidRPr="769E5782">
        <w:rPr>
          <w:rFonts w:ascii="Times New Roman" w:eastAsia="Times New Roman" w:hAnsi="Times New Roman" w:cs="Times New Roman"/>
        </w:rPr>
        <w:t xml:space="preserve"> [</w:t>
      </w:r>
      <w:hyperlink r:id="rId19">
        <w:r w:rsidRPr="769E5782">
          <w:rPr>
            <w:rStyle w:val="Hyperlink"/>
            <w:rFonts w:ascii="Times New Roman" w:eastAsia="Times New Roman" w:hAnsi="Times New Roman" w:cs="Times New Roman"/>
            <w:color w:val="auto"/>
            <w:u w:val="none"/>
          </w:rPr>
          <w:t>4</w:t>
        </w:r>
        <w:r w:rsidR="1B4220C9"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Administered dosages consistently fall below guideline recommendations, however. Median prescribed dosages across Asian cohorts achieve merely 25% of recommended targets, with 65% of patients receiving less than half the guideline-recommended dosage</w:t>
      </w:r>
      <w:r w:rsidR="7E72B3AF" w:rsidRPr="769E5782">
        <w:rPr>
          <w:rFonts w:ascii="Times New Roman" w:eastAsia="Times New Roman" w:hAnsi="Times New Roman" w:cs="Times New Roman"/>
        </w:rPr>
        <w:t xml:space="preserve"> [</w:t>
      </w:r>
      <w:hyperlink r:id="rId20">
        <w:r w:rsidRPr="769E5782">
          <w:rPr>
            <w:rStyle w:val="Hyperlink"/>
            <w:rFonts w:ascii="Times New Roman" w:eastAsia="Times New Roman" w:hAnsi="Times New Roman" w:cs="Times New Roman"/>
            <w:color w:val="auto"/>
            <w:u w:val="none"/>
          </w:rPr>
          <w:t>4</w:t>
        </w:r>
        <w:r w:rsidR="27375DAB"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6E0CE1A1" w:rsidRPr="769E5782">
        <w:rPr>
          <w:rFonts w:ascii="Times New Roman" w:eastAsia="Times New Roman" w:hAnsi="Times New Roman" w:cs="Times New Roman"/>
        </w:rPr>
        <w:t xml:space="preserve"> </w:t>
      </w:r>
      <w:r w:rsidRPr="769E5782">
        <w:rPr>
          <w:rFonts w:ascii="Times New Roman" w:eastAsia="Times New Roman" w:hAnsi="Times New Roman" w:cs="Times New Roman"/>
        </w:rPr>
        <w:t>This pattern of reduced dosing may represent appropriate therapeutic strategy for Asian populations. Japanese patients demonstrate equivalent clinical effectiveness compared to American counterparts despite receiving lower carvedilol dosages</w:t>
      </w:r>
      <w:r w:rsidR="020A237B" w:rsidRPr="769E5782">
        <w:rPr>
          <w:rFonts w:ascii="Times New Roman" w:eastAsia="Times New Roman" w:hAnsi="Times New Roman" w:cs="Times New Roman"/>
        </w:rPr>
        <w:t xml:space="preserve"> [</w:t>
      </w:r>
      <w:hyperlink r:id="rId21">
        <w:r w:rsidRPr="769E5782">
          <w:rPr>
            <w:rStyle w:val="Hyperlink"/>
            <w:rFonts w:ascii="Times New Roman" w:eastAsia="Times New Roman" w:hAnsi="Times New Roman" w:cs="Times New Roman"/>
            <w:color w:val="auto"/>
            <w:u w:val="none"/>
          </w:rPr>
          <w:t>7</w:t>
        </w:r>
        <w:r w:rsidR="616F54A5"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Initial carvedilol dosing in Japanese patients averages 4.3 mg daily compared to 14.5-19.1 mg daily among American patients, while one-year dosages average 11.2 mg daily versus 30.9-34.5 mg daily</w:t>
      </w:r>
      <w:r w:rsidR="60BA39CA" w:rsidRPr="769E5782">
        <w:rPr>
          <w:rFonts w:ascii="Times New Roman" w:eastAsia="Times New Roman" w:hAnsi="Times New Roman" w:cs="Times New Roman"/>
        </w:rPr>
        <w:t xml:space="preserve"> [</w:t>
      </w:r>
      <w:hyperlink r:id="rId22">
        <w:r w:rsidRPr="769E5782">
          <w:rPr>
            <w:rStyle w:val="Hyperlink"/>
            <w:rFonts w:ascii="Times New Roman" w:eastAsia="Times New Roman" w:hAnsi="Times New Roman" w:cs="Times New Roman"/>
            <w:color w:val="auto"/>
            <w:u w:val="none"/>
          </w:rPr>
          <w:t>7</w:t>
        </w:r>
        <w:r w:rsidR="622AAB78"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34156E33" w:rsidRPr="769E5782">
        <w:rPr>
          <w:rFonts w:ascii="Times New Roman" w:eastAsia="Times New Roman" w:hAnsi="Times New Roman" w:cs="Times New Roman"/>
        </w:rPr>
        <w:t xml:space="preserve"> </w:t>
      </w:r>
      <w:r w:rsidRPr="769E5782">
        <w:rPr>
          <w:rFonts w:ascii="Times New Roman" w:eastAsia="Times New Roman" w:hAnsi="Times New Roman" w:cs="Times New Roman"/>
        </w:rPr>
        <w:t>Pharmacogenetic considerations have influenced regional guideline development. Japanese national guidelines recommend lower target dosages (20 mg daily) compared to American guidelines (50 mg daily)</w:t>
      </w:r>
      <w:r w:rsidR="36E0BA83" w:rsidRPr="769E5782">
        <w:rPr>
          <w:rFonts w:ascii="Times New Roman" w:eastAsia="Times New Roman" w:hAnsi="Times New Roman" w:cs="Times New Roman"/>
        </w:rPr>
        <w:t xml:space="preserve"> [</w:t>
      </w:r>
      <w:hyperlink r:id="rId23">
        <w:r w:rsidRPr="769E5782">
          <w:rPr>
            <w:rStyle w:val="Hyperlink"/>
            <w:rFonts w:ascii="Times New Roman" w:eastAsia="Times New Roman" w:hAnsi="Times New Roman" w:cs="Times New Roman"/>
            <w:color w:val="auto"/>
            <w:u w:val="none"/>
          </w:rPr>
          <w:t>8</w:t>
        </w:r>
        <w:r w:rsidR="61E3CEC0"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Despite these reduced dosages, Japanese patients </w:t>
      </w:r>
      <w:r w:rsidRPr="769E5782">
        <w:rPr>
          <w:rFonts w:ascii="Times New Roman" w:eastAsia="Times New Roman" w:hAnsi="Times New Roman" w:cs="Times New Roman"/>
        </w:rPr>
        <w:lastRenderedPageBreak/>
        <w:t>demonstrate comparable improvements in left ventricular ejection fraction and heart rate reduction</w:t>
      </w:r>
      <w:r w:rsidR="10BA7455" w:rsidRPr="769E5782">
        <w:rPr>
          <w:rFonts w:ascii="Times New Roman" w:eastAsia="Times New Roman" w:hAnsi="Times New Roman" w:cs="Times New Roman"/>
        </w:rPr>
        <w:t xml:space="preserve"> [</w:t>
      </w:r>
      <w:hyperlink r:id="rId24">
        <w:r w:rsidRPr="769E5782">
          <w:rPr>
            <w:rStyle w:val="Hyperlink"/>
            <w:rFonts w:ascii="Times New Roman" w:eastAsia="Times New Roman" w:hAnsi="Times New Roman" w:cs="Times New Roman"/>
            <w:color w:val="auto"/>
            <w:u w:val="none"/>
          </w:rPr>
          <w:t>7</w:t>
        </w:r>
        <w:r w:rsidR="4F57E5FD"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Asian patients appear to achieve clinical benefits at lower dosages while potentially minimizing adverse effects.</w:t>
      </w:r>
      <w:r w:rsidR="1DBB2549" w:rsidRPr="769E5782">
        <w:rPr>
          <w:rFonts w:ascii="Times New Roman" w:eastAsia="Times New Roman" w:hAnsi="Times New Roman" w:cs="Times New Roman"/>
        </w:rPr>
        <w:t xml:space="preserve"> </w:t>
      </w:r>
      <w:r w:rsidRPr="769E5782">
        <w:rPr>
          <w:rFonts w:ascii="Times New Roman" w:eastAsia="Times New Roman" w:hAnsi="Times New Roman" w:cs="Times New Roman"/>
        </w:rPr>
        <w:t>Regional dosing heterogeneity extends beyond initial recommendations. Malaysia and Thailand administer the highest beta-blocker dosages throughout Asia, whereas Japan, despite elevated uptake (91%), maintains the lowest dosages with 41% of patients receiving less than 25% of guideline-recommended quantities</w:t>
      </w:r>
      <w:r w:rsidR="50F8EFFB" w:rsidRPr="769E5782">
        <w:rPr>
          <w:rFonts w:ascii="Times New Roman" w:eastAsia="Times New Roman" w:hAnsi="Times New Roman" w:cs="Times New Roman"/>
        </w:rPr>
        <w:t xml:space="preserve"> [</w:t>
      </w:r>
      <w:hyperlink r:id="rId25">
        <w:r w:rsidRPr="769E5782">
          <w:rPr>
            <w:rStyle w:val="Hyperlink"/>
            <w:rFonts w:ascii="Times New Roman" w:eastAsia="Times New Roman" w:hAnsi="Times New Roman" w:cs="Times New Roman"/>
            <w:color w:val="auto"/>
            <w:u w:val="none"/>
          </w:rPr>
          <w:t>4</w:t>
        </w:r>
        <w:r w:rsidR="2F06515F"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0D3E72B3" w14:textId="5F0F3A18"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771A379F" w14:textId="3BDC10A6" w:rsidR="00244BC9" w:rsidRDefault="605F5D12" w:rsidP="00F83447">
      <w:pPr>
        <w:pStyle w:val="Heading3"/>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Alternative Therapeutic Indications: Hypertension, Coronary Disease, and Atrial Fibrillation</w:t>
      </w:r>
    </w:p>
    <w:p w14:paraId="6AB1EFF2" w14:textId="79725962"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 xml:space="preserve">Beta-blockers serve multiple therapeutic functions beyond heart failure management among Asian populations. ESC guidelines indicate 80% of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patients receive beta-blockers for indications</w:t>
      </w:r>
      <w:r w:rsidR="01176DC6" w:rsidRPr="769E5782">
        <w:rPr>
          <w:rFonts w:ascii="Times New Roman" w:eastAsia="Times New Roman" w:hAnsi="Times New Roman" w:cs="Times New Roman"/>
        </w:rPr>
        <w:t xml:space="preserve"> other than frank</w:t>
      </w:r>
      <w:r w:rsidRPr="769E5782">
        <w:rPr>
          <w:rFonts w:ascii="Times New Roman" w:eastAsia="Times New Roman" w:hAnsi="Times New Roman" w:cs="Times New Roman"/>
        </w:rPr>
        <w:t xml:space="preserve"> heart failure</w:t>
      </w:r>
      <w:r w:rsidR="4F81365C" w:rsidRPr="769E5782">
        <w:rPr>
          <w:rFonts w:ascii="Times New Roman" w:eastAsia="Times New Roman" w:hAnsi="Times New Roman" w:cs="Times New Roman"/>
        </w:rPr>
        <w:t xml:space="preserve"> [</w:t>
      </w:r>
      <w:hyperlink r:id="rId26">
        <w:r w:rsidRPr="769E5782">
          <w:rPr>
            <w:rStyle w:val="Hyperlink"/>
            <w:rFonts w:ascii="Times New Roman" w:eastAsia="Times New Roman" w:hAnsi="Times New Roman" w:cs="Times New Roman"/>
            <w:color w:val="auto"/>
            <w:u w:val="none"/>
          </w:rPr>
          <w:t>9</w:t>
        </w:r>
        <w:r w:rsidR="739258AA"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Alternative therapeutic applications encompass:</w:t>
      </w:r>
    </w:p>
    <w:p w14:paraId="5AF1818D" w14:textId="684304FA" w:rsidR="00244BC9" w:rsidRDefault="605F5D12" w:rsidP="00F83447">
      <w:pPr>
        <w:pStyle w:val="ListParagraph"/>
        <w:numPr>
          <w:ilvl w:val="0"/>
          <w:numId w:val="5"/>
        </w:numPr>
        <w:shd w:val="clear" w:color="auto" w:fill="FFFFFF" w:themeFill="background1"/>
        <w:spacing w:before="240" w:after="240" w:line="240" w:lineRule="auto"/>
        <w:ind w:left="300"/>
        <w:jc w:val="both"/>
        <w:rPr>
          <w:rFonts w:ascii="Times New Roman" w:eastAsia="Times New Roman" w:hAnsi="Times New Roman" w:cs="Times New Roman"/>
        </w:rPr>
      </w:pPr>
      <w:r w:rsidRPr="769E5782">
        <w:rPr>
          <w:rFonts w:ascii="Times New Roman" w:eastAsia="Times New Roman" w:hAnsi="Times New Roman" w:cs="Times New Roman"/>
          <w:b/>
          <w:bCs/>
        </w:rPr>
        <w:t>Coronary Artery Disease</w:t>
      </w:r>
      <w:r w:rsidRPr="769E5782">
        <w:rPr>
          <w:rFonts w:ascii="Times New Roman" w:eastAsia="Times New Roman" w:hAnsi="Times New Roman" w:cs="Times New Roman"/>
        </w:rPr>
        <w:t>: Beta-1 selective agents (atenolol, metoprolol, bisoprolol) reduce heart rate and blood pressure, diminishing myocardial oxygen demand and attenuating future myocardial infarction risk</w:t>
      </w:r>
      <w:r w:rsidR="62E4B6D2" w:rsidRPr="769E5782">
        <w:rPr>
          <w:rFonts w:ascii="Times New Roman" w:eastAsia="Times New Roman" w:hAnsi="Times New Roman" w:cs="Times New Roman"/>
        </w:rPr>
        <w:t xml:space="preserve"> [</w:t>
      </w:r>
      <w:hyperlink r:id="rId27">
        <w:r w:rsidRPr="769E5782">
          <w:rPr>
            <w:rStyle w:val="Hyperlink"/>
            <w:rFonts w:ascii="Times New Roman" w:eastAsia="Times New Roman" w:hAnsi="Times New Roman" w:cs="Times New Roman"/>
            <w:color w:val="auto"/>
            <w:u w:val="none"/>
          </w:rPr>
          <w:t>10</w:t>
        </w:r>
        <w:r w:rsidR="563D0675"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6C48CF96" w14:textId="116C01F0" w:rsidR="00244BC9" w:rsidRDefault="605F5D12" w:rsidP="00F83447">
      <w:pPr>
        <w:pStyle w:val="ListParagraph"/>
        <w:numPr>
          <w:ilvl w:val="0"/>
          <w:numId w:val="5"/>
        </w:numPr>
        <w:shd w:val="clear" w:color="auto" w:fill="FFFFFF" w:themeFill="background1"/>
        <w:spacing w:before="240" w:after="240" w:line="240" w:lineRule="auto"/>
        <w:ind w:left="300"/>
        <w:jc w:val="both"/>
        <w:rPr>
          <w:rFonts w:ascii="Times New Roman" w:eastAsia="Times New Roman" w:hAnsi="Times New Roman" w:cs="Times New Roman"/>
        </w:rPr>
      </w:pPr>
      <w:r w:rsidRPr="769E5782">
        <w:rPr>
          <w:rFonts w:ascii="Times New Roman" w:eastAsia="Times New Roman" w:hAnsi="Times New Roman" w:cs="Times New Roman"/>
          <w:b/>
          <w:bCs/>
        </w:rPr>
        <w:t>Hypertensive Management</w:t>
      </w:r>
      <w:r w:rsidRPr="769E5782">
        <w:rPr>
          <w:rFonts w:ascii="Times New Roman" w:eastAsia="Times New Roman" w:hAnsi="Times New Roman" w:cs="Times New Roman"/>
        </w:rPr>
        <w:t>: Beta-blockers maintain relevance as initial therapeutic options for hypertensive patients with cardiovascular comorbidities</w:t>
      </w:r>
      <w:r w:rsidR="0D97518A" w:rsidRPr="769E5782">
        <w:rPr>
          <w:rFonts w:ascii="Times New Roman" w:eastAsia="Times New Roman" w:hAnsi="Times New Roman" w:cs="Times New Roman"/>
        </w:rPr>
        <w:t xml:space="preserve"> [</w:t>
      </w:r>
      <w:hyperlink r:id="rId28">
        <w:r w:rsidRPr="769E5782">
          <w:rPr>
            <w:rStyle w:val="Hyperlink"/>
            <w:rFonts w:ascii="Times New Roman" w:eastAsia="Times New Roman" w:hAnsi="Times New Roman" w:cs="Times New Roman"/>
            <w:color w:val="auto"/>
            <w:u w:val="none"/>
          </w:rPr>
          <w:t>10</w:t>
        </w:r>
        <w:r w:rsidR="71A90B6B"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although their role as first-line therapy has diminished within contemporary guidelines.</w:t>
      </w:r>
    </w:p>
    <w:p w14:paraId="7B436A0C" w14:textId="6E1B5F79" w:rsidR="00244BC9" w:rsidRDefault="605F5D12" w:rsidP="00F83447">
      <w:pPr>
        <w:pStyle w:val="ListParagraph"/>
        <w:numPr>
          <w:ilvl w:val="0"/>
          <w:numId w:val="5"/>
        </w:numPr>
        <w:shd w:val="clear" w:color="auto" w:fill="FFFFFF" w:themeFill="background1"/>
        <w:spacing w:before="240" w:after="240" w:line="240" w:lineRule="auto"/>
        <w:ind w:left="300"/>
        <w:jc w:val="both"/>
        <w:rPr>
          <w:rFonts w:ascii="Times New Roman" w:eastAsia="Times New Roman" w:hAnsi="Times New Roman" w:cs="Times New Roman"/>
        </w:rPr>
      </w:pPr>
      <w:r w:rsidRPr="769E5782">
        <w:rPr>
          <w:rFonts w:ascii="Times New Roman" w:eastAsia="Times New Roman" w:hAnsi="Times New Roman" w:cs="Times New Roman"/>
          <w:b/>
          <w:bCs/>
        </w:rPr>
        <w:t>Atrial Fibrillation</w:t>
      </w:r>
      <w:r w:rsidRPr="769E5782">
        <w:rPr>
          <w:rFonts w:ascii="Times New Roman" w:eastAsia="Times New Roman" w:hAnsi="Times New Roman" w:cs="Times New Roman"/>
        </w:rPr>
        <w:t>: Beta-blockers facilitate heart rate regulation, reduce cardiac strain, and may contribute to thromboembolic prevention and stroke risk reduction</w:t>
      </w:r>
      <w:r w:rsidR="5D0BD51C" w:rsidRPr="769E5782">
        <w:rPr>
          <w:rFonts w:ascii="Times New Roman" w:eastAsia="Times New Roman" w:hAnsi="Times New Roman" w:cs="Times New Roman"/>
        </w:rPr>
        <w:t xml:space="preserve"> [</w:t>
      </w:r>
      <w:hyperlink r:id="rId29">
        <w:r w:rsidRPr="769E5782">
          <w:rPr>
            <w:rStyle w:val="Hyperlink"/>
            <w:rFonts w:ascii="Times New Roman" w:eastAsia="Times New Roman" w:hAnsi="Times New Roman" w:cs="Times New Roman"/>
            <w:color w:val="auto"/>
            <w:u w:val="none"/>
          </w:rPr>
          <w:t>10</w:t>
        </w:r>
        <w:r w:rsidR="6966D200"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7F8549FD" w14:textId="75F00189"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 xml:space="preserve">Given these multiple indications, beta-blocker utilization frequently persists regardless of heart failure classification. This practice aligns with emerging evidence suggesting potential benefits among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patients. One nationwide investigation identified statistically significant survival improvement following three years of beta-blocker therapy among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patients</w:t>
      </w:r>
      <w:r w:rsidR="427CCB13" w:rsidRPr="769E5782">
        <w:rPr>
          <w:rFonts w:ascii="Times New Roman" w:eastAsia="Times New Roman" w:hAnsi="Times New Roman" w:cs="Times New Roman"/>
        </w:rPr>
        <w:t xml:space="preserve"> [</w:t>
      </w:r>
      <w:hyperlink r:id="rId30">
        <w:r w:rsidRPr="769E5782">
          <w:rPr>
            <w:rStyle w:val="Hyperlink"/>
            <w:rFonts w:ascii="Times New Roman" w:eastAsia="Times New Roman" w:hAnsi="Times New Roman" w:cs="Times New Roman"/>
            <w:color w:val="auto"/>
            <w:u w:val="none"/>
          </w:rPr>
          <w:t>9</w:t>
        </w:r>
        <w:r w:rsidR="1D23A090"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supporting continued utilization as guideline recommendations continue to evolve.</w:t>
      </w:r>
    </w:p>
    <w:p w14:paraId="5629680E" w14:textId="1632D734" w:rsidR="00244BC9" w:rsidRDefault="00244BC9"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p>
    <w:p w14:paraId="75581E9E" w14:textId="6795B104" w:rsidR="00244BC9" w:rsidRDefault="605F5D12"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Mortality Reduction and Cardiovascular Event Prevention</w:t>
      </w:r>
    </w:p>
    <w:p w14:paraId="5C0F61BF" w14:textId="0AAAD520" w:rsidR="00244BC9" w:rsidRDefault="605F5D12" w:rsidP="00F83447">
      <w:pPr>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Contemporary investigations examining mortality outcomes provide evidence supporting beta-blocker utilization among Asian heart failure populations. Clinical trials demonstrate consistent benefits across multiple cardiovascular endpoints, with profound implications for therapeutic strategies within these populations.</w:t>
      </w:r>
      <w:r w:rsidR="6E48E9B8" w:rsidRPr="769E5782">
        <w:rPr>
          <w:rFonts w:ascii="Times New Roman" w:eastAsia="Times New Roman" w:hAnsi="Times New Roman" w:cs="Times New Roman"/>
        </w:rPr>
        <w:t xml:space="preserve"> </w:t>
      </w:r>
      <w:r w:rsidRPr="769E5782">
        <w:rPr>
          <w:rFonts w:ascii="Times New Roman" w:eastAsia="Times New Roman" w:hAnsi="Times New Roman" w:cs="Times New Roman"/>
        </w:rPr>
        <w:t xml:space="preserve">Beta-blocker therapy produces </w:t>
      </w:r>
      <w:r w:rsidR="2E36E2B0" w:rsidRPr="769E5782">
        <w:rPr>
          <w:rFonts w:ascii="Times New Roman" w:eastAsia="Times New Roman" w:hAnsi="Times New Roman" w:cs="Times New Roman"/>
        </w:rPr>
        <w:t>marked reductions</w:t>
      </w:r>
      <w:r w:rsidRPr="769E5782">
        <w:rPr>
          <w:rFonts w:ascii="Times New Roman" w:eastAsia="Times New Roman" w:hAnsi="Times New Roman" w:cs="Times New Roman"/>
        </w:rPr>
        <w:t xml:space="preserve"> in adverse outcomes among Asian heart failure patients across multiple investigational frameworks. The primary composite of worsening heart failure events or cardiovascular death correlates </w:t>
      </w:r>
      <w:r w:rsidR="5D41C239" w:rsidRPr="769E5782">
        <w:rPr>
          <w:rFonts w:ascii="Times New Roman" w:eastAsia="Times New Roman" w:hAnsi="Times New Roman" w:cs="Times New Roman"/>
        </w:rPr>
        <w:t xml:space="preserve">inversely </w:t>
      </w:r>
      <w:r w:rsidRPr="769E5782">
        <w:rPr>
          <w:rFonts w:ascii="Times New Roman" w:eastAsia="Times New Roman" w:hAnsi="Times New Roman" w:cs="Times New Roman"/>
        </w:rPr>
        <w:t>with beta-blocker utilization, yielding a hazard ratio of 0.79 (95% CI: 0.68-0.92)</w:t>
      </w:r>
      <w:r w:rsidR="614A1969" w:rsidRPr="769E5782">
        <w:rPr>
          <w:rFonts w:ascii="Times New Roman" w:eastAsia="Times New Roman" w:hAnsi="Times New Roman" w:cs="Times New Roman"/>
        </w:rPr>
        <w:t xml:space="preserve"> [</w:t>
      </w:r>
      <w:hyperlink r:id="rId31">
        <w:r w:rsidRPr="769E5782">
          <w:rPr>
            <w:rStyle w:val="Hyperlink"/>
            <w:rFonts w:ascii="Times New Roman" w:eastAsia="Times New Roman" w:hAnsi="Times New Roman" w:cs="Times New Roman"/>
            <w:color w:val="auto"/>
            <w:u w:val="none"/>
          </w:rPr>
          <w:t>1</w:t>
        </w:r>
        <w:r w:rsidR="252D7211"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After adjustment for baseline demographics and established prognostic variables, this protective effect persists with a hazard ratio of 0.70 (95% CI: 0.60-0.83)</w:t>
      </w:r>
      <w:r w:rsidR="27BDC8A5" w:rsidRPr="769E5782">
        <w:rPr>
          <w:rFonts w:ascii="Times New Roman" w:eastAsia="Times New Roman" w:hAnsi="Times New Roman" w:cs="Times New Roman"/>
        </w:rPr>
        <w:t xml:space="preserve"> [</w:t>
      </w:r>
      <w:hyperlink r:id="rId32">
        <w:r w:rsidRPr="769E5782">
          <w:rPr>
            <w:rStyle w:val="Hyperlink"/>
            <w:rFonts w:ascii="Times New Roman" w:eastAsia="Times New Roman" w:hAnsi="Times New Roman" w:cs="Times New Roman"/>
            <w:color w:val="auto"/>
            <w:u w:val="none"/>
          </w:rPr>
          <w:t>1</w:t>
        </w:r>
        <w:r w:rsidR="5DD0CEB2"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27221A5E" w:rsidRPr="769E5782">
        <w:rPr>
          <w:rFonts w:ascii="Times New Roman" w:eastAsia="Times New Roman" w:hAnsi="Times New Roman" w:cs="Times New Roman"/>
        </w:rPr>
        <w:t xml:space="preserve"> </w:t>
      </w:r>
      <w:r w:rsidRPr="769E5782">
        <w:rPr>
          <w:rFonts w:ascii="Times New Roman" w:eastAsia="Times New Roman" w:hAnsi="Times New Roman" w:cs="Times New Roman"/>
        </w:rPr>
        <w:t>Peritoneal dialysis patients represent a particularly compelling cohort for beta-blocker investigation. Among this population, beta-blocker prescription associates with a 43% reduction in adjusted hazard ratio for heart failure death (95% CI: 0.36–0.89; p = 0.013)</w:t>
      </w:r>
      <w:r w:rsidR="2749BFC7" w:rsidRPr="769E5782">
        <w:rPr>
          <w:rFonts w:ascii="Times New Roman" w:eastAsia="Times New Roman" w:hAnsi="Times New Roman" w:cs="Times New Roman"/>
        </w:rPr>
        <w:t xml:space="preserve"> [</w:t>
      </w:r>
      <w:hyperlink r:id="rId33">
        <w:r w:rsidRPr="769E5782">
          <w:rPr>
            <w:rStyle w:val="Hyperlink"/>
            <w:rFonts w:ascii="Times New Roman" w:eastAsia="Times New Roman" w:hAnsi="Times New Roman" w:cs="Times New Roman"/>
            <w:color w:val="auto"/>
            <w:u w:val="none"/>
          </w:rPr>
          <w:t>11</w:t>
        </w:r>
        <w:r w:rsidR="2874D984"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Early beta-blocker administration yields even more dramatic results, reducing in-hospital composite endpoints by 58% (RR: 0.42; 95% CI: 0.30–0.58; p &lt; 0.001) and in-hospital all-cause mortality by 57% (RR: 0.43; 95% CI: 0.31–0.61; p &lt; 0.001)</w:t>
      </w:r>
      <w:r w:rsidR="242EBA6D" w:rsidRPr="769E5782">
        <w:rPr>
          <w:rFonts w:ascii="Times New Roman" w:eastAsia="Times New Roman" w:hAnsi="Times New Roman" w:cs="Times New Roman"/>
        </w:rPr>
        <w:t xml:space="preserve"> [</w:t>
      </w:r>
      <w:hyperlink r:id="rId34">
        <w:r w:rsidRPr="769E5782">
          <w:rPr>
            <w:rStyle w:val="Hyperlink"/>
            <w:rFonts w:ascii="Times New Roman" w:eastAsia="Times New Roman" w:hAnsi="Times New Roman" w:cs="Times New Roman"/>
            <w:color w:val="auto"/>
            <w:u w:val="none"/>
          </w:rPr>
          <w:t>12</w:t>
        </w:r>
        <w:r w:rsidR="55CAE1F8"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2477FD65" w:rsidRPr="769E5782">
        <w:rPr>
          <w:rFonts w:ascii="Times New Roman" w:eastAsia="Times New Roman" w:hAnsi="Times New Roman" w:cs="Times New Roman"/>
        </w:rPr>
        <w:t xml:space="preserve"> </w:t>
      </w:r>
      <w:r w:rsidRPr="769E5782">
        <w:rPr>
          <w:rFonts w:ascii="Times New Roman" w:eastAsia="Times New Roman" w:hAnsi="Times New Roman" w:cs="Times New Roman"/>
        </w:rPr>
        <w:t>Non-</w:t>
      </w:r>
      <w:proofErr w:type="spellStart"/>
      <w:r w:rsidRPr="769E5782">
        <w:rPr>
          <w:rFonts w:ascii="Times New Roman" w:eastAsia="Times New Roman" w:hAnsi="Times New Roman" w:cs="Times New Roman"/>
        </w:rPr>
        <w:t>cardioselective</w:t>
      </w:r>
      <w:proofErr w:type="spellEnd"/>
      <w:r w:rsidRPr="769E5782">
        <w:rPr>
          <w:rFonts w:ascii="Times New Roman" w:eastAsia="Times New Roman" w:hAnsi="Times New Roman" w:cs="Times New Roman"/>
        </w:rPr>
        <w:t xml:space="preserve"> beta-blockers demonstrate superior mortality reduction in certain Asian cohorts, with cardiovascular mortality decreasing both in unadjusted models (HR: 0.36; 95% CI: 0.18–0.73; p = 0.004) and following statistical adjustment (HR: 0.37; 95% CI: 0.19–0.73; p = 0.005)</w:t>
      </w:r>
      <w:r w:rsidR="045F8F48" w:rsidRPr="769E5782">
        <w:rPr>
          <w:rFonts w:ascii="Times New Roman" w:eastAsia="Times New Roman" w:hAnsi="Times New Roman" w:cs="Times New Roman"/>
        </w:rPr>
        <w:t xml:space="preserve"> [</w:t>
      </w:r>
      <w:hyperlink r:id="rId35">
        <w:r w:rsidRPr="769E5782">
          <w:rPr>
            <w:rStyle w:val="Hyperlink"/>
            <w:rFonts w:ascii="Times New Roman" w:eastAsia="Times New Roman" w:hAnsi="Times New Roman" w:cs="Times New Roman"/>
            <w:color w:val="auto"/>
            <w:u w:val="none"/>
          </w:rPr>
          <w:t>13</w:t>
        </w:r>
        <w:r w:rsidR="0E73B2F9"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5C0F5F91" w:rsidRPr="769E5782">
        <w:rPr>
          <w:rFonts w:ascii="Times New Roman" w:eastAsia="Times New Roman" w:hAnsi="Times New Roman" w:cs="Times New Roman"/>
        </w:rPr>
        <w:t xml:space="preserve"> </w:t>
      </w:r>
      <w:r w:rsidRPr="769E5782">
        <w:rPr>
          <w:rFonts w:ascii="Times New Roman" w:eastAsia="Times New Roman" w:hAnsi="Times New Roman" w:cs="Times New Roman"/>
        </w:rPr>
        <w:t xml:space="preserve">Competing risk analytical frameworks further substantiate beta-blocker benefits </w:t>
      </w:r>
      <w:r w:rsidRPr="769E5782">
        <w:rPr>
          <w:rFonts w:ascii="Times New Roman" w:eastAsia="Times New Roman" w:hAnsi="Times New Roman" w:cs="Times New Roman"/>
        </w:rPr>
        <w:lastRenderedPageBreak/>
        <w:t>among Asian populations. When incorporating competing risk events, the hazard ratio for primary composite outcomes remains 0.68 (95% CI: 0.58-0.79)</w:t>
      </w:r>
      <w:r w:rsidR="78F4D852" w:rsidRPr="769E5782">
        <w:rPr>
          <w:rFonts w:ascii="Times New Roman" w:eastAsia="Times New Roman" w:hAnsi="Times New Roman" w:cs="Times New Roman"/>
        </w:rPr>
        <w:t xml:space="preserve"> [</w:t>
      </w:r>
      <w:hyperlink r:id="rId36">
        <w:r w:rsidRPr="769E5782">
          <w:rPr>
            <w:rStyle w:val="Hyperlink"/>
            <w:rFonts w:ascii="Times New Roman" w:eastAsia="Times New Roman" w:hAnsi="Times New Roman" w:cs="Times New Roman"/>
            <w:color w:val="auto"/>
            <w:u w:val="none"/>
          </w:rPr>
          <w:t>1</w:t>
        </w:r>
        <w:r w:rsidR="4460793D"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Patients receiving beta-blockers maintain </w:t>
      </w:r>
      <w:r w:rsidR="272B64AF" w:rsidRPr="769E5782">
        <w:rPr>
          <w:rFonts w:ascii="Times New Roman" w:eastAsia="Times New Roman" w:hAnsi="Times New Roman" w:cs="Times New Roman"/>
        </w:rPr>
        <w:t xml:space="preserve">a </w:t>
      </w:r>
      <w:r w:rsidRPr="769E5782">
        <w:rPr>
          <w:rFonts w:ascii="Times New Roman" w:eastAsia="Times New Roman" w:hAnsi="Times New Roman" w:cs="Times New Roman"/>
        </w:rPr>
        <w:t>lower cumulative risk for heart failure-related mortality compared to non-users even after accounting for competing risk events (p = 0.007)</w:t>
      </w:r>
      <w:r w:rsidR="2288A18A" w:rsidRPr="769E5782">
        <w:rPr>
          <w:rFonts w:ascii="Times New Roman" w:eastAsia="Times New Roman" w:hAnsi="Times New Roman" w:cs="Times New Roman"/>
        </w:rPr>
        <w:t xml:space="preserve"> [</w:t>
      </w:r>
      <w:hyperlink r:id="rId37">
        <w:r w:rsidRPr="769E5782">
          <w:rPr>
            <w:rStyle w:val="Hyperlink"/>
            <w:rFonts w:ascii="Times New Roman" w:eastAsia="Times New Roman" w:hAnsi="Times New Roman" w:cs="Times New Roman"/>
            <w:color w:val="auto"/>
            <w:u w:val="none"/>
          </w:rPr>
          <w:t>11</w:t>
        </w:r>
        <w:r w:rsidR="39DB8CD6"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08127BA3" w:rsidRPr="769E5782">
        <w:rPr>
          <w:rFonts w:ascii="Times New Roman" w:eastAsia="Times New Roman" w:hAnsi="Times New Roman" w:cs="Times New Roman"/>
        </w:rPr>
        <w:t xml:space="preserve"> </w:t>
      </w:r>
      <w:r w:rsidRPr="769E5782">
        <w:rPr>
          <w:rFonts w:ascii="Times New Roman" w:eastAsia="Times New Roman" w:hAnsi="Times New Roman" w:cs="Times New Roman"/>
        </w:rPr>
        <w:t>Regional heterogeneity within Asia reveals stark disparities in outcomes. Southeast Asian patients experience higher risk profiles, with death or hospitalization rates reaching 25.4% (345 per 1000 person-years) compared to 4.5% (55 per 1000 person-years) among South Asian populations (p &lt; 0.001)</w:t>
      </w:r>
      <w:r w:rsidR="3E1A7FA2" w:rsidRPr="769E5782">
        <w:rPr>
          <w:rFonts w:ascii="Times New Roman" w:eastAsia="Times New Roman" w:hAnsi="Times New Roman" w:cs="Times New Roman"/>
        </w:rPr>
        <w:t xml:space="preserve"> [</w:t>
      </w:r>
      <w:hyperlink r:id="rId38">
        <w:r w:rsidRPr="769E5782">
          <w:rPr>
            <w:rStyle w:val="Hyperlink"/>
            <w:rFonts w:ascii="Times New Roman" w:eastAsia="Times New Roman" w:hAnsi="Times New Roman" w:cs="Times New Roman"/>
            <w:color w:val="auto"/>
            <w:u w:val="none"/>
          </w:rPr>
          <w:t>14</w:t>
        </w:r>
        <w:r w:rsidR="5F409E80"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Ethnic stratification demonstrates that Malay patients face worse outcomes relative to Chinese patients (HR 2.13, 95% CI 1.34–3.37)</w:t>
      </w:r>
      <w:r w:rsidR="185398CB" w:rsidRPr="769E5782">
        <w:rPr>
          <w:rFonts w:ascii="Times New Roman" w:eastAsia="Times New Roman" w:hAnsi="Times New Roman" w:cs="Times New Roman"/>
        </w:rPr>
        <w:t xml:space="preserve"> [</w:t>
      </w:r>
      <w:hyperlink r:id="rId39">
        <w:r w:rsidRPr="769E5782">
          <w:rPr>
            <w:rStyle w:val="Hyperlink"/>
            <w:rFonts w:ascii="Times New Roman" w:eastAsia="Times New Roman" w:hAnsi="Times New Roman" w:cs="Times New Roman"/>
            <w:color w:val="auto"/>
            <w:u w:val="none"/>
          </w:rPr>
          <w:t>14</w:t>
        </w:r>
        <w:r w:rsidR="0C6F0D27"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37CAEFDD" w14:textId="0659552D"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5982F6DC" w14:textId="0EDB765E"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Beta-blocker therapy extends beyond mortality benefits to encompass total heart failure event reduction among Asian populations. Patients receiving beta-blockers demonstrate reduced risk for heart failure events, cardiovascular death, and total heart failure events across crude, covariate-adjusted, and propensity score–based analytical models</w:t>
      </w:r>
      <w:r w:rsidR="089203CC" w:rsidRPr="769E5782">
        <w:rPr>
          <w:rFonts w:ascii="Times New Roman" w:eastAsia="Times New Roman" w:hAnsi="Times New Roman" w:cs="Times New Roman"/>
        </w:rPr>
        <w:t xml:space="preserve"> [</w:t>
      </w:r>
      <w:hyperlink r:id="rId40">
        <w:r w:rsidRPr="769E5782">
          <w:rPr>
            <w:rStyle w:val="Hyperlink"/>
            <w:rFonts w:ascii="Times New Roman" w:eastAsia="Times New Roman" w:hAnsi="Times New Roman" w:cs="Times New Roman"/>
            <w:color w:val="auto"/>
            <w:u w:val="none"/>
          </w:rPr>
          <w:t>1</w:t>
        </w:r>
        <w:r w:rsidR="70B466E4"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203B913B" w:rsidRPr="769E5782">
        <w:rPr>
          <w:rFonts w:ascii="Times New Roman" w:eastAsia="Times New Roman" w:hAnsi="Times New Roman" w:cs="Times New Roman"/>
        </w:rPr>
        <w:t xml:space="preserve"> </w:t>
      </w:r>
      <w:r w:rsidRPr="769E5782">
        <w:rPr>
          <w:rFonts w:ascii="Times New Roman" w:eastAsia="Times New Roman" w:hAnsi="Times New Roman" w:cs="Times New Roman"/>
        </w:rPr>
        <w:t>Cumulative survival probabilities illustrate these benefits with striking clarity:</w:t>
      </w:r>
    </w:p>
    <w:p w14:paraId="5682D615" w14:textId="424A2932" w:rsidR="7727DA16" w:rsidRDefault="7727DA16" w:rsidP="00F83447">
      <w:pPr>
        <w:shd w:val="clear" w:color="auto" w:fill="FFFFFF" w:themeFill="background1"/>
        <w:spacing w:after="0" w:line="240" w:lineRule="auto"/>
        <w:jc w:val="both"/>
        <w:rPr>
          <w:rFonts w:ascii="Times New Roman" w:eastAsia="Times New Roman" w:hAnsi="Times New Roman" w:cs="Times New Roman"/>
        </w:rPr>
      </w:pPr>
    </w:p>
    <w:p w14:paraId="34C9317D" w14:textId="12A75C6B" w:rsidR="00244BC9" w:rsidRDefault="605F5D12" w:rsidP="00F83447">
      <w:pPr>
        <w:pStyle w:val="ListParagraph"/>
        <w:numPr>
          <w:ilvl w:val="0"/>
          <w:numId w:val="4"/>
        </w:numPr>
        <w:shd w:val="clear" w:color="auto" w:fill="FFFFFF" w:themeFill="background1"/>
        <w:spacing w:after="0" w:line="240" w:lineRule="auto"/>
        <w:ind w:left="300"/>
        <w:jc w:val="both"/>
        <w:rPr>
          <w:rFonts w:ascii="Times New Roman" w:eastAsia="Times New Roman" w:hAnsi="Times New Roman" w:cs="Times New Roman"/>
        </w:rPr>
      </w:pPr>
      <w:r w:rsidRPr="769E5782">
        <w:rPr>
          <w:rFonts w:ascii="Times New Roman" w:eastAsia="Times New Roman" w:hAnsi="Times New Roman" w:cs="Times New Roman"/>
        </w:rPr>
        <w:t>Beta-blocker users: 89.7% survival at 3 years, 86.5% at 5 years</w:t>
      </w:r>
    </w:p>
    <w:p w14:paraId="404565FD" w14:textId="50CD53FC" w:rsidR="00244BC9" w:rsidRDefault="605F5D12" w:rsidP="00F83447">
      <w:pPr>
        <w:pStyle w:val="ListParagraph"/>
        <w:numPr>
          <w:ilvl w:val="0"/>
          <w:numId w:val="4"/>
        </w:numPr>
        <w:shd w:val="clear" w:color="auto" w:fill="FFFFFF" w:themeFill="background1"/>
        <w:spacing w:after="0" w:line="240" w:lineRule="auto"/>
        <w:ind w:left="300"/>
        <w:jc w:val="both"/>
        <w:rPr>
          <w:rFonts w:ascii="Times New Roman" w:eastAsia="Times New Roman" w:hAnsi="Times New Roman" w:cs="Times New Roman"/>
        </w:rPr>
      </w:pPr>
      <w:r w:rsidRPr="769E5782">
        <w:rPr>
          <w:rFonts w:ascii="Times New Roman" w:eastAsia="Times New Roman" w:hAnsi="Times New Roman" w:cs="Times New Roman"/>
        </w:rPr>
        <w:t>Non-users: 77.4% survival at 3 years, 75.3% at 5 years</w:t>
      </w:r>
      <w:r w:rsidR="660D1887" w:rsidRPr="769E5782">
        <w:rPr>
          <w:rFonts w:ascii="Times New Roman" w:eastAsia="Times New Roman" w:hAnsi="Times New Roman" w:cs="Times New Roman"/>
        </w:rPr>
        <w:t xml:space="preserve"> [</w:t>
      </w:r>
      <w:hyperlink r:id="rId41">
        <w:r w:rsidRPr="769E5782">
          <w:rPr>
            <w:rStyle w:val="Hyperlink"/>
            <w:rFonts w:ascii="Times New Roman" w:eastAsia="Times New Roman" w:hAnsi="Times New Roman" w:cs="Times New Roman"/>
            <w:color w:val="auto"/>
            <w:u w:val="none"/>
          </w:rPr>
          <w:t>11</w:t>
        </w:r>
        <w:r w:rsidR="60CE6E3D" w:rsidRPr="769E5782">
          <w:rPr>
            <w:rStyle w:val="Hyperlink"/>
            <w:rFonts w:ascii="Times New Roman" w:eastAsia="Times New Roman" w:hAnsi="Times New Roman" w:cs="Times New Roman"/>
            <w:color w:val="auto"/>
            <w:u w:val="none"/>
          </w:rPr>
          <w:t>]</w:t>
        </w:r>
      </w:hyperlink>
    </w:p>
    <w:p w14:paraId="30316149" w14:textId="328DEB7F"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39D57313" w14:textId="61CBBF83"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The relationship between beta-blocker benefits and left ventricular ejection fraction (LVEF) merits particular attention. Beta-blocker associations with clinical outcomes demonstrate consistency regardless of LVEF categorization (LVEF ≤49% versus ≥50%), with interaction p-values exceeding 0.47</w:t>
      </w:r>
      <w:r w:rsidR="54AFE659" w:rsidRPr="769E5782">
        <w:rPr>
          <w:rFonts w:ascii="Times New Roman" w:eastAsia="Times New Roman" w:hAnsi="Times New Roman" w:cs="Times New Roman"/>
        </w:rPr>
        <w:t xml:space="preserve"> [</w:t>
      </w:r>
      <w:hyperlink r:id="rId42">
        <w:r w:rsidRPr="769E5782">
          <w:rPr>
            <w:rStyle w:val="Hyperlink"/>
            <w:rFonts w:ascii="Times New Roman" w:eastAsia="Times New Roman" w:hAnsi="Times New Roman" w:cs="Times New Roman"/>
            <w:color w:val="auto"/>
            <w:u w:val="none"/>
          </w:rPr>
          <w:t>1</w:t>
        </w:r>
        <w:r w:rsidR="0E9A7706"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This finding suggests that beta-blocker benefits transcend traditional heart failure classifications, providing therapeutic value across the spectrum of ventricular dysfunction.</w:t>
      </w:r>
    </w:p>
    <w:p w14:paraId="609323D7" w14:textId="320A671E"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68A1CD09" w14:textId="2A00295C" w:rsidR="00244BC9" w:rsidRDefault="605F5D12"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SGLT2 Inhibitors and Beta-Blocker Combination Therapy</w:t>
      </w:r>
    </w:p>
    <w:p w14:paraId="09A2D68D" w14:textId="6B94F0BB"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SGLT2 inhibitors</w:t>
      </w:r>
      <w:r w:rsidR="67DBDECF" w:rsidRPr="769E5782">
        <w:rPr>
          <w:rFonts w:ascii="Times New Roman" w:eastAsia="Times New Roman" w:hAnsi="Times New Roman" w:cs="Times New Roman"/>
        </w:rPr>
        <w:t xml:space="preserve"> like </w:t>
      </w:r>
      <w:r w:rsidR="2CE6E202" w:rsidRPr="769E5782">
        <w:rPr>
          <w:rFonts w:ascii="Times New Roman" w:eastAsia="Times New Roman" w:hAnsi="Times New Roman" w:cs="Times New Roman"/>
        </w:rPr>
        <w:t>d</w:t>
      </w:r>
      <w:r w:rsidR="67DBDECF" w:rsidRPr="769E5782">
        <w:rPr>
          <w:rFonts w:ascii="Times New Roman" w:eastAsia="Times New Roman" w:hAnsi="Times New Roman" w:cs="Times New Roman"/>
        </w:rPr>
        <w:t>apagliflozin</w:t>
      </w:r>
      <w:r w:rsidRPr="769E5782">
        <w:rPr>
          <w:rFonts w:ascii="Times New Roman" w:eastAsia="Times New Roman" w:hAnsi="Times New Roman" w:cs="Times New Roman"/>
        </w:rPr>
        <w:t xml:space="preserve"> represent a contemporary pharmaceutical development constructed to address metabolic and cardiovascular pathophysiology through novel mechanisms. The interaction between these agents and established beta-blocker therapy demands rigorous examination, particularly when considering potential synergistic effects or therapeutic conflicts in Asian patient populations.</w:t>
      </w:r>
      <w:r w:rsidR="55AF30FC" w:rsidRPr="769E5782">
        <w:rPr>
          <w:rFonts w:ascii="Times New Roman" w:eastAsia="Times New Roman" w:hAnsi="Times New Roman" w:cs="Times New Roman"/>
        </w:rPr>
        <w:t xml:space="preserve"> </w:t>
      </w:r>
      <w:r w:rsidRPr="769E5782">
        <w:rPr>
          <w:rFonts w:ascii="Times New Roman" w:eastAsia="Times New Roman" w:hAnsi="Times New Roman" w:cs="Times New Roman"/>
        </w:rPr>
        <w:t>The DELIVER trial, comprising 6,263 patients with heart failure and left ventricular ejection fraction exceeding 40%, furnishes essential data regarding combination therapeutic strategies. Among study participants, 83% received concurrent beta-blocker therapy, with notable regional variations</w:t>
      </w:r>
      <w:r w:rsidR="6127599E" w:rsidRPr="769E5782">
        <w:rPr>
          <w:rFonts w:ascii="Times New Roman" w:eastAsia="Times New Roman" w:hAnsi="Times New Roman" w:cs="Times New Roman"/>
        </w:rPr>
        <w:t xml:space="preserve"> [</w:t>
      </w:r>
      <w:hyperlink r:id="rId43">
        <w:r w:rsidRPr="769E5782">
          <w:rPr>
            <w:rStyle w:val="Hyperlink"/>
            <w:rFonts w:ascii="Times New Roman" w:eastAsia="Times New Roman" w:hAnsi="Times New Roman" w:cs="Times New Roman"/>
            <w:color w:val="auto"/>
            <w:u w:val="none"/>
          </w:rPr>
          <w:t>15</w:t>
        </w:r>
        <w:r w:rsidR="26F96116"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Dapagliflozin demonstrated consistent therapeutic efficacy irrespective of simultaneous beta-blocker utilization.</w:t>
      </w:r>
      <w:r w:rsidR="108C1B5A" w:rsidRPr="769E5782">
        <w:rPr>
          <w:rFonts w:ascii="Times New Roman" w:eastAsia="Times New Roman" w:hAnsi="Times New Roman" w:cs="Times New Roman"/>
        </w:rPr>
        <w:t xml:space="preserve"> </w:t>
      </w:r>
      <w:r w:rsidRPr="769E5782">
        <w:rPr>
          <w:rFonts w:ascii="Times New Roman" w:eastAsia="Times New Roman" w:hAnsi="Times New Roman" w:cs="Times New Roman"/>
        </w:rPr>
        <w:t>The primary composite endpoint of cardiovascular death or worsening heart failure showed comparable reduction in patients receiving beta-blockers (HR: 0.82; 95% CI: 0.72-0.94) and those without beta-blocker therapy (HR: 0.79; 95% CI: 0.61-1.03)</w:t>
      </w:r>
      <w:r w:rsidR="6771D399" w:rsidRPr="769E5782">
        <w:rPr>
          <w:rFonts w:ascii="Times New Roman" w:eastAsia="Times New Roman" w:hAnsi="Times New Roman" w:cs="Times New Roman"/>
        </w:rPr>
        <w:t xml:space="preserve"> [</w:t>
      </w:r>
      <w:hyperlink r:id="rId44">
        <w:r w:rsidRPr="769E5782">
          <w:rPr>
            <w:rStyle w:val="Hyperlink"/>
            <w:rFonts w:ascii="Times New Roman" w:eastAsia="Times New Roman" w:hAnsi="Times New Roman" w:cs="Times New Roman"/>
            <w:color w:val="auto"/>
            <w:u w:val="none"/>
          </w:rPr>
          <w:t>15</w:t>
        </w:r>
        <w:r w:rsidR="04A81FC3"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The interaction p-value of 0.85 substantiates the statistical consistency of these benefits across both therapeutic groups</w:t>
      </w:r>
      <w:r w:rsidR="5971DAF1" w:rsidRPr="769E5782">
        <w:rPr>
          <w:rFonts w:ascii="Times New Roman" w:eastAsia="Times New Roman" w:hAnsi="Times New Roman" w:cs="Times New Roman"/>
        </w:rPr>
        <w:t xml:space="preserve"> [</w:t>
      </w:r>
      <w:hyperlink r:id="rId45">
        <w:r w:rsidRPr="769E5782">
          <w:rPr>
            <w:rStyle w:val="Hyperlink"/>
            <w:rFonts w:ascii="Times New Roman" w:eastAsia="Times New Roman" w:hAnsi="Times New Roman" w:cs="Times New Roman"/>
            <w:color w:val="auto"/>
            <w:u w:val="none"/>
          </w:rPr>
          <w:t>15</w:t>
        </w:r>
        <w:r w:rsidR="2D4B99A6"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76856E3A" w:rsidRPr="769E5782">
        <w:rPr>
          <w:rFonts w:ascii="Times New Roman" w:eastAsia="Times New Roman" w:hAnsi="Times New Roman" w:cs="Times New Roman"/>
        </w:rPr>
        <w:t xml:space="preserve"> </w:t>
      </w:r>
      <w:r w:rsidRPr="769E5782">
        <w:rPr>
          <w:rFonts w:ascii="Times New Roman" w:eastAsia="Times New Roman" w:hAnsi="Times New Roman" w:cs="Times New Roman"/>
        </w:rPr>
        <w:t>Beta-blocker therapy i</w:t>
      </w:r>
      <w:r w:rsidR="52A1B20A" w:rsidRPr="769E5782">
        <w:rPr>
          <w:rFonts w:ascii="Times New Roman" w:eastAsia="Times New Roman" w:hAnsi="Times New Roman" w:cs="Times New Roman"/>
        </w:rPr>
        <w:t xml:space="preserve">s </w:t>
      </w:r>
      <w:r w:rsidRPr="769E5782">
        <w:rPr>
          <w:rFonts w:ascii="Times New Roman" w:eastAsia="Times New Roman" w:hAnsi="Times New Roman" w:cs="Times New Roman"/>
        </w:rPr>
        <w:t>associated with diminished risk for the composite outcome (adjusted HR: 0.70; 95% CI: 0.60-0.83)</w:t>
      </w:r>
      <w:r w:rsidR="68401291" w:rsidRPr="769E5782">
        <w:rPr>
          <w:rFonts w:ascii="Times New Roman" w:eastAsia="Times New Roman" w:hAnsi="Times New Roman" w:cs="Times New Roman"/>
        </w:rPr>
        <w:t xml:space="preserve"> [</w:t>
      </w:r>
      <w:hyperlink r:id="rId46">
        <w:r w:rsidRPr="769E5782">
          <w:rPr>
            <w:rStyle w:val="Hyperlink"/>
            <w:rFonts w:ascii="Times New Roman" w:eastAsia="Times New Roman" w:hAnsi="Times New Roman" w:cs="Times New Roman"/>
            <w:color w:val="auto"/>
            <w:u w:val="none"/>
          </w:rPr>
          <w:t>16</w:t>
        </w:r>
        <w:r w:rsidR="0C6702BF"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suggesting these pharmaceutical interventions operate through complementary rather than competing mechanisms.</w:t>
      </w:r>
    </w:p>
    <w:p w14:paraId="16AF48F6" w14:textId="59A83069"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03F6F35B" w14:textId="636ACA42"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The Kansas City Cardiomyopathy Questionnaire (KCCQ) assessments revealed improvements with dapagliflozin therapy independent of background beta-blocker status. At 8 months, multiple domains demonstrated statistically significant enhancements</w:t>
      </w:r>
      <w:r w:rsidR="1CB5B26F" w:rsidRPr="769E5782">
        <w:rPr>
          <w:rFonts w:ascii="Times New Roman" w:eastAsia="Times New Roman" w:hAnsi="Times New Roman" w:cs="Times New Roman"/>
        </w:rPr>
        <w:t xml:space="preserve"> at the 0.01 confidence level</w:t>
      </w:r>
      <w:r w:rsidRPr="769E5782">
        <w:rPr>
          <w:rFonts w:ascii="Times New Roman" w:eastAsia="Times New Roman" w:hAnsi="Times New Roman" w:cs="Times New Roman"/>
        </w:rPr>
        <w:t>:</w:t>
      </w:r>
    </w:p>
    <w:p w14:paraId="3C231972" w14:textId="65FA75A8" w:rsidR="00244BC9" w:rsidRDefault="605F5D12" w:rsidP="00F83447">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rPr>
      </w:pPr>
      <w:r w:rsidRPr="769E5782">
        <w:lastRenderedPageBreak/>
        <w:t>Total Symptom Score: 2.4-point improvement versus placebo (p&lt;0.001)</w:t>
      </w:r>
    </w:p>
    <w:p w14:paraId="6E722EB7" w14:textId="1982349E" w:rsidR="00244BC9" w:rsidRDefault="605F5D12" w:rsidP="00F83447">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rPr>
      </w:pPr>
      <w:r w:rsidRPr="769E5782">
        <w:t>Physical Limitations Score: 1.9-point improvement versus placebo (p&lt;0.001)</w:t>
      </w:r>
    </w:p>
    <w:p w14:paraId="48666931" w14:textId="256ADAC2" w:rsidR="00244BC9" w:rsidRDefault="605F5D12" w:rsidP="00F83447">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rPr>
      </w:pPr>
      <w:r w:rsidRPr="769E5782">
        <w:t>Clinical Summary Score: 2.3-point improvement versus placebo (p&lt;0.001)</w:t>
      </w:r>
    </w:p>
    <w:p w14:paraId="1591B4D7" w14:textId="7B475078" w:rsidR="00244BC9" w:rsidRDefault="605F5D12" w:rsidP="00F83447">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rPr>
      </w:pPr>
      <w:r w:rsidRPr="769E5782">
        <w:t>Overall Summary Score: 2.1-point improvement versus placebo (p&lt;0.001)</w:t>
      </w:r>
      <w:r w:rsidR="76A87311" w:rsidRPr="769E5782">
        <w:t xml:space="preserve"> [</w:t>
      </w:r>
      <w:hyperlink r:id="rId47">
        <w:r w:rsidRPr="769E5782">
          <w:t>17</w:t>
        </w:r>
        <w:r w:rsidR="6623A7A2" w:rsidRPr="769E5782">
          <w:t>]</w:t>
        </w:r>
      </w:hyperlink>
    </w:p>
    <w:p w14:paraId="3B1A5AB1" w14:textId="098D3F2D" w:rsidR="7727DA16" w:rsidRDefault="7727DA16" w:rsidP="00F83447">
      <w:pPr>
        <w:shd w:val="clear" w:color="auto" w:fill="FFFFFF" w:themeFill="background1"/>
        <w:spacing w:after="0" w:line="240" w:lineRule="auto"/>
        <w:jc w:val="both"/>
        <w:rPr>
          <w:rFonts w:ascii="Times New Roman" w:eastAsia="Times New Roman" w:hAnsi="Times New Roman" w:cs="Times New Roman"/>
          <w:color w:val="000000" w:themeColor="text1"/>
        </w:rPr>
      </w:pPr>
    </w:p>
    <w:p w14:paraId="39F39FA0" w14:textId="12ABF175"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These improvements emerged within one month and amplified throughout the observation period</w:t>
      </w:r>
      <w:r w:rsidR="447990F0" w:rsidRPr="769E5782">
        <w:rPr>
          <w:rFonts w:ascii="Times New Roman" w:eastAsia="Times New Roman" w:hAnsi="Times New Roman" w:cs="Times New Roman"/>
        </w:rPr>
        <w:t xml:space="preserve"> [</w:t>
      </w:r>
      <w:hyperlink r:id="rId48">
        <w:r w:rsidRPr="769E5782">
          <w:rPr>
            <w:rStyle w:val="Hyperlink"/>
            <w:rFonts w:ascii="Times New Roman" w:eastAsia="Times New Roman" w:hAnsi="Times New Roman" w:cs="Times New Roman"/>
            <w:color w:val="auto"/>
            <w:u w:val="none"/>
          </w:rPr>
          <w:t>17</w:t>
        </w:r>
        <w:r w:rsidR="17D73203"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A greater proportion of patients receiving dapagliflozin achieved clinically meaningful KCCQ improvements regardless of concurrent beta-blocker therapy</w:t>
      </w:r>
      <w:r w:rsidR="00133F1C" w:rsidRPr="769E5782">
        <w:rPr>
          <w:rFonts w:ascii="Times New Roman" w:eastAsia="Times New Roman" w:hAnsi="Times New Roman" w:cs="Times New Roman"/>
        </w:rPr>
        <w:t xml:space="preserve"> [</w:t>
      </w:r>
      <w:hyperlink r:id="rId49">
        <w:r w:rsidRPr="769E5782">
          <w:rPr>
            <w:rStyle w:val="Hyperlink"/>
            <w:rFonts w:ascii="Times New Roman" w:eastAsia="Times New Roman" w:hAnsi="Times New Roman" w:cs="Times New Roman"/>
            <w:color w:val="auto"/>
            <w:u w:val="none"/>
          </w:rPr>
          <w:t>17</w:t>
        </w:r>
        <w:r w:rsidR="17E8F0E6"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1E033E2B" w14:textId="6CC72B42" w:rsidR="7727DA16" w:rsidRDefault="7727DA16" w:rsidP="00F83447">
      <w:pPr>
        <w:shd w:val="clear" w:color="auto" w:fill="FFFFFF" w:themeFill="background1"/>
        <w:spacing w:after="0" w:line="240" w:lineRule="auto"/>
        <w:jc w:val="both"/>
        <w:rPr>
          <w:rFonts w:ascii="Times New Roman" w:eastAsia="Times New Roman" w:hAnsi="Times New Roman" w:cs="Times New Roman"/>
        </w:rPr>
      </w:pPr>
    </w:p>
    <w:p w14:paraId="49DC7C3B" w14:textId="4F33D95C"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 xml:space="preserve">Safety analyses reveal no </w:t>
      </w:r>
      <w:r w:rsidR="45C2A473" w:rsidRPr="769E5782">
        <w:rPr>
          <w:rFonts w:ascii="Times New Roman" w:eastAsia="Times New Roman" w:hAnsi="Times New Roman" w:cs="Times New Roman"/>
        </w:rPr>
        <w:t xml:space="preserve">reported </w:t>
      </w:r>
      <w:r w:rsidRPr="769E5782">
        <w:rPr>
          <w:rFonts w:ascii="Times New Roman" w:eastAsia="Times New Roman" w:hAnsi="Times New Roman" w:cs="Times New Roman"/>
        </w:rPr>
        <w:t>pharmacodynamic interference between beta-blockers and dapagliflozin. The DAPA-HF investigation demonstrated that dapagliflozin reduced the combined risk of cardiovascular death and heart failure hospitalization by 26%, with cardiovascular mortality alone declining by 18%—benefits that remained unaffected by concomitant beta-blocker utilization</w:t>
      </w:r>
      <w:r w:rsidR="40F666F7" w:rsidRPr="769E5782">
        <w:rPr>
          <w:rFonts w:ascii="Times New Roman" w:eastAsia="Times New Roman" w:hAnsi="Times New Roman" w:cs="Times New Roman"/>
        </w:rPr>
        <w:t xml:space="preserve"> [</w:t>
      </w:r>
      <w:hyperlink r:id="rId50">
        <w:r w:rsidRPr="769E5782">
          <w:rPr>
            <w:rStyle w:val="Hyperlink"/>
            <w:rFonts w:ascii="Times New Roman" w:eastAsia="Times New Roman" w:hAnsi="Times New Roman" w:cs="Times New Roman"/>
            <w:color w:val="auto"/>
            <w:u w:val="none"/>
          </w:rPr>
          <w:t>18</w:t>
        </w:r>
        <w:r w:rsidR="4477F14E"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0910F483" w:rsidRPr="769E5782">
        <w:rPr>
          <w:rFonts w:ascii="Times New Roman" w:eastAsia="Times New Roman" w:hAnsi="Times New Roman" w:cs="Times New Roman"/>
        </w:rPr>
        <w:t xml:space="preserve"> </w:t>
      </w:r>
      <w:r w:rsidRPr="769E5782">
        <w:rPr>
          <w:rFonts w:ascii="Times New Roman" w:eastAsia="Times New Roman" w:hAnsi="Times New Roman" w:cs="Times New Roman"/>
        </w:rPr>
        <w:t>Adverse event</w:t>
      </w:r>
      <w:r w:rsidR="2310B847" w:rsidRPr="769E5782">
        <w:rPr>
          <w:rFonts w:ascii="Times New Roman" w:eastAsia="Times New Roman" w:hAnsi="Times New Roman" w:cs="Times New Roman"/>
        </w:rPr>
        <w:t>s were equally prevalent</w:t>
      </w:r>
      <w:r w:rsidRPr="769E5782">
        <w:rPr>
          <w:rFonts w:ascii="Times New Roman" w:eastAsia="Times New Roman" w:hAnsi="Times New Roman" w:cs="Times New Roman"/>
        </w:rPr>
        <w:t xml:space="preserve"> </w:t>
      </w:r>
      <w:r w:rsidR="151C0D4D" w:rsidRPr="769E5782">
        <w:rPr>
          <w:rFonts w:ascii="Times New Roman" w:eastAsia="Times New Roman" w:hAnsi="Times New Roman" w:cs="Times New Roman"/>
        </w:rPr>
        <w:t>in</w:t>
      </w:r>
      <w:r w:rsidRPr="769E5782">
        <w:rPr>
          <w:rFonts w:ascii="Times New Roman" w:eastAsia="Times New Roman" w:hAnsi="Times New Roman" w:cs="Times New Roman"/>
        </w:rPr>
        <w:t xml:space="preserve"> dapagliflozin and placebo groups irrespective of background beta-blocker therapy (all interaction p-values ≥0.07)</w:t>
      </w:r>
      <w:r w:rsidR="697A0316" w:rsidRPr="769E5782">
        <w:rPr>
          <w:rFonts w:ascii="Times New Roman" w:eastAsia="Times New Roman" w:hAnsi="Times New Roman" w:cs="Times New Roman"/>
        </w:rPr>
        <w:t xml:space="preserve"> [</w:t>
      </w:r>
      <w:hyperlink r:id="rId51">
        <w:r w:rsidRPr="769E5782">
          <w:rPr>
            <w:rStyle w:val="Hyperlink"/>
            <w:rFonts w:ascii="Times New Roman" w:eastAsia="Times New Roman" w:hAnsi="Times New Roman" w:cs="Times New Roman"/>
            <w:color w:val="auto"/>
            <w:u w:val="none"/>
          </w:rPr>
          <w:t>16</w:t>
        </w:r>
        <w:r w:rsidR="66B213E1"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Comprehensive safety assessments revealed no significant differences</w:t>
      </w:r>
      <w:r w:rsidR="11EAE258" w:rsidRPr="769E5782">
        <w:rPr>
          <w:rFonts w:ascii="Times New Roman" w:eastAsia="Times New Roman" w:hAnsi="Times New Roman" w:cs="Times New Roman"/>
        </w:rPr>
        <w:t xml:space="preserve"> at the 0.05 confidence level</w:t>
      </w:r>
      <w:r w:rsidRPr="769E5782">
        <w:rPr>
          <w:rFonts w:ascii="Times New Roman" w:eastAsia="Times New Roman" w:hAnsi="Times New Roman" w:cs="Times New Roman"/>
        </w:rPr>
        <w:t xml:space="preserve"> between treatment groups regarding serious adverse events, volume depletion symptoms, acute kidney injury, or hyperkalemia rates</w:t>
      </w:r>
      <w:r w:rsidR="004ABCC3" w:rsidRPr="769E5782">
        <w:rPr>
          <w:rFonts w:ascii="Times New Roman" w:eastAsia="Times New Roman" w:hAnsi="Times New Roman" w:cs="Times New Roman"/>
        </w:rPr>
        <w:t xml:space="preserve"> [</w:t>
      </w:r>
      <w:hyperlink r:id="rId52">
        <w:r w:rsidRPr="769E5782">
          <w:rPr>
            <w:rStyle w:val="Hyperlink"/>
            <w:rFonts w:ascii="Times New Roman" w:eastAsia="Times New Roman" w:hAnsi="Times New Roman" w:cs="Times New Roman"/>
            <w:color w:val="auto"/>
            <w:u w:val="none"/>
          </w:rPr>
          <w:t>19</w:t>
        </w:r>
        <w:r w:rsidR="77AA3300"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377ED45D" w:rsidRPr="769E5782">
        <w:rPr>
          <w:rFonts w:ascii="Times New Roman" w:eastAsia="Times New Roman" w:hAnsi="Times New Roman" w:cs="Times New Roman"/>
        </w:rPr>
        <w:t xml:space="preserve"> Although tentative, t</w:t>
      </w:r>
      <w:r w:rsidRPr="769E5782">
        <w:rPr>
          <w:rFonts w:ascii="Times New Roman" w:eastAsia="Times New Roman" w:hAnsi="Times New Roman" w:cs="Times New Roman"/>
        </w:rPr>
        <w:t>h</w:t>
      </w:r>
      <w:r w:rsidR="254695B9" w:rsidRPr="769E5782">
        <w:rPr>
          <w:rFonts w:ascii="Times New Roman" w:eastAsia="Times New Roman" w:hAnsi="Times New Roman" w:cs="Times New Roman"/>
        </w:rPr>
        <w:t>is</w:t>
      </w:r>
      <w:r w:rsidRPr="769E5782">
        <w:rPr>
          <w:rFonts w:ascii="Times New Roman" w:eastAsia="Times New Roman" w:hAnsi="Times New Roman" w:cs="Times New Roman"/>
        </w:rPr>
        <w:t xml:space="preserve"> evidence supports </w:t>
      </w:r>
      <w:r w:rsidR="3DEC6D15" w:rsidRPr="769E5782">
        <w:rPr>
          <w:rFonts w:ascii="Times New Roman" w:eastAsia="Times New Roman" w:hAnsi="Times New Roman" w:cs="Times New Roman"/>
        </w:rPr>
        <w:t xml:space="preserve">further research into </w:t>
      </w:r>
      <w:r w:rsidR="67D9FC4F" w:rsidRPr="769E5782">
        <w:rPr>
          <w:rFonts w:ascii="Times New Roman" w:eastAsia="Times New Roman" w:hAnsi="Times New Roman" w:cs="Times New Roman"/>
        </w:rPr>
        <w:t xml:space="preserve">the clinical </w:t>
      </w:r>
      <w:r w:rsidR="3DEC6D15" w:rsidRPr="769E5782">
        <w:rPr>
          <w:rFonts w:ascii="Times New Roman" w:eastAsia="Times New Roman" w:hAnsi="Times New Roman" w:cs="Times New Roman"/>
        </w:rPr>
        <w:t>efficacy</w:t>
      </w:r>
      <w:r w:rsidR="6A989C56" w:rsidRPr="769E5782">
        <w:rPr>
          <w:rFonts w:ascii="Times New Roman" w:eastAsia="Times New Roman" w:hAnsi="Times New Roman" w:cs="Times New Roman"/>
        </w:rPr>
        <w:t xml:space="preserve"> </w:t>
      </w:r>
      <w:r w:rsidR="3DEC6D15" w:rsidRPr="769E5782">
        <w:rPr>
          <w:rFonts w:ascii="Times New Roman" w:eastAsia="Times New Roman" w:hAnsi="Times New Roman" w:cs="Times New Roman"/>
        </w:rPr>
        <w:t>of co-administration of beta-blockers and SL</w:t>
      </w:r>
      <w:r w:rsidR="2D38A372" w:rsidRPr="769E5782">
        <w:rPr>
          <w:rFonts w:ascii="Times New Roman" w:eastAsia="Times New Roman" w:hAnsi="Times New Roman" w:cs="Times New Roman"/>
        </w:rPr>
        <w:t>GT2</w:t>
      </w:r>
      <w:r w:rsidR="3DEC6D15" w:rsidRPr="769E5782">
        <w:rPr>
          <w:rFonts w:ascii="Times New Roman" w:eastAsia="Times New Roman" w:hAnsi="Times New Roman" w:cs="Times New Roman"/>
        </w:rPr>
        <w:t xml:space="preserve"> </w:t>
      </w:r>
      <w:r w:rsidR="18709B7C" w:rsidRPr="769E5782">
        <w:rPr>
          <w:rFonts w:ascii="Times New Roman" w:eastAsia="Times New Roman" w:hAnsi="Times New Roman" w:cs="Times New Roman"/>
        </w:rPr>
        <w:t xml:space="preserve">inhibitors </w:t>
      </w:r>
      <w:r w:rsidRPr="769E5782">
        <w:rPr>
          <w:rFonts w:ascii="Times New Roman" w:eastAsia="Times New Roman" w:hAnsi="Times New Roman" w:cs="Times New Roman"/>
        </w:rPr>
        <w:t>heart failure management in Asian populations.</w:t>
      </w:r>
    </w:p>
    <w:p w14:paraId="4ECE5D7B" w14:textId="3E8342B0"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1E6A58BE" w14:textId="07872C53" w:rsidR="00244BC9" w:rsidRDefault="605F5D12"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Safety Profiles and Adverse Event Patterns Among Asian Heart Failure Patients</w:t>
      </w:r>
    </w:p>
    <w:p w14:paraId="4757F586" w14:textId="7FCBBECB"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Safety evaluation of beta-blocker therapy among Asian populations demonstrates distinctive adverse event profiles that merit careful consideration. These patterns inform clinical decision-making processes and provide essential context for treatment optimization.</w:t>
      </w:r>
      <w:r w:rsidR="51BD2058" w:rsidRPr="769E5782">
        <w:rPr>
          <w:rFonts w:ascii="Times New Roman" w:eastAsia="Times New Roman" w:hAnsi="Times New Roman" w:cs="Times New Roman"/>
        </w:rPr>
        <w:t xml:space="preserve"> </w:t>
      </w:r>
      <w:r w:rsidRPr="769E5782">
        <w:rPr>
          <w:rFonts w:ascii="Times New Roman" w:eastAsia="Times New Roman" w:hAnsi="Times New Roman" w:cs="Times New Roman"/>
        </w:rPr>
        <w:t>Bradycardia and hypotension constitute the predominant adverse reactions associated with beta-blocker therapy, totaling 3,778 and 3,264 reported cases respectively across different agents</w:t>
      </w:r>
      <w:r w:rsidR="017C705E" w:rsidRPr="769E5782">
        <w:rPr>
          <w:rFonts w:ascii="Times New Roman" w:eastAsia="Times New Roman" w:hAnsi="Times New Roman" w:cs="Times New Roman"/>
        </w:rPr>
        <w:t xml:space="preserve"> [</w:t>
      </w:r>
      <w:hyperlink r:id="rId53">
        <w:r w:rsidRPr="769E5782">
          <w:rPr>
            <w:rStyle w:val="Hyperlink"/>
            <w:rFonts w:ascii="Times New Roman" w:eastAsia="Times New Roman" w:hAnsi="Times New Roman" w:cs="Times New Roman"/>
            <w:color w:val="auto"/>
            <w:u w:val="none"/>
          </w:rPr>
          <w:t>20</w:t>
        </w:r>
        <w:r w:rsidR="7563F25D"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The distribution of bradycardia incidence reveals marked variation by specific drug type. Metoprolol accounts for the highest proportion (29.9%) of bradycardia cases</w:t>
      </w:r>
      <w:r w:rsidR="3DEA6238" w:rsidRPr="769E5782">
        <w:rPr>
          <w:rFonts w:ascii="Times New Roman" w:eastAsia="Times New Roman" w:hAnsi="Times New Roman" w:cs="Times New Roman"/>
        </w:rPr>
        <w:t xml:space="preserve"> [</w:t>
      </w:r>
      <w:hyperlink r:id="rId54">
        <w:r w:rsidRPr="769E5782">
          <w:rPr>
            <w:rStyle w:val="Hyperlink"/>
            <w:rFonts w:ascii="Times New Roman" w:eastAsia="Times New Roman" w:hAnsi="Times New Roman" w:cs="Times New Roman"/>
            <w:color w:val="auto"/>
            <w:u w:val="none"/>
          </w:rPr>
          <w:t>20</w:t>
        </w:r>
        <w:r w:rsidR="2DE89963"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Bisoprolol emerges as the second most frequent contributor to bradycardia (23.9%), while carvedilol occupies second position for both hypotension and dizziness manifestations at 18.6% and 26.3% respectively</w:t>
      </w:r>
      <w:r w:rsidR="0908C02F" w:rsidRPr="769E5782">
        <w:rPr>
          <w:rFonts w:ascii="Times New Roman" w:eastAsia="Times New Roman" w:hAnsi="Times New Roman" w:cs="Times New Roman"/>
        </w:rPr>
        <w:t xml:space="preserve"> [</w:t>
      </w:r>
      <w:hyperlink r:id="rId55">
        <w:r w:rsidRPr="769E5782">
          <w:rPr>
            <w:rStyle w:val="Hyperlink"/>
            <w:rFonts w:ascii="Times New Roman" w:eastAsia="Times New Roman" w:hAnsi="Times New Roman" w:cs="Times New Roman"/>
            <w:color w:val="auto"/>
            <w:u w:val="none"/>
          </w:rPr>
          <w:t>20</w:t>
        </w:r>
        <w:r w:rsidR="7F1CEBF5"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7DD955FA" w:rsidRPr="769E5782">
        <w:rPr>
          <w:rFonts w:ascii="Times New Roman" w:eastAsia="Times New Roman" w:hAnsi="Times New Roman" w:cs="Times New Roman"/>
        </w:rPr>
        <w:t xml:space="preserve"> </w:t>
      </w:r>
      <w:r w:rsidRPr="769E5782">
        <w:rPr>
          <w:rFonts w:ascii="Times New Roman" w:eastAsia="Times New Roman" w:hAnsi="Times New Roman" w:cs="Times New Roman"/>
        </w:rPr>
        <w:t>Clinical experience demonstrates bradycardia incidence ranging from 0.4% to 12% among beta-blocker recipients, contrasted with 0-5% in placebo cohorts</w:t>
      </w:r>
      <w:r w:rsidR="20024B81" w:rsidRPr="769E5782">
        <w:rPr>
          <w:rFonts w:ascii="Times New Roman" w:eastAsia="Times New Roman" w:hAnsi="Times New Roman" w:cs="Times New Roman"/>
        </w:rPr>
        <w:t xml:space="preserve"> [</w:t>
      </w:r>
      <w:hyperlink r:id="rId56">
        <w:r w:rsidRPr="769E5782">
          <w:rPr>
            <w:rStyle w:val="Hyperlink"/>
            <w:rFonts w:ascii="Times New Roman" w:eastAsia="Times New Roman" w:hAnsi="Times New Roman" w:cs="Times New Roman"/>
            <w:color w:val="auto"/>
            <w:u w:val="none"/>
          </w:rPr>
          <w:t>21</w:t>
        </w:r>
        <w:r w:rsidR="65CC4E2B"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Notably, asymptomatic bradycardia during treatment typically does not warrant therapeutic discontinuation according to randomized controlled trial evidence</w:t>
      </w:r>
      <w:r w:rsidR="2D2B120D" w:rsidRPr="769E5782">
        <w:rPr>
          <w:rFonts w:ascii="Times New Roman" w:eastAsia="Times New Roman" w:hAnsi="Times New Roman" w:cs="Times New Roman"/>
        </w:rPr>
        <w:t xml:space="preserve"> [</w:t>
      </w:r>
      <w:hyperlink r:id="rId57">
        <w:r w:rsidRPr="769E5782">
          <w:rPr>
            <w:rStyle w:val="Hyperlink"/>
            <w:rFonts w:ascii="Times New Roman" w:eastAsia="Times New Roman" w:hAnsi="Times New Roman" w:cs="Times New Roman"/>
            <w:color w:val="auto"/>
            <w:u w:val="none"/>
          </w:rPr>
          <w:t>21</w:t>
        </w:r>
        <w:r w:rsidR="2F396D36"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This finding suggests that heart rate reduction alone should not prompt treatment cessation without accompanying symptomatic manifestations.</w:t>
      </w:r>
      <w:r w:rsidR="6AEC78E7" w:rsidRPr="769E5782">
        <w:rPr>
          <w:rFonts w:ascii="Times New Roman" w:eastAsia="Times New Roman" w:hAnsi="Times New Roman" w:cs="Times New Roman"/>
        </w:rPr>
        <w:t xml:space="preserve"> </w:t>
      </w:r>
      <w:r w:rsidRPr="769E5782">
        <w:rPr>
          <w:rFonts w:ascii="Times New Roman" w:eastAsia="Times New Roman" w:hAnsi="Times New Roman" w:cs="Times New Roman"/>
        </w:rPr>
        <w:t>Japanese clinical investigations reveal superior titration success rates for bisoprolol, with 90.3% of patients achieving maintenance dosing compared to 85.7% for carvedilol</w:t>
      </w:r>
      <w:r w:rsidR="08CBF14B" w:rsidRPr="769E5782">
        <w:rPr>
          <w:rFonts w:ascii="Times New Roman" w:eastAsia="Times New Roman" w:hAnsi="Times New Roman" w:cs="Times New Roman"/>
        </w:rPr>
        <w:t xml:space="preserve"> [</w:t>
      </w:r>
      <w:hyperlink r:id="rId58">
        <w:r w:rsidRPr="769E5782">
          <w:rPr>
            <w:rStyle w:val="Hyperlink"/>
            <w:rFonts w:ascii="Times New Roman" w:eastAsia="Times New Roman" w:hAnsi="Times New Roman" w:cs="Times New Roman"/>
            <w:color w:val="auto"/>
            <w:u w:val="none"/>
          </w:rPr>
          <w:t>22</w:t>
        </w:r>
        <w:r w:rsidR="1CBA088E"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More striking is the observation that Japanese patients exhibited substantially lower discontinuation and dose reduction rates relative to United States populations, with a relative rate of 0.406 (0.086 vs. 0.212, 95% CI: 0.181 to 0.911, p = 0.035)</w:t>
      </w:r>
      <w:r w:rsidR="7BE35994" w:rsidRPr="769E5782">
        <w:rPr>
          <w:rFonts w:ascii="Times New Roman" w:eastAsia="Times New Roman" w:hAnsi="Times New Roman" w:cs="Times New Roman"/>
        </w:rPr>
        <w:t xml:space="preserve"> [</w:t>
      </w:r>
      <w:hyperlink r:id="rId59">
        <w:r w:rsidRPr="769E5782">
          <w:rPr>
            <w:rStyle w:val="Hyperlink"/>
            <w:rFonts w:ascii="Times New Roman" w:eastAsia="Times New Roman" w:hAnsi="Times New Roman" w:cs="Times New Roman"/>
            <w:color w:val="auto"/>
            <w:u w:val="none"/>
          </w:rPr>
          <w:t>8</w:t>
        </w:r>
        <w:r w:rsidR="41BD97AB"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332D93DE" w:rsidRPr="769E5782">
        <w:rPr>
          <w:rFonts w:ascii="Times New Roman" w:eastAsia="Times New Roman" w:hAnsi="Times New Roman" w:cs="Times New Roman"/>
        </w:rPr>
        <w:t xml:space="preserve"> </w:t>
      </w:r>
      <w:r w:rsidRPr="769E5782">
        <w:rPr>
          <w:rFonts w:ascii="Times New Roman" w:eastAsia="Times New Roman" w:hAnsi="Times New Roman" w:cs="Times New Roman"/>
        </w:rPr>
        <w:t>Discontinuation patterns differ according to specific agent characteristics. Bisoprolol discontinuation occurred in 2.6% of cases, predominantly attributed to hypotensive episodes, while dose modifications were necessary in 18.4% of patients</w:t>
      </w:r>
      <w:r w:rsidR="2D68F44A" w:rsidRPr="769E5782">
        <w:rPr>
          <w:rFonts w:ascii="Times New Roman" w:eastAsia="Times New Roman" w:hAnsi="Times New Roman" w:cs="Times New Roman"/>
        </w:rPr>
        <w:t xml:space="preserve"> [</w:t>
      </w:r>
      <w:hyperlink r:id="rId60">
        <w:r w:rsidRPr="769E5782">
          <w:rPr>
            <w:rStyle w:val="Hyperlink"/>
            <w:rFonts w:ascii="Times New Roman" w:eastAsia="Times New Roman" w:hAnsi="Times New Roman" w:cs="Times New Roman"/>
            <w:color w:val="auto"/>
            <w:u w:val="none"/>
          </w:rPr>
          <w:t>8</w:t>
        </w:r>
        <w:r w:rsidR="14AE3C93"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Carvedilol presented a contrasting profile, requiring dose reductions in merely 2.2% of cases, primarily due to bradycardia and hypertensive heart disease complications</w:t>
      </w:r>
      <w:r w:rsidR="525FD965" w:rsidRPr="769E5782">
        <w:rPr>
          <w:rFonts w:ascii="Times New Roman" w:eastAsia="Times New Roman" w:hAnsi="Times New Roman" w:cs="Times New Roman"/>
        </w:rPr>
        <w:t xml:space="preserve"> [</w:t>
      </w:r>
      <w:hyperlink r:id="rId61">
        <w:r w:rsidRPr="769E5782">
          <w:rPr>
            <w:rStyle w:val="Hyperlink"/>
            <w:rFonts w:ascii="Times New Roman" w:eastAsia="Times New Roman" w:hAnsi="Times New Roman" w:cs="Times New Roman"/>
            <w:color w:val="auto"/>
            <w:u w:val="none"/>
          </w:rPr>
          <w:t>8</w:t>
        </w:r>
        <w:r w:rsidR="6597A1F8"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719041E0" w:rsidRPr="769E5782">
        <w:rPr>
          <w:rFonts w:ascii="Times New Roman" w:eastAsia="Times New Roman" w:hAnsi="Times New Roman" w:cs="Times New Roman"/>
        </w:rPr>
        <w:t xml:space="preserve"> </w:t>
      </w:r>
      <w:r w:rsidRPr="769E5782">
        <w:rPr>
          <w:rFonts w:ascii="Times New Roman" w:eastAsia="Times New Roman" w:hAnsi="Times New Roman" w:cs="Times New Roman"/>
        </w:rPr>
        <w:t xml:space="preserve">The absence of </w:t>
      </w:r>
      <w:r w:rsidR="5EE42C4A" w:rsidRPr="769E5782">
        <w:rPr>
          <w:rFonts w:ascii="Times New Roman" w:eastAsia="Times New Roman" w:hAnsi="Times New Roman" w:cs="Times New Roman"/>
        </w:rPr>
        <w:t xml:space="preserve">marked </w:t>
      </w:r>
      <w:r w:rsidRPr="769E5782">
        <w:rPr>
          <w:rFonts w:ascii="Times New Roman" w:eastAsia="Times New Roman" w:hAnsi="Times New Roman" w:cs="Times New Roman"/>
        </w:rPr>
        <w:t xml:space="preserve">differences in serious adverse events between beta-blocker types among Asian populations </w:t>
      </w:r>
      <w:r w:rsidRPr="769E5782">
        <w:rPr>
          <w:rFonts w:ascii="Times New Roman" w:eastAsia="Times New Roman" w:hAnsi="Times New Roman" w:cs="Times New Roman"/>
        </w:rPr>
        <w:lastRenderedPageBreak/>
        <w:t>represents a crucial clinical finding. Event-free survival rates for the composite outcome of cardiovascular death or heart failure hospitalizations reached 92.4% with bisoprolol and 94.7% with carvedilol—a statistically insignificant difference</w:t>
      </w:r>
      <w:r w:rsidR="3B8929F8" w:rsidRPr="769E5782">
        <w:rPr>
          <w:rFonts w:ascii="Times New Roman" w:eastAsia="Times New Roman" w:hAnsi="Times New Roman" w:cs="Times New Roman"/>
        </w:rPr>
        <w:t xml:space="preserve"> at the 0.05 confidence level </w:t>
      </w:r>
      <w:r w:rsidR="67A40EEE" w:rsidRPr="769E5782">
        <w:rPr>
          <w:rFonts w:ascii="Times New Roman" w:eastAsia="Times New Roman" w:hAnsi="Times New Roman" w:cs="Times New Roman"/>
        </w:rPr>
        <w:t>[</w:t>
      </w:r>
      <w:hyperlink r:id="rId62">
        <w:r w:rsidRPr="769E5782">
          <w:rPr>
            <w:rStyle w:val="Hyperlink"/>
            <w:rFonts w:ascii="Times New Roman" w:eastAsia="Times New Roman" w:hAnsi="Times New Roman" w:cs="Times New Roman"/>
            <w:color w:val="auto"/>
            <w:u w:val="none"/>
          </w:rPr>
          <w:t>22</w:t>
        </w:r>
        <w:r w:rsidR="68D05EF4"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6A222DCE" w:rsidRPr="769E5782">
        <w:rPr>
          <w:rFonts w:ascii="Times New Roman" w:eastAsia="Times New Roman" w:hAnsi="Times New Roman" w:cs="Times New Roman"/>
        </w:rPr>
        <w:t xml:space="preserve"> </w:t>
      </w:r>
      <w:r w:rsidRPr="769E5782">
        <w:rPr>
          <w:rFonts w:ascii="Times New Roman" w:eastAsia="Times New Roman" w:hAnsi="Times New Roman" w:cs="Times New Roman"/>
        </w:rPr>
        <w:t xml:space="preserve">Hospital-based adverse events, including </w:t>
      </w:r>
      <w:proofErr w:type="spellStart"/>
      <w:r w:rsidRPr="769E5782">
        <w:rPr>
          <w:rFonts w:ascii="Times New Roman" w:eastAsia="Times New Roman" w:hAnsi="Times New Roman" w:cs="Times New Roman"/>
        </w:rPr>
        <w:t>bradyarrhythmias</w:t>
      </w:r>
      <w:proofErr w:type="spellEnd"/>
      <w:r w:rsidRPr="769E5782">
        <w:rPr>
          <w:rFonts w:ascii="Times New Roman" w:eastAsia="Times New Roman" w:hAnsi="Times New Roman" w:cs="Times New Roman"/>
        </w:rPr>
        <w:t xml:space="preserve"> and hypotensive episodes, demonstrated no significant differences between early beta-blocker administration and control groups (RR: 0.75; 95% CI 0.52–1.09; p = 0.13)</w:t>
      </w:r>
      <w:r w:rsidR="231B0499" w:rsidRPr="769E5782">
        <w:rPr>
          <w:rFonts w:ascii="Times New Roman" w:eastAsia="Times New Roman" w:hAnsi="Times New Roman" w:cs="Times New Roman"/>
        </w:rPr>
        <w:t xml:space="preserve"> [</w:t>
      </w:r>
      <w:hyperlink r:id="rId63">
        <w:r w:rsidRPr="769E5782">
          <w:rPr>
            <w:rStyle w:val="Hyperlink"/>
            <w:rFonts w:ascii="Times New Roman" w:eastAsia="Times New Roman" w:hAnsi="Times New Roman" w:cs="Times New Roman"/>
            <w:color w:val="auto"/>
            <w:u w:val="none"/>
          </w:rPr>
          <w:t>12</w:t>
        </w:r>
        <w:r w:rsidR="1FB2F295"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Treatment discontinuation rates remained comparable with concurrent dapagliflozin therapy regardless of beta-blocker utilization</w:t>
      </w:r>
      <w:r w:rsidR="158A9B4D" w:rsidRPr="769E5782">
        <w:rPr>
          <w:rFonts w:ascii="Times New Roman" w:eastAsia="Times New Roman" w:hAnsi="Times New Roman" w:cs="Times New Roman"/>
        </w:rPr>
        <w:t xml:space="preserve"> [</w:t>
      </w:r>
      <w:hyperlink r:id="rId64">
        <w:r w:rsidRPr="769E5782">
          <w:rPr>
            <w:rStyle w:val="Hyperlink"/>
            <w:rFonts w:ascii="Times New Roman" w:eastAsia="Times New Roman" w:hAnsi="Times New Roman" w:cs="Times New Roman"/>
            <w:color w:val="auto"/>
            <w:u w:val="none"/>
          </w:rPr>
          <w:t>1</w:t>
        </w:r>
        <w:r w:rsidR="0EA6372E"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69AFBC86" w14:textId="10FD0FAD"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71265AA4" w14:textId="7FE7F178" w:rsidR="00244BC9" w:rsidRDefault="605F5D12"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Guideline Discordance and the Pursuit of Individualized Therapy</w:t>
      </w:r>
    </w:p>
    <w:p w14:paraId="7248856D" w14:textId="0892DE0D"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Contemporary guideline recommendations for beta-blocker therapy demonstrate profound inconsistencies across major cardiology organizations, a situation that demands judicious clinical interpretation rather than blind adherence.</w:t>
      </w:r>
      <w:r w:rsidR="7C699DD9" w:rsidRPr="769E5782">
        <w:rPr>
          <w:rFonts w:ascii="Times New Roman" w:eastAsia="Times New Roman" w:hAnsi="Times New Roman" w:cs="Times New Roman"/>
        </w:rPr>
        <w:t xml:space="preserve"> </w:t>
      </w:r>
      <w:r w:rsidRPr="769E5782">
        <w:rPr>
          <w:rFonts w:ascii="Times New Roman" w:eastAsia="Times New Roman" w:hAnsi="Times New Roman" w:cs="Times New Roman"/>
        </w:rPr>
        <w:t xml:space="preserve">The European Society of Cardiology (ESC) and American Heart Association/American College of Cardiology/Heart Failure Society of America (AHA/ACC/HFSA) present starkly divergent approaches to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management. The AHA/ACC/HFSA guidelines explicitly discourage beta-blocker utilization for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treatment</w:t>
      </w:r>
      <w:r w:rsidR="3A5B6958" w:rsidRPr="769E5782">
        <w:rPr>
          <w:rFonts w:ascii="Times New Roman" w:eastAsia="Times New Roman" w:hAnsi="Times New Roman" w:cs="Times New Roman"/>
        </w:rPr>
        <w:t xml:space="preserve"> [</w:t>
      </w:r>
      <w:hyperlink r:id="rId65">
        <w:r w:rsidRPr="769E5782">
          <w:rPr>
            <w:rStyle w:val="Hyperlink"/>
            <w:rFonts w:ascii="Times New Roman" w:eastAsia="Times New Roman" w:hAnsi="Times New Roman" w:cs="Times New Roman"/>
            <w:color w:val="auto"/>
            <w:u w:val="none"/>
          </w:rPr>
          <w:t>1</w:t>
        </w:r>
        <w:r w:rsidR="57D6FC1C"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yet paradoxically endorse these agents for </w:t>
      </w:r>
      <w:proofErr w:type="spellStart"/>
      <w:r w:rsidRPr="769E5782">
        <w:rPr>
          <w:rFonts w:ascii="Times New Roman" w:eastAsia="Times New Roman" w:hAnsi="Times New Roman" w:cs="Times New Roman"/>
        </w:rPr>
        <w:t>HFmrEF</w:t>
      </w:r>
      <w:proofErr w:type="spellEnd"/>
      <w:r w:rsidRPr="769E5782">
        <w:rPr>
          <w:rFonts w:ascii="Times New Roman" w:eastAsia="Times New Roman" w:hAnsi="Times New Roman" w:cs="Times New Roman"/>
        </w:rPr>
        <w:t xml:space="preserve"> patients based upon meta-analytical evidence demonstrating reduced cardiovascular mortality</w:t>
      </w:r>
      <w:r w:rsidR="062F3A95" w:rsidRPr="769E5782">
        <w:rPr>
          <w:rFonts w:ascii="Times New Roman" w:eastAsia="Times New Roman" w:hAnsi="Times New Roman" w:cs="Times New Roman"/>
        </w:rPr>
        <w:t xml:space="preserve"> [</w:t>
      </w:r>
      <w:hyperlink r:id="rId66">
        <w:r w:rsidRPr="769E5782">
          <w:rPr>
            <w:rStyle w:val="Hyperlink"/>
            <w:rFonts w:ascii="Times New Roman" w:eastAsia="Times New Roman" w:hAnsi="Times New Roman" w:cs="Times New Roman"/>
            <w:color w:val="auto"/>
            <w:u w:val="none"/>
          </w:rPr>
          <w:t>23</w:t>
        </w:r>
        <w:r w:rsidR="5F4AECB2"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 xml:space="preserve">. The ESC guidelines, perhaps more honestly, offer no definitive recommendations regarding beta-blocker therapy for </w:t>
      </w:r>
      <w:proofErr w:type="spellStart"/>
      <w:r w:rsidRPr="769E5782">
        <w:rPr>
          <w:rFonts w:ascii="Times New Roman" w:eastAsia="Times New Roman" w:hAnsi="Times New Roman" w:cs="Times New Roman"/>
        </w:rPr>
        <w:t>HFpEF</w:t>
      </w:r>
      <w:proofErr w:type="spellEnd"/>
      <w:r w:rsidR="036CECFD" w:rsidRPr="769E5782">
        <w:rPr>
          <w:rFonts w:ascii="Times New Roman" w:eastAsia="Times New Roman" w:hAnsi="Times New Roman" w:cs="Times New Roman"/>
        </w:rPr>
        <w:t xml:space="preserve"> [</w:t>
      </w:r>
      <w:hyperlink r:id="rId67">
        <w:r w:rsidRPr="769E5782">
          <w:rPr>
            <w:rStyle w:val="Hyperlink"/>
            <w:rFonts w:ascii="Times New Roman" w:eastAsia="Times New Roman" w:hAnsi="Times New Roman" w:cs="Times New Roman"/>
            <w:color w:val="auto"/>
            <w:u w:val="none"/>
          </w:rPr>
          <w:t>24</w:t>
        </w:r>
        <w:r w:rsidR="6BA763AC"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r w:rsidR="51B9BFD0" w:rsidRPr="769E5782">
        <w:rPr>
          <w:rFonts w:ascii="Times New Roman" w:eastAsia="Times New Roman" w:hAnsi="Times New Roman" w:cs="Times New Roman"/>
        </w:rPr>
        <w:t xml:space="preserve"> </w:t>
      </w:r>
      <w:r w:rsidR="19ECA04F" w:rsidRPr="769E5782">
        <w:rPr>
          <w:rFonts w:ascii="Times New Roman" w:eastAsia="Times New Roman" w:hAnsi="Times New Roman" w:cs="Times New Roman"/>
        </w:rPr>
        <w:t xml:space="preserve">This regulatory </w:t>
      </w:r>
      <w:r w:rsidRPr="769E5782">
        <w:rPr>
          <w:rFonts w:ascii="Times New Roman" w:eastAsia="Times New Roman" w:hAnsi="Times New Roman" w:cs="Times New Roman"/>
        </w:rPr>
        <w:t xml:space="preserve">ambiguity </w:t>
      </w:r>
      <w:r w:rsidR="6C72C8C7" w:rsidRPr="769E5782">
        <w:rPr>
          <w:rFonts w:ascii="Times New Roman" w:eastAsia="Times New Roman" w:hAnsi="Times New Roman" w:cs="Times New Roman"/>
        </w:rPr>
        <w:t xml:space="preserve">is </w:t>
      </w:r>
      <w:r w:rsidRPr="769E5782">
        <w:rPr>
          <w:rFonts w:ascii="Times New Roman" w:eastAsia="Times New Roman" w:hAnsi="Times New Roman" w:cs="Times New Roman"/>
        </w:rPr>
        <w:t xml:space="preserve">troublesome given the body of evidence supporting beta-blocker efficacy across the heart failure spectrum. The reluctance to provide clear guidance likely stems from the heterogeneous nature of </w:t>
      </w:r>
      <w:proofErr w:type="spellStart"/>
      <w:r w:rsidRPr="769E5782">
        <w:rPr>
          <w:rFonts w:ascii="Times New Roman" w:eastAsia="Times New Roman" w:hAnsi="Times New Roman" w:cs="Times New Roman"/>
        </w:rPr>
        <w:t>HFpEF</w:t>
      </w:r>
      <w:proofErr w:type="spellEnd"/>
      <w:r w:rsidRPr="769E5782">
        <w:rPr>
          <w:rFonts w:ascii="Times New Roman" w:eastAsia="Times New Roman" w:hAnsi="Times New Roman" w:cs="Times New Roman"/>
        </w:rPr>
        <w:t xml:space="preserve"> itself—a syndrome encompassing diverse pathophysiological mechanisms that resist uniform therapeutic approaches.</w:t>
      </w:r>
    </w:p>
    <w:p w14:paraId="25D22953" w14:textId="1234116F"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17BEA810" w14:textId="27DB3267" w:rsidR="00244BC9" w:rsidRDefault="605F5D12" w:rsidP="00F83447">
      <w:pPr>
        <w:pStyle w:val="Heading3"/>
        <w:shd w:val="clear" w:color="auto" w:fill="FFFFFF" w:themeFill="background1"/>
        <w:spacing w:before="0" w:after="0" w:line="240" w:lineRule="auto"/>
        <w:jc w:val="both"/>
        <w:rPr>
          <w:rFonts w:ascii="Times New Roman" w:eastAsia="Times New Roman" w:hAnsi="Times New Roman" w:cs="Times New Roman"/>
          <w:color w:val="auto"/>
          <w:sz w:val="24"/>
          <w:szCs w:val="24"/>
        </w:rPr>
      </w:pPr>
      <w:proofErr w:type="spellStart"/>
      <w:r w:rsidRPr="769E5782">
        <w:rPr>
          <w:rFonts w:ascii="Times New Roman" w:eastAsia="Times New Roman" w:hAnsi="Times New Roman" w:cs="Times New Roman"/>
          <w:color w:val="auto"/>
          <w:sz w:val="24"/>
          <w:szCs w:val="24"/>
        </w:rPr>
        <w:t>Cardioselective</w:t>
      </w:r>
      <w:proofErr w:type="spellEnd"/>
      <w:r w:rsidRPr="769E5782">
        <w:rPr>
          <w:rFonts w:ascii="Times New Roman" w:eastAsia="Times New Roman" w:hAnsi="Times New Roman" w:cs="Times New Roman"/>
          <w:color w:val="auto"/>
          <w:sz w:val="24"/>
          <w:szCs w:val="24"/>
        </w:rPr>
        <w:t xml:space="preserve"> beta-blockers demonstrate markedly superior clinical outcomes compared to non-selective agents in Asian populations. Rigorous investigations reveal that </w:t>
      </w:r>
      <w:proofErr w:type="spellStart"/>
      <w:r w:rsidRPr="769E5782">
        <w:rPr>
          <w:rFonts w:ascii="Times New Roman" w:eastAsia="Times New Roman" w:hAnsi="Times New Roman" w:cs="Times New Roman"/>
          <w:color w:val="auto"/>
          <w:sz w:val="24"/>
          <w:szCs w:val="24"/>
        </w:rPr>
        <w:t>cardioselective</w:t>
      </w:r>
      <w:proofErr w:type="spellEnd"/>
      <w:r w:rsidRPr="769E5782">
        <w:rPr>
          <w:rFonts w:ascii="Times New Roman" w:eastAsia="Times New Roman" w:hAnsi="Times New Roman" w:cs="Times New Roman"/>
          <w:color w:val="auto"/>
          <w:sz w:val="24"/>
          <w:szCs w:val="24"/>
        </w:rPr>
        <w:t xml:space="preserve"> formulations associate with reduced all-cause mortality (HR: 0.93; 95% CI: 0.89-0.96), major adverse cardiovascular events (HR: 0.96; 95% CI: 0.93-0.998), heart failure hospitalizations (HR: 0.84; 95% CI: 0.78-0.91), and pulmonary complications (HR: 0.94; 95% CI: 0.90-0.98)</w:t>
      </w:r>
      <w:r w:rsidR="7C70DBDA" w:rsidRPr="769E5782">
        <w:rPr>
          <w:rFonts w:ascii="Times New Roman" w:eastAsia="Times New Roman" w:hAnsi="Times New Roman" w:cs="Times New Roman"/>
          <w:color w:val="auto"/>
          <w:sz w:val="24"/>
          <w:szCs w:val="24"/>
        </w:rPr>
        <w:t xml:space="preserve"> [</w:t>
      </w:r>
      <w:hyperlink r:id="rId68">
        <w:r w:rsidRPr="769E5782">
          <w:rPr>
            <w:rStyle w:val="Hyperlink"/>
            <w:rFonts w:ascii="Times New Roman" w:eastAsia="Times New Roman" w:hAnsi="Times New Roman" w:cs="Times New Roman"/>
            <w:color w:val="auto"/>
            <w:sz w:val="24"/>
            <w:szCs w:val="24"/>
            <w:u w:val="none"/>
          </w:rPr>
          <w:t>25</w:t>
        </w:r>
        <w:r w:rsidR="34EC204E" w:rsidRPr="769E5782">
          <w:rPr>
            <w:rStyle w:val="Hyperlink"/>
            <w:rFonts w:ascii="Times New Roman" w:eastAsia="Times New Roman" w:hAnsi="Times New Roman" w:cs="Times New Roman"/>
            <w:color w:val="auto"/>
            <w:sz w:val="24"/>
            <w:szCs w:val="24"/>
            <w:u w:val="none"/>
          </w:rPr>
          <w:t>]</w:t>
        </w:r>
      </w:hyperlink>
      <w:r w:rsidRPr="769E5782">
        <w:rPr>
          <w:rFonts w:ascii="Times New Roman" w:eastAsia="Times New Roman" w:hAnsi="Times New Roman" w:cs="Times New Roman"/>
          <w:color w:val="auto"/>
          <w:sz w:val="24"/>
          <w:szCs w:val="24"/>
        </w:rPr>
        <w:t>. This therapeutic advantage derives from beta-1 selectivity, which circumvents bronchospasm risk among patients with concurrent respiratory conditions</w:t>
      </w:r>
      <w:r w:rsidR="11CAE4D5" w:rsidRPr="769E5782">
        <w:rPr>
          <w:rFonts w:ascii="Times New Roman" w:eastAsia="Times New Roman" w:hAnsi="Times New Roman" w:cs="Times New Roman"/>
          <w:color w:val="auto"/>
          <w:sz w:val="24"/>
          <w:szCs w:val="24"/>
        </w:rPr>
        <w:t xml:space="preserve"> [</w:t>
      </w:r>
      <w:hyperlink r:id="rId69">
        <w:r w:rsidRPr="769E5782">
          <w:rPr>
            <w:rStyle w:val="Hyperlink"/>
            <w:rFonts w:ascii="Times New Roman" w:eastAsia="Times New Roman" w:hAnsi="Times New Roman" w:cs="Times New Roman"/>
            <w:color w:val="auto"/>
            <w:sz w:val="24"/>
            <w:szCs w:val="24"/>
            <w:u w:val="none"/>
          </w:rPr>
          <w:t>26</w:t>
        </w:r>
        <w:r w:rsidR="15BCD6FD" w:rsidRPr="769E5782">
          <w:rPr>
            <w:rStyle w:val="Hyperlink"/>
            <w:rFonts w:ascii="Times New Roman" w:eastAsia="Times New Roman" w:hAnsi="Times New Roman" w:cs="Times New Roman"/>
            <w:color w:val="auto"/>
            <w:sz w:val="24"/>
            <w:szCs w:val="24"/>
            <w:u w:val="none"/>
          </w:rPr>
          <w:t>]</w:t>
        </w:r>
      </w:hyperlink>
      <w:r w:rsidRPr="769E5782">
        <w:rPr>
          <w:rFonts w:ascii="Times New Roman" w:eastAsia="Times New Roman" w:hAnsi="Times New Roman" w:cs="Times New Roman"/>
          <w:color w:val="auto"/>
          <w:sz w:val="24"/>
          <w:szCs w:val="24"/>
        </w:rPr>
        <w:t>.</w:t>
      </w:r>
      <w:r w:rsidR="0A0CFB94" w:rsidRPr="769E5782">
        <w:rPr>
          <w:rFonts w:ascii="Times New Roman" w:eastAsia="Times New Roman" w:hAnsi="Times New Roman" w:cs="Times New Roman"/>
          <w:color w:val="auto"/>
          <w:sz w:val="24"/>
          <w:szCs w:val="24"/>
        </w:rPr>
        <w:t xml:space="preserve"> </w:t>
      </w:r>
      <w:r w:rsidRPr="769E5782">
        <w:rPr>
          <w:rFonts w:ascii="Times New Roman" w:eastAsia="Times New Roman" w:hAnsi="Times New Roman" w:cs="Times New Roman"/>
          <w:color w:val="auto"/>
          <w:sz w:val="24"/>
          <w:szCs w:val="24"/>
        </w:rPr>
        <w:t>Treatment individualization based upon patient-specific comorbidity profiles yields optimal clinical outcomes</w:t>
      </w:r>
      <w:r w:rsidR="35063033" w:rsidRPr="769E5782">
        <w:rPr>
          <w:rFonts w:ascii="Times New Roman" w:eastAsia="Times New Roman" w:hAnsi="Times New Roman" w:cs="Times New Roman"/>
          <w:color w:val="auto"/>
          <w:sz w:val="24"/>
          <w:szCs w:val="24"/>
        </w:rPr>
        <w:t xml:space="preserve"> [</w:t>
      </w:r>
      <w:hyperlink r:id="rId70">
        <w:r w:rsidRPr="769E5782">
          <w:rPr>
            <w:rStyle w:val="Hyperlink"/>
            <w:rFonts w:ascii="Times New Roman" w:eastAsia="Times New Roman" w:hAnsi="Times New Roman" w:cs="Times New Roman"/>
            <w:color w:val="auto"/>
            <w:sz w:val="24"/>
            <w:szCs w:val="24"/>
            <w:u w:val="none"/>
          </w:rPr>
          <w:t>27</w:t>
        </w:r>
        <w:r w:rsidR="5AA5D049" w:rsidRPr="769E5782">
          <w:rPr>
            <w:rStyle w:val="Hyperlink"/>
            <w:rFonts w:ascii="Times New Roman" w:eastAsia="Times New Roman" w:hAnsi="Times New Roman" w:cs="Times New Roman"/>
            <w:color w:val="auto"/>
            <w:sz w:val="24"/>
            <w:szCs w:val="24"/>
            <w:u w:val="none"/>
          </w:rPr>
          <w:t>]</w:t>
        </w:r>
      </w:hyperlink>
      <w:r w:rsidRPr="769E5782">
        <w:rPr>
          <w:rFonts w:ascii="Times New Roman" w:eastAsia="Times New Roman" w:hAnsi="Times New Roman" w:cs="Times New Roman"/>
          <w:color w:val="auto"/>
          <w:sz w:val="24"/>
          <w:szCs w:val="24"/>
        </w:rPr>
        <w:t>. Several key considerations merit emphasis:</w:t>
      </w:r>
    </w:p>
    <w:p w14:paraId="7FB0C6FB" w14:textId="36A01437" w:rsidR="00244BC9" w:rsidRDefault="00244BC9" w:rsidP="00F83447">
      <w:pPr>
        <w:shd w:val="clear" w:color="auto" w:fill="FFFFFF" w:themeFill="background1"/>
        <w:spacing w:after="0" w:line="240" w:lineRule="auto"/>
        <w:jc w:val="both"/>
        <w:rPr>
          <w:rFonts w:ascii="Times New Roman" w:eastAsia="Times New Roman" w:hAnsi="Times New Roman" w:cs="Times New Roman"/>
          <w:b/>
          <w:bCs/>
        </w:rPr>
      </w:pPr>
    </w:p>
    <w:p w14:paraId="689A4C57" w14:textId="07BB9BAD" w:rsidR="00244BC9" w:rsidRDefault="605F5D12" w:rsidP="00F83447">
      <w:pPr>
        <w:pStyle w:val="ListParagraph"/>
        <w:numPr>
          <w:ilvl w:val="0"/>
          <w:numId w:val="2"/>
        </w:num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Chronic Obstructive Pulmonary Disease: Beta-1 selective agents (bisoprolol, metoprolol, nebivolol) prevent exacerbation of respiratory symptoms while preserving cardiovascular benefits</w:t>
      </w:r>
      <w:r w:rsidR="573C64A0" w:rsidRPr="769E5782">
        <w:rPr>
          <w:rFonts w:ascii="Times New Roman" w:eastAsia="Times New Roman" w:hAnsi="Times New Roman" w:cs="Times New Roman"/>
        </w:rPr>
        <w:t xml:space="preserve"> [</w:t>
      </w:r>
      <w:hyperlink r:id="rId71">
        <w:r w:rsidRPr="769E5782">
          <w:rPr>
            <w:rStyle w:val="Hyperlink"/>
            <w:rFonts w:ascii="Times New Roman" w:eastAsia="Times New Roman" w:hAnsi="Times New Roman" w:cs="Times New Roman"/>
            <w:color w:val="auto"/>
            <w:u w:val="none"/>
          </w:rPr>
          <w:t>28</w:t>
        </w:r>
        <w:r w:rsidR="48BCFE49"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4B0DA91B" w14:textId="35E8CA20" w:rsidR="00244BC9" w:rsidRDefault="00244BC9" w:rsidP="00F83447">
      <w:pPr>
        <w:shd w:val="clear" w:color="auto" w:fill="FFFFFF" w:themeFill="background1"/>
        <w:spacing w:after="0" w:line="240" w:lineRule="auto"/>
        <w:jc w:val="both"/>
        <w:rPr>
          <w:rFonts w:ascii="Times New Roman" w:eastAsia="Times New Roman" w:hAnsi="Times New Roman" w:cs="Times New Roman"/>
          <w:b/>
          <w:bCs/>
        </w:rPr>
      </w:pPr>
    </w:p>
    <w:p w14:paraId="3A31010F" w14:textId="48E7B2FC" w:rsidR="00244BC9" w:rsidRDefault="605F5D12" w:rsidP="00F83447">
      <w:pPr>
        <w:pStyle w:val="ListParagraph"/>
        <w:numPr>
          <w:ilvl w:val="0"/>
          <w:numId w:val="2"/>
        </w:num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Diabetes Mellitus: Carvedilol and bisoprolol warrant preference given their neutral effects upon glycemic control profiles</w:t>
      </w:r>
      <w:r w:rsidR="3BB14FF5" w:rsidRPr="769E5782">
        <w:rPr>
          <w:rFonts w:ascii="Times New Roman" w:eastAsia="Times New Roman" w:hAnsi="Times New Roman" w:cs="Times New Roman"/>
        </w:rPr>
        <w:t xml:space="preserve"> [</w:t>
      </w:r>
      <w:hyperlink r:id="rId72">
        <w:r w:rsidRPr="769E5782">
          <w:rPr>
            <w:rStyle w:val="Hyperlink"/>
            <w:rFonts w:ascii="Times New Roman" w:eastAsia="Times New Roman" w:hAnsi="Times New Roman" w:cs="Times New Roman"/>
            <w:color w:val="auto"/>
            <w:u w:val="none"/>
          </w:rPr>
          <w:t>28</w:t>
        </w:r>
        <w:r w:rsidR="4B3E1029"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253B26BB" w14:textId="281DBDAB" w:rsidR="00244BC9" w:rsidRDefault="00244BC9" w:rsidP="00F83447">
      <w:pPr>
        <w:shd w:val="clear" w:color="auto" w:fill="FFFFFF" w:themeFill="background1"/>
        <w:spacing w:after="0" w:line="240" w:lineRule="auto"/>
        <w:jc w:val="both"/>
        <w:rPr>
          <w:rFonts w:ascii="Times New Roman" w:eastAsia="Times New Roman" w:hAnsi="Times New Roman" w:cs="Times New Roman"/>
          <w:b/>
          <w:bCs/>
        </w:rPr>
      </w:pPr>
    </w:p>
    <w:p w14:paraId="0772A473" w14:textId="572D2CF8" w:rsidR="00244BC9" w:rsidRDefault="605F5D12" w:rsidP="00F83447">
      <w:pPr>
        <w:pStyle w:val="ListParagraph"/>
        <w:numPr>
          <w:ilvl w:val="0"/>
          <w:numId w:val="2"/>
        </w:num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Atrial Fibrillation: Despite conflicting evidence from randomized trials, real-world observational data suggests prognostic advantages independent of rhythm status</w:t>
      </w:r>
      <w:r w:rsidR="29B38707" w:rsidRPr="769E5782">
        <w:rPr>
          <w:rFonts w:ascii="Times New Roman" w:eastAsia="Times New Roman" w:hAnsi="Times New Roman" w:cs="Times New Roman"/>
        </w:rPr>
        <w:t xml:space="preserve"> [</w:t>
      </w:r>
      <w:hyperlink r:id="rId73">
        <w:r w:rsidRPr="769E5782">
          <w:rPr>
            <w:rStyle w:val="Hyperlink"/>
            <w:rFonts w:ascii="Times New Roman" w:eastAsia="Times New Roman" w:hAnsi="Times New Roman" w:cs="Times New Roman"/>
            <w:color w:val="auto"/>
            <w:u w:val="none"/>
          </w:rPr>
          <w:t>28</w:t>
        </w:r>
        <w:r w:rsidR="72E1DB8D" w:rsidRPr="769E5782">
          <w:rPr>
            <w:rStyle w:val="Hyperlink"/>
            <w:rFonts w:ascii="Times New Roman" w:eastAsia="Times New Roman" w:hAnsi="Times New Roman" w:cs="Times New Roman"/>
            <w:color w:val="auto"/>
            <w:u w:val="none"/>
          </w:rPr>
          <w:t>]</w:t>
        </w:r>
      </w:hyperlink>
      <w:r w:rsidRPr="769E5782">
        <w:rPr>
          <w:rFonts w:ascii="Times New Roman" w:eastAsia="Times New Roman" w:hAnsi="Times New Roman" w:cs="Times New Roman"/>
        </w:rPr>
        <w:t>.</w:t>
      </w:r>
    </w:p>
    <w:p w14:paraId="3AA175D2" w14:textId="5415459C" w:rsidR="00244BC9" w:rsidRDefault="00244BC9" w:rsidP="00F83447">
      <w:pPr>
        <w:shd w:val="clear" w:color="auto" w:fill="FFFFFF" w:themeFill="background1"/>
        <w:spacing w:after="0" w:line="240" w:lineRule="auto"/>
        <w:jc w:val="both"/>
        <w:rPr>
          <w:rFonts w:ascii="Times New Roman" w:eastAsia="Times New Roman" w:hAnsi="Times New Roman" w:cs="Times New Roman"/>
        </w:rPr>
      </w:pPr>
    </w:p>
    <w:p w14:paraId="329B646D" w14:textId="6211D753" w:rsidR="00244BC9"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The complexity of these considerations underscores why algorithmic approaches to beta-blocker selection often prove inadequate. Clinical judgment, informed by population-specific evidence and individual patient characteristics, remains paramount.</w:t>
      </w:r>
    </w:p>
    <w:p w14:paraId="76AF340F" w14:textId="2977D78C" w:rsidR="00244BC9" w:rsidRDefault="00244BC9"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p>
    <w:p w14:paraId="473637DC" w14:textId="616A9261" w:rsidR="00244BC9" w:rsidRDefault="605F5D12" w:rsidP="00F83447">
      <w:pPr>
        <w:pStyle w:val="Heading2"/>
        <w:shd w:val="clear" w:color="auto" w:fill="FFFFFF" w:themeFill="background1"/>
        <w:spacing w:before="0" w:after="0" w:line="240" w:lineRule="auto"/>
        <w:jc w:val="both"/>
        <w:rPr>
          <w:rFonts w:ascii="Times New Roman" w:eastAsia="Times New Roman" w:hAnsi="Times New Roman" w:cs="Times New Roman"/>
          <w:b/>
          <w:bCs/>
          <w:color w:val="auto"/>
          <w:sz w:val="24"/>
          <w:szCs w:val="24"/>
        </w:rPr>
      </w:pPr>
      <w:r w:rsidRPr="769E5782">
        <w:rPr>
          <w:rFonts w:ascii="Times New Roman" w:eastAsia="Times New Roman" w:hAnsi="Times New Roman" w:cs="Times New Roman"/>
          <w:b/>
          <w:bCs/>
          <w:color w:val="auto"/>
          <w:sz w:val="24"/>
          <w:szCs w:val="24"/>
        </w:rPr>
        <w:t>References</w:t>
      </w:r>
    </w:p>
    <w:p w14:paraId="3A88C9C3" w14:textId="707BC94F" w:rsidR="0028793A" w:rsidRDefault="605F5D12" w:rsidP="00F83447">
      <w:pPr>
        <w:shd w:val="clear" w:color="auto" w:fill="FFFFFF" w:themeFill="background1"/>
        <w:spacing w:after="0" w:line="240" w:lineRule="auto"/>
        <w:jc w:val="both"/>
        <w:rPr>
          <w:rFonts w:ascii="Times New Roman" w:eastAsia="Times New Roman" w:hAnsi="Times New Roman" w:cs="Times New Roman"/>
        </w:rPr>
      </w:pPr>
      <w:r w:rsidRPr="769E5782">
        <w:rPr>
          <w:rFonts w:ascii="Times New Roman" w:eastAsia="Times New Roman" w:hAnsi="Times New Roman" w:cs="Times New Roman"/>
        </w:rPr>
        <w:t xml:space="preserve">[1] - </w:t>
      </w:r>
      <w:hyperlink r:id="rId74">
        <w:r w:rsidRPr="769E5782">
          <w:rPr>
            <w:rStyle w:val="Hyperlink"/>
            <w:rFonts w:ascii="Times New Roman" w:eastAsia="Times New Roman" w:hAnsi="Times New Roman" w:cs="Times New Roman"/>
            <w:color w:val="auto"/>
            <w:u w:val="none"/>
          </w:rPr>
          <w:t>https://www.jacc.org/doi/10.1016/j.jchf.2023.09.007</w:t>
        </w:r>
        <w:r w:rsidR="0028793A">
          <w:br/>
        </w:r>
      </w:hyperlink>
      <w:r w:rsidRPr="769E5782">
        <w:rPr>
          <w:rFonts w:ascii="Times New Roman" w:eastAsia="Times New Roman" w:hAnsi="Times New Roman" w:cs="Times New Roman"/>
        </w:rPr>
        <w:t xml:space="preserve">[2] - </w:t>
      </w:r>
      <w:hyperlink r:id="rId75">
        <w:r w:rsidRPr="769E5782">
          <w:rPr>
            <w:rStyle w:val="Hyperlink"/>
            <w:rFonts w:ascii="Times New Roman" w:eastAsia="Times New Roman" w:hAnsi="Times New Roman" w:cs="Times New Roman"/>
            <w:color w:val="auto"/>
            <w:u w:val="none"/>
          </w:rPr>
          <w:t>https://pmc.ncbi.nlm.nih.gov/articles/PMC11604132/</w:t>
        </w:r>
        <w:r w:rsidR="0028793A">
          <w:br/>
        </w:r>
      </w:hyperlink>
      <w:r w:rsidRPr="769E5782">
        <w:rPr>
          <w:rFonts w:ascii="Times New Roman" w:eastAsia="Times New Roman" w:hAnsi="Times New Roman" w:cs="Times New Roman"/>
        </w:rPr>
        <w:t xml:space="preserve">[3] - </w:t>
      </w:r>
      <w:hyperlink r:id="rId76">
        <w:r w:rsidRPr="769E5782">
          <w:rPr>
            <w:rStyle w:val="Hyperlink"/>
            <w:rFonts w:ascii="Times New Roman" w:eastAsia="Times New Roman" w:hAnsi="Times New Roman" w:cs="Times New Roman"/>
            <w:color w:val="auto"/>
            <w:u w:val="none"/>
          </w:rPr>
          <w:t>https://www.sciencedirect.com/science/article/pii/S2213177923006157</w:t>
        </w:r>
        <w:r w:rsidR="0028793A">
          <w:br/>
        </w:r>
      </w:hyperlink>
      <w:r w:rsidRPr="769E5782">
        <w:rPr>
          <w:rFonts w:ascii="Times New Roman" w:eastAsia="Times New Roman" w:hAnsi="Times New Roman" w:cs="Times New Roman"/>
        </w:rPr>
        <w:t xml:space="preserve">[4] - </w:t>
      </w:r>
      <w:hyperlink r:id="rId77">
        <w:r w:rsidRPr="769E5782">
          <w:rPr>
            <w:rStyle w:val="Hyperlink"/>
            <w:rFonts w:ascii="Times New Roman" w:eastAsia="Times New Roman" w:hAnsi="Times New Roman" w:cs="Times New Roman"/>
            <w:color w:val="auto"/>
            <w:u w:val="none"/>
          </w:rPr>
          <w:t>https://www.thelancet.com/journals/langlo/article/PIIS2214-109X(18)30306-1/fulltext</w:t>
        </w:r>
        <w:r w:rsidR="0028793A">
          <w:br/>
        </w:r>
      </w:hyperlink>
      <w:r w:rsidRPr="769E5782">
        <w:rPr>
          <w:rFonts w:ascii="Times New Roman" w:eastAsia="Times New Roman" w:hAnsi="Times New Roman" w:cs="Times New Roman"/>
        </w:rPr>
        <w:t xml:space="preserve">[5] - </w:t>
      </w:r>
      <w:hyperlink r:id="rId78">
        <w:r w:rsidRPr="769E5782">
          <w:rPr>
            <w:rStyle w:val="Hyperlink"/>
            <w:rFonts w:ascii="Times New Roman" w:eastAsia="Times New Roman" w:hAnsi="Times New Roman" w:cs="Times New Roman"/>
            <w:color w:val="auto"/>
            <w:u w:val="none"/>
          </w:rPr>
          <w:t>https://pmc.ncbi.nlm.nih.gov/articles/PMC11153617/</w:t>
        </w:r>
        <w:r w:rsidR="0028793A">
          <w:br/>
        </w:r>
      </w:hyperlink>
      <w:r w:rsidRPr="769E5782">
        <w:rPr>
          <w:rFonts w:ascii="Times New Roman" w:eastAsia="Times New Roman" w:hAnsi="Times New Roman" w:cs="Times New Roman"/>
        </w:rPr>
        <w:t xml:space="preserve">[6] - </w:t>
      </w:r>
      <w:hyperlink r:id="rId79">
        <w:r w:rsidRPr="769E5782">
          <w:rPr>
            <w:rStyle w:val="Hyperlink"/>
            <w:rFonts w:ascii="Times New Roman" w:eastAsia="Times New Roman" w:hAnsi="Times New Roman" w:cs="Times New Roman"/>
            <w:color w:val="auto"/>
            <w:u w:val="none"/>
          </w:rPr>
          <w:t>https://www.scienceopen.com/hosted-document?doi=10.15212/CVIA.2024.0026</w:t>
        </w:r>
        <w:r w:rsidR="0028793A">
          <w:br/>
        </w:r>
      </w:hyperlink>
      <w:r w:rsidRPr="769E5782">
        <w:rPr>
          <w:rFonts w:ascii="Times New Roman" w:eastAsia="Times New Roman" w:hAnsi="Times New Roman" w:cs="Times New Roman"/>
        </w:rPr>
        <w:t xml:space="preserve">[7] - </w:t>
      </w:r>
      <w:hyperlink r:id="rId80">
        <w:r w:rsidRPr="769E5782">
          <w:rPr>
            <w:rStyle w:val="Hyperlink"/>
            <w:rFonts w:ascii="Times New Roman" w:eastAsia="Times New Roman" w:hAnsi="Times New Roman" w:cs="Times New Roman"/>
            <w:color w:val="auto"/>
            <w:u w:val="none"/>
          </w:rPr>
          <w:t>https://www.ahajournals.org/doi/10.1161/circ.146.suppl_1.13725</w:t>
        </w:r>
        <w:r w:rsidR="0028793A">
          <w:br/>
        </w:r>
      </w:hyperlink>
      <w:r w:rsidRPr="769E5782">
        <w:rPr>
          <w:rFonts w:ascii="Times New Roman" w:eastAsia="Times New Roman" w:hAnsi="Times New Roman" w:cs="Times New Roman"/>
        </w:rPr>
        <w:t xml:space="preserve">[8] - </w:t>
      </w:r>
      <w:hyperlink r:id="rId81">
        <w:r w:rsidRPr="769E5782">
          <w:rPr>
            <w:rStyle w:val="Hyperlink"/>
            <w:rFonts w:ascii="Times New Roman" w:eastAsia="Times New Roman" w:hAnsi="Times New Roman" w:cs="Times New Roman"/>
            <w:color w:val="auto"/>
            <w:u w:val="none"/>
          </w:rPr>
          <w:t>https://pmc.ncbi.nlm.nih.gov/articles/PMC10919845/</w:t>
        </w:r>
        <w:r w:rsidR="0028793A">
          <w:br/>
        </w:r>
      </w:hyperlink>
      <w:r w:rsidRPr="769E5782">
        <w:rPr>
          <w:rFonts w:ascii="Times New Roman" w:eastAsia="Times New Roman" w:hAnsi="Times New Roman" w:cs="Times New Roman"/>
        </w:rPr>
        <w:t xml:space="preserve">[9] - </w:t>
      </w:r>
      <w:hyperlink r:id="rId82">
        <w:r w:rsidRPr="769E5782">
          <w:rPr>
            <w:rStyle w:val="Hyperlink"/>
            <w:rFonts w:ascii="Times New Roman" w:eastAsia="Times New Roman" w:hAnsi="Times New Roman" w:cs="Times New Roman"/>
            <w:color w:val="auto"/>
            <w:u w:val="none"/>
          </w:rPr>
          <w:t>https://pmc.ncbi.nlm.nih.gov/articles/PMC11802620/</w:t>
        </w:r>
        <w:r w:rsidR="0028793A">
          <w:br/>
        </w:r>
      </w:hyperlink>
      <w:r w:rsidRPr="769E5782">
        <w:rPr>
          <w:rFonts w:ascii="Times New Roman" w:eastAsia="Times New Roman" w:hAnsi="Times New Roman" w:cs="Times New Roman"/>
        </w:rPr>
        <w:t xml:space="preserve">[10] - </w:t>
      </w:r>
      <w:hyperlink r:id="rId83">
        <w:r w:rsidRPr="769E5782">
          <w:rPr>
            <w:rStyle w:val="Hyperlink"/>
            <w:rFonts w:ascii="Times New Roman" w:eastAsia="Times New Roman" w:hAnsi="Times New Roman" w:cs="Times New Roman"/>
            <w:color w:val="auto"/>
            <w:u w:val="none"/>
          </w:rPr>
          <w:t>https://bnrc.springeropen.com/articles/10.1186/s42269-024-01208-z</w:t>
        </w:r>
        <w:r w:rsidR="0028793A">
          <w:br/>
        </w:r>
      </w:hyperlink>
      <w:r w:rsidRPr="769E5782">
        <w:rPr>
          <w:rFonts w:ascii="Times New Roman" w:eastAsia="Times New Roman" w:hAnsi="Times New Roman" w:cs="Times New Roman"/>
        </w:rPr>
        <w:t xml:space="preserve">[11] - </w:t>
      </w:r>
      <w:hyperlink r:id="rId84">
        <w:r w:rsidRPr="769E5782">
          <w:rPr>
            <w:rStyle w:val="Hyperlink"/>
            <w:rFonts w:ascii="Times New Roman" w:eastAsia="Times New Roman" w:hAnsi="Times New Roman" w:cs="Times New Roman"/>
            <w:color w:val="auto"/>
            <w:u w:val="none"/>
          </w:rPr>
          <w:t>https://pmc.ncbi.nlm.nih.gov/articles/PMC10913941/</w:t>
        </w:r>
        <w:r w:rsidR="0028793A">
          <w:br/>
        </w:r>
      </w:hyperlink>
      <w:r w:rsidRPr="769E5782">
        <w:rPr>
          <w:rFonts w:ascii="Times New Roman" w:eastAsia="Times New Roman" w:hAnsi="Times New Roman" w:cs="Times New Roman"/>
        </w:rPr>
        <w:t xml:space="preserve">[12] - </w:t>
      </w:r>
      <w:hyperlink r:id="rId85">
        <w:r w:rsidRPr="769E5782">
          <w:rPr>
            <w:rStyle w:val="Hyperlink"/>
            <w:rFonts w:ascii="Times New Roman" w:eastAsia="Times New Roman" w:hAnsi="Times New Roman" w:cs="Times New Roman"/>
            <w:color w:val="auto"/>
            <w:u w:val="none"/>
          </w:rPr>
          <w:t>https://pmc.ncbi.nlm.nih.gov/articles/PMC11399533/</w:t>
        </w:r>
        <w:r w:rsidR="0028793A">
          <w:br/>
        </w:r>
      </w:hyperlink>
      <w:r w:rsidRPr="769E5782">
        <w:rPr>
          <w:rFonts w:ascii="Times New Roman" w:eastAsia="Times New Roman" w:hAnsi="Times New Roman" w:cs="Times New Roman"/>
        </w:rPr>
        <w:t xml:space="preserve">[13] - </w:t>
      </w:r>
      <w:hyperlink r:id="rId86">
        <w:r w:rsidRPr="769E5782">
          <w:rPr>
            <w:rStyle w:val="Hyperlink"/>
            <w:rFonts w:ascii="Times New Roman" w:eastAsia="Times New Roman" w:hAnsi="Times New Roman" w:cs="Times New Roman"/>
            <w:color w:val="auto"/>
            <w:u w:val="none"/>
          </w:rPr>
          <w:t>https://onlinelibrary.wiley.com/doi/10.1002/ehf2.13489</w:t>
        </w:r>
        <w:r w:rsidR="0028793A">
          <w:br/>
        </w:r>
      </w:hyperlink>
      <w:r w:rsidRPr="769E5782">
        <w:rPr>
          <w:rFonts w:ascii="Times New Roman" w:eastAsia="Times New Roman" w:hAnsi="Times New Roman" w:cs="Times New Roman"/>
        </w:rPr>
        <w:t xml:space="preserve">[14] - </w:t>
      </w:r>
      <w:hyperlink r:id="rId87">
        <w:r w:rsidRPr="769E5782">
          <w:rPr>
            <w:rStyle w:val="Hyperlink"/>
            <w:rFonts w:ascii="Times New Roman" w:eastAsia="Times New Roman" w:hAnsi="Times New Roman" w:cs="Times New Roman"/>
            <w:color w:val="auto"/>
            <w:u w:val="none"/>
          </w:rPr>
          <w:t>https://onlinelibrary.wiley.com/doi/full/10.1002/ejhf.1227</w:t>
        </w:r>
        <w:r w:rsidR="0028793A">
          <w:br/>
        </w:r>
      </w:hyperlink>
      <w:r w:rsidRPr="769E5782">
        <w:rPr>
          <w:rFonts w:ascii="Times New Roman" w:eastAsia="Times New Roman" w:hAnsi="Times New Roman" w:cs="Times New Roman"/>
        </w:rPr>
        <w:t xml:space="preserve">[15] - </w:t>
      </w:r>
      <w:hyperlink r:id="rId88">
        <w:r w:rsidRPr="769E5782">
          <w:rPr>
            <w:rStyle w:val="Hyperlink"/>
            <w:rFonts w:ascii="Times New Roman" w:eastAsia="Times New Roman" w:hAnsi="Times New Roman" w:cs="Times New Roman"/>
            <w:color w:val="auto"/>
            <w:u w:val="none"/>
          </w:rPr>
          <w:t>https://pubmed.ncbi.nlm.nih.gov/37767674/</w:t>
        </w:r>
        <w:r w:rsidR="0028793A">
          <w:br/>
        </w:r>
      </w:hyperlink>
      <w:r w:rsidRPr="769E5782">
        <w:rPr>
          <w:rFonts w:ascii="Times New Roman" w:eastAsia="Times New Roman" w:hAnsi="Times New Roman" w:cs="Times New Roman"/>
        </w:rPr>
        <w:t xml:space="preserve">[16] - </w:t>
      </w:r>
      <w:hyperlink r:id="rId89">
        <w:r w:rsidRPr="769E5782">
          <w:rPr>
            <w:rStyle w:val="Hyperlink"/>
            <w:rFonts w:ascii="Times New Roman" w:eastAsia="Times New Roman" w:hAnsi="Times New Roman" w:cs="Times New Roman"/>
            <w:color w:val="auto"/>
            <w:u w:val="none"/>
          </w:rPr>
          <w:t>https://www.thecardiologyadvisor.com/news/%CE%B2-blocker-use-does-not-affect-dapagliflozin-safety-or-efficacy-in-hfpef-or-hfmref/</w:t>
        </w:r>
        <w:r w:rsidR="0028793A">
          <w:br/>
        </w:r>
      </w:hyperlink>
      <w:r w:rsidRPr="769E5782">
        <w:rPr>
          <w:rFonts w:ascii="Times New Roman" w:eastAsia="Times New Roman" w:hAnsi="Times New Roman" w:cs="Times New Roman"/>
        </w:rPr>
        <w:t xml:space="preserve">[17] - </w:t>
      </w:r>
      <w:hyperlink r:id="rId90">
        <w:r w:rsidRPr="769E5782">
          <w:rPr>
            <w:rStyle w:val="Hyperlink"/>
            <w:rFonts w:ascii="Times New Roman" w:eastAsia="Times New Roman" w:hAnsi="Times New Roman" w:cs="Times New Roman"/>
            <w:color w:val="auto"/>
            <w:u w:val="none"/>
          </w:rPr>
          <w:t>https://www.jacc.org/doi/10.1016/j.jacc.2022.11.006</w:t>
        </w:r>
        <w:r w:rsidR="0028793A">
          <w:br/>
        </w:r>
      </w:hyperlink>
      <w:r w:rsidRPr="769E5782">
        <w:rPr>
          <w:rFonts w:ascii="Times New Roman" w:eastAsia="Times New Roman" w:hAnsi="Times New Roman" w:cs="Times New Roman"/>
        </w:rPr>
        <w:t xml:space="preserve">[18] - </w:t>
      </w:r>
      <w:hyperlink r:id="rId91">
        <w:r w:rsidRPr="769E5782">
          <w:rPr>
            <w:rStyle w:val="Hyperlink"/>
            <w:rFonts w:ascii="Times New Roman" w:eastAsia="Times New Roman" w:hAnsi="Times New Roman" w:cs="Times New Roman"/>
            <w:color w:val="auto"/>
            <w:u w:val="none"/>
          </w:rPr>
          <w:t>https://pmc.ncbi.nlm.nih.gov/articles/PMC7327531/</w:t>
        </w:r>
        <w:r w:rsidR="0028793A">
          <w:br/>
        </w:r>
      </w:hyperlink>
      <w:r w:rsidRPr="769E5782">
        <w:rPr>
          <w:rFonts w:ascii="Times New Roman" w:eastAsia="Times New Roman" w:hAnsi="Times New Roman" w:cs="Times New Roman"/>
        </w:rPr>
        <w:t xml:space="preserve">[19] - </w:t>
      </w:r>
      <w:hyperlink r:id="rId92">
        <w:r w:rsidRPr="769E5782">
          <w:rPr>
            <w:rStyle w:val="Hyperlink"/>
            <w:rFonts w:ascii="Times New Roman" w:eastAsia="Times New Roman" w:hAnsi="Times New Roman" w:cs="Times New Roman"/>
            <w:color w:val="auto"/>
            <w:u w:val="none"/>
          </w:rPr>
          <w:t>https://pmc.ncbi.nlm.nih.gov/articles/PMC9301591/</w:t>
        </w:r>
        <w:r w:rsidR="0028793A">
          <w:br/>
        </w:r>
      </w:hyperlink>
      <w:r w:rsidRPr="769E5782">
        <w:rPr>
          <w:rFonts w:ascii="Times New Roman" w:eastAsia="Times New Roman" w:hAnsi="Times New Roman" w:cs="Times New Roman"/>
        </w:rPr>
        <w:t xml:space="preserve">[20] - </w:t>
      </w:r>
      <w:hyperlink r:id="rId93">
        <w:r w:rsidRPr="769E5782">
          <w:rPr>
            <w:rStyle w:val="Hyperlink"/>
            <w:rFonts w:ascii="Times New Roman" w:eastAsia="Times New Roman" w:hAnsi="Times New Roman" w:cs="Times New Roman"/>
            <w:color w:val="auto"/>
            <w:u w:val="none"/>
          </w:rPr>
          <w:t>https://pmc.ncbi.nlm.nih.gov/articles/PMC11566443/</w:t>
        </w:r>
        <w:r w:rsidR="0028793A">
          <w:br/>
        </w:r>
      </w:hyperlink>
      <w:r w:rsidRPr="769E5782">
        <w:rPr>
          <w:rFonts w:ascii="Times New Roman" w:eastAsia="Times New Roman" w:hAnsi="Times New Roman" w:cs="Times New Roman"/>
        </w:rPr>
        <w:t xml:space="preserve">[21] - </w:t>
      </w:r>
      <w:hyperlink r:id="rId94">
        <w:r w:rsidRPr="769E5782">
          <w:rPr>
            <w:rStyle w:val="Hyperlink"/>
            <w:rFonts w:ascii="Times New Roman" w:eastAsia="Times New Roman" w:hAnsi="Times New Roman" w:cs="Times New Roman"/>
            <w:color w:val="auto"/>
            <w:u w:val="none"/>
          </w:rPr>
          <w:t>https://pmc.ncbi.nlm.nih.gov/articles/PMC5122500/</w:t>
        </w:r>
        <w:r w:rsidR="0028793A">
          <w:br/>
        </w:r>
      </w:hyperlink>
      <w:r w:rsidRPr="769E5782">
        <w:rPr>
          <w:rFonts w:ascii="Times New Roman" w:eastAsia="Times New Roman" w:hAnsi="Times New Roman" w:cs="Times New Roman"/>
        </w:rPr>
        <w:t xml:space="preserve">[22] - </w:t>
      </w:r>
      <w:hyperlink r:id="rId95">
        <w:r w:rsidRPr="769E5782">
          <w:rPr>
            <w:rStyle w:val="Hyperlink"/>
            <w:rFonts w:ascii="Times New Roman" w:eastAsia="Times New Roman" w:hAnsi="Times New Roman" w:cs="Times New Roman"/>
            <w:color w:val="auto"/>
            <w:u w:val="none"/>
          </w:rPr>
          <w:t>https://pubmed.ncbi.nlm.nih.gov/23559359/</w:t>
        </w:r>
        <w:r w:rsidR="0028793A">
          <w:br/>
        </w:r>
      </w:hyperlink>
      <w:r w:rsidRPr="769E5782">
        <w:rPr>
          <w:rFonts w:ascii="Times New Roman" w:eastAsia="Times New Roman" w:hAnsi="Times New Roman" w:cs="Times New Roman"/>
        </w:rPr>
        <w:t xml:space="preserve">[23] - </w:t>
      </w:r>
      <w:hyperlink r:id="rId96">
        <w:r w:rsidRPr="769E5782">
          <w:rPr>
            <w:rStyle w:val="Hyperlink"/>
            <w:rFonts w:ascii="Times New Roman" w:eastAsia="Times New Roman" w:hAnsi="Times New Roman" w:cs="Times New Roman"/>
            <w:color w:val="auto"/>
            <w:u w:val="none"/>
          </w:rPr>
          <w:t>https://www.sciencedirect.com/science/article/pii/S2666602221000513</w:t>
        </w:r>
        <w:r w:rsidR="0028793A">
          <w:br/>
        </w:r>
      </w:hyperlink>
      <w:r w:rsidRPr="769E5782">
        <w:rPr>
          <w:rFonts w:ascii="Times New Roman" w:eastAsia="Times New Roman" w:hAnsi="Times New Roman" w:cs="Times New Roman"/>
        </w:rPr>
        <w:t xml:space="preserve">[24] - </w:t>
      </w:r>
      <w:hyperlink r:id="rId97">
        <w:r w:rsidRPr="769E5782">
          <w:rPr>
            <w:rStyle w:val="Hyperlink"/>
            <w:rFonts w:ascii="Times New Roman" w:eastAsia="Times New Roman" w:hAnsi="Times New Roman" w:cs="Times New Roman"/>
            <w:color w:val="auto"/>
            <w:u w:val="none"/>
          </w:rPr>
          <w:t>https://www.acc.org/Latest-in-Cardiology/ten-points-to-remember/2024/04/16/15/08/contemporary-american-and-european</w:t>
        </w:r>
        <w:r w:rsidR="0028793A">
          <w:br/>
        </w:r>
      </w:hyperlink>
      <w:r w:rsidRPr="769E5782">
        <w:rPr>
          <w:rFonts w:ascii="Times New Roman" w:eastAsia="Times New Roman" w:hAnsi="Times New Roman" w:cs="Times New Roman"/>
        </w:rPr>
        <w:t xml:space="preserve">[25] - </w:t>
      </w:r>
      <w:hyperlink r:id="rId98">
        <w:r w:rsidRPr="769E5782">
          <w:rPr>
            <w:rStyle w:val="Hyperlink"/>
            <w:rFonts w:ascii="Times New Roman" w:eastAsia="Times New Roman" w:hAnsi="Times New Roman" w:cs="Times New Roman"/>
            <w:color w:val="auto"/>
            <w:u w:val="none"/>
          </w:rPr>
          <w:t>https://pubmed.ncbi.nlm.nih.gov/35135688/</w:t>
        </w:r>
        <w:r w:rsidR="0028793A">
          <w:br/>
        </w:r>
      </w:hyperlink>
      <w:r w:rsidRPr="769E5782">
        <w:rPr>
          <w:rFonts w:ascii="Times New Roman" w:eastAsia="Times New Roman" w:hAnsi="Times New Roman" w:cs="Times New Roman"/>
        </w:rPr>
        <w:t xml:space="preserve">[26] - </w:t>
      </w:r>
      <w:hyperlink r:id="rId99">
        <w:r w:rsidRPr="769E5782">
          <w:rPr>
            <w:rStyle w:val="Hyperlink"/>
            <w:rFonts w:ascii="Times New Roman" w:eastAsia="Times New Roman" w:hAnsi="Times New Roman" w:cs="Times New Roman"/>
            <w:color w:val="auto"/>
            <w:u w:val="none"/>
          </w:rPr>
          <w:t>https://www.sciencedirect.com/science/article/pii/S0025619621006224</w:t>
        </w:r>
        <w:r w:rsidR="0028793A">
          <w:br/>
        </w:r>
      </w:hyperlink>
      <w:r w:rsidRPr="769E5782">
        <w:rPr>
          <w:rFonts w:ascii="Times New Roman" w:eastAsia="Times New Roman" w:hAnsi="Times New Roman" w:cs="Times New Roman"/>
        </w:rPr>
        <w:t xml:space="preserve">[27] - </w:t>
      </w:r>
      <w:hyperlink r:id="rId100">
        <w:r w:rsidRPr="769E5782">
          <w:rPr>
            <w:rStyle w:val="Hyperlink"/>
            <w:rFonts w:ascii="Times New Roman" w:eastAsia="Times New Roman" w:hAnsi="Times New Roman" w:cs="Times New Roman"/>
            <w:color w:val="auto"/>
            <w:u w:val="none"/>
          </w:rPr>
          <w:t>https://www.jacc.org/doi/10.1016/j.jchf.2021.06.011</w:t>
        </w:r>
        <w:r w:rsidR="0028793A">
          <w:br/>
        </w:r>
      </w:hyperlink>
      <w:r w:rsidRPr="769E5782">
        <w:rPr>
          <w:rFonts w:ascii="Times New Roman" w:eastAsia="Times New Roman" w:hAnsi="Times New Roman" w:cs="Times New Roman"/>
        </w:rPr>
        <w:t xml:space="preserve">[28] - </w:t>
      </w:r>
      <w:hyperlink r:id="rId101">
        <w:r w:rsidRPr="769E5782">
          <w:rPr>
            <w:rStyle w:val="Hyperlink"/>
            <w:rFonts w:ascii="Times New Roman" w:eastAsia="Times New Roman" w:hAnsi="Times New Roman" w:cs="Times New Roman"/>
            <w:color w:val="auto"/>
            <w:u w:val="none"/>
          </w:rPr>
          <w:t>https://pmc.ncbi.nlm.nih.gov/articles/PMC8468030/</w:t>
        </w:r>
      </w:hyperlink>
    </w:p>
    <w:sectPr w:rsidR="0028793A">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3D10" w14:textId="77777777" w:rsidR="00CF0000" w:rsidRDefault="00CF0000" w:rsidP="00814388">
      <w:pPr>
        <w:spacing w:after="0" w:line="240" w:lineRule="auto"/>
      </w:pPr>
      <w:r>
        <w:separator/>
      </w:r>
    </w:p>
  </w:endnote>
  <w:endnote w:type="continuationSeparator" w:id="0">
    <w:p w14:paraId="23908571" w14:textId="77777777" w:rsidR="00CF0000" w:rsidRDefault="00CF0000" w:rsidP="0081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BD1" w14:textId="77777777" w:rsidR="00814388" w:rsidRDefault="00814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319A" w14:textId="77777777" w:rsidR="00814388" w:rsidRDefault="00814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F004" w14:textId="77777777" w:rsidR="00814388" w:rsidRDefault="00814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4ECDB" w14:textId="77777777" w:rsidR="00CF0000" w:rsidRDefault="00CF0000" w:rsidP="00814388">
      <w:pPr>
        <w:spacing w:after="0" w:line="240" w:lineRule="auto"/>
      </w:pPr>
      <w:r>
        <w:separator/>
      </w:r>
    </w:p>
  </w:footnote>
  <w:footnote w:type="continuationSeparator" w:id="0">
    <w:p w14:paraId="53941D57" w14:textId="77777777" w:rsidR="00CF0000" w:rsidRDefault="00CF0000" w:rsidP="00814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4A9C" w14:textId="4C29BF43" w:rsidR="00814388" w:rsidRDefault="00814388">
    <w:pPr>
      <w:pStyle w:val="Header"/>
    </w:pPr>
    <w:r>
      <w:rPr>
        <w:noProof/>
      </w:rPr>
      <w:pict w14:anchorId="1ECA2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1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FA88" w14:textId="2916E146" w:rsidR="00814388" w:rsidRDefault="00814388">
    <w:pPr>
      <w:pStyle w:val="Header"/>
    </w:pPr>
    <w:r>
      <w:rPr>
        <w:noProof/>
      </w:rPr>
      <w:pict w14:anchorId="1F1CA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1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7E8F" w14:textId="5EB0087D" w:rsidR="00814388" w:rsidRDefault="00814388">
    <w:pPr>
      <w:pStyle w:val="Header"/>
    </w:pPr>
    <w:r>
      <w:rPr>
        <w:noProof/>
      </w:rPr>
      <w:pict w14:anchorId="0531B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1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D312C"/>
    <w:multiLevelType w:val="hybridMultilevel"/>
    <w:tmpl w:val="FFFFFFFF"/>
    <w:lvl w:ilvl="0" w:tplc="D2DC02AE">
      <w:start w:val="1"/>
      <w:numFmt w:val="decimal"/>
      <w:lvlText w:val="%1."/>
      <w:lvlJc w:val="left"/>
      <w:pPr>
        <w:ind w:left="720" w:hanging="360"/>
      </w:pPr>
    </w:lvl>
    <w:lvl w:ilvl="1" w:tplc="0B90133E">
      <w:start w:val="1"/>
      <w:numFmt w:val="lowerLetter"/>
      <w:lvlText w:val="%2."/>
      <w:lvlJc w:val="left"/>
      <w:pPr>
        <w:ind w:left="1440" w:hanging="360"/>
      </w:pPr>
    </w:lvl>
    <w:lvl w:ilvl="2" w:tplc="884C7616">
      <w:start w:val="1"/>
      <w:numFmt w:val="lowerRoman"/>
      <w:lvlText w:val="%3."/>
      <w:lvlJc w:val="right"/>
      <w:pPr>
        <w:ind w:left="2160" w:hanging="180"/>
      </w:pPr>
    </w:lvl>
    <w:lvl w:ilvl="3" w:tplc="B22CE3B2">
      <w:start w:val="1"/>
      <w:numFmt w:val="decimal"/>
      <w:lvlText w:val="%4."/>
      <w:lvlJc w:val="left"/>
      <w:pPr>
        <w:ind w:left="2880" w:hanging="360"/>
      </w:pPr>
    </w:lvl>
    <w:lvl w:ilvl="4" w:tplc="E0CCABD4">
      <w:start w:val="1"/>
      <w:numFmt w:val="lowerLetter"/>
      <w:lvlText w:val="%5."/>
      <w:lvlJc w:val="left"/>
      <w:pPr>
        <w:ind w:left="3600" w:hanging="360"/>
      </w:pPr>
    </w:lvl>
    <w:lvl w:ilvl="5" w:tplc="742E64B6">
      <w:start w:val="1"/>
      <w:numFmt w:val="lowerRoman"/>
      <w:lvlText w:val="%6."/>
      <w:lvlJc w:val="right"/>
      <w:pPr>
        <w:ind w:left="4320" w:hanging="180"/>
      </w:pPr>
    </w:lvl>
    <w:lvl w:ilvl="6" w:tplc="08B4373E">
      <w:start w:val="1"/>
      <w:numFmt w:val="decimal"/>
      <w:lvlText w:val="%7."/>
      <w:lvlJc w:val="left"/>
      <w:pPr>
        <w:ind w:left="5040" w:hanging="360"/>
      </w:pPr>
    </w:lvl>
    <w:lvl w:ilvl="7" w:tplc="C4B02234">
      <w:start w:val="1"/>
      <w:numFmt w:val="lowerLetter"/>
      <w:lvlText w:val="%8."/>
      <w:lvlJc w:val="left"/>
      <w:pPr>
        <w:ind w:left="5760" w:hanging="360"/>
      </w:pPr>
    </w:lvl>
    <w:lvl w:ilvl="8" w:tplc="9DD680F0">
      <w:start w:val="1"/>
      <w:numFmt w:val="lowerRoman"/>
      <w:lvlText w:val="%9."/>
      <w:lvlJc w:val="right"/>
      <w:pPr>
        <w:ind w:left="6480" w:hanging="180"/>
      </w:pPr>
    </w:lvl>
  </w:abstractNum>
  <w:abstractNum w:abstractNumId="1" w15:restartNumberingAfterBreak="0">
    <w:nsid w:val="35BF66A2"/>
    <w:multiLevelType w:val="hybridMultilevel"/>
    <w:tmpl w:val="FFFFFFFF"/>
    <w:lvl w:ilvl="0" w:tplc="BDCE30B4">
      <w:start w:val="1"/>
      <w:numFmt w:val="decimal"/>
      <w:lvlText w:val="%1."/>
      <w:lvlJc w:val="left"/>
      <w:pPr>
        <w:ind w:left="660" w:hanging="360"/>
      </w:pPr>
    </w:lvl>
    <w:lvl w:ilvl="1" w:tplc="F1D88C22">
      <w:start w:val="1"/>
      <w:numFmt w:val="lowerLetter"/>
      <w:lvlText w:val="%2."/>
      <w:lvlJc w:val="left"/>
      <w:pPr>
        <w:ind w:left="1380" w:hanging="360"/>
      </w:pPr>
    </w:lvl>
    <w:lvl w:ilvl="2" w:tplc="5A528EBA">
      <w:start w:val="1"/>
      <w:numFmt w:val="lowerRoman"/>
      <w:lvlText w:val="%3."/>
      <w:lvlJc w:val="right"/>
      <w:pPr>
        <w:ind w:left="2100" w:hanging="180"/>
      </w:pPr>
    </w:lvl>
    <w:lvl w:ilvl="3" w:tplc="0026EE6E">
      <w:start w:val="1"/>
      <w:numFmt w:val="decimal"/>
      <w:lvlText w:val="%4."/>
      <w:lvlJc w:val="left"/>
      <w:pPr>
        <w:ind w:left="2820" w:hanging="360"/>
      </w:pPr>
    </w:lvl>
    <w:lvl w:ilvl="4" w:tplc="B0821182">
      <w:start w:val="1"/>
      <w:numFmt w:val="lowerLetter"/>
      <w:lvlText w:val="%5."/>
      <w:lvlJc w:val="left"/>
      <w:pPr>
        <w:ind w:left="3540" w:hanging="360"/>
      </w:pPr>
    </w:lvl>
    <w:lvl w:ilvl="5" w:tplc="2232361C">
      <w:start w:val="1"/>
      <w:numFmt w:val="lowerRoman"/>
      <w:lvlText w:val="%6."/>
      <w:lvlJc w:val="right"/>
      <w:pPr>
        <w:ind w:left="4260" w:hanging="180"/>
      </w:pPr>
    </w:lvl>
    <w:lvl w:ilvl="6" w:tplc="35DA5942">
      <w:start w:val="1"/>
      <w:numFmt w:val="decimal"/>
      <w:lvlText w:val="%7."/>
      <w:lvlJc w:val="left"/>
      <w:pPr>
        <w:ind w:left="4980" w:hanging="360"/>
      </w:pPr>
    </w:lvl>
    <w:lvl w:ilvl="7" w:tplc="90D49608">
      <w:start w:val="1"/>
      <w:numFmt w:val="lowerLetter"/>
      <w:lvlText w:val="%8."/>
      <w:lvlJc w:val="left"/>
      <w:pPr>
        <w:ind w:left="5700" w:hanging="360"/>
      </w:pPr>
    </w:lvl>
    <w:lvl w:ilvl="8" w:tplc="20C234E2">
      <w:start w:val="1"/>
      <w:numFmt w:val="lowerRoman"/>
      <w:lvlText w:val="%9."/>
      <w:lvlJc w:val="right"/>
      <w:pPr>
        <w:ind w:left="6420" w:hanging="180"/>
      </w:pPr>
    </w:lvl>
  </w:abstractNum>
  <w:abstractNum w:abstractNumId="2" w15:restartNumberingAfterBreak="0">
    <w:nsid w:val="6926A17F"/>
    <w:multiLevelType w:val="hybridMultilevel"/>
    <w:tmpl w:val="FFFFFFFF"/>
    <w:lvl w:ilvl="0" w:tplc="CD944638">
      <w:start w:val="1"/>
      <w:numFmt w:val="bullet"/>
      <w:lvlText w:val=""/>
      <w:lvlJc w:val="left"/>
      <w:pPr>
        <w:ind w:left="720" w:hanging="360"/>
      </w:pPr>
      <w:rPr>
        <w:rFonts w:ascii="Symbol" w:hAnsi="Symbol" w:hint="default"/>
      </w:rPr>
    </w:lvl>
    <w:lvl w:ilvl="1" w:tplc="40CE9BC0">
      <w:start w:val="1"/>
      <w:numFmt w:val="bullet"/>
      <w:lvlText w:val="o"/>
      <w:lvlJc w:val="left"/>
      <w:pPr>
        <w:ind w:left="1440" w:hanging="360"/>
      </w:pPr>
      <w:rPr>
        <w:rFonts w:ascii="Courier New" w:hAnsi="Courier New" w:hint="default"/>
      </w:rPr>
    </w:lvl>
    <w:lvl w:ilvl="2" w:tplc="B94AD4FA">
      <w:start w:val="1"/>
      <w:numFmt w:val="bullet"/>
      <w:lvlText w:val=""/>
      <w:lvlJc w:val="left"/>
      <w:pPr>
        <w:ind w:left="2160" w:hanging="360"/>
      </w:pPr>
      <w:rPr>
        <w:rFonts w:ascii="Wingdings" w:hAnsi="Wingdings" w:hint="default"/>
      </w:rPr>
    </w:lvl>
    <w:lvl w:ilvl="3" w:tplc="29D41B2A">
      <w:start w:val="1"/>
      <w:numFmt w:val="bullet"/>
      <w:lvlText w:val=""/>
      <w:lvlJc w:val="left"/>
      <w:pPr>
        <w:ind w:left="2880" w:hanging="360"/>
      </w:pPr>
      <w:rPr>
        <w:rFonts w:ascii="Symbol" w:hAnsi="Symbol" w:hint="default"/>
      </w:rPr>
    </w:lvl>
    <w:lvl w:ilvl="4" w:tplc="9F748C06">
      <w:start w:val="1"/>
      <w:numFmt w:val="bullet"/>
      <w:lvlText w:val="o"/>
      <w:lvlJc w:val="left"/>
      <w:pPr>
        <w:ind w:left="3600" w:hanging="360"/>
      </w:pPr>
      <w:rPr>
        <w:rFonts w:ascii="Courier New" w:hAnsi="Courier New" w:hint="default"/>
      </w:rPr>
    </w:lvl>
    <w:lvl w:ilvl="5" w:tplc="6E563332">
      <w:start w:val="1"/>
      <w:numFmt w:val="bullet"/>
      <w:lvlText w:val=""/>
      <w:lvlJc w:val="left"/>
      <w:pPr>
        <w:ind w:left="4320" w:hanging="360"/>
      </w:pPr>
      <w:rPr>
        <w:rFonts w:ascii="Wingdings" w:hAnsi="Wingdings" w:hint="default"/>
      </w:rPr>
    </w:lvl>
    <w:lvl w:ilvl="6" w:tplc="8B22FB60">
      <w:start w:val="1"/>
      <w:numFmt w:val="bullet"/>
      <w:lvlText w:val=""/>
      <w:lvlJc w:val="left"/>
      <w:pPr>
        <w:ind w:left="5040" w:hanging="360"/>
      </w:pPr>
      <w:rPr>
        <w:rFonts w:ascii="Symbol" w:hAnsi="Symbol" w:hint="default"/>
      </w:rPr>
    </w:lvl>
    <w:lvl w:ilvl="7" w:tplc="265011AE">
      <w:start w:val="1"/>
      <w:numFmt w:val="bullet"/>
      <w:lvlText w:val="o"/>
      <w:lvlJc w:val="left"/>
      <w:pPr>
        <w:ind w:left="5760" w:hanging="360"/>
      </w:pPr>
      <w:rPr>
        <w:rFonts w:ascii="Courier New" w:hAnsi="Courier New" w:hint="default"/>
      </w:rPr>
    </w:lvl>
    <w:lvl w:ilvl="8" w:tplc="7DD61F46">
      <w:start w:val="1"/>
      <w:numFmt w:val="bullet"/>
      <w:lvlText w:val=""/>
      <w:lvlJc w:val="left"/>
      <w:pPr>
        <w:ind w:left="6480" w:hanging="360"/>
      </w:pPr>
      <w:rPr>
        <w:rFonts w:ascii="Wingdings" w:hAnsi="Wingdings" w:hint="default"/>
      </w:rPr>
    </w:lvl>
  </w:abstractNum>
  <w:abstractNum w:abstractNumId="3" w15:restartNumberingAfterBreak="0">
    <w:nsid w:val="6BFEC6CE"/>
    <w:multiLevelType w:val="hybridMultilevel"/>
    <w:tmpl w:val="FFFFFFFF"/>
    <w:lvl w:ilvl="0" w:tplc="BB1473E4">
      <w:start w:val="1"/>
      <w:numFmt w:val="decimal"/>
      <w:lvlText w:val="%1."/>
      <w:lvlJc w:val="left"/>
      <w:pPr>
        <w:ind w:left="720" w:hanging="360"/>
      </w:pPr>
    </w:lvl>
    <w:lvl w:ilvl="1" w:tplc="6A0EFEC0">
      <w:start w:val="1"/>
      <w:numFmt w:val="lowerLetter"/>
      <w:lvlText w:val="%2."/>
      <w:lvlJc w:val="left"/>
      <w:pPr>
        <w:ind w:left="1440" w:hanging="360"/>
      </w:pPr>
    </w:lvl>
    <w:lvl w:ilvl="2" w:tplc="A2C63328">
      <w:start w:val="1"/>
      <w:numFmt w:val="lowerRoman"/>
      <w:lvlText w:val="%3."/>
      <w:lvlJc w:val="right"/>
      <w:pPr>
        <w:ind w:left="2160" w:hanging="180"/>
      </w:pPr>
    </w:lvl>
    <w:lvl w:ilvl="3" w:tplc="E0DE518C">
      <w:start w:val="1"/>
      <w:numFmt w:val="decimal"/>
      <w:lvlText w:val="%4."/>
      <w:lvlJc w:val="left"/>
      <w:pPr>
        <w:ind w:left="2880" w:hanging="360"/>
      </w:pPr>
    </w:lvl>
    <w:lvl w:ilvl="4" w:tplc="FBAEECEC">
      <w:start w:val="1"/>
      <w:numFmt w:val="lowerLetter"/>
      <w:lvlText w:val="%5."/>
      <w:lvlJc w:val="left"/>
      <w:pPr>
        <w:ind w:left="3600" w:hanging="360"/>
      </w:pPr>
    </w:lvl>
    <w:lvl w:ilvl="5" w:tplc="98B2859A">
      <w:start w:val="1"/>
      <w:numFmt w:val="lowerRoman"/>
      <w:lvlText w:val="%6."/>
      <w:lvlJc w:val="right"/>
      <w:pPr>
        <w:ind w:left="4320" w:hanging="180"/>
      </w:pPr>
    </w:lvl>
    <w:lvl w:ilvl="6" w:tplc="00E24128">
      <w:start w:val="1"/>
      <w:numFmt w:val="decimal"/>
      <w:lvlText w:val="%7."/>
      <w:lvlJc w:val="left"/>
      <w:pPr>
        <w:ind w:left="5040" w:hanging="360"/>
      </w:pPr>
    </w:lvl>
    <w:lvl w:ilvl="7" w:tplc="28243968">
      <w:start w:val="1"/>
      <w:numFmt w:val="lowerLetter"/>
      <w:lvlText w:val="%8."/>
      <w:lvlJc w:val="left"/>
      <w:pPr>
        <w:ind w:left="5760" w:hanging="360"/>
      </w:pPr>
    </w:lvl>
    <w:lvl w:ilvl="8" w:tplc="C110F45A">
      <w:start w:val="1"/>
      <w:numFmt w:val="lowerRoman"/>
      <w:lvlText w:val="%9."/>
      <w:lvlJc w:val="right"/>
      <w:pPr>
        <w:ind w:left="6480" w:hanging="180"/>
      </w:pPr>
    </w:lvl>
  </w:abstractNum>
  <w:abstractNum w:abstractNumId="4" w15:restartNumberingAfterBreak="0">
    <w:nsid w:val="7D16DECA"/>
    <w:multiLevelType w:val="hybridMultilevel"/>
    <w:tmpl w:val="FFFFFFFF"/>
    <w:lvl w:ilvl="0" w:tplc="DA904162">
      <w:start w:val="1"/>
      <w:numFmt w:val="bullet"/>
      <w:lvlText w:val=""/>
      <w:lvlJc w:val="left"/>
      <w:pPr>
        <w:ind w:left="720" w:hanging="360"/>
      </w:pPr>
      <w:rPr>
        <w:rFonts w:ascii="Symbol" w:hAnsi="Symbol" w:hint="default"/>
      </w:rPr>
    </w:lvl>
    <w:lvl w:ilvl="1" w:tplc="C01C801E">
      <w:start w:val="1"/>
      <w:numFmt w:val="bullet"/>
      <w:lvlText w:val="o"/>
      <w:lvlJc w:val="left"/>
      <w:pPr>
        <w:ind w:left="1440" w:hanging="360"/>
      </w:pPr>
      <w:rPr>
        <w:rFonts w:ascii="Courier New" w:hAnsi="Courier New" w:hint="default"/>
      </w:rPr>
    </w:lvl>
    <w:lvl w:ilvl="2" w:tplc="7368F234">
      <w:start w:val="1"/>
      <w:numFmt w:val="bullet"/>
      <w:lvlText w:val=""/>
      <w:lvlJc w:val="left"/>
      <w:pPr>
        <w:ind w:left="2160" w:hanging="360"/>
      </w:pPr>
      <w:rPr>
        <w:rFonts w:ascii="Wingdings" w:hAnsi="Wingdings" w:hint="default"/>
      </w:rPr>
    </w:lvl>
    <w:lvl w:ilvl="3" w:tplc="5B9AAC56">
      <w:start w:val="1"/>
      <w:numFmt w:val="bullet"/>
      <w:lvlText w:val=""/>
      <w:lvlJc w:val="left"/>
      <w:pPr>
        <w:ind w:left="2880" w:hanging="360"/>
      </w:pPr>
      <w:rPr>
        <w:rFonts w:ascii="Symbol" w:hAnsi="Symbol" w:hint="default"/>
      </w:rPr>
    </w:lvl>
    <w:lvl w:ilvl="4" w:tplc="F4B2DD96">
      <w:start w:val="1"/>
      <w:numFmt w:val="bullet"/>
      <w:lvlText w:val="o"/>
      <w:lvlJc w:val="left"/>
      <w:pPr>
        <w:ind w:left="3600" w:hanging="360"/>
      </w:pPr>
      <w:rPr>
        <w:rFonts w:ascii="Courier New" w:hAnsi="Courier New" w:hint="default"/>
      </w:rPr>
    </w:lvl>
    <w:lvl w:ilvl="5" w:tplc="4738BC34">
      <w:start w:val="1"/>
      <w:numFmt w:val="bullet"/>
      <w:lvlText w:val=""/>
      <w:lvlJc w:val="left"/>
      <w:pPr>
        <w:ind w:left="4320" w:hanging="360"/>
      </w:pPr>
      <w:rPr>
        <w:rFonts w:ascii="Wingdings" w:hAnsi="Wingdings" w:hint="default"/>
      </w:rPr>
    </w:lvl>
    <w:lvl w:ilvl="6" w:tplc="93B883DA">
      <w:start w:val="1"/>
      <w:numFmt w:val="bullet"/>
      <w:lvlText w:val=""/>
      <w:lvlJc w:val="left"/>
      <w:pPr>
        <w:ind w:left="5040" w:hanging="360"/>
      </w:pPr>
      <w:rPr>
        <w:rFonts w:ascii="Symbol" w:hAnsi="Symbol" w:hint="default"/>
      </w:rPr>
    </w:lvl>
    <w:lvl w:ilvl="7" w:tplc="D1A4231A">
      <w:start w:val="1"/>
      <w:numFmt w:val="bullet"/>
      <w:lvlText w:val="o"/>
      <w:lvlJc w:val="left"/>
      <w:pPr>
        <w:ind w:left="5760" w:hanging="360"/>
      </w:pPr>
      <w:rPr>
        <w:rFonts w:ascii="Courier New" w:hAnsi="Courier New" w:hint="default"/>
      </w:rPr>
    </w:lvl>
    <w:lvl w:ilvl="8" w:tplc="EAD0D332">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D505E4"/>
    <w:rsid w:val="00023812"/>
    <w:rsid w:val="00133F1C"/>
    <w:rsid w:val="0014A5E0"/>
    <w:rsid w:val="001A40C1"/>
    <w:rsid w:val="00244BC9"/>
    <w:rsid w:val="0028793A"/>
    <w:rsid w:val="0038281F"/>
    <w:rsid w:val="003E1814"/>
    <w:rsid w:val="004ABCC3"/>
    <w:rsid w:val="004E60AF"/>
    <w:rsid w:val="0056779C"/>
    <w:rsid w:val="00814388"/>
    <w:rsid w:val="00A905A0"/>
    <w:rsid w:val="00C41B67"/>
    <w:rsid w:val="00CF0000"/>
    <w:rsid w:val="00CF0FAB"/>
    <w:rsid w:val="00D07ABE"/>
    <w:rsid w:val="00E54BC4"/>
    <w:rsid w:val="00E57739"/>
    <w:rsid w:val="00F83447"/>
    <w:rsid w:val="01176DC6"/>
    <w:rsid w:val="017C705E"/>
    <w:rsid w:val="01B61795"/>
    <w:rsid w:val="020A237B"/>
    <w:rsid w:val="02E94F2D"/>
    <w:rsid w:val="036CECFD"/>
    <w:rsid w:val="0412E8BF"/>
    <w:rsid w:val="0421432A"/>
    <w:rsid w:val="044D4DAA"/>
    <w:rsid w:val="045F8F48"/>
    <w:rsid w:val="04A81FC3"/>
    <w:rsid w:val="062F3A95"/>
    <w:rsid w:val="08127BA3"/>
    <w:rsid w:val="089203CC"/>
    <w:rsid w:val="08CBF14B"/>
    <w:rsid w:val="08D3FC20"/>
    <w:rsid w:val="0908C02F"/>
    <w:rsid w:val="0910F483"/>
    <w:rsid w:val="094CAA7D"/>
    <w:rsid w:val="0A0CFB94"/>
    <w:rsid w:val="0A1604EF"/>
    <w:rsid w:val="0A24EC39"/>
    <w:rsid w:val="0A9B294C"/>
    <w:rsid w:val="0B7DC075"/>
    <w:rsid w:val="0C6702BF"/>
    <w:rsid w:val="0C6C24EE"/>
    <w:rsid w:val="0C6F0D27"/>
    <w:rsid w:val="0D97518A"/>
    <w:rsid w:val="0DAF6520"/>
    <w:rsid w:val="0E73B2F9"/>
    <w:rsid w:val="0E9A7706"/>
    <w:rsid w:val="0EA6372E"/>
    <w:rsid w:val="108C1B5A"/>
    <w:rsid w:val="10BA7455"/>
    <w:rsid w:val="11CAE4D5"/>
    <w:rsid w:val="11EAE258"/>
    <w:rsid w:val="12344812"/>
    <w:rsid w:val="1272F4FD"/>
    <w:rsid w:val="133E3202"/>
    <w:rsid w:val="13B5FF20"/>
    <w:rsid w:val="14AE3C93"/>
    <w:rsid w:val="151BD66C"/>
    <w:rsid w:val="151C0D4D"/>
    <w:rsid w:val="1529A10D"/>
    <w:rsid w:val="158A9B4D"/>
    <w:rsid w:val="15BCD6FD"/>
    <w:rsid w:val="15D8CCC6"/>
    <w:rsid w:val="169EAC1B"/>
    <w:rsid w:val="177C4BA8"/>
    <w:rsid w:val="179479B4"/>
    <w:rsid w:val="17D73203"/>
    <w:rsid w:val="17E8F0E6"/>
    <w:rsid w:val="180B78D3"/>
    <w:rsid w:val="185398CB"/>
    <w:rsid w:val="18709B7C"/>
    <w:rsid w:val="19ECA04F"/>
    <w:rsid w:val="1A0F07DD"/>
    <w:rsid w:val="1A2E39C5"/>
    <w:rsid w:val="1A609AC8"/>
    <w:rsid w:val="1ABAF4CE"/>
    <w:rsid w:val="1AD52927"/>
    <w:rsid w:val="1B4220C9"/>
    <w:rsid w:val="1B83EF80"/>
    <w:rsid w:val="1C6CA4E3"/>
    <w:rsid w:val="1CB5B26F"/>
    <w:rsid w:val="1CBA088E"/>
    <w:rsid w:val="1D23A090"/>
    <w:rsid w:val="1DBB2549"/>
    <w:rsid w:val="1DD9731F"/>
    <w:rsid w:val="1E8CF985"/>
    <w:rsid w:val="1FB2F295"/>
    <w:rsid w:val="20024B81"/>
    <w:rsid w:val="203B913B"/>
    <w:rsid w:val="210C0DE4"/>
    <w:rsid w:val="21C8BBA4"/>
    <w:rsid w:val="21EB6F67"/>
    <w:rsid w:val="2288A18A"/>
    <w:rsid w:val="2310B847"/>
    <w:rsid w:val="231B0499"/>
    <w:rsid w:val="242EBA6D"/>
    <w:rsid w:val="2477FD65"/>
    <w:rsid w:val="24F51D50"/>
    <w:rsid w:val="2505FC64"/>
    <w:rsid w:val="252D7211"/>
    <w:rsid w:val="254695B9"/>
    <w:rsid w:val="26F96116"/>
    <w:rsid w:val="27221A5E"/>
    <w:rsid w:val="272B64AF"/>
    <w:rsid w:val="27375DAB"/>
    <w:rsid w:val="2749BFC7"/>
    <w:rsid w:val="276BD444"/>
    <w:rsid w:val="27BDC8A5"/>
    <w:rsid w:val="28498BE9"/>
    <w:rsid w:val="284CC973"/>
    <w:rsid w:val="2874D984"/>
    <w:rsid w:val="29B38707"/>
    <w:rsid w:val="29D3CA6B"/>
    <w:rsid w:val="2AB1B253"/>
    <w:rsid w:val="2BFE521F"/>
    <w:rsid w:val="2C5EB3C5"/>
    <w:rsid w:val="2CE6E202"/>
    <w:rsid w:val="2D2B120D"/>
    <w:rsid w:val="2D38A372"/>
    <w:rsid w:val="2D4B99A6"/>
    <w:rsid w:val="2D68F44A"/>
    <w:rsid w:val="2DE89963"/>
    <w:rsid w:val="2DF20CCF"/>
    <w:rsid w:val="2E36E2B0"/>
    <w:rsid w:val="2F06515F"/>
    <w:rsid w:val="2F0A44CA"/>
    <w:rsid w:val="2F396D36"/>
    <w:rsid w:val="2FD59FB0"/>
    <w:rsid w:val="2FE9619C"/>
    <w:rsid w:val="30B48C64"/>
    <w:rsid w:val="30E3A243"/>
    <w:rsid w:val="30F14421"/>
    <w:rsid w:val="310FD12F"/>
    <w:rsid w:val="31B689D9"/>
    <w:rsid w:val="31B8C32D"/>
    <w:rsid w:val="31D1E456"/>
    <w:rsid w:val="31ED72C9"/>
    <w:rsid w:val="32791A34"/>
    <w:rsid w:val="32CECA99"/>
    <w:rsid w:val="332D93DE"/>
    <w:rsid w:val="3347F03F"/>
    <w:rsid w:val="34156E33"/>
    <w:rsid w:val="34EC204E"/>
    <w:rsid w:val="35063033"/>
    <w:rsid w:val="3614E29E"/>
    <w:rsid w:val="36C389BF"/>
    <w:rsid w:val="36E0BA83"/>
    <w:rsid w:val="36EA2FD1"/>
    <w:rsid w:val="377ED45D"/>
    <w:rsid w:val="3954E77C"/>
    <w:rsid w:val="397A1823"/>
    <w:rsid w:val="39DB8CD6"/>
    <w:rsid w:val="3A551DB8"/>
    <w:rsid w:val="3A5B6958"/>
    <w:rsid w:val="3B8929F8"/>
    <w:rsid w:val="3BB14FF5"/>
    <w:rsid w:val="3C1BC493"/>
    <w:rsid w:val="3D1DDD6C"/>
    <w:rsid w:val="3DCF96A2"/>
    <w:rsid w:val="3DEA6238"/>
    <w:rsid w:val="3DEC6D15"/>
    <w:rsid w:val="3E1A7FA2"/>
    <w:rsid w:val="3E9B1950"/>
    <w:rsid w:val="3EFD129C"/>
    <w:rsid w:val="3F2613B4"/>
    <w:rsid w:val="3F4BFA1D"/>
    <w:rsid w:val="40F666F7"/>
    <w:rsid w:val="4112C64B"/>
    <w:rsid w:val="41BD97AB"/>
    <w:rsid w:val="41DF3441"/>
    <w:rsid w:val="427CCB13"/>
    <w:rsid w:val="42EDCE9A"/>
    <w:rsid w:val="436F2335"/>
    <w:rsid w:val="43989997"/>
    <w:rsid w:val="4460793D"/>
    <w:rsid w:val="4477F14E"/>
    <w:rsid w:val="447990F0"/>
    <w:rsid w:val="44DCA46E"/>
    <w:rsid w:val="45C2A473"/>
    <w:rsid w:val="46DE1EC2"/>
    <w:rsid w:val="474DF2EC"/>
    <w:rsid w:val="47ECBCDC"/>
    <w:rsid w:val="48BCFE49"/>
    <w:rsid w:val="4A174B28"/>
    <w:rsid w:val="4A287A9D"/>
    <w:rsid w:val="4A3CC636"/>
    <w:rsid w:val="4A3E9EFA"/>
    <w:rsid w:val="4A9DB78C"/>
    <w:rsid w:val="4AD1C630"/>
    <w:rsid w:val="4B3E1029"/>
    <w:rsid w:val="4C185C05"/>
    <w:rsid w:val="4CD505E4"/>
    <w:rsid w:val="4D147170"/>
    <w:rsid w:val="4DE072F4"/>
    <w:rsid w:val="4DEAF7BF"/>
    <w:rsid w:val="4EF11B0E"/>
    <w:rsid w:val="4F048E84"/>
    <w:rsid w:val="4F57E5FD"/>
    <w:rsid w:val="4F65206D"/>
    <w:rsid w:val="4F81365C"/>
    <w:rsid w:val="50398BBC"/>
    <w:rsid w:val="50F8EFFB"/>
    <w:rsid w:val="519A5EAF"/>
    <w:rsid w:val="519E5686"/>
    <w:rsid w:val="51B9BFD0"/>
    <w:rsid w:val="51BD2058"/>
    <w:rsid w:val="525FD965"/>
    <w:rsid w:val="52A1B20A"/>
    <w:rsid w:val="537FDB66"/>
    <w:rsid w:val="54AFE659"/>
    <w:rsid w:val="54FA858B"/>
    <w:rsid w:val="558A4A56"/>
    <w:rsid w:val="55AF30FC"/>
    <w:rsid w:val="55CAE1F8"/>
    <w:rsid w:val="563D0675"/>
    <w:rsid w:val="56B4973D"/>
    <w:rsid w:val="573C64A0"/>
    <w:rsid w:val="57991292"/>
    <w:rsid w:val="57D6FC1C"/>
    <w:rsid w:val="5920027E"/>
    <w:rsid w:val="5971DAF1"/>
    <w:rsid w:val="5A6D18BF"/>
    <w:rsid w:val="5A74C2A1"/>
    <w:rsid w:val="5A9518C2"/>
    <w:rsid w:val="5AA5D049"/>
    <w:rsid w:val="5BFB18A2"/>
    <w:rsid w:val="5C0F5F91"/>
    <w:rsid w:val="5C8FAE4C"/>
    <w:rsid w:val="5D0BD51C"/>
    <w:rsid w:val="5D41C239"/>
    <w:rsid w:val="5DD0CEB2"/>
    <w:rsid w:val="5EE42C4A"/>
    <w:rsid w:val="5F07655C"/>
    <w:rsid w:val="5F1D074B"/>
    <w:rsid w:val="5F409E80"/>
    <w:rsid w:val="5F4AECB2"/>
    <w:rsid w:val="5FB3988D"/>
    <w:rsid w:val="605F5D12"/>
    <w:rsid w:val="60BA39CA"/>
    <w:rsid w:val="60CE6E3D"/>
    <w:rsid w:val="611E11AE"/>
    <w:rsid w:val="6127599E"/>
    <w:rsid w:val="614A1969"/>
    <w:rsid w:val="616F54A5"/>
    <w:rsid w:val="61E3CEC0"/>
    <w:rsid w:val="6213D9A7"/>
    <w:rsid w:val="622AAB78"/>
    <w:rsid w:val="6245DD86"/>
    <w:rsid w:val="62490CCF"/>
    <w:rsid w:val="62E4B6D2"/>
    <w:rsid w:val="63482894"/>
    <w:rsid w:val="63CEC477"/>
    <w:rsid w:val="63EFD5CD"/>
    <w:rsid w:val="64CB57E6"/>
    <w:rsid w:val="6597A1F8"/>
    <w:rsid w:val="65CC4E2B"/>
    <w:rsid w:val="660D1887"/>
    <w:rsid w:val="6623A7A2"/>
    <w:rsid w:val="66A96750"/>
    <w:rsid w:val="66B213E1"/>
    <w:rsid w:val="66B74B59"/>
    <w:rsid w:val="6771D399"/>
    <w:rsid w:val="67A40EEE"/>
    <w:rsid w:val="67D9FC4F"/>
    <w:rsid w:val="67DBDECF"/>
    <w:rsid w:val="683CB127"/>
    <w:rsid w:val="68401291"/>
    <w:rsid w:val="68D05EF4"/>
    <w:rsid w:val="690385A5"/>
    <w:rsid w:val="6966D200"/>
    <w:rsid w:val="697A0316"/>
    <w:rsid w:val="6A222DCE"/>
    <w:rsid w:val="6A2A62EF"/>
    <w:rsid w:val="6A989C56"/>
    <w:rsid w:val="6AEC78E7"/>
    <w:rsid w:val="6B0DDC31"/>
    <w:rsid w:val="6BA763AC"/>
    <w:rsid w:val="6BD22FC4"/>
    <w:rsid w:val="6C38348B"/>
    <w:rsid w:val="6C72C8C7"/>
    <w:rsid w:val="6C90F7D0"/>
    <w:rsid w:val="6CAFDB38"/>
    <w:rsid w:val="6D4FAEF1"/>
    <w:rsid w:val="6E090A33"/>
    <w:rsid w:val="6E0CE1A1"/>
    <w:rsid w:val="6E48E9B8"/>
    <w:rsid w:val="6E56B669"/>
    <w:rsid w:val="6F19EAD5"/>
    <w:rsid w:val="6F2B9829"/>
    <w:rsid w:val="70A612A1"/>
    <w:rsid w:val="70B466E4"/>
    <w:rsid w:val="70B47B0C"/>
    <w:rsid w:val="70CB6D8E"/>
    <w:rsid w:val="70E11D92"/>
    <w:rsid w:val="719041E0"/>
    <w:rsid w:val="71A90B6B"/>
    <w:rsid w:val="71E9284E"/>
    <w:rsid w:val="72E1DB8D"/>
    <w:rsid w:val="72F02257"/>
    <w:rsid w:val="739258AA"/>
    <w:rsid w:val="7535F477"/>
    <w:rsid w:val="7563F25D"/>
    <w:rsid w:val="761ADD80"/>
    <w:rsid w:val="76856E3A"/>
    <w:rsid w:val="769E5782"/>
    <w:rsid w:val="76A87311"/>
    <w:rsid w:val="76D943CE"/>
    <w:rsid w:val="7727DA16"/>
    <w:rsid w:val="77AA3300"/>
    <w:rsid w:val="784D0B02"/>
    <w:rsid w:val="78F4D852"/>
    <w:rsid w:val="792FDAFE"/>
    <w:rsid w:val="7A87C9BC"/>
    <w:rsid w:val="7B3216D5"/>
    <w:rsid w:val="7BE35994"/>
    <w:rsid w:val="7C1EE180"/>
    <w:rsid w:val="7C229BE2"/>
    <w:rsid w:val="7C699DD9"/>
    <w:rsid w:val="7C70DBDA"/>
    <w:rsid w:val="7D9D6EDB"/>
    <w:rsid w:val="7DD955FA"/>
    <w:rsid w:val="7E08F4B8"/>
    <w:rsid w:val="7E1C6796"/>
    <w:rsid w:val="7E72B3AF"/>
    <w:rsid w:val="7F1CEBF5"/>
    <w:rsid w:val="7F250C2B"/>
    <w:rsid w:val="7F9CE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505E4"/>
  <w15:chartTrackingRefBased/>
  <w15:docId w15:val="{F921FF09-DC0D-49A1-91E4-58C226F3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284CC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84CC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84CC97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84CC973"/>
    <w:rPr>
      <w:color w:val="467886"/>
      <w:u w:val="single"/>
    </w:rPr>
  </w:style>
  <w:style w:type="paragraph" w:styleId="ListParagraph">
    <w:name w:val="List Paragraph"/>
    <w:basedOn w:val="Normal"/>
    <w:uiPriority w:val="34"/>
    <w:qFormat/>
    <w:rsid w:val="284CC973"/>
    <w:pPr>
      <w:ind w:left="720"/>
      <w:contextualSpacing/>
    </w:pPr>
  </w:style>
  <w:style w:type="table" w:styleId="TableGrid">
    <w:name w:val="Table Grid"/>
    <w:basedOn w:val="TableNormal"/>
    <w:uiPriority w:val="39"/>
    <w:rsid w:val="00E5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0FAB"/>
    <w:rPr>
      <w:color w:val="605E5C"/>
      <w:shd w:val="clear" w:color="auto" w:fill="E1DFDD"/>
    </w:rPr>
  </w:style>
  <w:style w:type="paragraph" w:styleId="Header">
    <w:name w:val="header"/>
    <w:basedOn w:val="Normal"/>
    <w:link w:val="HeaderChar"/>
    <w:uiPriority w:val="99"/>
    <w:unhideWhenUsed/>
    <w:rsid w:val="00814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88"/>
  </w:style>
  <w:style w:type="paragraph" w:styleId="Footer">
    <w:name w:val="footer"/>
    <w:basedOn w:val="Normal"/>
    <w:link w:val="FooterChar"/>
    <w:uiPriority w:val="99"/>
    <w:unhideWhenUsed/>
    <w:rsid w:val="00814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350517">
      <w:bodyDiv w:val="1"/>
      <w:marLeft w:val="0"/>
      <w:marRight w:val="0"/>
      <w:marTop w:val="0"/>
      <w:marBottom w:val="0"/>
      <w:divBdr>
        <w:top w:val="none" w:sz="0" w:space="0" w:color="auto"/>
        <w:left w:val="none" w:sz="0" w:space="0" w:color="auto"/>
        <w:bottom w:val="none" w:sz="0" w:space="0" w:color="auto"/>
        <w:right w:val="none" w:sz="0" w:space="0" w:color="auto"/>
      </w:divBdr>
      <w:divsChild>
        <w:div w:id="85461732">
          <w:marLeft w:val="0"/>
          <w:marRight w:val="0"/>
          <w:marTop w:val="0"/>
          <w:marBottom w:val="0"/>
          <w:divBdr>
            <w:top w:val="none" w:sz="0" w:space="0" w:color="auto"/>
            <w:left w:val="none" w:sz="0" w:space="0" w:color="auto"/>
            <w:bottom w:val="none" w:sz="0" w:space="0" w:color="auto"/>
            <w:right w:val="none" w:sz="0" w:space="0" w:color="auto"/>
          </w:divBdr>
        </w:div>
        <w:div w:id="1451123093">
          <w:marLeft w:val="0"/>
          <w:marRight w:val="0"/>
          <w:marTop w:val="0"/>
          <w:marBottom w:val="0"/>
          <w:divBdr>
            <w:top w:val="none" w:sz="0" w:space="0" w:color="auto"/>
            <w:left w:val="none" w:sz="0" w:space="0" w:color="auto"/>
            <w:bottom w:val="none" w:sz="0" w:space="0" w:color="auto"/>
            <w:right w:val="none" w:sz="0" w:space="0" w:color="auto"/>
          </w:divBdr>
        </w:div>
        <w:div w:id="837234041">
          <w:marLeft w:val="0"/>
          <w:marRight w:val="0"/>
          <w:marTop w:val="0"/>
          <w:marBottom w:val="0"/>
          <w:divBdr>
            <w:top w:val="none" w:sz="0" w:space="0" w:color="auto"/>
            <w:left w:val="none" w:sz="0" w:space="0" w:color="auto"/>
            <w:bottom w:val="none" w:sz="0" w:space="0" w:color="auto"/>
            <w:right w:val="none" w:sz="0" w:space="0" w:color="auto"/>
          </w:divBdr>
        </w:div>
        <w:div w:id="290328264">
          <w:marLeft w:val="0"/>
          <w:marRight w:val="0"/>
          <w:marTop w:val="0"/>
          <w:marBottom w:val="0"/>
          <w:divBdr>
            <w:top w:val="none" w:sz="0" w:space="0" w:color="auto"/>
            <w:left w:val="none" w:sz="0" w:space="0" w:color="auto"/>
            <w:bottom w:val="none" w:sz="0" w:space="0" w:color="auto"/>
            <w:right w:val="none" w:sz="0" w:space="0" w:color="auto"/>
          </w:divBdr>
        </w:div>
      </w:divsChild>
    </w:div>
    <w:div w:id="1336346303">
      <w:bodyDiv w:val="1"/>
      <w:marLeft w:val="0"/>
      <w:marRight w:val="0"/>
      <w:marTop w:val="0"/>
      <w:marBottom w:val="0"/>
      <w:divBdr>
        <w:top w:val="none" w:sz="0" w:space="0" w:color="auto"/>
        <w:left w:val="none" w:sz="0" w:space="0" w:color="auto"/>
        <w:bottom w:val="none" w:sz="0" w:space="0" w:color="auto"/>
        <w:right w:val="none" w:sz="0" w:space="0" w:color="auto"/>
      </w:divBdr>
      <w:divsChild>
        <w:div w:id="1705130045">
          <w:marLeft w:val="0"/>
          <w:marRight w:val="0"/>
          <w:marTop w:val="0"/>
          <w:marBottom w:val="0"/>
          <w:divBdr>
            <w:top w:val="none" w:sz="0" w:space="0" w:color="auto"/>
            <w:left w:val="none" w:sz="0" w:space="0" w:color="auto"/>
            <w:bottom w:val="none" w:sz="0" w:space="0" w:color="auto"/>
            <w:right w:val="none" w:sz="0" w:space="0" w:color="auto"/>
          </w:divBdr>
        </w:div>
        <w:div w:id="510992517">
          <w:marLeft w:val="0"/>
          <w:marRight w:val="0"/>
          <w:marTop w:val="0"/>
          <w:marBottom w:val="0"/>
          <w:divBdr>
            <w:top w:val="none" w:sz="0" w:space="0" w:color="auto"/>
            <w:left w:val="none" w:sz="0" w:space="0" w:color="auto"/>
            <w:bottom w:val="none" w:sz="0" w:space="0" w:color="auto"/>
            <w:right w:val="none" w:sz="0" w:space="0" w:color="auto"/>
          </w:divBdr>
        </w:div>
        <w:div w:id="281113276">
          <w:marLeft w:val="0"/>
          <w:marRight w:val="0"/>
          <w:marTop w:val="0"/>
          <w:marBottom w:val="0"/>
          <w:divBdr>
            <w:top w:val="none" w:sz="0" w:space="0" w:color="auto"/>
            <w:left w:val="none" w:sz="0" w:space="0" w:color="auto"/>
            <w:bottom w:val="none" w:sz="0" w:space="0" w:color="auto"/>
            <w:right w:val="none" w:sz="0" w:space="0" w:color="auto"/>
          </w:divBdr>
        </w:div>
        <w:div w:id="904416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11802620/" TargetMode="External"/><Relationship Id="rId21" Type="http://schemas.openxmlformats.org/officeDocument/2006/relationships/hyperlink" Target="https://www.ahajournals.org/doi/10.1161/circ.146.suppl_1.13725" TargetMode="External"/><Relationship Id="rId42" Type="http://schemas.openxmlformats.org/officeDocument/2006/relationships/hyperlink" Target="https://www.jacc.org/doi/10.1016/j.jchf.2023.09.007" TargetMode="External"/><Relationship Id="rId47" Type="http://schemas.openxmlformats.org/officeDocument/2006/relationships/hyperlink" Target="https://www.jacc.org/doi/10.1016/j.jacc.2022.11.006" TargetMode="External"/><Relationship Id="rId63" Type="http://schemas.openxmlformats.org/officeDocument/2006/relationships/hyperlink" Target="https://pmc.ncbi.nlm.nih.gov/articles/PMC11399533/" TargetMode="External"/><Relationship Id="rId68" Type="http://schemas.openxmlformats.org/officeDocument/2006/relationships/hyperlink" Target="https://pubmed.ncbi.nlm.nih.gov/35135688/" TargetMode="External"/><Relationship Id="rId84" Type="http://schemas.openxmlformats.org/officeDocument/2006/relationships/hyperlink" Target="https://pmc.ncbi.nlm.nih.gov/articles/PMC10913941/" TargetMode="External"/><Relationship Id="rId89" Type="http://schemas.openxmlformats.org/officeDocument/2006/relationships/hyperlink" Target="https://www.thecardiologyadvisor.com/news/%CE%B2-blocker-use-does-not-affect-dapagliflozin-safety-or-efficacy-in-hfpef-or-hfmref/" TargetMode="External"/><Relationship Id="rId16" Type="http://schemas.openxmlformats.org/officeDocument/2006/relationships/hyperlink" Target="https://www.thelancet.com/journals/langlo/article/PIIS2214-109X(18)30306-1/fulltext" TargetMode="External"/><Relationship Id="rId107" Type="http://schemas.openxmlformats.org/officeDocument/2006/relationships/footer" Target="footer3.xml"/><Relationship Id="rId11" Type="http://schemas.openxmlformats.org/officeDocument/2006/relationships/hyperlink" Target="https://www.sciencedirect.com/science/article/pii/S2213177923006157" TargetMode="External"/><Relationship Id="rId32" Type="http://schemas.openxmlformats.org/officeDocument/2006/relationships/hyperlink" Target="https://www.jacc.org/doi/10.1016/j.jchf.2023.09.007" TargetMode="External"/><Relationship Id="rId37" Type="http://schemas.openxmlformats.org/officeDocument/2006/relationships/hyperlink" Target="https://pmc.ncbi.nlm.nih.gov/articles/PMC10913941/" TargetMode="External"/><Relationship Id="rId53" Type="http://schemas.openxmlformats.org/officeDocument/2006/relationships/hyperlink" Target="https://pmc.ncbi.nlm.nih.gov/articles/PMC11566443/" TargetMode="External"/><Relationship Id="rId58" Type="http://schemas.openxmlformats.org/officeDocument/2006/relationships/hyperlink" Target="https://pubmed.ncbi.nlm.nih.gov/23559359/" TargetMode="External"/><Relationship Id="rId74" Type="http://schemas.openxmlformats.org/officeDocument/2006/relationships/hyperlink" Target="https://www.jacc.org/doi/10.1016/j.jchf.2023.09.007" TargetMode="External"/><Relationship Id="rId79" Type="http://schemas.openxmlformats.org/officeDocument/2006/relationships/hyperlink" Target="https://www.scienceopen.com/hosted-document?doi=10.15212/CVIA.2024.0026" TargetMode="External"/><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www.jacc.org/doi/10.1016/j.jacc.2022.11.006" TargetMode="External"/><Relationship Id="rId95" Type="http://schemas.openxmlformats.org/officeDocument/2006/relationships/hyperlink" Target="https://pubmed.ncbi.nlm.nih.gov/23559359/" TargetMode="External"/><Relationship Id="rId22" Type="http://schemas.openxmlformats.org/officeDocument/2006/relationships/hyperlink" Target="https://www.ahajournals.org/doi/10.1161/circ.146.suppl_1.13725" TargetMode="External"/><Relationship Id="rId27" Type="http://schemas.openxmlformats.org/officeDocument/2006/relationships/hyperlink" Target="https://bnrc.springeropen.com/articles/10.1186/s42269-024-01208-z" TargetMode="External"/><Relationship Id="rId43" Type="http://schemas.openxmlformats.org/officeDocument/2006/relationships/hyperlink" Target="https://pubmed.ncbi.nlm.nih.gov/37767674/" TargetMode="External"/><Relationship Id="rId48" Type="http://schemas.openxmlformats.org/officeDocument/2006/relationships/hyperlink" Target="https://www.jacc.org/doi/10.1016/j.jacc.2022.11.006" TargetMode="External"/><Relationship Id="rId64" Type="http://schemas.openxmlformats.org/officeDocument/2006/relationships/hyperlink" Target="https://www.jacc.org/doi/10.1016/j.jchf.2023.09.007" TargetMode="External"/><Relationship Id="rId69" Type="http://schemas.openxmlformats.org/officeDocument/2006/relationships/hyperlink" Target="https://www.sciencedirect.com/science/article/pii/S0025619621006224" TargetMode="External"/><Relationship Id="rId80" Type="http://schemas.openxmlformats.org/officeDocument/2006/relationships/hyperlink" Target="https://www.ahajournals.org/doi/10.1161/circ.146.suppl_1.13725" TargetMode="External"/><Relationship Id="rId85" Type="http://schemas.openxmlformats.org/officeDocument/2006/relationships/hyperlink" Target="https://pmc.ncbi.nlm.nih.gov/articles/PMC11399533/" TargetMode="External"/><Relationship Id="rId12" Type="http://schemas.openxmlformats.org/officeDocument/2006/relationships/hyperlink" Target="https://www.thelancet.com/journals/langlo/article/PIIS2214-109X(18)30306-1/fulltext" TargetMode="External"/><Relationship Id="rId17" Type="http://schemas.openxmlformats.org/officeDocument/2006/relationships/hyperlink" Target="https://www.thelancet.com/journals/langlo/article/PIIS2214-109X(18)30306-1/fulltext" TargetMode="External"/><Relationship Id="rId33" Type="http://schemas.openxmlformats.org/officeDocument/2006/relationships/hyperlink" Target="https://pmc.ncbi.nlm.nih.gov/articles/PMC10913941/" TargetMode="External"/><Relationship Id="rId38" Type="http://schemas.openxmlformats.org/officeDocument/2006/relationships/hyperlink" Target="https://onlinelibrary.wiley.com/doi/full/10.1002/ejhf.1227" TargetMode="External"/><Relationship Id="rId59" Type="http://schemas.openxmlformats.org/officeDocument/2006/relationships/hyperlink" Target="https://pmc.ncbi.nlm.nih.gov/articles/PMC10919845/"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s://pmc.ncbi.nlm.nih.gov/articles/PMC11566443/" TargetMode="External"/><Relationship Id="rId70" Type="http://schemas.openxmlformats.org/officeDocument/2006/relationships/hyperlink" Target="https://www.jacc.org/doi/10.1016/j.jchf.2021.06.011" TargetMode="External"/><Relationship Id="rId75" Type="http://schemas.openxmlformats.org/officeDocument/2006/relationships/hyperlink" Target="https://pmc.ncbi.nlm.nih.gov/articles/PMC11604132/" TargetMode="External"/><Relationship Id="rId91" Type="http://schemas.openxmlformats.org/officeDocument/2006/relationships/hyperlink" Target="https://pmc.ncbi.nlm.nih.gov/articles/PMC7327531/" TargetMode="External"/><Relationship Id="rId96" Type="http://schemas.openxmlformats.org/officeDocument/2006/relationships/hyperlink" Target="https://www.sciencedirect.com/science/article/pii/S26666022210005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open.com/hosted-document?doi=10.15212/CVIA.2024.0026" TargetMode="External"/><Relationship Id="rId23" Type="http://schemas.openxmlformats.org/officeDocument/2006/relationships/hyperlink" Target="https://pmc.ncbi.nlm.nih.gov/articles/PMC10919845/" TargetMode="External"/><Relationship Id="rId28" Type="http://schemas.openxmlformats.org/officeDocument/2006/relationships/hyperlink" Target="https://bnrc.springeropen.com/articles/10.1186/s42269-024-01208-z" TargetMode="External"/><Relationship Id="rId36" Type="http://schemas.openxmlformats.org/officeDocument/2006/relationships/hyperlink" Target="https://www.jacc.org/doi/10.1016/j.jchf.2023.09.007" TargetMode="External"/><Relationship Id="rId49" Type="http://schemas.openxmlformats.org/officeDocument/2006/relationships/hyperlink" Target="https://www.jacc.org/doi/10.1016/j.jacc.2022.11.006" TargetMode="External"/><Relationship Id="rId57" Type="http://schemas.openxmlformats.org/officeDocument/2006/relationships/hyperlink" Target="https://pmc.ncbi.nlm.nih.gov/articles/PMC5122500/" TargetMode="External"/><Relationship Id="rId106" Type="http://schemas.openxmlformats.org/officeDocument/2006/relationships/header" Target="header3.xml"/><Relationship Id="rId10" Type="http://schemas.openxmlformats.org/officeDocument/2006/relationships/hyperlink" Target="https://www.jacc.org/doi/10.1016/j.jchf.2023.09.007" TargetMode="External"/><Relationship Id="rId31" Type="http://schemas.openxmlformats.org/officeDocument/2006/relationships/hyperlink" Target="https://www.jacc.org/doi/10.1016/j.jchf.2023.09.007" TargetMode="External"/><Relationship Id="rId44" Type="http://schemas.openxmlformats.org/officeDocument/2006/relationships/hyperlink" Target="https://pubmed.ncbi.nlm.nih.gov/37767674/" TargetMode="External"/><Relationship Id="rId52" Type="http://schemas.openxmlformats.org/officeDocument/2006/relationships/hyperlink" Target="https://pmc.ncbi.nlm.nih.gov/articles/PMC9301591/" TargetMode="External"/><Relationship Id="rId60" Type="http://schemas.openxmlformats.org/officeDocument/2006/relationships/hyperlink" Target="https://pmc.ncbi.nlm.nih.gov/articles/PMC10919845/" TargetMode="External"/><Relationship Id="rId65" Type="http://schemas.openxmlformats.org/officeDocument/2006/relationships/hyperlink" Target="https://www.jacc.org/doi/10.1016/j.jchf.2023.09.007" TargetMode="External"/><Relationship Id="rId73" Type="http://schemas.openxmlformats.org/officeDocument/2006/relationships/hyperlink" Target="https://pmc.ncbi.nlm.nih.gov/articles/PMC8468030/" TargetMode="External"/><Relationship Id="rId78" Type="http://schemas.openxmlformats.org/officeDocument/2006/relationships/hyperlink" Target="https://pmc.ncbi.nlm.nih.gov/articles/PMC11153617/" TargetMode="External"/><Relationship Id="rId81" Type="http://schemas.openxmlformats.org/officeDocument/2006/relationships/hyperlink" Target="https://pmc.ncbi.nlm.nih.gov/articles/PMC10919845/" TargetMode="External"/><Relationship Id="rId86" Type="http://schemas.openxmlformats.org/officeDocument/2006/relationships/hyperlink" Target="https://onlinelibrary.wiley.com/doi/10.1002/ehf2.13489" TargetMode="External"/><Relationship Id="rId94" Type="http://schemas.openxmlformats.org/officeDocument/2006/relationships/hyperlink" Target="https://pmc.ncbi.nlm.nih.gov/articles/PMC5122500/" TargetMode="External"/><Relationship Id="rId99" Type="http://schemas.openxmlformats.org/officeDocument/2006/relationships/hyperlink" Target="https://www.sciencedirect.com/science/article/pii/S0025619621006224" TargetMode="External"/><Relationship Id="rId101" Type="http://schemas.openxmlformats.org/officeDocument/2006/relationships/hyperlink" Target="https://pmc.ncbi.nlm.nih.gov/articles/PMC8468030/" TargetMode="External"/><Relationship Id="rId4" Type="http://schemas.openxmlformats.org/officeDocument/2006/relationships/webSettings" Target="webSettings.xml"/><Relationship Id="rId9" Type="http://schemas.openxmlformats.org/officeDocument/2006/relationships/hyperlink" Target="https://pmc.ncbi.nlm.nih.gov/articles/PMC11604132/" TargetMode="External"/><Relationship Id="rId13" Type="http://schemas.openxmlformats.org/officeDocument/2006/relationships/hyperlink" Target="https://www.thelancet.com/journals/langlo/article/PIIS2214-109X(18)30306-1/fulltext" TargetMode="External"/><Relationship Id="rId18" Type="http://schemas.openxmlformats.org/officeDocument/2006/relationships/hyperlink" Target="https://www.sciencedirect.com/science/article/pii/S2213177923006157" TargetMode="External"/><Relationship Id="rId39" Type="http://schemas.openxmlformats.org/officeDocument/2006/relationships/hyperlink" Target="https://onlinelibrary.wiley.com/doi/full/10.1002/ejhf.1227" TargetMode="External"/><Relationship Id="rId109" Type="http://schemas.openxmlformats.org/officeDocument/2006/relationships/theme" Target="theme/theme1.xml"/><Relationship Id="rId34" Type="http://schemas.openxmlformats.org/officeDocument/2006/relationships/hyperlink" Target="https://pmc.ncbi.nlm.nih.gov/articles/PMC11399533/" TargetMode="External"/><Relationship Id="rId50" Type="http://schemas.openxmlformats.org/officeDocument/2006/relationships/hyperlink" Target="https://pmc.ncbi.nlm.nih.gov/articles/PMC7327531/" TargetMode="External"/><Relationship Id="rId55" Type="http://schemas.openxmlformats.org/officeDocument/2006/relationships/hyperlink" Target="https://pmc.ncbi.nlm.nih.gov/articles/PMC11566443/" TargetMode="External"/><Relationship Id="rId76" Type="http://schemas.openxmlformats.org/officeDocument/2006/relationships/hyperlink" Target="https://www.sciencedirect.com/science/article/pii/S2213177923006157" TargetMode="External"/><Relationship Id="rId97" Type="http://schemas.openxmlformats.org/officeDocument/2006/relationships/hyperlink" Target="https://www.acc.org/Latest-in-Cardiology/ten-points-to-remember/2024/04/16/15/08/contemporary-american-and-european" TargetMode="External"/><Relationship Id="rId104" Type="http://schemas.openxmlformats.org/officeDocument/2006/relationships/footer" Target="footer1.xml"/><Relationship Id="rId7" Type="http://schemas.openxmlformats.org/officeDocument/2006/relationships/hyperlink" Target="https://www.jacc.org/doi/10.1016/j.jchf.2023.09.007" TargetMode="External"/><Relationship Id="rId71" Type="http://schemas.openxmlformats.org/officeDocument/2006/relationships/hyperlink" Target="https://pmc.ncbi.nlm.nih.gov/articles/PMC8468030/" TargetMode="External"/><Relationship Id="rId92" Type="http://schemas.openxmlformats.org/officeDocument/2006/relationships/hyperlink" Target="https://pmc.ncbi.nlm.nih.gov/articles/PMC9301591/" TargetMode="External"/><Relationship Id="rId2" Type="http://schemas.openxmlformats.org/officeDocument/2006/relationships/styles" Target="styles.xml"/><Relationship Id="rId29" Type="http://schemas.openxmlformats.org/officeDocument/2006/relationships/hyperlink" Target="https://bnrc.springeropen.com/articles/10.1186/s42269-024-01208-z" TargetMode="External"/><Relationship Id="rId24" Type="http://schemas.openxmlformats.org/officeDocument/2006/relationships/hyperlink" Target="https://www.ahajournals.org/doi/10.1161/circ.146.suppl_1.13725" TargetMode="External"/><Relationship Id="rId40" Type="http://schemas.openxmlformats.org/officeDocument/2006/relationships/hyperlink" Target="https://www.jacc.org/doi/10.1016/j.jchf.2023.09.007" TargetMode="External"/><Relationship Id="rId45" Type="http://schemas.openxmlformats.org/officeDocument/2006/relationships/hyperlink" Target="https://pubmed.ncbi.nlm.nih.gov/37767674/" TargetMode="External"/><Relationship Id="rId66" Type="http://schemas.openxmlformats.org/officeDocument/2006/relationships/hyperlink" Target="https://www.sciencedirect.com/science/article/pii/S2666602221000513" TargetMode="External"/><Relationship Id="rId87" Type="http://schemas.openxmlformats.org/officeDocument/2006/relationships/hyperlink" Target="https://onlinelibrary.wiley.com/doi/full/10.1002/ejhf.1227" TargetMode="External"/><Relationship Id="rId61" Type="http://schemas.openxmlformats.org/officeDocument/2006/relationships/hyperlink" Target="https://pmc.ncbi.nlm.nih.gov/articles/PMC10919845/" TargetMode="External"/><Relationship Id="rId82" Type="http://schemas.openxmlformats.org/officeDocument/2006/relationships/hyperlink" Target="https://pmc.ncbi.nlm.nih.gov/articles/PMC11802620/" TargetMode="External"/><Relationship Id="rId19" Type="http://schemas.openxmlformats.org/officeDocument/2006/relationships/hyperlink" Target="https://www.thelancet.com/journals/langlo/article/PIIS2214-109X(18)30306-1/fulltext" TargetMode="External"/><Relationship Id="rId14" Type="http://schemas.openxmlformats.org/officeDocument/2006/relationships/hyperlink" Target="https://pmc.ncbi.nlm.nih.gov/articles/PMC11153617/" TargetMode="External"/><Relationship Id="rId30" Type="http://schemas.openxmlformats.org/officeDocument/2006/relationships/hyperlink" Target="https://pmc.ncbi.nlm.nih.gov/articles/PMC11802620/" TargetMode="External"/><Relationship Id="rId35" Type="http://schemas.openxmlformats.org/officeDocument/2006/relationships/hyperlink" Target="https://onlinelibrary.wiley.com/doi/10.1002/ehf2.13489" TargetMode="External"/><Relationship Id="rId56" Type="http://schemas.openxmlformats.org/officeDocument/2006/relationships/hyperlink" Target="https://pmc.ncbi.nlm.nih.gov/articles/PMC5122500/" TargetMode="External"/><Relationship Id="rId77" Type="http://schemas.openxmlformats.org/officeDocument/2006/relationships/hyperlink" Target="https://www.thelancet.com/journals/langlo/article/PIIS2214-109X(18)30306-1/fulltext" TargetMode="External"/><Relationship Id="rId100" Type="http://schemas.openxmlformats.org/officeDocument/2006/relationships/hyperlink" Target="https://www.jacc.org/doi/10.1016/j.jchf.2021.06.011" TargetMode="External"/><Relationship Id="rId105" Type="http://schemas.openxmlformats.org/officeDocument/2006/relationships/footer" Target="footer2.xml"/><Relationship Id="rId8" Type="http://schemas.openxmlformats.org/officeDocument/2006/relationships/hyperlink" Target="https://pmc.ncbi.nlm.nih.gov/articles/PMC11604132/" TargetMode="External"/><Relationship Id="rId51" Type="http://schemas.openxmlformats.org/officeDocument/2006/relationships/hyperlink" Target="https://www.thecardiologyadvisor.com/news/%CE%B2-blocker-use-does-not-affect-dapagliflozin-safety-or-efficacy-in-hfpef-or-hfmref/" TargetMode="External"/><Relationship Id="rId72" Type="http://schemas.openxmlformats.org/officeDocument/2006/relationships/hyperlink" Target="https://pmc.ncbi.nlm.nih.gov/articles/PMC8468030/" TargetMode="External"/><Relationship Id="rId93" Type="http://schemas.openxmlformats.org/officeDocument/2006/relationships/hyperlink" Target="https://pmc.ncbi.nlm.nih.gov/articles/PMC11566443/" TargetMode="External"/><Relationship Id="rId98" Type="http://schemas.openxmlformats.org/officeDocument/2006/relationships/hyperlink" Target="https://pubmed.ncbi.nlm.nih.gov/35135688/" TargetMode="External"/><Relationship Id="rId3" Type="http://schemas.openxmlformats.org/officeDocument/2006/relationships/settings" Target="settings.xml"/><Relationship Id="rId25" Type="http://schemas.openxmlformats.org/officeDocument/2006/relationships/hyperlink" Target="https://www.thelancet.com/journals/langlo/article/PIIS2214-109X(18)30306-1/fulltext" TargetMode="External"/><Relationship Id="rId46" Type="http://schemas.openxmlformats.org/officeDocument/2006/relationships/hyperlink" Target="https://www.thecardiologyadvisor.com/news/%CE%B2-blocker-use-does-not-affect-dapagliflozin-safety-or-efficacy-in-hfpef-or-hfmref/" TargetMode="External"/><Relationship Id="rId67" Type="http://schemas.openxmlformats.org/officeDocument/2006/relationships/hyperlink" Target="https://www.acc.org/Latest-in-Cardiology/ten-points-to-remember/2024/04/16/15/08/contemporary-american-and-european" TargetMode="External"/><Relationship Id="rId20" Type="http://schemas.openxmlformats.org/officeDocument/2006/relationships/hyperlink" Target="https://www.thelancet.com/journals/langlo/article/PIIS2214-109X(18)30306-1/fulltext" TargetMode="External"/><Relationship Id="rId41" Type="http://schemas.openxmlformats.org/officeDocument/2006/relationships/hyperlink" Target="https://pmc.ncbi.nlm.nih.gov/articles/PMC10913941/" TargetMode="External"/><Relationship Id="rId62" Type="http://schemas.openxmlformats.org/officeDocument/2006/relationships/hyperlink" Target="https://pubmed.ncbi.nlm.nih.gov/23559359/" TargetMode="External"/><Relationship Id="rId83" Type="http://schemas.openxmlformats.org/officeDocument/2006/relationships/hyperlink" Target="https://bnrc.springeropen.com/articles/10.1186/s42269-024-01208-z" TargetMode="External"/><Relationship Id="rId88" Type="http://schemas.openxmlformats.org/officeDocument/2006/relationships/hyperlink" Target="https://pubmed.ncbi.nlm.nih.gov/37767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4717</Words>
  <Characters>26887</Characters>
  <Application>Microsoft Office Word</Application>
  <DocSecurity>0</DocSecurity>
  <Lines>224</Lines>
  <Paragraphs>63</Paragraphs>
  <ScaleCrop>false</ScaleCrop>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Kenigson, Jonathan</dc:creator>
  <cp:keywords/>
  <dc:description/>
  <cp:lastModifiedBy>SDI 1180</cp:lastModifiedBy>
  <cp:revision>16</cp:revision>
  <dcterms:created xsi:type="dcterms:W3CDTF">2025-08-29T14:29:00Z</dcterms:created>
  <dcterms:modified xsi:type="dcterms:W3CDTF">2025-09-13T12:25:00Z</dcterms:modified>
</cp:coreProperties>
</file>