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1E077" w14:textId="77777777" w:rsidR="005A0BEC" w:rsidRDefault="00586E68" w:rsidP="00586E68">
      <w:pPr>
        <w:jc w:val="center"/>
        <w:rPr>
          <w:rFonts w:ascii="Times New Roman" w:hAnsi="Times New Roman" w:cs="Times New Roman"/>
          <w:b/>
          <w:sz w:val="24"/>
        </w:rPr>
      </w:pPr>
      <w:r w:rsidRPr="00586E68">
        <w:rPr>
          <w:rFonts w:ascii="Times New Roman" w:hAnsi="Times New Roman" w:cs="Times New Roman"/>
          <w:b/>
          <w:sz w:val="24"/>
        </w:rPr>
        <w:t xml:space="preserve">Application </w:t>
      </w:r>
      <w:r>
        <w:rPr>
          <w:rFonts w:ascii="Times New Roman" w:hAnsi="Times New Roman" w:cs="Times New Roman"/>
          <w:b/>
          <w:sz w:val="24"/>
        </w:rPr>
        <w:t>o</w:t>
      </w:r>
      <w:r w:rsidRPr="00586E68">
        <w:rPr>
          <w:rFonts w:ascii="Times New Roman" w:hAnsi="Times New Roman" w:cs="Times New Roman"/>
          <w:b/>
          <w:sz w:val="24"/>
        </w:rPr>
        <w:t xml:space="preserve">f </w:t>
      </w:r>
      <w:r w:rsidR="00E75014">
        <w:rPr>
          <w:rFonts w:ascii="Times New Roman" w:hAnsi="Times New Roman" w:cs="Times New Roman"/>
          <w:b/>
          <w:sz w:val="24"/>
        </w:rPr>
        <w:t>Genetic Tools for the Management of</w:t>
      </w:r>
      <w:r w:rsidRPr="00586E68">
        <w:rPr>
          <w:rFonts w:ascii="Times New Roman" w:hAnsi="Times New Roman" w:cs="Times New Roman"/>
          <w:b/>
          <w:sz w:val="24"/>
        </w:rPr>
        <w:t xml:space="preserve"> Forest </w:t>
      </w:r>
      <w:r w:rsidR="00A8110F">
        <w:rPr>
          <w:rFonts w:ascii="Times New Roman" w:hAnsi="Times New Roman" w:cs="Times New Roman"/>
          <w:b/>
          <w:sz w:val="24"/>
        </w:rPr>
        <w:t>Genetic Resources</w:t>
      </w:r>
    </w:p>
    <w:p w14:paraId="672693D1" w14:textId="5C27800D" w:rsidR="00687B71" w:rsidRDefault="00687B71" w:rsidP="005A0BEC">
      <w:pPr>
        <w:spacing w:after="0" w:line="360" w:lineRule="auto"/>
        <w:jc w:val="both"/>
        <w:rPr>
          <w:rFonts w:ascii="Times New Roman" w:hAnsi="Times New Roman" w:cs="Times New Roman"/>
          <w:color w:val="000000" w:themeColor="text1"/>
          <w:sz w:val="16"/>
          <w:szCs w:val="24"/>
        </w:rPr>
      </w:pPr>
    </w:p>
    <w:p w14:paraId="72685600" w14:textId="77777777" w:rsidR="00D62A93" w:rsidRDefault="00D62A93" w:rsidP="005A0BEC">
      <w:pPr>
        <w:spacing w:after="0" w:line="360" w:lineRule="auto"/>
        <w:jc w:val="both"/>
        <w:rPr>
          <w:rFonts w:ascii="Times New Roman" w:hAnsi="Times New Roman" w:cs="Times New Roman"/>
          <w:color w:val="000000" w:themeColor="text1"/>
          <w:sz w:val="16"/>
          <w:szCs w:val="24"/>
        </w:rPr>
      </w:pPr>
    </w:p>
    <w:p w14:paraId="00F292E2" w14:textId="51003715" w:rsidR="00956232" w:rsidRDefault="00A8110F" w:rsidP="005A0BEC">
      <w:pPr>
        <w:spacing w:after="0" w:line="360" w:lineRule="auto"/>
        <w:jc w:val="both"/>
        <w:rPr>
          <w:rFonts w:ascii="Times New Roman" w:hAnsi="Times New Roman" w:cs="Times New Roman"/>
          <w:b/>
          <w:color w:val="000000" w:themeColor="text1"/>
          <w:sz w:val="24"/>
          <w:szCs w:val="24"/>
        </w:rPr>
      </w:pPr>
      <w:r w:rsidRPr="005A0BEC">
        <w:rPr>
          <w:rFonts w:ascii="Times New Roman" w:hAnsi="Times New Roman" w:cs="Times New Roman"/>
          <w:b/>
          <w:color w:val="000000" w:themeColor="text1"/>
          <w:sz w:val="24"/>
          <w:szCs w:val="24"/>
        </w:rPr>
        <w:t>ABSTRACT</w:t>
      </w:r>
    </w:p>
    <w:p w14:paraId="74F990DC" w14:textId="77777777" w:rsidR="00A8110F" w:rsidRDefault="00CF5F23" w:rsidP="00A8110F">
      <w:pPr>
        <w:pStyle w:val="NormalWeb"/>
        <w:spacing w:line="360" w:lineRule="auto"/>
        <w:jc w:val="both"/>
      </w:pPr>
      <w:r>
        <w:t>The management of forest trees has long been a critical challenge in the field of forestry, as these essential natural resources face numerous threats, from climate change and pests to deforestation and unsustainable harvesting practices. In recent years, there has been growing interest in the application of genetic tools to address these challenges and enhance the resilience and sustainability of forest ecosystems. One of the key strategies in this regard is the use of genetic data to inform forest management decisions. Powerful forward-genetic techniques, such as DNA/RNA sequencing technologies, marker based trait selection, quantitative trait locus mapping, genome-wide association studies, and nested association mapping, have been instrumental in pinpointing the genomic regions and underlying causative mutations responsible for traits like yield, stress resistance, and metabolic profiles .The analysis of genetic markers can help identify trees with desirable traits, such as resistance to pests or adaptations to changing climatic conditions. This information can then be used to selectively breed or propagate these high-performing individuals, thereby enhancing the overall genetic diversity and resilience of the forest. Furthermore, genetic tools can also be leveraged to monitor and respond to emerging threats, such as the spread of invasive species or the onset of disease outbreaks. By tracking the genetic profiles of these pests and pathogens, forest managers can develop early warning systems and deploy targeted management strategies to mitigate their impact. As the challenges facing forest ecosystems continue to grow, the application of genetic tools presents a promising approach to enhance the long-term sustainability and resilience of these vital natural resources.</w:t>
      </w:r>
      <w:r w:rsidR="00A8110F">
        <w:t xml:space="preserve"> In this review we have highlighted the application of genetic tools in the management of forest genetic resources.</w:t>
      </w:r>
    </w:p>
    <w:p w14:paraId="253740EF" w14:textId="27B831B1" w:rsidR="00CF5F23" w:rsidRDefault="00A8110F" w:rsidP="00CF5F23">
      <w:pPr>
        <w:pStyle w:val="NormalWeb"/>
      </w:pPr>
      <w:r w:rsidRPr="002475B3">
        <w:rPr>
          <w:b/>
        </w:rPr>
        <w:t>Keywords:</w:t>
      </w:r>
      <w:r>
        <w:t xml:space="preserve"> Forest Genetic Resources, Genetic Tools, Application, Forest Management</w:t>
      </w:r>
      <w:r w:rsidR="00CF5F23">
        <w:t xml:space="preserve"> </w:t>
      </w:r>
    </w:p>
    <w:p w14:paraId="60571829" w14:textId="0846B3F7" w:rsidR="00D62A93" w:rsidRDefault="00D62A93" w:rsidP="00CF5F23">
      <w:pPr>
        <w:pStyle w:val="NormalWeb"/>
      </w:pPr>
    </w:p>
    <w:p w14:paraId="1B72C0C2" w14:textId="1C598488" w:rsidR="00D62A93" w:rsidRDefault="00D62A93" w:rsidP="00CF5F23">
      <w:pPr>
        <w:pStyle w:val="NormalWeb"/>
      </w:pPr>
    </w:p>
    <w:p w14:paraId="313E15C5" w14:textId="77777777" w:rsidR="00D62A93" w:rsidRDefault="00D62A93" w:rsidP="00CF5F23">
      <w:pPr>
        <w:pStyle w:val="NormalWeb"/>
      </w:pPr>
      <w:bookmarkStart w:id="0" w:name="_GoBack"/>
      <w:bookmarkEnd w:id="0"/>
    </w:p>
    <w:p w14:paraId="53C2DD53" w14:textId="77777777" w:rsidR="002475B3" w:rsidRDefault="002475B3" w:rsidP="005A0BEC">
      <w:pPr>
        <w:spacing w:after="0" w:line="360" w:lineRule="auto"/>
        <w:jc w:val="both"/>
        <w:rPr>
          <w:rFonts w:ascii="Times New Roman" w:hAnsi="Times New Roman" w:cs="Times New Roman"/>
          <w:b/>
          <w:color w:val="000000" w:themeColor="text1"/>
          <w:sz w:val="24"/>
          <w:szCs w:val="24"/>
        </w:rPr>
      </w:pPr>
    </w:p>
    <w:p w14:paraId="75B1A472" w14:textId="3488B239" w:rsidR="002475B3" w:rsidRDefault="0053605C" w:rsidP="005A0BE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3AFEADD0" w14:textId="77777777" w:rsidR="002475B3" w:rsidRDefault="002475B3" w:rsidP="005A0BEC">
      <w:pPr>
        <w:spacing w:after="0" w:line="360" w:lineRule="auto"/>
        <w:jc w:val="both"/>
        <w:rPr>
          <w:rFonts w:ascii="Times New Roman" w:hAnsi="Times New Roman" w:cs="Times New Roman"/>
          <w:b/>
          <w:color w:val="000000" w:themeColor="text1"/>
          <w:sz w:val="24"/>
          <w:szCs w:val="24"/>
        </w:rPr>
      </w:pPr>
    </w:p>
    <w:p w14:paraId="575EDCE7" w14:textId="77777777" w:rsidR="00E75014" w:rsidRPr="005A0BEC" w:rsidRDefault="002475B3" w:rsidP="005A0BE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 BACKGROUND</w:t>
      </w:r>
    </w:p>
    <w:p w14:paraId="6D4D69AD" w14:textId="77777777" w:rsidR="004F0E13" w:rsidRDefault="005A0BEC" w:rsidP="004F0E13">
      <w:pPr>
        <w:spacing w:before="100" w:beforeAutospacing="1" w:after="100" w:afterAutospacing="1" w:line="360" w:lineRule="auto"/>
        <w:jc w:val="both"/>
        <w:rPr>
          <w:rFonts w:ascii="Times New Roman" w:eastAsia="Times New Roman" w:hAnsi="Times New Roman" w:cs="Times New Roman"/>
          <w:sz w:val="24"/>
          <w:szCs w:val="24"/>
        </w:rPr>
      </w:pPr>
      <w:r w:rsidRPr="005A0BEC">
        <w:rPr>
          <w:rFonts w:ascii="Times New Roman" w:eastAsia="Times New Roman" w:hAnsi="Times New Roman" w:cs="Times New Roman"/>
          <w:sz w:val="24"/>
          <w:szCs w:val="24"/>
        </w:rPr>
        <w:t>The management of forests, a critical component of our global ecosystem, has been a subject of increasing interest and concern in recent years</w:t>
      </w:r>
      <w:r w:rsidR="00110A6A">
        <w:rPr>
          <w:rFonts w:ascii="Times New Roman" w:eastAsia="Times New Roman" w:hAnsi="Times New Roman" w:cs="Times New Roman"/>
          <w:sz w:val="24"/>
          <w:szCs w:val="24"/>
        </w:rPr>
        <w:t xml:space="preserve"> (Watson, et.al., 2018)</w:t>
      </w:r>
      <w:r w:rsidRPr="005A0BEC">
        <w:rPr>
          <w:rFonts w:ascii="Times New Roman" w:eastAsia="Times New Roman" w:hAnsi="Times New Roman" w:cs="Times New Roman"/>
          <w:sz w:val="24"/>
          <w:szCs w:val="24"/>
        </w:rPr>
        <w:t xml:space="preserve">. As the world faces the challenges of climate change, the need for effective and sustainable forest management strategies has become more </w:t>
      </w:r>
      <w:r w:rsidR="00110A6A">
        <w:rPr>
          <w:rFonts w:ascii="Times New Roman" w:eastAsia="Times New Roman" w:hAnsi="Times New Roman" w:cs="Times New Roman"/>
          <w:sz w:val="24"/>
          <w:szCs w:val="24"/>
        </w:rPr>
        <w:t>essential</w:t>
      </w:r>
      <w:r w:rsidRPr="005A0BEC">
        <w:rPr>
          <w:rFonts w:ascii="Times New Roman" w:eastAsia="Times New Roman" w:hAnsi="Times New Roman" w:cs="Times New Roman"/>
          <w:sz w:val="24"/>
          <w:szCs w:val="24"/>
        </w:rPr>
        <w:t xml:space="preserve"> than ever. Traditionally, forest management has focused primarily on timber production, but our understanding of the complex dynamics of forest ecosystems has evolved, recognizing the forests as intricate and interconnected systems that provide a multitude of ecosystem services beyond just timber (Farrell et al., 2000).</w:t>
      </w:r>
      <w:r w:rsidR="00987F9E">
        <w:rPr>
          <w:rFonts w:ascii="Times New Roman" w:eastAsia="Times New Roman" w:hAnsi="Times New Roman" w:cs="Times New Roman"/>
          <w:sz w:val="24"/>
          <w:szCs w:val="24"/>
        </w:rPr>
        <w:t xml:space="preserve"> </w:t>
      </w:r>
      <w:r w:rsidR="004F0E13" w:rsidRPr="004F0E13">
        <w:rPr>
          <w:rFonts w:ascii="Times New Roman" w:eastAsia="Times New Roman" w:hAnsi="Times New Roman" w:cs="Times New Roman"/>
          <w:sz w:val="24"/>
          <w:szCs w:val="24"/>
        </w:rPr>
        <w:t>Forest genetic resources harbor high genetic diversity, which is essential for the adaptation of tree species to changing environmental conditions</w:t>
      </w:r>
      <w:r w:rsidR="00110A6A">
        <w:rPr>
          <w:rFonts w:ascii="Times New Roman" w:eastAsia="Times New Roman" w:hAnsi="Times New Roman" w:cs="Times New Roman"/>
          <w:sz w:val="24"/>
          <w:szCs w:val="24"/>
        </w:rPr>
        <w:t xml:space="preserve"> (Pautasso,2009)</w:t>
      </w:r>
      <w:r w:rsidR="004F0E13" w:rsidRPr="004F0E13">
        <w:rPr>
          <w:rFonts w:ascii="Times New Roman" w:eastAsia="Times New Roman" w:hAnsi="Times New Roman" w:cs="Times New Roman"/>
          <w:sz w:val="24"/>
          <w:szCs w:val="24"/>
        </w:rPr>
        <w:t>. In-situ conservation of valuable forest genetic resources, particularly those growing in extreme environmental conditions, is crucial for preserving the adaptation potenti</w:t>
      </w:r>
      <w:r w:rsidR="00BB3524">
        <w:rPr>
          <w:rFonts w:ascii="Times New Roman" w:eastAsia="Times New Roman" w:hAnsi="Times New Roman" w:cs="Times New Roman"/>
          <w:sz w:val="24"/>
          <w:szCs w:val="24"/>
        </w:rPr>
        <w:t xml:space="preserve">al of natural tree populations </w:t>
      </w:r>
      <w:r w:rsidR="004F0E13" w:rsidRPr="004F0E13">
        <w:rPr>
          <w:rFonts w:ascii="Times New Roman" w:eastAsia="Times New Roman" w:hAnsi="Times New Roman" w:cs="Times New Roman"/>
          <w:sz w:val="24"/>
          <w:szCs w:val="24"/>
        </w:rPr>
        <w:t>(</w:t>
      </w:r>
      <w:proofErr w:type="spellStart"/>
      <w:r w:rsidR="004F0E13" w:rsidRPr="004F0E13">
        <w:rPr>
          <w:rFonts w:ascii="Times New Roman" w:eastAsia="Times New Roman" w:hAnsi="Times New Roman" w:cs="Times New Roman"/>
          <w:sz w:val="24"/>
          <w:szCs w:val="24"/>
        </w:rPr>
        <w:t>Postolache</w:t>
      </w:r>
      <w:proofErr w:type="spellEnd"/>
      <w:r w:rsidR="004F0E13" w:rsidRPr="004F0E13">
        <w:rPr>
          <w:rFonts w:ascii="Times New Roman" w:eastAsia="Times New Roman" w:hAnsi="Times New Roman" w:cs="Times New Roman"/>
          <w:sz w:val="24"/>
          <w:szCs w:val="24"/>
        </w:rPr>
        <w:t xml:space="preserve"> et al., 2018)</w:t>
      </w:r>
      <w:r w:rsidR="00BB3524">
        <w:rPr>
          <w:rFonts w:ascii="Times New Roman" w:eastAsia="Times New Roman" w:hAnsi="Times New Roman" w:cs="Times New Roman"/>
          <w:sz w:val="24"/>
          <w:szCs w:val="24"/>
        </w:rPr>
        <w:t>.</w:t>
      </w:r>
      <w:r w:rsidR="004F0E13" w:rsidRPr="004F0E13">
        <w:rPr>
          <w:rFonts w:ascii="Times New Roman" w:eastAsia="Times New Roman" w:hAnsi="Times New Roman" w:cs="Times New Roman"/>
          <w:sz w:val="24"/>
          <w:szCs w:val="24"/>
        </w:rPr>
        <w:t xml:space="preserve"> However, the selection and incorporation of such resources into national catalogues has been limited, highlighting the need for further efforts in this direction. Additionally, the establishment of new forest genetic resource populations in marginal areas, close to the xeric limits of spec</w:t>
      </w:r>
      <w:r w:rsidR="00110A6A">
        <w:rPr>
          <w:rFonts w:ascii="Times New Roman" w:eastAsia="Times New Roman" w:hAnsi="Times New Roman" w:cs="Times New Roman"/>
          <w:sz w:val="24"/>
          <w:szCs w:val="24"/>
        </w:rPr>
        <w:t>ies</w:t>
      </w:r>
      <w:r w:rsidR="004F0E13" w:rsidRPr="004F0E13">
        <w:rPr>
          <w:rFonts w:ascii="Times New Roman" w:eastAsia="Times New Roman" w:hAnsi="Times New Roman" w:cs="Times New Roman"/>
          <w:sz w:val="24"/>
          <w:szCs w:val="24"/>
        </w:rPr>
        <w:t xml:space="preserve"> natural distribution, should be prioritized to bolster the adaptation potential of forest tree species to climate change (</w:t>
      </w:r>
      <w:proofErr w:type="spellStart"/>
      <w:r w:rsidR="004F0E13" w:rsidRPr="004F0E13">
        <w:rPr>
          <w:rFonts w:ascii="Times New Roman" w:eastAsia="Times New Roman" w:hAnsi="Times New Roman" w:cs="Times New Roman"/>
          <w:sz w:val="24"/>
          <w:szCs w:val="24"/>
        </w:rPr>
        <w:t>Postolache</w:t>
      </w:r>
      <w:proofErr w:type="spellEnd"/>
      <w:r w:rsidR="004F0E13" w:rsidRPr="004F0E13">
        <w:rPr>
          <w:rFonts w:ascii="Times New Roman" w:eastAsia="Times New Roman" w:hAnsi="Times New Roman" w:cs="Times New Roman"/>
          <w:sz w:val="24"/>
          <w:szCs w:val="24"/>
        </w:rPr>
        <w:t xml:space="preserve"> et al., 2018). </w:t>
      </w:r>
    </w:p>
    <w:p w14:paraId="4DDBF0EE" w14:textId="77777777" w:rsidR="004F0E13" w:rsidRPr="004F0E13" w:rsidRDefault="004F0E13" w:rsidP="004F0E1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A0BEC" w:rsidRPr="005A0BEC">
        <w:rPr>
          <w:rFonts w:ascii="Times New Roman" w:eastAsia="Times New Roman" w:hAnsi="Times New Roman" w:cs="Times New Roman"/>
          <w:sz w:val="24"/>
          <w:szCs w:val="24"/>
        </w:rPr>
        <w:t>he application of genetic tools has emerged as a promising approach to address the challenges of forest management</w:t>
      </w:r>
      <w:r w:rsidR="00E62074">
        <w:rPr>
          <w:rFonts w:ascii="Times New Roman" w:eastAsia="Times New Roman" w:hAnsi="Times New Roman" w:cs="Times New Roman"/>
          <w:sz w:val="24"/>
          <w:szCs w:val="24"/>
        </w:rPr>
        <w:t xml:space="preserve"> </w:t>
      </w:r>
      <w:r w:rsidR="00110A6A">
        <w:rPr>
          <w:rFonts w:ascii="Times New Roman" w:eastAsia="Times New Roman" w:hAnsi="Times New Roman" w:cs="Times New Roman"/>
          <w:sz w:val="24"/>
          <w:szCs w:val="24"/>
        </w:rPr>
        <w:t>(Amaral, et.al., 2020)</w:t>
      </w:r>
      <w:r w:rsidR="005A0BEC" w:rsidRPr="005A0BEC">
        <w:rPr>
          <w:rFonts w:ascii="Times New Roman" w:eastAsia="Times New Roman" w:hAnsi="Times New Roman" w:cs="Times New Roman"/>
          <w:sz w:val="24"/>
          <w:szCs w:val="24"/>
        </w:rPr>
        <w:t>. Genetic tools can provide valuable insights into the underlying mechanisms that drive forest resilience, adaptation, and overall ecosystem function, enabling forest managers to make more informed decisions and develop strategies that balance the various objectives of forest man</w:t>
      </w:r>
      <w:r w:rsidR="005A0BEC">
        <w:rPr>
          <w:rFonts w:ascii="Times New Roman" w:eastAsia="Times New Roman" w:hAnsi="Times New Roman" w:cs="Times New Roman"/>
          <w:sz w:val="24"/>
          <w:szCs w:val="24"/>
        </w:rPr>
        <w:t>agement (</w:t>
      </w:r>
      <w:proofErr w:type="spellStart"/>
      <w:r w:rsidR="00110A6A">
        <w:rPr>
          <w:rFonts w:ascii="Times New Roman" w:eastAsia="Times New Roman" w:hAnsi="Times New Roman" w:cs="Times New Roman"/>
          <w:sz w:val="24"/>
          <w:szCs w:val="24"/>
        </w:rPr>
        <w:t>Climent</w:t>
      </w:r>
      <w:proofErr w:type="spellEnd"/>
      <w:r w:rsidR="00110A6A">
        <w:rPr>
          <w:rFonts w:ascii="Times New Roman" w:eastAsia="Times New Roman" w:hAnsi="Times New Roman" w:cs="Times New Roman"/>
          <w:sz w:val="24"/>
          <w:szCs w:val="24"/>
        </w:rPr>
        <w:t xml:space="preserve">, et al., 2024; </w:t>
      </w:r>
      <w:r w:rsidR="005A0BEC">
        <w:rPr>
          <w:rFonts w:ascii="Times New Roman" w:eastAsia="Times New Roman" w:hAnsi="Times New Roman" w:cs="Times New Roman"/>
          <w:sz w:val="24"/>
          <w:szCs w:val="24"/>
        </w:rPr>
        <w:t xml:space="preserve">Duncker et al., 2012; </w:t>
      </w:r>
      <w:r w:rsidR="005A0BEC" w:rsidRPr="005A0BEC">
        <w:rPr>
          <w:rFonts w:ascii="Times New Roman" w:eastAsia="Times New Roman" w:hAnsi="Times New Roman" w:cs="Times New Roman"/>
          <w:sz w:val="24"/>
          <w:szCs w:val="24"/>
        </w:rPr>
        <w:t>Farrell et al., 2000).</w:t>
      </w:r>
      <w:r>
        <w:rPr>
          <w:rFonts w:ascii="Times New Roman" w:eastAsia="Times New Roman" w:hAnsi="Times New Roman" w:cs="Times New Roman"/>
          <w:sz w:val="24"/>
          <w:szCs w:val="24"/>
        </w:rPr>
        <w:t xml:space="preserve"> </w:t>
      </w:r>
      <w:r w:rsidRPr="004F0E13">
        <w:rPr>
          <w:rFonts w:ascii="Times New Roman" w:eastAsia="Times New Roman" w:hAnsi="Times New Roman" w:cs="Times New Roman"/>
          <w:sz w:val="24"/>
          <w:szCs w:val="24"/>
        </w:rPr>
        <w:t>Maintaining the resilience and adaptability of forest ecosystems to global changes has become a crucial challenge for forest management (Messier et al., 2019). The application of genetic tools can play a pivotal role in enhancing the adaptive capacity of forest tree species and ensuring their long-term sustainabil</w:t>
      </w:r>
      <w:r w:rsidR="00110A6A">
        <w:rPr>
          <w:rFonts w:ascii="Times New Roman" w:eastAsia="Times New Roman" w:hAnsi="Times New Roman" w:cs="Times New Roman"/>
          <w:sz w:val="24"/>
          <w:szCs w:val="24"/>
        </w:rPr>
        <w:t>ity (</w:t>
      </w:r>
      <w:r w:rsidRPr="004F0E13">
        <w:rPr>
          <w:rFonts w:ascii="Times New Roman" w:eastAsia="Times New Roman" w:hAnsi="Times New Roman" w:cs="Times New Roman"/>
          <w:sz w:val="24"/>
          <w:szCs w:val="24"/>
        </w:rPr>
        <w:t>Messier et al., 2019)</w:t>
      </w:r>
      <w:r w:rsidR="00110A6A">
        <w:rPr>
          <w:rFonts w:ascii="Times New Roman" w:eastAsia="Times New Roman" w:hAnsi="Times New Roman" w:cs="Times New Roman"/>
          <w:sz w:val="24"/>
          <w:szCs w:val="24"/>
        </w:rPr>
        <w:t>.</w:t>
      </w:r>
      <w:r w:rsidRPr="004F0E13">
        <w:rPr>
          <w:rFonts w:ascii="Times New Roman" w:eastAsia="Times New Roman" w:hAnsi="Times New Roman" w:cs="Times New Roman"/>
          <w:sz w:val="24"/>
          <w:szCs w:val="24"/>
        </w:rPr>
        <w:t xml:space="preserve"> Recent research has explored the potential of managing forests as complex adaptive systems, leveraging the concepts of resilience, </w:t>
      </w:r>
      <w:r w:rsidRPr="004F0E13">
        <w:rPr>
          <w:rFonts w:ascii="Times New Roman" w:eastAsia="Times New Roman" w:hAnsi="Times New Roman" w:cs="Times New Roman"/>
          <w:sz w:val="24"/>
          <w:szCs w:val="24"/>
        </w:rPr>
        <w:lastRenderedPageBreak/>
        <w:t>functional diversity, assisted migration, and multi-species plantations (</w:t>
      </w:r>
      <w:proofErr w:type="spellStart"/>
      <w:r w:rsidR="00110A6A">
        <w:rPr>
          <w:rFonts w:ascii="Times New Roman" w:eastAsia="Times New Roman" w:hAnsi="Times New Roman" w:cs="Times New Roman"/>
          <w:sz w:val="24"/>
          <w:szCs w:val="24"/>
        </w:rPr>
        <w:t>Trivino</w:t>
      </w:r>
      <w:proofErr w:type="spellEnd"/>
      <w:r w:rsidR="00110A6A">
        <w:rPr>
          <w:rFonts w:ascii="Times New Roman" w:eastAsia="Times New Roman" w:hAnsi="Times New Roman" w:cs="Times New Roman"/>
          <w:sz w:val="24"/>
          <w:szCs w:val="24"/>
        </w:rPr>
        <w:t xml:space="preserve"> </w:t>
      </w:r>
      <w:r w:rsidRPr="004F0E13">
        <w:rPr>
          <w:rFonts w:ascii="Times New Roman" w:eastAsia="Times New Roman" w:hAnsi="Times New Roman" w:cs="Times New Roman"/>
          <w:sz w:val="24"/>
          <w:szCs w:val="24"/>
        </w:rPr>
        <w:t>et al.,</w:t>
      </w:r>
      <w:r w:rsidR="00110A6A">
        <w:rPr>
          <w:rFonts w:ascii="Times New Roman" w:eastAsia="Times New Roman" w:hAnsi="Times New Roman" w:cs="Times New Roman"/>
          <w:sz w:val="24"/>
          <w:szCs w:val="24"/>
        </w:rPr>
        <w:t xml:space="preserve"> 2023</w:t>
      </w:r>
      <w:r w:rsidRPr="004F0E13">
        <w:rPr>
          <w:rFonts w:ascii="Times New Roman" w:eastAsia="Times New Roman" w:hAnsi="Times New Roman" w:cs="Times New Roman"/>
          <w:sz w:val="24"/>
          <w:szCs w:val="24"/>
        </w:rPr>
        <w:t xml:space="preserve">). These approaches emphasize the importance of quantifying and monitoring the functional diversity and complex network indices within forest ecosystems to inform efficient management strategies. </w:t>
      </w:r>
    </w:p>
    <w:p w14:paraId="09B6C7A3" w14:textId="77777777" w:rsidR="005A0BEC" w:rsidRDefault="002475B3" w:rsidP="005A0BEC">
      <w:pPr>
        <w:pStyle w:val="Heading2"/>
        <w:spacing w:line="360" w:lineRule="auto"/>
        <w:jc w:val="both"/>
        <w:rPr>
          <w:sz w:val="24"/>
          <w:szCs w:val="24"/>
        </w:rPr>
      </w:pPr>
      <w:r>
        <w:rPr>
          <w:sz w:val="24"/>
          <w:szCs w:val="24"/>
        </w:rPr>
        <w:t xml:space="preserve">II. </w:t>
      </w:r>
      <w:r w:rsidR="00E83F1B" w:rsidRPr="005A0BEC">
        <w:rPr>
          <w:sz w:val="24"/>
          <w:szCs w:val="24"/>
        </w:rPr>
        <w:t>GENETIC TOOLS FOR FOREST MANAGEMENT</w:t>
      </w:r>
    </w:p>
    <w:p w14:paraId="44155E47" w14:textId="77777777" w:rsidR="00E83F1B" w:rsidRDefault="00E83F1B" w:rsidP="00BF68B4">
      <w:pPr>
        <w:pStyle w:val="NormalWeb"/>
        <w:spacing w:line="360" w:lineRule="auto"/>
        <w:jc w:val="both"/>
      </w:pPr>
      <w:r>
        <w:t>The field of forest tree genetics has seen remarkable advancements in recent decades, with the development of a wide array of genetic tools that have revolutionized our understanding of plant biology and our ability to manipulate plant genomes for trait based improvement (</w:t>
      </w:r>
      <w:proofErr w:type="spellStart"/>
      <w:r w:rsidR="00E62074">
        <w:t>Naake</w:t>
      </w:r>
      <w:proofErr w:type="spellEnd"/>
      <w:r w:rsidR="00E62074">
        <w:t xml:space="preserve"> et al. 2024; </w:t>
      </w:r>
      <w:proofErr w:type="spellStart"/>
      <w:r>
        <w:t>Scossa</w:t>
      </w:r>
      <w:proofErr w:type="spellEnd"/>
      <w:r>
        <w:t xml:space="preserve"> et al., </w:t>
      </w:r>
      <w:proofErr w:type="gramStart"/>
      <w:r>
        <w:t>2020</w:t>
      </w:r>
      <w:r w:rsidR="00E62074">
        <w:t>;Wani</w:t>
      </w:r>
      <w:proofErr w:type="gramEnd"/>
      <w:r w:rsidR="00E62074">
        <w:t xml:space="preserve"> and Patel, 2022</w:t>
      </w:r>
      <w:r>
        <w:t xml:space="preserve">).  One of the key drivers of this progress has been the rapid development of high-throughput DNA/RNA sequencing technologies, which have enabled the sequencing and assembly of complete forest tree genomes, as well as the characterization of transcriptomes, methylomes, </w:t>
      </w:r>
      <w:r w:rsidR="004148F4">
        <w:t>and other omics profiles (</w:t>
      </w:r>
      <w:proofErr w:type="spellStart"/>
      <w:r w:rsidR="004148F4">
        <w:t>Tohge</w:t>
      </w:r>
      <w:proofErr w:type="spellEnd"/>
      <w:r>
        <w:t xml:space="preserve"> et al., 2020). These sequencing-based approaches have allowed researchers to identify the genetic variations underlying important </w:t>
      </w:r>
      <w:r w:rsidR="00E62074">
        <w:t>economic</w:t>
      </w:r>
      <w:r>
        <w:t xml:space="preserve"> traits, including those associated with domestication and improvement of</w:t>
      </w:r>
      <w:r w:rsidR="00BF68B4">
        <w:t xml:space="preserve"> plants (Olsen and Wendel, 2013; </w:t>
      </w:r>
      <w:r>
        <w:t xml:space="preserve">Singh et al., 2022)  Powerful forward-genetic techniques, such as quantitative trait locus mapping, genome-wide association studies, and nested association mapping, have been instrumental in pinpointing the genomic regions and underlying causative mutations responsible for traits like yield, stress resistance, </w:t>
      </w:r>
      <w:r w:rsidR="00BF68B4">
        <w:t xml:space="preserve">and metabolic profiles (Yadav et al., 2023; </w:t>
      </w:r>
      <w:r>
        <w:t xml:space="preserve">Basso </w:t>
      </w:r>
      <w:r w:rsidR="00BF68B4">
        <w:t>et al., 2020</w:t>
      </w:r>
      <w:r>
        <w:t>). These approaches have revealed a diversity of genetic mechanisms, from simple coding sequence substitutions to more complex structural variations, gene duplications, and epigenetic modifications, that contribute to the phenotypic diversity observed in crop plants.</w:t>
      </w:r>
    </w:p>
    <w:p w14:paraId="02CEAE20" w14:textId="77777777" w:rsidR="00E83F1B" w:rsidRDefault="00E83F1B" w:rsidP="00BF68B4">
      <w:pPr>
        <w:pStyle w:val="NormalWeb"/>
        <w:spacing w:line="360" w:lineRule="auto"/>
        <w:jc w:val="both"/>
      </w:pPr>
      <w:r>
        <w:t>In addition to these genomic techniques, plant biotechnologists have developed a range of genetic engineering tools for the targeted modification of plant genomes</w:t>
      </w:r>
      <w:r w:rsidR="00BF68B4">
        <w:t xml:space="preserve"> (</w:t>
      </w:r>
      <w:proofErr w:type="spellStart"/>
      <w:r w:rsidR="00BF68B4">
        <w:t>Su</w:t>
      </w:r>
      <w:proofErr w:type="spellEnd"/>
      <w:r w:rsidR="00BF68B4">
        <w:t xml:space="preserve"> et al., 2023)</w:t>
      </w:r>
      <w:r>
        <w:t>. Novel gene editing technologies, such as CRISPR/Cas9, have greatly expanded the precision and versatility of transgenic approaches, enabling the efficient introduction, removal, or modification of specific genes and regulatory elements</w:t>
      </w:r>
      <w:r w:rsidR="00BF68B4">
        <w:t xml:space="preserve"> (Mushtaq et al., </w:t>
      </w:r>
      <w:proofErr w:type="gramStart"/>
      <w:r w:rsidR="00BF68B4">
        <w:t>2023;Gupta</w:t>
      </w:r>
      <w:proofErr w:type="gramEnd"/>
      <w:r w:rsidR="00BF68B4">
        <w:t xml:space="preserve"> et.al., 2019)</w:t>
      </w:r>
      <w:r>
        <w:t xml:space="preserve">. These advanced genetic tools have been used to improve a wide range of traits, including disease </w:t>
      </w:r>
      <w:r>
        <w:lastRenderedPageBreak/>
        <w:t>resistance, nutrient use efficiency, and the production of valuable secondary metabolites</w:t>
      </w:r>
      <w:r w:rsidR="00BF68B4">
        <w:t xml:space="preserve"> (Tripathi et al., 2024; </w:t>
      </w:r>
      <w:proofErr w:type="spellStart"/>
      <w:r w:rsidR="00BF68B4">
        <w:t>Sedeek</w:t>
      </w:r>
      <w:proofErr w:type="spellEnd"/>
      <w:r w:rsidR="00BF68B4">
        <w:t xml:space="preserve"> et al., 2019)</w:t>
      </w:r>
      <w:r>
        <w:t xml:space="preserve">. </w:t>
      </w:r>
    </w:p>
    <w:p w14:paraId="4DFABD6B" w14:textId="77777777" w:rsidR="00E83F1B" w:rsidRDefault="00E83F1B" w:rsidP="00E83F1B">
      <w:pPr>
        <w:pStyle w:val="NormalWeb"/>
        <w:spacing w:line="360" w:lineRule="auto"/>
        <w:jc w:val="both"/>
      </w:pPr>
      <w:r>
        <w:t>As the field of plant genetics continues to advance, the integration of multi-omics data and the continued development of sophisticated computational and bioinformatic approaches will undoubtedly lead to even greater insights into the genetic mechanisms underlying plant growth, development, and environmental adaptations. These advancements will be crucial for the future of crop improvement, as we strive to meet the growing global demand for food, feed, and renewable resources in the face of mounting environmental ch</w:t>
      </w:r>
      <w:r w:rsidR="00BF68B4">
        <w:t>allenges</w:t>
      </w:r>
      <w:r w:rsidR="00E62074">
        <w:t xml:space="preserve"> </w:t>
      </w:r>
      <w:r>
        <w:t>(</w:t>
      </w:r>
      <w:proofErr w:type="spellStart"/>
      <w:r>
        <w:t>Scossa</w:t>
      </w:r>
      <w:proofErr w:type="spellEnd"/>
      <w:r>
        <w:t xml:space="preserve"> et</w:t>
      </w:r>
      <w:r w:rsidR="00BF68B4">
        <w:t xml:space="preserve"> al., 2020; Gardiner &amp; Krishna, 2021; </w:t>
      </w:r>
      <w:r>
        <w:t>Singh et al., 2022)</w:t>
      </w:r>
    </w:p>
    <w:p w14:paraId="274189C4" w14:textId="77777777" w:rsidR="004F0E13" w:rsidRDefault="002475B3" w:rsidP="002475B3">
      <w:pPr>
        <w:pStyle w:val="NormalWeb"/>
        <w:spacing w:line="360" w:lineRule="auto"/>
        <w:ind w:left="630" w:hanging="630"/>
        <w:jc w:val="both"/>
        <w:rPr>
          <w:b/>
        </w:rPr>
      </w:pPr>
      <w:r>
        <w:rPr>
          <w:b/>
        </w:rPr>
        <w:t xml:space="preserve">III. </w:t>
      </w:r>
      <w:r w:rsidR="00E83F1B" w:rsidRPr="00466A59">
        <w:rPr>
          <w:b/>
        </w:rPr>
        <w:t>APPLICATION OF GENETIC TOOLS FOR FOREST RESOURCES MANAGEMENT</w:t>
      </w:r>
    </w:p>
    <w:p w14:paraId="184EF128" w14:textId="77777777" w:rsidR="00E83F1B" w:rsidRPr="005A0BEC" w:rsidRDefault="00E83F1B" w:rsidP="00E83F1B">
      <w:pPr>
        <w:pStyle w:val="NormalWeb"/>
        <w:spacing w:line="360" w:lineRule="auto"/>
        <w:jc w:val="both"/>
      </w:pPr>
      <w:r w:rsidRPr="005A0BEC">
        <w:t xml:space="preserve">The use of genetic tools in forest management can take several forms. One key application is the assessment of genetic diversity within forest populations, which can inform decisions about conservation, restoration, and assisted migration efforts. By understanding the genetic makeup of different tree species and populations, forest managers can identify genotypes that are better suited to withstand the impacts of climate change, such as drought, pests, or disease. </w:t>
      </w:r>
      <w:r w:rsidR="003C2475">
        <w:t xml:space="preserve"> </w:t>
      </w:r>
      <w:r w:rsidRPr="005A0BEC">
        <w:t>Another important application of genetic tools is the development of marker-assisted breeding programs. By leveraging genetic markers associated with desirable traits, such as growth rate, wood quality, or resistance to biotic and abiotic stressors, forest managers can selectively breed trees to enhance the overall resilience and productivity of their forest stands (</w:t>
      </w:r>
      <w:proofErr w:type="spellStart"/>
      <w:r w:rsidRPr="005A0BEC">
        <w:t>Jandl</w:t>
      </w:r>
      <w:proofErr w:type="spellEnd"/>
      <w:r w:rsidRPr="005A0BEC">
        <w:t xml:space="preserve"> et al., 2019).</w:t>
      </w:r>
    </w:p>
    <w:p w14:paraId="278653EA" w14:textId="77777777" w:rsidR="00E83F1B" w:rsidRPr="005A0BEC" w:rsidRDefault="00E83F1B" w:rsidP="00E62074">
      <w:pPr>
        <w:pStyle w:val="NormalWeb"/>
        <w:spacing w:line="360" w:lineRule="auto"/>
        <w:jc w:val="both"/>
      </w:pPr>
      <w:r w:rsidRPr="005A0BEC">
        <w:t>Genetic tools can also be used to monitor and assess the impacts of forest management practices on ecosystem function and biodiversity. By tracking changes in the genetic composition of forest communities, researchers can gain insights into the long-term effects of various silvicultural operations, such as timber harvesting, on the overall health and resilience of the forest ec</w:t>
      </w:r>
      <w:r w:rsidR="00BF68B4">
        <w:t xml:space="preserve">osystem (Farrell et al., 2000; White et al., 2016; </w:t>
      </w:r>
      <w:r w:rsidRPr="005A0BEC">
        <w:t xml:space="preserve">Duncker et al., </w:t>
      </w:r>
      <w:proofErr w:type="gramStart"/>
      <w:r w:rsidRPr="005A0BEC">
        <w:t>2012</w:t>
      </w:r>
      <w:r w:rsidR="00E62074">
        <w:t>;Singh</w:t>
      </w:r>
      <w:proofErr w:type="gramEnd"/>
      <w:r w:rsidR="00E62074">
        <w:t xml:space="preserve"> and </w:t>
      </w:r>
      <w:proofErr w:type="spellStart"/>
      <w:r w:rsidR="00E62074">
        <w:t>Wani</w:t>
      </w:r>
      <w:proofErr w:type="spellEnd"/>
      <w:r w:rsidR="00E62074">
        <w:t>, 2018</w:t>
      </w:r>
      <w:r w:rsidRPr="005A0BEC">
        <w:t>).</w:t>
      </w:r>
    </w:p>
    <w:p w14:paraId="674DFD50" w14:textId="77777777" w:rsidR="00734052" w:rsidRPr="002475B3" w:rsidRDefault="002475B3" w:rsidP="00466A59">
      <w:pPr>
        <w:pStyle w:val="Heading2"/>
        <w:spacing w:line="360" w:lineRule="auto"/>
        <w:jc w:val="both"/>
        <w:rPr>
          <w:i/>
          <w:sz w:val="24"/>
          <w:szCs w:val="24"/>
        </w:rPr>
      </w:pPr>
      <w:r w:rsidRPr="002475B3">
        <w:rPr>
          <w:i/>
          <w:sz w:val="24"/>
          <w:szCs w:val="24"/>
        </w:rPr>
        <w:t xml:space="preserve">3.1. </w:t>
      </w:r>
      <w:r w:rsidR="00734052" w:rsidRPr="002475B3">
        <w:rPr>
          <w:i/>
          <w:sz w:val="24"/>
          <w:szCs w:val="24"/>
        </w:rPr>
        <w:t>Assessment of Genetic Diversity of Forest Tree Species</w:t>
      </w:r>
    </w:p>
    <w:p w14:paraId="35FBE6F1" w14:textId="77777777" w:rsidR="00734052" w:rsidRDefault="00734052" w:rsidP="003C2475">
      <w:pPr>
        <w:pStyle w:val="NormalWeb"/>
        <w:spacing w:line="360" w:lineRule="auto"/>
        <w:jc w:val="both"/>
      </w:pPr>
      <w:r>
        <w:lastRenderedPageBreak/>
        <w:t>Genetic diversity is a critical aspect of forest ecosystem health and resilience, as it provides the raw material for adaptation and evolution in the face of changing environmental conditions (Loera</w:t>
      </w:r>
      <w:r>
        <w:rPr>
          <w:rFonts w:ascii="Cambria Math" w:hAnsi="Cambria Math" w:cs="Cambria Math"/>
        </w:rPr>
        <w:t>‐</w:t>
      </w:r>
      <w:r w:rsidR="00BF68B4">
        <w:t xml:space="preserve">Sánchez et al., 2019; </w:t>
      </w:r>
      <w:r>
        <w:t xml:space="preserve">Ai et al., </w:t>
      </w:r>
      <w:proofErr w:type="gramStart"/>
      <w:r>
        <w:t>2014</w:t>
      </w:r>
      <w:r w:rsidR="00E62074">
        <w:t>;Singh</w:t>
      </w:r>
      <w:proofErr w:type="gramEnd"/>
      <w:r w:rsidR="00E62074">
        <w:t xml:space="preserve"> and Singh, 2018</w:t>
      </w:r>
      <w:r>
        <w:t>). The use of genetic tools, such as DNA sequencing and molecular markers, has become an indispensable approach for comprehensively evaluating the genetic diversity of forest tree species. Genetic diversity within a population is primarily driven by the recombination of genetic material during inheritance, as well as the processes of mutation, gene flow, and genetic drift. (</w:t>
      </w:r>
      <w:proofErr w:type="spellStart"/>
      <w:r>
        <w:t>Salgotra</w:t>
      </w:r>
      <w:proofErr w:type="spellEnd"/>
      <w:r>
        <w:t xml:space="preserve"> &amp; Chauhan, 2023) The diversity among plant populations is determined by the hereditary material present in the reproducing members of the population, and this diversity is the main driving force for the selection and evolution of populations. </w:t>
      </w:r>
    </w:p>
    <w:p w14:paraId="1BD76F37" w14:textId="77777777" w:rsidR="003C2475" w:rsidRDefault="003C2475" w:rsidP="003C2475">
      <w:pPr>
        <w:pStyle w:val="NormalWeb"/>
        <w:spacing w:line="360" w:lineRule="auto"/>
        <w:jc w:val="both"/>
      </w:pPr>
      <w:r>
        <w:t>The assessment of genetic diversity in forest tree species can provide valuable insights into their evolutionary history, adaptation potential, and resilience to environmental changes. DNA-based methods, such as fragment analysis, hybridization arrays, and high-throughput sequencing, have been widely used to measure genetic diversity in both model and non-model plant species, including forest tr</w:t>
      </w:r>
      <w:r w:rsidR="00BF68B4">
        <w:t>ees (</w:t>
      </w:r>
      <w:proofErr w:type="spellStart"/>
      <w:r w:rsidR="00BF68B4">
        <w:t>Salgotra</w:t>
      </w:r>
      <w:proofErr w:type="spellEnd"/>
      <w:r w:rsidR="00BF68B4">
        <w:t xml:space="preserve"> &amp; Chauhan, 2023; </w:t>
      </w:r>
      <w:r>
        <w:t>Loera</w:t>
      </w:r>
      <w:r>
        <w:rPr>
          <w:rFonts w:ascii="Cambria Math" w:hAnsi="Cambria Math" w:cs="Cambria Math"/>
        </w:rPr>
        <w:t>‐</w:t>
      </w:r>
      <w:r>
        <w:t>Sánchez et al., 2019). These techniques offer varying levels of resolution, throughput, and multiplexing potential, and the choice of method depends on the specific research objectives and the characteristics of the target species.</w:t>
      </w:r>
    </w:p>
    <w:p w14:paraId="32D24548" w14:textId="77777777" w:rsidR="003C2475" w:rsidRPr="00CA0E2D" w:rsidRDefault="002475B3" w:rsidP="00CA0E2D">
      <w:pPr>
        <w:pStyle w:val="Heading2"/>
        <w:spacing w:line="360" w:lineRule="auto"/>
        <w:jc w:val="both"/>
        <w:rPr>
          <w:sz w:val="24"/>
          <w:szCs w:val="24"/>
        </w:rPr>
      </w:pPr>
      <w:r>
        <w:rPr>
          <w:sz w:val="24"/>
          <w:szCs w:val="24"/>
        </w:rPr>
        <w:t xml:space="preserve">3.2. </w:t>
      </w:r>
      <w:r w:rsidR="003C2475" w:rsidRPr="00CA0E2D">
        <w:rPr>
          <w:sz w:val="24"/>
          <w:szCs w:val="24"/>
        </w:rPr>
        <w:t>Harnessing Genetic Tools for Marker-Assisted Breeding in Forest Trees</w:t>
      </w:r>
    </w:p>
    <w:p w14:paraId="47B8ACC1" w14:textId="77777777" w:rsidR="003C2475" w:rsidRDefault="003C2475" w:rsidP="00CA0E2D">
      <w:pPr>
        <w:pStyle w:val="NormalWeb"/>
        <w:spacing w:line="360" w:lineRule="auto"/>
        <w:jc w:val="both"/>
      </w:pPr>
      <w:r>
        <w:t>Marker-assisted breeding programs have garnered significant attention in recent years as a promising approach for improving the genetic traits of various plant species, including forest tr</w:t>
      </w:r>
      <w:r w:rsidR="00CA0E2D">
        <w:t>ees (James et al., 2022;</w:t>
      </w:r>
      <w:r w:rsidR="00BF68B4">
        <w:t xml:space="preserve"> </w:t>
      </w:r>
      <w:r>
        <w:t xml:space="preserve">Collard &amp; </w:t>
      </w:r>
      <w:proofErr w:type="spellStart"/>
      <w:r>
        <w:t>Mackill</w:t>
      </w:r>
      <w:proofErr w:type="spellEnd"/>
      <w:r>
        <w:t>, 2007). The integration of molecular markers into traditional breeding practices has the potential to enhance the efficiency and precision of the selection process, leading to improved crop performance. (</w:t>
      </w:r>
      <w:proofErr w:type="spellStart"/>
      <w:r>
        <w:t>Eathingt</w:t>
      </w:r>
      <w:r w:rsidR="00BF68B4">
        <w:t>on</w:t>
      </w:r>
      <w:proofErr w:type="spellEnd"/>
      <w:r w:rsidR="00BF68B4">
        <w:t xml:space="preserve"> et al., 2007; </w:t>
      </w:r>
      <w:r>
        <w:t>Guo &amp; Ye, 2014) The use of molecular markers in breeding programs is particularly advantageous for quantitative traits, which are often complex and influenced by multiple genes. By identifying markers linked to genes controlling these traits, breeders can more effectively select desirable genotypes, even in the absence of clear phenotypic expression. This technique, known as marker-assisted selection, allows for the selection of target genes in early generations, reducing the time and resources required to achieve desired outcomes.</w:t>
      </w:r>
    </w:p>
    <w:p w14:paraId="12C83A8A" w14:textId="77777777" w:rsidR="004F0E13" w:rsidRPr="00466A59" w:rsidRDefault="002475B3" w:rsidP="00466A59">
      <w:pPr>
        <w:pStyle w:val="Heading2"/>
        <w:spacing w:line="360" w:lineRule="auto"/>
        <w:jc w:val="both"/>
        <w:rPr>
          <w:sz w:val="24"/>
          <w:szCs w:val="24"/>
        </w:rPr>
      </w:pPr>
      <w:r>
        <w:rPr>
          <w:sz w:val="24"/>
          <w:szCs w:val="24"/>
        </w:rPr>
        <w:lastRenderedPageBreak/>
        <w:t xml:space="preserve">3.3. </w:t>
      </w:r>
      <w:r w:rsidR="00CA0E2D">
        <w:rPr>
          <w:sz w:val="24"/>
          <w:szCs w:val="24"/>
        </w:rPr>
        <w:t>Conservation of</w:t>
      </w:r>
      <w:r w:rsidR="004F0E13" w:rsidRPr="00466A59">
        <w:rPr>
          <w:sz w:val="24"/>
          <w:szCs w:val="24"/>
        </w:rPr>
        <w:t xml:space="preserve"> Forest Genetic Resources in the Context of Climate Change</w:t>
      </w:r>
    </w:p>
    <w:p w14:paraId="267A6C1E" w14:textId="77777777" w:rsidR="004F0E13" w:rsidRPr="00466A59" w:rsidRDefault="004F0E13" w:rsidP="00D2296D">
      <w:pPr>
        <w:pStyle w:val="NormalWeb"/>
        <w:spacing w:line="360" w:lineRule="auto"/>
        <w:jc w:val="both"/>
      </w:pPr>
      <w:r w:rsidRPr="00466A59">
        <w:t>Forest genetic resources harbor high genetic diversity, which is essential for the adaptation of tree species to changing environmental conditions</w:t>
      </w:r>
      <w:r w:rsidR="00D2296D">
        <w:t xml:space="preserve"> (George et al., 2024)</w:t>
      </w:r>
      <w:r w:rsidRPr="00466A59">
        <w:t>. In-situ conservation of valuable forest genetic resources, particularly those growing in extreme environmental conditions, is crucial for preserving the adaptation potenti</w:t>
      </w:r>
      <w:r w:rsidR="00D2296D">
        <w:t xml:space="preserve">al of natural tree populations </w:t>
      </w:r>
      <w:r w:rsidRPr="00466A59">
        <w:t>(</w:t>
      </w:r>
      <w:proofErr w:type="spellStart"/>
      <w:r w:rsidRPr="00466A59">
        <w:t>Postolache</w:t>
      </w:r>
      <w:proofErr w:type="spellEnd"/>
      <w:r w:rsidRPr="00466A59">
        <w:t xml:space="preserve"> et al., 2018)</w:t>
      </w:r>
      <w:r w:rsidR="00D2296D">
        <w:t>.</w:t>
      </w:r>
      <w:r w:rsidRPr="00466A59">
        <w:t xml:space="preserve"> However, the selection and incorporation of such resources into national catalogues has been limited, highlighting the need for further efforts in this direction. Additionally, the establishment of new forest genetic resource populations in marginal areas, close to the xeric limits of species' natural distribution, should be prioritized to bolster the adaptation potential of forest tree species to climate change (</w:t>
      </w:r>
      <w:proofErr w:type="spellStart"/>
      <w:r w:rsidRPr="00466A59">
        <w:t>Postolache</w:t>
      </w:r>
      <w:proofErr w:type="spellEnd"/>
      <w:r w:rsidRPr="00466A59">
        <w:t xml:space="preserve"> et al., 2018). </w:t>
      </w:r>
    </w:p>
    <w:p w14:paraId="41928647" w14:textId="77777777" w:rsidR="004F0E13" w:rsidRPr="00466A59" w:rsidRDefault="002475B3" w:rsidP="00466A59">
      <w:pPr>
        <w:pStyle w:val="Heading2"/>
        <w:spacing w:line="360" w:lineRule="auto"/>
        <w:jc w:val="both"/>
        <w:rPr>
          <w:sz w:val="24"/>
          <w:szCs w:val="24"/>
        </w:rPr>
      </w:pPr>
      <w:r>
        <w:rPr>
          <w:sz w:val="24"/>
          <w:szCs w:val="24"/>
        </w:rPr>
        <w:t xml:space="preserve">3.4. </w:t>
      </w:r>
      <w:r w:rsidR="004F0E13" w:rsidRPr="00466A59">
        <w:rPr>
          <w:sz w:val="24"/>
          <w:szCs w:val="24"/>
        </w:rPr>
        <w:t>Adaptive Forest Management in the Face of Uncertainty</w:t>
      </w:r>
    </w:p>
    <w:p w14:paraId="2D36214B" w14:textId="77777777" w:rsidR="004F0E13" w:rsidRPr="00466A59" w:rsidRDefault="004F0E13" w:rsidP="00D2296D">
      <w:pPr>
        <w:pStyle w:val="NormalWeb"/>
        <w:spacing w:line="360" w:lineRule="auto"/>
        <w:jc w:val="both"/>
      </w:pPr>
      <w:r w:rsidRPr="00466A59">
        <w:t>Climate change poses significant challenges to forest managers, requiring adaptive measures that account for the high uncertainties associated with future environmental and societal changes</w:t>
      </w:r>
      <w:r w:rsidR="00D2296D">
        <w:t xml:space="preserve"> (Felton et al., 2024)</w:t>
      </w:r>
      <w:r w:rsidRPr="00466A59">
        <w:t>. Forest management decisions need to be based on a comprehensive understanding of climatological and biological parameters, which can guide the selection of appropriate stand treatments and silvicultural practices. The functional complex network approach offers a flexible and multi-scale framework to manage forests for the Anthropocene. This approach allows for the integration of functional diversity and complex network indices into decision-making, enabling forest managers to identify the most efficient practices to enhance the resistance, resilience, and adaptive capacity of forest ecosystems to global changes. (</w:t>
      </w:r>
      <w:proofErr w:type="spellStart"/>
      <w:r w:rsidRPr="00466A59">
        <w:t>Jandl</w:t>
      </w:r>
      <w:proofErr w:type="spellEnd"/>
      <w:r w:rsidRPr="00466A59">
        <w:t xml:space="preserve"> et al., 2019)</w:t>
      </w:r>
    </w:p>
    <w:p w14:paraId="10A80960" w14:textId="77777777" w:rsidR="004F0E13" w:rsidRPr="00466A59" w:rsidRDefault="002475B3" w:rsidP="00466A59">
      <w:pPr>
        <w:pStyle w:val="Heading2"/>
        <w:spacing w:line="360" w:lineRule="auto"/>
        <w:jc w:val="both"/>
        <w:rPr>
          <w:sz w:val="24"/>
          <w:szCs w:val="24"/>
        </w:rPr>
      </w:pPr>
      <w:r>
        <w:rPr>
          <w:sz w:val="24"/>
          <w:szCs w:val="24"/>
        </w:rPr>
        <w:t xml:space="preserve">3.5. </w:t>
      </w:r>
      <w:r w:rsidR="004F0E13" w:rsidRPr="00466A59">
        <w:rPr>
          <w:sz w:val="24"/>
          <w:szCs w:val="24"/>
        </w:rPr>
        <w:t>Forest Tree Conservation</w:t>
      </w:r>
      <w:r w:rsidR="00CA0E2D">
        <w:rPr>
          <w:sz w:val="24"/>
          <w:szCs w:val="24"/>
        </w:rPr>
        <w:t xml:space="preserve"> </w:t>
      </w:r>
      <w:r w:rsidR="00D2296D">
        <w:rPr>
          <w:sz w:val="24"/>
          <w:szCs w:val="24"/>
        </w:rPr>
        <w:t>through</w:t>
      </w:r>
      <w:r w:rsidR="00CA0E2D">
        <w:rPr>
          <w:sz w:val="24"/>
          <w:szCs w:val="24"/>
        </w:rPr>
        <w:t xml:space="preserve"> Genetic Approaches</w:t>
      </w:r>
    </w:p>
    <w:p w14:paraId="197C5429" w14:textId="77777777" w:rsidR="004F0E13" w:rsidRPr="00466A59" w:rsidRDefault="004F0E13" w:rsidP="00D2296D">
      <w:pPr>
        <w:pStyle w:val="NormalWeb"/>
        <w:spacing w:line="360" w:lineRule="auto"/>
        <w:jc w:val="both"/>
      </w:pPr>
      <w:r w:rsidRPr="00466A59">
        <w:t>The application of genetic tools in forest management can provide valuable insights and strategies for the conservation and sustainable use of forest tree species</w:t>
      </w:r>
      <w:r w:rsidR="00D2296D">
        <w:t xml:space="preserve"> (Fady et al., 2020)</w:t>
      </w:r>
      <w:r w:rsidRPr="00466A59">
        <w:t>. Integrating these tools into adaptive forest management practices can help forest managers navigate the uncertainties posed by climate change and ensure the long-term vi ability of forest ecosys</w:t>
      </w:r>
      <w:r w:rsidR="00D2296D">
        <w:t>tems (</w:t>
      </w:r>
      <w:proofErr w:type="spellStart"/>
      <w:r w:rsidR="00D2296D">
        <w:t>Postolache</w:t>
      </w:r>
      <w:proofErr w:type="spellEnd"/>
      <w:r w:rsidR="00D2296D">
        <w:t xml:space="preserve"> et al., 2018; </w:t>
      </w:r>
      <w:proofErr w:type="spellStart"/>
      <w:r w:rsidR="00D2296D">
        <w:t>Jandl</w:t>
      </w:r>
      <w:proofErr w:type="spellEnd"/>
      <w:r w:rsidR="00D2296D">
        <w:t xml:space="preserve"> et al., 2019; </w:t>
      </w:r>
      <w:r w:rsidRPr="00466A59">
        <w:t>Messier et al., 2019).</w:t>
      </w:r>
    </w:p>
    <w:p w14:paraId="51B569C8" w14:textId="77777777" w:rsidR="004F0E13" w:rsidRPr="00466A59" w:rsidRDefault="002475B3" w:rsidP="00466A59">
      <w:pPr>
        <w:pStyle w:val="Heading2"/>
        <w:spacing w:line="360" w:lineRule="auto"/>
        <w:jc w:val="both"/>
        <w:rPr>
          <w:sz w:val="24"/>
          <w:szCs w:val="24"/>
        </w:rPr>
      </w:pPr>
      <w:r>
        <w:rPr>
          <w:sz w:val="24"/>
          <w:szCs w:val="24"/>
        </w:rPr>
        <w:lastRenderedPageBreak/>
        <w:t xml:space="preserve">3.6. </w:t>
      </w:r>
      <w:r w:rsidR="00CA0E2D">
        <w:rPr>
          <w:sz w:val="24"/>
          <w:szCs w:val="24"/>
        </w:rPr>
        <w:t xml:space="preserve">Application </w:t>
      </w:r>
      <w:proofErr w:type="gramStart"/>
      <w:r w:rsidR="00CA0E2D">
        <w:rPr>
          <w:sz w:val="24"/>
          <w:szCs w:val="24"/>
        </w:rPr>
        <w:t xml:space="preserve">of </w:t>
      </w:r>
      <w:r w:rsidR="004F0E13" w:rsidRPr="00466A59">
        <w:rPr>
          <w:sz w:val="24"/>
          <w:szCs w:val="24"/>
        </w:rPr>
        <w:t xml:space="preserve"> Genetic</w:t>
      </w:r>
      <w:proofErr w:type="gramEnd"/>
      <w:r w:rsidR="004F0E13" w:rsidRPr="00466A59">
        <w:rPr>
          <w:sz w:val="24"/>
          <w:szCs w:val="24"/>
        </w:rPr>
        <w:t xml:space="preserve"> Tools for Sustainable Forestry</w:t>
      </w:r>
    </w:p>
    <w:p w14:paraId="37A80309" w14:textId="77777777" w:rsidR="004F0E13" w:rsidRPr="00466A59" w:rsidRDefault="004F0E13" w:rsidP="00D2296D">
      <w:pPr>
        <w:pStyle w:val="NormalWeb"/>
        <w:spacing w:line="360" w:lineRule="auto"/>
        <w:jc w:val="both"/>
      </w:pPr>
      <w:r w:rsidRPr="00466A59">
        <w:t xml:space="preserve">The incorporation of genetic tools into forest management strategies can contribute to the sustainable </w:t>
      </w:r>
      <w:r w:rsidR="00D2296D">
        <w:t>stewardship of forest resources (</w:t>
      </w:r>
      <w:r w:rsidR="00D2296D" w:rsidRPr="00D2296D">
        <w:t>Archambeau et al., 2023).</w:t>
      </w:r>
      <w:r w:rsidRPr="00466A59">
        <w:t xml:space="preserve"> By leveraging the adaptive potential of forest genetic resources and implementing adaptive management practices, forest managers can enhance the resilience and adaptability of forest ecosystems to global changes, ensuring </w:t>
      </w:r>
      <w:r w:rsidR="00D2296D">
        <w:t xml:space="preserve">their long-term sustainability (Baron et al., 2009; </w:t>
      </w:r>
      <w:proofErr w:type="spellStart"/>
      <w:r w:rsidR="00D2296D">
        <w:t>Jandl</w:t>
      </w:r>
      <w:proofErr w:type="spellEnd"/>
      <w:r w:rsidR="00D2296D">
        <w:t xml:space="preserve"> et al., 2019).</w:t>
      </w:r>
    </w:p>
    <w:p w14:paraId="438940E4" w14:textId="77777777" w:rsidR="004F0E13" w:rsidRPr="00466A59" w:rsidRDefault="002475B3" w:rsidP="00466A59">
      <w:pPr>
        <w:pStyle w:val="Heading2"/>
        <w:spacing w:line="360" w:lineRule="auto"/>
        <w:jc w:val="both"/>
        <w:rPr>
          <w:sz w:val="24"/>
          <w:szCs w:val="24"/>
        </w:rPr>
      </w:pPr>
      <w:r>
        <w:rPr>
          <w:sz w:val="24"/>
          <w:szCs w:val="24"/>
        </w:rPr>
        <w:t xml:space="preserve">3.7. </w:t>
      </w:r>
      <w:r w:rsidR="00CA0E2D">
        <w:rPr>
          <w:sz w:val="24"/>
          <w:szCs w:val="24"/>
        </w:rPr>
        <w:t>Application of Genetic Tools</w:t>
      </w:r>
      <w:r w:rsidR="004F0E13" w:rsidRPr="00466A59">
        <w:rPr>
          <w:sz w:val="24"/>
          <w:szCs w:val="24"/>
        </w:rPr>
        <w:t xml:space="preserve"> in Forest Tree Cultivation</w:t>
      </w:r>
    </w:p>
    <w:p w14:paraId="038B55C1" w14:textId="77777777" w:rsidR="004F0E13" w:rsidRPr="00466A59" w:rsidRDefault="004F0E13" w:rsidP="00D2296D">
      <w:pPr>
        <w:pStyle w:val="NormalWeb"/>
        <w:spacing w:line="360" w:lineRule="auto"/>
        <w:jc w:val="both"/>
      </w:pPr>
      <w:r w:rsidRPr="00466A59">
        <w:t xml:space="preserve">The application of genetic tools in the management of forest tree species can enhance their </w:t>
      </w:r>
      <w:r w:rsidR="00D2296D">
        <w:t>cultivation and sustainable use (</w:t>
      </w:r>
      <w:proofErr w:type="spellStart"/>
      <w:r w:rsidR="00D2296D" w:rsidRPr="00D2296D">
        <w:t>Pathirana</w:t>
      </w:r>
      <w:proofErr w:type="spellEnd"/>
      <w:r w:rsidR="00D2296D" w:rsidRPr="00D2296D">
        <w:t xml:space="preserve"> and </w:t>
      </w:r>
      <w:proofErr w:type="spellStart"/>
      <w:r w:rsidR="00D2296D" w:rsidRPr="00D2296D">
        <w:t>Carimi</w:t>
      </w:r>
      <w:proofErr w:type="spellEnd"/>
      <w:r w:rsidR="00D2296D" w:rsidRPr="00D2296D">
        <w:t>, 2022).</w:t>
      </w:r>
      <w:r w:rsidRPr="00466A59">
        <w:t xml:space="preserve"> Strategies such as assisted migration and multi-species plantations, informed by genetic insights, can help mitigate the impacts of climate change and maintain the functional diversity of forest ecosystems</w:t>
      </w:r>
      <w:r w:rsidR="00D2296D">
        <w:t xml:space="preserve"> (</w:t>
      </w:r>
      <w:proofErr w:type="spellStart"/>
      <w:r w:rsidR="00D2296D">
        <w:t>Trivino</w:t>
      </w:r>
      <w:proofErr w:type="spellEnd"/>
      <w:r w:rsidR="00D2296D">
        <w:t xml:space="preserve"> et al., 2023; Filipe, 2021)</w:t>
      </w:r>
      <w:r w:rsidRPr="00466A59">
        <w:t xml:space="preserve"> </w:t>
      </w:r>
    </w:p>
    <w:p w14:paraId="1365884F" w14:textId="77777777" w:rsidR="004F0E13" w:rsidRPr="00466A59" w:rsidRDefault="002475B3" w:rsidP="00466A59">
      <w:pPr>
        <w:pStyle w:val="Heading2"/>
        <w:spacing w:line="360" w:lineRule="auto"/>
        <w:jc w:val="both"/>
        <w:rPr>
          <w:sz w:val="24"/>
          <w:szCs w:val="24"/>
        </w:rPr>
      </w:pPr>
      <w:r>
        <w:rPr>
          <w:sz w:val="24"/>
          <w:szCs w:val="24"/>
        </w:rPr>
        <w:t xml:space="preserve">3.8. </w:t>
      </w:r>
      <w:r w:rsidR="00CA0E2D">
        <w:rPr>
          <w:sz w:val="24"/>
          <w:szCs w:val="24"/>
        </w:rPr>
        <w:t xml:space="preserve">Application of Genetic Tools </w:t>
      </w:r>
      <w:proofErr w:type="gramStart"/>
      <w:r w:rsidR="00CA0E2D">
        <w:rPr>
          <w:sz w:val="24"/>
          <w:szCs w:val="24"/>
        </w:rPr>
        <w:t xml:space="preserve">in </w:t>
      </w:r>
      <w:r w:rsidR="004F0E13" w:rsidRPr="00466A59">
        <w:rPr>
          <w:sz w:val="24"/>
          <w:szCs w:val="24"/>
        </w:rPr>
        <w:t xml:space="preserve"> Forest</w:t>
      </w:r>
      <w:proofErr w:type="gramEnd"/>
      <w:r w:rsidR="004F0E13" w:rsidRPr="00466A59">
        <w:rPr>
          <w:sz w:val="24"/>
          <w:szCs w:val="24"/>
        </w:rPr>
        <w:t xml:space="preserve"> Tree Improvement</w:t>
      </w:r>
    </w:p>
    <w:p w14:paraId="392B0535" w14:textId="77777777" w:rsidR="004F0E13" w:rsidRPr="00466A59" w:rsidRDefault="004F0E13" w:rsidP="00D2296D">
      <w:pPr>
        <w:pStyle w:val="NormalWeb"/>
        <w:spacing w:line="360" w:lineRule="auto"/>
        <w:jc w:val="both"/>
      </w:pPr>
      <w:r w:rsidRPr="00466A59">
        <w:t>Genetic markers can provide valuable information for the selection and breeding of superior forest tree genotypes, enabling the development of more resilient and productive forest stands</w:t>
      </w:r>
      <w:r w:rsidR="00D2296D">
        <w:t xml:space="preserve"> (Cortes et al., 2020)</w:t>
      </w:r>
      <w:r w:rsidRPr="00466A59">
        <w:t>. By integrating genetic tools into tree improvement programs, forest managers can enhance the adaptive capacity and ecosystem services provided by managed forests.</w:t>
      </w:r>
    </w:p>
    <w:p w14:paraId="4273992C" w14:textId="77777777" w:rsidR="004F0E13" w:rsidRPr="00466A59" w:rsidRDefault="002475B3" w:rsidP="00466A59">
      <w:pPr>
        <w:pStyle w:val="Heading2"/>
        <w:spacing w:line="360" w:lineRule="auto"/>
        <w:jc w:val="both"/>
        <w:rPr>
          <w:sz w:val="24"/>
          <w:szCs w:val="24"/>
        </w:rPr>
      </w:pPr>
      <w:r>
        <w:rPr>
          <w:sz w:val="24"/>
          <w:szCs w:val="24"/>
        </w:rPr>
        <w:t xml:space="preserve">3.9. </w:t>
      </w:r>
      <w:r w:rsidR="00CA0E2D">
        <w:rPr>
          <w:sz w:val="24"/>
          <w:szCs w:val="24"/>
        </w:rPr>
        <w:t xml:space="preserve">Application of </w:t>
      </w:r>
      <w:r w:rsidR="004F0E13" w:rsidRPr="00466A59">
        <w:rPr>
          <w:sz w:val="24"/>
          <w:szCs w:val="24"/>
        </w:rPr>
        <w:t>Genomics-Enabled Strategies for Forest Tree Management</w:t>
      </w:r>
    </w:p>
    <w:p w14:paraId="67C7FB6F" w14:textId="77777777" w:rsidR="004F0E13" w:rsidRPr="00466A59" w:rsidRDefault="004F0E13" w:rsidP="00D2296D">
      <w:pPr>
        <w:pStyle w:val="NormalWeb"/>
        <w:spacing w:line="360" w:lineRule="auto"/>
        <w:jc w:val="both"/>
      </w:pPr>
      <w:r w:rsidRPr="00466A59">
        <w:t>The recent advancements in genomic technologies have significantly expanded the application of genetic tools in forest tree management</w:t>
      </w:r>
      <w:r w:rsidR="00D2296D">
        <w:t xml:space="preserve"> (Holliday et al., 2017)</w:t>
      </w:r>
      <w:r w:rsidRPr="00466A59">
        <w:t>. Genomic approaches can inform in situ conservation efforts, guide assisted migration strategies, and support the development of climate-resilient forest tree cultivars, contributing to the sustainable management of forest resources</w:t>
      </w:r>
      <w:r w:rsidR="00D2296D">
        <w:t xml:space="preserve"> (Feng et al., 2024)</w:t>
      </w:r>
      <w:r w:rsidRPr="00466A59">
        <w:t>.</w:t>
      </w:r>
    </w:p>
    <w:p w14:paraId="7E05B1FA" w14:textId="77777777" w:rsidR="004F0E13" w:rsidRPr="00466A59" w:rsidRDefault="002475B3" w:rsidP="00466A59">
      <w:pPr>
        <w:pStyle w:val="Heading2"/>
        <w:spacing w:line="360" w:lineRule="auto"/>
        <w:jc w:val="both"/>
        <w:rPr>
          <w:sz w:val="24"/>
          <w:szCs w:val="24"/>
        </w:rPr>
      </w:pPr>
      <w:r>
        <w:rPr>
          <w:sz w:val="24"/>
          <w:szCs w:val="24"/>
        </w:rPr>
        <w:t xml:space="preserve">3.10. </w:t>
      </w:r>
      <w:r w:rsidR="00CA0E2D">
        <w:rPr>
          <w:sz w:val="24"/>
          <w:szCs w:val="24"/>
        </w:rPr>
        <w:t xml:space="preserve">Application of </w:t>
      </w:r>
      <w:r w:rsidR="004F0E13" w:rsidRPr="00466A59">
        <w:rPr>
          <w:sz w:val="24"/>
          <w:szCs w:val="24"/>
        </w:rPr>
        <w:t xml:space="preserve">Genetic </w:t>
      </w:r>
      <w:r w:rsidR="00CA0E2D">
        <w:rPr>
          <w:sz w:val="24"/>
          <w:szCs w:val="24"/>
        </w:rPr>
        <w:t>tools in Developing</w:t>
      </w:r>
      <w:r w:rsidR="004F0E13" w:rsidRPr="00466A59">
        <w:rPr>
          <w:sz w:val="24"/>
          <w:szCs w:val="24"/>
        </w:rPr>
        <w:t xml:space="preserve"> Forest Tree Resilience</w:t>
      </w:r>
    </w:p>
    <w:p w14:paraId="3B89D029" w14:textId="77777777" w:rsidR="004F0E13" w:rsidRPr="00466A59" w:rsidRDefault="004F0E13" w:rsidP="00B91BA3">
      <w:pPr>
        <w:pStyle w:val="NormalWeb"/>
        <w:spacing w:line="360" w:lineRule="auto"/>
        <w:jc w:val="both"/>
      </w:pPr>
      <w:r w:rsidRPr="00466A59">
        <w:lastRenderedPageBreak/>
        <w:t>The maintenance of genetic diversity within forest tree populations is a crucial factor in ensuring their resilience and adaptability to global changes</w:t>
      </w:r>
      <w:r w:rsidR="00B91BA3">
        <w:t xml:space="preserve"> (</w:t>
      </w:r>
      <w:proofErr w:type="spellStart"/>
      <w:r w:rsidR="00B91BA3">
        <w:t>Booy</w:t>
      </w:r>
      <w:proofErr w:type="spellEnd"/>
      <w:r w:rsidR="00B91BA3">
        <w:t xml:space="preserve"> et al., 2000; </w:t>
      </w:r>
      <w:proofErr w:type="spellStart"/>
      <w:r w:rsidR="00B91BA3">
        <w:t>Sgro</w:t>
      </w:r>
      <w:proofErr w:type="spellEnd"/>
      <w:r w:rsidR="00B91BA3">
        <w:t xml:space="preserve"> et al., 2011)</w:t>
      </w:r>
      <w:r w:rsidRPr="00466A59">
        <w:t>. Leveraging genetic tools to understand and monitor the genetic diversity of forest tree species can inform management strategies that promote the long-term sustainability of forest ecosystems</w:t>
      </w:r>
      <w:r w:rsidR="00B91BA3">
        <w:t xml:space="preserve"> (Fady et al., 2020; Isabel et al., 200)</w:t>
      </w:r>
      <w:r w:rsidRPr="00466A59">
        <w:t>.</w:t>
      </w:r>
    </w:p>
    <w:p w14:paraId="310396FA" w14:textId="77777777" w:rsidR="004F0E13" w:rsidRPr="00466A59" w:rsidRDefault="002475B3" w:rsidP="00466A59">
      <w:pPr>
        <w:pStyle w:val="Heading2"/>
        <w:spacing w:line="360" w:lineRule="auto"/>
        <w:jc w:val="both"/>
        <w:rPr>
          <w:sz w:val="24"/>
          <w:szCs w:val="24"/>
        </w:rPr>
      </w:pPr>
      <w:r>
        <w:rPr>
          <w:sz w:val="24"/>
          <w:szCs w:val="24"/>
        </w:rPr>
        <w:t xml:space="preserve">3.11. </w:t>
      </w:r>
      <w:r w:rsidR="004F0E13" w:rsidRPr="00466A59">
        <w:rPr>
          <w:sz w:val="24"/>
          <w:szCs w:val="24"/>
        </w:rPr>
        <w:t>A</w:t>
      </w:r>
      <w:r w:rsidR="00CA0E2D">
        <w:rPr>
          <w:sz w:val="24"/>
          <w:szCs w:val="24"/>
        </w:rPr>
        <w:t xml:space="preserve">pplication of </w:t>
      </w:r>
      <w:r w:rsidR="00DC143F">
        <w:rPr>
          <w:sz w:val="24"/>
          <w:szCs w:val="24"/>
        </w:rPr>
        <w:t>Genetic tools</w:t>
      </w:r>
      <w:r w:rsidR="004F0E13" w:rsidRPr="00466A59">
        <w:rPr>
          <w:sz w:val="24"/>
          <w:szCs w:val="24"/>
        </w:rPr>
        <w:t xml:space="preserve"> to Forest Tree Propagation</w:t>
      </w:r>
    </w:p>
    <w:p w14:paraId="71C3C5BD" w14:textId="77777777" w:rsidR="004F0E13" w:rsidRPr="00466A59" w:rsidRDefault="004F0E13" w:rsidP="00B91BA3">
      <w:pPr>
        <w:pStyle w:val="NormalWeb"/>
        <w:spacing w:line="360" w:lineRule="auto"/>
        <w:jc w:val="both"/>
      </w:pPr>
      <w:r w:rsidRPr="00466A59">
        <w:t>Genetic tools can also be applied to the propagation of forest tree species, enabling the selection and mass pr</w:t>
      </w:r>
      <w:r w:rsidR="00B91BA3">
        <w:t>oduction of superior genotypes (</w:t>
      </w:r>
      <w:proofErr w:type="spellStart"/>
      <w:r w:rsidR="00B91BA3" w:rsidRPr="00B91BA3">
        <w:t>Ruotsalainen</w:t>
      </w:r>
      <w:proofErr w:type="spellEnd"/>
      <w:r w:rsidR="00B91BA3" w:rsidRPr="00B91BA3">
        <w:t xml:space="preserve">, 2014; </w:t>
      </w:r>
      <w:proofErr w:type="spellStart"/>
      <w:r w:rsidR="00B91BA3" w:rsidRPr="00B91BA3">
        <w:t>Nybom</w:t>
      </w:r>
      <w:proofErr w:type="spellEnd"/>
      <w:r w:rsidR="00B91BA3" w:rsidRPr="00B91BA3">
        <w:t xml:space="preserve"> and </w:t>
      </w:r>
      <w:proofErr w:type="spellStart"/>
      <w:r w:rsidR="00B91BA3" w:rsidRPr="00B91BA3">
        <w:t>Lachis</w:t>
      </w:r>
      <w:proofErr w:type="spellEnd"/>
      <w:r w:rsidR="00B91BA3" w:rsidRPr="00B91BA3">
        <w:t>, 2021</w:t>
      </w:r>
      <w:proofErr w:type="gramStart"/>
      <w:r w:rsidR="00B91BA3" w:rsidRPr="00B91BA3">
        <w:t>).</w:t>
      </w:r>
      <w:r w:rsidRPr="00466A59">
        <w:t>This</w:t>
      </w:r>
      <w:proofErr w:type="gramEnd"/>
      <w:r w:rsidRPr="00466A59">
        <w:t xml:space="preserve"> can contribute to the establishment of resilient and productive forest plantations, which can complement the conservation of natural forest resources.</w:t>
      </w:r>
      <w:r w:rsidR="002475B3">
        <w:t xml:space="preserve"> </w:t>
      </w:r>
      <w:r w:rsidR="00D53661">
        <w:t>T</w:t>
      </w:r>
      <w:r w:rsidRPr="00466A59">
        <w:t xml:space="preserve">he application of genetic tools in the management of forest tree species holds great promise for enhancing the sustainability and resilience of forest ecosystems in the face of global changes. </w:t>
      </w:r>
    </w:p>
    <w:p w14:paraId="7E85EA74" w14:textId="77777777" w:rsidR="004F0E13" w:rsidRPr="00466A59" w:rsidRDefault="002475B3" w:rsidP="00466A59">
      <w:pPr>
        <w:pStyle w:val="Heading2"/>
        <w:spacing w:line="360" w:lineRule="auto"/>
        <w:jc w:val="both"/>
        <w:rPr>
          <w:sz w:val="24"/>
          <w:szCs w:val="24"/>
        </w:rPr>
      </w:pPr>
      <w:r>
        <w:rPr>
          <w:sz w:val="24"/>
          <w:szCs w:val="24"/>
        </w:rPr>
        <w:t xml:space="preserve">3.12. </w:t>
      </w:r>
      <w:r w:rsidR="00CA0E2D">
        <w:rPr>
          <w:sz w:val="24"/>
          <w:szCs w:val="24"/>
        </w:rPr>
        <w:t xml:space="preserve">Application of </w:t>
      </w:r>
      <w:r w:rsidR="004F0E13" w:rsidRPr="00466A59">
        <w:rPr>
          <w:sz w:val="24"/>
          <w:szCs w:val="24"/>
        </w:rPr>
        <w:t>Genetic Tools for Enhanced Forest Tree Productivity</w:t>
      </w:r>
    </w:p>
    <w:p w14:paraId="72805BA6" w14:textId="77777777" w:rsidR="004F0E13" w:rsidRPr="00466A59" w:rsidRDefault="004F0E13" w:rsidP="00466A59">
      <w:pPr>
        <w:pStyle w:val="NormalWeb"/>
        <w:spacing w:line="360" w:lineRule="auto"/>
        <w:jc w:val="both"/>
      </w:pPr>
      <w:r w:rsidRPr="00466A59">
        <w:t>Genetic tools can also be leveraged to improve the productivity and yield of forest tree species, contributing to the sustainable supply of wood and other forest products. Strategies such as marker-assisted selection and genomic-enabled breeding can accelerate the development of high-performing forest tree cultivars, enabling more efficient and sustainable forest management practi</w:t>
      </w:r>
      <w:r w:rsidR="00B91BA3">
        <w:t xml:space="preserve">ces. (Collard &amp; </w:t>
      </w:r>
      <w:proofErr w:type="spellStart"/>
      <w:r w:rsidR="00B91BA3">
        <w:t>Mackill</w:t>
      </w:r>
      <w:proofErr w:type="spellEnd"/>
      <w:r w:rsidR="00B91BA3">
        <w:t xml:space="preserve">, 2007; </w:t>
      </w:r>
      <w:proofErr w:type="spellStart"/>
      <w:r w:rsidRPr="00466A59">
        <w:t>Brożyńska</w:t>
      </w:r>
      <w:proofErr w:type="spellEnd"/>
      <w:r w:rsidRPr="00466A59">
        <w:t xml:space="preserve"> et al., 2015)</w:t>
      </w:r>
    </w:p>
    <w:p w14:paraId="4148E4B8" w14:textId="77777777" w:rsidR="004F0E13" w:rsidRPr="00466A59" w:rsidRDefault="002475B3" w:rsidP="00466A59">
      <w:pPr>
        <w:pStyle w:val="Heading2"/>
        <w:spacing w:line="360" w:lineRule="auto"/>
        <w:jc w:val="both"/>
        <w:rPr>
          <w:sz w:val="24"/>
          <w:szCs w:val="24"/>
        </w:rPr>
      </w:pPr>
      <w:r>
        <w:rPr>
          <w:sz w:val="24"/>
          <w:szCs w:val="24"/>
        </w:rPr>
        <w:t xml:space="preserve">3.13. </w:t>
      </w:r>
      <w:r w:rsidR="00DC143F">
        <w:rPr>
          <w:sz w:val="24"/>
          <w:szCs w:val="24"/>
        </w:rPr>
        <w:t xml:space="preserve">Integrating Genetic tools </w:t>
      </w:r>
      <w:r w:rsidR="004F0E13" w:rsidRPr="00466A59">
        <w:rPr>
          <w:sz w:val="24"/>
          <w:szCs w:val="24"/>
        </w:rPr>
        <w:t>into Forest Tree Decision-Making</w:t>
      </w:r>
    </w:p>
    <w:p w14:paraId="247B3299" w14:textId="77777777" w:rsidR="004F0E13" w:rsidRPr="00466A59" w:rsidRDefault="004F0E13" w:rsidP="00466A59">
      <w:pPr>
        <w:pStyle w:val="NormalWeb"/>
        <w:spacing w:line="360" w:lineRule="auto"/>
        <w:jc w:val="both"/>
      </w:pPr>
      <w:r w:rsidRPr="00466A59">
        <w:t>The integration of genetic insights into forest management decision-making is critical for the long-term sustainability of forest resources. By incorporating genetic data and analyses into forest planning and operational activities, managers can make more informed decisions that enhance the resilience and adaptive capacity of forest ecosystems to global c</w:t>
      </w:r>
      <w:r w:rsidR="00B91BA3">
        <w:t>hanges (</w:t>
      </w:r>
      <w:proofErr w:type="spellStart"/>
      <w:r w:rsidR="00B91BA3">
        <w:t>Wambugu</w:t>
      </w:r>
      <w:proofErr w:type="spellEnd"/>
      <w:r w:rsidR="00B91BA3">
        <w:t xml:space="preserve"> and Henry, 2022; Messier et al., 2019; </w:t>
      </w:r>
      <w:proofErr w:type="spellStart"/>
      <w:r w:rsidR="00B91BA3">
        <w:t>Migicovsky</w:t>
      </w:r>
      <w:proofErr w:type="spellEnd"/>
      <w:r w:rsidR="00B91BA3">
        <w:t xml:space="preserve"> and Myles, 2017; </w:t>
      </w:r>
      <w:r w:rsidRPr="00466A59">
        <w:t>Weiss, 2005).</w:t>
      </w:r>
    </w:p>
    <w:p w14:paraId="2550E390" w14:textId="77777777" w:rsidR="004F0E13" w:rsidRPr="00466A59" w:rsidRDefault="002475B3" w:rsidP="00466A59">
      <w:pPr>
        <w:pStyle w:val="Heading2"/>
        <w:spacing w:line="360" w:lineRule="auto"/>
        <w:jc w:val="both"/>
        <w:rPr>
          <w:sz w:val="24"/>
          <w:szCs w:val="24"/>
        </w:rPr>
      </w:pPr>
      <w:r>
        <w:rPr>
          <w:sz w:val="24"/>
          <w:szCs w:val="24"/>
        </w:rPr>
        <w:t xml:space="preserve">3.14. </w:t>
      </w:r>
      <w:r w:rsidR="004F0E13" w:rsidRPr="00466A59">
        <w:rPr>
          <w:sz w:val="24"/>
          <w:szCs w:val="24"/>
        </w:rPr>
        <w:t>Genetic Insights for Adaptive Forest Tree Management</w:t>
      </w:r>
    </w:p>
    <w:p w14:paraId="2B36C5D5" w14:textId="77777777" w:rsidR="004F0E13" w:rsidRPr="00466A59" w:rsidRDefault="004F0E13" w:rsidP="00B91BA3">
      <w:pPr>
        <w:pStyle w:val="NormalWeb"/>
        <w:spacing w:line="360" w:lineRule="auto"/>
        <w:jc w:val="both"/>
      </w:pPr>
      <w:r w:rsidRPr="00466A59">
        <w:lastRenderedPageBreak/>
        <w:t>The application of genetic tools in forest management can provide valuable insights to guide adaptive and evidence-based decision-making</w:t>
      </w:r>
      <w:r w:rsidR="00B91BA3">
        <w:t xml:space="preserve"> (Keenan, </w:t>
      </w:r>
      <w:proofErr w:type="gramStart"/>
      <w:r w:rsidR="00B91BA3">
        <w:t>2015;Christie</w:t>
      </w:r>
      <w:proofErr w:type="gramEnd"/>
      <w:r w:rsidR="00B91BA3">
        <w:t xml:space="preserve"> et al., 2022)</w:t>
      </w:r>
      <w:r w:rsidRPr="00466A59">
        <w:t>. Genetic data can inform the selection of suitable tree species and provenances, the implementation of assisted migration strategies, and the development of climate-resilient forest management practices, ultimately contributing to the sustainability of forest resources</w:t>
      </w:r>
      <w:r w:rsidR="00B91BA3">
        <w:t xml:space="preserve"> (Fady et al., 2020)</w:t>
      </w:r>
      <w:r w:rsidRPr="00466A59">
        <w:t>.</w:t>
      </w:r>
      <w:r w:rsidR="002475B3">
        <w:t xml:space="preserve"> T</w:t>
      </w:r>
      <w:r w:rsidRPr="00466A59">
        <w:t xml:space="preserve">he integration of genetic tools and approaches into the management of forest tree species holds great potential for enhancing the sustainability and resilience of forest ecosystems in the face of global changes. </w:t>
      </w:r>
    </w:p>
    <w:p w14:paraId="6F5050E5" w14:textId="77777777" w:rsidR="004F0E13" w:rsidRPr="00466A59" w:rsidRDefault="002475B3" w:rsidP="00466A59">
      <w:pPr>
        <w:pStyle w:val="Heading2"/>
        <w:spacing w:line="360" w:lineRule="auto"/>
        <w:jc w:val="both"/>
        <w:rPr>
          <w:sz w:val="24"/>
          <w:szCs w:val="24"/>
        </w:rPr>
      </w:pPr>
      <w:r>
        <w:rPr>
          <w:sz w:val="24"/>
          <w:szCs w:val="24"/>
        </w:rPr>
        <w:t xml:space="preserve">3.15. </w:t>
      </w:r>
      <w:r w:rsidR="00CA0E2D">
        <w:rPr>
          <w:sz w:val="24"/>
          <w:szCs w:val="24"/>
        </w:rPr>
        <w:t xml:space="preserve">Application of </w:t>
      </w:r>
      <w:r w:rsidR="004F0E13" w:rsidRPr="00466A59">
        <w:rPr>
          <w:sz w:val="24"/>
          <w:szCs w:val="24"/>
        </w:rPr>
        <w:t>Genetic T</w:t>
      </w:r>
      <w:r w:rsidR="00CA0E2D">
        <w:rPr>
          <w:sz w:val="24"/>
          <w:szCs w:val="24"/>
        </w:rPr>
        <w:t>ools</w:t>
      </w:r>
      <w:r w:rsidR="004F0E13" w:rsidRPr="00466A59">
        <w:rPr>
          <w:sz w:val="24"/>
          <w:szCs w:val="24"/>
        </w:rPr>
        <w:t xml:space="preserve"> for Forest Tree Disease Resistance</w:t>
      </w:r>
    </w:p>
    <w:p w14:paraId="773C5D32" w14:textId="77777777" w:rsidR="004F0E13" w:rsidRPr="00466A59" w:rsidRDefault="004F0E13" w:rsidP="00B91BA3">
      <w:pPr>
        <w:pStyle w:val="NormalWeb"/>
        <w:spacing w:line="360" w:lineRule="auto"/>
        <w:jc w:val="both"/>
      </w:pPr>
      <w:r w:rsidRPr="00466A59">
        <w:t>Genetic tools can also be leveraged to identify and select for disease-resistant genotypes of forest tree species, which can be crucial for maintaining the health and productivity of managed forests</w:t>
      </w:r>
      <w:r w:rsidR="00B91BA3">
        <w:t xml:space="preserve"> (</w:t>
      </w:r>
      <w:proofErr w:type="spellStart"/>
      <w:r w:rsidR="00B91BA3">
        <w:t>Sniezko</w:t>
      </w:r>
      <w:proofErr w:type="spellEnd"/>
      <w:r w:rsidR="00B91BA3">
        <w:t xml:space="preserve"> and Nelson, 2022; Kerio et al, 2020)</w:t>
      </w:r>
      <w:r w:rsidRPr="00466A59">
        <w:t>. By understanding the genetic basis of disease resistance, forest managers can implement targeted strategies to mitigate the impacts of pests and pathogens, ensuring the long-term vitality of forest resources.</w:t>
      </w:r>
      <w:r w:rsidR="002475B3">
        <w:t xml:space="preserve"> </w:t>
      </w:r>
      <w:r w:rsidR="00B91BA3">
        <w:t>This</w:t>
      </w:r>
      <w:r w:rsidRPr="00466A59">
        <w:t xml:space="preserve"> application of genetic tools in the management of forest tree species offers a multitude of benefits for the sustainability and resilience of forest ecosystems. </w:t>
      </w:r>
    </w:p>
    <w:p w14:paraId="61D038AE" w14:textId="77777777" w:rsidR="004F0E13" w:rsidRPr="00466A59" w:rsidRDefault="002475B3" w:rsidP="00466A59">
      <w:pPr>
        <w:pStyle w:val="Heading2"/>
        <w:spacing w:line="360" w:lineRule="auto"/>
        <w:jc w:val="both"/>
        <w:rPr>
          <w:sz w:val="24"/>
          <w:szCs w:val="24"/>
        </w:rPr>
      </w:pPr>
      <w:r>
        <w:rPr>
          <w:sz w:val="24"/>
          <w:szCs w:val="24"/>
        </w:rPr>
        <w:t xml:space="preserve">3.16. </w:t>
      </w:r>
      <w:r w:rsidR="004F0E13" w:rsidRPr="00466A59">
        <w:rPr>
          <w:sz w:val="24"/>
          <w:szCs w:val="24"/>
        </w:rPr>
        <w:t>Genetics-Informed Forest Tree Breeding Programs</w:t>
      </w:r>
    </w:p>
    <w:p w14:paraId="0C1B4C3F" w14:textId="77777777" w:rsidR="004F0E13" w:rsidRPr="00466A59" w:rsidRDefault="004F0E13" w:rsidP="00B91BA3">
      <w:pPr>
        <w:pStyle w:val="NormalWeb"/>
        <w:spacing w:line="360" w:lineRule="auto"/>
        <w:jc w:val="both"/>
      </w:pPr>
      <w:r w:rsidRPr="00466A59">
        <w:t xml:space="preserve">The incorporation of genetic information into forest tree breeding programs can significantly enhance the efficiency and effectiveness of these </w:t>
      </w:r>
      <w:proofErr w:type="gramStart"/>
      <w:r w:rsidRPr="00466A59">
        <w:t>programs</w:t>
      </w:r>
      <w:r w:rsidR="00B91BA3">
        <w:t>(</w:t>
      </w:r>
      <w:proofErr w:type="spellStart"/>
      <w:proofErr w:type="gramEnd"/>
      <w:r w:rsidR="00B91BA3">
        <w:t>Namkoong</w:t>
      </w:r>
      <w:proofErr w:type="spellEnd"/>
      <w:r w:rsidR="00B91BA3">
        <w:t xml:space="preserve"> et al., 2012)</w:t>
      </w:r>
      <w:r w:rsidRPr="00466A59">
        <w:t>. By leveraging genetic markers and genomic data, breeders can more accurately identify and select superior genotypes with desirable traits, such as growth, wood quality, and stress tolerance. This can lead to the development of more resilient and productive forest tree cultivars, contributing to the sustainable management of forest resources.</w:t>
      </w:r>
    </w:p>
    <w:p w14:paraId="0E48C8FC" w14:textId="77777777" w:rsidR="004F0E13" w:rsidRPr="00466A59" w:rsidRDefault="002475B3" w:rsidP="00466A59">
      <w:pPr>
        <w:pStyle w:val="Heading2"/>
        <w:spacing w:line="360" w:lineRule="auto"/>
        <w:jc w:val="both"/>
        <w:rPr>
          <w:sz w:val="24"/>
          <w:szCs w:val="24"/>
        </w:rPr>
      </w:pPr>
      <w:r>
        <w:rPr>
          <w:sz w:val="24"/>
          <w:szCs w:val="24"/>
        </w:rPr>
        <w:t xml:space="preserve">3.17. </w:t>
      </w:r>
      <w:r w:rsidR="004F0E13" w:rsidRPr="00466A59">
        <w:rPr>
          <w:sz w:val="24"/>
          <w:szCs w:val="24"/>
        </w:rPr>
        <w:t>Genetic Innovations for Sustainable Forest Management</w:t>
      </w:r>
    </w:p>
    <w:p w14:paraId="19531296" w14:textId="77777777" w:rsidR="004F0E13" w:rsidRPr="00466A59" w:rsidRDefault="004F0E13" w:rsidP="00466A59">
      <w:pPr>
        <w:pStyle w:val="NormalWeb"/>
        <w:spacing w:line="360" w:lineRule="auto"/>
        <w:jc w:val="both"/>
      </w:pPr>
      <w:r w:rsidRPr="00466A59">
        <w:t>The application of genetic tools in forest tree management holds great promise for enhancing the sustainability and resilience of forest ecosystems. Strategies that leverage g</w:t>
      </w:r>
      <w:r w:rsidR="00B91BA3">
        <w:t xml:space="preserve">enetic insights, (Weiss, </w:t>
      </w:r>
      <w:proofErr w:type="gramStart"/>
      <w:r w:rsidR="00B91BA3">
        <w:t>2005;</w:t>
      </w:r>
      <w:r w:rsidRPr="00466A59">
        <w:t>Dwivedi</w:t>
      </w:r>
      <w:proofErr w:type="gramEnd"/>
      <w:r w:rsidRPr="00466A59">
        <w:t xml:space="preserve"> et</w:t>
      </w:r>
      <w:r w:rsidR="00B91BA3">
        <w:t xml:space="preserve"> al., 2017; </w:t>
      </w:r>
      <w:proofErr w:type="spellStart"/>
      <w:r w:rsidR="00B91BA3">
        <w:t>Brożyńska</w:t>
      </w:r>
      <w:proofErr w:type="spellEnd"/>
      <w:r w:rsidR="00B91BA3">
        <w:t xml:space="preserve"> et al., 2015; </w:t>
      </w:r>
      <w:r w:rsidRPr="00466A59">
        <w:t xml:space="preserve">Messier et al., 2019) including </w:t>
      </w:r>
      <w:r w:rsidRPr="00466A59">
        <w:lastRenderedPageBreak/>
        <w:t>genomic selection, marker-assisted breeding, and the conservation of genetic diversity, can contribute to the development of climate-resilient forest tree cultivars, the implementation of adaptive management practices, and the long-term pre</w:t>
      </w:r>
      <w:r w:rsidR="00B91BA3">
        <w:t xml:space="preserve">servation of forest resources (Messier et al., 2019; Weiss, 2005; </w:t>
      </w:r>
      <w:proofErr w:type="spellStart"/>
      <w:r w:rsidR="00B91BA3">
        <w:t>Migicovsky</w:t>
      </w:r>
      <w:proofErr w:type="spellEnd"/>
      <w:r w:rsidR="00B91BA3">
        <w:t xml:space="preserve"> and Myles, 2017; Dwivedi et al., 2017)</w:t>
      </w:r>
      <w:r w:rsidRPr="00466A59">
        <w:t>.</w:t>
      </w:r>
    </w:p>
    <w:p w14:paraId="22FCD052" w14:textId="77777777" w:rsidR="00E83F1B" w:rsidRPr="005A0BEC" w:rsidRDefault="002475B3" w:rsidP="00E83F1B">
      <w:pPr>
        <w:pStyle w:val="Heading2"/>
        <w:spacing w:line="360" w:lineRule="auto"/>
        <w:jc w:val="both"/>
        <w:rPr>
          <w:sz w:val="24"/>
          <w:szCs w:val="24"/>
        </w:rPr>
      </w:pPr>
      <w:r>
        <w:rPr>
          <w:sz w:val="24"/>
          <w:szCs w:val="24"/>
        </w:rPr>
        <w:t xml:space="preserve">IV. </w:t>
      </w:r>
      <w:r w:rsidR="00E83F1B" w:rsidRPr="005A0BEC">
        <w:rPr>
          <w:sz w:val="24"/>
          <w:szCs w:val="24"/>
        </w:rPr>
        <w:t>INTEGRATING GENETIC TOOLS INTO FOREST MANAGEMENT STRATEGIES</w:t>
      </w:r>
    </w:p>
    <w:p w14:paraId="57D0ACBC" w14:textId="77777777" w:rsidR="00E83F1B" w:rsidRDefault="00E83F1B" w:rsidP="00E83F1B">
      <w:pPr>
        <w:pStyle w:val="NormalWeb"/>
        <w:spacing w:line="360" w:lineRule="auto"/>
        <w:jc w:val="both"/>
      </w:pPr>
      <w:r w:rsidRPr="005A0BEC">
        <w:t xml:space="preserve">To effectively incorporate genetic tools into forest management strategies, it is essential to adopt a holistic approach that considers the complex and interconnected nature of forest </w:t>
      </w:r>
      <w:r w:rsidR="00B91BA3">
        <w:t xml:space="preserve">ecosystems (White et al., 2016; </w:t>
      </w:r>
      <w:r w:rsidRPr="005A0BEC">
        <w:t>Farrell et al., 2000). This may involve managing forests as complex adaptive systems, where the emphasis is placed on fostering resilience and adaptive capacity rather than optimizing for a single objective, such as timber production.</w:t>
      </w:r>
      <w:r w:rsidR="00D53661">
        <w:t xml:space="preserve"> </w:t>
      </w:r>
      <w:r w:rsidRPr="005A0BEC">
        <w:t>One promising approach is the use of a functional complex network approach, which focuses on quantifying and monitoring the functional diversity and network dynamics of forest ecosystems. This approach allows forest managers to identify the most efficient management and silvicultural practices, as well as where, at what scale, and at what intensity landscape-scale resistance, resilience, and adaptive capacity can be improved.</w:t>
      </w:r>
      <w:r w:rsidR="00D53661">
        <w:t xml:space="preserve"> </w:t>
      </w:r>
      <w:r w:rsidRPr="005A0BEC">
        <w:t>Additionally, the integration of genetic tools with other management strategies, such as assisted migration and multi-species plantations, can further enhance the resilience and adaptability of forest ecosystems to the challenges posed by global change.</w:t>
      </w:r>
    </w:p>
    <w:p w14:paraId="7B7F850E" w14:textId="77777777" w:rsidR="005A0BEC" w:rsidRPr="005A0BEC" w:rsidRDefault="002475B3" w:rsidP="005A0BEC">
      <w:pPr>
        <w:pStyle w:val="Heading2"/>
        <w:spacing w:line="360" w:lineRule="auto"/>
        <w:jc w:val="both"/>
        <w:rPr>
          <w:sz w:val="24"/>
          <w:szCs w:val="24"/>
        </w:rPr>
      </w:pPr>
      <w:r>
        <w:rPr>
          <w:sz w:val="24"/>
          <w:szCs w:val="24"/>
        </w:rPr>
        <w:t xml:space="preserve">V. </w:t>
      </w:r>
      <w:r w:rsidR="00E83F1B" w:rsidRPr="005A0BEC">
        <w:rPr>
          <w:sz w:val="24"/>
          <w:szCs w:val="24"/>
        </w:rPr>
        <w:t>DISCUSSION</w:t>
      </w:r>
    </w:p>
    <w:p w14:paraId="66206557" w14:textId="77777777" w:rsidR="00D53661" w:rsidRDefault="005A0BEC" w:rsidP="0086659E">
      <w:pPr>
        <w:pStyle w:val="NormalWeb"/>
        <w:spacing w:line="360" w:lineRule="auto"/>
        <w:jc w:val="both"/>
      </w:pPr>
      <w:r w:rsidRPr="005A0BEC">
        <w:t>The application of genetic tools in forest management has emerged as a promising approach to address the complex challenges facing forest ecosystems</w:t>
      </w:r>
      <w:r w:rsidR="00B91BA3">
        <w:t xml:space="preserve"> (</w:t>
      </w:r>
      <w:proofErr w:type="spellStart"/>
      <w:r w:rsidR="00B91BA3">
        <w:t>Plomion</w:t>
      </w:r>
      <w:proofErr w:type="spellEnd"/>
      <w:r w:rsidR="00B91BA3">
        <w:t xml:space="preserve"> et al., </w:t>
      </w:r>
      <w:proofErr w:type="gramStart"/>
      <w:r w:rsidR="00B91BA3">
        <w:t>2016;Wani</w:t>
      </w:r>
      <w:proofErr w:type="gramEnd"/>
      <w:r w:rsidR="00B91BA3">
        <w:t xml:space="preserve"> and Patel, 2022)</w:t>
      </w:r>
      <w:r w:rsidRPr="005A0BEC">
        <w:t>. By providing insights into the genetic diversity, adaptation mechanisms, and ecosystem function of forests, these tools can enable forest managers to make more informed decisions and develop strategies that balance the various objectives of forest management</w:t>
      </w:r>
      <w:r w:rsidR="0086659E">
        <w:t xml:space="preserve"> (Fady et al., 2020)</w:t>
      </w:r>
      <w:r w:rsidRPr="005A0BEC">
        <w:t>.</w:t>
      </w:r>
      <w:r w:rsidR="00D53661">
        <w:t xml:space="preserve"> </w:t>
      </w:r>
      <w:r w:rsidRPr="005A0BEC">
        <w:t>One key application of genetic tools is the assessment of genetic diversity within forest populations, which can inform decisions about conservation, restoration, and assisted migration efforts</w:t>
      </w:r>
      <w:r w:rsidR="0086659E">
        <w:t xml:space="preserve"> (</w:t>
      </w:r>
      <w:proofErr w:type="spellStart"/>
      <w:r w:rsidR="0086659E">
        <w:t>Graudal</w:t>
      </w:r>
      <w:proofErr w:type="spellEnd"/>
      <w:r w:rsidR="0086659E">
        <w:t xml:space="preserve"> et al., 2014; Singh and </w:t>
      </w:r>
      <w:proofErr w:type="spellStart"/>
      <w:r w:rsidR="0086659E">
        <w:t>Wani</w:t>
      </w:r>
      <w:proofErr w:type="spellEnd"/>
      <w:r w:rsidR="0086659E">
        <w:t>, 2018)</w:t>
      </w:r>
      <w:r w:rsidRPr="005A0BEC">
        <w:t>. This information can be particularly valuable in the face of climate change, as it can help identify genotypes that are better suited to withstand the impacts of drought, pests, or disease</w:t>
      </w:r>
      <w:r w:rsidR="0086659E">
        <w:t xml:space="preserve"> (Isabel et al., 2020)</w:t>
      </w:r>
      <w:r w:rsidRPr="005A0BEC">
        <w:t>.</w:t>
      </w:r>
      <w:r w:rsidR="00D53661">
        <w:t xml:space="preserve"> </w:t>
      </w:r>
      <w:r w:rsidRPr="005A0BEC">
        <w:t xml:space="preserve">Another important </w:t>
      </w:r>
      <w:r w:rsidRPr="005A0BEC">
        <w:lastRenderedPageBreak/>
        <w:t>application is the development of marker-assisted breeding programs</w:t>
      </w:r>
      <w:r w:rsidR="0086659E">
        <w:t xml:space="preserve"> (Ahmar et al., 2021)</w:t>
      </w:r>
      <w:r w:rsidRPr="005A0BEC">
        <w:t xml:space="preserve">, where genetic markers associated with desirable traits can be used to selectively breed trees and enhance the overall resilience and productivity of forest stands. </w:t>
      </w:r>
      <w:r w:rsidR="00D53661">
        <w:t xml:space="preserve"> </w:t>
      </w:r>
      <w:r w:rsidRPr="005A0BEC">
        <w:t>The integration of genetic tools with other management strategies, such as managing forests as complex adaptive systems, assisted migration, and multi-species plantations, can further enhance the resilience and adaptability of forest ecosystems to the challenges posed by global change</w:t>
      </w:r>
      <w:r w:rsidR="0086659E">
        <w:t xml:space="preserve"> (Leech et al., 2011; </w:t>
      </w:r>
      <w:proofErr w:type="spellStart"/>
      <w:r w:rsidR="0086659E">
        <w:t>Wani</w:t>
      </w:r>
      <w:proofErr w:type="spellEnd"/>
      <w:r w:rsidR="0086659E">
        <w:t xml:space="preserve"> et al., 2019; Messier et al., 2019)</w:t>
      </w:r>
      <w:r w:rsidRPr="005A0BEC">
        <w:t>.</w:t>
      </w:r>
      <w:r w:rsidR="00D53661">
        <w:t xml:space="preserve"> </w:t>
      </w:r>
      <w:r w:rsidRPr="005A0BEC">
        <w:t xml:space="preserve">However, the successful application of genetic tools in forest management requires a holistic and integrated approach that considers the complex and interconnected nature of forest ecosystems. </w:t>
      </w:r>
    </w:p>
    <w:p w14:paraId="03DCB32B" w14:textId="77777777" w:rsidR="005A0BEC" w:rsidRPr="005A0BEC" w:rsidRDefault="005A0BEC" w:rsidP="0086659E">
      <w:pPr>
        <w:pStyle w:val="NormalWeb"/>
        <w:spacing w:line="360" w:lineRule="auto"/>
        <w:jc w:val="both"/>
      </w:pPr>
      <w:r w:rsidRPr="005A0BEC">
        <w:t>As forest managers navigate the uncertainties associated with climate change, the use of genetic tools can provide a valuable framework for developing adaptive and resilient forest management strategies.</w:t>
      </w:r>
      <w:r w:rsidR="00D53661">
        <w:t xml:space="preserve"> </w:t>
      </w:r>
      <w:r w:rsidRPr="005A0BEC">
        <w:t>To effectively incorporate genetic tools into forest management strategies, it is essential to adopt a holistic approach that considers the complex and interconnected nature of forest</w:t>
      </w:r>
      <w:r w:rsidR="0086659E">
        <w:t xml:space="preserve"> ecosystems (White et al., 2016; </w:t>
      </w:r>
      <w:r w:rsidRPr="005A0BEC">
        <w:t>Farrell et al., 2000). This may involve managing forests as complex adaptive systems, where the emphasis is placed on fostering resilience and adaptive capacity rather than optimizing for a single objective, such as timber production.</w:t>
      </w:r>
      <w:r w:rsidR="00D53661">
        <w:t xml:space="preserve"> </w:t>
      </w:r>
      <w:r w:rsidRPr="005A0BEC">
        <w:t>One promising approach is the use of a functional complex network approach, which focuses on quantifying and monitoring the functional diversity and network dynamics of forest ecosystems. This approach allows forest managers to identify the most efficient management and silvicultural practices, as well as where, at what scale, and at what intensity landscape-scale resistance, resilience, and adaptive capacity can be improved.</w:t>
      </w:r>
      <w:r w:rsidR="00D53661">
        <w:t xml:space="preserve"> </w:t>
      </w:r>
      <w:r w:rsidRPr="005A0BEC">
        <w:t>Additionally, the integration of genetic tools with other management strategies, such as assisted migration and multi-species plantations, can further enhance the resilience and adaptability of forest ecosystems to the challenges posed by global change.</w:t>
      </w:r>
    </w:p>
    <w:p w14:paraId="44D23610" w14:textId="77777777" w:rsidR="005A0BEC" w:rsidRPr="005A0BEC" w:rsidRDefault="002475B3" w:rsidP="005A0BEC">
      <w:pPr>
        <w:pStyle w:val="Heading2"/>
        <w:spacing w:line="360" w:lineRule="auto"/>
        <w:jc w:val="both"/>
        <w:rPr>
          <w:sz w:val="24"/>
          <w:szCs w:val="24"/>
        </w:rPr>
      </w:pPr>
      <w:r>
        <w:rPr>
          <w:sz w:val="24"/>
          <w:szCs w:val="24"/>
        </w:rPr>
        <w:t xml:space="preserve">VI. </w:t>
      </w:r>
      <w:r w:rsidR="00E83F1B" w:rsidRPr="005A0BEC">
        <w:rPr>
          <w:sz w:val="24"/>
          <w:szCs w:val="24"/>
        </w:rPr>
        <w:t>CONCLUSION</w:t>
      </w:r>
    </w:p>
    <w:p w14:paraId="4F70DB8E" w14:textId="77777777" w:rsidR="005A0BEC" w:rsidRPr="005A0BEC" w:rsidRDefault="005A0BEC" w:rsidP="005A0BEC">
      <w:pPr>
        <w:pStyle w:val="NormalWeb"/>
        <w:spacing w:line="360" w:lineRule="auto"/>
        <w:jc w:val="both"/>
      </w:pPr>
      <w:r w:rsidRPr="005A0BEC">
        <w:t xml:space="preserve">The application of genetic tools in forest management has the potential to significantly enhance the resilience and adaptability of forest ecosystems to the challenges posed by global change. By providing insights into the genetic diversity, adaptation mechanisms, and ecosystem function of forests, these tools can enable forest managers to make more informed decisions and develop </w:t>
      </w:r>
      <w:r w:rsidRPr="005A0BEC">
        <w:lastRenderedPageBreak/>
        <w:t>strategies that balance the various objectives of forest management. The integration of genetic tools with other management approaches, such as managing forests as complex adaptive systems, assisted migration, and multi-species plantations, can further strengthen the resilience of forest ecosystems. As forest managers navigate the uncertainties associated with climate change, the use of genetic tools can provide a valuable framework for developing adaptive and resilient forest management strategies.</w:t>
      </w:r>
    </w:p>
    <w:p w14:paraId="37A3A4F6" w14:textId="77777777" w:rsidR="00E83F1B" w:rsidRDefault="00E83F1B" w:rsidP="00E83F1B">
      <w:pPr>
        <w:rPr>
          <w:rFonts w:ascii="Times New Roman" w:hAnsi="Times New Roman" w:cs="Times New Roman"/>
          <w:b/>
          <w:sz w:val="24"/>
        </w:rPr>
      </w:pPr>
      <w:r>
        <w:rPr>
          <w:rFonts w:ascii="Times New Roman" w:hAnsi="Times New Roman" w:cs="Times New Roman"/>
          <w:b/>
          <w:sz w:val="24"/>
        </w:rPr>
        <w:t>CONFLICT OF INTEREST</w:t>
      </w:r>
    </w:p>
    <w:p w14:paraId="1BFC4B0F" w14:textId="77777777" w:rsidR="002475B3" w:rsidRPr="002475B3" w:rsidRDefault="002475B3" w:rsidP="00E83F1B">
      <w:pPr>
        <w:rPr>
          <w:rFonts w:ascii="Times New Roman" w:hAnsi="Times New Roman" w:cs="Times New Roman"/>
          <w:sz w:val="24"/>
        </w:rPr>
      </w:pPr>
      <w:r w:rsidRPr="002475B3">
        <w:rPr>
          <w:rFonts w:ascii="Times New Roman" w:hAnsi="Times New Roman" w:cs="Times New Roman"/>
          <w:sz w:val="24"/>
        </w:rPr>
        <w:t>The authors declare no conflict of Interest.</w:t>
      </w:r>
    </w:p>
    <w:p w14:paraId="38D8422F" w14:textId="77777777" w:rsidR="00956232" w:rsidRDefault="00E83F1B" w:rsidP="00E83F1B">
      <w:pPr>
        <w:rPr>
          <w:rFonts w:ascii="Times New Roman" w:hAnsi="Times New Roman" w:cs="Times New Roman"/>
          <w:b/>
          <w:sz w:val="24"/>
        </w:rPr>
      </w:pPr>
      <w:r>
        <w:rPr>
          <w:rFonts w:ascii="Times New Roman" w:hAnsi="Times New Roman" w:cs="Times New Roman"/>
          <w:b/>
          <w:sz w:val="24"/>
        </w:rPr>
        <w:t>REFERENCES</w:t>
      </w:r>
    </w:p>
    <w:p w14:paraId="5B6FE6B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Ahmar, S., </w:t>
      </w:r>
      <w:proofErr w:type="spellStart"/>
      <w:r w:rsidRPr="00E62074">
        <w:rPr>
          <w:rFonts w:ascii="Times New Roman" w:hAnsi="Times New Roman" w:cs="Times New Roman"/>
          <w:color w:val="000000" w:themeColor="text1"/>
          <w:sz w:val="24"/>
          <w:szCs w:val="24"/>
          <w:shd w:val="clear" w:color="auto" w:fill="FFFFFF"/>
        </w:rPr>
        <w:t>Ballesta</w:t>
      </w:r>
      <w:proofErr w:type="spellEnd"/>
      <w:r w:rsidRPr="00E62074">
        <w:rPr>
          <w:rFonts w:ascii="Times New Roman" w:hAnsi="Times New Roman" w:cs="Times New Roman"/>
          <w:color w:val="000000" w:themeColor="text1"/>
          <w:sz w:val="24"/>
          <w:szCs w:val="24"/>
          <w:shd w:val="clear" w:color="auto" w:fill="FFFFFF"/>
        </w:rPr>
        <w:t>, P., Ali, M., &amp; Mora-Poblete, F. (2021). Achievements and challenges of genomics-assisted breeding in forest trees: From marker-assisted selection to genome editing. </w:t>
      </w:r>
      <w:r w:rsidRPr="00E62074">
        <w:rPr>
          <w:rFonts w:ascii="Times New Roman" w:hAnsi="Times New Roman" w:cs="Times New Roman"/>
          <w:iCs/>
          <w:color w:val="000000" w:themeColor="text1"/>
          <w:sz w:val="24"/>
          <w:szCs w:val="24"/>
          <w:shd w:val="clear" w:color="auto" w:fill="FFFFFF"/>
        </w:rPr>
        <w:t>International Journal of Molecular Sciences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22</w:t>
      </w:r>
      <w:r w:rsidRPr="00E62074">
        <w:rPr>
          <w:rFonts w:ascii="Times New Roman" w:hAnsi="Times New Roman" w:cs="Times New Roman"/>
          <w:color w:val="000000" w:themeColor="text1"/>
          <w:sz w:val="24"/>
          <w:szCs w:val="24"/>
          <w:shd w:val="clear" w:color="auto" w:fill="FFFFFF"/>
        </w:rPr>
        <w:t>(19), 10583.</w:t>
      </w:r>
    </w:p>
    <w:p w14:paraId="6EF27B3A"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Amaral, J., </w:t>
      </w:r>
      <w:proofErr w:type="spellStart"/>
      <w:r w:rsidRPr="00E62074">
        <w:rPr>
          <w:rFonts w:ascii="Times New Roman" w:hAnsi="Times New Roman" w:cs="Times New Roman"/>
          <w:color w:val="000000" w:themeColor="text1"/>
          <w:sz w:val="24"/>
          <w:szCs w:val="24"/>
          <w:shd w:val="clear" w:color="auto" w:fill="FFFFFF"/>
        </w:rPr>
        <w:t>Ribeyre</w:t>
      </w:r>
      <w:proofErr w:type="spellEnd"/>
      <w:r w:rsidRPr="00E62074">
        <w:rPr>
          <w:rFonts w:ascii="Times New Roman" w:hAnsi="Times New Roman" w:cs="Times New Roman"/>
          <w:color w:val="000000" w:themeColor="text1"/>
          <w:sz w:val="24"/>
          <w:szCs w:val="24"/>
          <w:shd w:val="clear" w:color="auto" w:fill="FFFFFF"/>
        </w:rPr>
        <w:t xml:space="preserve">, Z., </w:t>
      </w:r>
      <w:proofErr w:type="spellStart"/>
      <w:r w:rsidRPr="00E62074">
        <w:rPr>
          <w:rFonts w:ascii="Times New Roman" w:hAnsi="Times New Roman" w:cs="Times New Roman"/>
          <w:color w:val="000000" w:themeColor="text1"/>
          <w:sz w:val="24"/>
          <w:szCs w:val="24"/>
          <w:shd w:val="clear" w:color="auto" w:fill="FFFFFF"/>
        </w:rPr>
        <w:t>Vigneaud</w:t>
      </w:r>
      <w:proofErr w:type="spellEnd"/>
      <w:r w:rsidRPr="00E62074">
        <w:rPr>
          <w:rFonts w:ascii="Times New Roman" w:hAnsi="Times New Roman" w:cs="Times New Roman"/>
          <w:color w:val="000000" w:themeColor="text1"/>
          <w:sz w:val="24"/>
          <w:szCs w:val="24"/>
          <w:shd w:val="clear" w:color="auto" w:fill="FFFFFF"/>
        </w:rPr>
        <w:t xml:space="preserve">, J., Sow, M. D., </w:t>
      </w:r>
      <w:proofErr w:type="spellStart"/>
      <w:r w:rsidRPr="00E62074">
        <w:rPr>
          <w:rFonts w:ascii="Times New Roman" w:hAnsi="Times New Roman" w:cs="Times New Roman"/>
          <w:color w:val="000000" w:themeColor="text1"/>
          <w:sz w:val="24"/>
          <w:szCs w:val="24"/>
          <w:shd w:val="clear" w:color="auto" w:fill="FFFFFF"/>
        </w:rPr>
        <w:t>Fichot</w:t>
      </w:r>
      <w:proofErr w:type="spellEnd"/>
      <w:r w:rsidRPr="00E62074">
        <w:rPr>
          <w:rFonts w:ascii="Times New Roman" w:hAnsi="Times New Roman" w:cs="Times New Roman"/>
          <w:color w:val="000000" w:themeColor="text1"/>
          <w:sz w:val="24"/>
          <w:szCs w:val="24"/>
          <w:shd w:val="clear" w:color="auto" w:fill="FFFFFF"/>
        </w:rPr>
        <w:t>, R., Messier, C., ... &amp; Maury, S. (2020). Advances and promises of epigenetics for forest trees. </w:t>
      </w:r>
      <w:r w:rsidRPr="00E62074">
        <w:rPr>
          <w:rFonts w:ascii="Times New Roman" w:hAnsi="Times New Roman" w:cs="Times New Roman"/>
          <w:iCs/>
          <w:color w:val="000000" w:themeColor="text1"/>
          <w:sz w:val="24"/>
          <w:szCs w:val="24"/>
          <w:shd w:val="clear" w:color="auto" w:fill="FFFFFF"/>
        </w:rPr>
        <w:t>Forests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(9), 976.</w:t>
      </w:r>
    </w:p>
    <w:p w14:paraId="676E593A"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Archambeau, J., Bianchi, S., </w:t>
      </w:r>
      <w:proofErr w:type="spellStart"/>
      <w:r w:rsidRPr="00E62074">
        <w:rPr>
          <w:rFonts w:ascii="Times New Roman" w:hAnsi="Times New Roman" w:cs="Times New Roman"/>
          <w:color w:val="000000" w:themeColor="text1"/>
          <w:sz w:val="24"/>
          <w:szCs w:val="24"/>
          <w:shd w:val="clear" w:color="auto" w:fill="FFFFFF"/>
        </w:rPr>
        <w:t>Buiteveld</w:t>
      </w:r>
      <w:proofErr w:type="spellEnd"/>
      <w:r w:rsidRPr="00E62074">
        <w:rPr>
          <w:rFonts w:ascii="Times New Roman" w:hAnsi="Times New Roman" w:cs="Times New Roman"/>
          <w:color w:val="000000" w:themeColor="text1"/>
          <w:sz w:val="24"/>
          <w:szCs w:val="24"/>
          <w:shd w:val="clear" w:color="auto" w:fill="FFFFFF"/>
        </w:rPr>
        <w:t xml:space="preserve">, J., </w:t>
      </w:r>
      <w:proofErr w:type="spellStart"/>
      <w:r w:rsidRPr="00E62074">
        <w:rPr>
          <w:rFonts w:ascii="Times New Roman" w:hAnsi="Times New Roman" w:cs="Times New Roman"/>
          <w:color w:val="000000" w:themeColor="text1"/>
          <w:sz w:val="24"/>
          <w:szCs w:val="24"/>
          <w:shd w:val="clear" w:color="auto" w:fill="FFFFFF"/>
        </w:rPr>
        <w:t>Callejas</w:t>
      </w:r>
      <w:proofErr w:type="spellEnd"/>
      <w:r w:rsidRPr="00E62074">
        <w:rPr>
          <w:rFonts w:ascii="Times New Roman" w:hAnsi="Times New Roman" w:cs="Times New Roman"/>
          <w:color w:val="000000" w:themeColor="text1"/>
          <w:sz w:val="24"/>
          <w:szCs w:val="24"/>
          <w:shd w:val="clear" w:color="auto" w:fill="FFFFFF"/>
        </w:rPr>
        <w:t xml:space="preserve">-Díaz, M., Cavers, S., </w:t>
      </w:r>
      <w:proofErr w:type="spellStart"/>
      <w:r w:rsidRPr="00E62074">
        <w:rPr>
          <w:rFonts w:ascii="Times New Roman" w:hAnsi="Times New Roman" w:cs="Times New Roman"/>
          <w:color w:val="000000" w:themeColor="text1"/>
          <w:sz w:val="24"/>
          <w:szCs w:val="24"/>
          <w:shd w:val="clear" w:color="auto" w:fill="FFFFFF"/>
        </w:rPr>
        <w:t>Hallingbäck</w:t>
      </w:r>
      <w:proofErr w:type="spellEnd"/>
      <w:r w:rsidRPr="00E62074">
        <w:rPr>
          <w:rFonts w:ascii="Times New Roman" w:hAnsi="Times New Roman" w:cs="Times New Roman"/>
          <w:color w:val="000000" w:themeColor="text1"/>
          <w:sz w:val="24"/>
          <w:szCs w:val="24"/>
          <w:shd w:val="clear" w:color="auto" w:fill="FFFFFF"/>
        </w:rPr>
        <w:t>, H., ... &amp; Bastien, C. (2023). Managing forest genetic resources for an uncertain future: findings and perspectives from an international conference. </w:t>
      </w:r>
      <w:r w:rsidRPr="00E62074">
        <w:rPr>
          <w:rFonts w:ascii="Times New Roman" w:hAnsi="Times New Roman" w:cs="Times New Roman"/>
          <w:iCs/>
          <w:color w:val="000000" w:themeColor="text1"/>
          <w:sz w:val="24"/>
          <w:szCs w:val="24"/>
          <w:shd w:val="clear" w:color="auto" w:fill="FFFFFF"/>
        </w:rPr>
        <w:t>Tree Genetics &amp; Genomes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19</w:t>
      </w:r>
      <w:r w:rsidRPr="00E62074">
        <w:rPr>
          <w:rFonts w:ascii="Times New Roman" w:hAnsi="Times New Roman" w:cs="Times New Roman"/>
          <w:color w:val="000000" w:themeColor="text1"/>
          <w:sz w:val="24"/>
          <w:szCs w:val="24"/>
          <w:shd w:val="clear" w:color="auto" w:fill="FFFFFF"/>
        </w:rPr>
        <w:t>(3), 26.</w:t>
      </w:r>
    </w:p>
    <w:p w14:paraId="0F61FB56"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Baron, J S., Gunderson, L., Allen, C D., Fleishman, E., McKenzie, D., Meyerson, L A., </w:t>
      </w:r>
      <w:proofErr w:type="spellStart"/>
      <w:r w:rsidRPr="00E62074">
        <w:rPr>
          <w:rFonts w:ascii="Times New Roman" w:eastAsia="Times New Roman" w:hAnsi="Times New Roman" w:cs="Times New Roman"/>
          <w:color w:val="000000" w:themeColor="text1"/>
          <w:spacing w:val="2"/>
          <w:sz w:val="24"/>
          <w:szCs w:val="24"/>
        </w:rPr>
        <w:t>Oropeza</w:t>
      </w:r>
      <w:proofErr w:type="spellEnd"/>
      <w:r w:rsidRPr="00E62074">
        <w:rPr>
          <w:rFonts w:ascii="Times New Roman" w:eastAsia="Times New Roman" w:hAnsi="Times New Roman" w:cs="Times New Roman"/>
          <w:color w:val="000000" w:themeColor="text1"/>
          <w:spacing w:val="2"/>
          <w:sz w:val="24"/>
          <w:szCs w:val="24"/>
        </w:rPr>
        <w:t xml:space="preserve">, J., &amp; Stephenson, N L. (2009, May 15). Options for National Parks and Reserves for Adapting to Climate Change.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44(6), 1033-1042. https://doi.org/10.1007/s00267-009-9296-6</w:t>
      </w:r>
    </w:p>
    <w:p w14:paraId="3CF3CFFC"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 xml:space="preserve">Basso, M F., Arraes, F B M., </w:t>
      </w:r>
      <w:proofErr w:type="spellStart"/>
      <w:r w:rsidRPr="00E62074">
        <w:rPr>
          <w:rFonts w:ascii="Times New Roman" w:eastAsia="Times New Roman" w:hAnsi="Times New Roman" w:cs="Times New Roman"/>
          <w:color w:val="000000" w:themeColor="text1"/>
          <w:spacing w:val="3"/>
          <w:sz w:val="24"/>
          <w:szCs w:val="24"/>
        </w:rPr>
        <w:t>Grossi</w:t>
      </w:r>
      <w:proofErr w:type="spellEnd"/>
      <w:r w:rsidRPr="00E62074">
        <w:rPr>
          <w:rFonts w:ascii="Times New Roman" w:eastAsia="Times New Roman" w:hAnsi="Times New Roman" w:cs="Times New Roman"/>
          <w:color w:val="000000" w:themeColor="text1"/>
          <w:spacing w:val="3"/>
          <w:sz w:val="24"/>
          <w:szCs w:val="24"/>
        </w:rPr>
        <w:t>-De-Sá, M F., Moreira, V J V., Alves</w:t>
      </w:r>
      <w:r w:rsidRPr="00E62074">
        <w:rPr>
          <w:rFonts w:ascii="Cambria Math" w:eastAsia="Times New Roman" w:hAnsi="Cambria Math" w:cs="Times New Roman"/>
          <w:color w:val="000000" w:themeColor="text1"/>
          <w:spacing w:val="3"/>
          <w:sz w:val="24"/>
          <w:szCs w:val="24"/>
        </w:rPr>
        <w:t>‐</w:t>
      </w:r>
      <w:r w:rsidRPr="00E62074">
        <w:rPr>
          <w:rFonts w:ascii="Times New Roman" w:eastAsia="Times New Roman" w:hAnsi="Times New Roman" w:cs="Times New Roman"/>
          <w:color w:val="000000" w:themeColor="text1"/>
          <w:spacing w:val="3"/>
          <w:sz w:val="24"/>
          <w:szCs w:val="24"/>
        </w:rPr>
        <w:t xml:space="preserve">Ferreira, M., &amp; </w:t>
      </w:r>
      <w:proofErr w:type="spellStart"/>
      <w:r w:rsidRPr="00E62074">
        <w:rPr>
          <w:rFonts w:ascii="Times New Roman" w:eastAsia="Times New Roman" w:hAnsi="Times New Roman" w:cs="Times New Roman"/>
          <w:color w:val="000000" w:themeColor="text1"/>
          <w:spacing w:val="3"/>
          <w:sz w:val="24"/>
          <w:szCs w:val="24"/>
        </w:rPr>
        <w:t>Grossi</w:t>
      </w:r>
      <w:proofErr w:type="spellEnd"/>
      <w:r w:rsidRPr="00E62074">
        <w:rPr>
          <w:rFonts w:ascii="Cambria Math" w:eastAsia="Times New Roman" w:hAnsi="Cambria Math" w:cs="Times New Roman"/>
          <w:color w:val="000000" w:themeColor="text1"/>
          <w:spacing w:val="3"/>
          <w:sz w:val="24"/>
          <w:szCs w:val="24"/>
        </w:rPr>
        <w:t>‐</w:t>
      </w:r>
      <w:r w:rsidRPr="00E62074">
        <w:rPr>
          <w:rFonts w:ascii="Times New Roman" w:eastAsia="Times New Roman" w:hAnsi="Times New Roman" w:cs="Times New Roman"/>
          <w:color w:val="000000" w:themeColor="text1"/>
          <w:spacing w:val="3"/>
          <w:sz w:val="24"/>
          <w:szCs w:val="24"/>
        </w:rPr>
        <w:t>de</w:t>
      </w:r>
      <w:r w:rsidRPr="00E62074">
        <w:rPr>
          <w:rFonts w:ascii="Cambria Math" w:eastAsia="Times New Roman" w:hAnsi="Cambria Math" w:cs="Times New Roman"/>
          <w:color w:val="000000" w:themeColor="text1"/>
          <w:spacing w:val="3"/>
          <w:sz w:val="24"/>
          <w:szCs w:val="24"/>
        </w:rPr>
        <w:t>‐</w:t>
      </w:r>
      <w:r w:rsidRPr="00E62074">
        <w:rPr>
          <w:rFonts w:ascii="Times New Roman" w:eastAsia="Times New Roman" w:hAnsi="Times New Roman" w:cs="Times New Roman"/>
          <w:color w:val="000000" w:themeColor="text1"/>
          <w:spacing w:val="3"/>
          <w:sz w:val="24"/>
          <w:szCs w:val="24"/>
        </w:rPr>
        <w:t xml:space="preserve">Sá, M F. (2020, May 15). Insights </w:t>
      </w:r>
      <w:proofErr w:type="gramStart"/>
      <w:r w:rsidRPr="00E62074">
        <w:rPr>
          <w:rFonts w:ascii="Times New Roman" w:eastAsia="Times New Roman" w:hAnsi="Times New Roman" w:cs="Times New Roman"/>
          <w:color w:val="000000" w:themeColor="text1"/>
          <w:spacing w:val="3"/>
          <w:sz w:val="24"/>
          <w:szCs w:val="24"/>
        </w:rPr>
        <w:t>Into</w:t>
      </w:r>
      <w:proofErr w:type="gramEnd"/>
      <w:r w:rsidRPr="00E62074">
        <w:rPr>
          <w:rFonts w:ascii="Times New Roman" w:eastAsia="Times New Roman" w:hAnsi="Times New Roman" w:cs="Times New Roman"/>
          <w:color w:val="000000" w:themeColor="text1"/>
          <w:spacing w:val="3"/>
          <w:sz w:val="24"/>
          <w:szCs w:val="24"/>
        </w:rPr>
        <w:t xml:space="preserve"> Genetic and Molecular Elements for Transgenic Crop Development. Frontiers Media, 11. https://doi.org/10.3389/fpls.2020.00509</w:t>
      </w:r>
    </w:p>
    <w:p w14:paraId="707EC3C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Booy</w:t>
      </w:r>
      <w:proofErr w:type="spellEnd"/>
      <w:r w:rsidRPr="00E62074">
        <w:rPr>
          <w:rFonts w:ascii="Times New Roman" w:hAnsi="Times New Roman" w:cs="Times New Roman"/>
          <w:color w:val="000000" w:themeColor="text1"/>
          <w:sz w:val="24"/>
          <w:szCs w:val="24"/>
          <w:shd w:val="clear" w:color="auto" w:fill="FFFFFF"/>
        </w:rPr>
        <w:t xml:space="preserve">, G., Hendriks, R. J. J., Smulders, M. J. M., Van </w:t>
      </w:r>
      <w:proofErr w:type="spellStart"/>
      <w:r w:rsidRPr="00E62074">
        <w:rPr>
          <w:rFonts w:ascii="Times New Roman" w:hAnsi="Times New Roman" w:cs="Times New Roman"/>
          <w:color w:val="000000" w:themeColor="text1"/>
          <w:sz w:val="24"/>
          <w:szCs w:val="24"/>
          <w:shd w:val="clear" w:color="auto" w:fill="FFFFFF"/>
        </w:rPr>
        <w:t>Groenendael</w:t>
      </w:r>
      <w:proofErr w:type="spellEnd"/>
      <w:r w:rsidRPr="00E62074">
        <w:rPr>
          <w:rFonts w:ascii="Times New Roman" w:hAnsi="Times New Roman" w:cs="Times New Roman"/>
          <w:color w:val="000000" w:themeColor="text1"/>
          <w:sz w:val="24"/>
          <w:szCs w:val="24"/>
          <w:shd w:val="clear" w:color="auto" w:fill="FFFFFF"/>
        </w:rPr>
        <w:t xml:space="preserve">, J. M., &amp; </w:t>
      </w:r>
      <w:proofErr w:type="spellStart"/>
      <w:r w:rsidRPr="00E62074">
        <w:rPr>
          <w:rFonts w:ascii="Times New Roman" w:hAnsi="Times New Roman" w:cs="Times New Roman"/>
          <w:color w:val="000000" w:themeColor="text1"/>
          <w:sz w:val="24"/>
          <w:szCs w:val="24"/>
          <w:shd w:val="clear" w:color="auto" w:fill="FFFFFF"/>
        </w:rPr>
        <w:t>Vosman</w:t>
      </w:r>
      <w:proofErr w:type="spellEnd"/>
      <w:r w:rsidRPr="00E62074">
        <w:rPr>
          <w:rFonts w:ascii="Times New Roman" w:hAnsi="Times New Roman" w:cs="Times New Roman"/>
          <w:color w:val="000000" w:themeColor="text1"/>
          <w:sz w:val="24"/>
          <w:szCs w:val="24"/>
          <w:shd w:val="clear" w:color="auto" w:fill="FFFFFF"/>
        </w:rPr>
        <w:t>, B. (2000). Genetic diversity and the survival of populations. </w:t>
      </w:r>
      <w:r w:rsidRPr="00E62074">
        <w:rPr>
          <w:rFonts w:ascii="Times New Roman" w:hAnsi="Times New Roman" w:cs="Times New Roman"/>
          <w:iCs/>
          <w:color w:val="000000" w:themeColor="text1"/>
          <w:sz w:val="24"/>
          <w:szCs w:val="24"/>
          <w:shd w:val="clear" w:color="auto" w:fill="FFFFFF"/>
        </w:rPr>
        <w:t>Plant biology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w:t>
      </w:r>
      <w:r w:rsidRPr="00E62074">
        <w:rPr>
          <w:rFonts w:ascii="Times New Roman" w:hAnsi="Times New Roman" w:cs="Times New Roman"/>
          <w:color w:val="000000" w:themeColor="text1"/>
          <w:sz w:val="24"/>
          <w:szCs w:val="24"/>
          <w:shd w:val="clear" w:color="auto" w:fill="FFFFFF"/>
        </w:rPr>
        <w:t>(04), 379-395.</w:t>
      </w:r>
    </w:p>
    <w:p w14:paraId="4A2A4D5D"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lastRenderedPageBreak/>
        <w:t>Brożyńska</w:t>
      </w:r>
      <w:proofErr w:type="spellEnd"/>
      <w:r w:rsidRPr="00E62074">
        <w:rPr>
          <w:rFonts w:ascii="Times New Roman" w:eastAsia="Times New Roman" w:hAnsi="Times New Roman" w:cs="Times New Roman"/>
          <w:color w:val="000000" w:themeColor="text1"/>
          <w:spacing w:val="2"/>
          <w:sz w:val="24"/>
          <w:szCs w:val="24"/>
        </w:rPr>
        <w:t>, M., Furtado, A., &amp; Henry, R J. (2015, August 26). Genomics of crop wild relatives: expanding the gene pool for crop improvement. Wiley, 14(4), 1070-1085. https://doi.org/10.1111/pbi.12454</w:t>
      </w:r>
    </w:p>
    <w:p w14:paraId="53E6C41F"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Christie, A. P., Downey, H., Frick, W. F., Grainger, M., O'Brien, D., Tinsley</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Marshall, P., ... &amp; Sutherland, W. J. (2022). A practical conservation tool to combine diverse types of evidence for transparent evidence</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based decision</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making. </w:t>
      </w:r>
      <w:r w:rsidRPr="00E62074">
        <w:rPr>
          <w:rFonts w:ascii="Times New Roman" w:hAnsi="Times New Roman" w:cs="Times New Roman"/>
          <w:iCs/>
          <w:color w:val="000000" w:themeColor="text1"/>
          <w:sz w:val="24"/>
          <w:szCs w:val="24"/>
          <w:shd w:val="clear" w:color="auto" w:fill="FFFFFF"/>
        </w:rPr>
        <w:t>Conservation Science and Practice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w:t>
      </w:r>
      <w:r w:rsidRPr="00E62074">
        <w:rPr>
          <w:rFonts w:ascii="Times New Roman" w:hAnsi="Times New Roman" w:cs="Times New Roman"/>
          <w:color w:val="000000" w:themeColor="text1"/>
          <w:sz w:val="24"/>
          <w:szCs w:val="24"/>
          <w:shd w:val="clear" w:color="auto" w:fill="FFFFFF"/>
        </w:rPr>
        <w:t>(1), e579.</w:t>
      </w:r>
    </w:p>
    <w:p w14:paraId="56FEC33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Climent</w:t>
      </w:r>
      <w:proofErr w:type="spellEnd"/>
      <w:r w:rsidRPr="00E62074">
        <w:rPr>
          <w:rFonts w:ascii="Times New Roman" w:hAnsi="Times New Roman" w:cs="Times New Roman"/>
          <w:color w:val="000000" w:themeColor="text1"/>
          <w:sz w:val="24"/>
          <w:szCs w:val="24"/>
          <w:shd w:val="clear" w:color="auto" w:fill="FFFFFF"/>
        </w:rPr>
        <w:t xml:space="preserve">, J., </w:t>
      </w:r>
      <w:proofErr w:type="spellStart"/>
      <w:r w:rsidRPr="00E62074">
        <w:rPr>
          <w:rFonts w:ascii="Times New Roman" w:hAnsi="Times New Roman" w:cs="Times New Roman"/>
          <w:color w:val="000000" w:themeColor="text1"/>
          <w:sz w:val="24"/>
          <w:szCs w:val="24"/>
          <w:shd w:val="clear" w:color="auto" w:fill="FFFFFF"/>
        </w:rPr>
        <w:t>Alía</w:t>
      </w:r>
      <w:proofErr w:type="spellEnd"/>
      <w:r w:rsidRPr="00E62074">
        <w:rPr>
          <w:rFonts w:ascii="Times New Roman" w:hAnsi="Times New Roman" w:cs="Times New Roman"/>
          <w:color w:val="000000" w:themeColor="text1"/>
          <w:sz w:val="24"/>
          <w:szCs w:val="24"/>
          <w:shd w:val="clear" w:color="auto" w:fill="FFFFFF"/>
        </w:rPr>
        <w:t xml:space="preserve">, R., </w:t>
      </w:r>
      <w:proofErr w:type="spellStart"/>
      <w:r w:rsidRPr="00E62074">
        <w:rPr>
          <w:rFonts w:ascii="Times New Roman" w:hAnsi="Times New Roman" w:cs="Times New Roman"/>
          <w:color w:val="000000" w:themeColor="text1"/>
          <w:sz w:val="24"/>
          <w:szCs w:val="24"/>
          <w:shd w:val="clear" w:color="auto" w:fill="FFFFFF"/>
        </w:rPr>
        <w:t>Karkkainen</w:t>
      </w:r>
      <w:proofErr w:type="spellEnd"/>
      <w:r w:rsidRPr="00E62074">
        <w:rPr>
          <w:rFonts w:ascii="Times New Roman" w:hAnsi="Times New Roman" w:cs="Times New Roman"/>
          <w:color w:val="000000" w:themeColor="text1"/>
          <w:sz w:val="24"/>
          <w:szCs w:val="24"/>
          <w:shd w:val="clear" w:color="auto" w:fill="FFFFFF"/>
        </w:rPr>
        <w:t xml:space="preserve">, K., Bastien, C., Benito-Garzon, M., </w:t>
      </w:r>
      <w:proofErr w:type="spellStart"/>
      <w:r w:rsidRPr="00E62074">
        <w:rPr>
          <w:rFonts w:ascii="Times New Roman" w:hAnsi="Times New Roman" w:cs="Times New Roman"/>
          <w:color w:val="000000" w:themeColor="text1"/>
          <w:sz w:val="24"/>
          <w:szCs w:val="24"/>
          <w:shd w:val="clear" w:color="auto" w:fill="FFFFFF"/>
        </w:rPr>
        <w:t>Bouffier</w:t>
      </w:r>
      <w:proofErr w:type="spellEnd"/>
      <w:r w:rsidRPr="00E62074">
        <w:rPr>
          <w:rFonts w:ascii="Times New Roman" w:hAnsi="Times New Roman" w:cs="Times New Roman"/>
          <w:color w:val="000000" w:themeColor="text1"/>
          <w:sz w:val="24"/>
          <w:szCs w:val="24"/>
          <w:shd w:val="clear" w:color="auto" w:fill="FFFFFF"/>
        </w:rPr>
        <w:t>, L., ... &amp; Cavers, S. (2024). Trade-offs and trait integration in tree phenotypes: consequences for the sustainable use of genetic resources. </w:t>
      </w:r>
      <w:r w:rsidRPr="00E62074">
        <w:rPr>
          <w:rFonts w:ascii="Times New Roman" w:hAnsi="Times New Roman" w:cs="Times New Roman"/>
          <w:iCs/>
          <w:color w:val="000000" w:themeColor="text1"/>
          <w:sz w:val="24"/>
          <w:szCs w:val="24"/>
          <w:shd w:val="clear" w:color="auto" w:fill="FFFFFF"/>
        </w:rPr>
        <w:t>Current Forestry Reports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10</w:t>
      </w:r>
      <w:r w:rsidRPr="00E62074">
        <w:rPr>
          <w:rFonts w:ascii="Times New Roman" w:hAnsi="Times New Roman" w:cs="Times New Roman"/>
          <w:color w:val="000000" w:themeColor="text1"/>
          <w:sz w:val="24"/>
          <w:szCs w:val="24"/>
          <w:shd w:val="clear" w:color="auto" w:fill="FFFFFF"/>
        </w:rPr>
        <w:t>(3), 196-222.</w:t>
      </w:r>
    </w:p>
    <w:p w14:paraId="0693C251"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Collard, B C Y., &amp; </w:t>
      </w:r>
      <w:proofErr w:type="spellStart"/>
      <w:r w:rsidRPr="00E62074">
        <w:rPr>
          <w:rFonts w:ascii="Times New Roman" w:eastAsia="Times New Roman" w:hAnsi="Times New Roman" w:cs="Times New Roman"/>
          <w:color w:val="000000" w:themeColor="text1"/>
          <w:spacing w:val="2"/>
          <w:sz w:val="24"/>
          <w:szCs w:val="24"/>
        </w:rPr>
        <w:t>Mackill</w:t>
      </w:r>
      <w:proofErr w:type="spellEnd"/>
      <w:r w:rsidRPr="00E62074">
        <w:rPr>
          <w:rFonts w:ascii="Times New Roman" w:eastAsia="Times New Roman" w:hAnsi="Times New Roman" w:cs="Times New Roman"/>
          <w:color w:val="000000" w:themeColor="text1"/>
          <w:spacing w:val="2"/>
          <w:sz w:val="24"/>
          <w:szCs w:val="24"/>
        </w:rPr>
        <w:t>, D J. (2007, August 22). Marker-assisted selection: an approach for precision plant breeding in the twenty-first century. Royal Society, 363(1491), 557-572. https://doi.org/10.1098/rstb.2007.2170</w:t>
      </w:r>
    </w:p>
    <w:p w14:paraId="6D924CC7"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eastAsia="Times New Roman" w:hAnsi="Times New Roman" w:cs="Times New Roman"/>
          <w:color w:val="000000" w:themeColor="text1"/>
          <w:spacing w:val="3"/>
          <w:sz w:val="24"/>
          <w:szCs w:val="24"/>
        </w:rPr>
        <w:t xml:space="preserve">Collard, B C Y., &amp; </w:t>
      </w:r>
      <w:proofErr w:type="spellStart"/>
      <w:r w:rsidRPr="00E62074">
        <w:rPr>
          <w:rFonts w:ascii="Times New Roman" w:eastAsia="Times New Roman" w:hAnsi="Times New Roman" w:cs="Times New Roman"/>
          <w:color w:val="000000" w:themeColor="text1"/>
          <w:spacing w:val="3"/>
          <w:sz w:val="24"/>
          <w:szCs w:val="24"/>
        </w:rPr>
        <w:t>Mackill</w:t>
      </w:r>
      <w:proofErr w:type="spellEnd"/>
      <w:r w:rsidRPr="00E62074">
        <w:rPr>
          <w:rFonts w:ascii="Times New Roman" w:eastAsia="Times New Roman" w:hAnsi="Times New Roman" w:cs="Times New Roman"/>
          <w:color w:val="000000" w:themeColor="text1"/>
          <w:spacing w:val="3"/>
          <w:sz w:val="24"/>
          <w:szCs w:val="24"/>
        </w:rPr>
        <w:t xml:space="preserve">, D J. (2007, August 22). Marker-assisted selection: an approach for precision plant breeding in the twenty-first century. Royal Society, 363(1491), 557-572. </w:t>
      </w:r>
      <w:hyperlink r:id="rId7" w:history="1">
        <w:r w:rsidRPr="00E62074">
          <w:rPr>
            <w:rStyle w:val="Hyperlink"/>
            <w:rFonts w:ascii="Times New Roman" w:eastAsia="Times New Roman" w:hAnsi="Times New Roman" w:cs="Times New Roman"/>
            <w:color w:val="000000" w:themeColor="text1"/>
            <w:spacing w:val="3"/>
            <w:sz w:val="24"/>
            <w:szCs w:val="24"/>
            <w:u w:val="none"/>
          </w:rPr>
          <w:t>https://doi.org/10.1098/rstb.2007.2170</w:t>
        </w:r>
      </w:hyperlink>
    </w:p>
    <w:p w14:paraId="209866B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Cortés, A. J., Restrepo-Montoya, M., &amp; Bedoya-</w:t>
      </w:r>
      <w:proofErr w:type="spellStart"/>
      <w:r w:rsidRPr="00E62074">
        <w:rPr>
          <w:rFonts w:ascii="Times New Roman" w:hAnsi="Times New Roman" w:cs="Times New Roman"/>
          <w:color w:val="000000" w:themeColor="text1"/>
          <w:sz w:val="24"/>
          <w:szCs w:val="24"/>
          <w:shd w:val="clear" w:color="auto" w:fill="FFFFFF"/>
        </w:rPr>
        <w:t>Canas</w:t>
      </w:r>
      <w:proofErr w:type="spellEnd"/>
      <w:r w:rsidRPr="00E62074">
        <w:rPr>
          <w:rFonts w:ascii="Times New Roman" w:hAnsi="Times New Roman" w:cs="Times New Roman"/>
          <w:color w:val="000000" w:themeColor="text1"/>
          <w:sz w:val="24"/>
          <w:szCs w:val="24"/>
          <w:shd w:val="clear" w:color="auto" w:fill="FFFFFF"/>
        </w:rPr>
        <w:t>, L. E. (2020). Modern strategies to assess and breed forest tree adaptation to changing climate. </w:t>
      </w:r>
      <w:r w:rsidRPr="00E62074">
        <w:rPr>
          <w:rFonts w:ascii="Times New Roman" w:hAnsi="Times New Roman" w:cs="Times New Roman"/>
          <w:iCs/>
          <w:color w:val="000000" w:themeColor="text1"/>
          <w:sz w:val="24"/>
          <w:szCs w:val="24"/>
          <w:shd w:val="clear" w:color="auto" w:fill="FFFFFF"/>
        </w:rPr>
        <w:t>Frontiers in Plant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 583323.</w:t>
      </w:r>
    </w:p>
    <w:p w14:paraId="11A8DD56"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Duncker, P., </w:t>
      </w:r>
      <w:proofErr w:type="spellStart"/>
      <w:r w:rsidRPr="00E62074">
        <w:rPr>
          <w:rFonts w:ascii="Times New Roman" w:eastAsia="Times New Roman" w:hAnsi="Times New Roman" w:cs="Times New Roman"/>
          <w:color w:val="000000" w:themeColor="text1"/>
          <w:spacing w:val="2"/>
          <w:sz w:val="24"/>
          <w:szCs w:val="24"/>
        </w:rPr>
        <w:t>Raulund</w:t>
      </w:r>
      <w:proofErr w:type="spellEnd"/>
      <w:r w:rsidRPr="00E62074">
        <w:rPr>
          <w:rFonts w:ascii="Cambria Math" w:eastAsia="Times New Roman" w:hAnsi="Cambria Math" w:cs="Times New Roman"/>
          <w:color w:val="000000" w:themeColor="text1"/>
          <w:spacing w:val="2"/>
          <w:sz w:val="24"/>
          <w:szCs w:val="24"/>
        </w:rPr>
        <w:t>‐</w:t>
      </w:r>
      <w:r w:rsidRPr="00E62074">
        <w:rPr>
          <w:rFonts w:ascii="Times New Roman" w:eastAsia="Times New Roman" w:hAnsi="Times New Roman" w:cs="Times New Roman"/>
          <w:color w:val="000000" w:themeColor="text1"/>
          <w:spacing w:val="2"/>
          <w:sz w:val="24"/>
          <w:szCs w:val="24"/>
        </w:rPr>
        <w:t xml:space="preserve">Rasmussen, K., Gundersen, P., </w:t>
      </w:r>
      <w:proofErr w:type="spellStart"/>
      <w:r w:rsidRPr="00E62074">
        <w:rPr>
          <w:rFonts w:ascii="Times New Roman" w:eastAsia="Times New Roman" w:hAnsi="Times New Roman" w:cs="Times New Roman"/>
          <w:color w:val="000000" w:themeColor="text1"/>
          <w:spacing w:val="2"/>
          <w:sz w:val="24"/>
          <w:szCs w:val="24"/>
        </w:rPr>
        <w:t>Katzensteiner</w:t>
      </w:r>
      <w:proofErr w:type="spellEnd"/>
      <w:r w:rsidRPr="00E62074">
        <w:rPr>
          <w:rFonts w:ascii="Times New Roman" w:eastAsia="Times New Roman" w:hAnsi="Times New Roman" w:cs="Times New Roman"/>
          <w:color w:val="000000" w:themeColor="text1"/>
          <w:spacing w:val="2"/>
          <w:sz w:val="24"/>
          <w:szCs w:val="24"/>
        </w:rPr>
        <w:t xml:space="preserve">, K., Jong, J D., </w:t>
      </w:r>
      <w:proofErr w:type="spellStart"/>
      <w:r w:rsidRPr="00E62074">
        <w:rPr>
          <w:rFonts w:ascii="Times New Roman" w:eastAsia="Times New Roman" w:hAnsi="Times New Roman" w:cs="Times New Roman"/>
          <w:color w:val="000000" w:themeColor="text1"/>
          <w:spacing w:val="2"/>
          <w:sz w:val="24"/>
          <w:szCs w:val="24"/>
        </w:rPr>
        <w:t>Ravn</w:t>
      </w:r>
      <w:proofErr w:type="spellEnd"/>
      <w:r w:rsidRPr="00E62074">
        <w:rPr>
          <w:rFonts w:ascii="Times New Roman" w:eastAsia="Times New Roman" w:hAnsi="Times New Roman" w:cs="Times New Roman"/>
          <w:color w:val="000000" w:themeColor="text1"/>
          <w:spacing w:val="2"/>
          <w:sz w:val="24"/>
          <w:szCs w:val="24"/>
        </w:rPr>
        <w:t xml:space="preserve">, H P., Smith, M., </w:t>
      </w:r>
      <w:proofErr w:type="spellStart"/>
      <w:r w:rsidRPr="00E62074">
        <w:rPr>
          <w:rFonts w:ascii="Times New Roman" w:eastAsia="Times New Roman" w:hAnsi="Times New Roman" w:cs="Times New Roman"/>
          <w:color w:val="000000" w:themeColor="text1"/>
          <w:spacing w:val="2"/>
          <w:sz w:val="24"/>
          <w:szCs w:val="24"/>
        </w:rPr>
        <w:t>Eckmüllner</w:t>
      </w:r>
      <w:proofErr w:type="spellEnd"/>
      <w:r w:rsidRPr="00E62074">
        <w:rPr>
          <w:rFonts w:ascii="Times New Roman" w:eastAsia="Times New Roman" w:hAnsi="Times New Roman" w:cs="Times New Roman"/>
          <w:color w:val="000000" w:themeColor="text1"/>
          <w:spacing w:val="2"/>
          <w:sz w:val="24"/>
          <w:szCs w:val="24"/>
        </w:rPr>
        <w:t xml:space="preserve">, O., &amp; </w:t>
      </w:r>
      <w:proofErr w:type="spellStart"/>
      <w:r w:rsidRPr="00E62074">
        <w:rPr>
          <w:rFonts w:ascii="Times New Roman" w:eastAsia="Times New Roman" w:hAnsi="Times New Roman" w:cs="Times New Roman"/>
          <w:color w:val="000000" w:themeColor="text1"/>
          <w:spacing w:val="2"/>
          <w:sz w:val="24"/>
          <w:szCs w:val="24"/>
        </w:rPr>
        <w:t>Spiecker</w:t>
      </w:r>
      <w:proofErr w:type="spellEnd"/>
      <w:r w:rsidRPr="00E62074">
        <w:rPr>
          <w:rFonts w:ascii="Times New Roman" w:eastAsia="Times New Roman" w:hAnsi="Times New Roman" w:cs="Times New Roman"/>
          <w:color w:val="000000" w:themeColor="text1"/>
          <w:spacing w:val="2"/>
          <w:sz w:val="24"/>
          <w:szCs w:val="24"/>
        </w:rPr>
        <w:t>, H. (2012, January 1). How Forest Management affects Ecosystem Services, including Timber Production and Economic Return: Synergies and Trade-Offs. Resilience Alliance, 17(4). https://doi.org/10.5751/es-05066-170450</w:t>
      </w:r>
    </w:p>
    <w:p w14:paraId="163FECD5"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Dwivedi, S L., </w:t>
      </w:r>
      <w:proofErr w:type="spellStart"/>
      <w:r w:rsidRPr="00E62074">
        <w:rPr>
          <w:rFonts w:ascii="Times New Roman" w:eastAsia="Times New Roman" w:hAnsi="Times New Roman" w:cs="Times New Roman"/>
          <w:color w:val="000000" w:themeColor="text1"/>
          <w:spacing w:val="2"/>
          <w:sz w:val="24"/>
          <w:szCs w:val="24"/>
        </w:rPr>
        <w:t>Scheben</w:t>
      </w:r>
      <w:proofErr w:type="spellEnd"/>
      <w:r w:rsidRPr="00E62074">
        <w:rPr>
          <w:rFonts w:ascii="Times New Roman" w:eastAsia="Times New Roman" w:hAnsi="Times New Roman" w:cs="Times New Roman"/>
          <w:color w:val="000000" w:themeColor="text1"/>
          <w:spacing w:val="2"/>
          <w:sz w:val="24"/>
          <w:szCs w:val="24"/>
        </w:rPr>
        <w:t xml:space="preserve">, A., Edwards, D., Spillane, C., &amp; </w:t>
      </w:r>
      <w:proofErr w:type="spellStart"/>
      <w:r w:rsidRPr="00E62074">
        <w:rPr>
          <w:rFonts w:ascii="Times New Roman" w:eastAsia="Times New Roman" w:hAnsi="Times New Roman" w:cs="Times New Roman"/>
          <w:color w:val="000000" w:themeColor="text1"/>
          <w:spacing w:val="2"/>
          <w:sz w:val="24"/>
          <w:szCs w:val="24"/>
        </w:rPr>
        <w:t>Ortíz</w:t>
      </w:r>
      <w:proofErr w:type="spellEnd"/>
      <w:r w:rsidRPr="00E62074">
        <w:rPr>
          <w:rFonts w:ascii="Times New Roman" w:eastAsia="Times New Roman" w:hAnsi="Times New Roman" w:cs="Times New Roman"/>
          <w:color w:val="000000" w:themeColor="text1"/>
          <w:spacing w:val="2"/>
          <w:sz w:val="24"/>
          <w:szCs w:val="24"/>
        </w:rPr>
        <w:t>, R. (2017, August 29). Assessing and Exploiting Functional Diversity in Germplasm Pools to Enhance Abiotic Stress Adaptation and Yield in Cereals and Food Legumes. Frontiers Media, 8. https://doi.org/10.3389/fpls.2017.01461</w:t>
      </w:r>
    </w:p>
    <w:p w14:paraId="2D6D70E3"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eastAsia="Times New Roman" w:hAnsi="Times New Roman" w:cs="Times New Roman"/>
          <w:color w:val="000000" w:themeColor="text1"/>
          <w:spacing w:val="3"/>
          <w:sz w:val="24"/>
          <w:szCs w:val="24"/>
        </w:rPr>
        <w:lastRenderedPageBreak/>
        <w:t>Eathington</w:t>
      </w:r>
      <w:proofErr w:type="spellEnd"/>
      <w:r w:rsidRPr="00E62074">
        <w:rPr>
          <w:rFonts w:ascii="Times New Roman" w:eastAsia="Times New Roman" w:hAnsi="Times New Roman" w:cs="Times New Roman"/>
          <w:color w:val="000000" w:themeColor="text1"/>
          <w:spacing w:val="3"/>
          <w:sz w:val="24"/>
          <w:szCs w:val="24"/>
        </w:rPr>
        <w:t xml:space="preserve">, S R., Crosbie, T M., Edwards, M D., Reiter, R S., &amp; Bull, J K. (2007, December 1). Molecular Markers in a Commercial Breeding Program. Wiley, 47(S3). </w:t>
      </w:r>
      <w:hyperlink r:id="rId8" w:history="1">
        <w:r w:rsidRPr="00E62074">
          <w:rPr>
            <w:rStyle w:val="Hyperlink"/>
            <w:rFonts w:ascii="Times New Roman" w:eastAsia="Times New Roman" w:hAnsi="Times New Roman" w:cs="Times New Roman"/>
            <w:color w:val="000000" w:themeColor="text1"/>
            <w:spacing w:val="3"/>
            <w:sz w:val="24"/>
            <w:szCs w:val="24"/>
            <w:u w:val="none"/>
          </w:rPr>
          <w:t>https://doi.org/10.2135/cropsci2007.04.0015ipbs</w:t>
        </w:r>
      </w:hyperlink>
    </w:p>
    <w:p w14:paraId="5A906F35"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Fady, B., </w:t>
      </w:r>
      <w:proofErr w:type="spellStart"/>
      <w:r w:rsidRPr="00E62074">
        <w:rPr>
          <w:rFonts w:ascii="Times New Roman" w:hAnsi="Times New Roman" w:cs="Times New Roman"/>
          <w:color w:val="000000" w:themeColor="text1"/>
          <w:sz w:val="24"/>
          <w:szCs w:val="24"/>
          <w:shd w:val="clear" w:color="auto" w:fill="FFFFFF"/>
        </w:rPr>
        <w:t>Aravanopoulos</w:t>
      </w:r>
      <w:proofErr w:type="spellEnd"/>
      <w:r w:rsidRPr="00E62074">
        <w:rPr>
          <w:rFonts w:ascii="Times New Roman" w:hAnsi="Times New Roman" w:cs="Times New Roman"/>
          <w:color w:val="000000" w:themeColor="text1"/>
          <w:sz w:val="24"/>
          <w:szCs w:val="24"/>
          <w:shd w:val="clear" w:color="auto" w:fill="FFFFFF"/>
        </w:rPr>
        <w:t xml:space="preserve">, F., Benavides, R., González-Martínez, S., Grivet, D., </w:t>
      </w:r>
      <w:proofErr w:type="spellStart"/>
      <w:r w:rsidRPr="00E62074">
        <w:rPr>
          <w:rFonts w:ascii="Times New Roman" w:hAnsi="Times New Roman" w:cs="Times New Roman"/>
          <w:color w:val="000000" w:themeColor="text1"/>
          <w:sz w:val="24"/>
          <w:szCs w:val="24"/>
          <w:shd w:val="clear" w:color="auto" w:fill="FFFFFF"/>
        </w:rPr>
        <w:t>Lascoux</w:t>
      </w:r>
      <w:proofErr w:type="spellEnd"/>
      <w:r w:rsidRPr="00E62074">
        <w:rPr>
          <w:rFonts w:ascii="Times New Roman" w:hAnsi="Times New Roman" w:cs="Times New Roman"/>
          <w:color w:val="000000" w:themeColor="text1"/>
          <w:sz w:val="24"/>
          <w:szCs w:val="24"/>
          <w:shd w:val="clear" w:color="auto" w:fill="FFFFFF"/>
        </w:rPr>
        <w:t xml:space="preserve">, M., ... &amp; </w:t>
      </w:r>
      <w:proofErr w:type="spellStart"/>
      <w:r w:rsidRPr="00E62074">
        <w:rPr>
          <w:rFonts w:ascii="Times New Roman" w:hAnsi="Times New Roman" w:cs="Times New Roman"/>
          <w:color w:val="000000" w:themeColor="text1"/>
          <w:sz w:val="24"/>
          <w:szCs w:val="24"/>
          <w:shd w:val="clear" w:color="auto" w:fill="FFFFFF"/>
        </w:rPr>
        <w:t>Vinceti</w:t>
      </w:r>
      <w:proofErr w:type="spellEnd"/>
      <w:r w:rsidRPr="00E62074">
        <w:rPr>
          <w:rFonts w:ascii="Times New Roman" w:hAnsi="Times New Roman" w:cs="Times New Roman"/>
          <w:color w:val="000000" w:themeColor="text1"/>
          <w:sz w:val="24"/>
          <w:szCs w:val="24"/>
          <w:shd w:val="clear" w:color="auto" w:fill="FFFFFF"/>
        </w:rPr>
        <w:t>, B. (2020). Genetics to the rescue: managing forests sustainably in a changing world. </w:t>
      </w:r>
      <w:r w:rsidRPr="00E62074">
        <w:rPr>
          <w:rFonts w:ascii="Times New Roman" w:hAnsi="Times New Roman" w:cs="Times New Roman"/>
          <w:iCs/>
          <w:color w:val="000000" w:themeColor="text1"/>
          <w:sz w:val="24"/>
          <w:szCs w:val="24"/>
          <w:shd w:val="clear" w:color="auto" w:fill="FFFFFF"/>
        </w:rPr>
        <w:t>Tree Genetics &amp; Genomes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16</w:t>
      </w:r>
      <w:r w:rsidRPr="00E62074">
        <w:rPr>
          <w:rFonts w:ascii="Times New Roman" w:hAnsi="Times New Roman" w:cs="Times New Roman"/>
          <w:color w:val="000000" w:themeColor="text1"/>
          <w:sz w:val="24"/>
          <w:szCs w:val="24"/>
          <w:shd w:val="clear" w:color="auto" w:fill="FFFFFF"/>
        </w:rPr>
        <w:t>, 1-11.</w:t>
      </w:r>
    </w:p>
    <w:p w14:paraId="72072DAD"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Farrell, E P., Führer, E., Ryan, D., Andersson, F O., </w:t>
      </w:r>
      <w:proofErr w:type="spellStart"/>
      <w:r w:rsidRPr="00E62074">
        <w:rPr>
          <w:rFonts w:ascii="Times New Roman" w:eastAsia="Times New Roman" w:hAnsi="Times New Roman" w:cs="Times New Roman"/>
          <w:color w:val="000000" w:themeColor="text1"/>
          <w:spacing w:val="2"/>
          <w:sz w:val="24"/>
          <w:szCs w:val="24"/>
        </w:rPr>
        <w:t>Hüttl</w:t>
      </w:r>
      <w:proofErr w:type="spellEnd"/>
      <w:r w:rsidRPr="00E62074">
        <w:rPr>
          <w:rFonts w:ascii="Times New Roman" w:eastAsia="Times New Roman" w:hAnsi="Times New Roman" w:cs="Times New Roman"/>
          <w:color w:val="000000" w:themeColor="text1"/>
          <w:spacing w:val="2"/>
          <w:sz w:val="24"/>
          <w:szCs w:val="24"/>
        </w:rPr>
        <w:t xml:space="preserve">, R F., &amp; </w:t>
      </w:r>
      <w:proofErr w:type="spellStart"/>
      <w:r w:rsidRPr="00E62074">
        <w:rPr>
          <w:rFonts w:ascii="Times New Roman" w:eastAsia="Times New Roman" w:hAnsi="Times New Roman" w:cs="Times New Roman"/>
          <w:color w:val="000000" w:themeColor="text1"/>
          <w:spacing w:val="2"/>
          <w:sz w:val="24"/>
          <w:szCs w:val="24"/>
        </w:rPr>
        <w:t>Piussi</w:t>
      </w:r>
      <w:proofErr w:type="spellEnd"/>
      <w:r w:rsidRPr="00E62074">
        <w:rPr>
          <w:rFonts w:ascii="Times New Roman" w:eastAsia="Times New Roman" w:hAnsi="Times New Roman" w:cs="Times New Roman"/>
          <w:color w:val="000000" w:themeColor="text1"/>
          <w:spacing w:val="2"/>
          <w:sz w:val="24"/>
          <w:szCs w:val="24"/>
        </w:rPr>
        <w:t>, P. (2000, June 1). European forest ecosystems: building the future on the legacy of the past. Elsevier BV, 132(1), 5-20. https://doi.org/10.1016/s0378-1127(00)00375-3</w:t>
      </w:r>
    </w:p>
    <w:p w14:paraId="1870357E"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Felton, A., </w:t>
      </w:r>
      <w:proofErr w:type="spellStart"/>
      <w:r w:rsidRPr="00E62074">
        <w:rPr>
          <w:rFonts w:ascii="Times New Roman" w:hAnsi="Times New Roman" w:cs="Times New Roman"/>
          <w:color w:val="000000" w:themeColor="text1"/>
          <w:sz w:val="24"/>
          <w:szCs w:val="24"/>
          <w:shd w:val="clear" w:color="auto" w:fill="FFFFFF"/>
        </w:rPr>
        <w:t>Belyazid</w:t>
      </w:r>
      <w:proofErr w:type="spellEnd"/>
      <w:r w:rsidRPr="00E62074">
        <w:rPr>
          <w:rFonts w:ascii="Times New Roman" w:hAnsi="Times New Roman" w:cs="Times New Roman"/>
          <w:color w:val="000000" w:themeColor="text1"/>
          <w:sz w:val="24"/>
          <w:szCs w:val="24"/>
          <w:shd w:val="clear" w:color="auto" w:fill="FFFFFF"/>
        </w:rPr>
        <w:t xml:space="preserve">, S., Eggers, J., </w:t>
      </w:r>
      <w:proofErr w:type="spellStart"/>
      <w:r w:rsidRPr="00E62074">
        <w:rPr>
          <w:rFonts w:ascii="Times New Roman" w:hAnsi="Times New Roman" w:cs="Times New Roman"/>
          <w:color w:val="000000" w:themeColor="text1"/>
          <w:sz w:val="24"/>
          <w:szCs w:val="24"/>
          <w:shd w:val="clear" w:color="auto" w:fill="FFFFFF"/>
        </w:rPr>
        <w:t>Nordström</w:t>
      </w:r>
      <w:proofErr w:type="spellEnd"/>
      <w:r w:rsidRPr="00E62074">
        <w:rPr>
          <w:rFonts w:ascii="Times New Roman" w:hAnsi="Times New Roman" w:cs="Times New Roman"/>
          <w:color w:val="000000" w:themeColor="text1"/>
          <w:sz w:val="24"/>
          <w:szCs w:val="24"/>
          <w:shd w:val="clear" w:color="auto" w:fill="FFFFFF"/>
        </w:rPr>
        <w:t xml:space="preserve">, E. M., &amp; </w:t>
      </w:r>
      <w:proofErr w:type="spellStart"/>
      <w:r w:rsidRPr="00E62074">
        <w:rPr>
          <w:rFonts w:ascii="Times New Roman" w:hAnsi="Times New Roman" w:cs="Times New Roman"/>
          <w:color w:val="000000" w:themeColor="text1"/>
          <w:sz w:val="24"/>
          <w:szCs w:val="24"/>
          <w:shd w:val="clear" w:color="auto" w:fill="FFFFFF"/>
        </w:rPr>
        <w:t>Öhman</w:t>
      </w:r>
      <w:proofErr w:type="spellEnd"/>
      <w:r w:rsidRPr="00E62074">
        <w:rPr>
          <w:rFonts w:ascii="Times New Roman" w:hAnsi="Times New Roman" w:cs="Times New Roman"/>
          <w:color w:val="000000" w:themeColor="text1"/>
          <w:sz w:val="24"/>
          <w:szCs w:val="24"/>
          <w:shd w:val="clear" w:color="auto" w:fill="FFFFFF"/>
        </w:rPr>
        <w:t>, K. (2024). Climate change adaptation and mitigation strategies for production forests: Trade-offs, synergies, and uncertainties in biodiversity and ecosystem services delivery in Northern Europe. </w:t>
      </w:r>
      <w:proofErr w:type="spellStart"/>
      <w:r w:rsidRPr="00E62074">
        <w:rPr>
          <w:rFonts w:ascii="Times New Roman" w:hAnsi="Times New Roman" w:cs="Times New Roman"/>
          <w:iCs/>
          <w:color w:val="000000" w:themeColor="text1"/>
          <w:sz w:val="24"/>
          <w:szCs w:val="24"/>
          <w:shd w:val="clear" w:color="auto" w:fill="FFFFFF"/>
        </w:rPr>
        <w:t>Ambio</w:t>
      </w:r>
      <w:proofErr w:type="spellEnd"/>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53</w:t>
      </w:r>
      <w:r w:rsidRPr="00E62074">
        <w:rPr>
          <w:rFonts w:ascii="Times New Roman" w:hAnsi="Times New Roman" w:cs="Times New Roman"/>
          <w:color w:val="000000" w:themeColor="text1"/>
          <w:sz w:val="24"/>
          <w:szCs w:val="24"/>
          <w:shd w:val="clear" w:color="auto" w:fill="FFFFFF"/>
        </w:rPr>
        <w:t>(1), 1-16.</w:t>
      </w:r>
    </w:p>
    <w:p w14:paraId="23C0EF2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Feng, J., Dan, X., Cui, Y., Gong, Y., Peng, M., Sang, Y., ... &amp; Wang, J. (2024). Integrating evolutionary genomics of forest trees to inform future tree breeding amidst rapid climate change. </w:t>
      </w:r>
      <w:r w:rsidRPr="00E62074">
        <w:rPr>
          <w:rFonts w:ascii="Times New Roman" w:hAnsi="Times New Roman" w:cs="Times New Roman"/>
          <w:iCs/>
          <w:color w:val="000000" w:themeColor="text1"/>
          <w:sz w:val="24"/>
          <w:szCs w:val="24"/>
          <w:shd w:val="clear" w:color="auto" w:fill="FFFFFF"/>
        </w:rPr>
        <w:t>Plant Communications</w:t>
      </w:r>
      <w:r w:rsidRPr="00E62074">
        <w:rPr>
          <w:rFonts w:ascii="Times New Roman" w:hAnsi="Times New Roman" w:cs="Times New Roman"/>
          <w:color w:val="000000" w:themeColor="text1"/>
          <w:sz w:val="24"/>
          <w:szCs w:val="24"/>
          <w:shd w:val="clear" w:color="auto" w:fill="FFFFFF"/>
        </w:rPr>
        <w:t>.</w:t>
      </w:r>
    </w:p>
    <w:p w14:paraId="3BA27BF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Filipe, J. C. M. (2021). </w:t>
      </w:r>
      <w:r w:rsidRPr="00E62074">
        <w:rPr>
          <w:rFonts w:ascii="Times New Roman" w:hAnsi="Times New Roman" w:cs="Times New Roman"/>
          <w:iCs/>
          <w:color w:val="000000" w:themeColor="text1"/>
          <w:sz w:val="24"/>
          <w:szCs w:val="24"/>
          <w:shd w:val="clear" w:color="auto" w:fill="FFFFFF"/>
        </w:rPr>
        <w:t>Genetic variation and resilience to climate change in Mediterranean-type trees</w:t>
      </w:r>
      <w:r w:rsidRPr="00E62074">
        <w:rPr>
          <w:rFonts w:ascii="Times New Roman" w:hAnsi="Times New Roman" w:cs="Times New Roman"/>
          <w:color w:val="000000" w:themeColor="text1"/>
          <w:sz w:val="24"/>
          <w:szCs w:val="24"/>
          <w:shd w:val="clear" w:color="auto" w:fill="FFFFFF"/>
        </w:rPr>
        <w:t> (Doctoral dissertation, Murdoch University).</w:t>
      </w:r>
    </w:p>
    <w:p w14:paraId="637B58D2"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 xml:space="preserve">Gardiner, L., &amp; Krishna, R. (2021, December 9). Bluster or </w:t>
      </w:r>
      <w:proofErr w:type="spellStart"/>
      <w:r w:rsidRPr="00E62074">
        <w:rPr>
          <w:rFonts w:ascii="Times New Roman" w:eastAsia="Times New Roman" w:hAnsi="Times New Roman" w:cs="Times New Roman"/>
          <w:color w:val="000000" w:themeColor="text1"/>
          <w:spacing w:val="3"/>
          <w:sz w:val="24"/>
          <w:szCs w:val="24"/>
        </w:rPr>
        <w:t>Lustre</w:t>
      </w:r>
      <w:proofErr w:type="spellEnd"/>
      <w:r w:rsidRPr="00E62074">
        <w:rPr>
          <w:rFonts w:ascii="Times New Roman" w:eastAsia="Times New Roman" w:hAnsi="Times New Roman" w:cs="Times New Roman"/>
          <w:color w:val="000000" w:themeColor="text1"/>
          <w:spacing w:val="3"/>
          <w:sz w:val="24"/>
          <w:szCs w:val="24"/>
        </w:rPr>
        <w:t xml:space="preserve">: Can AI Improve Crops and Plant </w:t>
      </w:r>
      <w:proofErr w:type="gramStart"/>
      <w:r w:rsidRPr="00E62074">
        <w:rPr>
          <w:rFonts w:ascii="Times New Roman" w:eastAsia="Times New Roman" w:hAnsi="Times New Roman" w:cs="Times New Roman"/>
          <w:color w:val="000000" w:themeColor="text1"/>
          <w:spacing w:val="3"/>
          <w:sz w:val="24"/>
          <w:szCs w:val="24"/>
        </w:rPr>
        <w:t>Health?.</w:t>
      </w:r>
      <w:proofErr w:type="gramEnd"/>
      <w:r w:rsidRPr="00E62074">
        <w:rPr>
          <w:rFonts w:ascii="Times New Roman" w:eastAsia="Times New Roman" w:hAnsi="Times New Roman" w:cs="Times New Roman"/>
          <w:color w:val="000000" w:themeColor="text1"/>
          <w:spacing w:val="3"/>
          <w:sz w:val="24"/>
          <w:szCs w:val="24"/>
        </w:rPr>
        <w:t xml:space="preserve"> Multidisciplinary Digital Publishing Institute, 10(12), 2707-2707. https://doi.org/10.3390/plants10122707</w:t>
      </w:r>
    </w:p>
    <w:p w14:paraId="0E0B6E2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George, J. P., </w:t>
      </w:r>
      <w:proofErr w:type="spellStart"/>
      <w:r w:rsidRPr="00E62074">
        <w:rPr>
          <w:rFonts w:ascii="Times New Roman" w:hAnsi="Times New Roman" w:cs="Times New Roman"/>
          <w:color w:val="000000" w:themeColor="text1"/>
          <w:sz w:val="24"/>
          <w:szCs w:val="24"/>
          <w:shd w:val="clear" w:color="auto" w:fill="FFFFFF"/>
        </w:rPr>
        <w:t>Yrjänä</w:t>
      </w:r>
      <w:proofErr w:type="spellEnd"/>
      <w:r w:rsidRPr="00E62074">
        <w:rPr>
          <w:rFonts w:ascii="Times New Roman" w:hAnsi="Times New Roman" w:cs="Times New Roman"/>
          <w:color w:val="000000" w:themeColor="text1"/>
          <w:sz w:val="24"/>
          <w:szCs w:val="24"/>
          <w:shd w:val="clear" w:color="auto" w:fill="FFFFFF"/>
        </w:rPr>
        <w:t xml:space="preserve">, L., </w:t>
      </w:r>
      <w:proofErr w:type="spellStart"/>
      <w:r w:rsidRPr="00E62074">
        <w:rPr>
          <w:rFonts w:ascii="Times New Roman" w:hAnsi="Times New Roman" w:cs="Times New Roman"/>
          <w:color w:val="000000" w:themeColor="text1"/>
          <w:sz w:val="24"/>
          <w:szCs w:val="24"/>
          <w:shd w:val="clear" w:color="auto" w:fill="FFFFFF"/>
        </w:rPr>
        <w:t>Beuker</w:t>
      </w:r>
      <w:proofErr w:type="spellEnd"/>
      <w:r w:rsidRPr="00E62074">
        <w:rPr>
          <w:rFonts w:ascii="Times New Roman" w:hAnsi="Times New Roman" w:cs="Times New Roman"/>
          <w:color w:val="000000" w:themeColor="text1"/>
          <w:sz w:val="24"/>
          <w:szCs w:val="24"/>
          <w:shd w:val="clear" w:color="auto" w:fill="FFFFFF"/>
        </w:rPr>
        <w:t xml:space="preserve">, E., &amp; </w:t>
      </w:r>
      <w:proofErr w:type="spellStart"/>
      <w:r w:rsidRPr="00E62074">
        <w:rPr>
          <w:rFonts w:ascii="Times New Roman" w:hAnsi="Times New Roman" w:cs="Times New Roman"/>
          <w:color w:val="000000" w:themeColor="text1"/>
          <w:sz w:val="24"/>
          <w:szCs w:val="24"/>
          <w:shd w:val="clear" w:color="auto" w:fill="FFFFFF"/>
        </w:rPr>
        <w:t>Rusanen</w:t>
      </w:r>
      <w:proofErr w:type="spellEnd"/>
      <w:r w:rsidRPr="00E62074">
        <w:rPr>
          <w:rFonts w:ascii="Times New Roman" w:hAnsi="Times New Roman" w:cs="Times New Roman"/>
          <w:color w:val="000000" w:themeColor="text1"/>
          <w:sz w:val="24"/>
          <w:szCs w:val="24"/>
          <w:shd w:val="clear" w:color="auto" w:fill="FFFFFF"/>
        </w:rPr>
        <w:t xml:space="preserve">, M. (2024). Ex situ conservation of forest genetic resources in Finland: Evaluation and adaptation of the current </w:t>
      </w:r>
      <w:proofErr w:type="spellStart"/>
      <w:proofErr w:type="gramStart"/>
      <w:r w:rsidRPr="00E62074">
        <w:rPr>
          <w:rFonts w:ascii="Times New Roman" w:hAnsi="Times New Roman" w:cs="Times New Roman"/>
          <w:color w:val="000000" w:themeColor="text1"/>
          <w:sz w:val="24"/>
          <w:szCs w:val="24"/>
          <w:shd w:val="clear" w:color="auto" w:fill="FFFFFF"/>
        </w:rPr>
        <w:t>strategy.Avaliable</w:t>
      </w:r>
      <w:proofErr w:type="spellEnd"/>
      <w:proofErr w:type="gramEnd"/>
      <w:r w:rsidRPr="00E62074">
        <w:rPr>
          <w:rFonts w:ascii="Times New Roman" w:hAnsi="Times New Roman" w:cs="Times New Roman"/>
          <w:color w:val="000000" w:themeColor="text1"/>
          <w:sz w:val="24"/>
          <w:szCs w:val="24"/>
          <w:shd w:val="clear" w:color="auto" w:fill="FFFFFF"/>
        </w:rPr>
        <w:t xml:space="preserve"> at: https://jukuri.luke.fi/handle/10024/554844</w:t>
      </w:r>
    </w:p>
    <w:p w14:paraId="678E477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Graudal</w:t>
      </w:r>
      <w:proofErr w:type="spellEnd"/>
      <w:r w:rsidRPr="00E62074">
        <w:rPr>
          <w:rFonts w:ascii="Times New Roman" w:hAnsi="Times New Roman" w:cs="Times New Roman"/>
          <w:color w:val="000000" w:themeColor="text1"/>
          <w:sz w:val="24"/>
          <w:szCs w:val="24"/>
          <w:shd w:val="clear" w:color="auto" w:fill="FFFFFF"/>
        </w:rPr>
        <w:t xml:space="preserve">, L., </w:t>
      </w:r>
      <w:proofErr w:type="spellStart"/>
      <w:r w:rsidRPr="00E62074">
        <w:rPr>
          <w:rFonts w:ascii="Times New Roman" w:hAnsi="Times New Roman" w:cs="Times New Roman"/>
          <w:color w:val="000000" w:themeColor="text1"/>
          <w:sz w:val="24"/>
          <w:szCs w:val="24"/>
          <w:shd w:val="clear" w:color="auto" w:fill="FFFFFF"/>
        </w:rPr>
        <w:t>Aravanopoulos</w:t>
      </w:r>
      <w:proofErr w:type="spellEnd"/>
      <w:r w:rsidRPr="00E62074">
        <w:rPr>
          <w:rFonts w:ascii="Times New Roman" w:hAnsi="Times New Roman" w:cs="Times New Roman"/>
          <w:color w:val="000000" w:themeColor="text1"/>
          <w:sz w:val="24"/>
          <w:szCs w:val="24"/>
          <w:shd w:val="clear" w:color="auto" w:fill="FFFFFF"/>
        </w:rPr>
        <w:t xml:space="preserve">, F., </w:t>
      </w:r>
      <w:proofErr w:type="spellStart"/>
      <w:r w:rsidRPr="00E62074">
        <w:rPr>
          <w:rFonts w:ascii="Times New Roman" w:hAnsi="Times New Roman" w:cs="Times New Roman"/>
          <w:color w:val="000000" w:themeColor="text1"/>
          <w:sz w:val="24"/>
          <w:szCs w:val="24"/>
          <w:shd w:val="clear" w:color="auto" w:fill="FFFFFF"/>
        </w:rPr>
        <w:t>Bennadji</w:t>
      </w:r>
      <w:proofErr w:type="spellEnd"/>
      <w:r w:rsidRPr="00E62074">
        <w:rPr>
          <w:rFonts w:ascii="Times New Roman" w:hAnsi="Times New Roman" w:cs="Times New Roman"/>
          <w:color w:val="000000" w:themeColor="text1"/>
          <w:sz w:val="24"/>
          <w:szCs w:val="24"/>
          <w:shd w:val="clear" w:color="auto" w:fill="FFFFFF"/>
        </w:rPr>
        <w:t xml:space="preserve">, Z., </w:t>
      </w:r>
      <w:proofErr w:type="spellStart"/>
      <w:r w:rsidRPr="00E62074">
        <w:rPr>
          <w:rFonts w:ascii="Times New Roman" w:hAnsi="Times New Roman" w:cs="Times New Roman"/>
          <w:color w:val="000000" w:themeColor="text1"/>
          <w:sz w:val="24"/>
          <w:szCs w:val="24"/>
          <w:shd w:val="clear" w:color="auto" w:fill="FFFFFF"/>
        </w:rPr>
        <w:t>Changtragoon</w:t>
      </w:r>
      <w:proofErr w:type="spellEnd"/>
      <w:r w:rsidRPr="00E62074">
        <w:rPr>
          <w:rFonts w:ascii="Times New Roman" w:hAnsi="Times New Roman" w:cs="Times New Roman"/>
          <w:color w:val="000000" w:themeColor="text1"/>
          <w:sz w:val="24"/>
          <w:szCs w:val="24"/>
          <w:shd w:val="clear" w:color="auto" w:fill="FFFFFF"/>
        </w:rPr>
        <w:t xml:space="preserve">, S., Fady, B., </w:t>
      </w:r>
      <w:proofErr w:type="spellStart"/>
      <w:r w:rsidRPr="00E62074">
        <w:rPr>
          <w:rFonts w:ascii="Times New Roman" w:hAnsi="Times New Roman" w:cs="Times New Roman"/>
          <w:color w:val="000000" w:themeColor="text1"/>
          <w:sz w:val="24"/>
          <w:szCs w:val="24"/>
          <w:shd w:val="clear" w:color="auto" w:fill="FFFFFF"/>
        </w:rPr>
        <w:t>Kjær</w:t>
      </w:r>
      <w:proofErr w:type="spellEnd"/>
      <w:r w:rsidRPr="00E62074">
        <w:rPr>
          <w:rFonts w:ascii="Times New Roman" w:hAnsi="Times New Roman" w:cs="Times New Roman"/>
          <w:color w:val="000000" w:themeColor="text1"/>
          <w:sz w:val="24"/>
          <w:szCs w:val="24"/>
          <w:shd w:val="clear" w:color="auto" w:fill="FFFFFF"/>
        </w:rPr>
        <w:t xml:space="preserve">, E. D., ... &amp; </w:t>
      </w:r>
      <w:proofErr w:type="spellStart"/>
      <w:r w:rsidRPr="00E62074">
        <w:rPr>
          <w:rFonts w:ascii="Times New Roman" w:hAnsi="Times New Roman" w:cs="Times New Roman"/>
          <w:color w:val="000000" w:themeColor="text1"/>
          <w:sz w:val="24"/>
          <w:szCs w:val="24"/>
          <w:shd w:val="clear" w:color="auto" w:fill="FFFFFF"/>
        </w:rPr>
        <w:t>Vendramin</w:t>
      </w:r>
      <w:proofErr w:type="spellEnd"/>
      <w:r w:rsidRPr="00E62074">
        <w:rPr>
          <w:rFonts w:ascii="Times New Roman" w:hAnsi="Times New Roman" w:cs="Times New Roman"/>
          <w:color w:val="000000" w:themeColor="text1"/>
          <w:sz w:val="24"/>
          <w:szCs w:val="24"/>
          <w:shd w:val="clear" w:color="auto" w:fill="FFFFFF"/>
        </w:rPr>
        <w:t>, G. G. (2014). Global to local genetic diversity indicators of evolutionary potential in tree species within and outside forests. </w:t>
      </w:r>
      <w:r w:rsidRPr="00E62074">
        <w:rPr>
          <w:rFonts w:ascii="Times New Roman" w:hAnsi="Times New Roman" w:cs="Times New Roman"/>
          <w:iCs/>
          <w:color w:val="000000" w:themeColor="text1"/>
          <w:sz w:val="24"/>
          <w:szCs w:val="24"/>
          <w:shd w:val="clear" w:color="auto" w:fill="FFFFFF"/>
        </w:rPr>
        <w:t>Forest ecology and management</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333</w:t>
      </w:r>
      <w:r w:rsidRPr="00E62074">
        <w:rPr>
          <w:rFonts w:ascii="Times New Roman" w:hAnsi="Times New Roman" w:cs="Times New Roman"/>
          <w:color w:val="000000" w:themeColor="text1"/>
          <w:sz w:val="24"/>
          <w:szCs w:val="24"/>
          <w:shd w:val="clear" w:color="auto" w:fill="FFFFFF"/>
        </w:rPr>
        <w:t>, 35-51.</w:t>
      </w:r>
    </w:p>
    <w:p w14:paraId="5858133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eastAsia="Times New Roman" w:hAnsi="Times New Roman" w:cs="Times New Roman"/>
          <w:color w:val="000000" w:themeColor="text1"/>
          <w:spacing w:val="3"/>
          <w:sz w:val="24"/>
          <w:szCs w:val="24"/>
        </w:rPr>
        <w:lastRenderedPageBreak/>
        <w:t xml:space="preserve">Guo, L., &amp; Ye, G. (2014, March 1). Use of Major Quantitative Trait Loci to Improve Grain Yield of Rice. Elsevier BV, 21(2), 65-82. </w:t>
      </w:r>
      <w:hyperlink r:id="rId9" w:history="1">
        <w:r w:rsidRPr="00E62074">
          <w:rPr>
            <w:rStyle w:val="Hyperlink"/>
            <w:rFonts w:ascii="Times New Roman" w:eastAsia="Times New Roman" w:hAnsi="Times New Roman" w:cs="Times New Roman"/>
            <w:color w:val="000000" w:themeColor="text1"/>
            <w:spacing w:val="3"/>
            <w:sz w:val="24"/>
            <w:szCs w:val="24"/>
            <w:u w:val="none"/>
          </w:rPr>
          <w:t>https://doi.org/10.1016/s1672-6308(13)60174-2</w:t>
        </w:r>
      </w:hyperlink>
    </w:p>
    <w:p w14:paraId="45E527C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Gupta, D., Bhattacharjee, O., Mandal, D., Sen, M. K., Dey, D., Dasgupta, A., ... &amp; Ghosh, D. (2019). CRISPR-Cas9 system: A new-fangled dawn in gene editing. </w:t>
      </w:r>
      <w:r w:rsidRPr="00E62074">
        <w:rPr>
          <w:rFonts w:ascii="Times New Roman" w:hAnsi="Times New Roman" w:cs="Times New Roman"/>
          <w:iCs/>
          <w:color w:val="000000" w:themeColor="text1"/>
          <w:sz w:val="24"/>
          <w:szCs w:val="24"/>
          <w:shd w:val="clear" w:color="auto" w:fill="FFFFFF"/>
        </w:rPr>
        <w:t>Life sciences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232</w:t>
      </w:r>
      <w:r w:rsidRPr="00E62074">
        <w:rPr>
          <w:rFonts w:ascii="Times New Roman" w:hAnsi="Times New Roman" w:cs="Times New Roman"/>
          <w:color w:val="000000" w:themeColor="text1"/>
          <w:sz w:val="24"/>
          <w:szCs w:val="24"/>
          <w:shd w:val="clear" w:color="auto" w:fill="FFFFFF"/>
        </w:rPr>
        <w:t>, 116636.</w:t>
      </w:r>
    </w:p>
    <w:p w14:paraId="0333C32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Holliday, J. A., Aitken, S. N., Cooke, J. E., Fady, B., González</w:t>
      </w:r>
      <w:r w:rsidRPr="00E62074">
        <w:rPr>
          <w:rFonts w:ascii="Cambria Math" w:hAnsi="Cambria Math" w:cs="Times New Roman"/>
          <w:color w:val="000000" w:themeColor="text1"/>
          <w:sz w:val="24"/>
          <w:szCs w:val="24"/>
          <w:shd w:val="clear" w:color="auto" w:fill="FFFFFF"/>
        </w:rPr>
        <w:t>‐</w:t>
      </w:r>
      <w:r w:rsidRPr="00E62074">
        <w:rPr>
          <w:rFonts w:ascii="Times New Roman" w:hAnsi="Times New Roman" w:cs="Times New Roman"/>
          <w:color w:val="000000" w:themeColor="text1"/>
          <w:sz w:val="24"/>
          <w:szCs w:val="24"/>
          <w:shd w:val="clear" w:color="auto" w:fill="FFFFFF"/>
        </w:rPr>
        <w:t xml:space="preserve">Martínez, S. C., </w:t>
      </w:r>
      <w:proofErr w:type="spellStart"/>
      <w:r w:rsidRPr="00E62074">
        <w:rPr>
          <w:rFonts w:ascii="Times New Roman" w:hAnsi="Times New Roman" w:cs="Times New Roman"/>
          <w:color w:val="000000" w:themeColor="text1"/>
          <w:sz w:val="24"/>
          <w:szCs w:val="24"/>
          <w:shd w:val="clear" w:color="auto" w:fill="FFFFFF"/>
        </w:rPr>
        <w:t>Heuertz</w:t>
      </w:r>
      <w:proofErr w:type="spellEnd"/>
      <w:r w:rsidRPr="00E62074">
        <w:rPr>
          <w:rFonts w:ascii="Times New Roman" w:hAnsi="Times New Roman" w:cs="Times New Roman"/>
          <w:color w:val="000000" w:themeColor="text1"/>
          <w:sz w:val="24"/>
          <w:szCs w:val="24"/>
          <w:shd w:val="clear" w:color="auto" w:fill="FFFFFF"/>
        </w:rPr>
        <w:t xml:space="preserve">, M., ... &amp; </w:t>
      </w:r>
      <w:proofErr w:type="spellStart"/>
      <w:r w:rsidRPr="00E62074">
        <w:rPr>
          <w:rFonts w:ascii="Times New Roman" w:hAnsi="Times New Roman" w:cs="Times New Roman"/>
          <w:color w:val="000000" w:themeColor="text1"/>
          <w:sz w:val="24"/>
          <w:szCs w:val="24"/>
          <w:shd w:val="clear" w:color="auto" w:fill="FFFFFF"/>
        </w:rPr>
        <w:t>Plomion</w:t>
      </w:r>
      <w:proofErr w:type="spellEnd"/>
      <w:r w:rsidRPr="00E62074">
        <w:rPr>
          <w:rFonts w:ascii="Times New Roman" w:hAnsi="Times New Roman" w:cs="Times New Roman"/>
          <w:color w:val="000000" w:themeColor="text1"/>
          <w:sz w:val="24"/>
          <w:szCs w:val="24"/>
          <w:shd w:val="clear" w:color="auto" w:fill="FFFFFF"/>
        </w:rPr>
        <w:t>, C. (2017). Advances in ecological genomics in forest trees and applications to genetic resources conservation and breeding.</w:t>
      </w:r>
    </w:p>
    <w:p w14:paraId="73D1878D"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Isabel, N., Holliday, J. A., &amp; Aitken, S. N. (2020). Forest genomics: Advancing climate adaptation, forest health, productivity, and conservation. </w:t>
      </w:r>
      <w:r w:rsidRPr="00E62074">
        <w:rPr>
          <w:rFonts w:ascii="Times New Roman" w:hAnsi="Times New Roman" w:cs="Times New Roman"/>
          <w:iCs/>
          <w:color w:val="000000" w:themeColor="text1"/>
          <w:sz w:val="24"/>
          <w:szCs w:val="24"/>
          <w:shd w:val="clear" w:color="auto" w:fill="FFFFFF"/>
        </w:rPr>
        <w:t>Evolutionary Applications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13</w:t>
      </w:r>
      <w:r w:rsidRPr="00E62074">
        <w:rPr>
          <w:rFonts w:ascii="Times New Roman" w:hAnsi="Times New Roman" w:cs="Times New Roman"/>
          <w:color w:val="000000" w:themeColor="text1"/>
          <w:sz w:val="24"/>
          <w:szCs w:val="24"/>
          <w:shd w:val="clear" w:color="auto" w:fill="FFFFFF"/>
        </w:rPr>
        <w:t>(1), 3-10.</w:t>
      </w:r>
    </w:p>
    <w:p w14:paraId="484A1FC4" w14:textId="77777777" w:rsidR="0086659E" w:rsidRPr="00A90F48"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eastAsia="Times New Roman" w:hAnsi="Times New Roman" w:cs="Times New Roman"/>
          <w:color w:val="000000" w:themeColor="text1"/>
          <w:spacing w:val="3"/>
          <w:sz w:val="24"/>
          <w:szCs w:val="24"/>
        </w:rPr>
        <w:t xml:space="preserve">James, T., Johnson, A M., Schaller, A., </w:t>
      </w:r>
      <w:proofErr w:type="spellStart"/>
      <w:r w:rsidRPr="00E62074">
        <w:rPr>
          <w:rFonts w:ascii="Times New Roman" w:eastAsia="Times New Roman" w:hAnsi="Times New Roman" w:cs="Times New Roman"/>
          <w:color w:val="000000" w:themeColor="text1"/>
          <w:spacing w:val="3"/>
          <w:sz w:val="24"/>
          <w:szCs w:val="24"/>
        </w:rPr>
        <w:t>Vanderzande</w:t>
      </w:r>
      <w:proofErr w:type="spellEnd"/>
      <w:r w:rsidRPr="00E62074">
        <w:rPr>
          <w:rFonts w:ascii="Times New Roman" w:eastAsia="Times New Roman" w:hAnsi="Times New Roman" w:cs="Times New Roman"/>
          <w:color w:val="000000" w:themeColor="text1"/>
          <w:spacing w:val="3"/>
          <w:sz w:val="24"/>
          <w:szCs w:val="24"/>
        </w:rPr>
        <w:t xml:space="preserve">, S., Luo, F., </w:t>
      </w:r>
      <w:proofErr w:type="spellStart"/>
      <w:r w:rsidRPr="00E62074">
        <w:rPr>
          <w:rFonts w:ascii="Times New Roman" w:eastAsia="Times New Roman" w:hAnsi="Times New Roman" w:cs="Times New Roman"/>
          <w:color w:val="000000" w:themeColor="text1"/>
          <w:spacing w:val="3"/>
          <w:sz w:val="24"/>
          <w:szCs w:val="24"/>
        </w:rPr>
        <w:t>Sandefur</w:t>
      </w:r>
      <w:proofErr w:type="spellEnd"/>
      <w:r w:rsidRPr="00E62074">
        <w:rPr>
          <w:rFonts w:ascii="Times New Roman" w:eastAsia="Times New Roman" w:hAnsi="Times New Roman" w:cs="Times New Roman"/>
          <w:color w:val="000000" w:themeColor="text1"/>
          <w:spacing w:val="3"/>
          <w:sz w:val="24"/>
          <w:szCs w:val="24"/>
        </w:rPr>
        <w:t>, P., Ru, S., &amp; Peace, C. (2022, February 14). As It Stands: The Palouse Wild Cider Apple Breeding Program. Multidisciplinary Digital Publishing Institute, 11(4), 517-517. https://doi.org/10.3390/plants11040517</w:t>
      </w:r>
    </w:p>
    <w:p w14:paraId="5EB17034"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t>Jandl</w:t>
      </w:r>
      <w:proofErr w:type="spellEnd"/>
      <w:r w:rsidRPr="00E62074">
        <w:rPr>
          <w:rFonts w:ascii="Times New Roman" w:eastAsia="Times New Roman" w:hAnsi="Times New Roman" w:cs="Times New Roman"/>
          <w:color w:val="000000" w:themeColor="text1"/>
          <w:spacing w:val="2"/>
          <w:sz w:val="24"/>
          <w:szCs w:val="24"/>
        </w:rPr>
        <w:t xml:space="preserve">, R., </w:t>
      </w:r>
      <w:proofErr w:type="spellStart"/>
      <w:r w:rsidRPr="00E62074">
        <w:rPr>
          <w:rFonts w:ascii="Times New Roman" w:eastAsia="Times New Roman" w:hAnsi="Times New Roman" w:cs="Times New Roman"/>
          <w:color w:val="000000" w:themeColor="text1"/>
          <w:spacing w:val="2"/>
          <w:sz w:val="24"/>
          <w:szCs w:val="24"/>
        </w:rPr>
        <w:t>Spathelf</w:t>
      </w:r>
      <w:proofErr w:type="spellEnd"/>
      <w:r w:rsidRPr="00E62074">
        <w:rPr>
          <w:rFonts w:ascii="Times New Roman" w:eastAsia="Times New Roman" w:hAnsi="Times New Roman" w:cs="Times New Roman"/>
          <w:color w:val="000000" w:themeColor="text1"/>
          <w:spacing w:val="2"/>
          <w:sz w:val="24"/>
          <w:szCs w:val="24"/>
        </w:rPr>
        <w:t xml:space="preserve">, P., Bolte, A., &amp; Prescott, C E. (2019, April 30). Forest adaptation to climate change—is non-management an </w:t>
      </w:r>
      <w:proofErr w:type="gramStart"/>
      <w:r w:rsidRPr="00E62074">
        <w:rPr>
          <w:rFonts w:ascii="Times New Roman" w:eastAsia="Times New Roman" w:hAnsi="Times New Roman" w:cs="Times New Roman"/>
          <w:color w:val="000000" w:themeColor="text1"/>
          <w:spacing w:val="2"/>
          <w:sz w:val="24"/>
          <w:szCs w:val="24"/>
        </w:rPr>
        <w:t>option?.</w:t>
      </w:r>
      <w:proofErr w:type="gramEnd"/>
      <w:r w:rsidRPr="00E62074">
        <w:rPr>
          <w:rFonts w:ascii="Times New Roman" w:eastAsia="Times New Roman" w:hAnsi="Times New Roman" w:cs="Times New Roman"/>
          <w:color w:val="000000" w:themeColor="text1"/>
          <w:spacing w:val="2"/>
          <w:sz w:val="24"/>
          <w:szCs w:val="24"/>
        </w:rPr>
        <w:t xml:space="preserve">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76(2). https://doi.org/10.1007/s13595-019-0827-x</w:t>
      </w:r>
    </w:p>
    <w:p w14:paraId="582A581A"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t>Jandl</w:t>
      </w:r>
      <w:proofErr w:type="spellEnd"/>
      <w:r w:rsidRPr="00E62074">
        <w:rPr>
          <w:rFonts w:ascii="Times New Roman" w:eastAsia="Times New Roman" w:hAnsi="Times New Roman" w:cs="Times New Roman"/>
          <w:color w:val="000000" w:themeColor="text1"/>
          <w:spacing w:val="2"/>
          <w:sz w:val="24"/>
          <w:szCs w:val="24"/>
        </w:rPr>
        <w:t xml:space="preserve">, R., </w:t>
      </w:r>
      <w:proofErr w:type="spellStart"/>
      <w:r w:rsidRPr="00E62074">
        <w:rPr>
          <w:rFonts w:ascii="Times New Roman" w:eastAsia="Times New Roman" w:hAnsi="Times New Roman" w:cs="Times New Roman"/>
          <w:color w:val="000000" w:themeColor="text1"/>
          <w:spacing w:val="2"/>
          <w:sz w:val="24"/>
          <w:szCs w:val="24"/>
        </w:rPr>
        <w:t>Spathelf</w:t>
      </w:r>
      <w:proofErr w:type="spellEnd"/>
      <w:r w:rsidRPr="00E62074">
        <w:rPr>
          <w:rFonts w:ascii="Times New Roman" w:eastAsia="Times New Roman" w:hAnsi="Times New Roman" w:cs="Times New Roman"/>
          <w:color w:val="000000" w:themeColor="text1"/>
          <w:spacing w:val="2"/>
          <w:sz w:val="24"/>
          <w:szCs w:val="24"/>
        </w:rPr>
        <w:t xml:space="preserve">, P., Bolte, A., &amp; Prescott, C E. (2019, April 30). Forest adaptation to climate change—is non-management an </w:t>
      </w:r>
      <w:proofErr w:type="gramStart"/>
      <w:r w:rsidRPr="00E62074">
        <w:rPr>
          <w:rFonts w:ascii="Times New Roman" w:eastAsia="Times New Roman" w:hAnsi="Times New Roman" w:cs="Times New Roman"/>
          <w:color w:val="000000" w:themeColor="text1"/>
          <w:spacing w:val="2"/>
          <w:sz w:val="24"/>
          <w:szCs w:val="24"/>
        </w:rPr>
        <w:t>option?.</w:t>
      </w:r>
      <w:proofErr w:type="gramEnd"/>
      <w:r w:rsidRPr="00E62074">
        <w:rPr>
          <w:rFonts w:ascii="Times New Roman" w:eastAsia="Times New Roman" w:hAnsi="Times New Roman" w:cs="Times New Roman"/>
          <w:color w:val="000000" w:themeColor="text1"/>
          <w:spacing w:val="2"/>
          <w:sz w:val="24"/>
          <w:szCs w:val="24"/>
        </w:rPr>
        <w:t xml:space="preserve">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76(2). https://doi.org/10.1007/s13595-019-0827-x</w:t>
      </w:r>
    </w:p>
    <w:p w14:paraId="6B82B5C9"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Keenan, R. J. (2015). Climate change impacts and adaptation in forest management: a review. </w:t>
      </w:r>
      <w:r w:rsidRPr="00E62074">
        <w:rPr>
          <w:rFonts w:ascii="Times New Roman" w:hAnsi="Times New Roman" w:cs="Times New Roman"/>
          <w:iCs/>
          <w:color w:val="000000" w:themeColor="text1"/>
          <w:sz w:val="24"/>
          <w:szCs w:val="24"/>
          <w:shd w:val="clear" w:color="auto" w:fill="FFFFFF"/>
        </w:rPr>
        <w:t>Annals of forest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72</w:t>
      </w:r>
      <w:r w:rsidRPr="00E62074">
        <w:rPr>
          <w:rFonts w:ascii="Times New Roman" w:hAnsi="Times New Roman" w:cs="Times New Roman"/>
          <w:color w:val="000000" w:themeColor="text1"/>
          <w:sz w:val="24"/>
          <w:szCs w:val="24"/>
          <w:shd w:val="clear" w:color="auto" w:fill="FFFFFF"/>
        </w:rPr>
        <w:t>, 145-167.</w:t>
      </w:r>
    </w:p>
    <w:p w14:paraId="1084BFC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Keriö</w:t>
      </w:r>
      <w:proofErr w:type="spellEnd"/>
      <w:r w:rsidRPr="00E62074">
        <w:rPr>
          <w:rFonts w:ascii="Times New Roman" w:hAnsi="Times New Roman" w:cs="Times New Roman"/>
          <w:color w:val="000000" w:themeColor="text1"/>
          <w:sz w:val="24"/>
          <w:szCs w:val="24"/>
          <w:shd w:val="clear" w:color="auto" w:fill="FFFFFF"/>
        </w:rPr>
        <w:t xml:space="preserve">, S., Daniels, H. A., Gómez-Gallego, M., </w:t>
      </w:r>
      <w:proofErr w:type="spellStart"/>
      <w:r w:rsidRPr="00E62074">
        <w:rPr>
          <w:rFonts w:ascii="Times New Roman" w:hAnsi="Times New Roman" w:cs="Times New Roman"/>
          <w:color w:val="000000" w:themeColor="text1"/>
          <w:sz w:val="24"/>
          <w:szCs w:val="24"/>
          <w:shd w:val="clear" w:color="auto" w:fill="FFFFFF"/>
        </w:rPr>
        <w:t>Tabima</w:t>
      </w:r>
      <w:proofErr w:type="spellEnd"/>
      <w:r w:rsidRPr="00E62074">
        <w:rPr>
          <w:rFonts w:ascii="Times New Roman" w:hAnsi="Times New Roman" w:cs="Times New Roman"/>
          <w:color w:val="000000" w:themeColor="text1"/>
          <w:sz w:val="24"/>
          <w:szCs w:val="24"/>
          <w:shd w:val="clear" w:color="auto" w:fill="FFFFFF"/>
        </w:rPr>
        <w:t xml:space="preserve">, J. F., Lenz, R. R., </w:t>
      </w:r>
      <w:proofErr w:type="spellStart"/>
      <w:r w:rsidRPr="00E62074">
        <w:rPr>
          <w:rFonts w:ascii="Times New Roman" w:hAnsi="Times New Roman" w:cs="Times New Roman"/>
          <w:color w:val="000000" w:themeColor="text1"/>
          <w:sz w:val="24"/>
          <w:szCs w:val="24"/>
          <w:shd w:val="clear" w:color="auto" w:fill="FFFFFF"/>
        </w:rPr>
        <w:t>Søndreli</w:t>
      </w:r>
      <w:proofErr w:type="spellEnd"/>
      <w:r w:rsidRPr="00E62074">
        <w:rPr>
          <w:rFonts w:ascii="Times New Roman" w:hAnsi="Times New Roman" w:cs="Times New Roman"/>
          <w:color w:val="000000" w:themeColor="text1"/>
          <w:sz w:val="24"/>
          <w:szCs w:val="24"/>
          <w:shd w:val="clear" w:color="auto" w:fill="FFFFFF"/>
        </w:rPr>
        <w:t xml:space="preserve">, K. L., ... &amp; </w:t>
      </w:r>
      <w:proofErr w:type="spellStart"/>
      <w:r w:rsidRPr="00E62074">
        <w:rPr>
          <w:rFonts w:ascii="Times New Roman" w:hAnsi="Times New Roman" w:cs="Times New Roman"/>
          <w:color w:val="000000" w:themeColor="text1"/>
          <w:sz w:val="24"/>
          <w:szCs w:val="24"/>
          <w:shd w:val="clear" w:color="auto" w:fill="FFFFFF"/>
        </w:rPr>
        <w:t>LeBoldus</w:t>
      </w:r>
      <w:proofErr w:type="spellEnd"/>
      <w:r w:rsidRPr="00E62074">
        <w:rPr>
          <w:rFonts w:ascii="Times New Roman" w:hAnsi="Times New Roman" w:cs="Times New Roman"/>
          <w:color w:val="000000" w:themeColor="text1"/>
          <w:sz w:val="24"/>
          <w:szCs w:val="24"/>
          <w:shd w:val="clear" w:color="auto" w:fill="FFFFFF"/>
        </w:rPr>
        <w:t>, J. M. (2020). From genomes to forest management–tackling invasive Phytophthora species in the era of genomics. </w:t>
      </w:r>
      <w:r w:rsidRPr="00E62074">
        <w:rPr>
          <w:rFonts w:ascii="Times New Roman" w:hAnsi="Times New Roman" w:cs="Times New Roman"/>
          <w:iCs/>
          <w:color w:val="000000" w:themeColor="text1"/>
          <w:sz w:val="24"/>
          <w:szCs w:val="24"/>
          <w:shd w:val="clear" w:color="auto" w:fill="FFFFFF"/>
        </w:rPr>
        <w:t>Canadian Journal of Plant Pathology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42</w:t>
      </w:r>
      <w:r w:rsidRPr="00E62074">
        <w:rPr>
          <w:rFonts w:ascii="Times New Roman" w:hAnsi="Times New Roman" w:cs="Times New Roman"/>
          <w:color w:val="000000" w:themeColor="text1"/>
          <w:sz w:val="24"/>
          <w:szCs w:val="24"/>
          <w:shd w:val="clear" w:color="auto" w:fill="FFFFFF"/>
        </w:rPr>
        <w:t>(1), 1-29.</w:t>
      </w:r>
    </w:p>
    <w:p w14:paraId="4FBE1487"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lastRenderedPageBreak/>
        <w:t xml:space="preserve">Leech, S. M., </w:t>
      </w:r>
      <w:proofErr w:type="spellStart"/>
      <w:r w:rsidRPr="00E62074">
        <w:rPr>
          <w:rFonts w:ascii="Times New Roman" w:hAnsi="Times New Roman" w:cs="Times New Roman"/>
          <w:color w:val="000000" w:themeColor="text1"/>
          <w:sz w:val="24"/>
          <w:szCs w:val="24"/>
          <w:shd w:val="clear" w:color="auto" w:fill="FFFFFF"/>
        </w:rPr>
        <w:t>Almuedo</w:t>
      </w:r>
      <w:proofErr w:type="spellEnd"/>
      <w:r w:rsidRPr="00E62074">
        <w:rPr>
          <w:rFonts w:ascii="Times New Roman" w:hAnsi="Times New Roman" w:cs="Times New Roman"/>
          <w:color w:val="000000" w:themeColor="text1"/>
          <w:sz w:val="24"/>
          <w:szCs w:val="24"/>
          <w:shd w:val="clear" w:color="auto" w:fill="FFFFFF"/>
        </w:rPr>
        <w:t>, P. L., &amp; O'Neill, G. (2011). Assisted migration: adapting forest management to a changing climate. </w:t>
      </w:r>
      <w:r w:rsidRPr="00E62074">
        <w:rPr>
          <w:rFonts w:ascii="Times New Roman" w:hAnsi="Times New Roman" w:cs="Times New Roman"/>
          <w:iCs/>
          <w:color w:val="000000" w:themeColor="text1"/>
          <w:sz w:val="24"/>
          <w:szCs w:val="24"/>
          <w:shd w:val="clear" w:color="auto" w:fill="FFFFFF"/>
        </w:rPr>
        <w:t>Journal of Ecosystems and Management</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12</w:t>
      </w:r>
      <w:r w:rsidRPr="00E62074">
        <w:rPr>
          <w:rFonts w:ascii="Times New Roman" w:hAnsi="Times New Roman" w:cs="Times New Roman"/>
          <w:color w:val="000000" w:themeColor="text1"/>
          <w:sz w:val="24"/>
          <w:szCs w:val="24"/>
          <w:shd w:val="clear" w:color="auto" w:fill="FFFFFF"/>
        </w:rPr>
        <w:t>(3).</w:t>
      </w:r>
    </w:p>
    <w:p w14:paraId="4A2653B6"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Messier, C., </w:t>
      </w:r>
      <w:proofErr w:type="spellStart"/>
      <w:r w:rsidRPr="00E62074">
        <w:rPr>
          <w:rFonts w:ascii="Times New Roman" w:eastAsia="Times New Roman" w:hAnsi="Times New Roman" w:cs="Times New Roman"/>
          <w:color w:val="000000" w:themeColor="text1"/>
          <w:spacing w:val="2"/>
          <w:sz w:val="24"/>
          <w:szCs w:val="24"/>
        </w:rPr>
        <w:t>Bauhus</w:t>
      </w:r>
      <w:proofErr w:type="spellEnd"/>
      <w:r w:rsidRPr="00E62074">
        <w:rPr>
          <w:rFonts w:ascii="Times New Roman" w:eastAsia="Times New Roman" w:hAnsi="Times New Roman" w:cs="Times New Roman"/>
          <w:color w:val="000000" w:themeColor="text1"/>
          <w:spacing w:val="2"/>
          <w:sz w:val="24"/>
          <w:szCs w:val="24"/>
        </w:rPr>
        <w:t xml:space="preserve">, J., Doyon, F., </w:t>
      </w:r>
      <w:proofErr w:type="spellStart"/>
      <w:r w:rsidRPr="00E62074">
        <w:rPr>
          <w:rFonts w:ascii="Times New Roman" w:eastAsia="Times New Roman" w:hAnsi="Times New Roman" w:cs="Times New Roman"/>
          <w:color w:val="000000" w:themeColor="text1"/>
          <w:spacing w:val="2"/>
          <w:sz w:val="24"/>
          <w:szCs w:val="24"/>
        </w:rPr>
        <w:t>Maure</w:t>
      </w:r>
      <w:proofErr w:type="spellEnd"/>
      <w:r w:rsidRPr="00E62074">
        <w:rPr>
          <w:rFonts w:ascii="Times New Roman" w:eastAsia="Times New Roman" w:hAnsi="Times New Roman" w:cs="Times New Roman"/>
          <w:color w:val="000000" w:themeColor="text1"/>
          <w:spacing w:val="2"/>
          <w:sz w:val="24"/>
          <w:szCs w:val="24"/>
        </w:rPr>
        <w:t>, F., Sousa</w:t>
      </w:r>
      <w:r w:rsidRPr="00E62074">
        <w:rPr>
          <w:rFonts w:ascii="Cambria Math" w:eastAsia="Times New Roman" w:hAnsi="Cambria Math" w:cs="Times New Roman"/>
          <w:color w:val="000000" w:themeColor="text1"/>
          <w:spacing w:val="2"/>
          <w:sz w:val="24"/>
          <w:szCs w:val="24"/>
        </w:rPr>
        <w:t>‐</w:t>
      </w:r>
      <w:r w:rsidRPr="00E62074">
        <w:rPr>
          <w:rFonts w:ascii="Times New Roman" w:eastAsia="Times New Roman" w:hAnsi="Times New Roman" w:cs="Times New Roman"/>
          <w:color w:val="000000" w:themeColor="text1"/>
          <w:spacing w:val="2"/>
          <w:sz w:val="24"/>
          <w:szCs w:val="24"/>
        </w:rPr>
        <w:t xml:space="preserve">Silva, R., </w:t>
      </w:r>
      <w:proofErr w:type="spellStart"/>
      <w:r w:rsidRPr="00E62074">
        <w:rPr>
          <w:rFonts w:ascii="Times New Roman" w:eastAsia="Times New Roman" w:hAnsi="Times New Roman" w:cs="Times New Roman"/>
          <w:color w:val="000000" w:themeColor="text1"/>
          <w:spacing w:val="2"/>
          <w:sz w:val="24"/>
          <w:szCs w:val="24"/>
        </w:rPr>
        <w:t>Nolet</w:t>
      </w:r>
      <w:proofErr w:type="spellEnd"/>
      <w:r w:rsidRPr="00E62074">
        <w:rPr>
          <w:rFonts w:ascii="Times New Roman" w:eastAsia="Times New Roman" w:hAnsi="Times New Roman" w:cs="Times New Roman"/>
          <w:color w:val="000000" w:themeColor="text1"/>
          <w:spacing w:val="2"/>
          <w:sz w:val="24"/>
          <w:szCs w:val="24"/>
        </w:rPr>
        <w:t xml:space="preserve">, P., Mina, M., </w:t>
      </w:r>
      <w:proofErr w:type="spellStart"/>
      <w:r w:rsidRPr="00E62074">
        <w:rPr>
          <w:rFonts w:ascii="Times New Roman" w:eastAsia="Times New Roman" w:hAnsi="Times New Roman" w:cs="Times New Roman"/>
          <w:color w:val="000000" w:themeColor="text1"/>
          <w:spacing w:val="2"/>
          <w:sz w:val="24"/>
          <w:szCs w:val="24"/>
        </w:rPr>
        <w:t>Aquilué</w:t>
      </w:r>
      <w:proofErr w:type="spellEnd"/>
      <w:r w:rsidRPr="00E62074">
        <w:rPr>
          <w:rFonts w:ascii="Times New Roman" w:eastAsia="Times New Roman" w:hAnsi="Times New Roman" w:cs="Times New Roman"/>
          <w:color w:val="000000" w:themeColor="text1"/>
          <w:spacing w:val="2"/>
          <w:sz w:val="24"/>
          <w:szCs w:val="24"/>
        </w:rPr>
        <w:t xml:space="preserve">, N., Fortin, M., &amp; </w:t>
      </w:r>
      <w:proofErr w:type="spellStart"/>
      <w:r w:rsidRPr="00E62074">
        <w:rPr>
          <w:rFonts w:ascii="Times New Roman" w:eastAsia="Times New Roman" w:hAnsi="Times New Roman" w:cs="Times New Roman"/>
          <w:color w:val="000000" w:themeColor="text1"/>
          <w:spacing w:val="2"/>
          <w:sz w:val="24"/>
          <w:szCs w:val="24"/>
        </w:rPr>
        <w:t>Puettmann</w:t>
      </w:r>
      <w:proofErr w:type="spellEnd"/>
      <w:r w:rsidRPr="00E62074">
        <w:rPr>
          <w:rFonts w:ascii="Times New Roman" w:eastAsia="Times New Roman" w:hAnsi="Times New Roman" w:cs="Times New Roman"/>
          <w:color w:val="000000" w:themeColor="text1"/>
          <w:spacing w:val="2"/>
          <w:sz w:val="24"/>
          <w:szCs w:val="24"/>
        </w:rPr>
        <w:t xml:space="preserve">, K J. (2019, April 9). The functional complex network approach to foster forest resilience to global changes. Springer </w:t>
      </w:r>
      <w:proofErr w:type="spellStart"/>
      <w:r w:rsidRPr="00E62074">
        <w:rPr>
          <w:rFonts w:ascii="Times New Roman" w:eastAsia="Times New Roman" w:hAnsi="Times New Roman" w:cs="Times New Roman"/>
          <w:color w:val="000000" w:themeColor="text1"/>
          <w:spacing w:val="2"/>
          <w:sz w:val="24"/>
          <w:szCs w:val="24"/>
        </w:rPr>
        <w:t>Science+Business</w:t>
      </w:r>
      <w:proofErr w:type="spellEnd"/>
      <w:r w:rsidRPr="00E62074">
        <w:rPr>
          <w:rFonts w:ascii="Times New Roman" w:eastAsia="Times New Roman" w:hAnsi="Times New Roman" w:cs="Times New Roman"/>
          <w:color w:val="000000" w:themeColor="text1"/>
          <w:spacing w:val="2"/>
          <w:sz w:val="24"/>
          <w:szCs w:val="24"/>
        </w:rPr>
        <w:t xml:space="preserve"> Media, 6(1). https://doi.org/10.1186/s40663-019-0166-2</w:t>
      </w:r>
    </w:p>
    <w:p w14:paraId="3B6650B3"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t>Migicovsky</w:t>
      </w:r>
      <w:proofErr w:type="spellEnd"/>
      <w:r w:rsidRPr="00E62074">
        <w:rPr>
          <w:rFonts w:ascii="Times New Roman" w:eastAsia="Times New Roman" w:hAnsi="Times New Roman" w:cs="Times New Roman"/>
          <w:color w:val="000000" w:themeColor="text1"/>
          <w:spacing w:val="2"/>
          <w:sz w:val="24"/>
          <w:szCs w:val="24"/>
        </w:rPr>
        <w:t>, Z., &amp; Myles, S. (2017, April 4). Exploiting Wild Relatives for Genomics-assisted Breeding of Perennial Crops. Frontiers Media, 8. https://doi.org/10.3389/fpls.2017.00460</w:t>
      </w:r>
    </w:p>
    <w:p w14:paraId="5F32A5DD"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Mushtaq, M., Ahmad Dar, A., </w:t>
      </w:r>
      <w:proofErr w:type="spellStart"/>
      <w:r w:rsidRPr="00E62074">
        <w:rPr>
          <w:rFonts w:ascii="Times New Roman" w:hAnsi="Times New Roman" w:cs="Times New Roman"/>
          <w:color w:val="000000" w:themeColor="text1"/>
          <w:sz w:val="24"/>
          <w:szCs w:val="24"/>
          <w:shd w:val="clear" w:color="auto" w:fill="FFFFFF"/>
        </w:rPr>
        <w:t>Skalicky</w:t>
      </w:r>
      <w:proofErr w:type="spellEnd"/>
      <w:r w:rsidRPr="00E62074">
        <w:rPr>
          <w:rFonts w:ascii="Times New Roman" w:hAnsi="Times New Roman" w:cs="Times New Roman"/>
          <w:color w:val="000000" w:themeColor="text1"/>
          <w:sz w:val="24"/>
          <w:szCs w:val="24"/>
          <w:shd w:val="clear" w:color="auto" w:fill="FFFFFF"/>
        </w:rPr>
        <w:t xml:space="preserve">, M., Tyagi, A., Bhagat, N., </w:t>
      </w:r>
      <w:proofErr w:type="spellStart"/>
      <w:r w:rsidRPr="00E62074">
        <w:rPr>
          <w:rFonts w:ascii="Times New Roman" w:hAnsi="Times New Roman" w:cs="Times New Roman"/>
          <w:color w:val="000000" w:themeColor="text1"/>
          <w:sz w:val="24"/>
          <w:szCs w:val="24"/>
          <w:shd w:val="clear" w:color="auto" w:fill="FFFFFF"/>
        </w:rPr>
        <w:t>Basu</w:t>
      </w:r>
      <w:proofErr w:type="spellEnd"/>
      <w:r w:rsidRPr="00E62074">
        <w:rPr>
          <w:rFonts w:ascii="Times New Roman" w:hAnsi="Times New Roman" w:cs="Times New Roman"/>
          <w:color w:val="000000" w:themeColor="text1"/>
          <w:sz w:val="24"/>
          <w:szCs w:val="24"/>
          <w:shd w:val="clear" w:color="auto" w:fill="FFFFFF"/>
        </w:rPr>
        <w:t xml:space="preserve">, U., ... &amp; EL </w:t>
      </w:r>
      <w:proofErr w:type="spellStart"/>
      <w:r w:rsidRPr="00E62074">
        <w:rPr>
          <w:rFonts w:ascii="Times New Roman" w:hAnsi="Times New Roman" w:cs="Times New Roman"/>
          <w:color w:val="000000" w:themeColor="text1"/>
          <w:sz w:val="24"/>
          <w:szCs w:val="24"/>
          <w:shd w:val="clear" w:color="auto" w:fill="FFFFFF"/>
        </w:rPr>
        <w:t>Sabagh</w:t>
      </w:r>
      <w:proofErr w:type="spellEnd"/>
      <w:r w:rsidRPr="00E62074">
        <w:rPr>
          <w:rFonts w:ascii="Times New Roman" w:hAnsi="Times New Roman" w:cs="Times New Roman"/>
          <w:color w:val="000000" w:themeColor="text1"/>
          <w:sz w:val="24"/>
          <w:szCs w:val="24"/>
          <w:shd w:val="clear" w:color="auto" w:fill="FFFFFF"/>
        </w:rPr>
        <w:t>, A. (2021). CRISPR-based genome editing tools: Insights into technological breakthroughs and future challenges. </w:t>
      </w:r>
      <w:r w:rsidRPr="00E62074">
        <w:rPr>
          <w:rFonts w:ascii="Times New Roman" w:hAnsi="Times New Roman" w:cs="Times New Roman"/>
          <w:iCs/>
          <w:color w:val="000000" w:themeColor="text1"/>
          <w:sz w:val="24"/>
          <w:szCs w:val="24"/>
          <w:shd w:val="clear" w:color="auto" w:fill="FFFFFF"/>
        </w:rPr>
        <w:t>Genes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12</w:t>
      </w:r>
      <w:r w:rsidRPr="00E62074">
        <w:rPr>
          <w:rFonts w:ascii="Times New Roman" w:hAnsi="Times New Roman" w:cs="Times New Roman"/>
          <w:color w:val="000000" w:themeColor="text1"/>
          <w:sz w:val="24"/>
          <w:szCs w:val="24"/>
          <w:shd w:val="clear" w:color="auto" w:fill="FFFFFF"/>
        </w:rPr>
        <w:t>(6), 797.</w:t>
      </w:r>
    </w:p>
    <w:p w14:paraId="3511EA0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Naake</w:t>
      </w:r>
      <w:proofErr w:type="spellEnd"/>
      <w:r w:rsidRPr="00E62074">
        <w:rPr>
          <w:rFonts w:ascii="Times New Roman" w:hAnsi="Times New Roman" w:cs="Times New Roman"/>
          <w:color w:val="000000" w:themeColor="text1"/>
          <w:sz w:val="24"/>
          <w:szCs w:val="24"/>
          <w:shd w:val="clear" w:color="auto" w:fill="FFFFFF"/>
        </w:rPr>
        <w:t xml:space="preserve">, T., Zhu, F., </w:t>
      </w:r>
      <w:proofErr w:type="spellStart"/>
      <w:r w:rsidRPr="00E62074">
        <w:rPr>
          <w:rFonts w:ascii="Times New Roman" w:hAnsi="Times New Roman" w:cs="Times New Roman"/>
          <w:color w:val="000000" w:themeColor="text1"/>
          <w:sz w:val="24"/>
          <w:szCs w:val="24"/>
          <w:shd w:val="clear" w:color="auto" w:fill="FFFFFF"/>
        </w:rPr>
        <w:t>Alseekh</w:t>
      </w:r>
      <w:proofErr w:type="spellEnd"/>
      <w:r w:rsidRPr="00E62074">
        <w:rPr>
          <w:rFonts w:ascii="Times New Roman" w:hAnsi="Times New Roman" w:cs="Times New Roman"/>
          <w:color w:val="000000" w:themeColor="text1"/>
          <w:sz w:val="24"/>
          <w:szCs w:val="24"/>
          <w:shd w:val="clear" w:color="auto" w:fill="FFFFFF"/>
        </w:rPr>
        <w:t xml:space="preserve">, S., </w:t>
      </w:r>
      <w:proofErr w:type="spellStart"/>
      <w:r w:rsidRPr="00E62074">
        <w:rPr>
          <w:rFonts w:ascii="Times New Roman" w:hAnsi="Times New Roman" w:cs="Times New Roman"/>
          <w:color w:val="000000" w:themeColor="text1"/>
          <w:sz w:val="24"/>
          <w:szCs w:val="24"/>
          <w:shd w:val="clear" w:color="auto" w:fill="FFFFFF"/>
        </w:rPr>
        <w:t>Scossa</w:t>
      </w:r>
      <w:proofErr w:type="spellEnd"/>
      <w:r w:rsidRPr="00E62074">
        <w:rPr>
          <w:rFonts w:ascii="Times New Roman" w:hAnsi="Times New Roman" w:cs="Times New Roman"/>
          <w:color w:val="000000" w:themeColor="text1"/>
          <w:sz w:val="24"/>
          <w:szCs w:val="24"/>
          <w:shd w:val="clear" w:color="auto" w:fill="FFFFFF"/>
        </w:rPr>
        <w:t xml:space="preserve">, F., Perez de Souza, L., </w:t>
      </w:r>
      <w:proofErr w:type="spellStart"/>
      <w:r w:rsidRPr="00E62074">
        <w:rPr>
          <w:rFonts w:ascii="Times New Roman" w:hAnsi="Times New Roman" w:cs="Times New Roman"/>
          <w:color w:val="000000" w:themeColor="text1"/>
          <w:sz w:val="24"/>
          <w:szCs w:val="24"/>
          <w:shd w:val="clear" w:color="auto" w:fill="FFFFFF"/>
        </w:rPr>
        <w:t>Borghi</w:t>
      </w:r>
      <w:proofErr w:type="spellEnd"/>
      <w:r w:rsidRPr="00E62074">
        <w:rPr>
          <w:rFonts w:ascii="Times New Roman" w:hAnsi="Times New Roman" w:cs="Times New Roman"/>
          <w:color w:val="000000" w:themeColor="text1"/>
          <w:sz w:val="24"/>
          <w:szCs w:val="24"/>
          <w:shd w:val="clear" w:color="auto" w:fill="FFFFFF"/>
        </w:rPr>
        <w:t xml:space="preserve">, M., ... &amp; </w:t>
      </w:r>
      <w:proofErr w:type="spellStart"/>
      <w:r w:rsidRPr="00E62074">
        <w:rPr>
          <w:rFonts w:ascii="Times New Roman" w:hAnsi="Times New Roman" w:cs="Times New Roman"/>
          <w:color w:val="000000" w:themeColor="text1"/>
          <w:sz w:val="24"/>
          <w:szCs w:val="24"/>
          <w:shd w:val="clear" w:color="auto" w:fill="FFFFFF"/>
        </w:rPr>
        <w:t>Fernie</w:t>
      </w:r>
      <w:proofErr w:type="spellEnd"/>
      <w:r w:rsidRPr="00E62074">
        <w:rPr>
          <w:rFonts w:ascii="Times New Roman" w:hAnsi="Times New Roman" w:cs="Times New Roman"/>
          <w:color w:val="000000" w:themeColor="text1"/>
          <w:sz w:val="24"/>
          <w:szCs w:val="24"/>
          <w:shd w:val="clear" w:color="auto" w:fill="FFFFFF"/>
        </w:rPr>
        <w:t>, A. R. (2024). Genome-wide association studies identify loci controlling specialized seed metabolites in Arabidopsis. </w:t>
      </w:r>
      <w:r w:rsidRPr="00E62074">
        <w:rPr>
          <w:rFonts w:ascii="Times New Roman" w:hAnsi="Times New Roman" w:cs="Times New Roman"/>
          <w:iCs/>
          <w:color w:val="000000" w:themeColor="text1"/>
          <w:sz w:val="24"/>
          <w:szCs w:val="24"/>
          <w:shd w:val="clear" w:color="auto" w:fill="FFFFFF"/>
        </w:rPr>
        <w:t>Plant Physiology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194</w:t>
      </w:r>
      <w:r w:rsidRPr="00E62074">
        <w:rPr>
          <w:rFonts w:ascii="Times New Roman" w:hAnsi="Times New Roman" w:cs="Times New Roman"/>
          <w:color w:val="000000" w:themeColor="text1"/>
          <w:sz w:val="24"/>
          <w:szCs w:val="24"/>
          <w:shd w:val="clear" w:color="auto" w:fill="FFFFFF"/>
        </w:rPr>
        <w:t>(3), 1705-1721.</w:t>
      </w:r>
    </w:p>
    <w:p w14:paraId="0B4BC0C0"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Namkoong</w:t>
      </w:r>
      <w:proofErr w:type="spellEnd"/>
      <w:r w:rsidRPr="00E62074">
        <w:rPr>
          <w:rFonts w:ascii="Times New Roman" w:hAnsi="Times New Roman" w:cs="Times New Roman"/>
          <w:color w:val="000000" w:themeColor="text1"/>
          <w:sz w:val="24"/>
          <w:szCs w:val="24"/>
          <w:shd w:val="clear" w:color="auto" w:fill="FFFFFF"/>
        </w:rPr>
        <w:t xml:space="preserve">, G., Kang, H. C., &amp; </w:t>
      </w:r>
      <w:proofErr w:type="spellStart"/>
      <w:r w:rsidRPr="00E62074">
        <w:rPr>
          <w:rFonts w:ascii="Times New Roman" w:hAnsi="Times New Roman" w:cs="Times New Roman"/>
          <w:color w:val="000000" w:themeColor="text1"/>
          <w:sz w:val="24"/>
          <w:szCs w:val="24"/>
          <w:shd w:val="clear" w:color="auto" w:fill="FFFFFF"/>
        </w:rPr>
        <w:t>Brouard</w:t>
      </w:r>
      <w:proofErr w:type="spellEnd"/>
      <w:r w:rsidRPr="00E62074">
        <w:rPr>
          <w:rFonts w:ascii="Times New Roman" w:hAnsi="Times New Roman" w:cs="Times New Roman"/>
          <w:color w:val="000000" w:themeColor="text1"/>
          <w:sz w:val="24"/>
          <w:szCs w:val="24"/>
          <w:shd w:val="clear" w:color="auto" w:fill="FFFFFF"/>
        </w:rPr>
        <w:t>, J. S. (2012). </w:t>
      </w:r>
      <w:r w:rsidRPr="00E62074">
        <w:rPr>
          <w:rFonts w:ascii="Times New Roman" w:hAnsi="Times New Roman" w:cs="Times New Roman"/>
          <w:iCs/>
          <w:color w:val="000000" w:themeColor="text1"/>
          <w:sz w:val="24"/>
          <w:szCs w:val="24"/>
          <w:shd w:val="clear" w:color="auto" w:fill="FFFFFF"/>
        </w:rPr>
        <w:t>Tree breeding: principles and strategies: principles and strategies</w:t>
      </w:r>
      <w:r w:rsidRPr="00E62074">
        <w:rPr>
          <w:rFonts w:ascii="Times New Roman" w:hAnsi="Times New Roman" w:cs="Times New Roman"/>
          <w:color w:val="000000" w:themeColor="text1"/>
          <w:sz w:val="24"/>
          <w:szCs w:val="24"/>
          <w:shd w:val="clear" w:color="auto" w:fill="FFFFFF"/>
        </w:rPr>
        <w:t> (Vol. 11). Springer Science &amp; Business Media.</w:t>
      </w:r>
    </w:p>
    <w:p w14:paraId="742E2DAF"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Nybom</w:t>
      </w:r>
      <w:proofErr w:type="spellEnd"/>
      <w:r w:rsidRPr="00E62074">
        <w:rPr>
          <w:rFonts w:ascii="Times New Roman" w:hAnsi="Times New Roman" w:cs="Times New Roman"/>
          <w:color w:val="000000" w:themeColor="text1"/>
          <w:sz w:val="24"/>
          <w:szCs w:val="24"/>
          <w:shd w:val="clear" w:color="auto" w:fill="FFFFFF"/>
        </w:rPr>
        <w:t xml:space="preserve">, H., &amp; </w:t>
      </w:r>
      <w:proofErr w:type="spellStart"/>
      <w:r w:rsidRPr="00E62074">
        <w:rPr>
          <w:rFonts w:ascii="Times New Roman" w:hAnsi="Times New Roman" w:cs="Times New Roman"/>
          <w:color w:val="000000" w:themeColor="text1"/>
          <w:sz w:val="24"/>
          <w:szCs w:val="24"/>
          <w:shd w:val="clear" w:color="auto" w:fill="FFFFFF"/>
        </w:rPr>
        <w:t>Lācis</w:t>
      </w:r>
      <w:proofErr w:type="spellEnd"/>
      <w:r w:rsidRPr="00E62074">
        <w:rPr>
          <w:rFonts w:ascii="Times New Roman" w:hAnsi="Times New Roman" w:cs="Times New Roman"/>
          <w:color w:val="000000" w:themeColor="text1"/>
          <w:sz w:val="24"/>
          <w:szCs w:val="24"/>
          <w:shd w:val="clear" w:color="auto" w:fill="FFFFFF"/>
        </w:rPr>
        <w:t xml:space="preserve">, G. (2021). Recent large-scale genotyping and phenotyping of plant genetic resources of </w:t>
      </w:r>
      <w:proofErr w:type="spellStart"/>
      <w:r w:rsidRPr="00E62074">
        <w:rPr>
          <w:rFonts w:ascii="Times New Roman" w:hAnsi="Times New Roman" w:cs="Times New Roman"/>
          <w:color w:val="000000" w:themeColor="text1"/>
          <w:sz w:val="24"/>
          <w:szCs w:val="24"/>
          <w:shd w:val="clear" w:color="auto" w:fill="FFFFFF"/>
        </w:rPr>
        <w:t>vegetatively</w:t>
      </w:r>
      <w:proofErr w:type="spellEnd"/>
      <w:r w:rsidRPr="00E62074">
        <w:rPr>
          <w:rFonts w:ascii="Times New Roman" w:hAnsi="Times New Roman" w:cs="Times New Roman"/>
          <w:color w:val="000000" w:themeColor="text1"/>
          <w:sz w:val="24"/>
          <w:szCs w:val="24"/>
          <w:shd w:val="clear" w:color="auto" w:fill="FFFFFF"/>
        </w:rPr>
        <w:t xml:space="preserve"> propagated crops. </w:t>
      </w:r>
      <w:r w:rsidRPr="00E62074">
        <w:rPr>
          <w:rFonts w:ascii="Times New Roman" w:hAnsi="Times New Roman" w:cs="Times New Roman"/>
          <w:iCs/>
          <w:color w:val="000000" w:themeColor="text1"/>
          <w:sz w:val="24"/>
          <w:szCs w:val="24"/>
          <w:shd w:val="clear" w:color="auto" w:fill="FFFFFF"/>
        </w:rPr>
        <w:t>Plants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10</w:t>
      </w:r>
      <w:r w:rsidRPr="00E62074">
        <w:rPr>
          <w:rFonts w:ascii="Times New Roman" w:hAnsi="Times New Roman" w:cs="Times New Roman"/>
          <w:color w:val="000000" w:themeColor="text1"/>
          <w:sz w:val="24"/>
          <w:szCs w:val="24"/>
          <w:shd w:val="clear" w:color="auto" w:fill="FFFFFF"/>
        </w:rPr>
        <w:t>(2), 415.</w:t>
      </w:r>
    </w:p>
    <w:p w14:paraId="2A9B8BA9"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Olsen, K M., &amp; Wendel, J F. (2013, March 2). A Bountiful Harvest: Genomic Insights into Crop Domestication Phenotypes. Annual Reviews, 64(1), 47-70. https://doi.org/10.1146/annurev-arplant-050312-120048</w:t>
      </w:r>
    </w:p>
    <w:p w14:paraId="2C499A41"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Pathirana</w:t>
      </w:r>
      <w:proofErr w:type="spellEnd"/>
      <w:r w:rsidRPr="00E62074">
        <w:rPr>
          <w:rFonts w:ascii="Times New Roman" w:hAnsi="Times New Roman" w:cs="Times New Roman"/>
          <w:color w:val="000000" w:themeColor="text1"/>
          <w:sz w:val="24"/>
          <w:szCs w:val="24"/>
          <w:shd w:val="clear" w:color="auto" w:fill="FFFFFF"/>
        </w:rPr>
        <w:t xml:space="preserve">, R., &amp; </w:t>
      </w:r>
      <w:proofErr w:type="spellStart"/>
      <w:r w:rsidRPr="00E62074">
        <w:rPr>
          <w:rFonts w:ascii="Times New Roman" w:hAnsi="Times New Roman" w:cs="Times New Roman"/>
          <w:color w:val="000000" w:themeColor="text1"/>
          <w:sz w:val="24"/>
          <w:szCs w:val="24"/>
          <w:shd w:val="clear" w:color="auto" w:fill="FFFFFF"/>
        </w:rPr>
        <w:t>Carimi</w:t>
      </w:r>
      <w:proofErr w:type="spellEnd"/>
      <w:r w:rsidRPr="00E62074">
        <w:rPr>
          <w:rFonts w:ascii="Times New Roman" w:hAnsi="Times New Roman" w:cs="Times New Roman"/>
          <w:color w:val="000000" w:themeColor="text1"/>
          <w:sz w:val="24"/>
          <w:szCs w:val="24"/>
          <w:shd w:val="clear" w:color="auto" w:fill="FFFFFF"/>
        </w:rPr>
        <w:t>, F. (2022). Management and utilization of plant genetic resources for a sustainable agriculture. </w:t>
      </w:r>
      <w:r w:rsidRPr="00E62074">
        <w:rPr>
          <w:rFonts w:ascii="Times New Roman" w:hAnsi="Times New Roman" w:cs="Times New Roman"/>
          <w:iCs/>
          <w:color w:val="000000" w:themeColor="text1"/>
          <w:sz w:val="24"/>
          <w:szCs w:val="24"/>
          <w:shd w:val="clear" w:color="auto" w:fill="FFFFFF"/>
        </w:rPr>
        <w:t>Plants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(15), 2038.</w:t>
      </w:r>
    </w:p>
    <w:p w14:paraId="1EAF6A82"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Pautasso</w:t>
      </w:r>
      <w:proofErr w:type="spellEnd"/>
      <w:r w:rsidRPr="00E62074">
        <w:rPr>
          <w:rFonts w:ascii="Times New Roman" w:hAnsi="Times New Roman" w:cs="Times New Roman"/>
          <w:color w:val="000000" w:themeColor="text1"/>
          <w:sz w:val="24"/>
          <w:szCs w:val="24"/>
          <w:shd w:val="clear" w:color="auto" w:fill="FFFFFF"/>
        </w:rPr>
        <w:t>, M. (2009). Geographical genetics and the conservation of forest trees. </w:t>
      </w:r>
      <w:r w:rsidRPr="00E62074">
        <w:rPr>
          <w:rFonts w:ascii="Times New Roman" w:hAnsi="Times New Roman" w:cs="Times New Roman"/>
          <w:iCs/>
          <w:color w:val="000000" w:themeColor="text1"/>
          <w:sz w:val="24"/>
          <w:szCs w:val="24"/>
          <w:shd w:val="clear" w:color="auto" w:fill="FFFFFF"/>
        </w:rPr>
        <w:t>Perspectives in plant ecology, Evolution and Systematics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11</w:t>
      </w:r>
      <w:r w:rsidRPr="00E62074">
        <w:rPr>
          <w:rFonts w:ascii="Times New Roman" w:hAnsi="Times New Roman" w:cs="Times New Roman"/>
          <w:color w:val="000000" w:themeColor="text1"/>
          <w:sz w:val="24"/>
          <w:szCs w:val="24"/>
          <w:shd w:val="clear" w:color="auto" w:fill="FFFFFF"/>
        </w:rPr>
        <w:t>(3), 157-189.</w:t>
      </w:r>
    </w:p>
    <w:p w14:paraId="4A95CE39"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lastRenderedPageBreak/>
        <w:t>Plomion</w:t>
      </w:r>
      <w:proofErr w:type="spellEnd"/>
      <w:r w:rsidRPr="00E62074">
        <w:rPr>
          <w:rFonts w:ascii="Times New Roman" w:hAnsi="Times New Roman" w:cs="Times New Roman"/>
          <w:color w:val="000000" w:themeColor="text1"/>
          <w:sz w:val="24"/>
          <w:szCs w:val="24"/>
          <w:shd w:val="clear" w:color="auto" w:fill="FFFFFF"/>
        </w:rPr>
        <w:t xml:space="preserve">, C., Bastien, C., </w:t>
      </w:r>
      <w:proofErr w:type="spellStart"/>
      <w:r w:rsidRPr="00E62074">
        <w:rPr>
          <w:rFonts w:ascii="Times New Roman" w:hAnsi="Times New Roman" w:cs="Times New Roman"/>
          <w:color w:val="000000" w:themeColor="text1"/>
          <w:sz w:val="24"/>
          <w:szCs w:val="24"/>
          <w:shd w:val="clear" w:color="auto" w:fill="FFFFFF"/>
        </w:rPr>
        <w:t>Bogeat-Triboulot</w:t>
      </w:r>
      <w:proofErr w:type="spellEnd"/>
      <w:r w:rsidRPr="00E62074">
        <w:rPr>
          <w:rFonts w:ascii="Times New Roman" w:hAnsi="Times New Roman" w:cs="Times New Roman"/>
          <w:color w:val="000000" w:themeColor="text1"/>
          <w:sz w:val="24"/>
          <w:szCs w:val="24"/>
          <w:shd w:val="clear" w:color="auto" w:fill="FFFFFF"/>
        </w:rPr>
        <w:t xml:space="preserve">, M. B., </w:t>
      </w:r>
      <w:proofErr w:type="spellStart"/>
      <w:r w:rsidRPr="00E62074">
        <w:rPr>
          <w:rFonts w:ascii="Times New Roman" w:hAnsi="Times New Roman" w:cs="Times New Roman"/>
          <w:color w:val="000000" w:themeColor="text1"/>
          <w:sz w:val="24"/>
          <w:szCs w:val="24"/>
          <w:shd w:val="clear" w:color="auto" w:fill="FFFFFF"/>
        </w:rPr>
        <w:t>Bouffier</w:t>
      </w:r>
      <w:proofErr w:type="spellEnd"/>
      <w:r w:rsidRPr="00E62074">
        <w:rPr>
          <w:rFonts w:ascii="Times New Roman" w:hAnsi="Times New Roman" w:cs="Times New Roman"/>
          <w:color w:val="000000" w:themeColor="text1"/>
          <w:sz w:val="24"/>
          <w:szCs w:val="24"/>
          <w:shd w:val="clear" w:color="auto" w:fill="FFFFFF"/>
        </w:rPr>
        <w:t xml:space="preserve">, L., </w:t>
      </w:r>
      <w:proofErr w:type="spellStart"/>
      <w:r w:rsidRPr="00E62074">
        <w:rPr>
          <w:rFonts w:ascii="Times New Roman" w:hAnsi="Times New Roman" w:cs="Times New Roman"/>
          <w:color w:val="000000" w:themeColor="text1"/>
          <w:sz w:val="24"/>
          <w:szCs w:val="24"/>
          <w:shd w:val="clear" w:color="auto" w:fill="FFFFFF"/>
        </w:rPr>
        <w:t>Déjardin</w:t>
      </w:r>
      <w:proofErr w:type="spellEnd"/>
      <w:r w:rsidRPr="00E62074">
        <w:rPr>
          <w:rFonts w:ascii="Times New Roman" w:hAnsi="Times New Roman" w:cs="Times New Roman"/>
          <w:color w:val="000000" w:themeColor="text1"/>
          <w:sz w:val="24"/>
          <w:szCs w:val="24"/>
          <w:shd w:val="clear" w:color="auto" w:fill="FFFFFF"/>
        </w:rPr>
        <w:t xml:space="preserve">, A., Duplessis, S., ... &amp; </w:t>
      </w:r>
      <w:proofErr w:type="spellStart"/>
      <w:r w:rsidRPr="00E62074">
        <w:rPr>
          <w:rFonts w:ascii="Times New Roman" w:hAnsi="Times New Roman" w:cs="Times New Roman"/>
          <w:color w:val="000000" w:themeColor="text1"/>
          <w:sz w:val="24"/>
          <w:szCs w:val="24"/>
          <w:shd w:val="clear" w:color="auto" w:fill="FFFFFF"/>
        </w:rPr>
        <w:t>Vacher</w:t>
      </w:r>
      <w:proofErr w:type="spellEnd"/>
      <w:r w:rsidRPr="00E62074">
        <w:rPr>
          <w:rFonts w:ascii="Times New Roman" w:hAnsi="Times New Roman" w:cs="Times New Roman"/>
          <w:color w:val="000000" w:themeColor="text1"/>
          <w:sz w:val="24"/>
          <w:szCs w:val="24"/>
          <w:shd w:val="clear" w:color="auto" w:fill="FFFFFF"/>
        </w:rPr>
        <w:t>, C. (2016). Forest tree genomics: 10 achievements from the past 10 years and future prospects. </w:t>
      </w:r>
      <w:r w:rsidRPr="00E62074">
        <w:rPr>
          <w:rFonts w:ascii="Times New Roman" w:hAnsi="Times New Roman" w:cs="Times New Roman"/>
          <w:iCs/>
          <w:color w:val="000000" w:themeColor="text1"/>
          <w:sz w:val="24"/>
          <w:szCs w:val="24"/>
          <w:shd w:val="clear" w:color="auto" w:fill="FFFFFF"/>
        </w:rPr>
        <w:t>Annals of Forest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73</w:t>
      </w:r>
      <w:r w:rsidRPr="00E62074">
        <w:rPr>
          <w:rFonts w:ascii="Times New Roman" w:hAnsi="Times New Roman" w:cs="Times New Roman"/>
          <w:color w:val="000000" w:themeColor="text1"/>
          <w:sz w:val="24"/>
          <w:szCs w:val="24"/>
          <w:shd w:val="clear" w:color="auto" w:fill="FFFFFF"/>
        </w:rPr>
        <w:t>, 77-103.</w:t>
      </w:r>
    </w:p>
    <w:p w14:paraId="7015481B"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Pontius, J., &amp; Duncan, J. (2018, April 26). Linking Science and Management in a Geospatial, Multi- Criteria Decision Support Tool. https://doi.org/10.5772/intechopen.73083</w:t>
      </w:r>
    </w:p>
    <w:p w14:paraId="7B7C271F"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t>Postolache</w:t>
      </w:r>
      <w:proofErr w:type="spellEnd"/>
      <w:r w:rsidRPr="00E62074">
        <w:rPr>
          <w:rFonts w:ascii="Times New Roman" w:eastAsia="Times New Roman" w:hAnsi="Times New Roman" w:cs="Times New Roman"/>
          <w:color w:val="000000" w:themeColor="text1"/>
          <w:spacing w:val="2"/>
          <w:sz w:val="24"/>
          <w:szCs w:val="24"/>
        </w:rPr>
        <w:t xml:space="preserve">, D., </w:t>
      </w:r>
      <w:proofErr w:type="spellStart"/>
      <w:r w:rsidRPr="00E62074">
        <w:rPr>
          <w:rFonts w:ascii="Times New Roman" w:eastAsia="Times New Roman" w:hAnsi="Times New Roman" w:cs="Times New Roman"/>
          <w:color w:val="000000" w:themeColor="text1"/>
          <w:spacing w:val="2"/>
          <w:sz w:val="24"/>
          <w:szCs w:val="24"/>
        </w:rPr>
        <w:t>Curtu</w:t>
      </w:r>
      <w:proofErr w:type="spellEnd"/>
      <w:r w:rsidRPr="00E62074">
        <w:rPr>
          <w:rFonts w:ascii="Times New Roman" w:eastAsia="Times New Roman" w:hAnsi="Times New Roman" w:cs="Times New Roman"/>
          <w:color w:val="000000" w:themeColor="text1"/>
          <w:spacing w:val="2"/>
          <w:sz w:val="24"/>
          <w:szCs w:val="24"/>
        </w:rPr>
        <w:t xml:space="preserve">, A L., </w:t>
      </w:r>
      <w:proofErr w:type="spellStart"/>
      <w:r w:rsidRPr="00E62074">
        <w:rPr>
          <w:rFonts w:ascii="Times New Roman" w:eastAsia="Times New Roman" w:hAnsi="Times New Roman" w:cs="Times New Roman"/>
          <w:color w:val="000000" w:themeColor="text1"/>
          <w:spacing w:val="2"/>
          <w:sz w:val="24"/>
          <w:szCs w:val="24"/>
        </w:rPr>
        <w:t>Șofletea</w:t>
      </w:r>
      <w:proofErr w:type="spellEnd"/>
      <w:r w:rsidRPr="00E62074">
        <w:rPr>
          <w:rFonts w:ascii="Times New Roman" w:eastAsia="Times New Roman" w:hAnsi="Times New Roman" w:cs="Times New Roman"/>
          <w:color w:val="000000" w:themeColor="text1"/>
          <w:spacing w:val="2"/>
          <w:sz w:val="24"/>
          <w:szCs w:val="24"/>
        </w:rPr>
        <w:t>, N., &amp; Popescu, F. (2018, December 5). Conservation and Management of Romanian Forest Genetic Resources in the Context of Climate Change. Springer Nature (Netherlands), 389-399. https://doi.org/10.1007/978-3-319-95267-3_32</w:t>
      </w:r>
    </w:p>
    <w:p w14:paraId="64F5BF1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Ruotsalainen</w:t>
      </w:r>
      <w:proofErr w:type="spellEnd"/>
      <w:r w:rsidRPr="00E62074">
        <w:rPr>
          <w:rFonts w:ascii="Times New Roman" w:hAnsi="Times New Roman" w:cs="Times New Roman"/>
          <w:color w:val="000000" w:themeColor="text1"/>
          <w:sz w:val="24"/>
          <w:szCs w:val="24"/>
          <w:shd w:val="clear" w:color="auto" w:fill="FFFFFF"/>
        </w:rPr>
        <w:t>, S. (2014). Increased forest production through forest tree breeding. </w:t>
      </w:r>
      <w:r w:rsidRPr="00E62074">
        <w:rPr>
          <w:rFonts w:ascii="Times New Roman" w:hAnsi="Times New Roman" w:cs="Times New Roman"/>
          <w:iCs/>
          <w:color w:val="000000" w:themeColor="text1"/>
          <w:sz w:val="24"/>
          <w:szCs w:val="24"/>
          <w:shd w:val="clear" w:color="auto" w:fill="FFFFFF"/>
        </w:rPr>
        <w:t>Scandinavian Journal of Forest Research</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29</w:t>
      </w:r>
      <w:r w:rsidRPr="00E62074">
        <w:rPr>
          <w:rFonts w:ascii="Times New Roman" w:hAnsi="Times New Roman" w:cs="Times New Roman"/>
          <w:color w:val="000000" w:themeColor="text1"/>
          <w:sz w:val="24"/>
          <w:szCs w:val="24"/>
          <w:shd w:val="clear" w:color="auto" w:fill="FFFFFF"/>
        </w:rPr>
        <w:t>(4), 333-344.</w:t>
      </w:r>
    </w:p>
    <w:p w14:paraId="42B054FB"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proofErr w:type="spellStart"/>
      <w:r w:rsidRPr="00E62074">
        <w:rPr>
          <w:rFonts w:ascii="Times New Roman" w:eastAsia="Times New Roman" w:hAnsi="Times New Roman" w:cs="Times New Roman"/>
          <w:color w:val="000000" w:themeColor="text1"/>
          <w:spacing w:val="3"/>
          <w:sz w:val="24"/>
          <w:szCs w:val="24"/>
        </w:rPr>
        <w:t>Scossa</w:t>
      </w:r>
      <w:proofErr w:type="spellEnd"/>
      <w:r w:rsidRPr="00E62074">
        <w:rPr>
          <w:rFonts w:ascii="Times New Roman" w:eastAsia="Times New Roman" w:hAnsi="Times New Roman" w:cs="Times New Roman"/>
          <w:color w:val="000000" w:themeColor="text1"/>
          <w:spacing w:val="3"/>
          <w:sz w:val="24"/>
          <w:szCs w:val="24"/>
        </w:rPr>
        <w:t xml:space="preserve">, F., </w:t>
      </w:r>
      <w:proofErr w:type="spellStart"/>
      <w:r w:rsidRPr="00E62074">
        <w:rPr>
          <w:rFonts w:ascii="Times New Roman" w:eastAsia="Times New Roman" w:hAnsi="Times New Roman" w:cs="Times New Roman"/>
          <w:color w:val="000000" w:themeColor="text1"/>
          <w:spacing w:val="3"/>
          <w:sz w:val="24"/>
          <w:szCs w:val="24"/>
        </w:rPr>
        <w:t>Alseekh</w:t>
      </w:r>
      <w:proofErr w:type="spellEnd"/>
      <w:r w:rsidRPr="00E62074">
        <w:rPr>
          <w:rFonts w:ascii="Times New Roman" w:eastAsia="Times New Roman" w:hAnsi="Times New Roman" w:cs="Times New Roman"/>
          <w:color w:val="000000" w:themeColor="text1"/>
          <w:spacing w:val="3"/>
          <w:sz w:val="24"/>
          <w:szCs w:val="24"/>
        </w:rPr>
        <w:t xml:space="preserve">, S., &amp; </w:t>
      </w:r>
      <w:proofErr w:type="spellStart"/>
      <w:r w:rsidRPr="00E62074">
        <w:rPr>
          <w:rFonts w:ascii="Times New Roman" w:eastAsia="Times New Roman" w:hAnsi="Times New Roman" w:cs="Times New Roman"/>
          <w:color w:val="000000" w:themeColor="text1"/>
          <w:spacing w:val="3"/>
          <w:sz w:val="24"/>
          <w:szCs w:val="24"/>
        </w:rPr>
        <w:t>Fernie</w:t>
      </w:r>
      <w:proofErr w:type="spellEnd"/>
      <w:r w:rsidRPr="00E62074">
        <w:rPr>
          <w:rFonts w:ascii="Times New Roman" w:eastAsia="Times New Roman" w:hAnsi="Times New Roman" w:cs="Times New Roman"/>
          <w:color w:val="000000" w:themeColor="text1"/>
          <w:spacing w:val="3"/>
          <w:sz w:val="24"/>
          <w:szCs w:val="24"/>
        </w:rPr>
        <w:t>, A R. (2020, December 17). Integrating multi-omics data for crop improvement. Elsevier BV, 257, 153352-153352. https://doi.org/10.1016/j.jplph.2020.153352</w:t>
      </w:r>
    </w:p>
    <w:p w14:paraId="01B8FE8C"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Sedeek</w:t>
      </w:r>
      <w:proofErr w:type="spellEnd"/>
      <w:r w:rsidRPr="00E62074">
        <w:rPr>
          <w:rFonts w:ascii="Times New Roman" w:hAnsi="Times New Roman" w:cs="Times New Roman"/>
          <w:color w:val="000000" w:themeColor="text1"/>
          <w:sz w:val="24"/>
          <w:szCs w:val="24"/>
          <w:shd w:val="clear" w:color="auto" w:fill="FFFFFF"/>
        </w:rPr>
        <w:t xml:space="preserve">, K. E., </w:t>
      </w:r>
      <w:proofErr w:type="spellStart"/>
      <w:r w:rsidRPr="00E62074">
        <w:rPr>
          <w:rFonts w:ascii="Times New Roman" w:hAnsi="Times New Roman" w:cs="Times New Roman"/>
          <w:color w:val="000000" w:themeColor="text1"/>
          <w:sz w:val="24"/>
          <w:szCs w:val="24"/>
          <w:shd w:val="clear" w:color="auto" w:fill="FFFFFF"/>
        </w:rPr>
        <w:t>Mahas</w:t>
      </w:r>
      <w:proofErr w:type="spellEnd"/>
      <w:r w:rsidRPr="00E62074">
        <w:rPr>
          <w:rFonts w:ascii="Times New Roman" w:hAnsi="Times New Roman" w:cs="Times New Roman"/>
          <w:color w:val="000000" w:themeColor="text1"/>
          <w:sz w:val="24"/>
          <w:szCs w:val="24"/>
          <w:shd w:val="clear" w:color="auto" w:fill="FFFFFF"/>
        </w:rPr>
        <w:t>, A., &amp; Mahfouz, M. (2019). Plant genome engineering for targeted improvement of crop traits. </w:t>
      </w:r>
      <w:r w:rsidRPr="00E62074">
        <w:rPr>
          <w:rFonts w:ascii="Times New Roman" w:hAnsi="Times New Roman" w:cs="Times New Roman"/>
          <w:iCs/>
          <w:color w:val="000000" w:themeColor="text1"/>
          <w:sz w:val="24"/>
          <w:szCs w:val="24"/>
          <w:shd w:val="clear" w:color="auto" w:fill="FFFFFF"/>
        </w:rPr>
        <w:t>Frontiers in plant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10</w:t>
      </w:r>
      <w:r w:rsidRPr="00E62074">
        <w:rPr>
          <w:rFonts w:ascii="Times New Roman" w:hAnsi="Times New Roman" w:cs="Times New Roman"/>
          <w:color w:val="000000" w:themeColor="text1"/>
          <w:sz w:val="24"/>
          <w:szCs w:val="24"/>
          <w:shd w:val="clear" w:color="auto" w:fill="FFFFFF"/>
        </w:rPr>
        <w:t>, 114.</w:t>
      </w:r>
    </w:p>
    <w:p w14:paraId="310A00C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Sgrò</w:t>
      </w:r>
      <w:proofErr w:type="spellEnd"/>
      <w:r w:rsidRPr="00E62074">
        <w:rPr>
          <w:rFonts w:ascii="Times New Roman" w:hAnsi="Times New Roman" w:cs="Times New Roman"/>
          <w:color w:val="000000" w:themeColor="text1"/>
          <w:sz w:val="24"/>
          <w:szCs w:val="24"/>
          <w:shd w:val="clear" w:color="auto" w:fill="FFFFFF"/>
        </w:rPr>
        <w:t>, C. M., Lowe, A. J., &amp; Hoffmann, A. A. (2011). Building evolutionary resilience for conserving biodiversity under climate change. </w:t>
      </w:r>
      <w:r w:rsidRPr="00E62074">
        <w:rPr>
          <w:rFonts w:ascii="Times New Roman" w:hAnsi="Times New Roman" w:cs="Times New Roman"/>
          <w:iCs/>
          <w:color w:val="000000" w:themeColor="text1"/>
          <w:sz w:val="24"/>
          <w:szCs w:val="24"/>
          <w:shd w:val="clear" w:color="auto" w:fill="FFFFFF"/>
        </w:rPr>
        <w:t>Evolutionary applications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w:t>
      </w:r>
      <w:r w:rsidRPr="00E62074">
        <w:rPr>
          <w:rFonts w:ascii="Times New Roman" w:hAnsi="Times New Roman" w:cs="Times New Roman"/>
          <w:color w:val="000000" w:themeColor="text1"/>
          <w:sz w:val="24"/>
          <w:szCs w:val="24"/>
          <w:shd w:val="clear" w:color="auto" w:fill="FFFFFF"/>
        </w:rPr>
        <w:t>(2), 326-337.</w:t>
      </w:r>
    </w:p>
    <w:p w14:paraId="67CC8372"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3"/>
          <w:sz w:val="24"/>
          <w:szCs w:val="24"/>
        </w:rPr>
      </w:pPr>
      <w:r w:rsidRPr="00E62074">
        <w:rPr>
          <w:rFonts w:ascii="Times New Roman" w:eastAsia="Times New Roman" w:hAnsi="Times New Roman" w:cs="Times New Roman"/>
          <w:color w:val="000000" w:themeColor="text1"/>
          <w:spacing w:val="3"/>
          <w:sz w:val="24"/>
          <w:szCs w:val="24"/>
        </w:rPr>
        <w:t xml:space="preserve">Singh, R., Kumar, K., Bharadwaj, C., &amp; Verma, P K. (2022, January 25). Broadening the horizon of crop research: a decade of advancements in plant molecular genetics to divulge phenotype governing genes. Springer </w:t>
      </w:r>
      <w:proofErr w:type="spellStart"/>
      <w:r w:rsidRPr="00E62074">
        <w:rPr>
          <w:rFonts w:ascii="Times New Roman" w:eastAsia="Times New Roman" w:hAnsi="Times New Roman" w:cs="Times New Roman"/>
          <w:color w:val="000000" w:themeColor="text1"/>
          <w:spacing w:val="3"/>
          <w:sz w:val="24"/>
          <w:szCs w:val="24"/>
        </w:rPr>
        <w:t>Science+Business</w:t>
      </w:r>
      <w:proofErr w:type="spellEnd"/>
      <w:r w:rsidRPr="00E62074">
        <w:rPr>
          <w:rFonts w:ascii="Times New Roman" w:eastAsia="Times New Roman" w:hAnsi="Times New Roman" w:cs="Times New Roman"/>
          <w:color w:val="000000" w:themeColor="text1"/>
          <w:spacing w:val="3"/>
          <w:sz w:val="24"/>
          <w:szCs w:val="24"/>
        </w:rPr>
        <w:t xml:space="preserve"> Media, 255(2). </w:t>
      </w:r>
      <w:hyperlink r:id="rId10" w:history="1">
        <w:r w:rsidRPr="00E62074">
          <w:rPr>
            <w:rStyle w:val="Hyperlink"/>
            <w:rFonts w:ascii="Times New Roman" w:eastAsia="Times New Roman" w:hAnsi="Times New Roman" w:cs="Times New Roman"/>
            <w:color w:val="000000" w:themeColor="text1"/>
            <w:spacing w:val="3"/>
            <w:sz w:val="24"/>
            <w:szCs w:val="24"/>
            <w:u w:val="none"/>
          </w:rPr>
          <w:t>https://doi.org/10.1007/s00425-022-03827-0</w:t>
        </w:r>
      </w:hyperlink>
    </w:p>
    <w:p w14:paraId="2BDBA340"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Singh, S. S., &amp; </w:t>
      </w:r>
      <w:proofErr w:type="spellStart"/>
      <w:r w:rsidRPr="00E62074">
        <w:rPr>
          <w:rFonts w:ascii="Times New Roman" w:hAnsi="Times New Roman" w:cs="Times New Roman"/>
          <w:color w:val="000000" w:themeColor="text1"/>
          <w:sz w:val="24"/>
          <w:szCs w:val="24"/>
          <w:shd w:val="clear" w:color="auto" w:fill="FFFFFF"/>
        </w:rPr>
        <w:t>Wani</w:t>
      </w:r>
      <w:proofErr w:type="spellEnd"/>
      <w:r w:rsidRPr="00E62074">
        <w:rPr>
          <w:rFonts w:ascii="Times New Roman" w:hAnsi="Times New Roman" w:cs="Times New Roman"/>
          <w:color w:val="000000" w:themeColor="text1"/>
          <w:sz w:val="24"/>
          <w:szCs w:val="24"/>
          <w:shd w:val="clear" w:color="auto" w:fill="FFFFFF"/>
        </w:rPr>
        <w:t xml:space="preserve">, M. R. (2018). Genetic variation, structure and conservation status of Terminalia arjuna </w:t>
      </w:r>
      <w:proofErr w:type="gramStart"/>
      <w:r w:rsidRPr="00E62074">
        <w:rPr>
          <w:rFonts w:ascii="Times New Roman" w:hAnsi="Times New Roman" w:cs="Times New Roman"/>
          <w:color w:val="000000" w:themeColor="text1"/>
          <w:sz w:val="24"/>
          <w:szCs w:val="24"/>
          <w:shd w:val="clear" w:color="auto" w:fill="FFFFFF"/>
        </w:rPr>
        <w:t>L.(</w:t>
      </w:r>
      <w:proofErr w:type="gramEnd"/>
      <w:r w:rsidRPr="00E62074">
        <w:rPr>
          <w:rFonts w:ascii="Times New Roman" w:hAnsi="Times New Roman" w:cs="Times New Roman"/>
          <w:color w:val="000000" w:themeColor="text1"/>
          <w:sz w:val="24"/>
          <w:szCs w:val="24"/>
          <w:shd w:val="clear" w:color="auto" w:fill="FFFFFF"/>
        </w:rPr>
        <w:t xml:space="preserve">Arjun) in </w:t>
      </w:r>
      <w:proofErr w:type="spellStart"/>
      <w:r w:rsidRPr="00E62074">
        <w:rPr>
          <w:rFonts w:ascii="Times New Roman" w:hAnsi="Times New Roman" w:cs="Times New Roman"/>
          <w:color w:val="000000" w:themeColor="text1"/>
          <w:sz w:val="24"/>
          <w:szCs w:val="24"/>
          <w:shd w:val="clear" w:color="auto" w:fill="FFFFFF"/>
        </w:rPr>
        <w:t>Achanakmar</w:t>
      </w:r>
      <w:proofErr w:type="spellEnd"/>
      <w:r w:rsidRPr="00E62074">
        <w:rPr>
          <w:rFonts w:ascii="Times New Roman" w:hAnsi="Times New Roman" w:cs="Times New Roman"/>
          <w:color w:val="000000" w:themeColor="text1"/>
          <w:sz w:val="24"/>
          <w:szCs w:val="24"/>
          <w:shd w:val="clear" w:color="auto" w:fill="FFFFFF"/>
        </w:rPr>
        <w:t xml:space="preserve"> </w:t>
      </w:r>
      <w:proofErr w:type="spellStart"/>
      <w:r w:rsidRPr="00E62074">
        <w:rPr>
          <w:rFonts w:ascii="Times New Roman" w:hAnsi="Times New Roman" w:cs="Times New Roman"/>
          <w:color w:val="000000" w:themeColor="text1"/>
          <w:sz w:val="24"/>
          <w:szCs w:val="24"/>
          <w:shd w:val="clear" w:color="auto" w:fill="FFFFFF"/>
        </w:rPr>
        <w:t>Amarkantak</w:t>
      </w:r>
      <w:proofErr w:type="spellEnd"/>
      <w:r w:rsidRPr="00E62074">
        <w:rPr>
          <w:rFonts w:ascii="Times New Roman" w:hAnsi="Times New Roman" w:cs="Times New Roman"/>
          <w:color w:val="000000" w:themeColor="text1"/>
          <w:sz w:val="24"/>
          <w:szCs w:val="24"/>
          <w:shd w:val="clear" w:color="auto" w:fill="FFFFFF"/>
        </w:rPr>
        <w:t xml:space="preserve"> Biosphere Reserve (AABR), Central India. </w:t>
      </w:r>
      <w:r w:rsidRPr="00E62074">
        <w:rPr>
          <w:rFonts w:ascii="Times New Roman" w:hAnsi="Times New Roman" w:cs="Times New Roman"/>
          <w:iCs/>
          <w:color w:val="000000" w:themeColor="text1"/>
          <w:sz w:val="24"/>
          <w:szCs w:val="24"/>
          <w:shd w:val="clear" w:color="auto" w:fill="FFFFFF"/>
        </w:rPr>
        <w:t>Tanzania Journal of Forestry and Nature Conservation</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88</w:t>
      </w:r>
      <w:r w:rsidRPr="00E62074">
        <w:rPr>
          <w:rFonts w:ascii="Times New Roman" w:hAnsi="Times New Roman" w:cs="Times New Roman"/>
          <w:color w:val="000000" w:themeColor="text1"/>
          <w:sz w:val="24"/>
          <w:szCs w:val="24"/>
          <w:shd w:val="clear" w:color="auto" w:fill="FFFFFF"/>
        </w:rPr>
        <w:t>(1).</w:t>
      </w:r>
    </w:p>
    <w:p w14:paraId="2412AB3D"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lastRenderedPageBreak/>
        <w:t>Sniezko</w:t>
      </w:r>
      <w:proofErr w:type="spellEnd"/>
      <w:r w:rsidRPr="00E62074">
        <w:rPr>
          <w:rFonts w:ascii="Times New Roman" w:hAnsi="Times New Roman" w:cs="Times New Roman"/>
          <w:color w:val="000000" w:themeColor="text1"/>
          <w:sz w:val="24"/>
          <w:szCs w:val="24"/>
          <w:shd w:val="clear" w:color="auto" w:fill="FFFFFF"/>
        </w:rPr>
        <w:t>, R. A., &amp; Nelson, C. D. (2022). Resistance breeding against tree pathogens. In </w:t>
      </w:r>
      <w:r w:rsidRPr="00E62074">
        <w:rPr>
          <w:rFonts w:ascii="Times New Roman" w:hAnsi="Times New Roman" w:cs="Times New Roman"/>
          <w:iCs/>
          <w:color w:val="000000" w:themeColor="text1"/>
          <w:sz w:val="24"/>
          <w:szCs w:val="24"/>
          <w:shd w:val="clear" w:color="auto" w:fill="FFFFFF"/>
        </w:rPr>
        <w:t>Forest Microbiology</w:t>
      </w:r>
      <w:r w:rsidRPr="00E62074">
        <w:rPr>
          <w:rFonts w:ascii="Times New Roman" w:hAnsi="Times New Roman" w:cs="Times New Roman"/>
          <w:color w:val="000000" w:themeColor="text1"/>
          <w:sz w:val="24"/>
          <w:szCs w:val="24"/>
          <w:shd w:val="clear" w:color="auto" w:fill="FFFFFF"/>
        </w:rPr>
        <w:t> (pp. 159-175). Academic Press.</w:t>
      </w:r>
    </w:p>
    <w:p w14:paraId="7B40069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Su</w:t>
      </w:r>
      <w:proofErr w:type="spellEnd"/>
      <w:r w:rsidRPr="00E62074">
        <w:rPr>
          <w:rFonts w:ascii="Times New Roman" w:hAnsi="Times New Roman" w:cs="Times New Roman"/>
          <w:color w:val="000000" w:themeColor="text1"/>
          <w:sz w:val="24"/>
          <w:szCs w:val="24"/>
          <w:shd w:val="clear" w:color="auto" w:fill="FFFFFF"/>
        </w:rPr>
        <w:t xml:space="preserve">, W., Xu, M., </w:t>
      </w:r>
      <w:proofErr w:type="spellStart"/>
      <w:r w:rsidRPr="00E62074">
        <w:rPr>
          <w:rFonts w:ascii="Times New Roman" w:hAnsi="Times New Roman" w:cs="Times New Roman"/>
          <w:color w:val="000000" w:themeColor="text1"/>
          <w:sz w:val="24"/>
          <w:szCs w:val="24"/>
          <w:shd w:val="clear" w:color="auto" w:fill="FFFFFF"/>
        </w:rPr>
        <w:t>Radani</w:t>
      </w:r>
      <w:proofErr w:type="spellEnd"/>
      <w:r w:rsidRPr="00E62074">
        <w:rPr>
          <w:rFonts w:ascii="Times New Roman" w:hAnsi="Times New Roman" w:cs="Times New Roman"/>
          <w:color w:val="000000" w:themeColor="text1"/>
          <w:sz w:val="24"/>
          <w:szCs w:val="24"/>
          <w:shd w:val="clear" w:color="auto" w:fill="FFFFFF"/>
        </w:rPr>
        <w:t>, Y., &amp; Yang, L. (2023). Technological development and application of plant genetic transformation. </w:t>
      </w:r>
      <w:r w:rsidRPr="00E62074">
        <w:rPr>
          <w:rFonts w:ascii="Times New Roman" w:hAnsi="Times New Roman" w:cs="Times New Roman"/>
          <w:iCs/>
          <w:color w:val="000000" w:themeColor="text1"/>
          <w:sz w:val="24"/>
          <w:szCs w:val="24"/>
          <w:shd w:val="clear" w:color="auto" w:fill="FFFFFF"/>
        </w:rPr>
        <w:t>International Journal of Molecular Sciences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24</w:t>
      </w:r>
      <w:r w:rsidRPr="00E62074">
        <w:rPr>
          <w:rFonts w:ascii="Times New Roman" w:hAnsi="Times New Roman" w:cs="Times New Roman"/>
          <w:color w:val="000000" w:themeColor="text1"/>
          <w:sz w:val="24"/>
          <w:szCs w:val="24"/>
          <w:shd w:val="clear" w:color="auto" w:fill="FFFFFF"/>
        </w:rPr>
        <w:t>(13), 10646.</w:t>
      </w:r>
    </w:p>
    <w:p w14:paraId="6249E157"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Tohge</w:t>
      </w:r>
      <w:proofErr w:type="spellEnd"/>
      <w:r w:rsidRPr="00E62074">
        <w:rPr>
          <w:rFonts w:ascii="Times New Roman" w:hAnsi="Times New Roman" w:cs="Times New Roman"/>
          <w:color w:val="000000" w:themeColor="text1"/>
          <w:sz w:val="24"/>
          <w:szCs w:val="24"/>
          <w:shd w:val="clear" w:color="auto" w:fill="FFFFFF"/>
        </w:rPr>
        <w:t xml:space="preserve">, T., </w:t>
      </w:r>
      <w:proofErr w:type="spellStart"/>
      <w:r w:rsidRPr="00E62074">
        <w:rPr>
          <w:rFonts w:ascii="Times New Roman" w:hAnsi="Times New Roman" w:cs="Times New Roman"/>
          <w:color w:val="000000" w:themeColor="text1"/>
          <w:sz w:val="24"/>
          <w:szCs w:val="24"/>
          <w:shd w:val="clear" w:color="auto" w:fill="FFFFFF"/>
        </w:rPr>
        <w:t>Scossa</w:t>
      </w:r>
      <w:proofErr w:type="spellEnd"/>
      <w:r w:rsidRPr="00E62074">
        <w:rPr>
          <w:rFonts w:ascii="Times New Roman" w:hAnsi="Times New Roman" w:cs="Times New Roman"/>
          <w:color w:val="000000" w:themeColor="text1"/>
          <w:sz w:val="24"/>
          <w:szCs w:val="24"/>
          <w:shd w:val="clear" w:color="auto" w:fill="FFFFFF"/>
        </w:rPr>
        <w:t xml:space="preserve">, F., </w:t>
      </w:r>
      <w:proofErr w:type="spellStart"/>
      <w:r w:rsidRPr="00E62074">
        <w:rPr>
          <w:rFonts w:ascii="Times New Roman" w:hAnsi="Times New Roman" w:cs="Times New Roman"/>
          <w:color w:val="000000" w:themeColor="text1"/>
          <w:sz w:val="24"/>
          <w:szCs w:val="24"/>
          <w:shd w:val="clear" w:color="auto" w:fill="FFFFFF"/>
        </w:rPr>
        <w:t>Wendenburg</w:t>
      </w:r>
      <w:proofErr w:type="spellEnd"/>
      <w:r w:rsidRPr="00E62074">
        <w:rPr>
          <w:rFonts w:ascii="Times New Roman" w:hAnsi="Times New Roman" w:cs="Times New Roman"/>
          <w:color w:val="000000" w:themeColor="text1"/>
          <w:sz w:val="24"/>
          <w:szCs w:val="24"/>
          <w:shd w:val="clear" w:color="auto" w:fill="FFFFFF"/>
        </w:rPr>
        <w:t xml:space="preserve">, R., </w:t>
      </w:r>
      <w:proofErr w:type="spellStart"/>
      <w:r w:rsidRPr="00E62074">
        <w:rPr>
          <w:rFonts w:ascii="Times New Roman" w:hAnsi="Times New Roman" w:cs="Times New Roman"/>
          <w:color w:val="000000" w:themeColor="text1"/>
          <w:sz w:val="24"/>
          <w:szCs w:val="24"/>
          <w:shd w:val="clear" w:color="auto" w:fill="FFFFFF"/>
        </w:rPr>
        <w:t>Frasse</w:t>
      </w:r>
      <w:proofErr w:type="spellEnd"/>
      <w:r w:rsidRPr="00E62074">
        <w:rPr>
          <w:rFonts w:ascii="Times New Roman" w:hAnsi="Times New Roman" w:cs="Times New Roman"/>
          <w:color w:val="000000" w:themeColor="text1"/>
          <w:sz w:val="24"/>
          <w:szCs w:val="24"/>
          <w:shd w:val="clear" w:color="auto" w:fill="FFFFFF"/>
        </w:rPr>
        <w:t xml:space="preserve">, P., Balbo, I., Watanabe, M., ... &amp; </w:t>
      </w:r>
      <w:proofErr w:type="spellStart"/>
      <w:r w:rsidRPr="00E62074">
        <w:rPr>
          <w:rFonts w:ascii="Times New Roman" w:hAnsi="Times New Roman" w:cs="Times New Roman"/>
          <w:color w:val="000000" w:themeColor="text1"/>
          <w:sz w:val="24"/>
          <w:szCs w:val="24"/>
          <w:shd w:val="clear" w:color="auto" w:fill="FFFFFF"/>
        </w:rPr>
        <w:t>Fernie</w:t>
      </w:r>
      <w:proofErr w:type="spellEnd"/>
      <w:r w:rsidRPr="00E62074">
        <w:rPr>
          <w:rFonts w:ascii="Times New Roman" w:hAnsi="Times New Roman" w:cs="Times New Roman"/>
          <w:color w:val="000000" w:themeColor="text1"/>
          <w:sz w:val="24"/>
          <w:szCs w:val="24"/>
          <w:shd w:val="clear" w:color="auto" w:fill="FFFFFF"/>
        </w:rPr>
        <w:t xml:space="preserve">, A. R. (2020). Exploiting natural variation in tomato to define pathway structure and metabolic regulation of fruit polyphenolics in the </w:t>
      </w:r>
      <w:proofErr w:type="spellStart"/>
      <w:r w:rsidRPr="00E62074">
        <w:rPr>
          <w:rFonts w:ascii="Times New Roman" w:hAnsi="Times New Roman" w:cs="Times New Roman"/>
          <w:color w:val="000000" w:themeColor="text1"/>
          <w:sz w:val="24"/>
          <w:szCs w:val="24"/>
          <w:shd w:val="clear" w:color="auto" w:fill="FFFFFF"/>
        </w:rPr>
        <w:t>lycopersicum</w:t>
      </w:r>
      <w:proofErr w:type="spellEnd"/>
      <w:r w:rsidRPr="00E62074">
        <w:rPr>
          <w:rFonts w:ascii="Times New Roman" w:hAnsi="Times New Roman" w:cs="Times New Roman"/>
          <w:color w:val="000000" w:themeColor="text1"/>
          <w:sz w:val="24"/>
          <w:szCs w:val="24"/>
          <w:shd w:val="clear" w:color="auto" w:fill="FFFFFF"/>
        </w:rPr>
        <w:t xml:space="preserve"> complex. </w:t>
      </w:r>
      <w:r w:rsidRPr="00E62074">
        <w:rPr>
          <w:rFonts w:ascii="Times New Roman" w:hAnsi="Times New Roman" w:cs="Times New Roman"/>
          <w:iCs/>
          <w:color w:val="000000" w:themeColor="text1"/>
          <w:sz w:val="24"/>
          <w:szCs w:val="24"/>
          <w:shd w:val="clear" w:color="auto" w:fill="FFFFFF"/>
        </w:rPr>
        <w:t>Molecular plant</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13</w:t>
      </w:r>
      <w:r w:rsidRPr="00E62074">
        <w:rPr>
          <w:rFonts w:ascii="Times New Roman" w:hAnsi="Times New Roman" w:cs="Times New Roman"/>
          <w:color w:val="000000" w:themeColor="text1"/>
          <w:sz w:val="24"/>
          <w:szCs w:val="24"/>
          <w:shd w:val="clear" w:color="auto" w:fill="FFFFFF"/>
        </w:rPr>
        <w:t>(7), 1027-1046.</w:t>
      </w:r>
    </w:p>
    <w:p w14:paraId="4756A4A4"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Tripathi, J. N., </w:t>
      </w:r>
      <w:proofErr w:type="spellStart"/>
      <w:r w:rsidRPr="00E62074">
        <w:rPr>
          <w:rFonts w:ascii="Times New Roman" w:hAnsi="Times New Roman" w:cs="Times New Roman"/>
          <w:color w:val="000000" w:themeColor="text1"/>
          <w:sz w:val="24"/>
          <w:szCs w:val="24"/>
          <w:shd w:val="clear" w:color="auto" w:fill="FFFFFF"/>
        </w:rPr>
        <w:t>Ntui</w:t>
      </w:r>
      <w:proofErr w:type="spellEnd"/>
      <w:r w:rsidRPr="00E62074">
        <w:rPr>
          <w:rFonts w:ascii="Times New Roman" w:hAnsi="Times New Roman" w:cs="Times New Roman"/>
          <w:color w:val="000000" w:themeColor="text1"/>
          <w:sz w:val="24"/>
          <w:szCs w:val="24"/>
          <w:shd w:val="clear" w:color="auto" w:fill="FFFFFF"/>
        </w:rPr>
        <w:t>, V. O., &amp; Tripathi, L. (2024). Precision genetics tools for genetic improvement of banana. </w:t>
      </w:r>
      <w:r w:rsidRPr="00E62074">
        <w:rPr>
          <w:rFonts w:ascii="Times New Roman" w:hAnsi="Times New Roman" w:cs="Times New Roman"/>
          <w:iCs/>
          <w:color w:val="000000" w:themeColor="text1"/>
          <w:sz w:val="24"/>
          <w:szCs w:val="24"/>
          <w:shd w:val="clear" w:color="auto" w:fill="FFFFFF"/>
        </w:rPr>
        <w:t>The Plant Genome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17</w:t>
      </w:r>
      <w:r w:rsidRPr="00E62074">
        <w:rPr>
          <w:rFonts w:ascii="Times New Roman" w:hAnsi="Times New Roman" w:cs="Times New Roman"/>
          <w:color w:val="000000" w:themeColor="text1"/>
          <w:sz w:val="24"/>
          <w:szCs w:val="24"/>
          <w:shd w:val="clear" w:color="auto" w:fill="FFFFFF"/>
        </w:rPr>
        <w:t>(2), e20416.</w:t>
      </w:r>
    </w:p>
    <w:p w14:paraId="61F6FFD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Trivino</w:t>
      </w:r>
      <w:proofErr w:type="spellEnd"/>
      <w:r w:rsidRPr="00E62074">
        <w:rPr>
          <w:rFonts w:ascii="Times New Roman" w:hAnsi="Times New Roman" w:cs="Times New Roman"/>
          <w:color w:val="000000" w:themeColor="text1"/>
          <w:sz w:val="24"/>
          <w:szCs w:val="24"/>
          <w:shd w:val="clear" w:color="auto" w:fill="FFFFFF"/>
        </w:rPr>
        <w:t xml:space="preserve">, M., </w:t>
      </w:r>
      <w:proofErr w:type="spellStart"/>
      <w:r w:rsidRPr="00E62074">
        <w:rPr>
          <w:rFonts w:ascii="Times New Roman" w:hAnsi="Times New Roman" w:cs="Times New Roman"/>
          <w:color w:val="000000" w:themeColor="text1"/>
          <w:sz w:val="24"/>
          <w:szCs w:val="24"/>
          <w:shd w:val="clear" w:color="auto" w:fill="FFFFFF"/>
        </w:rPr>
        <w:t>Potterf</w:t>
      </w:r>
      <w:proofErr w:type="spellEnd"/>
      <w:r w:rsidRPr="00E62074">
        <w:rPr>
          <w:rFonts w:ascii="Times New Roman" w:hAnsi="Times New Roman" w:cs="Times New Roman"/>
          <w:color w:val="000000" w:themeColor="text1"/>
          <w:sz w:val="24"/>
          <w:szCs w:val="24"/>
          <w:shd w:val="clear" w:color="auto" w:fill="FFFFFF"/>
        </w:rPr>
        <w:t xml:space="preserve">, M., </w:t>
      </w:r>
      <w:proofErr w:type="spellStart"/>
      <w:r w:rsidRPr="00E62074">
        <w:rPr>
          <w:rFonts w:ascii="Times New Roman" w:hAnsi="Times New Roman" w:cs="Times New Roman"/>
          <w:color w:val="000000" w:themeColor="text1"/>
          <w:sz w:val="24"/>
          <w:szCs w:val="24"/>
          <w:shd w:val="clear" w:color="auto" w:fill="FFFFFF"/>
        </w:rPr>
        <w:t>Tijerín</w:t>
      </w:r>
      <w:proofErr w:type="spellEnd"/>
      <w:r w:rsidRPr="00E62074">
        <w:rPr>
          <w:rFonts w:ascii="Times New Roman" w:hAnsi="Times New Roman" w:cs="Times New Roman"/>
          <w:color w:val="000000" w:themeColor="text1"/>
          <w:sz w:val="24"/>
          <w:szCs w:val="24"/>
          <w:shd w:val="clear" w:color="auto" w:fill="FFFFFF"/>
        </w:rPr>
        <w:t xml:space="preserve">, J., Ruiz-Benito, P., </w:t>
      </w:r>
      <w:proofErr w:type="spellStart"/>
      <w:r w:rsidRPr="00E62074">
        <w:rPr>
          <w:rFonts w:ascii="Times New Roman" w:hAnsi="Times New Roman" w:cs="Times New Roman"/>
          <w:color w:val="000000" w:themeColor="text1"/>
          <w:sz w:val="24"/>
          <w:szCs w:val="24"/>
          <w:shd w:val="clear" w:color="auto" w:fill="FFFFFF"/>
        </w:rPr>
        <w:t>Burgas</w:t>
      </w:r>
      <w:proofErr w:type="spellEnd"/>
      <w:r w:rsidRPr="00E62074">
        <w:rPr>
          <w:rFonts w:ascii="Times New Roman" w:hAnsi="Times New Roman" w:cs="Times New Roman"/>
          <w:color w:val="000000" w:themeColor="text1"/>
          <w:sz w:val="24"/>
          <w:szCs w:val="24"/>
          <w:shd w:val="clear" w:color="auto" w:fill="FFFFFF"/>
        </w:rPr>
        <w:t xml:space="preserve">, D., </w:t>
      </w:r>
      <w:proofErr w:type="spellStart"/>
      <w:r w:rsidRPr="00E62074">
        <w:rPr>
          <w:rFonts w:ascii="Times New Roman" w:hAnsi="Times New Roman" w:cs="Times New Roman"/>
          <w:color w:val="000000" w:themeColor="text1"/>
          <w:sz w:val="24"/>
          <w:szCs w:val="24"/>
          <w:shd w:val="clear" w:color="auto" w:fill="FFFFFF"/>
        </w:rPr>
        <w:t>Eyvindson</w:t>
      </w:r>
      <w:proofErr w:type="spellEnd"/>
      <w:r w:rsidRPr="00E62074">
        <w:rPr>
          <w:rFonts w:ascii="Times New Roman" w:hAnsi="Times New Roman" w:cs="Times New Roman"/>
          <w:color w:val="000000" w:themeColor="text1"/>
          <w:sz w:val="24"/>
          <w:szCs w:val="24"/>
          <w:shd w:val="clear" w:color="auto" w:fill="FFFFFF"/>
        </w:rPr>
        <w:t xml:space="preserve">, K., ... &amp; </w:t>
      </w:r>
      <w:proofErr w:type="spellStart"/>
      <w:r w:rsidRPr="00E62074">
        <w:rPr>
          <w:rFonts w:ascii="Times New Roman" w:hAnsi="Times New Roman" w:cs="Times New Roman"/>
          <w:color w:val="000000" w:themeColor="text1"/>
          <w:sz w:val="24"/>
          <w:szCs w:val="24"/>
          <w:shd w:val="clear" w:color="auto" w:fill="FFFFFF"/>
        </w:rPr>
        <w:t>Duflot</w:t>
      </w:r>
      <w:proofErr w:type="spellEnd"/>
      <w:r w:rsidRPr="00E62074">
        <w:rPr>
          <w:rFonts w:ascii="Times New Roman" w:hAnsi="Times New Roman" w:cs="Times New Roman"/>
          <w:color w:val="000000" w:themeColor="text1"/>
          <w:sz w:val="24"/>
          <w:szCs w:val="24"/>
          <w:shd w:val="clear" w:color="auto" w:fill="FFFFFF"/>
        </w:rPr>
        <w:t>, R. (2023). Enhancing resilience of boreal forests through management under global change: a review. </w:t>
      </w:r>
      <w:r w:rsidRPr="00E62074">
        <w:rPr>
          <w:rFonts w:ascii="Times New Roman" w:hAnsi="Times New Roman" w:cs="Times New Roman"/>
          <w:iCs/>
          <w:color w:val="000000" w:themeColor="text1"/>
          <w:sz w:val="24"/>
          <w:szCs w:val="24"/>
          <w:shd w:val="clear" w:color="auto" w:fill="FFFFFF"/>
        </w:rPr>
        <w:t>Current Landscape Ecology Reports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8</w:t>
      </w:r>
      <w:r w:rsidRPr="00E62074">
        <w:rPr>
          <w:rFonts w:ascii="Times New Roman" w:hAnsi="Times New Roman" w:cs="Times New Roman"/>
          <w:color w:val="000000" w:themeColor="text1"/>
          <w:sz w:val="24"/>
          <w:szCs w:val="24"/>
          <w:shd w:val="clear" w:color="auto" w:fill="FFFFFF"/>
        </w:rPr>
        <w:t>(3), 103-118.</w:t>
      </w:r>
    </w:p>
    <w:p w14:paraId="5BC1DA42"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Triviño</w:t>
      </w:r>
      <w:proofErr w:type="spellEnd"/>
      <w:r w:rsidRPr="00E62074">
        <w:rPr>
          <w:rFonts w:ascii="Times New Roman" w:hAnsi="Times New Roman" w:cs="Times New Roman"/>
          <w:color w:val="000000" w:themeColor="text1"/>
          <w:sz w:val="24"/>
          <w:szCs w:val="24"/>
          <w:shd w:val="clear" w:color="auto" w:fill="FFFFFF"/>
        </w:rPr>
        <w:t xml:space="preserve">, M., </w:t>
      </w:r>
      <w:proofErr w:type="spellStart"/>
      <w:r w:rsidRPr="00E62074">
        <w:rPr>
          <w:rFonts w:ascii="Times New Roman" w:hAnsi="Times New Roman" w:cs="Times New Roman"/>
          <w:color w:val="000000" w:themeColor="text1"/>
          <w:sz w:val="24"/>
          <w:szCs w:val="24"/>
          <w:shd w:val="clear" w:color="auto" w:fill="FFFFFF"/>
        </w:rPr>
        <w:t>Potterf</w:t>
      </w:r>
      <w:proofErr w:type="spellEnd"/>
      <w:r w:rsidRPr="00E62074">
        <w:rPr>
          <w:rFonts w:ascii="Times New Roman" w:hAnsi="Times New Roman" w:cs="Times New Roman"/>
          <w:color w:val="000000" w:themeColor="text1"/>
          <w:sz w:val="24"/>
          <w:szCs w:val="24"/>
          <w:shd w:val="clear" w:color="auto" w:fill="FFFFFF"/>
        </w:rPr>
        <w:t xml:space="preserve">, M., </w:t>
      </w:r>
      <w:proofErr w:type="spellStart"/>
      <w:r w:rsidRPr="00E62074">
        <w:rPr>
          <w:rFonts w:ascii="Times New Roman" w:hAnsi="Times New Roman" w:cs="Times New Roman"/>
          <w:color w:val="000000" w:themeColor="text1"/>
          <w:sz w:val="24"/>
          <w:szCs w:val="24"/>
          <w:shd w:val="clear" w:color="auto" w:fill="FFFFFF"/>
        </w:rPr>
        <w:t>Tijerín</w:t>
      </w:r>
      <w:proofErr w:type="spellEnd"/>
      <w:r w:rsidRPr="00E62074">
        <w:rPr>
          <w:rFonts w:ascii="Times New Roman" w:hAnsi="Times New Roman" w:cs="Times New Roman"/>
          <w:color w:val="000000" w:themeColor="text1"/>
          <w:sz w:val="24"/>
          <w:szCs w:val="24"/>
          <w:shd w:val="clear" w:color="auto" w:fill="FFFFFF"/>
        </w:rPr>
        <w:t xml:space="preserve">, J., Ruiz-Benito, P., </w:t>
      </w:r>
      <w:proofErr w:type="spellStart"/>
      <w:r w:rsidRPr="00E62074">
        <w:rPr>
          <w:rFonts w:ascii="Times New Roman" w:hAnsi="Times New Roman" w:cs="Times New Roman"/>
          <w:color w:val="000000" w:themeColor="text1"/>
          <w:sz w:val="24"/>
          <w:szCs w:val="24"/>
          <w:shd w:val="clear" w:color="auto" w:fill="FFFFFF"/>
        </w:rPr>
        <w:t>Burgas</w:t>
      </w:r>
      <w:proofErr w:type="spellEnd"/>
      <w:r w:rsidRPr="00E62074">
        <w:rPr>
          <w:rFonts w:ascii="Times New Roman" w:hAnsi="Times New Roman" w:cs="Times New Roman"/>
          <w:color w:val="000000" w:themeColor="text1"/>
          <w:sz w:val="24"/>
          <w:szCs w:val="24"/>
          <w:shd w:val="clear" w:color="auto" w:fill="FFFFFF"/>
        </w:rPr>
        <w:t xml:space="preserve">, D., </w:t>
      </w:r>
      <w:proofErr w:type="spellStart"/>
      <w:r w:rsidRPr="00E62074">
        <w:rPr>
          <w:rFonts w:ascii="Times New Roman" w:hAnsi="Times New Roman" w:cs="Times New Roman"/>
          <w:color w:val="000000" w:themeColor="text1"/>
          <w:sz w:val="24"/>
          <w:szCs w:val="24"/>
          <w:shd w:val="clear" w:color="auto" w:fill="FFFFFF"/>
        </w:rPr>
        <w:t>Eyvindson</w:t>
      </w:r>
      <w:proofErr w:type="spellEnd"/>
      <w:r w:rsidRPr="00E62074">
        <w:rPr>
          <w:rFonts w:ascii="Times New Roman" w:hAnsi="Times New Roman" w:cs="Times New Roman"/>
          <w:color w:val="000000" w:themeColor="text1"/>
          <w:sz w:val="24"/>
          <w:szCs w:val="24"/>
          <w:shd w:val="clear" w:color="auto" w:fill="FFFFFF"/>
        </w:rPr>
        <w:t xml:space="preserve">, K., ... &amp; </w:t>
      </w:r>
      <w:proofErr w:type="spellStart"/>
      <w:r w:rsidRPr="00E62074">
        <w:rPr>
          <w:rFonts w:ascii="Times New Roman" w:hAnsi="Times New Roman" w:cs="Times New Roman"/>
          <w:color w:val="000000" w:themeColor="text1"/>
          <w:sz w:val="24"/>
          <w:szCs w:val="24"/>
          <w:shd w:val="clear" w:color="auto" w:fill="FFFFFF"/>
        </w:rPr>
        <w:t>Duflot</w:t>
      </w:r>
      <w:proofErr w:type="spellEnd"/>
      <w:r w:rsidRPr="00E62074">
        <w:rPr>
          <w:rFonts w:ascii="Times New Roman" w:hAnsi="Times New Roman" w:cs="Times New Roman"/>
          <w:color w:val="000000" w:themeColor="text1"/>
          <w:sz w:val="24"/>
          <w:szCs w:val="24"/>
          <w:shd w:val="clear" w:color="auto" w:fill="FFFFFF"/>
        </w:rPr>
        <w:t>, R. (2023). Enhancing resilience of boreal forests through management under global change: a review. </w:t>
      </w:r>
      <w:r w:rsidRPr="00E62074">
        <w:rPr>
          <w:rFonts w:ascii="Times New Roman" w:hAnsi="Times New Roman" w:cs="Times New Roman"/>
          <w:iCs/>
          <w:color w:val="000000" w:themeColor="text1"/>
          <w:sz w:val="24"/>
          <w:szCs w:val="24"/>
          <w:shd w:val="clear" w:color="auto" w:fill="FFFFFF"/>
        </w:rPr>
        <w:t>Current Landscape Ecology Reports</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8</w:t>
      </w:r>
      <w:r w:rsidRPr="00E62074">
        <w:rPr>
          <w:rFonts w:ascii="Times New Roman" w:hAnsi="Times New Roman" w:cs="Times New Roman"/>
          <w:color w:val="000000" w:themeColor="text1"/>
          <w:sz w:val="24"/>
          <w:szCs w:val="24"/>
          <w:shd w:val="clear" w:color="auto" w:fill="FFFFFF"/>
        </w:rPr>
        <w:t>(3), 103-118.</w:t>
      </w:r>
    </w:p>
    <w:p w14:paraId="36DEF92F"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proofErr w:type="spellStart"/>
      <w:r w:rsidRPr="00E62074">
        <w:rPr>
          <w:rFonts w:ascii="Times New Roman" w:eastAsia="Times New Roman" w:hAnsi="Times New Roman" w:cs="Times New Roman"/>
          <w:color w:val="000000" w:themeColor="text1"/>
          <w:spacing w:val="2"/>
          <w:sz w:val="24"/>
          <w:szCs w:val="24"/>
        </w:rPr>
        <w:t>Wambugu</w:t>
      </w:r>
      <w:proofErr w:type="spellEnd"/>
      <w:r w:rsidRPr="00E62074">
        <w:rPr>
          <w:rFonts w:ascii="Times New Roman" w:eastAsia="Times New Roman" w:hAnsi="Times New Roman" w:cs="Times New Roman"/>
          <w:color w:val="000000" w:themeColor="text1"/>
          <w:spacing w:val="2"/>
          <w:sz w:val="24"/>
          <w:szCs w:val="24"/>
        </w:rPr>
        <w:t>, P., &amp; Henry, R J. (2022, February 16). Supporting in situ conservation of the genetic diversity of crop wild relatives using genomic technologies. Wiley, 31(8), 2207-2222. https://doi.org/10.1111/mec.16402</w:t>
      </w:r>
    </w:p>
    <w:p w14:paraId="230A466F"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Wani</w:t>
      </w:r>
      <w:proofErr w:type="spellEnd"/>
      <w:r w:rsidRPr="00E62074">
        <w:rPr>
          <w:rFonts w:ascii="Times New Roman" w:hAnsi="Times New Roman" w:cs="Times New Roman"/>
          <w:color w:val="000000" w:themeColor="text1"/>
          <w:sz w:val="24"/>
          <w:szCs w:val="24"/>
          <w:shd w:val="clear" w:color="auto" w:fill="FFFFFF"/>
        </w:rPr>
        <w:t xml:space="preserve">, M. R., &amp; Patel, B. (2022). Photosynthetic performance of Terminalia arjuna </w:t>
      </w:r>
      <w:proofErr w:type="spellStart"/>
      <w:r w:rsidRPr="00E62074">
        <w:rPr>
          <w:rFonts w:ascii="Times New Roman" w:hAnsi="Times New Roman" w:cs="Times New Roman"/>
          <w:color w:val="000000" w:themeColor="text1"/>
          <w:sz w:val="24"/>
          <w:szCs w:val="24"/>
          <w:shd w:val="clear" w:color="auto" w:fill="FFFFFF"/>
        </w:rPr>
        <w:t>Roxb</w:t>
      </w:r>
      <w:proofErr w:type="spellEnd"/>
      <w:r w:rsidRPr="00E62074">
        <w:rPr>
          <w:rFonts w:ascii="Times New Roman" w:hAnsi="Times New Roman" w:cs="Times New Roman"/>
          <w:color w:val="000000" w:themeColor="text1"/>
          <w:sz w:val="24"/>
          <w:szCs w:val="24"/>
          <w:shd w:val="clear" w:color="auto" w:fill="FFFFFF"/>
        </w:rPr>
        <w:t xml:space="preserve"> towards different doses of 60Co γ-irradiation. </w:t>
      </w:r>
      <w:proofErr w:type="spellStart"/>
      <w:r w:rsidRPr="00E62074">
        <w:rPr>
          <w:rFonts w:ascii="Times New Roman" w:hAnsi="Times New Roman" w:cs="Times New Roman"/>
          <w:iCs/>
          <w:color w:val="000000" w:themeColor="text1"/>
          <w:sz w:val="24"/>
          <w:szCs w:val="24"/>
          <w:shd w:val="clear" w:color="auto" w:fill="FFFFFF"/>
        </w:rPr>
        <w:t>Biocatalysis</w:t>
      </w:r>
      <w:proofErr w:type="spellEnd"/>
      <w:r w:rsidRPr="00E62074">
        <w:rPr>
          <w:rFonts w:ascii="Times New Roman" w:hAnsi="Times New Roman" w:cs="Times New Roman"/>
          <w:iCs/>
          <w:color w:val="000000" w:themeColor="text1"/>
          <w:sz w:val="24"/>
          <w:szCs w:val="24"/>
          <w:shd w:val="clear" w:color="auto" w:fill="FFFFFF"/>
        </w:rPr>
        <w:t xml:space="preserve"> and Agricultural Biotechnology</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43</w:t>
      </w:r>
      <w:r w:rsidRPr="00E62074">
        <w:rPr>
          <w:rFonts w:ascii="Times New Roman" w:hAnsi="Times New Roman" w:cs="Times New Roman"/>
          <w:color w:val="000000" w:themeColor="text1"/>
          <w:sz w:val="24"/>
          <w:szCs w:val="24"/>
          <w:shd w:val="clear" w:color="auto" w:fill="FFFFFF"/>
        </w:rPr>
        <w:t>, 102442.</w:t>
      </w:r>
    </w:p>
    <w:p w14:paraId="5C3CD94E"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proofErr w:type="spellStart"/>
      <w:r w:rsidRPr="00E62074">
        <w:rPr>
          <w:rFonts w:ascii="Times New Roman" w:hAnsi="Times New Roman" w:cs="Times New Roman"/>
          <w:color w:val="000000" w:themeColor="text1"/>
          <w:sz w:val="24"/>
          <w:szCs w:val="24"/>
          <w:shd w:val="clear" w:color="auto" w:fill="FFFFFF"/>
        </w:rPr>
        <w:t>Wani</w:t>
      </w:r>
      <w:proofErr w:type="spellEnd"/>
      <w:r w:rsidRPr="00E62074">
        <w:rPr>
          <w:rFonts w:ascii="Times New Roman" w:hAnsi="Times New Roman" w:cs="Times New Roman"/>
          <w:color w:val="000000" w:themeColor="text1"/>
          <w:sz w:val="24"/>
          <w:szCs w:val="24"/>
          <w:shd w:val="clear" w:color="auto" w:fill="FFFFFF"/>
        </w:rPr>
        <w:t xml:space="preserve">, M. R., Singh, S. S., &amp; Sharma, V. (2019). Biochemical composition and photosynthetic activity of </w:t>
      </w:r>
      <w:proofErr w:type="spellStart"/>
      <w:r w:rsidRPr="00E62074">
        <w:rPr>
          <w:rFonts w:ascii="Times New Roman" w:hAnsi="Times New Roman" w:cs="Times New Roman"/>
          <w:color w:val="000000" w:themeColor="text1"/>
          <w:sz w:val="24"/>
          <w:szCs w:val="24"/>
          <w:shd w:val="clear" w:color="auto" w:fill="FFFFFF"/>
        </w:rPr>
        <w:t>Pongamia</w:t>
      </w:r>
      <w:proofErr w:type="spellEnd"/>
      <w:r w:rsidRPr="00E62074">
        <w:rPr>
          <w:rFonts w:ascii="Times New Roman" w:hAnsi="Times New Roman" w:cs="Times New Roman"/>
          <w:color w:val="000000" w:themeColor="text1"/>
          <w:sz w:val="24"/>
          <w:szCs w:val="24"/>
          <w:shd w:val="clear" w:color="auto" w:fill="FFFFFF"/>
        </w:rPr>
        <w:t xml:space="preserve"> </w:t>
      </w:r>
      <w:proofErr w:type="spellStart"/>
      <w:r w:rsidRPr="00E62074">
        <w:rPr>
          <w:rFonts w:ascii="Times New Roman" w:hAnsi="Times New Roman" w:cs="Times New Roman"/>
          <w:color w:val="000000" w:themeColor="text1"/>
          <w:sz w:val="24"/>
          <w:szCs w:val="24"/>
          <w:shd w:val="clear" w:color="auto" w:fill="FFFFFF"/>
        </w:rPr>
        <w:t>pinnata</w:t>
      </w:r>
      <w:proofErr w:type="spellEnd"/>
      <w:r w:rsidRPr="00E62074">
        <w:rPr>
          <w:rFonts w:ascii="Times New Roman" w:hAnsi="Times New Roman" w:cs="Times New Roman"/>
          <w:color w:val="000000" w:themeColor="text1"/>
          <w:sz w:val="24"/>
          <w:szCs w:val="24"/>
          <w:shd w:val="clear" w:color="auto" w:fill="FFFFFF"/>
        </w:rPr>
        <w:t xml:space="preserve"> (L.) Pierre in response to acute 60 Co γ-irradiation. </w:t>
      </w:r>
      <w:r w:rsidRPr="00E62074">
        <w:rPr>
          <w:rFonts w:ascii="Times New Roman" w:hAnsi="Times New Roman" w:cs="Times New Roman"/>
          <w:iCs/>
          <w:color w:val="000000" w:themeColor="text1"/>
          <w:sz w:val="24"/>
          <w:szCs w:val="24"/>
          <w:shd w:val="clear" w:color="auto" w:fill="FFFFFF"/>
        </w:rPr>
        <w:t>Journal of Forestry Research</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30</w:t>
      </w:r>
      <w:r w:rsidRPr="00E62074">
        <w:rPr>
          <w:rFonts w:ascii="Times New Roman" w:hAnsi="Times New Roman" w:cs="Times New Roman"/>
          <w:color w:val="000000" w:themeColor="text1"/>
          <w:sz w:val="24"/>
          <w:szCs w:val="24"/>
          <w:shd w:val="clear" w:color="auto" w:fill="FFFFFF"/>
        </w:rPr>
        <w:t>, 1221-1231.</w:t>
      </w:r>
    </w:p>
    <w:p w14:paraId="25695C08"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lastRenderedPageBreak/>
        <w:t xml:space="preserve">Watson, J. E., Evans, T., Venter, O., Williams, B., Tulloch, A., Stewart, C., ... &amp; </w:t>
      </w:r>
      <w:proofErr w:type="spellStart"/>
      <w:r w:rsidRPr="00E62074">
        <w:rPr>
          <w:rFonts w:ascii="Times New Roman" w:hAnsi="Times New Roman" w:cs="Times New Roman"/>
          <w:color w:val="000000" w:themeColor="text1"/>
          <w:sz w:val="24"/>
          <w:szCs w:val="24"/>
          <w:shd w:val="clear" w:color="auto" w:fill="FFFFFF"/>
        </w:rPr>
        <w:t>Lindenmayer</w:t>
      </w:r>
      <w:proofErr w:type="spellEnd"/>
      <w:r w:rsidRPr="00E62074">
        <w:rPr>
          <w:rFonts w:ascii="Times New Roman" w:hAnsi="Times New Roman" w:cs="Times New Roman"/>
          <w:color w:val="000000" w:themeColor="text1"/>
          <w:sz w:val="24"/>
          <w:szCs w:val="24"/>
          <w:shd w:val="clear" w:color="auto" w:fill="FFFFFF"/>
        </w:rPr>
        <w:t>, D. (2018). The exceptional value of intact forest ecosystems. </w:t>
      </w:r>
      <w:r w:rsidRPr="00E62074">
        <w:rPr>
          <w:rFonts w:ascii="Times New Roman" w:hAnsi="Times New Roman" w:cs="Times New Roman"/>
          <w:iCs/>
          <w:color w:val="000000" w:themeColor="text1"/>
          <w:sz w:val="24"/>
          <w:szCs w:val="24"/>
          <w:shd w:val="clear" w:color="auto" w:fill="FFFFFF"/>
        </w:rPr>
        <w:t>Nature ecology &amp; evolution</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2</w:t>
      </w:r>
      <w:r w:rsidRPr="00E62074">
        <w:rPr>
          <w:rFonts w:ascii="Times New Roman" w:hAnsi="Times New Roman" w:cs="Times New Roman"/>
          <w:color w:val="000000" w:themeColor="text1"/>
          <w:sz w:val="24"/>
          <w:szCs w:val="24"/>
          <w:shd w:val="clear" w:color="auto" w:fill="FFFFFF"/>
        </w:rPr>
        <w:t>(4), 599-610.</w:t>
      </w:r>
    </w:p>
    <w:p w14:paraId="55FC5873"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Weiss, S. (2005, January 1). KEYNOTE ADDRESS: CONSERVATION GENETICS OF FRESHWATER ORGANISMS. EDP Sciences, 571-583. https://doi.org/10.1051/kmae:2005016</w:t>
      </w:r>
    </w:p>
    <w:p w14:paraId="4CDA20CC" w14:textId="77777777" w:rsidR="0086659E" w:rsidRPr="00E62074" w:rsidRDefault="0086659E" w:rsidP="00E62074">
      <w:pPr>
        <w:shd w:val="clear" w:color="auto" w:fill="FFFFFF"/>
        <w:spacing w:before="100" w:beforeAutospacing="1" w:after="100" w:afterAutospacing="1" w:line="360" w:lineRule="auto"/>
        <w:ind w:left="90"/>
        <w:jc w:val="both"/>
        <w:rPr>
          <w:rFo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s="Times New Roman"/>
          <w:color w:val="000000" w:themeColor="text1"/>
          <w:spacing w:val="2"/>
          <w:sz w:val="24"/>
          <w:szCs w:val="24"/>
        </w:rPr>
        <w:t xml:space="preserve">White, J C., Coops, N C., </w:t>
      </w:r>
      <w:proofErr w:type="spellStart"/>
      <w:r w:rsidRPr="00E62074">
        <w:rPr>
          <w:rFonts w:ascii="Times New Roman" w:eastAsia="Times New Roman" w:hAnsi="Times New Roman" w:cs="Times New Roman"/>
          <w:color w:val="000000" w:themeColor="text1"/>
          <w:spacing w:val="2"/>
          <w:sz w:val="24"/>
          <w:szCs w:val="24"/>
        </w:rPr>
        <w:t>Wulder</w:t>
      </w:r>
      <w:proofErr w:type="spellEnd"/>
      <w:r w:rsidRPr="00E62074">
        <w:rPr>
          <w:rFonts w:ascii="Times New Roman" w:eastAsia="Times New Roman" w:hAnsi="Times New Roman" w:cs="Times New Roman"/>
          <w:color w:val="000000" w:themeColor="text1"/>
          <w:spacing w:val="2"/>
          <w:sz w:val="24"/>
          <w:szCs w:val="24"/>
        </w:rPr>
        <w:t xml:space="preserve">, M A., </w:t>
      </w:r>
      <w:proofErr w:type="spellStart"/>
      <w:r w:rsidRPr="00E62074">
        <w:rPr>
          <w:rFonts w:ascii="Times New Roman" w:eastAsia="Times New Roman" w:hAnsi="Times New Roman" w:cs="Times New Roman"/>
          <w:color w:val="000000" w:themeColor="text1"/>
          <w:spacing w:val="2"/>
          <w:sz w:val="24"/>
          <w:szCs w:val="24"/>
        </w:rPr>
        <w:t>Vastaranta</w:t>
      </w:r>
      <w:proofErr w:type="spellEnd"/>
      <w:r w:rsidRPr="00E62074">
        <w:rPr>
          <w:rFonts w:ascii="Times New Roman" w:eastAsia="Times New Roman" w:hAnsi="Times New Roman" w:cs="Times New Roman"/>
          <w:color w:val="000000" w:themeColor="text1"/>
          <w:spacing w:val="2"/>
          <w:sz w:val="24"/>
          <w:szCs w:val="24"/>
        </w:rPr>
        <w:t xml:space="preserve">, M., </w:t>
      </w:r>
      <w:proofErr w:type="spellStart"/>
      <w:r w:rsidRPr="00E62074">
        <w:rPr>
          <w:rFonts w:ascii="Times New Roman" w:eastAsia="Times New Roman" w:hAnsi="Times New Roman" w:cs="Times New Roman"/>
          <w:color w:val="000000" w:themeColor="text1"/>
          <w:spacing w:val="2"/>
          <w:sz w:val="24"/>
          <w:szCs w:val="24"/>
        </w:rPr>
        <w:t>Hilker</w:t>
      </w:r>
      <w:proofErr w:type="spellEnd"/>
      <w:r w:rsidRPr="00E62074">
        <w:rPr>
          <w:rFonts w:ascii="Times New Roman" w:eastAsia="Times New Roman" w:hAnsi="Times New Roman" w:cs="Times New Roman"/>
          <w:color w:val="000000" w:themeColor="text1"/>
          <w:spacing w:val="2"/>
          <w:sz w:val="24"/>
          <w:szCs w:val="24"/>
        </w:rPr>
        <w:t xml:space="preserve">, T., &amp; </w:t>
      </w:r>
      <w:proofErr w:type="spellStart"/>
      <w:r w:rsidRPr="00E62074">
        <w:rPr>
          <w:rFonts w:ascii="Times New Roman" w:eastAsia="Times New Roman" w:hAnsi="Times New Roman" w:cs="Times New Roman"/>
          <w:color w:val="000000" w:themeColor="text1"/>
          <w:spacing w:val="2"/>
          <w:sz w:val="24"/>
          <w:szCs w:val="24"/>
        </w:rPr>
        <w:t>Tompalski</w:t>
      </w:r>
      <w:proofErr w:type="spellEnd"/>
      <w:r w:rsidRPr="00E62074">
        <w:rPr>
          <w:rFonts w:ascii="Times New Roman" w:eastAsia="Times New Roman" w:hAnsi="Times New Roman" w:cs="Times New Roman"/>
          <w:color w:val="000000" w:themeColor="text1"/>
          <w:spacing w:val="2"/>
          <w:sz w:val="24"/>
          <w:szCs w:val="24"/>
        </w:rPr>
        <w:t xml:space="preserve">, P. (2016, July 27). Remote Sensing Technologies for Enhancing Forest Inventories: A Review. Taylor &amp; Francis, 42(5), 619-641. </w:t>
      </w:r>
      <w:hyperlink r:id="rId11" w:history="1">
        <w:r w:rsidRPr="00E62074">
          <w:rPr>
            <w:rStyle w:val="Hyperlink"/>
            <w:rFonts w:ascii="Times New Roman" w:eastAsia="Times New Roman" w:hAnsi="Times New Roman" w:cs="Times New Roman"/>
            <w:color w:val="000000" w:themeColor="text1"/>
            <w:spacing w:val="2"/>
            <w:sz w:val="24"/>
            <w:szCs w:val="24"/>
            <w:u w:val="none"/>
          </w:rPr>
          <w:t>https://doi.org/10.1080/07038992.2016.1207484</w:t>
        </w:r>
      </w:hyperlink>
    </w:p>
    <w:p w14:paraId="672916F6" w14:textId="77777777" w:rsidR="0086659E" w:rsidRPr="00E62074" w:rsidRDefault="0086659E" w:rsidP="00E62074">
      <w:pPr>
        <w:spacing w:line="360" w:lineRule="auto"/>
        <w:ind w:left="90"/>
        <w:jc w:val="both"/>
        <w:rPr>
          <w:rFonts w:ascii="Times New Roman" w:hAnsi="Times New Roman" w:cs="Times New Roman"/>
          <w:color w:val="000000" w:themeColor="text1"/>
          <w:sz w:val="24"/>
          <w:szCs w:val="24"/>
          <w:shd w:val="clear" w:color="auto" w:fill="FFFFFF"/>
        </w:rPr>
      </w:pPr>
      <w:r w:rsidRPr="00E62074">
        <w:rPr>
          <w:rFonts w:ascii="Times New Roman" w:hAnsi="Times New Roman" w:cs="Times New Roman"/>
          <w:color w:val="000000" w:themeColor="text1"/>
          <w:sz w:val="24"/>
          <w:szCs w:val="24"/>
          <w:shd w:val="clear" w:color="auto" w:fill="FFFFFF"/>
        </w:rPr>
        <w:t xml:space="preserve">Yadav, I. S., Rawat, N., </w:t>
      </w:r>
      <w:proofErr w:type="spellStart"/>
      <w:r w:rsidRPr="00E62074">
        <w:rPr>
          <w:rFonts w:ascii="Times New Roman" w:hAnsi="Times New Roman" w:cs="Times New Roman"/>
          <w:color w:val="000000" w:themeColor="text1"/>
          <w:sz w:val="24"/>
          <w:szCs w:val="24"/>
          <w:shd w:val="clear" w:color="auto" w:fill="FFFFFF"/>
        </w:rPr>
        <w:t>Chhuneja</w:t>
      </w:r>
      <w:proofErr w:type="spellEnd"/>
      <w:r w:rsidRPr="00E62074">
        <w:rPr>
          <w:rFonts w:ascii="Times New Roman" w:hAnsi="Times New Roman" w:cs="Times New Roman"/>
          <w:color w:val="000000" w:themeColor="text1"/>
          <w:sz w:val="24"/>
          <w:szCs w:val="24"/>
          <w:shd w:val="clear" w:color="auto" w:fill="FFFFFF"/>
        </w:rPr>
        <w:t xml:space="preserve">, P., Kaur, S., </w:t>
      </w:r>
      <w:proofErr w:type="spellStart"/>
      <w:r w:rsidRPr="00E62074">
        <w:rPr>
          <w:rFonts w:ascii="Times New Roman" w:hAnsi="Times New Roman" w:cs="Times New Roman"/>
          <w:color w:val="000000" w:themeColor="text1"/>
          <w:sz w:val="24"/>
          <w:szCs w:val="24"/>
          <w:shd w:val="clear" w:color="auto" w:fill="FFFFFF"/>
        </w:rPr>
        <w:t>Uauy</w:t>
      </w:r>
      <w:proofErr w:type="spellEnd"/>
      <w:r w:rsidRPr="00E62074">
        <w:rPr>
          <w:rFonts w:ascii="Times New Roman" w:hAnsi="Times New Roman" w:cs="Times New Roman"/>
          <w:color w:val="000000" w:themeColor="text1"/>
          <w:sz w:val="24"/>
          <w:szCs w:val="24"/>
          <w:shd w:val="clear" w:color="auto" w:fill="FFFFFF"/>
        </w:rPr>
        <w:t xml:space="preserve">, C., </w:t>
      </w:r>
      <w:proofErr w:type="spellStart"/>
      <w:r w:rsidRPr="00E62074">
        <w:rPr>
          <w:rFonts w:ascii="Times New Roman" w:hAnsi="Times New Roman" w:cs="Times New Roman"/>
          <w:color w:val="000000" w:themeColor="text1"/>
          <w:sz w:val="24"/>
          <w:szCs w:val="24"/>
          <w:shd w:val="clear" w:color="auto" w:fill="FFFFFF"/>
        </w:rPr>
        <w:t>Lazo</w:t>
      </w:r>
      <w:proofErr w:type="spellEnd"/>
      <w:r w:rsidRPr="00E62074">
        <w:rPr>
          <w:rFonts w:ascii="Times New Roman" w:hAnsi="Times New Roman" w:cs="Times New Roman"/>
          <w:color w:val="000000" w:themeColor="text1"/>
          <w:sz w:val="24"/>
          <w:szCs w:val="24"/>
          <w:shd w:val="clear" w:color="auto" w:fill="FFFFFF"/>
        </w:rPr>
        <w:t xml:space="preserve">, G., ... &amp; Tiwari, V. K. (2023). Comparative genomic analysis of 5Mg chromosome of Aegilops </w:t>
      </w:r>
      <w:proofErr w:type="spellStart"/>
      <w:r w:rsidRPr="00E62074">
        <w:rPr>
          <w:rFonts w:ascii="Times New Roman" w:hAnsi="Times New Roman" w:cs="Times New Roman"/>
          <w:color w:val="000000" w:themeColor="text1"/>
          <w:sz w:val="24"/>
          <w:szCs w:val="24"/>
          <w:shd w:val="clear" w:color="auto" w:fill="FFFFFF"/>
        </w:rPr>
        <w:t>geniculata</w:t>
      </w:r>
      <w:proofErr w:type="spellEnd"/>
      <w:r w:rsidRPr="00E62074">
        <w:rPr>
          <w:rFonts w:ascii="Times New Roman" w:hAnsi="Times New Roman" w:cs="Times New Roman"/>
          <w:color w:val="000000" w:themeColor="text1"/>
          <w:sz w:val="24"/>
          <w:szCs w:val="24"/>
          <w:shd w:val="clear" w:color="auto" w:fill="FFFFFF"/>
        </w:rPr>
        <w:t xml:space="preserve"> and 5Uu chromosome of Aegilops </w:t>
      </w:r>
      <w:proofErr w:type="spellStart"/>
      <w:r w:rsidRPr="00E62074">
        <w:rPr>
          <w:rFonts w:ascii="Times New Roman" w:hAnsi="Times New Roman" w:cs="Times New Roman"/>
          <w:color w:val="000000" w:themeColor="text1"/>
          <w:sz w:val="24"/>
          <w:szCs w:val="24"/>
          <w:shd w:val="clear" w:color="auto" w:fill="FFFFFF"/>
        </w:rPr>
        <w:t>umbellulata</w:t>
      </w:r>
      <w:proofErr w:type="spellEnd"/>
      <w:r w:rsidRPr="00E62074">
        <w:rPr>
          <w:rFonts w:ascii="Times New Roman" w:hAnsi="Times New Roman" w:cs="Times New Roman"/>
          <w:color w:val="000000" w:themeColor="text1"/>
          <w:sz w:val="24"/>
          <w:szCs w:val="24"/>
          <w:shd w:val="clear" w:color="auto" w:fill="FFFFFF"/>
        </w:rPr>
        <w:t xml:space="preserve"> reveal genic diversity in the tertiary gene pool. </w:t>
      </w:r>
      <w:r w:rsidRPr="00E62074">
        <w:rPr>
          <w:rFonts w:ascii="Times New Roman" w:hAnsi="Times New Roman" w:cs="Times New Roman"/>
          <w:iCs/>
          <w:color w:val="000000" w:themeColor="text1"/>
          <w:sz w:val="24"/>
          <w:szCs w:val="24"/>
          <w:shd w:val="clear" w:color="auto" w:fill="FFFFFF"/>
        </w:rPr>
        <w:t>Frontiers in Plant Science</w:t>
      </w:r>
      <w:r w:rsidRPr="00E62074">
        <w:rPr>
          <w:rFonts w:ascii="Times New Roman" w:hAnsi="Times New Roman" w:cs="Times New Roman"/>
          <w:color w:val="000000" w:themeColor="text1"/>
          <w:sz w:val="24"/>
          <w:szCs w:val="24"/>
          <w:shd w:val="clear" w:color="auto" w:fill="FFFFFF"/>
        </w:rPr>
        <w:t>, </w:t>
      </w:r>
      <w:r w:rsidRPr="00E62074">
        <w:rPr>
          <w:rFonts w:ascii="Times New Roman" w:hAnsi="Times New Roman" w:cs="Times New Roman"/>
          <w:iCs/>
          <w:color w:val="000000" w:themeColor="text1"/>
          <w:sz w:val="24"/>
          <w:szCs w:val="24"/>
          <w:shd w:val="clear" w:color="auto" w:fill="FFFFFF"/>
        </w:rPr>
        <w:t>14</w:t>
      </w:r>
      <w:r w:rsidRPr="00E62074">
        <w:rPr>
          <w:rFonts w:ascii="Times New Roman" w:hAnsi="Times New Roman" w:cs="Times New Roman"/>
          <w:color w:val="000000" w:themeColor="text1"/>
          <w:sz w:val="24"/>
          <w:szCs w:val="24"/>
          <w:shd w:val="clear" w:color="auto" w:fill="FFFFFF"/>
        </w:rPr>
        <w:t>, 1144000.</w:t>
      </w:r>
    </w:p>
    <w:p w14:paraId="2E62C7F1" w14:textId="77777777" w:rsidR="00A90F48" w:rsidRPr="00E83F1B" w:rsidRDefault="00A90F48" w:rsidP="00E83F1B">
      <w:pPr>
        <w:shd w:val="clear" w:color="auto" w:fill="FFFFFF"/>
        <w:spacing w:before="100" w:beforeAutospacing="1" w:after="100" w:afterAutospacing="1" w:line="240" w:lineRule="auto"/>
        <w:ind w:left="360"/>
        <w:jc w:val="both"/>
        <w:rPr>
          <w:rFonts w:ascii="Times New Roman" w:eastAsia="Times New Roman" w:hAnsi="Times New Roman" w:cs="Times New Roman"/>
          <w:color w:val="18181B"/>
          <w:spacing w:val="3"/>
          <w:sz w:val="24"/>
          <w:szCs w:val="24"/>
        </w:rPr>
      </w:pPr>
    </w:p>
    <w:p w14:paraId="1E9D2399" w14:textId="77777777" w:rsidR="004F0E13" w:rsidRPr="005A0BEC" w:rsidRDefault="004F0E13" w:rsidP="00414B60">
      <w:pPr>
        <w:shd w:val="clear" w:color="auto" w:fill="FFFFFF"/>
        <w:spacing w:before="100" w:beforeAutospacing="1" w:after="100" w:afterAutospacing="1" w:line="240" w:lineRule="auto"/>
        <w:ind w:left="360"/>
        <w:rPr>
          <w:rFonts w:ascii="Arial" w:eastAsia="Times New Roman" w:hAnsi="Arial" w:cs="Arial"/>
          <w:color w:val="18181B"/>
          <w:spacing w:val="2"/>
          <w:sz w:val="24"/>
          <w:szCs w:val="24"/>
        </w:rPr>
      </w:pPr>
    </w:p>
    <w:p w14:paraId="0D6B5D28" w14:textId="77777777" w:rsidR="005A0BEC" w:rsidRPr="00956232" w:rsidRDefault="005A0BEC" w:rsidP="00586E68">
      <w:pPr>
        <w:jc w:val="center"/>
        <w:rPr>
          <w:rFonts w:ascii="Times New Roman" w:hAnsi="Times New Roman" w:cs="Times New Roman"/>
          <w:b/>
          <w:sz w:val="24"/>
        </w:rPr>
      </w:pPr>
    </w:p>
    <w:sectPr w:rsidR="005A0BEC" w:rsidRPr="00956232" w:rsidSect="00D62A9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4AAA" w14:textId="77777777" w:rsidR="001459F3" w:rsidRDefault="001459F3" w:rsidP="00D62A93">
      <w:pPr>
        <w:spacing w:after="0" w:line="240" w:lineRule="auto"/>
      </w:pPr>
      <w:r>
        <w:separator/>
      </w:r>
    </w:p>
  </w:endnote>
  <w:endnote w:type="continuationSeparator" w:id="0">
    <w:p w14:paraId="266E5449" w14:textId="77777777" w:rsidR="001459F3" w:rsidRDefault="001459F3" w:rsidP="00D6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2F81" w14:textId="77777777" w:rsidR="00D62A93" w:rsidRDefault="00D6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E26D" w14:textId="77777777" w:rsidR="00D62A93" w:rsidRDefault="00D62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066C" w14:textId="77777777" w:rsidR="00D62A93" w:rsidRDefault="00D6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7A33E" w14:textId="77777777" w:rsidR="001459F3" w:rsidRDefault="001459F3" w:rsidP="00D62A93">
      <w:pPr>
        <w:spacing w:after="0" w:line="240" w:lineRule="auto"/>
      </w:pPr>
      <w:r>
        <w:separator/>
      </w:r>
    </w:p>
  </w:footnote>
  <w:footnote w:type="continuationSeparator" w:id="0">
    <w:p w14:paraId="54D47419" w14:textId="77777777" w:rsidR="001459F3" w:rsidRDefault="001459F3" w:rsidP="00D6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DB68" w14:textId="0FDEB74D" w:rsidR="00D62A93" w:rsidRDefault="00D62A93">
    <w:pPr>
      <w:pStyle w:val="Header"/>
    </w:pPr>
    <w:r>
      <w:rPr>
        <w:noProof/>
      </w:rPr>
      <w:pict w14:anchorId="293C7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CF80" w14:textId="6A061CF4" w:rsidR="00D62A93" w:rsidRDefault="00D62A93">
    <w:pPr>
      <w:pStyle w:val="Header"/>
    </w:pPr>
    <w:r>
      <w:rPr>
        <w:noProof/>
      </w:rPr>
      <w:pict w14:anchorId="2C664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4F1F" w14:textId="12B17C08" w:rsidR="00D62A93" w:rsidRDefault="00D62A93">
    <w:pPr>
      <w:pStyle w:val="Header"/>
    </w:pPr>
    <w:r>
      <w:rPr>
        <w:noProof/>
      </w:rPr>
      <w:pict w14:anchorId="7D1E6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30FBB"/>
    <w:multiLevelType w:val="multilevel"/>
    <w:tmpl w:val="7BF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92140"/>
    <w:multiLevelType w:val="multilevel"/>
    <w:tmpl w:val="A676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662C5"/>
    <w:multiLevelType w:val="multilevel"/>
    <w:tmpl w:val="F980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B0BCE"/>
    <w:multiLevelType w:val="multilevel"/>
    <w:tmpl w:val="1A7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6E68"/>
    <w:rsid w:val="000B26D7"/>
    <w:rsid w:val="000D0954"/>
    <w:rsid w:val="00110A6A"/>
    <w:rsid w:val="001249C8"/>
    <w:rsid w:val="001459F3"/>
    <w:rsid w:val="001D304E"/>
    <w:rsid w:val="0020346E"/>
    <w:rsid w:val="002475B3"/>
    <w:rsid w:val="002C3CA1"/>
    <w:rsid w:val="003C2475"/>
    <w:rsid w:val="003F7B92"/>
    <w:rsid w:val="004148F4"/>
    <w:rsid w:val="00414B60"/>
    <w:rsid w:val="00466A59"/>
    <w:rsid w:val="004F0E13"/>
    <w:rsid w:val="0053605C"/>
    <w:rsid w:val="00586E68"/>
    <w:rsid w:val="005A0BEC"/>
    <w:rsid w:val="00687B71"/>
    <w:rsid w:val="006F5CC9"/>
    <w:rsid w:val="00734052"/>
    <w:rsid w:val="0086659E"/>
    <w:rsid w:val="008A0B39"/>
    <w:rsid w:val="0093141E"/>
    <w:rsid w:val="00956232"/>
    <w:rsid w:val="00987F9E"/>
    <w:rsid w:val="00A7386E"/>
    <w:rsid w:val="00A8110F"/>
    <w:rsid w:val="00A90F48"/>
    <w:rsid w:val="00B81D9B"/>
    <w:rsid w:val="00B91BA3"/>
    <w:rsid w:val="00BB3524"/>
    <w:rsid w:val="00BF68B4"/>
    <w:rsid w:val="00CA0E2D"/>
    <w:rsid w:val="00CF5F23"/>
    <w:rsid w:val="00D2296D"/>
    <w:rsid w:val="00D53661"/>
    <w:rsid w:val="00D62A93"/>
    <w:rsid w:val="00DC143F"/>
    <w:rsid w:val="00DD50BA"/>
    <w:rsid w:val="00E62074"/>
    <w:rsid w:val="00E75014"/>
    <w:rsid w:val="00E8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150E7"/>
  <w15:docId w15:val="{A05B248A-2ECC-429C-B328-F32075C4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41E"/>
  </w:style>
  <w:style w:type="paragraph" w:styleId="Heading1">
    <w:name w:val="heading 1"/>
    <w:basedOn w:val="Normal"/>
    <w:next w:val="Normal"/>
    <w:link w:val="Heading1Char"/>
    <w:uiPriority w:val="9"/>
    <w:qFormat/>
    <w:rsid w:val="003C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0B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7B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BEC"/>
    <w:rPr>
      <w:rFonts w:ascii="Times New Roman" w:eastAsia="Times New Roman" w:hAnsi="Times New Roman" w:cs="Times New Roman"/>
      <w:b/>
      <w:bCs/>
      <w:sz w:val="36"/>
      <w:szCs w:val="36"/>
    </w:rPr>
  </w:style>
  <w:style w:type="paragraph" w:styleId="NormalWeb">
    <w:name w:val="Normal (Web)"/>
    <w:basedOn w:val="Normal"/>
    <w:uiPriority w:val="99"/>
    <w:unhideWhenUsed/>
    <w:rsid w:val="005A0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2rem">
    <w:name w:val="indent-[-2rem]"/>
    <w:basedOn w:val="DefaultParagraphFont"/>
    <w:rsid w:val="005A0BEC"/>
  </w:style>
  <w:style w:type="character" w:styleId="Hyperlink">
    <w:name w:val="Hyperlink"/>
    <w:basedOn w:val="DefaultParagraphFont"/>
    <w:uiPriority w:val="99"/>
    <w:unhideWhenUsed/>
    <w:rsid w:val="004F0E13"/>
    <w:rPr>
      <w:color w:val="0000FF" w:themeColor="hyperlink"/>
      <w:u w:val="single"/>
    </w:rPr>
  </w:style>
  <w:style w:type="character" w:customStyle="1" w:styleId="Heading1Char">
    <w:name w:val="Heading 1 Char"/>
    <w:basedOn w:val="DefaultParagraphFont"/>
    <w:link w:val="Heading1"/>
    <w:uiPriority w:val="9"/>
    <w:rsid w:val="003C247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475B3"/>
    <w:pPr>
      <w:ind w:left="720"/>
      <w:contextualSpacing/>
    </w:pPr>
  </w:style>
  <w:style w:type="character" w:styleId="LineNumber">
    <w:name w:val="line number"/>
    <w:basedOn w:val="DefaultParagraphFont"/>
    <w:uiPriority w:val="99"/>
    <w:semiHidden/>
    <w:unhideWhenUsed/>
    <w:rsid w:val="00A7386E"/>
  </w:style>
  <w:style w:type="character" w:customStyle="1" w:styleId="Heading3Char">
    <w:name w:val="Heading 3 Char"/>
    <w:basedOn w:val="DefaultParagraphFont"/>
    <w:link w:val="Heading3"/>
    <w:uiPriority w:val="9"/>
    <w:semiHidden/>
    <w:rsid w:val="00687B7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87B71"/>
    <w:rPr>
      <w:color w:val="605E5C"/>
      <w:shd w:val="clear" w:color="auto" w:fill="E1DFDD"/>
    </w:rPr>
  </w:style>
  <w:style w:type="paragraph" w:styleId="Header">
    <w:name w:val="header"/>
    <w:basedOn w:val="Normal"/>
    <w:link w:val="HeaderChar"/>
    <w:uiPriority w:val="99"/>
    <w:unhideWhenUsed/>
    <w:rsid w:val="00D6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A93"/>
  </w:style>
  <w:style w:type="paragraph" w:styleId="Footer">
    <w:name w:val="footer"/>
    <w:basedOn w:val="Normal"/>
    <w:link w:val="FooterChar"/>
    <w:uiPriority w:val="99"/>
    <w:unhideWhenUsed/>
    <w:rsid w:val="00D6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0725">
      <w:bodyDiv w:val="1"/>
      <w:marLeft w:val="0"/>
      <w:marRight w:val="0"/>
      <w:marTop w:val="0"/>
      <w:marBottom w:val="0"/>
      <w:divBdr>
        <w:top w:val="none" w:sz="0" w:space="0" w:color="auto"/>
        <w:left w:val="none" w:sz="0" w:space="0" w:color="auto"/>
        <w:bottom w:val="none" w:sz="0" w:space="0" w:color="auto"/>
        <w:right w:val="none" w:sz="0" w:space="0" w:color="auto"/>
      </w:divBdr>
    </w:div>
    <w:div w:id="185487053">
      <w:bodyDiv w:val="1"/>
      <w:marLeft w:val="0"/>
      <w:marRight w:val="0"/>
      <w:marTop w:val="0"/>
      <w:marBottom w:val="0"/>
      <w:divBdr>
        <w:top w:val="none" w:sz="0" w:space="0" w:color="auto"/>
        <w:left w:val="none" w:sz="0" w:space="0" w:color="auto"/>
        <w:bottom w:val="none" w:sz="0" w:space="0" w:color="auto"/>
        <w:right w:val="none" w:sz="0" w:space="0" w:color="auto"/>
      </w:divBdr>
    </w:div>
    <w:div w:id="198249263">
      <w:bodyDiv w:val="1"/>
      <w:marLeft w:val="0"/>
      <w:marRight w:val="0"/>
      <w:marTop w:val="0"/>
      <w:marBottom w:val="0"/>
      <w:divBdr>
        <w:top w:val="none" w:sz="0" w:space="0" w:color="auto"/>
        <w:left w:val="none" w:sz="0" w:space="0" w:color="auto"/>
        <w:bottom w:val="none" w:sz="0" w:space="0" w:color="auto"/>
        <w:right w:val="none" w:sz="0" w:space="0" w:color="auto"/>
      </w:divBdr>
    </w:div>
    <w:div w:id="374042971">
      <w:bodyDiv w:val="1"/>
      <w:marLeft w:val="0"/>
      <w:marRight w:val="0"/>
      <w:marTop w:val="0"/>
      <w:marBottom w:val="0"/>
      <w:divBdr>
        <w:top w:val="none" w:sz="0" w:space="0" w:color="auto"/>
        <w:left w:val="none" w:sz="0" w:space="0" w:color="auto"/>
        <w:bottom w:val="none" w:sz="0" w:space="0" w:color="auto"/>
        <w:right w:val="none" w:sz="0" w:space="0" w:color="auto"/>
      </w:divBdr>
    </w:div>
    <w:div w:id="384916255">
      <w:bodyDiv w:val="1"/>
      <w:marLeft w:val="0"/>
      <w:marRight w:val="0"/>
      <w:marTop w:val="0"/>
      <w:marBottom w:val="0"/>
      <w:divBdr>
        <w:top w:val="none" w:sz="0" w:space="0" w:color="auto"/>
        <w:left w:val="none" w:sz="0" w:space="0" w:color="auto"/>
        <w:bottom w:val="none" w:sz="0" w:space="0" w:color="auto"/>
        <w:right w:val="none" w:sz="0" w:space="0" w:color="auto"/>
      </w:divBdr>
      <w:divsChild>
        <w:div w:id="972058526">
          <w:marLeft w:val="0"/>
          <w:marRight w:val="0"/>
          <w:marTop w:val="0"/>
          <w:marBottom w:val="0"/>
          <w:divBdr>
            <w:top w:val="none" w:sz="0" w:space="0" w:color="auto"/>
            <w:left w:val="none" w:sz="0" w:space="0" w:color="auto"/>
            <w:bottom w:val="none" w:sz="0" w:space="0" w:color="auto"/>
            <w:right w:val="none" w:sz="0" w:space="0" w:color="auto"/>
          </w:divBdr>
          <w:divsChild>
            <w:div w:id="11497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4856">
      <w:bodyDiv w:val="1"/>
      <w:marLeft w:val="0"/>
      <w:marRight w:val="0"/>
      <w:marTop w:val="0"/>
      <w:marBottom w:val="0"/>
      <w:divBdr>
        <w:top w:val="none" w:sz="0" w:space="0" w:color="auto"/>
        <w:left w:val="none" w:sz="0" w:space="0" w:color="auto"/>
        <w:bottom w:val="none" w:sz="0" w:space="0" w:color="auto"/>
        <w:right w:val="none" w:sz="0" w:space="0" w:color="auto"/>
      </w:divBdr>
    </w:div>
    <w:div w:id="425350017">
      <w:bodyDiv w:val="1"/>
      <w:marLeft w:val="0"/>
      <w:marRight w:val="0"/>
      <w:marTop w:val="0"/>
      <w:marBottom w:val="0"/>
      <w:divBdr>
        <w:top w:val="none" w:sz="0" w:space="0" w:color="auto"/>
        <w:left w:val="none" w:sz="0" w:space="0" w:color="auto"/>
        <w:bottom w:val="none" w:sz="0" w:space="0" w:color="auto"/>
        <w:right w:val="none" w:sz="0" w:space="0" w:color="auto"/>
      </w:divBdr>
    </w:div>
    <w:div w:id="606501856">
      <w:bodyDiv w:val="1"/>
      <w:marLeft w:val="0"/>
      <w:marRight w:val="0"/>
      <w:marTop w:val="0"/>
      <w:marBottom w:val="0"/>
      <w:divBdr>
        <w:top w:val="none" w:sz="0" w:space="0" w:color="auto"/>
        <w:left w:val="none" w:sz="0" w:space="0" w:color="auto"/>
        <w:bottom w:val="none" w:sz="0" w:space="0" w:color="auto"/>
        <w:right w:val="none" w:sz="0" w:space="0" w:color="auto"/>
      </w:divBdr>
    </w:div>
    <w:div w:id="761606622">
      <w:bodyDiv w:val="1"/>
      <w:marLeft w:val="0"/>
      <w:marRight w:val="0"/>
      <w:marTop w:val="0"/>
      <w:marBottom w:val="0"/>
      <w:divBdr>
        <w:top w:val="none" w:sz="0" w:space="0" w:color="auto"/>
        <w:left w:val="none" w:sz="0" w:space="0" w:color="auto"/>
        <w:bottom w:val="none" w:sz="0" w:space="0" w:color="auto"/>
        <w:right w:val="none" w:sz="0" w:space="0" w:color="auto"/>
      </w:divBdr>
    </w:div>
    <w:div w:id="768964619">
      <w:bodyDiv w:val="1"/>
      <w:marLeft w:val="0"/>
      <w:marRight w:val="0"/>
      <w:marTop w:val="0"/>
      <w:marBottom w:val="0"/>
      <w:divBdr>
        <w:top w:val="none" w:sz="0" w:space="0" w:color="auto"/>
        <w:left w:val="none" w:sz="0" w:space="0" w:color="auto"/>
        <w:bottom w:val="none" w:sz="0" w:space="0" w:color="auto"/>
        <w:right w:val="none" w:sz="0" w:space="0" w:color="auto"/>
      </w:divBdr>
    </w:div>
    <w:div w:id="850797944">
      <w:bodyDiv w:val="1"/>
      <w:marLeft w:val="0"/>
      <w:marRight w:val="0"/>
      <w:marTop w:val="0"/>
      <w:marBottom w:val="0"/>
      <w:divBdr>
        <w:top w:val="none" w:sz="0" w:space="0" w:color="auto"/>
        <w:left w:val="none" w:sz="0" w:space="0" w:color="auto"/>
        <w:bottom w:val="none" w:sz="0" w:space="0" w:color="auto"/>
        <w:right w:val="none" w:sz="0" w:space="0" w:color="auto"/>
      </w:divBdr>
    </w:div>
    <w:div w:id="872301078">
      <w:bodyDiv w:val="1"/>
      <w:marLeft w:val="0"/>
      <w:marRight w:val="0"/>
      <w:marTop w:val="0"/>
      <w:marBottom w:val="0"/>
      <w:divBdr>
        <w:top w:val="none" w:sz="0" w:space="0" w:color="auto"/>
        <w:left w:val="none" w:sz="0" w:space="0" w:color="auto"/>
        <w:bottom w:val="none" w:sz="0" w:space="0" w:color="auto"/>
        <w:right w:val="none" w:sz="0" w:space="0" w:color="auto"/>
      </w:divBdr>
    </w:div>
    <w:div w:id="1129014729">
      <w:bodyDiv w:val="1"/>
      <w:marLeft w:val="0"/>
      <w:marRight w:val="0"/>
      <w:marTop w:val="0"/>
      <w:marBottom w:val="0"/>
      <w:divBdr>
        <w:top w:val="none" w:sz="0" w:space="0" w:color="auto"/>
        <w:left w:val="none" w:sz="0" w:space="0" w:color="auto"/>
        <w:bottom w:val="none" w:sz="0" w:space="0" w:color="auto"/>
        <w:right w:val="none" w:sz="0" w:space="0" w:color="auto"/>
      </w:divBdr>
    </w:div>
    <w:div w:id="1413820487">
      <w:bodyDiv w:val="1"/>
      <w:marLeft w:val="0"/>
      <w:marRight w:val="0"/>
      <w:marTop w:val="0"/>
      <w:marBottom w:val="0"/>
      <w:divBdr>
        <w:top w:val="none" w:sz="0" w:space="0" w:color="auto"/>
        <w:left w:val="none" w:sz="0" w:space="0" w:color="auto"/>
        <w:bottom w:val="none" w:sz="0" w:space="0" w:color="auto"/>
        <w:right w:val="none" w:sz="0" w:space="0" w:color="auto"/>
      </w:divBdr>
    </w:div>
    <w:div w:id="1718092529">
      <w:bodyDiv w:val="1"/>
      <w:marLeft w:val="0"/>
      <w:marRight w:val="0"/>
      <w:marTop w:val="0"/>
      <w:marBottom w:val="0"/>
      <w:divBdr>
        <w:top w:val="none" w:sz="0" w:space="0" w:color="auto"/>
        <w:left w:val="none" w:sz="0" w:space="0" w:color="auto"/>
        <w:bottom w:val="none" w:sz="0" w:space="0" w:color="auto"/>
        <w:right w:val="none" w:sz="0" w:space="0" w:color="auto"/>
      </w:divBdr>
      <w:divsChild>
        <w:div w:id="767501834">
          <w:marLeft w:val="0"/>
          <w:marRight w:val="0"/>
          <w:marTop w:val="0"/>
          <w:marBottom w:val="0"/>
          <w:divBdr>
            <w:top w:val="none" w:sz="0" w:space="0" w:color="auto"/>
            <w:left w:val="none" w:sz="0" w:space="0" w:color="auto"/>
            <w:bottom w:val="none" w:sz="0" w:space="0" w:color="auto"/>
            <w:right w:val="none" w:sz="0" w:space="0" w:color="auto"/>
          </w:divBdr>
          <w:divsChild>
            <w:div w:id="2007318822">
              <w:marLeft w:val="0"/>
              <w:marRight w:val="0"/>
              <w:marTop w:val="0"/>
              <w:marBottom w:val="0"/>
              <w:divBdr>
                <w:top w:val="none" w:sz="0" w:space="0" w:color="auto"/>
                <w:left w:val="none" w:sz="0" w:space="0" w:color="auto"/>
                <w:bottom w:val="none" w:sz="0" w:space="0" w:color="auto"/>
                <w:right w:val="none" w:sz="0" w:space="0" w:color="auto"/>
              </w:divBdr>
              <w:divsChild>
                <w:div w:id="1694922433">
                  <w:marLeft w:val="0"/>
                  <w:marRight w:val="0"/>
                  <w:marTop w:val="0"/>
                  <w:marBottom w:val="0"/>
                  <w:divBdr>
                    <w:top w:val="none" w:sz="0" w:space="0" w:color="auto"/>
                    <w:left w:val="none" w:sz="0" w:space="0" w:color="auto"/>
                    <w:bottom w:val="none" w:sz="0" w:space="0" w:color="auto"/>
                    <w:right w:val="none" w:sz="0" w:space="0" w:color="auto"/>
                  </w:divBdr>
                </w:div>
                <w:div w:id="1560165363">
                  <w:marLeft w:val="0"/>
                  <w:marRight w:val="0"/>
                  <w:marTop w:val="100"/>
                  <w:marBottom w:val="0"/>
                  <w:divBdr>
                    <w:top w:val="none" w:sz="0" w:space="0" w:color="auto"/>
                    <w:left w:val="none" w:sz="0" w:space="0" w:color="auto"/>
                    <w:bottom w:val="none" w:sz="0" w:space="0" w:color="auto"/>
                    <w:right w:val="none" w:sz="0" w:space="0" w:color="auto"/>
                  </w:divBdr>
                  <w:divsChild>
                    <w:div w:id="20844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0724">
      <w:bodyDiv w:val="1"/>
      <w:marLeft w:val="0"/>
      <w:marRight w:val="0"/>
      <w:marTop w:val="0"/>
      <w:marBottom w:val="0"/>
      <w:divBdr>
        <w:top w:val="none" w:sz="0" w:space="0" w:color="auto"/>
        <w:left w:val="none" w:sz="0" w:space="0" w:color="auto"/>
        <w:bottom w:val="none" w:sz="0" w:space="0" w:color="auto"/>
        <w:right w:val="none" w:sz="0" w:space="0" w:color="auto"/>
      </w:divBdr>
      <w:divsChild>
        <w:div w:id="1632321753">
          <w:marLeft w:val="0"/>
          <w:marRight w:val="0"/>
          <w:marTop w:val="0"/>
          <w:marBottom w:val="0"/>
          <w:divBdr>
            <w:top w:val="none" w:sz="0" w:space="0" w:color="auto"/>
            <w:left w:val="none" w:sz="0" w:space="0" w:color="auto"/>
            <w:bottom w:val="none" w:sz="0" w:space="0" w:color="auto"/>
            <w:right w:val="none" w:sz="0" w:space="0" w:color="auto"/>
          </w:divBdr>
          <w:divsChild>
            <w:div w:id="8679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071">
      <w:bodyDiv w:val="1"/>
      <w:marLeft w:val="0"/>
      <w:marRight w:val="0"/>
      <w:marTop w:val="0"/>
      <w:marBottom w:val="0"/>
      <w:divBdr>
        <w:top w:val="none" w:sz="0" w:space="0" w:color="auto"/>
        <w:left w:val="none" w:sz="0" w:space="0" w:color="auto"/>
        <w:bottom w:val="none" w:sz="0" w:space="0" w:color="auto"/>
        <w:right w:val="none" w:sz="0" w:space="0" w:color="auto"/>
      </w:divBdr>
    </w:div>
    <w:div w:id="1986272278">
      <w:bodyDiv w:val="1"/>
      <w:marLeft w:val="0"/>
      <w:marRight w:val="0"/>
      <w:marTop w:val="0"/>
      <w:marBottom w:val="0"/>
      <w:divBdr>
        <w:top w:val="none" w:sz="0" w:space="0" w:color="auto"/>
        <w:left w:val="none" w:sz="0" w:space="0" w:color="auto"/>
        <w:bottom w:val="none" w:sz="0" w:space="0" w:color="auto"/>
        <w:right w:val="none" w:sz="0" w:space="0" w:color="auto"/>
      </w:divBdr>
      <w:divsChild>
        <w:div w:id="1483084768">
          <w:marLeft w:val="0"/>
          <w:marRight w:val="0"/>
          <w:marTop w:val="0"/>
          <w:marBottom w:val="0"/>
          <w:divBdr>
            <w:top w:val="none" w:sz="0" w:space="0" w:color="auto"/>
            <w:left w:val="none" w:sz="0" w:space="0" w:color="auto"/>
            <w:bottom w:val="none" w:sz="0" w:space="0" w:color="auto"/>
            <w:right w:val="none" w:sz="0" w:space="0" w:color="auto"/>
          </w:divBdr>
          <w:divsChild>
            <w:div w:id="7323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7981">
      <w:bodyDiv w:val="1"/>
      <w:marLeft w:val="0"/>
      <w:marRight w:val="0"/>
      <w:marTop w:val="0"/>
      <w:marBottom w:val="0"/>
      <w:divBdr>
        <w:top w:val="none" w:sz="0" w:space="0" w:color="auto"/>
        <w:left w:val="none" w:sz="0" w:space="0" w:color="auto"/>
        <w:bottom w:val="none" w:sz="0" w:space="0" w:color="auto"/>
        <w:right w:val="none" w:sz="0" w:space="0" w:color="auto"/>
      </w:divBdr>
    </w:div>
    <w:div w:id="212789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135/cropsci2007.04.0015ipb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8/rstb.2007.217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7038992.2016.120748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00425-022-0382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1672-6308(13)60174-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19</Pages>
  <Words>6035</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SDI 1084</cp:lastModifiedBy>
  <cp:revision>28</cp:revision>
  <dcterms:created xsi:type="dcterms:W3CDTF">2024-10-15T16:41:00Z</dcterms:created>
  <dcterms:modified xsi:type="dcterms:W3CDTF">2025-09-04T08:40:00Z</dcterms:modified>
</cp:coreProperties>
</file>