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3A2434" w14:textId="77777777" w:rsidR="00754C9A" w:rsidRDefault="00754C9A" w:rsidP="00441B6F">
      <w:pPr>
        <w:pStyle w:val="Title"/>
        <w:spacing w:after="0"/>
        <w:jc w:val="both"/>
        <w:rPr>
          <w:rFonts w:ascii="Arial" w:hAnsi="Arial" w:cs="Arial"/>
        </w:rPr>
      </w:pPr>
    </w:p>
    <w:p w14:paraId="33676CDE" w14:textId="77777777" w:rsidR="009C035F" w:rsidRPr="009C035F" w:rsidRDefault="009C035F" w:rsidP="009C035F">
      <w:pPr>
        <w:pStyle w:val="Author"/>
        <w:jc w:val="both"/>
        <w:rPr>
          <w:rFonts w:ascii="Arial" w:hAnsi="Arial" w:cs="Arial"/>
          <w:bCs/>
          <w:i/>
          <w:iCs/>
          <w:kern w:val="28"/>
          <w:sz w:val="20"/>
          <w:u w:val="single"/>
        </w:rPr>
      </w:pPr>
      <w:r w:rsidRPr="009C035F">
        <w:rPr>
          <w:rFonts w:ascii="Arial" w:hAnsi="Arial" w:cs="Arial"/>
          <w:bCs/>
          <w:i/>
          <w:iCs/>
          <w:kern w:val="28"/>
          <w:sz w:val="20"/>
          <w:u w:val="single"/>
        </w:rPr>
        <w:t>Systematic Review</w:t>
      </w:r>
    </w:p>
    <w:p w14:paraId="4609A64B" w14:textId="2ECB3595" w:rsidR="00A258C3" w:rsidRPr="00790ADA" w:rsidRDefault="005715ED" w:rsidP="00441B6F">
      <w:pPr>
        <w:pStyle w:val="Author"/>
        <w:spacing w:line="240" w:lineRule="auto"/>
        <w:jc w:val="both"/>
        <w:rPr>
          <w:rFonts w:ascii="Arial" w:hAnsi="Arial" w:cs="Arial"/>
          <w:sz w:val="36"/>
        </w:rPr>
      </w:pPr>
      <w:r w:rsidRPr="005715ED">
        <w:rPr>
          <w:rFonts w:ascii="Arial" w:hAnsi="Arial" w:cs="Arial"/>
          <w:bCs/>
          <w:iCs/>
          <w:kern w:val="28"/>
          <w:sz w:val="36"/>
        </w:rPr>
        <w:t>Urinary and Blood microRNAs miR-21, miR-141, and miR-375 as Potential Diagnostic Biomarkers for Prostate Cancer: A Systematic Rev</w:t>
      </w:r>
      <w:r w:rsidR="004E216A">
        <w:rPr>
          <w:rFonts w:ascii="Arial" w:hAnsi="Arial" w:cs="Arial"/>
          <w:bCs/>
          <w:iCs/>
          <w:kern w:val="28"/>
          <w:sz w:val="36"/>
        </w:rPr>
        <w:t>iew</w:t>
      </w:r>
      <w:r w:rsidRPr="005715ED">
        <w:rPr>
          <w:rFonts w:ascii="Arial" w:hAnsi="Arial" w:cs="Arial"/>
          <w:bCs/>
          <w:iCs/>
          <w:kern w:val="28"/>
          <w:sz w:val="36"/>
        </w:rPr>
        <w:t xml:space="preserve"> and Meta-Analysis</w:t>
      </w:r>
    </w:p>
    <w:p w14:paraId="29126BBE" w14:textId="509D5589" w:rsidR="004A428E" w:rsidRDefault="004A428E" w:rsidP="004A428E">
      <w:pPr>
        <w:spacing w:line="360" w:lineRule="auto"/>
        <w:jc w:val="both"/>
        <w:rPr>
          <w:rFonts w:ascii="Times New Roman" w:hAnsi="Times New Roman"/>
          <w:bCs/>
          <w:sz w:val="24"/>
        </w:rPr>
      </w:pPr>
    </w:p>
    <w:p w14:paraId="3EE7514B" w14:textId="77777777" w:rsidR="00DA1151" w:rsidRDefault="00DA1151" w:rsidP="004A428E">
      <w:pPr>
        <w:spacing w:line="360" w:lineRule="auto"/>
        <w:jc w:val="both"/>
        <w:rPr>
          <w:rFonts w:ascii="Times New Roman" w:hAnsi="Times New Roman"/>
          <w:bCs/>
          <w:sz w:val="24"/>
        </w:rPr>
      </w:pPr>
    </w:p>
    <w:p w14:paraId="5FA35946" w14:textId="77777777" w:rsidR="004A428E" w:rsidRPr="00E274A0" w:rsidRDefault="004A428E" w:rsidP="004A428E">
      <w:pPr>
        <w:rPr>
          <w:rFonts w:ascii="Arial" w:hAnsi="Arial" w:cs="Arial"/>
        </w:rPr>
      </w:pPr>
    </w:p>
    <w:p w14:paraId="26EDE59A" w14:textId="77E2FCC8"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F8E0B8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5212CCD" w14:textId="77777777" w:rsidTr="001E44FE">
        <w:tc>
          <w:tcPr>
            <w:tcW w:w="9576" w:type="dxa"/>
            <w:shd w:val="clear" w:color="auto" w:fill="F2F2F2"/>
          </w:tcPr>
          <w:p w14:paraId="242D1B2D" w14:textId="77777777" w:rsidR="005715ED" w:rsidRPr="005715ED" w:rsidRDefault="005715ED" w:rsidP="005715ED">
            <w:pPr>
              <w:pStyle w:val="Body"/>
              <w:rPr>
                <w:rFonts w:ascii="Arial" w:eastAsia="Calibri" w:hAnsi="Arial" w:cs="Arial"/>
                <w:bCs/>
                <w:szCs w:val="22"/>
              </w:rPr>
            </w:pPr>
            <w:r w:rsidRPr="005715ED">
              <w:rPr>
                <w:rFonts w:ascii="Arial" w:eastAsia="Calibri" w:hAnsi="Arial" w:cs="Arial"/>
                <w:b/>
                <w:szCs w:val="22"/>
              </w:rPr>
              <w:t xml:space="preserve">Aims: </w:t>
            </w:r>
            <w:r w:rsidRPr="005715ED">
              <w:rPr>
                <w:rFonts w:ascii="Arial" w:eastAsia="Calibri" w:hAnsi="Arial" w:cs="Arial"/>
                <w:bCs/>
                <w:szCs w:val="22"/>
              </w:rPr>
              <w:t>To evaluate, compare, and accurately synthesize the diagnostic performance of circulating microRNAs miR-21, miR-141, and miR-375 as non-invasive biomarkers for prostate cancer, both individually and in combination, to determine their added value compared to conventional methods (PSA and biopsy) and to provide robust conclusions from heterogeneous literature data.</w:t>
            </w:r>
          </w:p>
          <w:p w14:paraId="71784252" w14:textId="24DC58EC" w:rsidR="005715ED" w:rsidRPr="005715ED" w:rsidRDefault="005715ED" w:rsidP="005715ED">
            <w:pPr>
              <w:pStyle w:val="Body"/>
              <w:rPr>
                <w:rFonts w:ascii="Arial" w:eastAsia="Calibri" w:hAnsi="Arial" w:cs="Arial"/>
                <w:bCs/>
                <w:szCs w:val="22"/>
              </w:rPr>
            </w:pPr>
            <w:r w:rsidRPr="005715ED">
              <w:rPr>
                <w:rFonts w:ascii="Arial" w:eastAsia="Calibri" w:hAnsi="Arial" w:cs="Arial"/>
                <w:b/>
                <w:szCs w:val="22"/>
              </w:rPr>
              <w:t xml:space="preserve">Background: </w:t>
            </w:r>
            <w:r w:rsidRPr="005715ED">
              <w:rPr>
                <w:rFonts w:ascii="Arial" w:eastAsia="Calibri" w:hAnsi="Arial" w:cs="Arial"/>
                <w:bCs/>
                <w:szCs w:val="22"/>
              </w:rPr>
              <w:t xml:space="preserve">Prostate cancer represents a major public health challenge, with diagnostic limitations related to prostate-specific antigen (PSA) testing. In response to these challenges, circulating microRNAs, particularly miR-21, miR-141, and miR-375, emerge as promising non-invasive biomarkers that could improve early </w:t>
            </w:r>
            <w:r w:rsidR="00BF1214">
              <w:rPr>
                <w:rFonts w:ascii="Arial" w:eastAsia="Calibri" w:hAnsi="Arial" w:cs="Arial"/>
                <w:bCs/>
                <w:szCs w:val="22"/>
              </w:rPr>
              <w:t>prostate cancer</w:t>
            </w:r>
            <w:r w:rsidRPr="005715ED">
              <w:rPr>
                <w:rFonts w:ascii="Arial" w:eastAsia="Calibri" w:hAnsi="Arial" w:cs="Arial"/>
                <w:bCs/>
                <w:szCs w:val="22"/>
              </w:rPr>
              <w:t xml:space="preserve"> detection.</w:t>
            </w:r>
          </w:p>
          <w:p w14:paraId="2D952DBD" w14:textId="77777777" w:rsidR="005715ED" w:rsidRPr="005715ED" w:rsidRDefault="005715ED" w:rsidP="005715ED">
            <w:pPr>
              <w:pStyle w:val="Body"/>
              <w:rPr>
                <w:rFonts w:ascii="Arial" w:eastAsia="Calibri" w:hAnsi="Arial" w:cs="Arial"/>
                <w:bCs/>
                <w:szCs w:val="22"/>
              </w:rPr>
            </w:pPr>
            <w:r w:rsidRPr="005715ED">
              <w:rPr>
                <w:rFonts w:ascii="Arial" w:eastAsia="Calibri" w:hAnsi="Arial" w:cs="Arial"/>
                <w:b/>
                <w:szCs w:val="22"/>
              </w:rPr>
              <w:t xml:space="preserve">Methods: </w:t>
            </w:r>
            <w:r w:rsidRPr="005715ED">
              <w:rPr>
                <w:rFonts w:ascii="Arial" w:eastAsia="Calibri" w:hAnsi="Arial" w:cs="Arial"/>
                <w:bCs/>
                <w:szCs w:val="22"/>
              </w:rPr>
              <w:t>A meta-analysis was conducted, and publications from January 2008 to April 2025 were selected from PubMed, Embase, ScienceDirect, and Scopus databases. Pooled measures of sensitivity, specificity, area under the ROC curve (AUC), likelihood ratios, and diagnostic odds ratios (DOR) were calculated using a bivariate random-effects model. A subgroup analysis was performed to explore sources of heterogeneity.</w:t>
            </w:r>
          </w:p>
          <w:p w14:paraId="4F087F81" w14:textId="599C6623" w:rsidR="005715ED" w:rsidRPr="005715ED" w:rsidRDefault="005715ED" w:rsidP="005715ED">
            <w:pPr>
              <w:pStyle w:val="Body"/>
              <w:rPr>
                <w:rFonts w:ascii="Arial" w:eastAsia="Calibri" w:hAnsi="Arial" w:cs="Arial"/>
                <w:b/>
                <w:szCs w:val="22"/>
              </w:rPr>
            </w:pPr>
            <w:r w:rsidRPr="005715ED">
              <w:rPr>
                <w:rFonts w:ascii="Arial" w:eastAsia="Calibri" w:hAnsi="Arial" w:cs="Arial"/>
                <w:b/>
                <w:szCs w:val="22"/>
              </w:rPr>
              <w:t xml:space="preserve">Results: </w:t>
            </w:r>
            <w:r w:rsidRPr="005715ED">
              <w:rPr>
                <w:rFonts w:ascii="Arial" w:eastAsia="Calibri" w:hAnsi="Arial" w:cs="Arial"/>
                <w:bCs/>
                <w:szCs w:val="22"/>
              </w:rPr>
              <w:t xml:space="preserve">A total of 25 eligible studies, with 27 datasets, comprising 2,697 participants (1,525 </w:t>
            </w:r>
            <w:r w:rsidR="00BF1214">
              <w:rPr>
                <w:rFonts w:ascii="Arial" w:eastAsia="Calibri" w:hAnsi="Arial" w:cs="Arial"/>
                <w:bCs/>
                <w:szCs w:val="22"/>
              </w:rPr>
              <w:t>prostate cancer</w:t>
            </w:r>
            <w:r w:rsidRPr="005715ED">
              <w:rPr>
                <w:rFonts w:ascii="Arial" w:eastAsia="Calibri" w:hAnsi="Arial" w:cs="Arial"/>
                <w:bCs/>
                <w:szCs w:val="22"/>
              </w:rPr>
              <w:t xml:space="preserve"> patients and 1,172 controls) were analyzed. miR-21 demonstrated the highest diagnostic performance, with pooled sensitivity and specificity of 0.87 and 0.86, respectively, and an AUC of 0.92. miR-141 showed slightly lower performance, with an AUC of 0.87. Although less robust, miR-375 still exhibited moderate diagnostic value, yielding an AUC of 0.88. The combination of all three miRNAs achieved an overall diagnostic accuracy of 0.82 for sensitivity and 0.86 for specificity, with an AUC of 0.91. Subgroup analyses revealed that whole blood performed best (AUC = 0.91), albeit with substantial heterogeneity (I² = 91.8%).</w:t>
            </w:r>
            <w:r w:rsidRPr="005715ED">
              <w:rPr>
                <w:rFonts w:ascii="Arial" w:eastAsia="Calibri" w:hAnsi="Arial" w:cs="Arial"/>
                <w:b/>
                <w:szCs w:val="22"/>
              </w:rPr>
              <w:t xml:space="preserve"> </w:t>
            </w:r>
          </w:p>
          <w:p w14:paraId="281FC04E" w14:textId="14105B85" w:rsidR="00505F06" w:rsidRPr="00BA1B01" w:rsidRDefault="005715ED" w:rsidP="005715ED">
            <w:pPr>
              <w:pStyle w:val="Body"/>
              <w:spacing w:after="0"/>
              <w:rPr>
                <w:rFonts w:ascii="Arial" w:eastAsia="Calibri" w:hAnsi="Arial" w:cs="Arial"/>
                <w:szCs w:val="22"/>
              </w:rPr>
            </w:pPr>
            <w:r w:rsidRPr="005715ED">
              <w:rPr>
                <w:rFonts w:ascii="Arial" w:eastAsia="Calibri" w:hAnsi="Arial" w:cs="Arial"/>
                <w:b/>
                <w:szCs w:val="22"/>
              </w:rPr>
              <w:t xml:space="preserve">Conclusion: </w:t>
            </w:r>
            <w:r w:rsidRPr="005715ED">
              <w:rPr>
                <w:rFonts w:ascii="Arial" w:eastAsia="Calibri" w:hAnsi="Arial" w:cs="Arial"/>
                <w:bCs/>
                <w:szCs w:val="22"/>
              </w:rPr>
              <w:t>These findings highlight the strong potential of circulating miRNAs as promising diagnostic tools for prostate cancer, outperforming conventional PSA testing. However, standardized prospective studies remain necessary before clinical implementation can be recommended.</w:t>
            </w:r>
          </w:p>
        </w:tc>
      </w:tr>
    </w:tbl>
    <w:p w14:paraId="44C0A4B7" w14:textId="77777777" w:rsidR="00636EB2" w:rsidRDefault="00636EB2" w:rsidP="00441B6F">
      <w:pPr>
        <w:pStyle w:val="Body"/>
        <w:spacing w:after="0"/>
        <w:rPr>
          <w:rFonts w:ascii="Arial" w:hAnsi="Arial" w:cs="Arial"/>
          <w:i/>
        </w:rPr>
      </w:pPr>
    </w:p>
    <w:p w14:paraId="04030700" w14:textId="62A7DC07" w:rsidR="00790ADA" w:rsidRDefault="00A24E7E" w:rsidP="00441B6F">
      <w:pPr>
        <w:pStyle w:val="Body"/>
        <w:spacing w:after="0"/>
        <w:rPr>
          <w:rFonts w:ascii="Arial" w:hAnsi="Arial" w:cs="Arial"/>
          <w:i/>
        </w:rPr>
      </w:pPr>
      <w:r>
        <w:rPr>
          <w:rFonts w:ascii="Arial" w:hAnsi="Arial" w:cs="Arial"/>
          <w:i/>
        </w:rPr>
        <w:t xml:space="preserve">Keywords: </w:t>
      </w:r>
      <w:r w:rsidR="005715ED" w:rsidRPr="005715ED">
        <w:rPr>
          <w:rFonts w:ascii="Arial" w:hAnsi="Arial" w:cs="Arial"/>
          <w:i/>
        </w:rPr>
        <w:t>Prostate cancer; microRNA; liquid biopsy; diagnosis; meta-analysis.</w:t>
      </w:r>
    </w:p>
    <w:p w14:paraId="733F64B1" w14:textId="77777777" w:rsidR="005715ED" w:rsidRDefault="005715ED" w:rsidP="00441B6F">
      <w:pPr>
        <w:pStyle w:val="Body"/>
        <w:spacing w:after="0"/>
        <w:rPr>
          <w:rFonts w:ascii="Arial" w:hAnsi="Arial" w:cs="Arial"/>
          <w:i/>
        </w:rPr>
      </w:pPr>
    </w:p>
    <w:p w14:paraId="470E733E" w14:textId="77777777" w:rsidR="0024282C" w:rsidRDefault="0024282C" w:rsidP="00441B6F">
      <w:pPr>
        <w:pStyle w:val="Body"/>
        <w:spacing w:after="0"/>
        <w:rPr>
          <w:rFonts w:ascii="Arial" w:hAnsi="Arial" w:cs="Arial"/>
          <w:i/>
          <w:sz w:val="18"/>
        </w:rPr>
      </w:pPr>
    </w:p>
    <w:p w14:paraId="1067FA47" w14:textId="77777777" w:rsidR="00505F06" w:rsidRPr="00A24E7E" w:rsidRDefault="00505F06" w:rsidP="00441B6F">
      <w:pPr>
        <w:pStyle w:val="Body"/>
        <w:spacing w:after="0"/>
        <w:rPr>
          <w:rFonts w:ascii="Arial" w:hAnsi="Arial" w:cs="Arial"/>
          <w:i/>
        </w:rPr>
      </w:pPr>
    </w:p>
    <w:p w14:paraId="7FF926B8" w14:textId="7C66EF74"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p>
    <w:p w14:paraId="144F5223" w14:textId="77777777" w:rsidR="00790ADA" w:rsidRPr="00FB3A86" w:rsidRDefault="00790ADA" w:rsidP="00441B6F">
      <w:pPr>
        <w:pStyle w:val="AbstHead"/>
        <w:spacing w:after="0"/>
        <w:jc w:val="both"/>
        <w:rPr>
          <w:rFonts w:ascii="Arial" w:hAnsi="Arial" w:cs="Arial"/>
        </w:rPr>
      </w:pPr>
    </w:p>
    <w:p w14:paraId="4B57F34E" w14:textId="7D0CC1B2" w:rsidR="008F5B7F" w:rsidRPr="008F5B7F" w:rsidRDefault="008F5B7F" w:rsidP="008F5B7F">
      <w:pPr>
        <w:pStyle w:val="Body"/>
        <w:rPr>
          <w:rFonts w:ascii="Arial" w:hAnsi="Arial" w:cs="Arial"/>
        </w:rPr>
      </w:pPr>
      <w:r w:rsidRPr="008F5B7F">
        <w:rPr>
          <w:rFonts w:ascii="Arial" w:hAnsi="Arial" w:cs="Arial"/>
        </w:rPr>
        <w:t>Prostate cancer (</w:t>
      </w:r>
      <w:proofErr w:type="spellStart"/>
      <w:r w:rsidRPr="008F5B7F">
        <w:rPr>
          <w:rFonts w:ascii="Arial" w:hAnsi="Arial" w:cs="Arial"/>
        </w:rPr>
        <w:t>PCa</w:t>
      </w:r>
      <w:proofErr w:type="spellEnd"/>
      <w:r w:rsidRPr="008F5B7F">
        <w:rPr>
          <w:rFonts w:ascii="Arial" w:hAnsi="Arial" w:cs="Arial"/>
        </w:rPr>
        <w:t xml:space="preserve">) is one of the most common malignancies in men, with marked geographical disparities in incidence and outcomes. In contrast, mortality rates are particularly high in the Caribbean and sub-Saharan Africa, highlighting disparities in access to screening and early treatment </w:t>
      </w:r>
      <w:r w:rsidR="00C12CF0">
        <w:rPr>
          <w:rFonts w:ascii="Arial" w:hAnsi="Arial" w:cs="Arial"/>
        </w:rPr>
        <w:fldChar w:fldCharType="begin"/>
      </w:r>
      <w:r w:rsidR="00F669DC">
        <w:rPr>
          <w:rFonts w:ascii="Arial" w:hAnsi="Arial" w:cs="Arial"/>
        </w:rPr>
        <w:instrText xml:space="preserve"> ADDIN ZOTERO_ITEM CSL_CITATION {"citationID":"a2i0dlj9jd9","properties":{"formattedCitation":"(Bray et al., 2024)","plainCitation":"(Bray et al., 2024)","noteIndex":0},"citationItems":[{"id":575,"uris":["http://zotero.org/users/3583561/items/NSSP9MCJ"],"itemData":{"id":575,"type":"article-journal","abstract":"Abstract\n            This article presents global cancer statistics by world region for the year 2022 based on updated estimates from the International Agency for Research on Cancer (IARC). There were close to 20 million new cases of cancer in the year 2022 (including nonmelanoma skin cancers [NMSCs]) alongside 9.7 million deaths from cancer (including NMSC). The estimates suggest that approximately one in five men or women develop cancer in a lifetime, whereas around one in nine men and one in 12 women die from it. Lung cancer was the most frequently diagnosed cancer in 2022, responsible for almost 2.5 million new cases, or one in eight cancers worldwide (12.4% of all cancers globally), followed by cancers of the female breast (11.6%), colorectum (9.6%), prostate (7.3%), and stomach (4.9%). Lung cancer was also the leading cause of cancer death, with an estimated 1.8 million deaths (18.7%), followed by colorectal (9.3%), liver (7.8%), female breast (6.9%), and stomach (6.8%) cancers. Breast cancer and lung cancer were the most frequent cancers in women and men, respectively (both cases and deaths). Incidence rates (including NMSC) varied from four</w:instrText>
      </w:r>
      <w:r w:rsidR="00F669DC">
        <w:rPr>
          <w:rFonts w:ascii="Cambria Math" w:hAnsi="Cambria Math" w:cs="Cambria Math"/>
        </w:rPr>
        <w:instrText>‐</w:instrText>
      </w:r>
      <w:r w:rsidR="00F669DC">
        <w:rPr>
          <w:rFonts w:ascii="Arial" w:hAnsi="Arial" w:cs="Arial"/>
        </w:rPr>
        <w:instrText>fold to five</w:instrText>
      </w:r>
      <w:r w:rsidR="00F669DC">
        <w:rPr>
          <w:rFonts w:ascii="Cambria Math" w:hAnsi="Cambria Math" w:cs="Cambria Math"/>
        </w:rPr>
        <w:instrText>‐</w:instrText>
      </w:r>
      <w:r w:rsidR="00F669DC">
        <w:rPr>
          <w:rFonts w:ascii="Arial" w:hAnsi="Arial" w:cs="Arial"/>
        </w:rPr>
        <w:instrText>fold across world regions, from over 500 in Australia/New Zealand (507.9 per 100,000) to under 100 in Western Africa (97.1 per 100,000) among men, and from over 400 in Australia/New Zealand (410.5 per 100,000) to close to 100 in South</w:instrText>
      </w:r>
      <w:r w:rsidR="00F669DC">
        <w:rPr>
          <w:rFonts w:ascii="Cambria Math" w:hAnsi="Cambria Math" w:cs="Cambria Math"/>
        </w:rPr>
        <w:instrText>‐</w:instrText>
      </w:r>
      <w:r w:rsidR="00F669DC">
        <w:rPr>
          <w:rFonts w:ascii="Arial" w:hAnsi="Arial" w:cs="Arial"/>
        </w:rPr>
        <w:instrText>Central Asia (103.3 per 100,000) among women. The authors examine the geographic variability across 20 world regions for the 10 leading cancer types, discussing recent trends, the underlying determinants, and the prospects for global cancer prevention and control. With demographics</w:instrText>
      </w:r>
      <w:r w:rsidR="00F669DC">
        <w:rPr>
          <w:rFonts w:ascii="Cambria Math" w:hAnsi="Cambria Math" w:cs="Cambria Math"/>
        </w:rPr>
        <w:instrText>‐</w:instrText>
      </w:r>
      <w:r w:rsidR="00F669DC">
        <w:rPr>
          <w:rFonts w:ascii="Arial" w:hAnsi="Arial" w:cs="Arial"/>
        </w:rPr>
        <w:instrText xml:space="preserve">based predictions indicating that the number of new cases of cancer will reach 35 million by 2050, investments in prevention, including the targeting of key risk factors for cancer (including smoking, overweight and obesity, and infection), could avert millions of future cancer diagnoses and save many lives worldwide, bringing huge economic as well as societal dividends to countries over the forthcoming decades.","container-title":"CA: A Cancer Journal for Clinicians","DOI":"10.3322/caac.21834","ISSN":"0007-9235, 1542-4863","journalAbbreviation":"CA A Cancer J Clinicians","language":"en","page":"caac.21834","source":"DOI.org (Crossref)","title":"Global cancer statistics 2022: GLOBOCAN estimates of incidence and mortality worldwide for 36 cancers in 185 countries","title-short":"Global cancer statistics 2022","URL":"https://acsjournals.onlinelibrary.wiley.com/doi/10.3322/caac.21834","author":[{"family":"Bray","given":"Freddie"},{"family":"Laversanne","given":"Mathieu"},{"family":"Sung","given":"Hyuna"},{"family":"Ferlay","given":"Jacques"},{"family":"Siegel","given":"Rebecca L."},{"family":"Soerjomataram","given":"Isabelle"},{"family":"Jemal","given":"Ahmedin"}],"accessed":{"date-parts":[["2024",4,28]]},"issued":{"date-parts":[["2024",4,4]]}}}],"schema":"https://github.com/citation-style-language/schema/raw/master/csl-citation.json"} </w:instrText>
      </w:r>
      <w:r w:rsidR="00C12CF0">
        <w:rPr>
          <w:rFonts w:ascii="Arial" w:hAnsi="Arial" w:cs="Arial"/>
        </w:rPr>
        <w:fldChar w:fldCharType="separate"/>
      </w:r>
      <w:r w:rsidR="00F669DC" w:rsidRPr="00F669DC">
        <w:rPr>
          <w:rFonts w:ascii="Arial" w:hAnsi="Arial" w:cs="Arial"/>
        </w:rPr>
        <w:t>(Bray et al., 2024)</w:t>
      </w:r>
      <w:r w:rsidR="00C12CF0">
        <w:rPr>
          <w:rFonts w:ascii="Arial" w:hAnsi="Arial" w:cs="Arial"/>
        </w:rPr>
        <w:fldChar w:fldCharType="end"/>
      </w:r>
      <w:r w:rsidRPr="008F5B7F">
        <w:rPr>
          <w:rFonts w:ascii="Arial" w:hAnsi="Arial" w:cs="Arial"/>
        </w:rPr>
        <w:t xml:space="preserve">. When diagnosed at a localized stage, </w:t>
      </w:r>
      <w:proofErr w:type="spellStart"/>
      <w:r w:rsidRPr="008F5B7F">
        <w:rPr>
          <w:rFonts w:ascii="Arial" w:hAnsi="Arial" w:cs="Arial"/>
        </w:rPr>
        <w:t>PCa</w:t>
      </w:r>
      <w:proofErr w:type="spellEnd"/>
      <w:r w:rsidRPr="008F5B7F">
        <w:rPr>
          <w:rFonts w:ascii="Arial" w:hAnsi="Arial" w:cs="Arial"/>
        </w:rPr>
        <w:t xml:space="preserve"> demonstrates a five-year relative survival rate approaching 100%, underscoring the critical importance of early screening for improving both survival outcomes and quality of life </w:t>
      </w:r>
      <w:r w:rsidR="00C12CF0">
        <w:rPr>
          <w:rFonts w:ascii="Arial" w:hAnsi="Arial" w:cs="Arial"/>
        </w:rPr>
        <w:fldChar w:fldCharType="begin"/>
      </w:r>
      <w:r w:rsidR="00F669DC">
        <w:rPr>
          <w:rFonts w:ascii="Arial" w:hAnsi="Arial" w:cs="Arial"/>
        </w:rPr>
        <w:instrText xml:space="preserve"> ADDIN ZOTERO_ITEM CSL_CITATION {"citationID":"a1i5i16r6aq","properties":{"formattedCitation":"(Bryzgunova et al., 2019)","plainCitation":"(Bryzgunova et al., 2019)","noteIndex":0},"citationItems":[{"id":496,"uris":["http://zotero.org/users/3583561/items/FP5UPTAX"],"itemData":{"id":496,"type":"article-journal","abstract":"Urine of prostate cancer (PCa) carries miRNAs originated from prostate cancer cells as a part of both nucleoprotein complexes and cell-secreted extracellular vesicles. The analysis of such miRNA-markers in urine can be a convenient option for PCa screening. The aims of this study were to reveal miRNA-markers of PCa in urine and design a robust and precise diagnostic test, based on miRNA expression analysis. The expression analysis of the 84 miRNAs in paired urine extracellular vesicles (EVs) and cell free urine supernatant samples from healthy donors, patients with benign and malignant prostate tumours was done using miRCURY LNA miRNA qPCR Panels (Exiqon, Denmark). Sets of miRNAs differentially expressed between the donor groups were found in urine EVs and urine supernatant. Diagnostically significant miRNAs were selected and algorithm of data analysis, based on expression data on 24-miRNA in urine and obtained using 17 analytical systems, was designed. The developed algorithm of data analysis describes a series of steps necessary to define cut-off values and sequentially analyze miRNA expression data according to the cut-offs to facilitate classification of subjects in case/control groups and allows to detect PCa patients with 97.5% accuracy.","container-title":"PloS One","DOI":"10.1371/journal.pone.0215003","ISSN":"1932-6203","issue":"4","journalAbbreviation":"PLoS One","language":"eng","note":"PMID: 30970027\nPMCID: PMC6457524","page":"e0215003","source":"PubMed","title":"Data analysis algorithm for the development of extracellular miRNA-based diagnostic systems for prostate cancer","volume":"14","author":[{"family":"Bryzgunova","given":"O. E."},{"family":"Zaporozhchenko","given":"I. A."},{"family":"Lekchnov","given":"E. A."},{"family":"Amelina","given":"E. V."},{"family":"Konoshenko","given":"M. Yu"},{"family":"Yarmoschuk","given":"S. V."},{"family":"Pashkovskaya","given":"O. A."},{"family":"Zheravin","given":"A. A."},{"family":"Pak","given":"S. V."},{"family":"Rykova","given":"E. Yu"},{"family":"Laktionov","given":"P. P."}],"issued":{"date-parts":[["2019"]]}}}],"schema":"https://github.com/citation-style-language/schema/raw/master/csl-citation.json"} </w:instrText>
      </w:r>
      <w:r w:rsidR="00C12CF0">
        <w:rPr>
          <w:rFonts w:ascii="Arial" w:hAnsi="Arial" w:cs="Arial"/>
        </w:rPr>
        <w:fldChar w:fldCharType="separate"/>
      </w:r>
      <w:r w:rsidR="00F669DC" w:rsidRPr="00F669DC">
        <w:rPr>
          <w:rFonts w:ascii="Arial" w:hAnsi="Arial" w:cs="Arial"/>
        </w:rPr>
        <w:t>(Bryzgunova et al., 2019)</w:t>
      </w:r>
      <w:r w:rsidR="00C12CF0">
        <w:rPr>
          <w:rFonts w:ascii="Arial" w:hAnsi="Arial" w:cs="Arial"/>
        </w:rPr>
        <w:fldChar w:fldCharType="end"/>
      </w:r>
      <w:r w:rsidRPr="008F5B7F">
        <w:rPr>
          <w:rFonts w:ascii="Arial" w:hAnsi="Arial" w:cs="Arial"/>
        </w:rPr>
        <w:t>.</w:t>
      </w:r>
    </w:p>
    <w:p w14:paraId="081DE410" w14:textId="57458AA5" w:rsidR="008F5B7F" w:rsidRPr="00F669DC" w:rsidRDefault="008F5B7F" w:rsidP="008F5B7F">
      <w:pPr>
        <w:pStyle w:val="Body"/>
        <w:rPr>
          <w:rFonts w:ascii="Arial" w:hAnsi="Arial" w:cs="Arial"/>
        </w:rPr>
      </w:pPr>
      <w:r w:rsidRPr="008F5B7F">
        <w:rPr>
          <w:rFonts w:ascii="Arial" w:hAnsi="Arial" w:cs="Arial"/>
        </w:rPr>
        <w:t xml:space="preserve">Current screening primarily relies on digital rectal examination, ultrasonography, and most notably prostate-specific antigen (PSA) testing. Although widely adopted since the 1990s, PSA testing suffers from limited specificity </w:t>
      </w:r>
      <w:r w:rsidR="00C12CF0">
        <w:rPr>
          <w:rFonts w:ascii="Arial" w:hAnsi="Arial" w:cs="Arial"/>
        </w:rPr>
        <w:fldChar w:fldCharType="begin"/>
      </w:r>
      <w:r w:rsidR="00F669DC">
        <w:rPr>
          <w:rFonts w:ascii="Arial" w:hAnsi="Arial" w:cs="Arial"/>
        </w:rPr>
        <w:instrText xml:space="preserve"> ADDIN ZOTERO_ITEM CSL_CITATION {"citationID":"ar9k5s1d8v","properties":{"formattedCitation":"(Daniyal et al., 2014)","plainCitation":"(Daniyal et al., 2014)","noteIndex":0},"citationItems":[{"id":131,"uris":["http://zotero.org/users/3583561/items/2YY5Y47U"],"itemData":{"id":131,"type":"article-journal","abstract":"Prostate cancer is more common in men over the age of 65 years. There are 15% cases with positive family history of prostate cancer Worldwide. Prostate cancer is the second leading cause of death among the U.S. men. Prostate cancer incidence is strongly related to age with the highest rates in older man. Globally millions of people are suffering from this disease. This study aims to provide awareness about prostate cancer as well as an updated knowledge about the epidemiology, etiology, diagnosis and treatment of prostate cancer.","container-title":"Asian Pacific journal of cancer prevention: APJCP","DOI":"10.7314/apjcp.2014.15.22.9575","ISSN":"2476-762X","issue":"22","journalAbbreviation":"Asian Pac. J. Cancer Prev.","language":"eng","note":"PMID: 25520069","page":"9575-9578","source":"PubMed","title":"Epidemiology, etiology, diagnosis and treatment of prostate cancer","volume":"15","author":[{"family":"Daniyal","given":"Muhammad"},{"family":"Siddiqui","given":"Zamir Ali"},{"family":"Akram","given":"Muhammad"},{"family":"Asif","given":"H. M."},{"family":"Sultana","given":"Sabira"},{"family":"Khan","given":"Asmatullah"}],"issued":{"date-parts":[["2014"]]}}}],"schema":"https://github.com/citation-style-language/schema/raw/master/csl-citation.json"} </w:instrText>
      </w:r>
      <w:r w:rsidR="00C12CF0">
        <w:rPr>
          <w:rFonts w:ascii="Arial" w:hAnsi="Arial" w:cs="Arial"/>
        </w:rPr>
        <w:fldChar w:fldCharType="separate"/>
      </w:r>
      <w:r w:rsidR="00F669DC" w:rsidRPr="00F669DC">
        <w:rPr>
          <w:rFonts w:ascii="Arial" w:hAnsi="Arial" w:cs="Arial"/>
        </w:rPr>
        <w:t>(Daniyal et al., 2014)</w:t>
      </w:r>
      <w:r w:rsidR="00C12CF0">
        <w:rPr>
          <w:rFonts w:ascii="Arial" w:hAnsi="Arial" w:cs="Arial"/>
        </w:rPr>
        <w:fldChar w:fldCharType="end"/>
      </w:r>
      <w:r w:rsidRPr="008F5B7F">
        <w:rPr>
          <w:rFonts w:ascii="Arial" w:hAnsi="Arial" w:cs="Arial"/>
        </w:rPr>
        <w:t xml:space="preserve">. At the conventional 4 ng/mL threshold, its sensitivity drops to 20.5%, resulting in a high false-positive rate, an estimated 75% overdiagnosis rate, and frequent unnecessary invasive biopsies </w:t>
      </w:r>
      <w:r w:rsidR="00C12CF0">
        <w:rPr>
          <w:rFonts w:ascii="Arial" w:hAnsi="Arial" w:cs="Arial"/>
        </w:rPr>
        <w:fldChar w:fldCharType="begin"/>
      </w:r>
      <w:r w:rsidR="00F669DC">
        <w:rPr>
          <w:rFonts w:ascii="Arial" w:hAnsi="Arial" w:cs="Arial"/>
        </w:rPr>
        <w:instrText xml:space="preserve"> ADDIN ZOTERO_ITEM CSL_CITATION {"citationID":"a42l96jdl1","properties":{"formattedCitation":"(Bill-Axelson et al., 2008; Nogueira et al., 2009)","plainCitation":"(Bill-Axelson et al., 2008; Nogueira et al., 2009)","noteIndex":0},"citationItems":[{"id":90,"uris":["http://zotero.org/users/3583561/items/IIN7R9W8"],"itemData":{"id":90,"type":"article-journal","abstract":"Background\nThe benefit of radical prostatectomy in patients with early prostate cancer has been assessed in only one randomized trial. In 2005, we reported that radical prostatectomy improved prostate cancer survival compared with watchful waiting after a median of 8.2 years of follow-up. We now report results after 3 more years of follow-up.\n\nMethods\nFrom October 1, 1989, through February 28, 1999, 695 men with clinically localized prostate cancer were randomly assigned to radical prostatectomy (n = 347) or watchful waiting (n = 348). Follow-up was complete through December 31, 2006, with histopathologic review and blinded evaluation of causes of death. Relative risks (RRs) were estimated using the Cox proportional hazards model. Statistical tests were two-sided.\n\nResults\nDuring a median of 10.8 years of follow-up (range = 3 weeks to 17.2 years), 137 men in the surgery group and 156 in the watchful waiting group died (P = .09). For 47 of the 347 men (13.5%) who were randomly assigned to surgery and 68 of the 348 men (19.5%) who were not, death was due to prostate cancer. The difference in cumulative incidence of death due to prostate cancer remained stable after about 10 years of follow-up. At 12 years, 12.5% of the surgery group and 17.9% of the watchful waiting group had died of prostate cancer (difference = 5.4%, 95% confidence interval [CI] = 0.2 to 11.1%), for a relative risk of 0.65 (95% CI = 0.45 to 0.94; P = .03). The difference in cumulative incidence of distant metastases did not increase beyond 10 years of follow-up. At 12 years, 19.3% of men in the surgery group and 26% of men in the watchful waiting group had been diagnosed with distant metastases (difference = 6.7%, 95% CI = 0.2 to 13.2%), for a relative risk of 0.65 (95% CI = 0.47 to 0.88; P = .006). Among men who underwent radical prostatectomy, those with extracapsular tumor growth had 14 times the risk of prostate cancer death as those without it (RR = 14.2, 95% CI = 3.3 to 61.8; P &lt; .001).\n\nConclusion\nRadical prostatectomy reduces prostate cancer mortality and risk of metastases with little or no further increase in benefit 10 or more years after surgery.","container-title":"JNCI Journal of the National Cancer Institute","DOI":"10.1093/jnci/djn255","ISSN":"0027-8874","issue":"16","journalAbbreviation":"J Natl Cancer Inst","note":"PMID: 18695132\nPMCID: PMC2518167","page":"1144-1154","source":"PubMed Central","title":"Radical Prostatectomy Versus Watchful Waiting in Localized Prostate Cancer: the Scandinavian Prostate Cancer Group-4 Randomized Trial","title-short":"Radical Prostatectomy Versus Watchful Waiting in Localized Prostate Cancer","URL":"https://www.ncbi.nlm.nih.gov/pmc/articles/PMC2518167/","volume":"100","author":[{"family":"Bill-Axelson","given":"Anna"},{"family":"Holmberg","given":"Lars"},{"family":"Filén","given":"Frej"},{"family":"Ruutu","given":"Mirja"},{"family":"Garmo","given":"Hans"},{"family":"Busch","given":"Christer"},{"family":"Nordling","given":"Stig"},{"family":"Häggman","given":"Michael"},{"family":"Andersson","given":"Swen-Olof"},{"family":"Bratell","given":"Stefan"},{"family":"Spångberg","given":"Anders"},{"family":"Palmgren","given":"Juni"},{"family":"Adami","given":"Hans-Olov"},{"family":"Johansson","given":"Jan-Erik"}],"accessed":{"date-parts":[["2023",1,13]]},"issued":{"date-parts":[["2008",8,20]]}}},{"id":40,"uris":["http://zotero.org/users/3583561/items/SGF66W8K"],"itemData":{"id":40,"type":"article-journal","abstract":"Prostate-specific antigen (PSA) has been used for prostate cancer detection since 1994. PSA testing has revolutionized our ability to diagnose, treat, and follow-up patients. In the last two decades, PSA screening has led to a substantial increase in the incidence of prostate cancer (PC). This increased detection caused the incidence of advanced-stage disease to decrease at a dramatic rate, and most newly diagnosed PC today are localized tumors with a high probability of cure. PSA screening is associated with a 75% reduction in the proportion of men who now present with metastatic disease and a 32.5% reduction in the age-adjusted prostate cancer mortality rate through 2003. Although PSA is not a perfect marker, PSA testing has limited specificity for prostate cancer detection, and its appropriate clinical application remains a topic of debate. Due to its widespread use and increased over-detection, the result has been the occurrence of over-treatment of indolent cancers. Accordingly, several variations as regards PSA measurement have emerged as useful adjuncts for prostate cancer screening. These procedures take into consideration additional factors, such as the proportion of different PSA isoforms (free PSA, complexed PSA, pro-PSA and B PSA), the prostate volume (PSA density), and the rate of change in PSA levels over time (PSA velocity or PSA doubling time). The history and evidence underlying each of these parameters are reviewed in the following article.","container-title":"International Braz J Urol: Official Journal of the Brazilian Society of Urology","DOI":"10.1590/s1677-55382009000500003","ISSN":"1677-6119","issue":"5","journalAbbreviation":"Int Braz J Urol","language":"eng","note":"PMID: 19860930","page":"521-529; discussion 530-532","source":"PubMed","title":"Prostatic specific antigen for prostate cancer detection","volume":"35","author":[{"family":"Nogueira","given":"Lucas"},{"family":"Corradi","given":"Renato"},{"family":"Eastham","given":"James A."}],"issued":{"date-parts":[["2009"]]}}}],"schema":"https://github.com/citation-style-language/schema/raw/master/csl-citation.json"} </w:instrText>
      </w:r>
      <w:r w:rsidR="00C12CF0">
        <w:rPr>
          <w:rFonts w:ascii="Arial" w:hAnsi="Arial" w:cs="Arial"/>
        </w:rPr>
        <w:fldChar w:fldCharType="separate"/>
      </w:r>
      <w:r w:rsidR="00F669DC" w:rsidRPr="00F669DC">
        <w:rPr>
          <w:rFonts w:ascii="Arial" w:hAnsi="Arial" w:cs="Arial"/>
        </w:rPr>
        <w:t>(Bill-Axelson et al., 2008; Nogueira et al., 2009)</w:t>
      </w:r>
      <w:r w:rsidR="00C12CF0">
        <w:rPr>
          <w:rFonts w:ascii="Arial" w:hAnsi="Arial" w:cs="Arial"/>
        </w:rPr>
        <w:fldChar w:fldCharType="end"/>
      </w:r>
      <w:r w:rsidRPr="00C12CF0">
        <w:rPr>
          <w:rFonts w:ascii="Arial" w:hAnsi="Arial" w:cs="Arial"/>
        </w:rPr>
        <w:t xml:space="preserve">. </w:t>
      </w:r>
      <w:r w:rsidRPr="008F5B7F">
        <w:rPr>
          <w:rFonts w:ascii="Arial" w:hAnsi="Arial" w:cs="Arial"/>
        </w:rPr>
        <w:t xml:space="preserve">These procedures may lead to complications (pain, infections, hematuria) and significantly impact quality of life </w:t>
      </w:r>
      <w:r w:rsidR="00C12CF0">
        <w:rPr>
          <w:rFonts w:ascii="Arial" w:hAnsi="Arial" w:cs="Arial"/>
        </w:rPr>
        <w:fldChar w:fldCharType="begin"/>
      </w:r>
      <w:r w:rsidR="00F669DC">
        <w:rPr>
          <w:rFonts w:ascii="Arial" w:hAnsi="Arial" w:cs="Arial"/>
        </w:rPr>
        <w:instrText xml:space="preserve"> ADDIN ZOTERO_ITEM CSL_CITATION {"citationID":"albgt87g89","properties":{"formattedCitation":"(Bal\\uc0\\u225{}zs et al., 2021; Rosario et al., 2012)","plainCitation":"(Balázs et al., 2021; Rosario et al., 2012)","noteIndex":0},"citationItems":[{"id":35,"uris":["http://zotero.org/users/3583561/items/UE49RFG5"],"itemData":{"id":35,"type":"article-journal","abstract":"Prostate cancer is among the most frequent cancers in men worldwide. Despite the fact that multiple therapeutic alternatives are available for its treatment, it is often discovered in an advanced stage as a metastatic disease. Prostate cancer screening is based on physical examination of prostate size and prostate-specific antigen (PSA) level in the blood as well as biopsy in suspect cases. However, these markers often fail to correctly identify the presence of cancer, or their positivity might lead to overdiagnosis and consequent overtreatment of an otherwise silent non-progressing disease. Moreover, these markers have very limited if any predictive value regarding therapy response or individual risk for therapy-related toxicities. Therefore, novel, optimally liquid biopsy-based (blood-derived) markers or marker panels are needed, which have better prognostic and predictive value than the ones currently used in the everyday routine. In this review the role of circulating tumour cells, extracellular vesicles and their microRNA content, as well as cellular and soluble immunological and inflammation- related blood markers for prostate cancer diagnosis, prognosis and prediction of therapy response is discussed. A special emphasis is placed on markers predicting response to radiotherapy and radiotherapy-related late side effects.","container-title":"Journal of Personalized Medicine","DOI":"10.3390/jpm11040296","ISSN":"2075-4426","issue":"4","journalAbbreviation":"J Pers Med","note":"PMID: 33924671\nPMCID: PMC8070149","page":"296","source":"PubMed Central","title":"Blood-Derived Biomarkers of Diagnosis, Prognosis and Therapy Response in Prostate Cancer Patients","URL":"https://www.ncbi.nlm.nih.gov/pmc/articles/PMC8070149/","volume":"11","author":[{"family":"Balázs","given":"Katalin"},{"family":"Antal","given":"Lilla"},{"family":"Sáfrány","given":"Géza"},{"family":"Lumniczky","given":"Katalin"}],"accessed":{"date-parts":[["2023",4,30]]},"issued":{"date-parts":[["2021",4,13]]}}},{"id":89,"uris":["http://zotero.org/users/3583561/items/CMIBTUAT"],"itemData":{"id":89,"type":"article-journal","abstract":"Objectives To measure the effect of the adverse events within 35 days of transrectal ultrasound guided biopsy from the perspective of asymptomatic men having prostate specific antigen (PSA) testing; to assess early attitude to re-biopsy; to estimate healthcare resource use associated with adverse events due to biopsy; and to develop a classification scheme for reporting adverse events after prostate biopsy., Design Prospective cohort study (Prostate Biopsy Effects: ProBE) nested within Prostate Testing for Cancer and Treatment (ProtecT) study., Participants Between 1999 and 2008, 227 000 community dwelling men aged 50­69 years were identified at 352 practices and invited to counselling about PSA testing. 111 148 attended a nurse led clinic in the community, and 10 297 with PSA concentrations of 3-20 ng/mL were offered biopsy within ProtecT. Between February 2006 and May 2008, 1147/1753 (65%) eligible men (mean age 62.1 years, mean PSA 5.4 ng/mL) having 10 core transrectal ultrasound guided biopsy under antibiotic cover in the context of ProtecT were recruited to the ProBE study., Outcome measures Purpose designed questionnaire administered at biopsy and 7 and 35 days after the procedure to measure frequency and effect of symptoms related to pain, infection, and bleeding; patients’ attitude to repeat biopsy assessed immediately after biopsy and 7 days later; participants’ healthcare resource use within 35 days of biopsy evaluated by questionnaire, telephone follow-up, and medical note review; each man’s adverse event profile graded according to symptoms and healthcare use., Results Pain was reported by 429/984 (43.6%), fever by 172/985 (17.5%), haematuria by 642/976 (65.8%), haematochezia by 356/967 (36.8%), and haemoejaculate by 605/653 (92.6%) men during the 35 days after biopsy. Fewer men rated these symptoms as a major/moderate problem—71/977 (7.3%) for pain, 54/981 (5.5%) for fever, 59/958 (6.2%) for haematuria, 24/951 (2.5%) for haematochezia, and 172/646 (26.6%) for haemoejaculate. Immediately after biopsy, 124/1142 (10.9%, 95% confidence interval 9.2 to 12.8) men reported that they would consider further biopsy a major or moderate problem: seven days after biopsy, this proportion had increased to 213/1085 (19.6%, 17.4% to 22.1%). A negative attitude to repeat biopsy was associated with unfavourable experience after the first biopsy, particularly pain at biopsy (odds ratio 8.2, P&lt;0.001) and symptoms related to infection (7.9, P&lt;0.001) and bleeding (4.2, P&lt;0.001); differences were evident between centres (P&lt;0.001). 119/1147 (10.4%, 8.7% to 12.3%) men reported consultation with a healthcare professional (usually their general practitioner), most commonly for infective symptoms. Complete data for all index symptoms at all time points were available in 851 participants. Symptoms and healthcare use could be used to grade these men as follows: grade 0 (no symptoms/contact) 18 (2.1%, 1.3% to 3.3%); grade 1 (minor problem/no contact) 550 (64.6%, 61.4% to 67.8%); grade 2 (moderate/major problem or contact) 271 (31.8%, 28.8% to 35.1%); grade 3 (hospital admission) 12 (1.4%, 0.8% to 2.4%); and grade 4 (death) 0. Grade of adverse event was associated with an unfavourable attitude to repeat biopsy (Kendall’s τ-b ordinal by ordinal 0.29, P&lt;0.001)., Conclusion This study with a high response rate of 89% at 35 days in men undergoing biopsy in the context of a randomised controlled trial has shown that although prostate biopsy is well tolerated by most men, it is associated with significant symptoms in a minority and affects attitudes to repeat biopsy and primary care resource use. These findings will inform men who seek PSA testing for detection of prostate cancer and assist their physicians during counselling about the potential risks and effect of biopsy. Variability in the adverse event profile between centres suggests that patients’ outcomes could be improved and healthcare use reduced with more effective administration of local anaesthetic and antibiotics., Trial registration Current Controlled Trials ISRCTN20141297.","container-title":"The BMJ","DOI":"10.1136/bmj.d7894","ISSN":"0959-8138","journalAbbreviation":"BMJ","note":"PMID: 22232535\nPMCID: PMC3253765","page":"d7894","source":"PubMed Central","title":"Short term outcomes of prostate biopsy in men tested for cancer by prostate specific antigen: prospective evaluation within ProtecT study","title-short":"Short term outcomes of prostate biopsy in men tested for cancer by prostate specific antigen","URL":"https://www.ncbi.nlm.nih.gov/pmc/articles/PMC3253765/","volume":"344","author":[{"family":"Rosario","given":"Derek J"},{"family":"Lane","given":"J Athene"},{"family":"Metcalfe","given":"Chris"},{"family":"Donovan","given":"Jenny L"},{"family":"Doble","given":"Andy"},{"family":"Goodwin","given":"Louise"},{"family":"Davis","given":"Michael"},{"family":"Catto","given":"James W F"},{"family":"Avery","given":"Kerry"},{"family":"Neal","given":"David E"},{"family":"Hamdy","given":"Freddie C"}],"accessed":{"date-parts":[["2023",1,13]]},"issued":{"date-parts":[["2012",1,9]]}}}],"schema":"https://github.com/citation-style-language/schema/raw/master/csl-citation.json"} </w:instrText>
      </w:r>
      <w:r w:rsidR="00C12CF0">
        <w:rPr>
          <w:rFonts w:ascii="Arial" w:hAnsi="Arial" w:cs="Arial"/>
        </w:rPr>
        <w:fldChar w:fldCharType="separate"/>
      </w:r>
      <w:r w:rsidR="00F669DC" w:rsidRPr="00F669DC">
        <w:rPr>
          <w:rFonts w:ascii="Arial" w:hAnsi="Arial" w:cs="Arial"/>
        </w:rPr>
        <w:t>(Balázs et al., 2021; Rosario et al., 2012)</w:t>
      </w:r>
      <w:r w:rsidR="00C12CF0">
        <w:rPr>
          <w:rFonts w:ascii="Arial" w:hAnsi="Arial" w:cs="Arial"/>
        </w:rPr>
        <w:fldChar w:fldCharType="end"/>
      </w:r>
      <w:r w:rsidRPr="00F669DC">
        <w:rPr>
          <w:rFonts w:ascii="Arial" w:hAnsi="Arial" w:cs="Arial"/>
        </w:rPr>
        <w:t>.</w:t>
      </w:r>
    </w:p>
    <w:p w14:paraId="7DC2DC6D" w14:textId="29A542C8" w:rsidR="008F5B7F" w:rsidRPr="008F5B7F" w:rsidRDefault="008F5B7F" w:rsidP="008F5B7F">
      <w:pPr>
        <w:pStyle w:val="Body"/>
        <w:rPr>
          <w:rFonts w:ascii="Arial" w:hAnsi="Arial" w:cs="Arial"/>
        </w:rPr>
      </w:pPr>
      <w:r w:rsidRPr="008F5B7F">
        <w:rPr>
          <w:rFonts w:ascii="Arial" w:hAnsi="Arial" w:cs="Arial"/>
        </w:rPr>
        <w:t xml:space="preserve">To develop more accurate and less invasive diagnostic approaches, research has focused on molecular biomarkers, particularly microRNAs (miRNAs). These small non-coding RNA molecules play a key role in post-transcriptional gene expression regulation and are involved in biological processes such as cell proliferation, apoptosis, and differentiation. Their abnormal expression is commonly observed in various cancers, including </w:t>
      </w:r>
      <w:proofErr w:type="spellStart"/>
      <w:r w:rsidRPr="008F5B7F">
        <w:rPr>
          <w:rFonts w:ascii="Arial" w:hAnsi="Arial" w:cs="Arial"/>
        </w:rPr>
        <w:t>PCa</w:t>
      </w:r>
      <w:proofErr w:type="spellEnd"/>
      <w:r w:rsidRPr="008F5B7F">
        <w:rPr>
          <w:rFonts w:ascii="Arial" w:hAnsi="Arial" w:cs="Arial"/>
        </w:rPr>
        <w:t xml:space="preserve"> </w:t>
      </w:r>
      <w:r w:rsidR="00C12CF0">
        <w:rPr>
          <w:rFonts w:ascii="Arial" w:hAnsi="Arial" w:cs="Arial"/>
        </w:rPr>
        <w:fldChar w:fldCharType="begin"/>
      </w:r>
      <w:r w:rsidR="00F669DC">
        <w:rPr>
          <w:rFonts w:ascii="Arial" w:hAnsi="Arial" w:cs="Arial"/>
        </w:rPr>
        <w:instrText xml:space="preserve"> ADDIN ZOTERO_ITEM CSL_CITATION {"citationID":"a24ui7q8le5","properties":{"formattedCitation":"(Di Leva et al., 2014)","plainCitation":"(Di Leva et al., 2014)","noteIndex":0},"citationItems":[{"id":95,"uris":["http://zotero.org/users/3583561/items/DNSIP2ZQ"],"itemData":{"id":95,"type":"article-journal","abstract":"MicroRNAs are small non coding RNAs that typically inhibit the translation and stability of messanger RNAs (mRNAs), controlling genes involved in cellular processes such as inflammation, cell cycle regulation, stress response, differentiation, apoptosis, and migration. Thus, miRNAs have been implicated in the regulation of virtually all signaling circuits within a cell and their dysregulation has been shown to play an essential role in the development and progression of cancer. Here, after a brief description of the miRNA genomics, biogenesis and function, we discuss the effects of miRNA deregulation in the cellular pathways that lead to the progressive conversion of normal cells into cancer cells and the potential to develop new molecular miRNA-targeted therapies.","container-title":"Annual review of pathology","DOI":"10.1146/annurev-pathol-012513-104715","ISSN":"1553-4006","journalAbbreviation":"Annu Rev Pathol","note":"PMID: 24079833\nPMCID: PMC4009396","page":"287-314","source":"PubMed Central","title":"microRNAs in cancer","URL":"https://www.ncbi.nlm.nih.gov/pmc/articles/PMC4009396/","volume":"9","author":[{"family":"Di Leva","given":"Gianpiero"},{"family":"Garofalo","given":"Michela"},{"family":"Croce","given":"Carlo M."}],"accessed":{"date-parts":[["2023",1,12]]},"issued":{"date-parts":[["2014"]]}}}],"schema":"https://github.com/citation-style-language/schema/raw/master/csl-citation.json"} </w:instrText>
      </w:r>
      <w:r w:rsidR="00C12CF0">
        <w:rPr>
          <w:rFonts w:ascii="Arial" w:hAnsi="Arial" w:cs="Arial"/>
        </w:rPr>
        <w:fldChar w:fldCharType="separate"/>
      </w:r>
      <w:r w:rsidR="00F669DC" w:rsidRPr="00F669DC">
        <w:rPr>
          <w:rFonts w:ascii="Arial" w:hAnsi="Arial" w:cs="Arial"/>
        </w:rPr>
        <w:t>(Di Leva et al., 2014)</w:t>
      </w:r>
      <w:r w:rsidR="00C12CF0">
        <w:rPr>
          <w:rFonts w:ascii="Arial" w:hAnsi="Arial" w:cs="Arial"/>
        </w:rPr>
        <w:fldChar w:fldCharType="end"/>
      </w:r>
      <w:r w:rsidRPr="008F5B7F">
        <w:rPr>
          <w:rFonts w:ascii="Arial" w:hAnsi="Arial" w:cs="Arial"/>
        </w:rPr>
        <w:t>.</w:t>
      </w:r>
    </w:p>
    <w:p w14:paraId="378F3EA7" w14:textId="4C97252D" w:rsidR="008F5B7F" w:rsidRPr="008F5B7F" w:rsidRDefault="008F5B7F" w:rsidP="008F5B7F">
      <w:pPr>
        <w:pStyle w:val="Body"/>
        <w:rPr>
          <w:rFonts w:ascii="Arial" w:hAnsi="Arial" w:cs="Arial"/>
        </w:rPr>
      </w:pPr>
      <w:r w:rsidRPr="008F5B7F">
        <w:rPr>
          <w:rFonts w:ascii="Arial" w:hAnsi="Arial" w:cs="Arial"/>
        </w:rPr>
        <w:t>miRNAs play a dual role in tumor development: oncogenic miRNAs (</w:t>
      </w:r>
      <w:proofErr w:type="spellStart"/>
      <w:r w:rsidRPr="008F5B7F">
        <w:rPr>
          <w:rFonts w:ascii="Arial" w:hAnsi="Arial" w:cs="Arial"/>
        </w:rPr>
        <w:t>oncomiRs</w:t>
      </w:r>
      <w:proofErr w:type="spellEnd"/>
      <w:r w:rsidRPr="008F5B7F">
        <w:rPr>
          <w:rFonts w:ascii="Arial" w:hAnsi="Arial" w:cs="Arial"/>
        </w:rPr>
        <w:t>) and tumor-suppressor miRNAs (</w:t>
      </w:r>
      <w:proofErr w:type="spellStart"/>
      <w:r w:rsidRPr="008F5B7F">
        <w:rPr>
          <w:rFonts w:ascii="Arial" w:hAnsi="Arial" w:cs="Arial"/>
        </w:rPr>
        <w:t>tsmiRs</w:t>
      </w:r>
      <w:proofErr w:type="spellEnd"/>
      <w:r w:rsidRPr="008F5B7F">
        <w:rPr>
          <w:rFonts w:ascii="Arial" w:hAnsi="Arial" w:cs="Arial"/>
        </w:rPr>
        <w:t xml:space="preserve">). </w:t>
      </w:r>
      <w:proofErr w:type="spellStart"/>
      <w:r w:rsidRPr="008F5B7F">
        <w:rPr>
          <w:rFonts w:ascii="Arial" w:hAnsi="Arial" w:cs="Arial"/>
        </w:rPr>
        <w:t>OncomiRs</w:t>
      </w:r>
      <w:proofErr w:type="spellEnd"/>
      <w:r w:rsidRPr="008F5B7F">
        <w:rPr>
          <w:rFonts w:ascii="Arial" w:hAnsi="Arial" w:cs="Arial"/>
        </w:rPr>
        <w:t xml:space="preserve"> promote cancer development by upregulating oncogene expression and/or downregulating tumor suppressor genes </w:t>
      </w:r>
      <w:r w:rsidR="00C12CF0">
        <w:rPr>
          <w:rFonts w:ascii="Arial" w:hAnsi="Arial" w:cs="Arial"/>
        </w:rPr>
        <w:fldChar w:fldCharType="begin"/>
      </w:r>
      <w:r w:rsidR="00F669DC">
        <w:rPr>
          <w:rFonts w:ascii="Arial" w:hAnsi="Arial" w:cs="Arial"/>
        </w:rPr>
        <w:instrText xml:space="preserve"> ADDIN ZOTERO_ITEM CSL_CITATION {"citationID":"a26oikhdq9f","properties":{"formattedCitation":"(Liu et al., 2013)","plainCitation":"(Liu et al., 2013)","noteIndex":0},"citationItems":[{"id":64,"uris":["http://zotero.org/users/3583561/items/ZRSYXRPF"],"itemData":{"id":64,"type":"article-journal","abstract":"Similar to protein-coding genes, miRNAs are also susceptible to epigenetic modulation. Although numerous miRNAs have been shown to be affected by DNA methylation, the regulatory mechanism of histone modification on miRNA is not adequately understood. EZH2 and HDACs were recently identified as critical histone modifiers of deregulated miRNAs in cancer and can be recruited to a miRNA promoter by transcription factors such as MYC. Because miRNAs can modulate epigenetic architecture and can be regulated by epigenetic alteration, they could reasonably play an important role in mediating the crosstalk between epigenetic regulators. The complicated network between miRNAs and epigenetic machineries underlies the epigenetic–miRNA regulatory pathway, which is important in monitoring gene expression profiles. Regulation of miRNAs by inducing epigenetic changes reveals promising avenues for the design of innovative strategies in the fight against human cancer.","container-title":"Journal of Experimental &amp; Clinical Cancer Research","DOI":"10.1186/1756-9966-32-96","ISSN":"1756-9966","issue":"1","journalAbbreviation":"J Exp Clin Cancer Res","language":"en","page":"96","source":"Springer Link","title":"Regulation of microRNAs by epigenetics and their interplay involved in cancer","URL":"https://doi.org/10.1186/1756-9966-32-96","volume":"32","author":[{"family":"Liu","given":"Xiaolan"},{"family":"Chen","given":"Xiaoyan"},{"family":"Yu","given":"Xinfang"},{"family":"Tao","given":"Yongguang"},{"family":"Bode","given":"Ann M."},{"family":"Dong","given":"Zigang"},{"family":"Cao","given":"Ya"}],"accessed":{"date-parts":[["2023",4,26]]},"issued":{"date-parts":[["2013",11,22]]}}}],"schema":"https://github.com/citation-style-language/schema/raw/master/csl-citation.json"} </w:instrText>
      </w:r>
      <w:r w:rsidR="00C12CF0">
        <w:rPr>
          <w:rFonts w:ascii="Arial" w:hAnsi="Arial" w:cs="Arial"/>
        </w:rPr>
        <w:fldChar w:fldCharType="separate"/>
      </w:r>
      <w:r w:rsidR="00F669DC" w:rsidRPr="00F669DC">
        <w:rPr>
          <w:rFonts w:ascii="Arial" w:hAnsi="Arial" w:cs="Arial"/>
        </w:rPr>
        <w:t>(Liu et al., 2013)</w:t>
      </w:r>
      <w:r w:rsidR="00C12CF0">
        <w:rPr>
          <w:rFonts w:ascii="Arial" w:hAnsi="Arial" w:cs="Arial"/>
        </w:rPr>
        <w:fldChar w:fldCharType="end"/>
      </w:r>
      <w:r w:rsidRPr="008F5B7F">
        <w:rPr>
          <w:rFonts w:ascii="Arial" w:hAnsi="Arial" w:cs="Arial"/>
        </w:rPr>
        <w:t xml:space="preserve">. miRNA expression profiling has revolutionized </w:t>
      </w:r>
      <w:proofErr w:type="spellStart"/>
      <w:r w:rsidRPr="008F5B7F">
        <w:rPr>
          <w:rFonts w:ascii="Arial" w:hAnsi="Arial" w:cs="Arial"/>
        </w:rPr>
        <w:t>PCa</w:t>
      </w:r>
      <w:proofErr w:type="spellEnd"/>
      <w:r w:rsidRPr="008F5B7F">
        <w:rPr>
          <w:rFonts w:ascii="Arial" w:hAnsi="Arial" w:cs="Arial"/>
        </w:rPr>
        <w:t xml:space="preserve"> diagnosis with improved specificity, as it provides insights into tumor lineage, cancer stage, and tumor grade </w:t>
      </w:r>
      <w:r w:rsidR="00C12CF0">
        <w:rPr>
          <w:rFonts w:ascii="Arial" w:hAnsi="Arial" w:cs="Arial"/>
        </w:rPr>
        <w:fldChar w:fldCharType="begin"/>
      </w:r>
      <w:r w:rsidR="00F669DC">
        <w:rPr>
          <w:rFonts w:ascii="Arial" w:hAnsi="Arial" w:cs="Arial"/>
        </w:rPr>
        <w:instrText xml:space="preserve"> ADDIN ZOTERO_ITEM CSL_CITATION {"citationID":"a1n6cpao4rr","properties":{"formattedCitation":"(Lu et al., 2005)","plainCitation":"(Lu et al., 2005)","noteIndex":0},"citationItems":[{"id":56,"uris":["http://zotero.org/users/3583561/items/XCLG3FJP"],"itemData":{"id":56,"type":"article-journal","abstract":"MicroRNAs are regulatory, non-coding RNAs about 22 nucleotides in length: over 200 have been identified in humans, and their functions are beginning to be pinned down. It has been suggested that like other regulatory molecules they might be involved in tumour formation, and three papers in this issue confirm that this is the case. One cluster of microRNAs, known as mir-17–92, is shown to be a potential oncogene by its action in an in vivo model of human B-cell lymphoma. A cluster of microRNAs on human chromosome 13 has been found to be regulated by c-Myc, an important transcription factor that is overexpressed in many human cancers. And analysis of microRNA expression in over 300 individuals shows that microRNA profiles could be of value in cancer diagnosis. There is a global downregulation of microRNA in tumours, and the microRNA profile also reflects the origin and differentiation state of the tumours.","container-title":"Nature","DOI":"10.1038/nature03702","ISSN":"1476-4687","issue":"7043","language":"en","license":"2005 Macmillan Magazines Ltd.","note":"number: 7043\npublisher: Nature Publishing Group","page":"834-838","source":"www.nature.com","title":"MicroRNA expression profiles classify human cancers","URL":"https://www.nature.com/articles/nature03702","volume":"435","author":[{"family":"Lu","given":"Jun"},{"family":"Getz","given":"Gad"},{"family":"Miska","given":"Eric A."},{"family":"Alvarez-Saavedra","given":"Ezequiel"},{"family":"Lamb","given":"Justin"},{"family":"Peck","given":"David"},{"family":"Sweet-Cordero","given":"Alejandro"},{"family":"Ebert","given":"Benjamin L."},{"family":"Mak","given":"Raymond H."},{"family":"Ferrando","given":"Adolfo A."},{"family":"Downing","given":"James R."},{"family":"Jacks","given":"Tyler"},{"family":"Horvitz","given":"H. Robert"},{"family":"Golub","given":"Todd R."}],"accessed":{"date-parts":[["2023",4,28]]},"issued":{"date-parts":[["2005",6]]}}}],"schema":"https://github.com/citation-style-language/schema/raw/master/csl-citation.json"} </w:instrText>
      </w:r>
      <w:r w:rsidR="00C12CF0">
        <w:rPr>
          <w:rFonts w:ascii="Arial" w:hAnsi="Arial" w:cs="Arial"/>
        </w:rPr>
        <w:fldChar w:fldCharType="separate"/>
      </w:r>
      <w:r w:rsidR="00F669DC" w:rsidRPr="00F669DC">
        <w:rPr>
          <w:rFonts w:ascii="Arial" w:hAnsi="Arial" w:cs="Arial"/>
        </w:rPr>
        <w:t>(Lu et al., 2005)</w:t>
      </w:r>
      <w:r w:rsidR="00C12CF0">
        <w:rPr>
          <w:rFonts w:ascii="Arial" w:hAnsi="Arial" w:cs="Arial"/>
        </w:rPr>
        <w:fldChar w:fldCharType="end"/>
      </w:r>
      <w:r w:rsidRPr="008F5B7F">
        <w:rPr>
          <w:rFonts w:ascii="Arial" w:hAnsi="Arial" w:cs="Arial"/>
        </w:rPr>
        <w:t xml:space="preserve">. </w:t>
      </w:r>
    </w:p>
    <w:p w14:paraId="0D636CA8" w14:textId="3CD68E38" w:rsidR="008F5B7F" w:rsidRPr="008F5B7F" w:rsidRDefault="008F5B7F" w:rsidP="008F5B7F">
      <w:pPr>
        <w:pStyle w:val="Body"/>
        <w:rPr>
          <w:rFonts w:ascii="Arial" w:hAnsi="Arial" w:cs="Arial"/>
        </w:rPr>
      </w:pPr>
      <w:r w:rsidRPr="008F5B7F">
        <w:rPr>
          <w:rFonts w:ascii="Arial" w:hAnsi="Arial" w:cs="Arial"/>
        </w:rPr>
        <w:t xml:space="preserve">miRNAs are detectable in biological fluids (blood, urine, saliva) in three distinct forms: as free circulating molecules, bound to protein complexes, or encapsulated within exosomes. These extracellular vesicles enhance miRNA stability, reinforcing their potential as liquid biopsy biomarkers. Furthermore, miRNA expression patterns appear to be cancer-type and stage-specific, providing added value for diagnostic stratification </w:t>
      </w:r>
      <w:r w:rsidR="00C12CF0">
        <w:rPr>
          <w:rFonts w:ascii="Arial" w:hAnsi="Arial" w:cs="Arial"/>
        </w:rPr>
        <w:fldChar w:fldCharType="begin"/>
      </w:r>
      <w:r w:rsidR="00F669DC">
        <w:rPr>
          <w:rFonts w:ascii="Arial" w:hAnsi="Arial" w:cs="Arial"/>
        </w:rPr>
        <w:instrText xml:space="preserve"> ADDIN ZOTERO_ITEM CSL_CITATION {"citationID":"a2otc0lp711","properties":{"formattedCitation":"(Bilal et al., 2022)","plainCitation":"(Bilal et al., 2022)","noteIndex":0},"citationItems":[{"id":65,"uris":["http://zotero.org/users/3583561/items/W4CE6EVZ"],"itemData":{"id":65,"type":"article-journal","abstract":"Prostate cancer is the second most frequently diagnosed cancer among men worldwide, with the estimated sixth leading cause of cancer death. Despite major advancements in clinical biology and imaging, digital rectal examination (DRE), prostate-specific antigen (PSA), and biopsies indication remain the keystone for screening. Several kits are used to detect genomic changes and non-coding RNAs in the sample. However, its indication remains controversial for screening purposes. There is an urged need for non-invasive biomarkers to implement precision medicine. Recent research shows that miRNAs have an important role in the diagnostic, prognostic, and therapeutic agents as non-invasive biomarkers. Though prostate cancer data remains controversial in other cancer types, such as breast cancer, miR-21 expression is upregulated. Here, we reported a prolonged revision of miRNAs as prostate cancer prognostic, diagnostic, and predictive tools, including data on androgen receptor (AR) signaling, epithelial-mesenchymal transition (EMT) process, and cancer stem cells (CSCs) regulation. The combined utilization of miRNAs with other tests will help patients and clinicians to select the most appropriate personalized treatment and to avoid overdiagnosis and unnecessary biopsies. Future clinical applications of our reported novel miRNAs have a substantial role in the primary diagnosis of prostate cancer to help treatment decisions.","container-title":"Translational Oncology","DOI":"10.1016/j.tranon.2022.101542","ISSN":"1936-5233","journalAbbreviation":"Translational Oncology","language":"en","page":"101542","source":"ScienceDirect","title":"An overview of prostate cancer (PCa) diagnosis: Potential role of miRNAs","title-short":"An overview of prostate cancer (PCa) diagnosis","URL":"https://www.sciencedirect.com/science/article/pii/S1936523322002017","volume":"26","author":[{"family":"Bilal","given":"Muhammad"},{"family":"Javaid","given":"Aqsa"},{"family":"Amjad","given":"Farhat"},{"family":"Youssif","given":"Tamer Abou"},{"family":"Afzal","given":"Samia"}],"accessed":{"date-parts":[["2023",4,26]]},"issued":{"date-parts":[["2022",12,1]]}}}],"schema":"https://github.com/citation-style-language/schema/raw/master/csl-citation.json"} </w:instrText>
      </w:r>
      <w:r w:rsidR="00C12CF0">
        <w:rPr>
          <w:rFonts w:ascii="Arial" w:hAnsi="Arial" w:cs="Arial"/>
        </w:rPr>
        <w:fldChar w:fldCharType="separate"/>
      </w:r>
      <w:r w:rsidR="00F669DC" w:rsidRPr="00F669DC">
        <w:rPr>
          <w:rFonts w:ascii="Arial" w:hAnsi="Arial" w:cs="Arial"/>
        </w:rPr>
        <w:t>(Bilal et al., 2022)</w:t>
      </w:r>
      <w:r w:rsidR="00C12CF0">
        <w:rPr>
          <w:rFonts w:ascii="Arial" w:hAnsi="Arial" w:cs="Arial"/>
        </w:rPr>
        <w:fldChar w:fldCharType="end"/>
      </w:r>
      <w:r w:rsidRPr="008F5B7F">
        <w:rPr>
          <w:rFonts w:ascii="Arial" w:hAnsi="Arial" w:cs="Arial"/>
        </w:rPr>
        <w:t xml:space="preserve">.  </w:t>
      </w:r>
    </w:p>
    <w:p w14:paraId="3A4C104B" w14:textId="44BF3E6F" w:rsidR="008F5B7F" w:rsidRPr="008F5B7F" w:rsidRDefault="008F5B7F" w:rsidP="008F5B7F">
      <w:pPr>
        <w:pStyle w:val="Body"/>
        <w:rPr>
          <w:rFonts w:ascii="Arial" w:hAnsi="Arial" w:cs="Arial"/>
        </w:rPr>
      </w:pPr>
      <w:r w:rsidRPr="008F5B7F">
        <w:rPr>
          <w:rFonts w:ascii="Arial" w:hAnsi="Arial" w:cs="Arial"/>
        </w:rPr>
        <w:t xml:space="preserve">However, despite their potential, findings regarding certain miRNAs remain inconsistent. Persistent challenges include the standardization of sampling methods, quantification procedures, and data normalization. Among the numerous miRNAs studied, miR-21, miR-141, and miR-375 have been most frequently identified as being dysregulated in </w:t>
      </w:r>
      <w:proofErr w:type="spellStart"/>
      <w:r w:rsidRPr="008F5B7F">
        <w:rPr>
          <w:rFonts w:ascii="Arial" w:hAnsi="Arial" w:cs="Arial"/>
        </w:rPr>
        <w:t>PCa</w:t>
      </w:r>
      <w:proofErr w:type="spellEnd"/>
      <w:r w:rsidRPr="008F5B7F">
        <w:rPr>
          <w:rFonts w:ascii="Arial" w:hAnsi="Arial" w:cs="Arial"/>
        </w:rPr>
        <w:t xml:space="preserve"> </w:t>
      </w:r>
      <w:r w:rsidR="00C12CF0">
        <w:rPr>
          <w:rFonts w:ascii="Arial" w:hAnsi="Arial" w:cs="Arial"/>
        </w:rPr>
        <w:fldChar w:fldCharType="begin"/>
      </w:r>
      <w:r w:rsidR="00F669DC">
        <w:rPr>
          <w:rFonts w:ascii="Arial" w:hAnsi="Arial" w:cs="Arial"/>
        </w:rPr>
        <w:instrText xml:space="preserve"> ADDIN ZOTERO_ITEM CSL_CITATION {"citationID":"al5m9gq6r7","properties":{"formattedCitation":"(Gao et al., 2016; Guan et al., 2016; Huang et al., 2015; Ibrahim et al., 2019; Jokovi\\uc0\\u263{} et al., 2022; Kotb et al., 2014; Li et al., 2016; Nitusca et al., 2022b, 2022a; Osipov et al., 2016; Porzycki et al., 2018; Ye et al., 2020)","plainCitation":"(Gao et al., 2016; Guan et al., 2016; Huang et al., 2015; Ibrahim et al., 2019; Joković et al., 2022; Kotb et al., 2014; Li et al., 2016; Nitusca et al., 2022b, 2022a; Osipov et al., 2016; Porzycki et al., 2018; Ye et al., 2020)","noteIndex":0},"citationItems":[{"id":694,"uris":["http://zotero.org/users/3583561/items/ATU2QLD2"],"itemData":{"id":694,"type":"article-journal","abstract":"To investigate the diagnostic potential of plasma miR-21 and miR-375 by comparing their levels in prostate cancer (PCa) patients to subjects without cancer in a Chinese population. The study population included 57 PCa patients and 28 benign prostatic hyperplasia (BPH) patients. The plasma levels of miR-21 and miR-375 were quantitated with Taqman based quantitative real-time polymerase chain reaction. In the BPH group, the median relative expression levels of miR-21 and miR-375 were 0.07 and 0.55, respectively; In the PCa group, the median values of miR-21 and miR-375 were 1.32 and 1.74, respectively. Both miR-21 (p=0.014) and miR-375 (p=0.005) plasma levels were significantly higher in PCa group than in BPH group. Using ROC analysis the AUC of miR-21 was 0.799, 95% CI between 0.690 and 0.908 (p=8×10-6); for miR-375, the AUC was 0.757, 95% CI between 0.640-0.874 (p=0.000126). The largest AUC (0.881) was obtained when the data of miR-21, miR-375 and PSA were combined, with a sensitivity of 87.7% and a specificity of 75%. The results of this study showed that circulating miR-21 and miR-375 can discriminate PCa patients from BPH controls at early stages. Combinations of the studied miRNAs and PSA remarkably increased specificity compared with PSA alone. The combination method has the potential to be used as a noninvasive diagnostic cocktail for PCa screening.","container-title":"Neoplasma","DOI":"10.4149/neo_2016_417","ISSN":"0028-2685","issue":"4","journalAbbreviation":"Neoplasma","language":"eng","note":"PMID: 27268927","page":"623-628","source":"PubMed","title":"Analysis of circulating miRNAs 21 and 375 as potential biomarkers for early diagnosis of prostate cancer","volume":"63","author":[{"family":"Gao","given":"Y."},{"family":"Guo","given":"Y."},{"family":"Wang","given":"Z."},{"family":"Dai","given":"Z."},{"family":"Xu","given":"Y."},{"family":"Zhang","given":"W."},{"family":"Liu","given":"Z."},{"family":"Li","given":"S."}],"issued":{"date-parts":[["2016"]]}}},{"id":617,"uris":["http://zotero.org/users/3583561/items/Y77KQ4JE"],"itemData":{"id":617,"type":"article-journal","abstract":"BACKGROUND Despite androgen deprivation therapy (ADT) remains the mainstay therapy for advanced prostate cancer (PCa), the patients have widely variable durations of response to ADT. Unfortunately, there is limited knowledge of pre-treatment prognostic factors for response to ADT. Recently, microRNA-21 (miR-21) has been reported to play an important role in development of castration resistance of CaP. However, little is known about the expression of miR-21 in advanced PCa biopsy tissues, and data on its potential predictive value in advanced PCa are completely lacking. METHODS In this study, paraffin-embedded prostate carcinoma tissues obtained by needle biopsy from 85 advanced PCa patients were evaluated for the expression levels of miR-21 by quantitative real-time PCR (qRT-PCR). In situ hybridization (ISH) analysis was performed to further confirm the qRT-PCR results. Kaplan–Meier analysis and Cox proportional hazards regression models were performed to investigate the correlation between miR-21 expression and time to progression of advanced PCa patients. RESULTS Compared with adjacent non-cancerous prostate tissues, the expression level of miR-21 was significantly increased in PCa tissues (PCa vs. non-cancerous prostate: 1.3273 ± 0.3207 vs. 0.9970 ± 0.2054, P &lt; 0.001). By and large, in ISH analysis miR-21 was expressed at a higher level in tumor areas than in adjacent non­cancerous areas. Additionally, PCa patients with higher expression of miR-21 were significantly more likely to be of high Gleason score and high clinical stage (P &lt; 0.05). There was no significant association between miR-21 expression and the initial prostate-specific antigen (PSA) level or age at diagnosis. Moreover, Kaplan–Meier survival analysis found that PCa patients with high miR-21 expression have shorter progression-free survival than those with low miR-21 expression. Furthermore, Multivariate Cox analysis revealed both miR-21 expression status (P = 0.040) and clinical stage (P = 0.042) were all independent predictive factor for progression-free survival for advanced PCa. CONCLUSION These findings suggest for the first time that the up-regulation of miR-21 may serve as an independent predictor of progress-free survival in patients with advanced PCa. Prostate 76:986–993, 2016. © 2016 Wiley Periodicals, Inc.","container-title":"The Prostate","DOI":"10.1002/pros.23187","ISSN":"1097-0045","issue":"11","language":"en","note":"_eprint: https://onlinelibrary.wiley.com/doi/pdf/10.1002/pros.23187","page":"986-993","source":"Wiley Online Library","title":"Association of microRNA-21 expression with clinicopathological characteristics and the risk of progression in advanced prostate cancer patients receiving androgen deprivation therapy","URL":"https://onlinelibrary.wiley.com/doi/abs/10.1002/pros.23187","volume":"76","author":[{"family":"Guan","given":"Yangbo"},{"family":"Wu","given":"You"},{"family":"Liu","given":"Yifei"},{"family":"Ni","given":"Jian"},{"family":"Nong","given":"Shaojun"}],"accessed":{"date-parts":[["2023",5,23]]},"issued":{"date-parts":[["2016"]]}}},{"id":645,"uris":["http://zotero.org/users/3583561/items/F9FWFC3K"],"itemData":{"id":645,"type":"article-journal","abstract":"AIMS: Our study aimed to evaluate the diagnostic and prognostic values of microRNA-21 (miR-21) expression levels in peripheral blood mononuclear cells (PBMCs) for prostate cancer (PCa).\nMETHODS: Between February 2010 and June 2014, 75 consecutive patients with localized PCa confirmed by radical prostatectomy and biopsy were enrolled as the case group. Among them, 25 patients were confirmed with recurrence or metastasis (R/M) (PCa with R/M group) and 50 patients without R/M (PCa without R/M group). During the same period, 75 healthy volunteers were enrolled as the control group. Blood was collected from all subjects, and PBMCs were isolated. Relative miR-21 expression levels from the PBMCs were determined by fluorescence real-time quantitative polymerase chain reaction (RT-qPCR).\nRESULTS: The relative miR-21 expression levels in the preoperative case group was significantly higher than that in the postoperative case group and the control group (both p&lt;0.001). miR-21 expression levels were associated with tumor differentiation, clinical stage, and lymph node metastasis (all p&lt;0.001). Furthermore, miR-21 expression levels in PCa patients with R/M were significantly higher than that in PCa patients without R/M and healthy controls (both p&lt;0.001). Receiver operating characteristic (ROC) curve analysis revealed that the cut-off point of miR-21 for diagnosis of PCa was 0.9 with a sensitivity of 87.5% and a specificity of 85.7%.\nCONCLUSIONS: Our study demonstrates that high miR-21 expression levels in PBMCs were correlated with the presence, recurrence, and metastasis of PCa and that this may be a useful biomarker for screening PCa and monitoring the risk of PCa recurrence and metastasis.","container-title":"Genetic Testing and Molecular Biomarkers","DOI":"10.1089/gtmb.2015.0088","ISSN":"1945-0257","issue":"9","journalAbbreviation":"Genet Test Mol Biomarkers","language":"eng","note":"PMID: 26247873","page":"469-475","source":"PubMed","title":"High-Level Expression of microRNA-21 in Peripheral Blood Mononuclear Cells Is a Diagnostic and Prognostic Marker in Prostate Cancer","volume":"19","author":[{"family":"Huang","given":"Wei"},{"family":"Kang","given":"Xin-Li"},{"family":"Cen","given":"Son"},{"family":"Wang","given":"Yang"},{"family":"Chen","given":"Xiang"}],"issued":{"date-parts":[["2015",9]]}}},{"id":486,"uris":["http://zotero.org/users/3583561/items/RYSV9JFV","http://zotero.org/users/3583561/items/UYDERLUC"],"itemData":{"id":486,"type":"article-journal","abstract":"Prostate cancer (PC) is considered as the fifth cause of cancer deaths worldwide. The exact etiopathogenesis is unclear; however, genetic predisposition, hormonal influencers, lifestyle and environmental factors act as major contributors. It has been found that several miRNAs may play a crucial role in cancer initiation and progression. Here, in this study, we evaluated the peripheral blood levels of miR-21, miR-141, miR-221 and miR-18a expression among 80 prostate cancer patients (50 localised and 30 metastatic) and 30 benign prostatic hyperplasia patients compared to 50 normal control subjects, using RT-PCR. Our results of analysis of miR-21, miR-141, miR-18a and miR-221 in the plasma of PC patients showed that miR-18a is a powerful discriminator of PC patients from healthy controls as it had the highest AUC (0.966; 95% CI, 0.937-1.000), while miR-221 provided better differentiation of metastatic from localised PC (sensitivity was 92.9% at 100% specificity), and when we combine miR-18a and miR-221 for differentiating patients with MPC, it will increase the sensitivity to 96.4% at a specificity of 100% (AUC, 0.997; 95% CI, 0.988-1.0) (p &lt; .000). This current study recommends that analysis of these miRNAs might have clinical value in enhancing PSA testing.","container-title":"Andrologia","DOI":"10.1111/and.13384","ISSN":"1439-0272","issue":"10","journalAbbreviation":"Andrologia","language":"eng","note":"PMID: 31483058","page":"e13384","source":"PubMed","title":"Diagnostic significance of miR-21, miR-141, miR-18a and miR-221 as novel biomarkers in prostate cancer among Egyptian patients","volume":"51","author":[{"family":"Ibrahim","given":"Noha H."},{"family":"Abdellateif","given":"Mona S."},{"family":"Kassem","given":"Samar Hassab-Allah"},{"family":"Abd El Salam","given":"Mohamed Ahmed"},{"family":"El Gammal","given":"Mosaad M."}],"issued":{"date-parts":[["2019",11]]}}},{"id":34,"uris":["http://zotero.org/users/3583561/items/YL3SS75Z"],"itemData":{"id":34,"type":"article-journal","abstract":"MiR-21 and miR-375 have been reported as dysregulated in prostate cancer (PCa) in multiple previous studies. Still, variable or even opposing data for the expression of these microRNAs in PCa were found, and their potential biomarker properties remain elusive. In an attempt to clarify their significance as PCa biomarkers, as well as to compare different types of specimens as a source of relevant microRNAs, we used plasma and matching plasma-derived exosomes from patients with PCa and patients with benign prostatic hyperplasia (BPH). Plasma and exosomes were obtained from 34 patients with PCa and 34 patients with BPH, and their levels of expression of miR-21 and miR-375 were determined by RT-qPCR. We found no significant difference in the level of expression of these microRNAs in plasma and exosomes between patients with PCa and BPH. The level of exosomal miR-21 was elevated in PCa patients with high serum PSA values, as well as in patients with aggressive PCa, while for plasma samples, the results remained insignificant. For miR-375, we did not find an association with the values of standard prognostic parameters of PCa, nor with cancer aggressiveness. Therefore, our results support the potential prognostic role of exosomal miR-21 expression levels in PCa.","container-title":"Genes","DOI":"10.3390/genes13122320","ISSN":"2073-4425","issue":"12","journalAbbreviation":"Genes (Basel)","note":"PMID: 36553586\nPMCID: PMC9778022","page":"2320","source":"PubMed Central","title":"MiR-375 and miR-21 as Potential Biomarkers of Prostate Cancer: Comparison of Matching Samples of Plasma and Exosomes","title-short":"MiR-375 and miR-21 as Potential Biomarkers of Prostate Cancer","URL":"https://www.ncbi.nlm.nih.gov/pmc/articles/PMC9778022/","volume":"13","author":[{"family":"Joković","given":"Suzana Matijašević"},{"family":"Dobrijević","given":"Zorana"},{"family":"Kotarac","given":"Nevena"},{"family":"Filipović","given":"Lidija"},{"family":"Popović","given":"Milica"},{"family":"Korać","given":"Aleksandra"},{"family":"Vuković","given":"Ivan"},{"family":"Savić-Pavićević","given":"Dušanka"},{"family":"Brajušković","given":"Goran"}],"accessed":{"date-parts":[["2023",5,1]]},"issued":{"date-parts":[["2022",12,9]]}}},{"id":777,"uris":["http://zotero.org/users/3583561/items/A4CXYGJC"],"itemData":{"id":777,"type":"article-journal","abstract":"To compare the expression of two promising circulating micro-ribonucleic acids (miRNAs 21 and 221) in patients with prostate cancer to subjects without cancer and to evaluate their potential role as specific noninvasive molecular biomarkers for prostate cancer diagnosis, circulating miRNAs 21 and 221 expression profiles were analyzed in 20 men aged 50-75 years, presenting with lower urinary tract symptoms (LUTSs) and undergoing transrectal ultrasound (TRUS)-guided prostate biopsy based on either elevated serum prostate-specific antigen (PSA) (&gt;4.0 ng/ml) or suspicious digital rectal examination (DRE). The performance of miRNAs 21 and 221 in differentiating prostate cancer from nonmalignant cases was evaluated and compared to DRE and elevated PSA. miRNA 21 was overexpressed in 90 % of group A vs. 10 % of group B, while miRNA 221 was overexpressed in 80 % of group A vs. 20 % of group B (p = 0.001). MiRNA 21 overexpression had the highest performance as a diagnostic test with a sensitivity of 90 % and a specificity 90 % (p = 0.02). No correlations were noted between Gleason score of prostate cancer cases and relative quantity (RQ) 21 (r = -0.355, p = 0.292) or RQ 221 (r = -0.044, p = 0.892). Our study showed that serum miRNAs 21 and 221 expression profiling tests may be used as specific noninvasive molecular biomarkers for prostate cancer diagnosis due to their higher sensitivity and specificity with a high negative predictive value leading to a decrease in the biopsies taken for patients with elevated serum PSA values.","container-title":"Tumour Biology: The Journal of the International Society for Oncodevelopmental Biology and Medicine","DOI":"10.1007/s13277-014-2584-7","ISSN":"1423-0380","issue":"12","journalAbbreviation":"Tumour Biol","language":"eng","note":"PMID: 25190021","page":"12613-12617","source":"PubMed","title":"Circulating miRNAs 21 and 221 as biomarkers for early diagnosis of prostate cancer","volume":"35","author":[{"family":"Kotb","given":"Sameh"},{"family":"Mosharafa","given":"Ashraf"},{"family":"Essawi","given":"Mona"},{"family":"Hassan","given":"Heba"},{"family":"Meshref","given":"Alaa"},{"family":"Morsy","given":"Ahmed"}],"issued":{"date-parts":[["2014",12]]}}},{"id":795,"uris":["http://zotero.org/users/3583561/items/3ZAD7B5I","http://zotero.org/users/3583561/items/MNAIIMYK"],"itemData":{"id":795,"type":"article-journal","abstract":"PURPOSE: Novel biomarkers for the diagnosis of prostate cancer (PCa) are urgently required. Increasing evidence suggests that exosomal microRNAs (miRNAs or miRs) in serum may be potential noninvasive biomarkers for certain diseases. The objective of the present study was to investigate and assess whether exosomal miR-141 is an effective biomarker for human PCa.\nMETHODS: In the present study, exosomes were isolated from the serum of patients with PCa, patients with benign prostate hyperplasia (BPH), and healthy volunteers. The total RNA was extracted from the exosomes and the level of miR-141 was analyzed by quantitative reverse transcription-polymerase chain reaction. The expression levels of miR-141 were compared between the whole serum and the serum exosomes of the three groups. Subsequently, the relevance of the exosomal expression of miR-141 to the clinicopathological factors in PCa was investigated.\nRESULTS: The expression of miR-141 was higher in exosomes compared with whole serum (control group, P=0.0003; BPH group, P=0.0016; PCa group, P&lt;0.0001). The level of serum exosomal miR-141 was significantly higher in the patients with PCa compared with the patients with BPH and the healthy controls (3.85-fold, P=0.0007 and 4.06-fold, P=0.0005, respectively). In addition, the expression levels were significantly higher in metastatic PCa compared with localized PCa (P&lt;0.0001). Receiver-operating characteristic curve revealed that the serum exosomal miR-141 yielded an area under the curve of 0.8694, with 80% sensitivity and 87.1% specificity in discriminating patients with metastatic PCa from the patients with localized PCa.\nCONCLUSION: Serum exosomes may serve as a more suitable material compared with the whole serum for measuring circulating miR-141 levels in patients with PCa. Exosomal miR-141 is upregulated in the serum from patients with PCa compared with patients with BPH or the healthy volunteers, and it may be a useful potential biomarker for the diagnosis of metastatic PCa.","container-title":"OncoTargets and Therapy","DOI":"10.2147/OTT.S95565","ISSN":"1178-6930","journalAbbreviation":"Onco Targets Ther","language":"eng","note":"PMID: 26770063\nPMCID: PMC4706124","page":"139-148","source":"PubMed","title":"Exosomal microRNA-141 is upregulated in the serum of prostate cancer patients","volume":"9","author":[{"family":"Li","given":"Zhuo"},{"family":"Ma","given":"Yue-Yun"},{"family":"Wang","given":"Juan"},{"family":"Zeng","given":"Xian-Fei"},{"family":"Li","given":"Rui"},{"family":"Kang","given":"Wei"},{"family":"Hao","given":"Xiao-Ke"}],"issued":{"date-parts":[["2016"]]}}},{"id":710,"uris":["http://zotero.org/users/3583561/items/35DGDNS8"],"itemData":{"id":710,"type":"article-journal","abstract":"Background and Objectives: Responding to the need for additional biomarkers for the diagnosis of prostate cancer (PCa), mounting studies show that microRNAs (miRNAs/miRs) possess great potential as future promising diagnostic tools. However, the usefulness of these miRNAs is still highly debated, as the degree of inconsistency between study designs and results is still elevated. Herein, we present a meta-analysis evaluating the diagnostic value and accuracy of circulating miR-375, as it is one of the most studied types of miRs in PCa. Materials and Methods: The diagnostic accuracy of miR-375 was evaluated using the QUADAS-2 tool, analyzing different statistical parameters. The seven studies (from six articles) that matched our selection included 422 PCa patients and 212 controls (70 healthy volunteers + 142 with benign prostate diseases). Results and Conclusion: We obtained a p-value of 0.76 for sensitivity, 0.83 for specificity, 16 for DOR, 4.6 for LR+, 0.29 for LR−, and 0.87 for AUC (95% CI 0.83–0.89). Our results confirm that miRNA-375 has high diagnostic potential for PCa, suggesting its usefulness as a powerful biomarker. More comprehensive studies are warranted to better assess its true value as a diagnostic biomarker for this urologic disease.","container-title":"Medicina","DOI":"10.3390/medicina58040529","ISSN":"1010-660X","issue":"4","journalAbbreviation":"Medicina (Kaunas)","note":"PMID: 35454368\nPMCID: PMC9032467","page":"529","source":"PubMed Central","title":"Diagnostic Value of microRNA-375 as Future Biomarker for Prostate Cancer Detection: A Meta-Analysis","title-short":"Diagnostic Value of microRNA-375 as Future Biomarker for Prostate Cancer Detection","URL":"https://www.ncbi.nlm.nih.gov/pmc/articles/PMC9032467/","volume":"58","author":[{"family":"Nitusca","given":"Diana"},{"family":"Marcu","given":"Anca"},{"family":"Seclaman","given":"Edward"},{"family":"Bardan","given":"Razvan"},{"family":"Sirbu","given":"Ioan Ovidiu"},{"family":"Balacescu","given":"Ovidiu"},{"family":"Bucur","given":"Adina Ioana"},{"family":"Ursoniu","given":"Sorin"},{"family":"Marian","given":"Catalin"}],"accessed":{"date-parts":[["2023",5,7]]},"issued":{"date-parts":[["2022",4,10]]}}},{"id":8105,"uris":["http://zotero.org/users/3583561/items/MMCBGPYZ"],"itemData":{"id":8105,"type":"article-journal","abstract":"(1) Background and Objectives: Responding to the need for more optimized biomarkers for prostate cancer (PCa) diagnosis, a high number of studies have shown that microRNAs (miRNAs) could serve as novel, more reliable diagnostic tools. The usefulness of these miRNAs in assessing the presence of PCa is still under debate, given the discrepancies in their diagnostic performances. In this respect, hsa-miR-141 is among the miRNAs of particular interest, being very much investigated in PCa biology. (2) Material and Methods: Here, we provide a meta-analysis of miR-141 data published until May 2019, whose diagnostic accuracy was assessed using the Quality Assessment for Diagnostic Accuracy Studies-2 (QUADAS-2) tool, by analyzing several parameters including sensitivity, specificity, positive likelihood ratio (LR+), negative likelihood ratio (LR-), diagnostic odds ratio (DOR) and the area under the curve (AUC). The six studies that matched our selection and were included in our meta-analysis comprise 283 PCa patients, 114 healthy controls, with 84 patients suffering from benign prostate diseases. (3) Results and Conclusions: Our results indicate a very good diagnostic accuracy for miRNA-141 (0.78 sensitivity, 0.96 specificity, DOR of 89, LR+ of 21, LR- of 0.23 and AUC of 0.87), underlying its utility as a PCa diagnostic biomarker.","container-title":"Timisoara Med","DOI":"10.35995/tmj20220204","issue":"2","language":"en","note":"number: 2","page":"0-0","source":"www.tmj.ro","title":"Circulating microRNA-141 as a Biomarker for Prostate Cancer: A Systematic Review and Meta-Analysis","title-short":"Circulating microRNA-141 as a Biomarker for Prostate Cancer","URL":"https://www.tmj.ro/article/2022/2/202","volume":"2022","author":[{"family":"Nitusca","given":"Diana"},{"family":"Marcu","given":"Anca"},{"family":"Seclaman","given":"Edward"},{"family":"Bardan","given":"Razvan"},{"family":"Sirbu","given":"Ioan Ovidiu"},{"family":"Balacescu","given":"Ovidiu"},{"family":"Bucur","given":"Adina Ioana"},{"family":"Ursoniu","given":"Sorin"},{"family":"Marian","given":"Catalin"}],"accessed":{"date-parts":[["2025",6,26]]},"issued":{"date-parts":[["2022",9]]}}},{"id":577,"uris":["http://zotero.org/users/3583561/items/Y93ECYPB"],"itemData":{"id":577,"type":"article-journal","abstract":"Expression levels of five miRNAs (miR-19b, miR-21, miR-126, miR-141, miR-205) were measured in the plasma of healthy donors and prostate cancer patients. It was shown that miR-141 expression level efficiently discriminates early stage prostate cancer patients and correlates with the Gleason score.","container-title":"Advances in Experimental Medicine and Biology","DOI":"10.1007/978-3-319-42044-8_2","ISSN":"0065-2598","journalAbbreviation":"Adv Exp Med Biol","language":"eng","note":"Porzycki","page":"9-12","source":"PubMed","title":"Cell-Free miRNA-141 and miRNA-205 as Prostate Cancer Biomarkers","volume":"924","author":[{"family":"Osipov","given":"Ivan D."},{"family":"Zaporozhchenko","given":"Ivan A."},{"family":"Bondar","given":"Anna A."},{"family":"Zaripov","given":"Marat M."},{"family":"Voytsitskiy","given":"Vladimir E."},{"family":"Vlassov","given":"Valentin V."},{"family":"Laktionov","given":"Pavel P."},{"family":"Morozkin","given":"Evgeny S."}],"issued":{"date-parts":[["2016"]]}}},{"id":93,"uris":["http://zotero.org/users/3583561/items/NZFL3MEY","http://zotero.org/users/3583561/items/SELRIWKQ"],"itemData":{"id":93,"type":"article-journal","abstract":"Purpose\nProstate cancer (PCa) is a common tumor disease in western countries and a leading cause of cancer-driven mortality in men. Current methods for prostate cancer detection, like prostate-specific antigen screening, lead to significant overtreatment. The purpose of the study was to analyze circulating microRNAs in serum as non-invasive biomarkers in patients with diagnosis of prostate cancer and healthy individuals.\n\nMethods\nThis preliminary study included a population of 20 patients with mean age of 68.6 years and mean PSA of 21.3 ng/ml. Eight healthy patients were used as control. MiRNAs were quantified in the total RNA fraction extracted from serum and levels of five microRNAs (miR-106b, miR-141, miR-21, mir-34a, and miR-375) were quantified by RT-qPCR. Statistical analyses evaluated correlation between clinicopathological data and miRNAs expression levels.\n\nResults\nRelative expression ratios of miR-106b, miR-141-3p, miR-21, and miR-375 were significantly increased (1.8-,  1.9-, 2.4-, and 2.6-fold, respectively) in the PCa group compared to healthy control. Using receiver operating characteristics, the highest area under the curve equal to 0.906 was obtained for miR-357 and indicates a very good diagnostic properties of this biomarker. We found expression level of mir-34a not related with PCa.\n\nConclusions\nOur results support previous findings on the possibility of discriminating prostate cancer patients from healthy controls by detecting miRNA (miR-141-3p, miR-21, and miR-375). Further insights into miRNA abundance and characteristics are necessary to validate the panel of miRNA as surrogate markers in diagnosis of prostate cancer.","container-title":"International Urology and Nephrology","DOI":"10.1007/s11255-018-1938-2","ISSN":"0301-1623","issue":"9","journalAbbreviation":"Int Urol Nephrol","note":"PMID: 30014459\nPMCID: PMC6133127","page":"1619-1626","source":"PubMed Central","title":"Combination of three miRNA (miR-141, miR-21, and miR-375) as potential diagnostic tool for prostate cancer recognition","URL":"https://www.ncbi.nlm.nih.gov/pmc/articles/PMC6133127/","volume":"50","author":[{"family":"Porzycki","given":"Paweł"},{"family":"Ciszkowicz","given":"Ewa"},{"family":"Semik","given":"Małgorzata"},{"family":"Tyrka","given":"Mirosław"}],"accessed":{"date-parts":[["2023",1,12]]},"issued":{"date-parts":[["2018"]]}}},{"id":71,"uris":["http://zotero.org/users/3583561/items/NPD3MAJ7"],"itemData":{"id":71,"type":"article-journal","abstract":"Arrière-plan: \n        miR-141 a progressivement démontré son intérêt dans le diagnostic du cancer de la prostate . Cependant, les paramètres diagnostiques des études précédentes diffèrent. Une revue systématique a été menée pour explorer la valeur diagnostique de miR-141 dans le cancer de la prostate .\n        Méthodes : \n        Une recherche exhaustive de la littérature dans les bases de données PubMed, Medline, Cochrane Library et Embase a été effectuée. Les 7 études incluses ont évalué la valeur diagnostique de miR-141 chez les patients atteints d' un cancer de la prostate jusqu'au 31 octobre 2019. Nous avons utilisé la version 1.4 du méta-disque et la version 12.0 du logiciel STATA pour analyser les données.\n        Résultats: \n        La sensibilité et la spécificité regroupées étaient de 0,70 (intervalle de confiance à 95 % [IC] 0,64-0,75) et de 0,73 (IC à 95 % 0,64-0,80), respectivement. Le rapport de vraisemblance positif était de 2,88 (IC à 95 % 1,40-5,93) et le rapport de vraisemblance négatif était de 0,38 (IC à 95 % 0,20-0,71). En outre, nous notons que l'odds ratio diagnostique groupé de miR-141 pour le cancer de la prostate était</w:instrText>
      </w:r>
      <w:r w:rsidR="00F669DC" w:rsidRPr="00F669DC">
        <w:rPr>
          <w:rFonts w:ascii="Arial" w:hAnsi="Arial" w:cs="Arial"/>
          <w:lang w:val="fr-FR"/>
        </w:rPr>
        <w:instrText xml:space="preserve"> de 9,94 (IC à 95 % : 2,55 à 38,80). L'aire récapitulative sous la courbe caractéristique de fonctionnement du récepteur était de 0,83 (IC à 95 % : 0,79 à 0,86). Les résultats de la méta-régression suggèrent que l'hétérogénéité provient principalement de l'âge du patient. Les résultats du nomogramme de Fagan ont montré qu'il était augmenté de manière significative en testant miR-141 pour le diagnostic du cancer de la prostate .\n        Conclusion: \n        Cette méta-analyse suggère que miR-141 a une valeur diagnostique élevée pour le cancer de la prostate . Dans le futur, des études prospectives à grande échelle sont nécessaires pour vérifier et évaluer ce résultat.","container-title":"Medicine","DOI":"10.1097/MD.0000000000019993","issue":"22","language":"fr","page":"e19993","source":"journals.lww.com","title":"The diagnostic value of miRNA-141 in prostate cancer: A systematic review and PRISMA-compliant meta-analysis","title-short":"The diagnostic value of miRNA-141 in prostate cancer","URL":"https://journals.lww.com/md-journal/Fulltext/2020/05290/The_diagnostic_value_of_miRNA_141_in_prostate.13.aspx","volume":"99","author":[{"family":"Ye","given":"Yun"},{"family":"Yuan","given":"Xiao-Hua"},{"family":"Wang","given":"Jian-Jun"},{"family":"Wang","given":"Yu-Chen"},{"family":"Li","given":"Su-Liang"}],"accessed":{"date-parts":[["2023",2,23]]},"issued":{"date-parts":[["2020",5,29]]}}}],"schema":"https://github.com/citation-style-language/schema/raw/master/csl-citation.json"} </w:instrText>
      </w:r>
      <w:r w:rsidR="00C12CF0">
        <w:rPr>
          <w:rFonts w:ascii="Arial" w:hAnsi="Arial" w:cs="Arial"/>
        </w:rPr>
        <w:fldChar w:fldCharType="separate"/>
      </w:r>
      <w:r w:rsidR="00F669DC" w:rsidRPr="00F669DC">
        <w:rPr>
          <w:rFonts w:ascii="Arial" w:hAnsi="Arial" w:cs="Arial"/>
          <w:lang w:val="fr-FR"/>
        </w:rPr>
        <w:t>(Gao et al., 2016; Guan et al., 2016; Huang et al., 2015; Ibrahim et al., 2019; Joković et al., 2022; Kotb et al., 2014; Li et al., 2016; Nitusca et al., 2022b, 2022a; Osipov et al., 2016; Porzycki et al., 2018; Ye et al., 2020)</w:t>
      </w:r>
      <w:r w:rsidR="00C12CF0">
        <w:rPr>
          <w:rFonts w:ascii="Arial" w:hAnsi="Arial" w:cs="Arial"/>
        </w:rPr>
        <w:fldChar w:fldCharType="end"/>
      </w:r>
      <w:r w:rsidRPr="00C12CF0">
        <w:rPr>
          <w:rFonts w:ascii="Arial" w:hAnsi="Arial" w:cs="Arial"/>
          <w:lang w:val="fr-FR"/>
        </w:rPr>
        <w:t xml:space="preserve">. </w:t>
      </w:r>
      <w:r w:rsidRPr="008F5B7F">
        <w:rPr>
          <w:rFonts w:ascii="Arial" w:hAnsi="Arial" w:cs="Arial"/>
        </w:rPr>
        <w:t>Their variable expression patterns across different sample types and populations underscore the need for a critical synthesis of the scientific literature.</w:t>
      </w:r>
    </w:p>
    <w:p w14:paraId="45A6F311" w14:textId="32D4D231" w:rsidR="00790ADA" w:rsidRDefault="008F5B7F" w:rsidP="00441B6F">
      <w:pPr>
        <w:pStyle w:val="Body"/>
        <w:spacing w:after="0"/>
        <w:rPr>
          <w:rFonts w:ascii="Arial" w:hAnsi="Arial" w:cs="Arial"/>
        </w:rPr>
      </w:pPr>
      <w:r w:rsidRPr="008F5B7F">
        <w:rPr>
          <w:rFonts w:ascii="Arial" w:hAnsi="Arial" w:cs="Arial"/>
        </w:rPr>
        <w:t>In this context, the present study conducts a systematic review and meta-analysis of available data on miR-21, miR-141, and miR-375 to evaluate their diagnostic performance in prostate cancer both individually and in combination across different biological fluids. The objective was to assess the added value of these miRNAs as non-invasive biomarkers compared to conventional diagnostic approaches, particularly PSA testing and biopsy.</w:t>
      </w:r>
    </w:p>
    <w:p w14:paraId="503C8C13" w14:textId="77777777" w:rsidR="00C12CF0" w:rsidRPr="00FB3A86" w:rsidRDefault="00C12CF0" w:rsidP="00441B6F">
      <w:pPr>
        <w:pStyle w:val="Body"/>
        <w:spacing w:after="0"/>
        <w:rPr>
          <w:rFonts w:ascii="Arial" w:hAnsi="Arial" w:cs="Arial"/>
        </w:rPr>
      </w:pPr>
    </w:p>
    <w:p w14:paraId="30C79ABC" w14:textId="3E3231FB" w:rsidR="007F7B32" w:rsidRDefault="00902823" w:rsidP="00441B6F">
      <w:pPr>
        <w:pStyle w:val="AbstHead"/>
        <w:spacing w:after="0"/>
        <w:jc w:val="both"/>
        <w:rPr>
          <w:rFonts w:ascii="Arial" w:hAnsi="Arial" w:cs="Arial"/>
        </w:rPr>
      </w:pPr>
      <w:r>
        <w:rPr>
          <w:rFonts w:ascii="Arial" w:hAnsi="Arial" w:cs="Arial"/>
        </w:rPr>
        <w:lastRenderedPageBreak/>
        <w:t xml:space="preserve">2. </w:t>
      </w:r>
      <w:r w:rsidR="00BF1214" w:rsidRPr="00BF1214">
        <w:rPr>
          <w:rFonts w:ascii="Arial" w:hAnsi="Arial" w:cs="Arial"/>
        </w:rPr>
        <w:t>Methodology</w:t>
      </w:r>
    </w:p>
    <w:p w14:paraId="7487E3AD" w14:textId="77777777" w:rsidR="00790ADA" w:rsidRPr="00FB3A86" w:rsidRDefault="00790ADA" w:rsidP="00441B6F">
      <w:pPr>
        <w:pStyle w:val="AbstHead"/>
        <w:spacing w:after="0"/>
        <w:jc w:val="both"/>
        <w:rPr>
          <w:rFonts w:ascii="Arial" w:hAnsi="Arial" w:cs="Arial"/>
        </w:rPr>
      </w:pPr>
    </w:p>
    <w:p w14:paraId="1840D904" w14:textId="7690EB36" w:rsidR="00B8131E" w:rsidRPr="00B8131E" w:rsidRDefault="00B8131E" w:rsidP="00B8131E">
      <w:pPr>
        <w:pStyle w:val="Body"/>
        <w:rPr>
          <w:rFonts w:ascii="Arial" w:hAnsi="Arial" w:cs="Arial"/>
        </w:rPr>
      </w:pPr>
      <w:r w:rsidRPr="00B8131E">
        <w:rPr>
          <w:rFonts w:ascii="Arial" w:hAnsi="Arial" w:cs="Arial"/>
        </w:rPr>
        <w:t xml:space="preserve">This meta-analysis was conducted in accordance with the PRISMA (Preferred Reporting Items for Systematic Reviews and Meta-Analyses) guidelines </w:t>
      </w:r>
      <w:r w:rsidR="00C12CF0">
        <w:rPr>
          <w:rFonts w:ascii="Arial" w:hAnsi="Arial" w:cs="Arial"/>
        </w:rPr>
        <w:fldChar w:fldCharType="begin"/>
      </w:r>
      <w:r w:rsidR="00F669DC">
        <w:rPr>
          <w:rFonts w:ascii="Arial" w:hAnsi="Arial" w:cs="Arial"/>
        </w:rPr>
        <w:instrText xml:space="preserve"> ADDIN ZOTERO_ITEM CSL_CITATION {"citationID":"ajk95aiug9","properties":{"formattedCitation":"(Page et al., 2021)","plainCitation":"(Page et al., 2021)","noteIndex":0},"citationItems":[{"id":8077,"uris":["http://zotero.org/users/3583561/items/QHT58UY3"],"itemData":{"id":8077,"type":"article-journal","abstract":"Matthew Page and co-authors describe PRISMA 2020, an updated reporting guideline for systematic reviews and meta-analyses.","container-title":"PLOS Medicine","DOI":"10.1371/journal.pmed.1003583","ISSN":"1549-1676","issue":"3","journalAbbreviation":"PLOS Medicine","language":"en","note":"publisher: Public Library of Science","page":"e1003583","source":"PLoS Journals","title":"The PRISMA 2020 statement: An updated guideline for reporting systematic reviews","title-short":"The PRISMA 2020 statement","URL":"https://journals.plos.org/plosmedicine/article?id=10.1371/journal.pmed.1003583","volume":"18","author":[{"family":"Page","given":"Matthew J."},{"family":"McKenzie","given":"Joanne E."},{"family":"Bossuyt","given":"Patrick M."},{"family":"Boutron","given":"Isabelle"},{"family":"Hoffmann","given":"Tammy C."},{"family":"Mulrow","given":"Cynthia D."},{"family":"Shamseer","given":"Larissa"},{"family":"Tetzlaff","given":"Jennifer M."},{"family":"Akl","given":"Elie A."},{"family":"Brennan","given":"Sue E."},{"family":"Chou","given":"Roger"},{"family":"Glanville","given":"Julie"},{"family":"Grimshaw","given":"Jeremy M."},{"family":"Hróbjartsson","given":"Asbjørn"},{"family":"Lalu","given":"Manoj M."},{"family":"Li","given":"Tianjing"},{"family":"Loder","given":"Elizabeth W."},{"family":"Mayo-Wilson","given":"Evan"},{"family":"McDonald","given":"Steve"},{"family":"McGuinness","given":"Luke A."},{"family":"Stewart","given":"Lesley A."},{"family":"Thomas","given":"James"},{"family":"Tricco","given":"Andrea C."},{"family":"Welch","given":"Vivian A."},{"family":"Whiting","given":"Penny"},{"family":"Moher","given":"David"}],"accessed":{"date-parts":[["2025",6,14]]},"issued":{"date-parts":[["2021",3,29]]}}}],"schema":"https://github.com/citation-style-language/schema/raw/master/csl-citation.json"} </w:instrText>
      </w:r>
      <w:r w:rsidR="00C12CF0">
        <w:rPr>
          <w:rFonts w:ascii="Arial" w:hAnsi="Arial" w:cs="Arial"/>
        </w:rPr>
        <w:fldChar w:fldCharType="separate"/>
      </w:r>
      <w:r w:rsidR="00F669DC" w:rsidRPr="00F669DC">
        <w:rPr>
          <w:rFonts w:ascii="Arial" w:hAnsi="Arial" w:cs="Arial"/>
        </w:rPr>
        <w:t>(Page et al., 2021)</w:t>
      </w:r>
      <w:r w:rsidR="00C12CF0">
        <w:rPr>
          <w:rFonts w:ascii="Arial" w:hAnsi="Arial" w:cs="Arial"/>
        </w:rPr>
        <w:fldChar w:fldCharType="end"/>
      </w:r>
      <w:r w:rsidRPr="00B8131E">
        <w:rPr>
          <w:rFonts w:ascii="Arial" w:hAnsi="Arial" w:cs="Arial"/>
        </w:rPr>
        <w:t>.</w:t>
      </w:r>
    </w:p>
    <w:p w14:paraId="68A71565" w14:textId="0AD2345E" w:rsidR="00BF1214" w:rsidRDefault="00B8131E" w:rsidP="00B8131E">
      <w:pPr>
        <w:pStyle w:val="Body"/>
        <w:spacing w:after="0"/>
        <w:rPr>
          <w:rFonts w:ascii="Arial" w:hAnsi="Arial" w:cs="Arial"/>
        </w:rPr>
      </w:pPr>
      <w:r w:rsidRPr="00B8131E">
        <w:rPr>
          <w:rFonts w:ascii="Arial" w:hAnsi="Arial" w:cs="Arial"/>
        </w:rPr>
        <w:t>To avoid duplication, we first verified the existence of similar systematic reviews and meta-analyses by searching the Cochrane Library and the PROSPERO registry. As our protocol was not prospectively registered in PROSPERO, this step also ensured transparency in the research process.</w:t>
      </w:r>
    </w:p>
    <w:p w14:paraId="4FF5F6AD" w14:textId="77777777" w:rsidR="00B8131E" w:rsidRPr="00FB3A86" w:rsidRDefault="00B8131E" w:rsidP="00B8131E">
      <w:pPr>
        <w:pStyle w:val="Body"/>
        <w:spacing w:after="0"/>
        <w:rPr>
          <w:rFonts w:ascii="Arial" w:hAnsi="Arial" w:cs="Arial"/>
        </w:rPr>
      </w:pPr>
    </w:p>
    <w:p w14:paraId="7347AE8D" w14:textId="0C407C39" w:rsidR="00BF1214" w:rsidRPr="00BF1214" w:rsidRDefault="00AA74E0" w:rsidP="00BF1214">
      <w:pPr>
        <w:pStyle w:val="Body"/>
        <w:rPr>
          <w:rFonts w:ascii="Arial" w:hAnsi="Arial" w:cs="Arial"/>
          <w:b/>
          <w:sz w:val="22"/>
        </w:rPr>
      </w:pPr>
      <w:r w:rsidRPr="00C30A0F">
        <w:rPr>
          <w:rFonts w:ascii="Arial" w:hAnsi="Arial" w:cs="Arial"/>
          <w:b/>
          <w:caps/>
          <w:sz w:val="22"/>
        </w:rPr>
        <w:t xml:space="preserve">2.1 </w:t>
      </w:r>
      <w:r w:rsidR="00BF1214" w:rsidRPr="00BF1214">
        <w:rPr>
          <w:rFonts w:ascii="Arial" w:hAnsi="Arial" w:cs="Arial"/>
          <w:b/>
          <w:sz w:val="22"/>
        </w:rPr>
        <w:t>Search Strategy</w:t>
      </w:r>
    </w:p>
    <w:p w14:paraId="75B3A2AB" w14:textId="2000545B" w:rsidR="00505F06" w:rsidRDefault="00BF1214" w:rsidP="00BF1214">
      <w:pPr>
        <w:pStyle w:val="Body"/>
        <w:spacing w:after="0"/>
        <w:rPr>
          <w:rFonts w:ascii="Arial" w:hAnsi="Arial" w:cs="Arial"/>
          <w:bCs/>
        </w:rPr>
      </w:pPr>
      <w:r w:rsidRPr="00BF1214">
        <w:rPr>
          <w:rFonts w:ascii="Arial" w:hAnsi="Arial" w:cs="Arial"/>
          <w:bCs/>
        </w:rPr>
        <w:t>A systematic literature search was conducted in PubMed, ScienceDirect, Embase, and Scopus for articles published between January 1, 2008, and April 30, 2025. The search strategy combined Medical Subject Headings (</w:t>
      </w:r>
      <w:proofErr w:type="spellStart"/>
      <w:r w:rsidRPr="00BF1214">
        <w:rPr>
          <w:rFonts w:ascii="Arial" w:hAnsi="Arial" w:cs="Arial"/>
          <w:bCs/>
        </w:rPr>
        <w:t>MeSH</w:t>
      </w:r>
      <w:proofErr w:type="spellEnd"/>
      <w:r w:rsidRPr="00BF1214">
        <w:rPr>
          <w:rFonts w:ascii="Arial" w:hAnsi="Arial" w:cs="Arial"/>
          <w:bCs/>
        </w:rPr>
        <w:t>) terms and keywords: "microRNA" OR "miRNA" OR "</w:t>
      </w:r>
      <w:proofErr w:type="spellStart"/>
      <w:r w:rsidRPr="00BF1214">
        <w:rPr>
          <w:rFonts w:ascii="Arial" w:hAnsi="Arial" w:cs="Arial"/>
          <w:bCs/>
        </w:rPr>
        <w:t>miR</w:t>
      </w:r>
      <w:proofErr w:type="spellEnd"/>
      <w:r w:rsidRPr="00BF1214">
        <w:rPr>
          <w:rFonts w:ascii="Arial" w:hAnsi="Arial" w:cs="Arial"/>
          <w:bCs/>
        </w:rPr>
        <w:t>" OR "</w:t>
      </w:r>
      <w:proofErr w:type="spellStart"/>
      <w:r w:rsidRPr="00BF1214">
        <w:rPr>
          <w:rFonts w:ascii="Arial" w:hAnsi="Arial" w:cs="Arial"/>
          <w:bCs/>
        </w:rPr>
        <w:t>hsa-miR</w:t>
      </w:r>
      <w:proofErr w:type="spellEnd"/>
      <w:r w:rsidRPr="00BF1214">
        <w:rPr>
          <w:rFonts w:ascii="Arial" w:hAnsi="Arial" w:cs="Arial"/>
          <w:bCs/>
        </w:rPr>
        <w:t>"; "circulating" OR "plasma" OR "exosomes" OR "serum" OR "urine"; Disease terms: "prostate cancer" OR "prostate carcinoma"; Diagnostic parameters: "diagnosis" OR "sensitivity" OR "specificity".</w:t>
      </w:r>
    </w:p>
    <w:p w14:paraId="4E358BC4" w14:textId="77777777" w:rsidR="00D26E02" w:rsidRDefault="00D26E02" w:rsidP="00BF1214">
      <w:pPr>
        <w:pStyle w:val="Body"/>
        <w:spacing w:after="0"/>
        <w:rPr>
          <w:rFonts w:ascii="Arial" w:hAnsi="Arial" w:cs="Arial"/>
          <w:bCs/>
        </w:rPr>
      </w:pPr>
    </w:p>
    <w:p w14:paraId="73C2D4C6" w14:textId="2A8924B8" w:rsidR="00D26E02" w:rsidRPr="00BF1214" w:rsidRDefault="00D26E02" w:rsidP="00D26E02">
      <w:pPr>
        <w:pStyle w:val="Body"/>
        <w:rPr>
          <w:rFonts w:ascii="Arial" w:hAnsi="Arial" w:cs="Arial"/>
          <w:b/>
          <w:sz w:val="22"/>
        </w:rPr>
      </w:pPr>
      <w:r w:rsidRPr="00D26E02">
        <w:rPr>
          <w:rFonts w:ascii="Arial" w:hAnsi="Arial" w:cs="Arial"/>
          <w:b/>
          <w:sz w:val="22"/>
        </w:rPr>
        <w:t>2.2.</w:t>
      </w:r>
      <w:r w:rsidRPr="00D26E02">
        <w:rPr>
          <w:rFonts w:ascii="Arial" w:hAnsi="Arial" w:cs="Arial"/>
          <w:b/>
          <w:sz w:val="22"/>
        </w:rPr>
        <w:tab/>
        <w:t>Eligibility criteria</w:t>
      </w:r>
    </w:p>
    <w:p w14:paraId="00E40A91" w14:textId="77777777" w:rsidR="00D26E02" w:rsidRPr="00D26E02" w:rsidRDefault="00D26E02" w:rsidP="00312231">
      <w:pPr>
        <w:pStyle w:val="Body"/>
        <w:spacing w:after="0"/>
        <w:rPr>
          <w:rFonts w:ascii="Arial" w:hAnsi="Arial" w:cs="Arial"/>
          <w:bCs/>
        </w:rPr>
      </w:pPr>
      <w:r w:rsidRPr="00D26E02">
        <w:rPr>
          <w:rFonts w:ascii="Arial" w:hAnsi="Arial" w:cs="Arial"/>
          <w:bCs/>
        </w:rPr>
        <w:t>This meta-analysis included studies involving patients with prostate cancer (</w:t>
      </w:r>
      <w:proofErr w:type="spellStart"/>
      <w:r w:rsidRPr="00D26E02">
        <w:rPr>
          <w:rFonts w:ascii="Arial" w:hAnsi="Arial" w:cs="Arial"/>
          <w:bCs/>
        </w:rPr>
        <w:t>PCa</w:t>
      </w:r>
      <w:proofErr w:type="spellEnd"/>
      <w:r w:rsidRPr="00D26E02">
        <w:rPr>
          <w:rFonts w:ascii="Arial" w:hAnsi="Arial" w:cs="Arial"/>
          <w:bCs/>
        </w:rPr>
        <w:t>) that met the following criteria:</w:t>
      </w:r>
    </w:p>
    <w:p w14:paraId="1AC18547" w14:textId="77777777" w:rsidR="00D26E02" w:rsidRDefault="00D26E02" w:rsidP="008667F4">
      <w:pPr>
        <w:pStyle w:val="Body"/>
        <w:numPr>
          <w:ilvl w:val="0"/>
          <w:numId w:val="2"/>
        </w:numPr>
        <w:spacing w:after="0"/>
        <w:rPr>
          <w:rFonts w:ascii="Arial" w:hAnsi="Arial" w:cs="Arial"/>
          <w:bCs/>
        </w:rPr>
      </w:pPr>
      <w:r w:rsidRPr="00D26E02">
        <w:rPr>
          <w:rFonts w:ascii="Arial" w:hAnsi="Arial" w:cs="Arial"/>
          <w:bCs/>
        </w:rPr>
        <w:t>Population: Studies involving patients diagnosed with prostate cancer (</w:t>
      </w:r>
      <w:proofErr w:type="spellStart"/>
      <w:r w:rsidRPr="00D26E02">
        <w:rPr>
          <w:rFonts w:ascii="Arial" w:hAnsi="Arial" w:cs="Arial"/>
          <w:bCs/>
        </w:rPr>
        <w:t>PCa</w:t>
      </w:r>
      <w:proofErr w:type="spellEnd"/>
      <w:r w:rsidRPr="00D26E02">
        <w:rPr>
          <w:rFonts w:ascii="Arial" w:hAnsi="Arial" w:cs="Arial"/>
          <w:bCs/>
        </w:rPr>
        <w:t>), with diagnosis confirmed by prostate biopsy (reference standard).</w:t>
      </w:r>
    </w:p>
    <w:p w14:paraId="4240B572" w14:textId="77777777" w:rsidR="00D26E02" w:rsidRDefault="00D26E02" w:rsidP="008667F4">
      <w:pPr>
        <w:pStyle w:val="Body"/>
        <w:numPr>
          <w:ilvl w:val="0"/>
          <w:numId w:val="2"/>
        </w:numPr>
        <w:spacing w:after="0"/>
        <w:rPr>
          <w:rFonts w:ascii="Arial" w:hAnsi="Arial" w:cs="Arial"/>
          <w:bCs/>
        </w:rPr>
      </w:pPr>
      <w:r w:rsidRPr="00D26E02">
        <w:rPr>
          <w:rFonts w:ascii="Arial" w:hAnsi="Arial" w:cs="Arial"/>
          <w:bCs/>
        </w:rPr>
        <w:t>Index test: Evaluation of circulating microRNAs miR-21, miR-141, and miR-375 using quantitative real-time PCR (</w:t>
      </w:r>
      <w:proofErr w:type="spellStart"/>
      <w:r w:rsidRPr="00D26E02">
        <w:rPr>
          <w:rFonts w:ascii="Arial" w:hAnsi="Arial" w:cs="Arial"/>
          <w:bCs/>
        </w:rPr>
        <w:t>qRT</w:t>
      </w:r>
      <w:proofErr w:type="spellEnd"/>
      <w:r w:rsidRPr="00D26E02">
        <w:rPr>
          <w:rFonts w:ascii="Arial" w:hAnsi="Arial" w:cs="Arial"/>
          <w:bCs/>
        </w:rPr>
        <w:t>-PCR) from biological fluids (serum, plasma, urine), exosomes, or whole blood cells.</w:t>
      </w:r>
    </w:p>
    <w:p w14:paraId="3170CB39" w14:textId="77777777" w:rsidR="00D26E02" w:rsidRDefault="00D26E02" w:rsidP="008667F4">
      <w:pPr>
        <w:pStyle w:val="Body"/>
        <w:numPr>
          <w:ilvl w:val="0"/>
          <w:numId w:val="2"/>
        </w:numPr>
        <w:spacing w:after="0"/>
        <w:rPr>
          <w:rFonts w:ascii="Arial" w:hAnsi="Arial" w:cs="Arial"/>
          <w:bCs/>
        </w:rPr>
      </w:pPr>
      <w:r w:rsidRPr="00D26E02">
        <w:rPr>
          <w:rFonts w:ascii="Arial" w:hAnsi="Arial" w:cs="Arial"/>
          <w:bCs/>
        </w:rPr>
        <w:t>Comparator: Studies including control groups composed of healthy individuals or patients with benign prostatic hyperplasia (BPH) (case–control design).</w:t>
      </w:r>
    </w:p>
    <w:p w14:paraId="49DE7D0C" w14:textId="77777777" w:rsidR="00D26E02" w:rsidRDefault="00D26E02" w:rsidP="008667F4">
      <w:pPr>
        <w:pStyle w:val="Body"/>
        <w:numPr>
          <w:ilvl w:val="0"/>
          <w:numId w:val="2"/>
        </w:numPr>
        <w:spacing w:after="0"/>
        <w:rPr>
          <w:rFonts w:ascii="Arial" w:hAnsi="Arial" w:cs="Arial"/>
          <w:bCs/>
        </w:rPr>
      </w:pPr>
      <w:r w:rsidRPr="00D26E02">
        <w:rPr>
          <w:rFonts w:ascii="Arial" w:hAnsi="Arial" w:cs="Arial"/>
          <w:bCs/>
        </w:rPr>
        <w:t xml:space="preserve">Reference standard: Histopathological confirmation of </w:t>
      </w:r>
      <w:proofErr w:type="spellStart"/>
      <w:r w:rsidRPr="00D26E02">
        <w:rPr>
          <w:rFonts w:ascii="Arial" w:hAnsi="Arial" w:cs="Arial"/>
          <w:bCs/>
        </w:rPr>
        <w:t>PCa</w:t>
      </w:r>
      <w:proofErr w:type="spellEnd"/>
      <w:r w:rsidRPr="00D26E02">
        <w:rPr>
          <w:rFonts w:ascii="Arial" w:hAnsi="Arial" w:cs="Arial"/>
          <w:bCs/>
        </w:rPr>
        <w:t xml:space="preserve"> based on prostate biopsy, consistent with international urology guidelines (AFU, EAU, AUA, NCCN).</w:t>
      </w:r>
    </w:p>
    <w:p w14:paraId="55EA8CD8" w14:textId="5D20CA49" w:rsidR="00D26E02" w:rsidRDefault="00D26E02" w:rsidP="008667F4">
      <w:pPr>
        <w:pStyle w:val="Body"/>
        <w:numPr>
          <w:ilvl w:val="0"/>
          <w:numId w:val="2"/>
        </w:numPr>
        <w:spacing w:after="0"/>
        <w:rPr>
          <w:rFonts w:ascii="Arial" w:hAnsi="Arial" w:cs="Arial"/>
          <w:bCs/>
        </w:rPr>
      </w:pPr>
      <w:r w:rsidRPr="00D26E02">
        <w:rPr>
          <w:rFonts w:ascii="Arial" w:hAnsi="Arial" w:cs="Arial"/>
          <w:bCs/>
        </w:rPr>
        <w:t>Outcomes: Studies reporting sufficient data to construct 2×2 contingency tables (TP, FP, TN, FN) for diagnostic accuracy analysis with explicitly defined case criteria.</w:t>
      </w:r>
    </w:p>
    <w:p w14:paraId="2C30913D" w14:textId="4F67A324" w:rsidR="00D26E02" w:rsidRPr="00D26E02" w:rsidRDefault="00D26E02" w:rsidP="008667F4">
      <w:pPr>
        <w:pStyle w:val="Body"/>
        <w:numPr>
          <w:ilvl w:val="0"/>
          <w:numId w:val="2"/>
        </w:numPr>
        <w:spacing w:after="0"/>
        <w:rPr>
          <w:rFonts w:ascii="Arial" w:hAnsi="Arial" w:cs="Arial"/>
          <w:bCs/>
        </w:rPr>
      </w:pPr>
      <w:r w:rsidRPr="00D26E02">
        <w:rPr>
          <w:rFonts w:ascii="Arial" w:hAnsi="Arial" w:cs="Arial"/>
          <w:bCs/>
        </w:rPr>
        <w:t>Study types: Original, peer-reviewed articles published in English or French.</w:t>
      </w:r>
    </w:p>
    <w:p w14:paraId="41482816" w14:textId="77777777" w:rsidR="00D26E02" w:rsidRDefault="00D26E02" w:rsidP="00D26E02">
      <w:pPr>
        <w:pStyle w:val="Body"/>
        <w:spacing w:after="0"/>
        <w:rPr>
          <w:rFonts w:ascii="Arial" w:hAnsi="Arial" w:cs="Arial"/>
          <w:bCs/>
        </w:rPr>
      </w:pPr>
    </w:p>
    <w:p w14:paraId="71285F3C" w14:textId="3E3C3495" w:rsidR="00D26E02" w:rsidRDefault="00D26E02" w:rsidP="00BF1214">
      <w:pPr>
        <w:pStyle w:val="Body"/>
        <w:spacing w:after="0"/>
        <w:rPr>
          <w:rFonts w:ascii="Arial" w:hAnsi="Arial" w:cs="Arial"/>
          <w:b/>
          <w:sz w:val="22"/>
          <w:szCs w:val="22"/>
        </w:rPr>
      </w:pPr>
      <w:r w:rsidRPr="00D26E02">
        <w:rPr>
          <w:rFonts w:ascii="Arial" w:hAnsi="Arial" w:cs="Arial"/>
          <w:b/>
          <w:sz w:val="22"/>
          <w:szCs w:val="22"/>
        </w:rPr>
        <w:t>2.3.</w:t>
      </w:r>
      <w:r w:rsidRPr="00D26E02">
        <w:rPr>
          <w:rFonts w:ascii="Arial" w:hAnsi="Arial" w:cs="Arial"/>
          <w:b/>
          <w:sz w:val="22"/>
          <w:szCs w:val="22"/>
        </w:rPr>
        <w:tab/>
        <w:t>Exclusion Criteria</w:t>
      </w:r>
      <w:r>
        <w:rPr>
          <w:rFonts w:ascii="Arial" w:hAnsi="Arial" w:cs="Arial"/>
          <w:b/>
          <w:sz w:val="22"/>
          <w:szCs w:val="22"/>
        </w:rPr>
        <w:t xml:space="preserve"> </w:t>
      </w:r>
    </w:p>
    <w:p w14:paraId="67333531" w14:textId="77777777" w:rsidR="00D26E02" w:rsidRDefault="00D26E02" w:rsidP="00BF1214">
      <w:pPr>
        <w:pStyle w:val="Body"/>
        <w:spacing w:after="0"/>
        <w:rPr>
          <w:rFonts w:ascii="Arial" w:hAnsi="Arial" w:cs="Arial"/>
          <w:b/>
          <w:sz w:val="22"/>
          <w:szCs w:val="22"/>
        </w:rPr>
      </w:pPr>
    </w:p>
    <w:p w14:paraId="6E9FD708" w14:textId="77777777" w:rsidR="00D26E02" w:rsidRPr="00D26E02" w:rsidRDefault="00D26E02" w:rsidP="00312231">
      <w:pPr>
        <w:pStyle w:val="Body"/>
        <w:spacing w:after="0"/>
        <w:rPr>
          <w:rFonts w:ascii="Arial" w:hAnsi="Arial" w:cs="Arial"/>
          <w:bCs/>
        </w:rPr>
      </w:pPr>
      <w:r w:rsidRPr="00D26E02">
        <w:rPr>
          <w:rFonts w:ascii="Arial" w:hAnsi="Arial" w:cs="Arial"/>
          <w:bCs/>
        </w:rPr>
        <w:t>The following studies were excluded:</w:t>
      </w:r>
    </w:p>
    <w:p w14:paraId="4B38FB7F" w14:textId="77777777" w:rsidR="00D26E02" w:rsidRDefault="00D26E02" w:rsidP="008667F4">
      <w:pPr>
        <w:pStyle w:val="Body"/>
        <w:numPr>
          <w:ilvl w:val="0"/>
          <w:numId w:val="3"/>
        </w:numPr>
        <w:spacing w:after="0"/>
        <w:rPr>
          <w:rFonts w:ascii="Arial" w:hAnsi="Arial" w:cs="Arial"/>
          <w:bCs/>
        </w:rPr>
      </w:pPr>
      <w:r w:rsidRPr="00D26E02">
        <w:rPr>
          <w:rFonts w:ascii="Arial" w:hAnsi="Arial" w:cs="Arial"/>
          <w:bCs/>
        </w:rPr>
        <w:t>Animal studies.</w:t>
      </w:r>
    </w:p>
    <w:p w14:paraId="1F5F0052" w14:textId="77777777" w:rsidR="00D26E02" w:rsidRDefault="00D26E02" w:rsidP="008667F4">
      <w:pPr>
        <w:pStyle w:val="Body"/>
        <w:numPr>
          <w:ilvl w:val="0"/>
          <w:numId w:val="3"/>
        </w:numPr>
        <w:spacing w:after="0"/>
        <w:rPr>
          <w:rFonts w:ascii="Arial" w:hAnsi="Arial" w:cs="Arial"/>
          <w:bCs/>
        </w:rPr>
      </w:pPr>
      <w:r w:rsidRPr="00D26E02">
        <w:rPr>
          <w:rFonts w:ascii="Arial" w:hAnsi="Arial" w:cs="Arial"/>
          <w:bCs/>
        </w:rPr>
        <w:t>Studies with insufficient data for calculating sensitivity and specificity.</w:t>
      </w:r>
    </w:p>
    <w:p w14:paraId="49090433" w14:textId="77777777" w:rsidR="00D26E02" w:rsidRDefault="00D26E02" w:rsidP="008667F4">
      <w:pPr>
        <w:pStyle w:val="Body"/>
        <w:numPr>
          <w:ilvl w:val="0"/>
          <w:numId w:val="3"/>
        </w:numPr>
        <w:spacing w:after="0"/>
        <w:rPr>
          <w:rFonts w:ascii="Arial" w:hAnsi="Arial" w:cs="Arial"/>
          <w:bCs/>
        </w:rPr>
      </w:pPr>
      <w:r w:rsidRPr="00D26E02">
        <w:rPr>
          <w:rFonts w:ascii="Arial" w:hAnsi="Arial" w:cs="Arial"/>
          <w:bCs/>
        </w:rPr>
        <w:t xml:space="preserve"> Redundant publications, including:</w:t>
      </w:r>
    </w:p>
    <w:p w14:paraId="5CC08CE6" w14:textId="77777777" w:rsidR="00D26E02" w:rsidRDefault="00D26E02" w:rsidP="008667F4">
      <w:pPr>
        <w:pStyle w:val="Body"/>
        <w:numPr>
          <w:ilvl w:val="0"/>
          <w:numId w:val="3"/>
        </w:numPr>
        <w:spacing w:after="0"/>
        <w:rPr>
          <w:rFonts w:ascii="Arial" w:hAnsi="Arial" w:cs="Arial"/>
          <w:bCs/>
        </w:rPr>
      </w:pPr>
      <w:r w:rsidRPr="00D26E02">
        <w:rPr>
          <w:rFonts w:ascii="Arial" w:hAnsi="Arial" w:cs="Arial"/>
          <w:bCs/>
        </w:rPr>
        <w:t>Studies reporting data already described in other articles</w:t>
      </w:r>
    </w:p>
    <w:p w14:paraId="7F791FD1" w14:textId="77777777" w:rsidR="00D26E02" w:rsidRDefault="00D26E02" w:rsidP="008667F4">
      <w:pPr>
        <w:pStyle w:val="Body"/>
        <w:numPr>
          <w:ilvl w:val="0"/>
          <w:numId w:val="3"/>
        </w:numPr>
        <w:spacing w:after="0"/>
        <w:rPr>
          <w:rFonts w:ascii="Arial" w:hAnsi="Arial" w:cs="Arial"/>
          <w:bCs/>
        </w:rPr>
      </w:pPr>
      <w:r w:rsidRPr="00D26E02">
        <w:rPr>
          <w:rFonts w:ascii="Arial" w:hAnsi="Arial" w:cs="Arial"/>
          <w:bCs/>
        </w:rPr>
        <w:t>Systematic reviews and meta-analyses.</w:t>
      </w:r>
    </w:p>
    <w:p w14:paraId="05B87597" w14:textId="77777777" w:rsidR="00D26E02" w:rsidRDefault="00D26E02" w:rsidP="008667F4">
      <w:pPr>
        <w:pStyle w:val="Body"/>
        <w:numPr>
          <w:ilvl w:val="0"/>
          <w:numId w:val="3"/>
        </w:numPr>
        <w:spacing w:after="0"/>
        <w:rPr>
          <w:rFonts w:ascii="Arial" w:hAnsi="Arial" w:cs="Arial"/>
          <w:bCs/>
        </w:rPr>
      </w:pPr>
      <w:r w:rsidRPr="00D26E02">
        <w:rPr>
          <w:rFonts w:ascii="Arial" w:hAnsi="Arial" w:cs="Arial"/>
          <w:bCs/>
        </w:rPr>
        <w:t>Incomplete datasets.</w:t>
      </w:r>
    </w:p>
    <w:p w14:paraId="5D696571" w14:textId="4FD76CDF" w:rsidR="00D26E02" w:rsidRDefault="00D26E02" w:rsidP="008667F4">
      <w:pPr>
        <w:pStyle w:val="Body"/>
        <w:numPr>
          <w:ilvl w:val="0"/>
          <w:numId w:val="3"/>
        </w:numPr>
        <w:spacing w:after="0"/>
        <w:rPr>
          <w:rFonts w:ascii="Arial" w:hAnsi="Arial" w:cs="Arial"/>
          <w:bCs/>
        </w:rPr>
      </w:pPr>
      <w:r w:rsidRPr="00D26E02">
        <w:rPr>
          <w:rFonts w:ascii="Arial" w:hAnsi="Arial" w:cs="Arial"/>
          <w:bCs/>
        </w:rPr>
        <w:t xml:space="preserve">Studies with sample sizes &lt;25 (to minimize bias in pooled analyses) </w:t>
      </w:r>
      <w:r w:rsidR="00C12CF0">
        <w:rPr>
          <w:rFonts w:ascii="Arial" w:hAnsi="Arial" w:cs="Arial"/>
          <w:bCs/>
        </w:rPr>
        <w:fldChar w:fldCharType="begin"/>
      </w:r>
      <w:r w:rsidR="00F669DC">
        <w:rPr>
          <w:rFonts w:ascii="Arial" w:hAnsi="Arial" w:cs="Arial"/>
          <w:bCs/>
        </w:rPr>
        <w:instrText xml:space="preserve"> ADDIN ZOTERO_ITEM CSL_CITATION {"citationID":"a2or1sjkapi","properties":{"formattedCitation":"(Beets et al., 2023)","plainCitation":"(Beets et al., 2023)","noteIndex":0},"citationItems":[{"id":8083,"uris":["http://zotero.org/groups/5148055/items/INNDYT7T"],"itemData":{"id":8083,"type":"article-journal","abstract":"Pilot/feasibility or studies with small sample sizes may be associated with inflated effects. This study explores the vibration of effect sizes (VoE) in meta-analyses when considering different inclusion criteria based upon sample size or pilot/feasibility status.","container-title":"Systematic Reviews","DOI":"10.1186/s13643-023-02184-7","ISSN":"2046-4053","issue":"1","journalAbbreviation":"Systematic Reviews","page":"21","source":"BioMed Central","title":"Influence of pilot and small trials in meta-analyses of behavioral interventions: a meta-epidemiological study","title-short":"Influence of pilot and small trials in meta-analyses of behavioral interventions","URL":"https://doi.org/10.1186/s13643-023-02184-7","volume":"12","author":[{"family":"Beets","given":"Michael W."},{"family":"Weaver","given":"R. Glenn"},{"family":"Ioannidis","given":"John P. A."},{"family":"Pfledderer","given":"Christopher D."},{"family":"Jones","given":"Alexis"},{"family":"Klinggraeff","given":"Lauren","non-dropping-particle":"von"},{"family":"Armstrong","given":"Bridget"}],"accessed":{"date-parts":[["2025",6,14]]},"issued":{"date-parts":[["2023",2,18]]}}}],"schema":"https://github.com/citation-style-language/schema/raw/master/csl-citation.json"} </w:instrText>
      </w:r>
      <w:r w:rsidR="00C12CF0">
        <w:rPr>
          <w:rFonts w:ascii="Arial" w:hAnsi="Arial" w:cs="Arial"/>
          <w:bCs/>
        </w:rPr>
        <w:fldChar w:fldCharType="separate"/>
      </w:r>
      <w:r w:rsidR="00F669DC" w:rsidRPr="00F669DC">
        <w:rPr>
          <w:rFonts w:ascii="Arial" w:hAnsi="Arial" w:cs="Arial"/>
        </w:rPr>
        <w:t>(Beets et al., 2023)</w:t>
      </w:r>
      <w:r w:rsidR="00C12CF0">
        <w:rPr>
          <w:rFonts w:ascii="Arial" w:hAnsi="Arial" w:cs="Arial"/>
          <w:bCs/>
        </w:rPr>
        <w:fldChar w:fldCharType="end"/>
      </w:r>
      <w:r w:rsidR="00312231">
        <w:rPr>
          <w:rFonts w:ascii="Arial" w:hAnsi="Arial" w:cs="Arial"/>
          <w:bCs/>
        </w:rPr>
        <w:t xml:space="preserve">. </w:t>
      </w:r>
    </w:p>
    <w:p w14:paraId="2E79F083" w14:textId="77777777" w:rsidR="00312231" w:rsidRDefault="00312231" w:rsidP="00312231">
      <w:pPr>
        <w:pStyle w:val="Body"/>
        <w:spacing w:after="0"/>
        <w:ind w:left="502"/>
        <w:rPr>
          <w:rFonts w:ascii="Arial" w:hAnsi="Arial" w:cs="Arial"/>
          <w:bCs/>
        </w:rPr>
      </w:pPr>
    </w:p>
    <w:p w14:paraId="2F658C06" w14:textId="16E8C145" w:rsidR="00D26E02" w:rsidRPr="00D26E02" w:rsidRDefault="00D26E02" w:rsidP="00D26E02">
      <w:pPr>
        <w:pStyle w:val="Body"/>
        <w:spacing w:after="0"/>
        <w:rPr>
          <w:rFonts w:ascii="Arial" w:hAnsi="Arial" w:cs="Arial"/>
          <w:b/>
          <w:sz w:val="22"/>
          <w:szCs w:val="22"/>
        </w:rPr>
      </w:pPr>
      <w:r w:rsidRPr="00D26E02">
        <w:rPr>
          <w:rFonts w:ascii="Arial" w:hAnsi="Arial" w:cs="Arial"/>
          <w:b/>
          <w:sz w:val="22"/>
          <w:szCs w:val="22"/>
        </w:rPr>
        <w:t>2.4.</w:t>
      </w:r>
      <w:r w:rsidRPr="00D26E02">
        <w:rPr>
          <w:rFonts w:ascii="Arial" w:hAnsi="Arial" w:cs="Arial"/>
          <w:b/>
          <w:sz w:val="22"/>
          <w:szCs w:val="22"/>
        </w:rPr>
        <w:tab/>
        <w:t>Data Extraction Procedures</w:t>
      </w:r>
    </w:p>
    <w:p w14:paraId="56C44240" w14:textId="77777777" w:rsidR="00D26E02" w:rsidRPr="00D26E02" w:rsidRDefault="00D26E02" w:rsidP="00BF1214">
      <w:pPr>
        <w:pStyle w:val="Body"/>
        <w:spacing w:after="0"/>
        <w:rPr>
          <w:rFonts w:ascii="Arial" w:hAnsi="Arial" w:cs="Arial"/>
          <w:b/>
          <w:sz w:val="22"/>
          <w:szCs w:val="22"/>
        </w:rPr>
      </w:pPr>
    </w:p>
    <w:p w14:paraId="0F2F64DB" w14:textId="77777777" w:rsidR="00312231" w:rsidRPr="00312231" w:rsidRDefault="00312231" w:rsidP="00312231">
      <w:pPr>
        <w:pStyle w:val="Body"/>
        <w:spacing w:after="0"/>
        <w:rPr>
          <w:rFonts w:ascii="Arial" w:hAnsi="Arial" w:cs="Arial"/>
          <w:bCs/>
        </w:rPr>
      </w:pPr>
      <w:r w:rsidRPr="00312231">
        <w:rPr>
          <w:rFonts w:ascii="Arial" w:hAnsi="Arial" w:cs="Arial"/>
          <w:bCs/>
        </w:rPr>
        <w:t>The following data were systematically extracted from the selected studies:</w:t>
      </w:r>
    </w:p>
    <w:p w14:paraId="7D671D90" w14:textId="77777777" w:rsidR="00312231" w:rsidRDefault="00312231" w:rsidP="008667F4">
      <w:pPr>
        <w:pStyle w:val="Body"/>
        <w:numPr>
          <w:ilvl w:val="0"/>
          <w:numId w:val="4"/>
        </w:numPr>
        <w:spacing w:after="0"/>
        <w:rPr>
          <w:rFonts w:ascii="Arial" w:hAnsi="Arial" w:cs="Arial"/>
          <w:bCs/>
        </w:rPr>
      </w:pPr>
      <w:r w:rsidRPr="00312231">
        <w:rPr>
          <w:rFonts w:ascii="Arial" w:hAnsi="Arial" w:cs="Arial"/>
          <w:bCs/>
        </w:rPr>
        <w:t>Study identification: First author, publication year, country of participant recruitment.</w:t>
      </w:r>
    </w:p>
    <w:p w14:paraId="60B5C5D1" w14:textId="77777777" w:rsidR="00312231" w:rsidRDefault="00312231" w:rsidP="008667F4">
      <w:pPr>
        <w:pStyle w:val="Body"/>
        <w:numPr>
          <w:ilvl w:val="0"/>
          <w:numId w:val="4"/>
        </w:numPr>
        <w:spacing w:after="0"/>
        <w:rPr>
          <w:rFonts w:ascii="Arial" w:hAnsi="Arial" w:cs="Arial"/>
          <w:bCs/>
        </w:rPr>
      </w:pPr>
      <w:r w:rsidRPr="00312231">
        <w:rPr>
          <w:rFonts w:ascii="Arial" w:hAnsi="Arial" w:cs="Arial"/>
          <w:bCs/>
        </w:rPr>
        <w:lastRenderedPageBreak/>
        <w:t>Study design: Sample type (serum, plasma, urine, exosomes, PBMCs), control group composition (healthy individuals or BPH patients), sample size.</w:t>
      </w:r>
    </w:p>
    <w:p w14:paraId="3944475F" w14:textId="77777777" w:rsidR="00312231" w:rsidRDefault="00312231" w:rsidP="008667F4">
      <w:pPr>
        <w:pStyle w:val="Body"/>
        <w:numPr>
          <w:ilvl w:val="0"/>
          <w:numId w:val="4"/>
        </w:numPr>
        <w:spacing w:after="0"/>
        <w:rPr>
          <w:rFonts w:ascii="Arial" w:hAnsi="Arial" w:cs="Arial"/>
          <w:bCs/>
        </w:rPr>
      </w:pPr>
      <w:r w:rsidRPr="00312231">
        <w:rPr>
          <w:rFonts w:ascii="Arial" w:hAnsi="Arial" w:cs="Arial"/>
          <w:bCs/>
        </w:rPr>
        <w:t>miRNA analysis: Investigated biomarker miRNAs (miR-21, miR-141, miR-375),</w:t>
      </w:r>
    </w:p>
    <w:p w14:paraId="05C93168" w14:textId="3E9A1C81" w:rsidR="00312231" w:rsidRPr="00312231" w:rsidRDefault="00312231" w:rsidP="008667F4">
      <w:pPr>
        <w:pStyle w:val="Body"/>
        <w:numPr>
          <w:ilvl w:val="0"/>
          <w:numId w:val="4"/>
        </w:numPr>
        <w:spacing w:after="0"/>
        <w:rPr>
          <w:rFonts w:ascii="Arial" w:hAnsi="Arial" w:cs="Arial"/>
          <w:bCs/>
        </w:rPr>
      </w:pPr>
      <w:r w:rsidRPr="00312231">
        <w:rPr>
          <w:rFonts w:ascii="Arial" w:hAnsi="Arial" w:cs="Arial"/>
          <w:bCs/>
        </w:rPr>
        <w:t>Diagnostic performance metrics:</w:t>
      </w:r>
    </w:p>
    <w:p w14:paraId="0FE13EE0" w14:textId="77777777" w:rsidR="00312231" w:rsidRDefault="00312231" w:rsidP="008667F4">
      <w:pPr>
        <w:pStyle w:val="Body"/>
        <w:numPr>
          <w:ilvl w:val="0"/>
          <w:numId w:val="5"/>
        </w:numPr>
        <w:spacing w:after="0"/>
        <w:rPr>
          <w:rFonts w:ascii="Arial" w:hAnsi="Arial" w:cs="Arial"/>
          <w:bCs/>
        </w:rPr>
      </w:pPr>
      <w:r w:rsidRPr="00312231">
        <w:rPr>
          <w:rFonts w:ascii="Arial" w:hAnsi="Arial" w:cs="Arial"/>
          <w:bCs/>
        </w:rPr>
        <w:t>Sensitivity (SEN) and specificity (SPE),</w:t>
      </w:r>
    </w:p>
    <w:p w14:paraId="67B16A91" w14:textId="77777777" w:rsidR="00312231" w:rsidRDefault="00312231" w:rsidP="008667F4">
      <w:pPr>
        <w:pStyle w:val="Body"/>
        <w:numPr>
          <w:ilvl w:val="0"/>
          <w:numId w:val="5"/>
        </w:numPr>
        <w:spacing w:after="0"/>
        <w:rPr>
          <w:rFonts w:ascii="Arial" w:hAnsi="Arial" w:cs="Arial"/>
          <w:bCs/>
        </w:rPr>
      </w:pPr>
      <w:r w:rsidRPr="00312231">
        <w:rPr>
          <w:rFonts w:ascii="Arial" w:hAnsi="Arial" w:cs="Arial"/>
          <w:bCs/>
        </w:rPr>
        <w:t>Area under the curve (AUC),</w:t>
      </w:r>
    </w:p>
    <w:p w14:paraId="50065412" w14:textId="3FA7EE70" w:rsidR="00312231" w:rsidRDefault="00312231" w:rsidP="008667F4">
      <w:pPr>
        <w:pStyle w:val="Body"/>
        <w:numPr>
          <w:ilvl w:val="0"/>
          <w:numId w:val="5"/>
        </w:numPr>
        <w:spacing w:after="0"/>
        <w:rPr>
          <w:rFonts w:ascii="Arial" w:hAnsi="Arial" w:cs="Arial"/>
          <w:bCs/>
        </w:rPr>
      </w:pPr>
      <w:r w:rsidRPr="00312231">
        <w:rPr>
          <w:rFonts w:ascii="Arial" w:hAnsi="Arial" w:cs="Arial"/>
          <w:bCs/>
        </w:rPr>
        <w:t>Contingency table data: true positives (TP), false positives (FP), false negatives (FN), true negatives (TN).</w:t>
      </w:r>
    </w:p>
    <w:p w14:paraId="42626E31" w14:textId="77777777" w:rsidR="00312231" w:rsidRPr="00312231" w:rsidRDefault="00312231" w:rsidP="00312231">
      <w:pPr>
        <w:pStyle w:val="Body"/>
        <w:spacing w:after="0"/>
        <w:ind w:left="928"/>
        <w:rPr>
          <w:rFonts w:ascii="Arial" w:hAnsi="Arial" w:cs="Arial"/>
          <w:bCs/>
        </w:rPr>
      </w:pPr>
    </w:p>
    <w:p w14:paraId="536ECDB3" w14:textId="30D1954E" w:rsidR="00312231" w:rsidRPr="00D26E02" w:rsidRDefault="00312231" w:rsidP="00312231">
      <w:pPr>
        <w:pStyle w:val="Body"/>
        <w:spacing w:after="0"/>
        <w:rPr>
          <w:rFonts w:ascii="Arial" w:hAnsi="Arial" w:cs="Arial"/>
          <w:b/>
          <w:sz w:val="22"/>
          <w:szCs w:val="22"/>
        </w:rPr>
      </w:pPr>
      <w:r w:rsidRPr="00312231">
        <w:rPr>
          <w:rFonts w:ascii="Arial" w:hAnsi="Arial" w:cs="Arial"/>
          <w:b/>
          <w:sz w:val="22"/>
          <w:szCs w:val="22"/>
        </w:rPr>
        <w:t>2.5.</w:t>
      </w:r>
      <w:r w:rsidRPr="00312231">
        <w:rPr>
          <w:rFonts w:ascii="Arial" w:hAnsi="Arial" w:cs="Arial"/>
          <w:b/>
          <w:sz w:val="22"/>
          <w:szCs w:val="22"/>
        </w:rPr>
        <w:tab/>
        <w:t>Assessment of Methodological Quality</w:t>
      </w:r>
      <w:r>
        <w:rPr>
          <w:rFonts w:ascii="Arial" w:hAnsi="Arial" w:cs="Arial"/>
          <w:b/>
          <w:sz w:val="22"/>
          <w:szCs w:val="22"/>
        </w:rPr>
        <w:t xml:space="preserve"> </w:t>
      </w:r>
    </w:p>
    <w:p w14:paraId="49878D3A" w14:textId="77777777" w:rsidR="00312231" w:rsidRDefault="00312231" w:rsidP="00312231">
      <w:pPr>
        <w:pStyle w:val="Body"/>
        <w:spacing w:after="0"/>
        <w:rPr>
          <w:rFonts w:ascii="Arial" w:hAnsi="Arial" w:cs="Arial"/>
          <w:bCs/>
        </w:rPr>
      </w:pPr>
    </w:p>
    <w:p w14:paraId="002FE3B8" w14:textId="27BC20B3" w:rsidR="00312231" w:rsidRDefault="00B8131E" w:rsidP="00312231">
      <w:pPr>
        <w:pStyle w:val="Body"/>
        <w:spacing w:after="0"/>
        <w:rPr>
          <w:rFonts w:ascii="Arial" w:hAnsi="Arial" w:cs="Arial"/>
          <w:bCs/>
        </w:rPr>
      </w:pPr>
      <w:r w:rsidRPr="00B8131E">
        <w:rPr>
          <w:rFonts w:ascii="Arial" w:hAnsi="Arial" w:cs="Arial"/>
          <w:bCs/>
        </w:rPr>
        <w:t xml:space="preserve">The methodological quality of included studies was assessed using the QUADAS-2 tool (Quality Assessment of Diagnostic Accuracy Studies) </w:t>
      </w:r>
      <w:r w:rsidR="00C12CF0">
        <w:rPr>
          <w:rFonts w:ascii="Arial" w:hAnsi="Arial" w:cs="Arial"/>
          <w:bCs/>
        </w:rPr>
        <w:fldChar w:fldCharType="begin"/>
      </w:r>
      <w:r w:rsidR="00F669DC">
        <w:rPr>
          <w:rFonts w:ascii="Arial" w:hAnsi="Arial" w:cs="Arial"/>
          <w:bCs/>
        </w:rPr>
        <w:instrText xml:space="preserve"> ADDIN ZOTERO_ITEM CSL_CITATION {"citationID":"a1r9k8m0o2p","properties":{"formattedCitation":"(Whiting et al., 2011)","plainCitation":"(Whiting et al., 2011)","noteIndex":0},"citationItems":[{"id":579,"uris":["http://zotero.org/users/3583561/items/8B2R4QC2"],"itemData":{"id":579,"type":"article-journal","abstract":"In 2003, the QUADAS tool for systematic reviews of diagnostic accuracy studies was developed. Experience, anecdotal reports, and feedback suggested areas for improvement; therefore, QUADAS-2 was developed. This tool comprises 4 domains: patient selection, index test, reference standard, and flow and timing. Each domain is assessed in terms of risk of bias, and the first 3 domains are also assessed in terms of concerns regarding applicability. Signalling questions are included to help judge risk of bias. The QUADAS-2 tool is applied in 4 phases: summarize the review question, tailor the tool and produce review-specific guidance, construct a flow diagram for the primary study, and judge bias and applicability. This tool will allow for more transparent rating of bias and applicability of primary diagnostic accuracy studies.","container-title":"Annals of Internal Medicine","DOI":"10.7326/0003-4819-155-8-201110180-00009","ISSN":"1539-3704","issue":"8","journalAbbreviation":"Ann Intern Med","language":"eng","note":"PMID: 22007046","page":"529-536","source":"PubMed","title":"QUADAS-2: a revised tool for the quality assessment of diagnostic accuracy studies","title-short":"QUADAS-2","volume":"155","author":[{"family":"Whiting","given":"Penny F."},{"family":"Rutjes","given":"Anne W. S."},{"family":"Westwood","given":"Marie E."},{"family":"Mallett","given":"Susan"},{"family":"Deeks","given":"Jonathan J."},{"family":"Reitsma","given":"Johannes B."},{"family":"Leeflang","given":"Mariska M. G."},{"family":"Sterne","given":"Jonathan A. C."},{"family":"Bossuyt","given":"Patrick M. M."},{"literal":"QUADAS-2 Group"}],"issued":{"date-parts":[["2011",10,18]]}}}],"schema":"https://github.com/citation-style-language/schema/raw/master/csl-citation.json"} </w:instrText>
      </w:r>
      <w:r w:rsidR="00C12CF0">
        <w:rPr>
          <w:rFonts w:ascii="Arial" w:hAnsi="Arial" w:cs="Arial"/>
          <w:bCs/>
        </w:rPr>
        <w:fldChar w:fldCharType="separate"/>
      </w:r>
      <w:r w:rsidR="00F669DC" w:rsidRPr="00F669DC">
        <w:rPr>
          <w:rFonts w:ascii="Arial" w:hAnsi="Arial" w:cs="Arial"/>
        </w:rPr>
        <w:t>(Whiting et al., 2011)</w:t>
      </w:r>
      <w:r w:rsidR="00C12CF0">
        <w:rPr>
          <w:rFonts w:ascii="Arial" w:hAnsi="Arial" w:cs="Arial"/>
          <w:bCs/>
        </w:rPr>
        <w:fldChar w:fldCharType="end"/>
      </w:r>
      <w:r w:rsidRPr="00B8131E">
        <w:rPr>
          <w:rFonts w:ascii="Arial" w:hAnsi="Arial" w:cs="Arial"/>
          <w:bCs/>
        </w:rPr>
        <w:t xml:space="preserve"> through Cochrane's Review Manager software version 5.4.1 (review file format .rm5) </w:t>
      </w:r>
      <w:r w:rsidR="00C12CF0">
        <w:rPr>
          <w:rFonts w:ascii="Arial" w:hAnsi="Arial" w:cs="Arial"/>
          <w:bCs/>
        </w:rPr>
        <w:fldChar w:fldCharType="begin"/>
      </w:r>
      <w:r w:rsidR="00F669DC">
        <w:rPr>
          <w:rFonts w:ascii="Arial" w:hAnsi="Arial" w:cs="Arial"/>
          <w:bCs/>
        </w:rPr>
        <w:instrText xml:space="preserve"> ADDIN ZOTERO_ITEM CSL_CITATION {"citationID":"a1o5anorbu7","properties":{"formattedCitation":"\\uldash{(RevMan, n.d.)}","plainCitation":"(RevMan, n.d.)","dontUpdate":true,"noteIndex":0},"citationItems":[{"id":8146,"uris":["http://zotero.org/users/3583561/items/5P49AHCL"],"itemData":{"id":8146,"type":"webpage","title":"Review Manager Version 5.3. Copenhagen: The Nordic Cochrane Centre, The Cochrane Collaboration).","URL":"https://www.cochrane.org/authors/handbooks-and-manuals/style-manual/references/reference-types/software?utm_source=chatgpt.com","author":[{"family":"RevMan","given":""}],"accessed":{"date-parts":[["2025",7,7]]}}}],"schema":"https://github.com/citation-style-language/schema/raw/master/csl-citation.json"} </w:instrText>
      </w:r>
      <w:r w:rsidR="00C12CF0">
        <w:rPr>
          <w:rFonts w:ascii="Arial" w:hAnsi="Arial" w:cs="Arial"/>
          <w:bCs/>
        </w:rPr>
        <w:fldChar w:fldCharType="separate"/>
      </w:r>
      <w:r w:rsidR="00C12CF0" w:rsidRPr="00C12CF0">
        <w:rPr>
          <w:rFonts w:ascii="Arial" w:hAnsi="Arial" w:cs="Arial"/>
          <w:u w:val="dash"/>
        </w:rPr>
        <w:t>(RevMan</w:t>
      </w:r>
      <w:r w:rsidR="00E84D7D">
        <w:rPr>
          <w:rFonts w:ascii="Arial" w:hAnsi="Arial" w:cs="Arial"/>
          <w:u w:val="dash"/>
        </w:rPr>
        <w:t>, 2024</w:t>
      </w:r>
      <w:r w:rsidR="00C12CF0" w:rsidRPr="00C12CF0">
        <w:rPr>
          <w:rFonts w:ascii="Arial" w:hAnsi="Arial" w:cs="Arial"/>
          <w:u w:val="dash"/>
        </w:rPr>
        <w:t>)</w:t>
      </w:r>
      <w:r w:rsidR="00C12CF0">
        <w:rPr>
          <w:rFonts w:ascii="Arial" w:hAnsi="Arial" w:cs="Arial"/>
          <w:bCs/>
        </w:rPr>
        <w:fldChar w:fldCharType="end"/>
      </w:r>
      <w:r w:rsidRPr="00B8131E">
        <w:rPr>
          <w:rFonts w:ascii="Arial" w:hAnsi="Arial" w:cs="Arial"/>
          <w:bCs/>
        </w:rPr>
        <w:t>. The QUADAS-2 evaluation covered four key domains: patient selection, the index test, the reference standard, and flow/timing, which collectively determine risk of bias. The first three domains were additionally used to assess review applicability. Studies were classified as having low risk of bias when all signaling questions received "yes" responses, while any "no" response indicated potential bias. An "unclear" risk designation was applied when insufficient or ambiguously reported data prevented definitive judgment, ensuring appropriate methodological appraisal. The first three domains (selection, index test, reference standard) were additionally used to evaluate review applicability.</w:t>
      </w:r>
    </w:p>
    <w:p w14:paraId="5E0016E4" w14:textId="77777777" w:rsidR="00B8131E" w:rsidRDefault="00B8131E" w:rsidP="00312231">
      <w:pPr>
        <w:pStyle w:val="Body"/>
        <w:spacing w:after="0"/>
        <w:rPr>
          <w:rFonts w:ascii="Arial" w:hAnsi="Arial" w:cs="Arial"/>
          <w:bCs/>
        </w:rPr>
      </w:pPr>
    </w:p>
    <w:p w14:paraId="469053EB" w14:textId="4A111694" w:rsidR="00312231" w:rsidRPr="00312231" w:rsidRDefault="00312231" w:rsidP="00312231">
      <w:pPr>
        <w:pStyle w:val="Body"/>
        <w:rPr>
          <w:rFonts w:ascii="Arial" w:hAnsi="Arial" w:cs="Arial"/>
          <w:bCs/>
        </w:rPr>
      </w:pPr>
      <w:r w:rsidRPr="00312231">
        <w:rPr>
          <w:rFonts w:ascii="Arial" w:hAnsi="Arial" w:cs="Arial"/>
          <w:b/>
          <w:sz w:val="22"/>
          <w:szCs w:val="22"/>
        </w:rPr>
        <w:t>2.6.</w:t>
      </w:r>
      <w:r w:rsidRPr="00312231">
        <w:rPr>
          <w:rFonts w:ascii="Arial" w:hAnsi="Arial" w:cs="Arial"/>
          <w:b/>
          <w:sz w:val="22"/>
          <w:szCs w:val="22"/>
        </w:rPr>
        <w:tab/>
        <w:t>Statistical Analyses</w:t>
      </w:r>
      <w:r w:rsidR="00F45D2A">
        <w:rPr>
          <w:rFonts w:ascii="Arial" w:hAnsi="Arial" w:cs="Arial"/>
          <w:b/>
          <w:sz w:val="22"/>
          <w:szCs w:val="22"/>
        </w:rPr>
        <w:t xml:space="preserve">  </w:t>
      </w:r>
    </w:p>
    <w:p w14:paraId="157FD51A" w14:textId="4862D116" w:rsidR="00312231" w:rsidRPr="00F669DC" w:rsidRDefault="00312231" w:rsidP="00312231">
      <w:pPr>
        <w:pStyle w:val="Body"/>
        <w:rPr>
          <w:rFonts w:ascii="Arial" w:hAnsi="Arial" w:cs="Arial"/>
          <w:bCs/>
        </w:rPr>
      </w:pPr>
      <w:r w:rsidRPr="00312231">
        <w:rPr>
          <w:rFonts w:ascii="Arial" w:hAnsi="Arial" w:cs="Arial"/>
          <w:bCs/>
        </w:rPr>
        <w:t>Current diagnostic guidelines for prostate cancer, as established by leading professional societies</w:t>
      </w:r>
      <w:r w:rsidR="00C12CF0">
        <w:rPr>
          <w:rFonts w:ascii="Arial" w:hAnsi="Arial" w:cs="Arial"/>
          <w:bCs/>
        </w:rPr>
        <w:t xml:space="preserve"> </w:t>
      </w:r>
      <w:r w:rsidRPr="00312231">
        <w:rPr>
          <w:rFonts w:ascii="Arial" w:hAnsi="Arial" w:cs="Arial"/>
          <w:bCs/>
        </w:rPr>
        <w:t>including the French Association of Urology (AFU), European Association of Urology (EAU), American Urological Association (AUA), and National Comprehensive Cancer Network (NCCN)</w:t>
      </w:r>
      <w:r w:rsidR="00EC07D0">
        <w:rPr>
          <w:rFonts w:ascii="Arial" w:hAnsi="Arial" w:cs="Arial"/>
          <w:bCs/>
        </w:rPr>
        <w:t xml:space="preserve"> </w:t>
      </w:r>
      <w:r w:rsidRPr="00312231">
        <w:rPr>
          <w:rFonts w:ascii="Arial" w:hAnsi="Arial" w:cs="Arial"/>
          <w:bCs/>
        </w:rPr>
        <w:t>define a prostate cancer case based on the following diagnostic tests: prostate-specific antigen (PSA) levels, digital rectal examination (DRE), free/total PSA ratio, multiparametric magnetic resonance imaging (</w:t>
      </w:r>
      <w:proofErr w:type="spellStart"/>
      <w:r w:rsidRPr="00312231">
        <w:rPr>
          <w:rFonts w:ascii="Arial" w:hAnsi="Arial" w:cs="Arial"/>
          <w:bCs/>
        </w:rPr>
        <w:t>mpMRI</w:t>
      </w:r>
      <w:proofErr w:type="spellEnd"/>
      <w:r w:rsidRPr="00312231">
        <w:rPr>
          <w:rFonts w:ascii="Arial" w:hAnsi="Arial" w:cs="Arial"/>
          <w:bCs/>
        </w:rPr>
        <w:t xml:space="preserve">), and biopsy with Gleason score and ISUP grade classification </w:t>
      </w:r>
      <w:r w:rsidR="00C12CF0">
        <w:rPr>
          <w:rFonts w:ascii="Arial" w:hAnsi="Arial" w:cs="Arial"/>
          <w:bCs/>
        </w:rPr>
        <w:fldChar w:fldCharType="begin"/>
      </w:r>
      <w:r w:rsidR="00F669DC">
        <w:rPr>
          <w:rFonts w:ascii="Arial" w:hAnsi="Arial" w:cs="Arial"/>
          <w:bCs/>
        </w:rPr>
        <w:instrText xml:space="preserve"> ADDIN ZOTERO_ITEM CSL_CITATION {"citationID":"a23c4j5ogdo","properties":{"formattedCitation":"(Merriel et al., 2019; Poppel et al., 2021; Wei et al., 2023)","plainCitation":"(Merriel et al., 2019; Poppel et al., 2021; Wei et al., 2023)","noteIndex":0},"citationItems":[{"id":8131,"uris":["http://zotero.org/users/3583561/items/4RD9DX4J"],"itemData":{"id":8131,"type":"article-journal","abstract":"Objectives\nTo develop a consensus statement on current best practice of active surveillance (AS) in the UK, informed by patients and clinical experts.\n\nSubjects and Methods\nA consensus statement was drafted on the basis of three sources of data: systematic literature search of national and international guidelines; data arising from a Freedom of Information Act request to UK urology departments regarding their current practice of AS; and survey and interview responses from men with localized prostate cancer regarding their experiences and views of AS. The Prostate Cancer UK Expert Reference Group (ERG) on AS was then convened to discuss and refine the statement.\n\nResults\nGuidelines and protocols for AS varied significantly in terms of risk stratification, criteria for offering AS, and protocols for AS between and within countries. Patients and healthcare professionals identified clinical, emotional and process needs for AS to be effective. Men with prostate cancer wanted more information and psychological support at the time of discussing AS with the treating team and in the first 2 years of AS, and a named healthcare professional to discuss any questions or concerns they had. The ERG agreed 30 consensus statements regarding best practice for AS. Statements were grouped under headings: ‘Inclusion/Exclusion Criteria’; ‘AS follow</w:instrText>
      </w:r>
      <w:r w:rsidR="00F669DC">
        <w:rPr>
          <w:rFonts w:ascii="Cambria Math" w:hAnsi="Cambria Math" w:cs="Cambria Math"/>
          <w:bCs/>
        </w:rPr>
        <w:instrText>‐</w:instrText>
      </w:r>
      <w:r w:rsidR="00F669DC">
        <w:rPr>
          <w:rFonts w:ascii="Arial" w:hAnsi="Arial" w:cs="Arial"/>
          <w:bCs/>
        </w:rPr>
        <w:instrText xml:space="preserve">up protocol’ and ‘When to stop AS’.\n\nConclusion\nSignificant variation currently exists in the practice of AS in the UK and internationally. Men have clear views on the level of involvement in treatment decisions and support from their treating professionals when receiving AS. The Prostate Cancer UK AS ERG has developed a set of consensus statements for best practice in AS. Evidence for best practice in AS, and the use of multiparametric magnetic resonance imaging in AS, is still evolving, and further studies are needed to determine how to optimize AS outcomes.","container-title":"Bju International","DOI":"10.1111/bju.14707","ISSN":"1464-4096","issue":"1","journalAbbreviation":"BJU Int","note":"PMID: 30742733\nPMCID: PMC6617751","page":"47-54","source":"PubMed Central","title":"Best practice in active surveillance for men with prostate cancer: a Prostate Cancer UK consensus statement","title-short":"Best practice in active surveillance for men with prostate cancer","URL":"https://www.ncbi.nlm.nih.gov/pmc/articles/PMC6617751/","volume":"124","author":[{"family":"Merriel","given":"Samuel W.D."},{"family":"Hetherington","given":"Liz"},{"family":"Seggie","given":"Andrew"},{"family":"Castle","given":"Joanna T."},{"family":"Cross","given":"William"},{"family":"Roobol","given":"Monique J."},{"family":"Gnanapragasam","given":"Vincent"},{"family":"Moore","given":"Caroline M."}],"accessed":{"date-parts":[["2025",7,6]]},"issued":{"date-parts":[["2019",7]]}}},{"id":8144,"uris":["http://zotero.org/users/3583561/items/8WLP9GMH"],"itemData":{"id":8144,"type":"article-journal","container-title":"European Urology","DOI":"10.1016/j.eururo.2021.07.024","ISSN":"0302-2838, 1873-7560","issue":"6","journalAbbreviation":"European Urology","language":"English","note":"publisher: Elsevier\nPMID: 34407909","page":"703-711","source":"www.europeanurology.com","title":"Prostate-specific Antigen Testing as Part of a Risk-Adapted Early Detection Strategy for Prostate Cancer: European Association of Urology Position and Recommendations for 2021","title-short":"Prostate-specific Antigen Testing as Part of a Risk-Adapted Early Detection Strategy for Prostate Cancer","URL":"https://www.europeanurology.com/article/S0302-2838(21)01927-8/abstract?utm_source=chatgpt.com","volume":"80","author":[{"family":"Poppel","given":"Hendrik Van"},{"family":"Roobol","given":"Monique J."},{"family":"Chapple","given":"Christopher R."},{"family":"Catto","given":"James W. F."},{"family":"N’Dow","given":"James"},{"family":"Sønksen","given":"Jens"},{"family":"Stenzl","given":"Arnulf"},{"family":"Wirth","given":"Manfred"}],"accessed":{"date-parts":[["2025",7,6]]},"issued":{"date-parts":[["2021",12,1]]}}},{"id":8139,"uris":["http://zotero.org/users/3583561/items/VMNZPPQV"],"itemData":{"id":8139,"type":"article-journal","abstract":"PURPOSE: The summary presented herein covers recommendations on the early detection of prostate cancer and provides a framework to facilitate clinical decision-making in the implementation of prostate cancer screening, biopsy, and follow-up. This is Part I of a two-part series that focuses on prostate cancer screening. Please refer to Part II for discussion of initial and repeat biopsies as well as biopsy technique.\nMATERIALS AND METHODS: The systematic review utilized to inform this guideline was conducted by an independent methodological consultant. The systematic review was based on searches in Ovid MEDLINE and Embase and Cochrane Database of Systematic Reviews (January 1, 2000-November 21, 2022). Searches were supplemented by reviewing reference lists of relevant articles.\nRESULTS: The Early Detection of Prostate Cancer Panel developed evidence- and consensus-based guideline statements to provide guidance in prostate cancer screening, initial and repeat biopsy, and biopsy technique.\nCONCLUSIONS: Prostate-specific antigen (PSA)-based prostate cancer screening in combination with shared decision-making (SDM) is recommended. Current data regarding risk from population-based cohorts provide a basis for longer screening intervals and tailored screening, and the use of available online risk calculators is encouraged.","container-title":"The Journal of Urology","DOI":"10.1097/JU.0000000000003491","ISSN":"1527-3792","issue":"1","journalAbbreviation":"J Urol","language":"eng","note":"PMID: 37096582\nPMCID: PMC11060750","page":"46-53","source":"PubMed","title":"Early Detection of Prostate Cancer: AUA/SUO Guideline Part I: Prostate Cancer Screening","title-short":"Early Detection of Prostate Cancer","volume":"210","author":[{"family":"Wei","given":"John T."},{"family":"Barocas","given":"Daniel"},{"family":"Carlsson","given":"Sigrid"},{"family":"Coakley","given":"Fergus"},{"family":"Eggener","given":"Scott"},{"family":"Etzioni","given":"Ruth"},{"family":"Fine","given":"Samson W."},{"family":"Han","given":"Misop"},{"family":"Kim","given":"Sennett K."},{"family":"Kirkby","given":"Erin"},{"family":"Konety","given":"Badrinath R."},{"family":"Miner","given":"Martin"},{"family":"Moses","given":"Kelvin"},{"family":"Nissenberg","given":"Merel G."},{"family":"Pinto","given":"Peter A."},{"family":"Salami","given":"Simpa S."},{"family":"Souter","given":"Lesley"},{"family":"Thompson","given":"Ian M."},{"family":"Lin","given":"Daniel W."}],"issued":{"date-parts":[["2023",7]]}}}],"schema":"https://github.com/citation-style-language/schema/raw/master/csl-citation.json"} </w:instrText>
      </w:r>
      <w:r w:rsidR="00C12CF0">
        <w:rPr>
          <w:rFonts w:ascii="Arial" w:hAnsi="Arial" w:cs="Arial"/>
          <w:bCs/>
        </w:rPr>
        <w:fldChar w:fldCharType="separate"/>
      </w:r>
      <w:r w:rsidR="00F669DC" w:rsidRPr="00F669DC">
        <w:rPr>
          <w:rFonts w:ascii="Arial" w:hAnsi="Arial" w:cs="Arial"/>
        </w:rPr>
        <w:t>(Merriel et al., 2019; Poppel et al., 2021; Wei et al., 2023)</w:t>
      </w:r>
      <w:r w:rsidR="00C12CF0">
        <w:rPr>
          <w:rFonts w:ascii="Arial" w:hAnsi="Arial" w:cs="Arial"/>
          <w:bCs/>
        </w:rPr>
        <w:fldChar w:fldCharType="end"/>
      </w:r>
      <w:r w:rsidRPr="00F669DC">
        <w:rPr>
          <w:rFonts w:ascii="Arial" w:hAnsi="Arial" w:cs="Arial"/>
          <w:bCs/>
        </w:rPr>
        <w:t xml:space="preserve">. </w:t>
      </w:r>
    </w:p>
    <w:p w14:paraId="641EFD37" w14:textId="77777777" w:rsidR="00312231" w:rsidRPr="00312231" w:rsidRDefault="00312231" w:rsidP="00312231">
      <w:pPr>
        <w:pStyle w:val="Body"/>
        <w:rPr>
          <w:rFonts w:ascii="Arial" w:hAnsi="Arial" w:cs="Arial"/>
          <w:bCs/>
        </w:rPr>
      </w:pPr>
      <w:r w:rsidRPr="00312231">
        <w:rPr>
          <w:rFonts w:ascii="Arial" w:hAnsi="Arial" w:cs="Arial"/>
          <w:bCs/>
        </w:rPr>
        <w:t xml:space="preserve">We evaluated the diagnostic performance of prostate cancer biomarkers miR-21, miR-141, and miR-375 using the tests (PSA, DRE, free/total PSA ratio, </w:t>
      </w:r>
      <w:proofErr w:type="spellStart"/>
      <w:r w:rsidRPr="00312231">
        <w:rPr>
          <w:rFonts w:ascii="Arial" w:hAnsi="Arial" w:cs="Arial"/>
          <w:bCs/>
        </w:rPr>
        <w:t>mpMRI</w:t>
      </w:r>
      <w:proofErr w:type="spellEnd"/>
      <w:r w:rsidRPr="00312231">
        <w:rPr>
          <w:rFonts w:ascii="Arial" w:hAnsi="Arial" w:cs="Arial"/>
          <w:bCs/>
        </w:rPr>
        <w:t>, and biopsy) as the reference standard.</w:t>
      </w:r>
    </w:p>
    <w:p w14:paraId="13E51EB8" w14:textId="2A22E60B" w:rsidR="00312231" w:rsidRPr="00312231" w:rsidRDefault="00312231" w:rsidP="00312231">
      <w:pPr>
        <w:pStyle w:val="Body"/>
        <w:rPr>
          <w:rFonts w:ascii="Arial" w:hAnsi="Arial" w:cs="Arial"/>
          <w:bCs/>
        </w:rPr>
      </w:pPr>
      <w:r w:rsidRPr="00312231">
        <w:rPr>
          <w:rFonts w:ascii="Arial" w:hAnsi="Arial" w:cs="Arial"/>
          <w:bCs/>
        </w:rPr>
        <w:t>Multiple miRNA quantification techniques were examined across biological fluids (serum, plasma, urine). RT-qPCR emerged as the most suitable method for miRNA analysis, valued for its sensitivity, specificity, and applicability in targeted clinical assays. While NGS sequencing and microarrays provide comprehensive miRNA profiling, digital droplet PCR (</w:t>
      </w:r>
      <w:proofErr w:type="spellStart"/>
      <w:r w:rsidRPr="00312231">
        <w:rPr>
          <w:rFonts w:ascii="Arial" w:hAnsi="Arial" w:cs="Arial"/>
          <w:bCs/>
        </w:rPr>
        <w:t>ddPCR</w:t>
      </w:r>
      <w:proofErr w:type="spellEnd"/>
      <w:r w:rsidRPr="00312231">
        <w:rPr>
          <w:rFonts w:ascii="Arial" w:hAnsi="Arial" w:cs="Arial"/>
          <w:bCs/>
        </w:rPr>
        <w:t xml:space="preserve">) enables absolute quantification particularly advantageous for low-abundance biomarkers. The selection of analytical methodology directly influences result robustness and must be carefully considered when interpreting data for meta-analytic synthesis </w:t>
      </w:r>
      <w:r w:rsidR="00C12CF0">
        <w:rPr>
          <w:rFonts w:ascii="Arial" w:hAnsi="Arial" w:cs="Arial"/>
          <w:bCs/>
        </w:rPr>
        <w:fldChar w:fldCharType="begin"/>
      </w:r>
      <w:r w:rsidR="00F669DC">
        <w:rPr>
          <w:rFonts w:ascii="Arial" w:hAnsi="Arial" w:cs="Arial"/>
          <w:bCs/>
        </w:rPr>
        <w:instrText xml:space="preserve"> ADDIN ZOTERO_ITEM CSL_CITATION {"citationID":"abtm16o387","properties":{"formattedCitation":"(Moldovan et al., 2014)","plainCitation":"(Moldovan et al., 2014)","noteIndex":0},"citationItems":[{"id":8091,"uris":["http://zotero.org/users/3583561/items/DDGA8UC4"],"itemData":{"id":8091,"type":"article-journal","abstract":"MicroRNAs (miRNAs) have emerged as important regulators in the post-transcriptional control of gene expression. The discovery of their presence not only in tissues but also in extratissular fluids, including blood, urine and cerebro-spinal fluid, together with their changes in expression in various pathological conditions, has implicated these extracellular miRNAs as informative biomarkers of disease. However, exploiting miRNAs in this capacity requires methodological rigour. Here, we report several key procedural aspects of miRNA isolation from plasma and serum, as exemplified by research in cardiovascular and pulmonary diseases. We also highlight the advantages and disadvantages of various profiling methods to determine the expression levels of plasma- and serum-derived miRNAs. Attention to such methodological details is critical, as circulating miRNAs become diagnostic tools for various human diseases.","container-title":"Journal of Cellular and Molecular Medicine","DOI":"10.1111/jcmm.12236","ISSN":"1582-4934","issue":"3","language":"en","license":"© 2014 The Authors. Journal of Cellular and Molecular Medicine published by John Wiley &amp; Sons Ltd and Foundation for Cellular and Molecular Medicine.","note":"_eprint: https://onlinelibrary.wiley.com/doi/pdf/10.1111/jcmm.12236","page":"371-390","source":"Wiley Online Library","title":"Methodological challenges in utilizing miRNAs as circulating biomarkers","URL":"https://onlinelibrary.wiley.com/doi/abs/10.1111/jcmm.12236","volume":"18","author":[{"family":"Moldovan","given":"Leni"},{"family":"Batte","given":"Kara E."},{"family":"Trgovcich","given":"Joanne"},{"family":"Wisler","given":"Jon"},{"family":"Marsh","given":"Clay B."},{"family":"Piper","given":"Melissa"}],"accessed":{"date-parts":[["2025",6,18]]},"issued":{"date-parts":[["2014"]]}}}],"schema":"https://github.com/citation-style-language/schema/raw/master/csl-citation.json"} </w:instrText>
      </w:r>
      <w:r w:rsidR="00C12CF0">
        <w:rPr>
          <w:rFonts w:ascii="Arial" w:hAnsi="Arial" w:cs="Arial"/>
          <w:bCs/>
        </w:rPr>
        <w:fldChar w:fldCharType="separate"/>
      </w:r>
      <w:r w:rsidR="00F669DC" w:rsidRPr="00F669DC">
        <w:rPr>
          <w:rFonts w:ascii="Arial" w:hAnsi="Arial" w:cs="Arial"/>
        </w:rPr>
        <w:t>(Moldovan et al., 2014)</w:t>
      </w:r>
      <w:r w:rsidR="00C12CF0">
        <w:rPr>
          <w:rFonts w:ascii="Arial" w:hAnsi="Arial" w:cs="Arial"/>
          <w:bCs/>
        </w:rPr>
        <w:fldChar w:fldCharType="end"/>
      </w:r>
      <w:r w:rsidRPr="00312231">
        <w:rPr>
          <w:rFonts w:ascii="Arial" w:hAnsi="Arial" w:cs="Arial"/>
          <w:bCs/>
        </w:rPr>
        <w:t xml:space="preserve">. </w:t>
      </w:r>
    </w:p>
    <w:p w14:paraId="57D8365C" w14:textId="48B9A7D4" w:rsidR="00312231" w:rsidRPr="00312231" w:rsidRDefault="00312231" w:rsidP="00312231">
      <w:pPr>
        <w:pStyle w:val="Body"/>
        <w:rPr>
          <w:rFonts w:ascii="Arial" w:hAnsi="Arial" w:cs="Arial"/>
          <w:bCs/>
        </w:rPr>
      </w:pPr>
      <w:r w:rsidRPr="00312231">
        <w:rPr>
          <w:rFonts w:ascii="Arial" w:hAnsi="Arial" w:cs="Arial"/>
          <w:bCs/>
        </w:rPr>
        <w:t>All statistical analyses were performed using Stata version 17.0 (</w:t>
      </w:r>
      <w:proofErr w:type="spellStart"/>
      <w:r w:rsidRPr="00312231">
        <w:rPr>
          <w:rFonts w:ascii="Arial" w:hAnsi="Arial" w:cs="Arial"/>
          <w:bCs/>
        </w:rPr>
        <w:t>StataCorp</w:t>
      </w:r>
      <w:proofErr w:type="spellEnd"/>
      <w:r w:rsidRPr="00312231">
        <w:rPr>
          <w:rFonts w:ascii="Arial" w:hAnsi="Arial" w:cs="Arial"/>
          <w:bCs/>
        </w:rPr>
        <w:t xml:space="preserve">, College Station, Texas, USA) with the </w:t>
      </w:r>
      <w:proofErr w:type="spellStart"/>
      <w:r w:rsidRPr="00312231">
        <w:rPr>
          <w:rFonts w:ascii="Arial" w:hAnsi="Arial" w:cs="Arial"/>
          <w:bCs/>
        </w:rPr>
        <w:t>metandi</w:t>
      </w:r>
      <w:proofErr w:type="spellEnd"/>
      <w:r w:rsidRPr="00312231">
        <w:rPr>
          <w:rFonts w:ascii="Arial" w:hAnsi="Arial" w:cs="Arial"/>
          <w:bCs/>
        </w:rPr>
        <w:t xml:space="preserve">, meta, and </w:t>
      </w:r>
      <w:proofErr w:type="spellStart"/>
      <w:r w:rsidRPr="00312231">
        <w:rPr>
          <w:rFonts w:ascii="Arial" w:hAnsi="Arial" w:cs="Arial"/>
          <w:bCs/>
        </w:rPr>
        <w:t>midas</w:t>
      </w:r>
      <w:proofErr w:type="spellEnd"/>
      <w:r w:rsidRPr="00312231">
        <w:rPr>
          <w:rFonts w:ascii="Arial" w:hAnsi="Arial" w:cs="Arial"/>
          <w:bCs/>
        </w:rPr>
        <w:t xml:space="preserve"> commands. Study outcomes were extracted into 2×2 contingency tables (true positives, false positives, true negatives, false negatives). We employed a random-effects model to calculate pooled positive and negative likelihood ratios (LR+ and LR-, respectively) with corresponding 95% confidence intervals. Here, LR+ indicates the probability of a positive test result in patients with </w:t>
      </w:r>
      <w:proofErr w:type="spellStart"/>
      <w:r w:rsidRPr="00312231">
        <w:rPr>
          <w:rFonts w:ascii="Arial" w:hAnsi="Arial" w:cs="Arial"/>
          <w:bCs/>
        </w:rPr>
        <w:t>PCa</w:t>
      </w:r>
      <w:proofErr w:type="spellEnd"/>
      <w:r w:rsidRPr="00312231">
        <w:rPr>
          <w:rFonts w:ascii="Arial" w:hAnsi="Arial" w:cs="Arial"/>
          <w:bCs/>
        </w:rPr>
        <w:t xml:space="preserve">, while LR- reflects this probability in disease-free individuals </w:t>
      </w:r>
      <w:r w:rsidR="00F64948">
        <w:rPr>
          <w:rFonts w:ascii="Arial" w:hAnsi="Arial" w:cs="Arial"/>
          <w:bCs/>
        </w:rPr>
        <w:fldChar w:fldCharType="begin"/>
      </w:r>
      <w:r w:rsidR="00F669DC">
        <w:rPr>
          <w:rFonts w:ascii="Arial" w:hAnsi="Arial" w:cs="Arial"/>
          <w:bCs/>
        </w:rPr>
        <w:instrText xml:space="preserve"> ADDIN ZOTERO_ITEM CSL_CITATION {"citationID":"a1keaac8uka","properties":{"formattedCitation":"(Nitusca et al., 2022a)","plainCitation":"(Nitusca et al., 2022a)","noteIndex":0},"citationItems":[{"id":8105,"uris":["http://zotero.org/users/3583561/items/MMCBGPYZ"],"itemData":{"id":8105,"type":"article-journal","abstract":"(1) Background and Objectives: Responding to the need for more optimized biomarkers for prostate cancer (PCa) diagnosis, a high number of studies have shown that microRNAs (miRNAs) could serve as novel, more reliable diagnostic tools. The usefulness of these miRNAs in assessing the presence of PCa is still under debate, given the discrepancies in their diagnostic performances. In this respect, hsa-miR-141 is among the miRNAs of particular interest, being very much investigated in PCa biology. (2) Material and Methods: Here, we provide a meta-analysis of miR-141 data published until May 2019, whose diagnostic accuracy was assessed using the Quality Assessment for Diagnostic Accuracy Studies-2 (QUADAS-2) tool, by analyzing several parameters including sensitivity, specificity, positive likelihood ratio (LR+), negative likelihood ratio (LR-), diagnostic odds ratio (DOR) and the area under the curve (AUC). The six studies that matched our selection and were included in our meta-analysis comprise 283 PCa patients, 114 healthy controls, with 84 patients suffering from benign prostate diseases. (3) Results and Conclusions: Our results indicate a very good diagnostic accuracy for miRNA-141 (0.78 sensitivity, 0.96 specificity, DOR of 89, LR+ of 21, LR- of 0.23 and AUC of 0.87), underlying its utility as a PCa diagnostic biomarker.","container-title":"Timisoara Med","DOI":"10.35995/tmj20220204","issue":"2","language":"en","note":"number: 2","page":"0-0","source":"www.tmj.ro","title":"Circulating microRNA-141 as a Biomarker for Prostate Cancer: A Systematic Review and Meta-Analysis","title-short":"Circulating microRNA-141 as a Biomarker for Prostate Cancer","URL":"https://www.tmj.ro/article/2022/2/202","volume":"2022","author":[{"family":"Nitusca","given":"Diana"},{"family":"Marcu","given":"Anca"},{"family":"Seclaman","given":"Edward"},{"family":"Bardan","given":"Razvan"},{"family":"Sirbu","given":"Ioan Ovidiu"},{"family":"Balacescu","given":"Ovidiu"},{"family":"Bucur","given":"Adina Ioana"},{"family":"Ursoniu","given":"Sorin"},{"family":"Marian","given":"Catalin"}],"accessed":{"date-parts":[["2025",6,26]]},"issued":{"date-parts":[["2022",9]]}}}],"schema":"https://github.com/citation-style-language/schema/raw/master/csl-citation.json"} </w:instrText>
      </w:r>
      <w:r w:rsidR="00F64948">
        <w:rPr>
          <w:rFonts w:ascii="Arial" w:hAnsi="Arial" w:cs="Arial"/>
          <w:bCs/>
        </w:rPr>
        <w:fldChar w:fldCharType="separate"/>
      </w:r>
      <w:r w:rsidR="00F669DC" w:rsidRPr="00F669DC">
        <w:rPr>
          <w:rFonts w:ascii="Arial" w:hAnsi="Arial" w:cs="Arial"/>
        </w:rPr>
        <w:t>(Nitusca et al., 2022a)</w:t>
      </w:r>
      <w:r w:rsidR="00F64948">
        <w:rPr>
          <w:rFonts w:ascii="Arial" w:hAnsi="Arial" w:cs="Arial"/>
          <w:bCs/>
        </w:rPr>
        <w:fldChar w:fldCharType="end"/>
      </w:r>
      <w:r w:rsidRPr="00312231">
        <w:rPr>
          <w:rFonts w:ascii="Arial" w:hAnsi="Arial" w:cs="Arial"/>
          <w:bCs/>
        </w:rPr>
        <w:t xml:space="preserve">. Between-study heterogeneity </w:t>
      </w:r>
      <w:r w:rsidRPr="00312231">
        <w:rPr>
          <w:rFonts w:ascii="Arial" w:hAnsi="Arial" w:cs="Arial"/>
          <w:bCs/>
        </w:rPr>
        <w:lastRenderedPageBreak/>
        <w:t xml:space="preserve">was assessed using Cochrane's Q test and quantified via the I² statistic </w:t>
      </w:r>
      <w:r w:rsidR="00F64948">
        <w:rPr>
          <w:rFonts w:ascii="Arial" w:hAnsi="Arial" w:cs="Arial"/>
          <w:bCs/>
        </w:rPr>
        <w:fldChar w:fldCharType="begin"/>
      </w:r>
      <w:r w:rsidR="00F669DC">
        <w:rPr>
          <w:rFonts w:ascii="Arial" w:hAnsi="Arial" w:cs="Arial"/>
          <w:bCs/>
        </w:rPr>
        <w:instrText xml:space="preserve"> ADDIN ZOTERO_ITEM CSL_CITATION {"citationID":"anfvp0kvip","properties":{"formattedCitation":"(Higgins &amp; Thompson, 2002)","plainCitation":"(Higgins &amp; Thompson, 2002)","noteIndex":0},"citationItems":[{"id":572,"uris":["http://zotero.org/users/3583561/items/QBFJF8ZZ"],"itemData":{"id":572,"type":"article-journal","abstract":"The extent of heterogeneity in a meta-analysis partly determines the difficulty in drawing overall conclusions. This extent may be measured by estimating a between-study variance, but interpretation is then specific to a particular treatment effect metric. A test for the existence of heterogeneity exists, but depends on the number of studies in the meta-analysis. We develop measures of the impact of heterogeneity on a meta-analysis, from mathematical criteria, that are independent of the number of studies and the treatment effect metric. We derive and propose three suitable statistics: H is the square root of the chi2 heterogeneity statistic divided by its degrees of freedom; R is the ratio of the standard error of the underlying mean from a random effects meta-analysis to the standard error of a fixed effect meta-analytic estimate, and I2 is a transformation of (H) that describes the proportion of total variation in study estimates that is due to heterogeneity. We discuss interpretation, interval estimates and other properties of these measures and examine them in five example data sets showing different amounts of heterogeneity. We conclude that H and I2, which can usually be calculated for published meta-analyses, are particularly useful summaries of the impact of heterogeneity. One or both should be presented in published meta-analyses in preference to the test for heterogeneity.","container-title":"Statistics in Medicine","DOI":"10.1002/sim.1186","ISSN":"0277-6715","issue":"11","journalAbbreviation":"Stat Med","language":"eng","note":"PMID: 12111919","page":"1539-1558","source":"PubMed","title":"Quantifying heterogeneity in a meta-analysis","volume":"21","author":[{"family":"Higgins","given":"Julian P. T."},{"family":"Thompson","given":"Simon G."}],"issued":{"date-parts":[["2002",6,15]]}}}],"schema":"https://github.com/citation-style-language/schema/raw/master/csl-citation.json"} </w:instrText>
      </w:r>
      <w:r w:rsidR="00F64948">
        <w:rPr>
          <w:rFonts w:ascii="Arial" w:hAnsi="Arial" w:cs="Arial"/>
          <w:bCs/>
        </w:rPr>
        <w:fldChar w:fldCharType="separate"/>
      </w:r>
      <w:r w:rsidR="00F669DC" w:rsidRPr="00F669DC">
        <w:rPr>
          <w:rFonts w:ascii="Arial" w:hAnsi="Arial" w:cs="Arial"/>
        </w:rPr>
        <w:t>(Higgins &amp; Thompson, 2002)</w:t>
      </w:r>
      <w:r w:rsidR="00F64948">
        <w:rPr>
          <w:rFonts w:ascii="Arial" w:hAnsi="Arial" w:cs="Arial"/>
          <w:bCs/>
        </w:rPr>
        <w:fldChar w:fldCharType="end"/>
      </w:r>
      <w:r w:rsidRPr="00312231">
        <w:rPr>
          <w:rFonts w:ascii="Arial" w:hAnsi="Arial" w:cs="Arial"/>
          <w:bCs/>
        </w:rPr>
        <w:t>. Heterogeneity levels were categorized as: very low (I² &lt; 25%), low (I² = 25-50%), moderate-to-high (I² = 50-75%), very high (I² &gt; 75%).</w:t>
      </w:r>
    </w:p>
    <w:p w14:paraId="1CAA4622" w14:textId="4606F1C3" w:rsidR="00312231" w:rsidRPr="00312231" w:rsidRDefault="00312231" w:rsidP="00312231">
      <w:pPr>
        <w:pStyle w:val="Body"/>
        <w:rPr>
          <w:rFonts w:ascii="Arial" w:hAnsi="Arial" w:cs="Arial"/>
          <w:bCs/>
        </w:rPr>
      </w:pPr>
      <w:r w:rsidRPr="00312231">
        <w:rPr>
          <w:rFonts w:ascii="Arial" w:hAnsi="Arial" w:cs="Arial"/>
          <w:bCs/>
        </w:rPr>
        <w:t xml:space="preserve">Pooled sensitivity (SEN) and specificity (SPE), diagnostic odds ratio (DOR), and the area under the summary receiver operating characteristic curve (SROC-AUC) with 95% confidence intervals were estimated using a bivariate mixed-effects binomial model </w:t>
      </w:r>
      <w:r w:rsidR="00F64948">
        <w:rPr>
          <w:rFonts w:ascii="Arial" w:hAnsi="Arial" w:cs="Arial"/>
          <w:bCs/>
        </w:rPr>
        <w:fldChar w:fldCharType="begin"/>
      </w:r>
      <w:r w:rsidR="00F669DC">
        <w:rPr>
          <w:rFonts w:ascii="Arial" w:hAnsi="Arial" w:cs="Arial"/>
          <w:bCs/>
        </w:rPr>
        <w:instrText xml:space="preserve"> ADDIN ZOTERO_ITEM CSL_CITATION {"citationID":"a1u2jpunn0q","properties":{"formattedCitation":"(Reitsma et al., 2005)","plainCitation":"(Reitsma et al., 2005)","noteIndex":0},"citationItems":[{"id":8089,"uris":["http://zotero.org/users/3583561/items/9DSJ2REN"],"itemData":{"id":8089,"type":"article-journal","container-title":"Journal of Clinical Epidemiology","DOI":"10.1016/j.jclinepi.2005.02.022","ISSN":"0895-4356, 1878-5921","issue":"10","journalAbbreviation":"Journal of Clinical Epidemiology","language":"English","note":"publisher: Elsevier\nPMID: 16168343","page":"982-990","source":"www.jclinepi.com","title":"Bivariate analysis of sensitivity and specificity produces informative summary measures in diagnostic reviews","URL":"https://www.jclinepi.com/article/S0895-4356(05)00162-9/abstract","volume":"58","author":[{"family":"Reitsma","given":"Johannes B."},{"family":"Glas","given":"Afina S."},{"family":"Rutjes","given":"Anne W. S."},{"family":"Scholten","given":"Rob J. P. M."},{"family":"Bossuyt","given":"Patrick M."},{"family":"Zwinderman","given":"Aeilko H."}],"accessed":{"date-parts":[["2025",6,16]]},"issued":{"date-parts":[["2005",10,1]]}}}],"schema":"https://github.com/citation-style-language/schema/raw/master/csl-citation.json"} </w:instrText>
      </w:r>
      <w:r w:rsidR="00F64948">
        <w:rPr>
          <w:rFonts w:ascii="Arial" w:hAnsi="Arial" w:cs="Arial"/>
          <w:bCs/>
        </w:rPr>
        <w:fldChar w:fldCharType="separate"/>
      </w:r>
      <w:r w:rsidR="00F669DC" w:rsidRPr="00F669DC">
        <w:rPr>
          <w:rFonts w:ascii="Arial" w:hAnsi="Arial" w:cs="Arial"/>
        </w:rPr>
        <w:t>(Reitsma et al., 2005)</w:t>
      </w:r>
      <w:r w:rsidR="00F64948">
        <w:rPr>
          <w:rFonts w:ascii="Arial" w:hAnsi="Arial" w:cs="Arial"/>
          <w:bCs/>
        </w:rPr>
        <w:fldChar w:fldCharType="end"/>
      </w:r>
      <w:r w:rsidR="001058A7">
        <w:rPr>
          <w:rFonts w:ascii="Arial" w:hAnsi="Arial" w:cs="Arial"/>
          <w:bCs/>
        </w:rPr>
        <w:t xml:space="preserve">. </w:t>
      </w:r>
      <w:r w:rsidRPr="00312231">
        <w:rPr>
          <w:rFonts w:ascii="Arial" w:hAnsi="Arial" w:cs="Arial"/>
          <w:bCs/>
        </w:rPr>
        <w:t>This model enables simultaneous analysis of SEN and SPE while accounting for their inherent correlation and between-study variability, making it particularly suitable for diagnostic accuracy meta-analyses. Higher AUC values indicate superior discrimination between high-risk and low-risk patients. Diagnostic performance was categorized into three tiers based on AUC values: low accuracy (AUC &lt; 0.70), moderate accuracy (AUC = 0.70–0.90), high accuracy (AUC = 0.90–1.00).</w:t>
      </w:r>
    </w:p>
    <w:p w14:paraId="4B51509B" w14:textId="7C0FF00B" w:rsidR="00312231" w:rsidRDefault="00312231" w:rsidP="00312231">
      <w:pPr>
        <w:pStyle w:val="Body"/>
        <w:rPr>
          <w:rFonts w:ascii="Arial" w:hAnsi="Arial" w:cs="Arial"/>
          <w:bCs/>
        </w:rPr>
      </w:pPr>
      <w:r w:rsidRPr="00312231">
        <w:rPr>
          <w:rFonts w:ascii="Arial" w:hAnsi="Arial" w:cs="Arial"/>
          <w:bCs/>
        </w:rPr>
        <w:t xml:space="preserve">The diagnostic odds ratio (DOR) serves as a comprehensive metric of test performance, incorporating both sensitivity (SEN) and specificity (SPE). A DOR of 1 indicates no diagnostic value, reflecting the test's inability to discriminate between affected and unaffected patients. Values between 1 and 10 suggest limited discriminatory capacity, while DOR &gt;10 demonstrates moderate-to-high diagnostic utility with more reliable differentiation between positive and negative cases. Specifically, DOR &gt;20 indicates good diagnostic performance and DOR &gt;100, reflects excellent accuracy. </w:t>
      </w:r>
      <w:r w:rsidR="001058A7" w:rsidRPr="001058A7">
        <w:rPr>
          <w:rFonts w:ascii="Arial" w:hAnsi="Arial" w:cs="Arial"/>
          <w:bCs/>
        </w:rPr>
        <w:t xml:space="preserve">Notably, DOR interpretation must consider clinical context and disease prevalence, as these factors significantly influence its clinical applicability </w:t>
      </w:r>
      <w:r w:rsidR="00F64948">
        <w:rPr>
          <w:rFonts w:ascii="Arial" w:hAnsi="Arial" w:cs="Arial"/>
          <w:bCs/>
        </w:rPr>
        <w:fldChar w:fldCharType="begin"/>
      </w:r>
      <w:r w:rsidR="00F669DC">
        <w:rPr>
          <w:rFonts w:ascii="Arial" w:hAnsi="Arial" w:cs="Arial"/>
          <w:bCs/>
        </w:rPr>
        <w:instrText xml:space="preserve"> ADDIN ZOTERO_ITEM CSL_CITATION {"citationID":"a2ce82ht9sn","properties":{"formattedCitation":"(Reitsma et al., 2005)","plainCitation":"(Reitsma et al., 2005)","noteIndex":0},"citationItems":[{"id":8089,"uris":["http://zotero.org/users/3583561/items/9DSJ2REN"],"itemData":{"id":8089,"type":"article-journal","container-title":"Journal of Clinical Epidemiology","DOI":"10.1016/j.jclinepi.2005.02.022","ISSN":"0895-4356, 1878-5921","issue":"10","journalAbbreviation":"Journal of Clinical Epidemiology","language":"English","note":"publisher: Elsevier\nPMID: 16168343","page":"982-990","source":"www.jclinepi.com","title":"Bivariate analysis of sensitivity and specificity produces informative summary measures in diagnostic reviews","URL":"https://www.jclinepi.com/article/S0895-4356(05)00162-9/abstract","volume":"58","author":[{"family":"Reitsma","given":"Johannes B."},{"family":"Glas","given":"Afina S."},{"family":"Rutjes","given":"Anne W. S."},{"family":"Scholten","given":"Rob J. P. M."},{"family":"Bossuyt","given":"Patrick M."},{"family":"Zwinderman","given":"Aeilko H."}],"accessed":{"date-parts":[["2025",6,16]]},"issued":{"date-parts":[["2005",10,1]]}}}],"schema":"https://github.com/citation-style-language/schema/raw/master/csl-citation.json"} </w:instrText>
      </w:r>
      <w:r w:rsidR="00F64948">
        <w:rPr>
          <w:rFonts w:ascii="Arial" w:hAnsi="Arial" w:cs="Arial"/>
          <w:bCs/>
        </w:rPr>
        <w:fldChar w:fldCharType="separate"/>
      </w:r>
      <w:r w:rsidR="00F669DC" w:rsidRPr="00F669DC">
        <w:rPr>
          <w:rFonts w:ascii="Arial" w:hAnsi="Arial" w:cs="Arial"/>
        </w:rPr>
        <w:t>(Reitsma et al., 2005)</w:t>
      </w:r>
      <w:r w:rsidR="00F64948">
        <w:rPr>
          <w:rFonts w:ascii="Arial" w:hAnsi="Arial" w:cs="Arial"/>
          <w:bCs/>
        </w:rPr>
        <w:fldChar w:fldCharType="end"/>
      </w:r>
      <w:r w:rsidR="001058A7" w:rsidRPr="001058A7">
        <w:rPr>
          <w:rFonts w:ascii="Arial" w:hAnsi="Arial" w:cs="Arial"/>
          <w:bCs/>
        </w:rPr>
        <w:t xml:space="preserve">. To investigate potential sources of heterogeneity, we performed subgroup analyses. Publication bias was assessed using Deeks' funnel plot asymmetry test </w:t>
      </w:r>
      <w:r w:rsidR="00F64948">
        <w:rPr>
          <w:rFonts w:ascii="Arial" w:hAnsi="Arial" w:cs="Arial"/>
          <w:bCs/>
        </w:rPr>
        <w:fldChar w:fldCharType="begin"/>
      </w:r>
      <w:r w:rsidR="00F669DC">
        <w:rPr>
          <w:rFonts w:ascii="Arial" w:hAnsi="Arial" w:cs="Arial"/>
          <w:bCs/>
        </w:rPr>
        <w:instrText xml:space="preserve"> ADDIN ZOTERO_ITEM CSL_CITATION {"citationID":"ag554pln09","properties":{"formattedCitation":"(Deeks et al., 2005)","plainCitation":"(Deeks et al., 2005)","noteIndex":0},"citationItems":[{"id":8087,"uris":["http://zotero.org/users/3583561/items/EG26ID2M"],"itemData":{"id":8087,"type":"article-journal","container-title":"Journal of Clinical Epidemiology","DOI":"10.1016/j.jclinepi.2005.01.016","ISSN":"0895-4356, 1878-5921","issue":"9","journalAbbreviation":"Journal of Clinical Epidemiology","language":"English","note":"publisher: Elsevier\nPMID: 16085191","page":"882-893","source":"www.jclinepi.com","title":"The performance of tests of publication bias and other sample size effects in systematic reviews of diagnostic test accuracy was assessed","URL":"https://www.jclinepi.com/article/S0895-4356(05)00142-3/abstract","volume":"58","author":[{"family":"Deeks","given":"Jonathan J."},{"family":"Macaskill","given":"Petra"},{"family":"Irwig","given":"Les"}],"accessed":{"date-parts":[["2025",6,16]]},"issued":{"date-parts":[["2005",9,1]]}}}],"schema":"https://github.com/citation-style-language/schema/raw/master/csl-citation.json"} </w:instrText>
      </w:r>
      <w:r w:rsidR="00F64948">
        <w:rPr>
          <w:rFonts w:ascii="Arial" w:hAnsi="Arial" w:cs="Arial"/>
          <w:bCs/>
        </w:rPr>
        <w:fldChar w:fldCharType="separate"/>
      </w:r>
      <w:r w:rsidR="00F669DC" w:rsidRPr="00F669DC">
        <w:rPr>
          <w:rFonts w:ascii="Arial" w:hAnsi="Arial" w:cs="Arial"/>
        </w:rPr>
        <w:t>(Deeks et al., 2005)</w:t>
      </w:r>
      <w:r w:rsidR="00F64948">
        <w:rPr>
          <w:rFonts w:ascii="Arial" w:hAnsi="Arial" w:cs="Arial"/>
          <w:bCs/>
        </w:rPr>
        <w:fldChar w:fldCharType="end"/>
      </w:r>
      <w:r w:rsidR="001058A7" w:rsidRPr="001058A7">
        <w:rPr>
          <w:rFonts w:ascii="Arial" w:hAnsi="Arial" w:cs="Arial"/>
          <w:bCs/>
        </w:rPr>
        <w:t xml:space="preserve">. Additionally, Fagan's nomogram was employed to quantify post-test probability </w:t>
      </w:r>
      <w:r w:rsidR="00F64948">
        <w:rPr>
          <w:rFonts w:ascii="Arial" w:hAnsi="Arial" w:cs="Arial"/>
          <w:bCs/>
        </w:rPr>
        <w:fldChar w:fldCharType="begin"/>
      </w:r>
      <w:r w:rsidR="00F669DC">
        <w:rPr>
          <w:rFonts w:ascii="Arial" w:hAnsi="Arial" w:cs="Arial"/>
          <w:bCs/>
        </w:rPr>
        <w:instrText xml:space="preserve"> ADDIN ZOTERO_ITEM CSL_CITATION {"citationID":"a1ik87931r","properties":{"formattedCitation":"(Fagan, 1975)","plainCitation":"(Fagan, 1975)","noteIndex":0},"citationItems":[{"id":571,"uris":["http://zotero.org/users/3583561/items/3YKDGU3R"],"itemData":{"id":571,"type":"article-journal","container-title":"The New England Journal of Medicine","DOI":"10.1056/NEJM197507312930513","ISSN":"0028-4793","issue":"5","journalAbbreviation":"N Engl J Med","language":"eng","note":"PMID: 1143310","page":"257","source":"PubMed","title":"Letter: Nomogram for Bayes's theorem","title-short":"Letter","volume":"293","author":[{"family":"Fagan","given":"T. J."}],"issued":{"date-parts":[["1975",7,31]]}}}],"schema":"https://github.com/citation-style-language/schema/raw/master/csl-citation.json"} </w:instrText>
      </w:r>
      <w:r w:rsidR="00F64948">
        <w:rPr>
          <w:rFonts w:ascii="Arial" w:hAnsi="Arial" w:cs="Arial"/>
          <w:bCs/>
        </w:rPr>
        <w:fldChar w:fldCharType="separate"/>
      </w:r>
      <w:r w:rsidR="00F669DC" w:rsidRPr="00F669DC">
        <w:rPr>
          <w:rFonts w:ascii="Arial" w:hAnsi="Arial" w:cs="Arial"/>
        </w:rPr>
        <w:t>(Fagan, 1975)</w:t>
      </w:r>
      <w:r w:rsidR="00F64948">
        <w:rPr>
          <w:rFonts w:ascii="Arial" w:hAnsi="Arial" w:cs="Arial"/>
          <w:bCs/>
        </w:rPr>
        <w:fldChar w:fldCharType="end"/>
      </w:r>
      <w:r w:rsidR="001058A7" w:rsidRPr="001058A7">
        <w:rPr>
          <w:rFonts w:ascii="Arial" w:hAnsi="Arial" w:cs="Arial"/>
          <w:bCs/>
        </w:rPr>
        <w:t>.</w:t>
      </w:r>
    </w:p>
    <w:p w14:paraId="0AEFD1EA" w14:textId="77777777" w:rsidR="00F45D2A"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4CB52755" w14:textId="77777777" w:rsidR="00F45D2A" w:rsidRDefault="00F45D2A" w:rsidP="00441B6F">
      <w:pPr>
        <w:pStyle w:val="Head1"/>
        <w:spacing w:after="0"/>
        <w:jc w:val="both"/>
        <w:rPr>
          <w:rFonts w:ascii="Arial" w:hAnsi="Arial" w:cs="Arial"/>
        </w:rPr>
      </w:pPr>
    </w:p>
    <w:p w14:paraId="0E9D62DA" w14:textId="1D3BD4FA" w:rsidR="00790ADA" w:rsidRPr="00FB3A86" w:rsidRDefault="00F45D2A" w:rsidP="00F45D2A">
      <w:pPr>
        <w:pStyle w:val="Body"/>
        <w:rPr>
          <w:rFonts w:ascii="Arial" w:hAnsi="Arial" w:cs="Arial"/>
        </w:rPr>
      </w:pPr>
      <w:r w:rsidRPr="00F45D2A">
        <w:rPr>
          <w:rFonts w:ascii="Arial" w:hAnsi="Arial" w:cs="Arial"/>
          <w:b/>
          <w:sz w:val="22"/>
          <w:szCs w:val="22"/>
        </w:rPr>
        <w:t>3.1. Documentary research and study characteristics</w:t>
      </w:r>
      <w:r w:rsidR="00B00B61">
        <w:rPr>
          <w:rFonts w:ascii="Arial" w:hAnsi="Arial" w:cs="Arial"/>
          <w:b/>
          <w:sz w:val="22"/>
          <w:szCs w:val="22"/>
        </w:rPr>
        <w:t xml:space="preserve">  </w:t>
      </w:r>
    </w:p>
    <w:p w14:paraId="1E5E3A9A" w14:textId="2A9EC578" w:rsidR="00F45D2A" w:rsidRPr="00F45D2A" w:rsidRDefault="00F45D2A" w:rsidP="00F45D2A">
      <w:pPr>
        <w:pStyle w:val="Body"/>
        <w:rPr>
          <w:rFonts w:ascii="Arial" w:hAnsi="Arial" w:cs="Arial"/>
        </w:rPr>
      </w:pPr>
      <w:r w:rsidRPr="00F45D2A">
        <w:rPr>
          <w:rFonts w:ascii="Arial" w:hAnsi="Arial" w:cs="Arial"/>
        </w:rPr>
        <w:t>The initial database search identified 2,427 articles. Following duplicate removal and title/abstract screening, 127 articles were selected for full-text assessment. Of these, 37 articles qualified for qualitative analysis. Among the 90 excluded studies: 24 were reviews/meta-analyses, 41 involved animal/cell line research, and 25 lacked sufficient diagnostic accuracy data. After full-text evaluation, 12 additional articles were excluded from quantitative meta-analysis due to insufficient data for calculating true positives (TP), false positives (FP), true negatives (TN), and false negatives (FN). The final analysis included 25 articles encompassing 27 studies (two articles investigated two distinct populations). The PRISMA flowchart (</w:t>
      </w:r>
      <w:r w:rsidRPr="00F45D2A">
        <w:rPr>
          <w:rFonts w:ascii="Arial" w:hAnsi="Arial" w:cs="Arial"/>
          <w:b/>
          <w:bCs/>
        </w:rPr>
        <w:t>Fig</w:t>
      </w:r>
      <w:r>
        <w:rPr>
          <w:rFonts w:ascii="Arial" w:hAnsi="Arial" w:cs="Arial"/>
          <w:b/>
          <w:bCs/>
        </w:rPr>
        <w:t>.</w:t>
      </w:r>
      <w:r w:rsidRPr="00F45D2A">
        <w:rPr>
          <w:rFonts w:ascii="Arial" w:hAnsi="Arial" w:cs="Arial"/>
          <w:b/>
          <w:bCs/>
        </w:rPr>
        <w:t xml:space="preserve"> 1</w:t>
      </w:r>
      <w:r w:rsidRPr="00F45D2A">
        <w:rPr>
          <w:rFonts w:ascii="Arial" w:hAnsi="Arial" w:cs="Arial"/>
        </w:rPr>
        <w:t>) details the selection process, while Table 1 summarizes: Key study characteristics, contingency data (TP, FP, FN, TN), corresponding sensitivity (SEN) and specificity (SPE) values.</w:t>
      </w:r>
    </w:p>
    <w:p w14:paraId="1FFAF1B3" w14:textId="77777777" w:rsidR="00F45D2A" w:rsidRPr="00F45D2A" w:rsidRDefault="00F45D2A" w:rsidP="00F45D2A">
      <w:pPr>
        <w:pStyle w:val="Body"/>
        <w:rPr>
          <w:rFonts w:ascii="Arial" w:hAnsi="Arial" w:cs="Arial"/>
        </w:rPr>
      </w:pPr>
      <w:r w:rsidRPr="00F45D2A">
        <w:rPr>
          <w:rFonts w:ascii="Arial" w:hAnsi="Arial" w:cs="Arial"/>
        </w:rPr>
        <w:t xml:space="preserve">The 27 included studies comprised a total of 2,697 participants (1,525 </w:t>
      </w:r>
      <w:proofErr w:type="spellStart"/>
      <w:r w:rsidRPr="00F45D2A">
        <w:rPr>
          <w:rFonts w:ascii="Arial" w:hAnsi="Arial" w:cs="Arial"/>
        </w:rPr>
        <w:t>PCa</w:t>
      </w:r>
      <w:proofErr w:type="spellEnd"/>
      <w:r w:rsidRPr="00F45D2A">
        <w:rPr>
          <w:rFonts w:ascii="Arial" w:hAnsi="Arial" w:cs="Arial"/>
        </w:rPr>
        <w:t xml:space="preserve"> patients and 1,172 controls). The number of studies evaluating miR-21, miR-141, and miR-375 were 12, 12, and 11, respectively.</w:t>
      </w:r>
    </w:p>
    <w:p w14:paraId="3197CBCE" w14:textId="77777777" w:rsidR="00F45D2A" w:rsidRDefault="00F45D2A" w:rsidP="00F45D2A">
      <w:pPr>
        <w:pStyle w:val="Body"/>
        <w:spacing w:after="0"/>
        <w:rPr>
          <w:rFonts w:ascii="Arial" w:hAnsi="Arial" w:cs="Arial"/>
        </w:rPr>
      </w:pPr>
      <w:r w:rsidRPr="00F45D2A">
        <w:rPr>
          <w:rFonts w:ascii="Arial" w:hAnsi="Arial" w:cs="Arial"/>
        </w:rPr>
        <w:t xml:space="preserve">Most studies reported significantly higher expression levels of miR-21, miR-141, and miR-375 in </w:t>
      </w:r>
      <w:proofErr w:type="spellStart"/>
      <w:r w:rsidRPr="00F45D2A">
        <w:rPr>
          <w:rFonts w:ascii="Arial" w:hAnsi="Arial" w:cs="Arial"/>
        </w:rPr>
        <w:t>PCa</w:t>
      </w:r>
      <w:proofErr w:type="spellEnd"/>
      <w:r w:rsidRPr="00F45D2A">
        <w:rPr>
          <w:rFonts w:ascii="Arial" w:hAnsi="Arial" w:cs="Arial"/>
        </w:rPr>
        <w:t xml:space="preserve"> patients compared to controls. These miRNAs were primarily analyzed in urine, plasma, peripheral blood mononuclear cells (PBMCs), and serum samples from both </w:t>
      </w:r>
      <w:proofErr w:type="spellStart"/>
      <w:r w:rsidRPr="00F45D2A">
        <w:rPr>
          <w:rFonts w:ascii="Arial" w:hAnsi="Arial" w:cs="Arial"/>
        </w:rPr>
        <w:t>PCa</w:t>
      </w:r>
      <w:proofErr w:type="spellEnd"/>
      <w:r w:rsidRPr="00F45D2A">
        <w:rPr>
          <w:rFonts w:ascii="Arial" w:hAnsi="Arial" w:cs="Arial"/>
        </w:rPr>
        <w:t xml:space="preserve"> patients and control groups. The studies investigating these miRNAs were published between 2008 and 2025. </w:t>
      </w:r>
    </w:p>
    <w:p w14:paraId="56502B6E" w14:textId="77777777" w:rsidR="00F45D2A" w:rsidRDefault="00F45D2A" w:rsidP="00F45D2A">
      <w:pPr>
        <w:pStyle w:val="Body"/>
        <w:spacing w:after="0"/>
        <w:rPr>
          <w:rFonts w:ascii="Arial" w:hAnsi="Arial" w:cs="Arial"/>
        </w:rPr>
      </w:pPr>
    </w:p>
    <w:p w14:paraId="5A7B95AE" w14:textId="027C2BEC" w:rsidR="00F45D2A" w:rsidRDefault="006D7CAE" w:rsidP="00F45D2A">
      <w:pPr>
        <w:pStyle w:val="Body"/>
        <w:spacing w:after="0"/>
        <w:rPr>
          <w:rFonts w:ascii="Arial" w:hAnsi="Arial" w:cs="Arial"/>
        </w:rPr>
      </w:pPr>
      <w:r>
        <w:rPr>
          <w:rFonts w:ascii="Arial" w:hAnsi="Arial" w:cs="Arial"/>
          <w:noProof/>
        </w:rPr>
        <w:lastRenderedPageBreak/>
        <w:drawing>
          <wp:inline distT="0" distB="0" distL="0" distR="0" wp14:anchorId="46AB7F9C" wp14:editId="6D47EBA2">
            <wp:extent cx="5213350" cy="6153150"/>
            <wp:effectExtent l="0" t="0" r="0" b="0"/>
            <wp:docPr id="15"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13350" cy="6153150"/>
                    </a:xfrm>
                    <a:prstGeom prst="rect">
                      <a:avLst/>
                    </a:prstGeom>
                    <a:noFill/>
                    <a:ln>
                      <a:noFill/>
                    </a:ln>
                  </pic:spPr>
                </pic:pic>
              </a:graphicData>
            </a:graphic>
          </wp:inline>
        </w:drawing>
      </w:r>
    </w:p>
    <w:p w14:paraId="080BEE61" w14:textId="77777777" w:rsidR="00F45D2A" w:rsidRDefault="00F45D2A" w:rsidP="00F45D2A">
      <w:pPr>
        <w:pStyle w:val="Body"/>
        <w:spacing w:after="0"/>
        <w:rPr>
          <w:rFonts w:ascii="Arial" w:hAnsi="Arial" w:cs="Arial"/>
        </w:rPr>
      </w:pPr>
    </w:p>
    <w:p w14:paraId="3336F53A" w14:textId="53CE4AEF" w:rsidR="00F45D2A" w:rsidRDefault="00F45D2A" w:rsidP="00F45D2A">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1</w:t>
      </w:r>
      <w:r>
        <w:rPr>
          <w:rFonts w:ascii="Arial" w:hAnsi="Arial" w:cs="Arial"/>
          <w:b/>
          <w:bCs/>
          <w:szCs w:val="22"/>
        </w:rPr>
        <w:t>.</w:t>
      </w:r>
      <w:r w:rsidR="00A00A98">
        <w:rPr>
          <w:rFonts w:ascii="Arial" w:hAnsi="Arial" w:cs="Arial"/>
          <w:b/>
          <w:bCs/>
          <w:szCs w:val="22"/>
        </w:rPr>
        <w:t xml:space="preserve"> </w:t>
      </w:r>
      <w:r w:rsidRPr="00F45D2A">
        <w:rPr>
          <w:rFonts w:ascii="Arial" w:hAnsi="Arial" w:cs="Arial"/>
          <w:b/>
          <w:bCs/>
          <w:szCs w:val="22"/>
        </w:rPr>
        <w:t>PRISMA diagram for study selectio</w:t>
      </w:r>
      <w:r w:rsidR="009B2787">
        <w:rPr>
          <w:rFonts w:ascii="Arial" w:hAnsi="Arial" w:cs="Arial"/>
          <w:b/>
          <w:bCs/>
          <w:szCs w:val="22"/>
        </w:rPr>
        <w:t>n</w:t>
      </w:r>
      <w:r w:rsidRPr="00F45D2A">
        <w:rPr>
          <w:rFonts w:ascii="Arial" w:hAnsi="Arial" w:cs="Arial"/>
          <w:b/>
          <w:bCs/>
          <w:szCs w:val="22"/>
        </w:rPr>
        <w:t>.</w:t>
      </w:r>
    </w:p>
    <w:p w14:paraId="6183ACFF" w14:textId="3D258261" w:rsidR="00F45D2A" w:rsidRDefault="00DB6BB5" w:rsidP="00DB6BB5">
      <w:pPr>
        <w:autoSpaceDE w:val="0"/>
        <w:autoSpaceDN w:val="0"/>
        <w:adjustRightInd w:val="0"/>
        <w:jc w:val="both"/>
        <w:rPr>
          <w:rFonts w:ascii="Arial" w:hAnsi="Arial" w:cs="Arial"/>
          <w:i/>
          <w:sz w:val="18"/>
        </w:rPr>
      </w:pPr>
      <w:r w:rsidRPr="00DB6BB5">
        <w:rPr>
          <w:rFonts w:ascii="Arial" w:hAnsi="Arial" w:cs="Arial"/>
          <w:i/>
          <w:sz w:val="18"/>
        </w:rPr>
        <w:t>PRISMA (Preferred Reporting Items for Systematic Reviews and Meta-Analyses</w:t>
      </w:r>
      <w:r w:rsidR="009B2787">
        <w:rPr>
          <w:rFonts w:ascii="Arial" w:hAnsi="Arial" w:cs="Arial"/>
          <w:i/>
          <w:sz w:val="18"/>
        </w:rPr>
        <w:t>).</w:t>
      </w:r>
      <w:r w:rsidRPr="00DB6BB5">
        <w:rPr>
          <w:rFonts w:ascii="Arial" w:hAnsi="Arial" w:cs="Arial"/>
          <w:i/>
          <w:sz w:val="18"/>
        </w:rPr>
        <w:t xml:space="preserve"> </w:t>
      </w:r>
    </w:p>
    <w:p w14:paraId="1C585633" w14:textId="77777777" w:rsidR="00F45D2A" w:rsidRDefault="00F45D2A" w:rsidP="00F45D2A">
      <w:pPr>
        <w:pStyle w:val="Body"/>
        <w:spacing w:after="0"/>
        <w:rPr>
          <w:rFonts w:ascii="Arial" w:hAnsi="Arial" w:cs="Arial"/>
        </w:rPr>
      </w:pPr>
    </w:p>
    <w:p w14:paraId="31F2FFD4" w14:textId="77777777" w:rsidR="00DB6BB5" w:rsidRDefault="00DB6BB5" w:rsidP="00441B6F">
      <w:pPr>
        <w:tabs>
          <w:tab w:val="left" w:pos="1080"/>
        </w:tabs>
        <w:jc w:val="both"/>
        <w:rPr>
          <w:rFonts w:ascii="Arial" w:hAnsi="Arial"/>
          <w:b/>
        </w:rPr>
      </w:pPr>
    </w:p>
    <w:p w14:paraId="2698027B" w14:textId="77777777" w:rsidR="00DB6BB5" w:rsidRDefault="00DB6BB5" w:rsidP="00441B6F">
      <w:pPr>
        <w:tabs>
          <w:tab w:val="left" w:pos="1080"/>
        </w:tabs>
        <w:jc w:val="both"/>
        <w:rPr>
          <w:rFonts w:ascii="Arial" w:hAnsi="Arial"/>
          <w:b/>
        </w:rPr>
      </w:pPr>
    </w:p>
    <w:p w14:paraId="71318F4E" w14:textId="77777777" w:rsidR="001058A7" w:rsidRDefault="001058A7" w:rsidP="00441B6F">
      <w:pPr>
        <w:tabs>
          <w:tab w:val="left" w:pos="1080"/>
        </w:tabs>
        <w:jc w:val="both"/>
        <w:rPr>
          <w:rFonts w:ascii="Arial" w:hAnsi="Arial"/>
          <w:b/>
        </w:rPr>
      </w:pPr>
    </w:p>
    <w:p w14:paraId="59283AE3" w14:textId="77777777" w:rsidR="001058A7" w:rsidRDefault="001058A7" w:rsidP="00441B6F">
      <w:pPr>
        <w:tabs>
          <w:tab w:val="left" w:pos="1080"/>
        </w:tabs>
        <w:jc w:val="both"/>
        <w:rPr>
          <w:rFonts w:ascii="Arial" w:hAnsi="Arial"/>
          <w:b/>
        </w:rPr>
      </w:pPr>
    </w:p>
    <w:p w14:paraId="6C0490BE" w14:textId="77777777" w:rsidR="001058A7" w:rsidRDefault="001058A7" w:rsidP="00441B6F">
      <w:pPr>
        <w:tabs>
          <w:tab w:val="left" w:pos="1080"/>
        </w:tabs>
        <w:jc w:val="both"/>
        <w:rPr>
          <w:rFonts w:ascii="Arial" w:hAnsi="Arial"/>
          <w:b/>
        </w:rPr>
      </w:pPr>
    </w:p>
    <w:p w14:paraId="2993AB56" w14:textId="77777777" w:rsidR="001058A7" w:rsidRDefault="001058A7" w:rsidP="00441B6F">
      <w:pPr>
        <w:tabs>
          <w:tab w:val="left" w:pos="1080"/>
        </w:tabs>
        <w:jc w:val="both"/>
        <w:rPr>
          <w:rFonts w:ascii="Arial" w:hAnsi="Arial"/>
          <w:b/>
        </w:rPr>
      </w:pPr>
    </w:p>
    <w:p w14:paraId="7314369F" w14:textId="77777777" w:rsidR="001058A7" w:rsidRDefault="001058A7" w:rsidP="00441B6F">
      <w:pPr>
        <w:tabs>
          <w:tab w:val="left" w:pos="1080"/>
        </w:tabs>
        <w:jc w:val="both"/>
        <w:rPr>
          <w:rFonts w:ascii="Arial" w:hAnsi="Arial"/>
          <w:b/>
        </w:rPr>
      </w:pPr>
    </w:p>
    <w:p w14:paraId="2F68E1C1" w14:textId="77777777" w:rsidR="001058A7" w:rsidRDefault="001058A7" w:rsidP="00441B6F">
      <w:pPr>
        <w:tabs>
          <w:tab w:val="left" w:pos="1080"/>
        </w:tabs>
        <w:jc w:val="both"/>
        <w:rPr>
          <w:rFonts w:ascii="Arial" w:hAnsi="Arial"/>
          <w:b/>
        </w:rPr>
        <w:sectPr w:rsidR="001058A7" w:rsidSect="00DA1151">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40" w:right="2016" w:bottom="2016" w:left="2016" w:header="720" w:footer="1123" w:gutter="0"/>
          <w:cols w:space="720"/>
          <w:docGrid w:linePitch="272"/>
        </w:sectPr>
      </w:pPr>
    </w:p>
    <w:p w14:paraId="47C7527F" w14:textId="062C10E0" w:rsidR="00863BD3" w:rsidRDefault="009500A6" w:rsidP="00441B6F">
      <w:pPr>
        <w:tabs>
          <w:tab w:val="left" w:pos="1080"/>
        </w:tabs>
        <w:jc w:val="both"/>
        <w:rPr>
          <w:rFonts w:ascii="Arial" w:hAnsi="Arial"/>
          <w:b/>
        </w:rPr>
      </w:pPr>
      <w:r>
        <w:rPr>
          <w:rFonts w:ascii="Arial" w:hAnsi="Arial"/>
          <w:b/>
        </w:rPr>
        <w:lastRenderedPageBreak/>
        <w:t>Table 1.</w:t>
      </w:r>
      <w:r w:rsidR="00863BD3" w:rsidRPr="00DC3180">
        <w:rPr>
          <w:rFonts w:ascii="Arial" w:hAnsi="Arial"/>
          <w:b/>
        </w:rPr>
        <w:tab/>
      </w:r>
      <w:r w:rsidR="001058A7" w:rsidRPr="001058A7">
        <w:rPr>
          <w:rFonts w:ascii="Arial" w:hAnsi="Arial"/>
          <w:b/>
        </w:rPr>
        <w:t>Characteristics of included studies</w:t>
      </w:r>
      <w:r w:rsidR="00DD38EA">
        <w:rPr>
          <w:rFonts w:ascii="Arial" w:hAnsi="Arial"/>
          <w:b/>
        </w:rPr>
        <w:t xml:space="preserve">  </w:t>
      </w:r>
    </w:p>
    <w:p w14:paraId="44B4A96E" w14:textId="77777777" w:rsidR="00863BD3" w:rsidRDefault="00863BD3" w:rsidP="00441B6F">
      <w:pPr>
        <w:tabs>
          <w:tab w:val="left" w:pos="1080"/>
        </w:tabs>
        <w:jc w:val="both"/>
        <w:rPr>
          <w:rFonts w:ascii="Arial" w:hAnsi="Arial"/>
          <w:b/>
        </w:rPr>
      </w:pPr>
    </w:p>
    <w:tbl>
      <w:tblPr>
        <w:tblStyle w:val="PlainTable2"/>
        <w:tblpPr w:leftFromText="141" w:rightFromText="141" w:bottomFromText="160" w:vertAnchor="text" w:horzAnchor="margin" w:tblpX="-703" w:tblpY="74"/>
        <w:tblW w:w="13250" w:type="dxa"/>
        <w:tblLook w:val="04A0" w:firstRow="1" w:lastRow="0" w:firstColumn="1" w:lastColumn="0" w:noHBand="0" w:noVBand="1"/>
      </w:tblPr>
      <w:tblGrid>
        <w:gridCol w:w="1806"/>
        <w:gridCol w:w="1084"/>
        <w:gridCol w:w="927"/>
        <w:gridCol w:w="695"/>
        <w:gridCol w:w="927"/>
        <w:gridCol w:w="1361"/>
        <w:gridCol w:w="1172"/>
        <w:gridCol w:w="1206"/>
        <w:gridCol w:w="717"/>
        <w:gridCol w:w="717"/>
        <w:gridCol w:w="550"/>
        <w:gridCol w:w="472"/>
        <w:gridCol w:w="483"/>
        <w:gridCol w:w="483"/>
        <w:gridCol w:w="650"/>
      </w:tblGrid>
      <w:tr w:rsidR="00E84D7D" w:rsidRPr="00F21EDD" w14:paraId="62A77E84" w14:textId="77777777" w:rsidTr="00E84D7D">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noWrap/>
            <w:hideMark/>
          </w:tcPr>
          <w:p w14:paraId="4696C239" w14:textId="285070E6" w:rsidR="00E84D7D" w:rsidRPr="00F21EDD" w:rsidRDefault="00E84D7D" w:rsidP="0000574D">
            <w:pPr>
              <w:spacing w:before="240"/>
              <w:jc w:val="both"/>
              <w:rPr>
                <w:rFonts w:ascii="Arial" w:eastAsia="Times New Roman" w:hAnsi="Arial" w:cs="Arial"/>
                <w:b w:val="0"/>
                <w:bCs w:val="0"/>
                <w:color w:val="000000"/>
                <w:sz w:val="20"/>
                <w:szCs w:val="20"/>
                <w:lang w:val="en-US" w:eastAsia="fr-FR"/>
              </w:rPr>
            </w:pPr>
            <w:bookmarkStart w:id="0" w:name="_Hlk189062301"/>
            <w:r w:rsidRPr="00F21EDD">
              <w:rPr>
                <w:rFonts w:ascii="Arial" w:eastAsia="Times New Roman" w:hAnsi="Arial" w:cs="Arial"/>
                <w:color w:val="000000"/>
                <w:sz w:val="20"/>
                <w:szCs w:val="20"/>
                <w:lang w:val="en-US" w:eastAsia="fr-FR"/>
              </w:rPr>
              <w:t xml:space="preserve">Author </w:t>
            </w:r>
            <w:r>
              <w:rPr>
                <w:rFonts w:ascii="Arial" w:eastAsia="Times New Roman" w:hAnsi="Arial" w:cs="Arial"/>
                <w:color w:val="000000"/>
                <w:sz w:val="20"/>
                <w:szCs w:val="20"/>
                <w:lang w:val="en-US" w:eastAsia="fr-FR"/>
              </w:rPr>
              <w:t>Year</w:t>
            </w:r>
          </w:p>
        </w:tc>
        <w:tc>
          <w:tcPr>
            <w:tcW w:w="1084" w:type="dxa"/>
            <w:noWrap/>
            <w:hideMark/>
          </w:tcPr>
          <w:p w14:paraId="13E1EEDB" w14:textId="77777777" w:rsidR="00E84D7D" w:rsidRPr="00F21EDD" w:rsidRDefault="00E84D7D" w:rsidP="0000574D">
            <w:pPr>
              <w:spacing w:before="240"/>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val="en-US" w:eastAsia="fr-FR"/>
              </w:rPr>
            </w:pPr>
            <w:r w:rsidRPr="00F21EDD">
              <w:rPr>
                <w:rFonts w:ascii="Arial" w:eastAsia="Times New Roman" w:hAnsi="Arial" w:cs="Arial"/>
                <w:color w:val="000000"/>
                <w:sz w:val="20"/>
                <w:szCs w:val="20"/>
                <w:lang w:val="en-US" w:eastAsia="fr-FR"/>
              </w:rPr>
              <w:t>Country</w:t>
            </w:r>
          </w:p>
        </w:tc>
        <w:tc>
          <w:tcPr>
            <w:tcW w:w="927" w:type="dxa"/>
          </w:tcPr>
          <w:p w14:paraId="5D950EBD" w14:textId="77777777" w:rsidR="00E84D7D" w:rsidRPr="00F21EDD" w:rsidRDefault="00E84D7D" w:rsidP="0000574D">
            <w:pPr>
              <w:spacing w:before="240"/>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val="en-US" w:eastAsia="fr-FR"/>
              </w:rPr>
            </w:pPr>
            <w:r w:rsidRPr="00F21EDD">
              <w:rPr>
                <w:rFonts w:ascii="Arial" w:eastAsia="Times New Roman" w:hAnsi="Arial" w:cs="Arial"/>
                <w:color w:val="000000"/>
                <w:sz w:val="20"/>
                <w:szCs w:val="20"/>
                <w:lang w:val="en-US" w:eastAsia="fr-FR"/>
              </w:rPr>
              <w:t>Control group</w:t>
            </w:r>
          </w:p>
        </w:tc>
        <w:tc>
          <w:tcPr>
            <w:tcW w:w="695" w:type="dxa"/>
            <w:noWrap/>
            <w:hideMark/>
          </w:tcPr>
          <w:p w14:paraId="3A6357EE" w14:textId="77777777" w:rsidR="00E84D7D" w:rsidRPr="00F21EDD" w:rsidRDefault="00E84D7D" w:rsidP="0000574D">
            <w:pPr>
              <w:spacing w:before="240"/>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val="en-US" w:eastAsia="fr-FR"/>
              </w:rPr>
            </w:pPr>
            <w:r w:rsidRPr="00F21EDD">
              <w:rPr>
                <w:rFonts w:ascii="Arial" w:eastAsia="Times New Roman" w:hAnsi="Arial" w:cs="Arial"/>
                <w:color w:val="000000"/>
                <w:sz w:val="20"/>
                <w:szCs w:val="20"/>
                <w:lang w:val="en-US" w:eastAsia="fr-FR"/>
              </w:rPr>
              <w:t>Case size</w:t>
            </w:r>
          </w:p>
        </w:tc>
        <w:tc>
          <w:tcPr>
            <w:tcW w:w="927" w:type="dxa"/>
            <w:noWrap/>
            <w:hideMark/>
          </w:tcPr>
          <w:p w14:paraId="10311530" w14:textId="77777777" w:rsidR="00E84D7D" w:rsidRPr="00F21EDD" w:rsidRDefault="00E84D7D" w:rsidP="0000574D">
            <w:pPr>
              <w:spacing w:before="240"/>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val="en-US" w:eastAsia="fr-FR"/>
              </w:rPr>
            </w:pPr>
            <w:r w:rsidRPr="00F21EDD">
              <w:rPr>
                <w:rFonts w:ascii="Arial" w:eastAsia="Times New Roman" w:hAnsi="Arial" w:cs="Arial"/>
                <w:color w:val="000000"/>
                <w:sz w:val="20"/>
                <w:szCs w:val="20"/>
                <w:lang w:val="en-US" w:eastAsia="fr-FR"/>
              </w:rPr>
              <w:t>Control size</w:t>
            </w:r>
          </w:p>
        </w:tc>
        <w:tc>
          <w:tcPr>
            <w:tcW w:w="1361" w:type="dxa"/>
            <w:noWrap/>
            <w:hideMark/>
          </w:tcPr>
          <w:p w14:paraId="4606901A" w14:textId="77777777" w:rsidR="00E84D7D" w:rsidRPr="00F21EDD" w:rsidRDefault="00E84D7D" w:rsidP="0000574D">
            <w:pPr>
              <w:spacing w:before="240"/>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val="en-US" w:eastAsia="fr-FR"/>
              </w:rPr>
            </w:pPr>
            <w:r w:rsidRPr="00F21EDD">
              <w:rPr>
                <w:rFonts w:ascii="Arial" w:eastAsia="Times New Roman" w:hAnsi="Arial" w:cs="Arial"/>
                <w:color w:val="000000"/>
                <w:sz w:val="20"/>
                <w:szCs w:val="20"/>
                <w:lang w:val="en-US" w:eastAsia="fr-FR"/>
              </w:rPr>
              <w:t>Sample</w:t>
            </w:r>
          </w:p>
        </w:tc>
        <w:tc>
          <w:tcPr>
            <w:tcW w:w="1172" w:type="dxa"/>
          </w:tcPr>
          <w:p w14:paraId="04D32218" w14:textId="77777777" w:rsidR="00E84D7D" w:rsidRPr="00F21EDD" w:rsidRDefault="00E84D7D" w:rsidP="0000574D">
            <w:pPr>
              <w:spacing w:before="240"/>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val="en-US" w:eastAsia="fr-FR"/>
              </w:rPr>
            </w:pPr>
            <w:r w:rsidRPr="00F21EDD">
              <w:rPr>
                <w:rFonts w:ascii="Arial" w:eastAsia="Times New Roman" w:hAnsi="Arial" w:cs="Arial"/>
                <w:color w:val="000000"/>
                <w:sz w:val="20"/>
                <w:szCs w:val="20"/>
                <w:lang w:val="en-US" w:eastAsia="fr-FR"/>
              </w:rPr>
              <w:t>Diagnosis Method</w:t>
            </w:r>
          </w:p>
        </w:tc>
        <w:tc>
          <w:tcPr>
            <w:tcW w:w="1206" w:type="dxa"/>
            <w:noWrap/>
            <w:hideMark/>
          </w:tcPr>
          <w:p w14:paraId="32CFB4BB" w14:textId="77777777" w:rsidR="00E84D7D" w:rsidRPr="00F21EDD" w:rsidRDefault="00E84D7D" w:rsidP="0000574D">
            <w:pPr>
              <w:spacing w:before="240"/>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val="en-US" w:eastAsia="fr-FR"/>
              </w:rPr>
            </w:pPr>
            <w:r w:rsidRPr="00F21EDD">
              <w:rPr>
                <w:rFonts w:ascii="Arial" w:eastAsia="Times New Roman" w:hAnsi="Arial" w:cs="Arial"/>
                <w:color w:val="000000"/>
                <w:sz w:val="20"/>
                <w:szCs w:val="20"/>
                <w:lang w:val="en-US" w:eastAsia="fr-FR"/>
              </w:rPr>
              <w:t>Biomarker (test index)</w:t>
            </w:r>
          </w:p>
        </w:tc>
        <w:tc>
          <w:tcPr>
            <w:tcW w:w="717" w:type="dxa"/>
            <w:noWrap/>
            <w:hideMark/>
          </w:tcPr>
          <w:p w14:paraId="655544BF" w14:textId="77777777" w:rsidR="00E84D7D" w:rsidRPr="00F21EDD" w:rsidRDefault="00E84D7D" w:rsidP="0000574D">
            <w:pPr>
              <w:spacing w:before="240"/>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val="en-US" w:eastAsia="fr-FR"/>
              </w:rPr>
            </w:pPr>
            <w:r w:rsidRPr="00F21EDD">
              <w:rPr>
                <w:rFonts w:ascii="Arial" w:eastAsia="Times New Roman" w:hAnsi="Arial" w:cs="Arial"/>
                <w:color w:val="000000"/>
                <w:sz w:val="20"/>
                <w:szCs w:val="20"/>
                <w:lang w:val="en-US" w:eastAsia="fr-FR"/>
              </w:rPr>
              <w:t>SEN (%)</w:t>
            </w:r>
          </w:p>
        </w:tc>
        <w:tc>
          <w:tcPr>
            <w:tcW w:w="717" w:type="dxa"/>
            <w:noWrap/>
            <w:hideMark/>
          </w:tcPr>
          <w:p w14:paraId="133B32EC" w14:textId="77777777" w:rsidR="00E84D7D" w:rsidRPr="00F21EDD" w:rsidRDefault="00E84D7D" w:rsidP="0000574D">
            <w:pPr>
              <w:spacing w:before="240"/>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val="en-US" w:eastAsia="fr-FR"/>
              </w:rPr>
            </w:pPr>
            <w:r w:rsidRPr="00F21EDD">
              <w:rPr>
                <w:rFonts w:ascii="Arial" w:eastAsia="Times New Roman" w:hAnsi="Arial" w:cs="Arial"/>
                <w:color w:val="000000"/>
                <w:sz w:val="20"/>
                <w:szCs w:val="20"/>
                <w:lang w:val="en-US" w:eastAsia="fr-FR"/>
              </w:rPr>
              <w:t>SPE (%)</w:t>
            </w:r>
          </w:p>
        </w:tc>
        <w:tc>
          <w:tcPr>
            <w:tcW w:w="550" w:type="dxa"/>
            <w:noWrap/>
            <w:hideMark/>
          </w:tcPr>
          <w:p w14:paraId="611D51E9" w14:textId="77777777" w:rsidR="00E84D7D" w:rsidRPr="00F21EDD" w:rsidRDefault="00E84D7D" w:rsidP="0000574D">
            <w:pPr>
              <w:spacing w:before="240"/>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val="en-US" w:eastAsia="fr-FR"/>
              </w:rPr>
            </w:pPr>
            <w:r w:rsidRPr="00F21EDD">
              <w:rPr>
                <w:rFonts w:ascii="Arial" w:eastAsia="Times New Roman" w:hAnsi="Arial" w:cs="Arial"/>
                <w:color w:val="000000"/>
                <w:sz w:val="20"/>
                <w:szCs w:val="20"/>
                <w:lang w:val="en-US" w:eastAsia="fr-FR"/>
              </w:rPr>
              <w:t>TP</w:t>
            </w:r>
          </w:p>
        </w:tc>
        <w:tc>
          <w:tcPr>
            <w:tcW w:w="472" w:type="dxa"/>
            <w:noWrap/>
            <w:hideMark/>
          </w:tcPr>
          <w:p w14:paraId="3CDC511B" w14:textId="77777777" w:rsidR="00E84D7D" w:rsidRPr="00F21EDD" w:rsidRDefault="00E84D7D" w:rsidP="0000574D">
            <w:pPr>
              <w:spacing w:before="240"/>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val="en-US" w:eastAsia="fr-FR"/>
              </w:rPr>
            </w:pPr>
            <w:r w:rsidRPr="00F21EDD">
              <w:rPr>
                <w:rFonts w:ascii="Arial" w:eastAsia="Times New Roman" w:hAnsi="Arial" w:cs="Arial"/>
                <w:color w:val="000000"/>
                <w:sz w:val="20"/>
                <w:szCs w:val="20"/>
                <w:lang w:val="en-US" w:eastAsia="fr-FR"/>
              </w:rPr>
              <w:t>FP</w:t>
            </w:r>
          </w:p>
        </w:tc>
        <w:tc>
          <w:tcPr>
            <w:tcW w:w="483" w:type="dxa"/>
            <w:noWrap/>
            <w:hideMark/>
          </w:tcPr>
          <w:p w14:paraId="6B203D24" w14:textId="77777777" w:rsidR="00E84D7D" w:rsidRPr="00F21EDD" w:rsidRDefault="00E84D7D" w:rsidP="0000574D">
            <w:pPr>
              <w:spacing w:before="240"/>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val="en-US" w:eastAsia="fr-FR"/>
              </w:rPr>
            </w:pPr>
            <w:r w:rsidRPr="00F21EDD">
              <w:rPr>
                <w:rFonts w:ascii="Arial" w:eastAsia="Times New Roman" w:hAnsi="Arial" w:cs="Arial"/>
                <w:color w:val="000000"/>
                <w:sz w:val="20"/>
                <w:szCs w:val="20"/>
                <w:lang w:val="en-US" w:eastAsia="fr-FR"/>
              </w:rPr>
              <w:t>TN</w:t>
            </w:r>
          </w:p>
        </w:tc>
        <w:tc>
          <w:tcPr>
            <w:tcW w:w="483" w:type="dxa"/>
            <w:noWrap/>
            <w:hideMark/>
          </w:tcPr>
          <w:p w14:paraId="4ED68118" w14:textId="77777777" w:rsidR="00E84D7D" w:rsidRPr="00F21EDD" w:rsidRDefault="00E84D7D" w:rsidP="0000574D">
            <w:pPr>
              <w:spacing w:before="240"/>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val="en-US" w:eastAsia="fr-FR"/>
              </w:rPr>
            </w:pPr>
            <w:r w:rsidRPr="00F21EDD">
              <w:rPr>
                <w:rFonts w:ascii="Arial" w:eastAsia="Times New Roman" w:hAnsi="Arial" w:cs="Arial"/>
                <w:color w:val="000000"/>
                <w:sz w:val="20"/>
                <w:szCs w:val="20"/>
                <w:lang w:val="en-US" w:eastAsia="fr-FR"/>
              </w:rPr>
              <w:t>FN</w:t>
            </w:r>
          </w:p>
        </w:tc>
        <w:tc>
          <w:tcPr>
            <w:tcW w:w="650" w:type="dxa"/>
          </w:tcPr>
          <w:p w14:paraId="162348AB" w14:textId="77777777" w:rsidR="00E84D7D" w:rsidRPr="00F21EDD" w:rsidRDefault="00E84D7D" w:rsidP="0000574D">
            <w:pPr>
              <w:spacing w:before="240"/>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val="en-US" w:eastAsia="fr-FR"/>
              </w:rPr>
            </w:pPr>
            <w:r w:rsidRPr="00F21EDD">
              <w:rPr>
                <w:rFonts w:ascii="Arial" w:eastAsia="Times New Roman" w:hAnsi="Arial" w:cs="Arial"/>
                <w:color w:val="000000"/>
                <w:sz w:val="20"/>
                <w:szCs w:val="20"/>
                <w:lang w:val="en-US" w:eastAsia="fr-FR"/>
              </w:rPr>
              <w:t>AUC</w:t>
            </w:r>
          </w:p>
        </w:tc>
      </w:tr>
      <w:tr w:rsidR="00E84D7D" w:rsidRPr="00F21EDD" w14:paraId="6E3E95C2"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bottom w:val="nil"/>
            </w:tcBorders>
            <w:noWrap/>
          </w:tcPr>
          <w:p w14:paraId="4EAD8936" w14:textId="3FC55591" w:rsidR="00E84D7D" w:rsidRPr="00E84D7D" w:rsidRDefault="00E84D7D" w:rsidP="0000574D">
            <w:pPr>
              <w:spacing w:before="240"/>
              <w:jc w:val="both"/>
              <w:rPr>
                <w:rFonts w:ascii="Arial" w:hAnsi="Arial" w:cs="Arial"/>
                <w:sz w:val="20"/>
                <w:szCs w:val="20"/>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{"citationID":"a7ur9ofjtc","properties":{"formattedCitation":"\\uldash{(Nobrega et al., 2025)}","plainCitation":"(Nobrega et al., 2025)","dontUpdate":true,"noteIndex":0},"citationItems":[{"id":8044,"uris":["http://zotero.org/users/3583561/items/8PCIWI7G"],"itemData":{"id":8044,"type":"article-journal","abstract":"MicroRNAs can be found intracellularly incorporated into extracellular vesicles (EV-miRNAs) or extracellularly as cell-free miRNAs (cf-miRNAs). This study aimed to compare the diagnostic and prognostic potential of four miRNAs with recognized roles in prostate cancer as cf-miRNAs and EV-miRNAs, obtained from liquid biopsies (LB). Total RNA was isolated from whole plasma and plasma EVs from 15 controls (CTR) and 30 patients (20 with localized prostate cancer (PCa), 10 with metastatic prostate cancer (mPCa)). The miRNAs were quantified by RT-qPCR and the relative expression of these miRNAs was compared between the three groups, and their associations with clinicopathological parameters were assessed. Receiver operating characteristic (ROC) curves were performed to evaluate the diagnostic potential of the miRNAs in discriminating different groups. Overall, EV-miRNAs showed higher expression compared to cf-miRNAs. All EV-miRNAs analyzed showed diagnostic potential with an area under the curve (AUC) above 0.744. EV-miR-21-5p, EV-miR-375-3p, and EV-miR-1290-3p were overexpressed in PCa and mPCa compared to CTR, while EV-miR-200c-3p was overexpressed only in mPCa in comparison to CTR. Remarkably, EV-miR-375-3p and EV-miR-1290-3p could differentiate mPCa with ISUP ≥ 3, demonstrating their prognostic potential. In addition, EV-miR-1290-3p and EV-4-miR-panel detected patients with PSA &gt; 10 ng/mL. Cf-miRNAs performed lower than EV-miRNAs, which can be explained by the greater stability and specificity of EV-miRNAs, making them superior to cf-miRNA. The results show that LB, a non-invasive strategy, is clinically feasible to identify EV-miRNAs as biomarkers for PCa and may provide additional information for assessing PCa risk stratification.","container-title":"Gene","DOI":"10.1016/j.gene.2024.149186","ISSN":"0378-1119","journalAbbreviation":"Gene","page":"149186","source":"ScienceDirect","title":"Comparative analysis of extracellular vesicles miRNAs (EV-miRNAs) and cell-free microRNAs (cf-miRNAs) reveals that EV-miRNAs are more promising as diagnostic and prognostic biomarkers for prostate cancer","URL":"https://www.sciencedirect.com/science/article/pii/S0378111924010679","volume":"939","author":[{"family":"Nobrega","given":"Monyse"},{"family":"Reis","given":"Mariana Bisarro","dropping-particle":"dos"},{"family":"Souza","given":"Marilesia Ferreira","dropping-particle":"de"},{"family":"Furini","given":"Hector Hugo"},{"family":"Costa Brandão Berti","given":"Fernanda"},{"family":"Souza","given":"Ingrid Larissa Melo"},{"family":"Mingorance Carvalho","given":"Tamyres"},{"family":"Zanata","given":"Silvio M."},{"family":"Fuganti","given":"Paulo Emilio"},{"family":"Malheiros","given":"Danielle"},{"family":"Ribeiro","given":"Enilze Maria de Souza Fonseca"},{"family":"Cólus","given":"Ilce Mara de Syllos"}],"accessed":{"date-parts":[["2025",5,21]]},"issued":{"date-parts":[["2025",3,5]]}}}],"schema":"https://github.com/citation-style-language/schema/raw/master/csl-citation.json"}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Nobrega et al., 2025</w:t>
            </w:r>
            <w:r w:rsidRPr="00E84D7D">
              <w:rPr>
                <w:rFonts w:ascii="Arial" w:hAnsi="Arial" w:cs="Arial"/>
                <w:color w:val="000000"/>
                <w:lang w:eastAsia="fr-FR"/>
              </w:rPr>
              <w:fldChar w:fldCharType="end"/>
            </w:r>
          </w:p>
        </w:tc>
        <w:tc>
          <w:tcPr>
            <w:tcW w:w="1084" w:type="dxa"/>
            <w:tcBorders>
              <w:bottom w:val="nil"/>
            </w:tcBorders>
            <w:noWrap/>
          </w:tcPr>
          <w:p w14:paraId="27BD658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Brazil</w:t>
            </w:r>
          </w:p>
        </w:tc>
        <w:tc>
          <w:tcPr>
            <w:tcW w:w="927" w:type="dxa"/>
            <w:tcBorders>
              <w:bottom w:val="nil"/>
            </w:tcBorders>
          </w:tcPr>
          <w:p w14:paraId="27EB9513"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HP</w:t>
            </w:r>
          </w:p>
        </w:tc>
        <w:tc>
          <w:tcPr>
            <w:tcW w:w="695" w:type="dxa"/>
            <w:tcBorders>
              <w:bottom w:val="nil"/>
            </w:tcBorders>
            <w:noWrap/>
          </w:tcPr>
          <w:p w14:paraId="13C2CEE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30</w:t>
            </w:r>
          </w:p>
        </w:tc>
        <w:tc>
          <w:tcPr>
            <w:tcW w:w="927" w:type="dxa"/>
            <w:tcBorders>
              <w:bottom w:val="nil"/>
            </w:tcBorders>
            <w:noWrap/>
          </w:tcPr>
          <w:p w14:paraId="33871A1A"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15</w:t>
            </w:r>
          </w:p>
        </w:tc>
        <w:tc>
          <w:tcPr>
            <w:tcW w:w="1361" w:type="dxa"/>
            <w:tcBorders>
              <w:bottom w:val="nil"/>
            </w:tcBorders>
            <w:noWrap/>
          </w:tcPr>
          <w:p w14:paraId="61013029"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Plasma</w:t>
            </w:r>
          </w:p>
        </w:tc>
        <w:tc>
          <w:tcPr>
            <w:tcW w:w="1172" w:type="dxa"/>
            <w:tcBorders>
              <w:bottom w:val="nil"/>
            </w:tcBorders>
          </w:tcPr>
          <w:p w14:paraId="05A17123"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RT-</w:t>
            </w:r>
            <w:proofErr w:type="spellStart"/>
            <w:r w:rsidRPr="00F21EDD">
              <w:rPr>
                <w:rFonts w:ascii="Arial" w:eastAsia="Times New Roman" w:hAnsi="Arial" w:cs="Arial"/>
                <w:color w:val="000000"/>
                <w:sz w:val="20"/>
                <w:szCs w:val="20"/>
                <w:lang w:eastAsia="fr-FR"/>
              </w:rPr>
              <w:t>qPCR</w:t>
            </w:r>
            <w:proofErr w:type="spellEnd"/>
          </w:p>
        </w:tc>
        <w:tc>
          <w:tcPr>
            <w:tcW w:w="1206" w:type="dxa"/>
            <w:tcBorders>
              <w:bottom w:val="nil"/>
            </w:tcBorders>
            <w:noWrap/>
          </w:tcPr>
          <w:p w14:paraId="1D7DEFD5"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gramStart"/>
            <w:r w:rsidRPr="00F21EDD">
              <w:rPr>
                <w:rFonts w:ascii="Arial" w:eastAsia="Times New Roman" w:hAnsi="Arial" w:cs="Arial"/>
                <w:color w:val="000000"/>
                <w:sz w:val="20"/>
                <w:szCs w:val="20"/>
                <w:lang w:eastAsia="fr-FR"/>
              </w:rPr>
              <w:t>miR</w:t>
            </w:r>
            <w:proofErr w:type="gramEnd"/>
            <w:r w:rsidRPr="00F21EDD">
              <w:rPr>
                <w:rFonts w:ascii="Arial" w:eastAsia="Times New Roman" w:hAnsi="Arial" w:cs="Arial"/>
                <w:color w:val="000000"/>
                <w:sz w:val="20"/>
                <w:szCs w:val="20"/>
                <w:lang w:eastAsia="fr-FR"/>
              </w:rPr>
              <w:t>-21</w:t>
            </w:r>
          </w:p>
        </w:tc>
        <w:tc>
          <w:tcPr>
            <w:tcW w:w="717" w:type="dxa"/>
            <w:tcBorders>
              <w:bottom w:val="nil"/>
            </w:tcBorders>
            <w:noWrap/>
          </w:tcPr>
          <w:p w14:paraId="036686FD"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78.00</w:t>
            </w:r>
          </w:p>
        </w:tc>
        <w:tc>
          <w:tcPr>
            <w:tcW w:w="717" w:type="dxa"/>
            <w:tcBorders>
              <w:bottom w:val="nil"/>
            </w:tcBorders>
            <w:noWrap/>
          </w:tcPr>
          <w:p w14:paraId="0F554BC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64.00</w:t>
            </w:r>
          </w:p>
        </w:tc>
        <w:tc>
          <w:tcPr>
            <w:tcW w:w="550" w:type="dxa"/>
            <w:tcBorders>
              <w:bottom w:val="nil"/>
            </w:tcBorders>
            <w:noWrap/>
          </w:tcPr>
          <w:p w14:paraId="564845FD"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23</w:t>
            </w:r>
          </w:p>
        </w:tc>
        <w:tc>
          <w:tcPr>
            <w:tcW w:w="472" w:type="dxa"/>
            <w:tcBorders>
              <w:bottom w:val="nil"/>
            </w:tcBorders>
            <w:noWrap/>
          </w:tcPr>
          <w:p w14:paraId="2DB1E60F"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5</w:t>
            </w:r>
          </w:p>
        </w:tc>
        <w:tc>
          <w:tcPr>
            <w:tcW w:w="483" w:type="dxa"/>
            <w:tcBorders>
              <w:bottom w:val="nil"/>
            </w:tcBorders>
            <w:noWrap/>
          </w:tcPr>
          <w:p w14:paraId="1CD39D8D"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10</w:t>
            </w:r>
          </w:p>
        </w:tc>
        <w:tc>
          <w:tcPr>
            <w:tcW w:w="483" w:type="dxa"/>
            <w:tcBorders>
              <w:bottom w:val="nil"/>
            </w:tcBorders>
            <w:noWrap/>
          </w:tcPr>
          <w:p w14:paraId="7D4FE45D"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7</w:t>
            </w:r>
          </w:p>
        </w:tc>
        <w:tc>
          <w:tcPr>
            <w:tcW w:w="650" w:type="dxa"/>
            <w:tcBorders>
              <w:bottom w:val="nil"/>
            </w:tcBorders>
          </w:tcPr>
          <w:p w14:paraId="7CF8C23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0.74</w:t>
            </w:r>
          </w:p>
        </w:tc>
      </w:tr>
      <w:tr w:rsidR="00E84D7D" w:rsidRPr="00F21EDD" w14:paraId="5454D70E"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72042A16" w14:textId="1C84BB8C" w:rsidR="00E84D7D" w:rsidRPr="00E84D7D" w:rsidRDefault="00E84D7D" w:rsidP="0000574D">
            <w:pPr>
              <w:spacing w:before="240"/>
              <w:jc w:val="both"/>
              <w:rPr>
                <w:rFonts w:ascii="Arial" w:eastAsia="Times New Roman" w:hAnsi="Arial" w:cs="Arial"/>
                <w:b w:val="0"/>
                <w:bCs w:val="0"/>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{"citationID":"au5e3sppbp","properties":{"formattedCitation":"\\uldash{(Gunawan et al., 2023)}","plainCitation":"(Gunawan et al., 2023)","dontUpdate":true,"noteIndex":0},"citationItems":[{"id":54,"uris":["http://zotero.org/users/local/Wg7jwtUt/items/FUUKQGT5","http://zotero.org/users/3583561/items/FUUKQGT5"],"itemData":{"id":54,"type":"article-journal","abstract":"OBJECTIVE: This study aimed to explore the diagnostic performance of miRNA-21 to differentiate between Prostate Cancer (PCa) and Benign Prostatic Hyperplasia (BPH) patients in Indonesia.\nMETHODS: Urine samples were collected from each PCa and BPH patient. miRNA-21 relative expression against the reference gene was analyzed and compared between the two. miRNA expression was then analyzed using the comparative quantification method to find the fold change. miR-21 validity in identifying PCa patients was performed by quantifying the sensitivity and specificity using samples in this study.\nRESULT: The results of this study indicated that miRNA-21 relative expression against miRNA-16 in PCa and BPH showed 12.95 differences in fold change. Moreover, using prostate biopsy as the gold standard to differentiate PCa and BPH, miRNA-21 Cq expression has 100% sensitivity and 75% specificity in differentiating the two.\nCONCLUSION: miRNA-21 relative expression can be used to discriminate PCa from BPH by using a urine sample. Furthermore, the expression of miR-21 has higher sensitivity than PSA; therefore, miR-21 has a high potential to be analyzed and developed further for clinical diagnosis of prostate cancer.","container-title":"Asian Pacific journal of cancer prevention: APJCP","DOI":"10.31557/APJCP.2023.24.3.1095","ISSN":"2476-762X","issue":"3","journalAbbreviation":"Asian Pac J Cancer Prev","language":"eng","note":"PMID: 36974566","page":"1095-1099","source":"PubMed","title":"miRNA-21 as High Potential Prostate Cancer Biomarker in Prostate Cancer Patients in Indonesia","volume":"24","author":[{"family":"Gunawan","given":"Regina R."},{"family":"Astuti","given":"Indwiani"},{"family":"Danarto","given":"H. Raden"}],"issued":{"date-parts":[["2023",3,1]]}}}],"schema":"https://github.com/citation-style-language/schema/raw/master/csl-citation.json"}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Gunawan et al., 2023</w:t>
            </w:r>
            <w:r w:rsidRPr="00E84D7D">
              <w:rPr>
                <w:rFonts w:ascii="Arial" w:hAnsi="Arial" w:cs="Arial"/>
                <w:color w:val="000000"/>
                <w:lang w:eastAsia="fr-FR"/>
              </w:rPr>
              <w:fldChar w:fldCharType="end"/>
            </w:r>
          </w:p>
        </w:tc>
        <w:tc>
          <w:tcPr>
            <w:tcW w:w="1084" w:type="dxa"/>
            <w:tcBorders>
              <w:top w:val="nil"/>
              <w:bottom w:val="nil"/>
            </w:tcBorders>
            <w:noWrap/>
          </w:tcPr>
          <w:p w14:paraId="46E8846E"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n-US" w:eastAsia="fr-FR"/>
              </w:rPr>
            </w:pPr>
            <w:r w:rsidRPr="00F21EDD">
              <w:rPr>
                <w:rFonts w:ascii="Arial" w:eastAsia="Times New Roman" w:hAnsi="Arial" w:cs="Arial"/>
                <w:color w:val="000000"/>
                <w:sz w:val="20"/>
                <w:szCs w:val="20"/>
                <w:lang w:val="en-US" w:eastAsia="fr-FR"/>
              </w:rPr>
              <w:t>Indonesia</w:t>
            </w:r>
          </w:p>
        </w:tc>
        <w:tc>
          <w:tcPr>
            <w:tcW w:w="927" w:type="dxa"/>
            <w:tcBorders>
              <w:top w:val="nil"/>
              <w:bottom w:val="nil"/>
            </w:tcBorders>
          </w:tcPr>
          <w:p w14:paraId="612D5DCE"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n-US" w:eastAsia="fr-FR"/>
              </w:rPr>
            </w:pPr>
            <w:r w:rsidRPr="00F21EDD">
              <w:rPr>
                <w:rFonts w:ascii="Arial" w:eastAsia="Times New Roman" w:hAnsi="Arial" w:cs="Arial"/>
                <w:color w:val="000000"/>
                <w:sz w:val="20"/>
                <w:szCs w:val="20"/>
                <w:lang w:val="en-US" w:eastAsia="fr-FR"/>
              </w:rPr>
              <w:t>BPH</w:t>
            </w:r>
          </w:p>
        </w:tc>
        <w:tc>
          <w:tcPr>
            <w:tcW w:w="695" w:type="dxa"/>
            <w:tcBorders>
              <w:top w:val="nil"/>
              <w:bottom w:val="nil"/>
            </w:tcBorders>
            <w:noWrap/>
          </w:tcPr>
          <w:p w14:paraId="24748C9E"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n-US" w:eastAsia="fr-FR"/>
              </w:rPr>
            </w:pPr>
            <w:r w:rsidRPr="00F21EDD">
              <w:rPr>
                <w:rFonts w:ascii="Arial" w:eastAsia="Times New Roman" w:hAnsi="Arial" w:cs="Arial"/>
                <w:color w:val="000000"/>
                <w:sz w:val="20"/>
                <w:szCs w:val="20"/>
                <w:lang w:val="en-US" w:eastAsia="fr-FR"/>
              </w:rPr>
              <w:t>20</w:t>
            </w:r>
          </w:p>
        </w:tc>
        <w:tc>
          <w:tcPr>
            <w:tcW w:w="927" w:type="dxa"/>
            <w:tcBorders>
              <w:top w:val="nil"/>
              <w:bottom w:val="nil"/>
            </w:tcBorders>
            <w:noWrap/>
          </w:tcPr>
          <w:p w14:paraId="264348A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n-US" w:eastAsia="fr-FR"/>
              </w:rPr>
            </w:pPr>
            <w:r w:rsidRPr="00F21EDD">
              <w:rPr>
                <w:rFonts w:ascii="Arial" w:eastAsia="Times New Roman" w:hAnsi="Arial" w:cs="Arial"/>
                <w:color w:val="000000"/>
                <w:sz w:val="20"/>
                <w:szCs w:val="20"/>
                <w:lang w:val="en-US" w:eastAsia="fr-FR"/>
              </w:rPr>
              <w:t>20</w:t>
            </w:r>
          </w:p>
        </w:tc>
        <w:tc>
          <w:tcPr>
            <w:tcW w:w="1361" w:type="dxa"/>
            <w:tcBorders>
              <w:top w:val="nil"/>
              <w:bottom w:val="nil"/>
            </w:tcBorders>
            <w:noWrap/>
          </w:tcPr>
          <w:p w14:paraId="7E467ABD"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n-US" w:eastAsia="fr-FR"/>
              </w:rPr>
            </w:pPr>
            <w:r w:rsidRPr="00F21EDD">
              <w:rPr>
                <w:rFonts w:ascii="Arial" w:eastAsia="Times New Roman" w:hAnsi="Arial" w:cs="Arial"/>
                <w:color w:val="000000"/>
                <w:sz w:val="20"/>
                <w:szCs w:val="20"/>
                <w:lang w:val="en-US" w:eastAsia="fr-FR"/>
              </w:rPr>
              <w:t>Urinary (exosomes)</w:t>
            </w:r>
          </w:p>
        </w:tc>
        <w:tc>
          <w:tcPr>
            <w:tcW w:w="1172" w:type="dxa"/>
            <w:tcBorders>
              <w:top w:val="nil"/>
              <w:bottom w:val="nil"/>
            </w:tcBorders>
          </w:tcPr>
          <w:p w14:paraId="70DFA995"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4F799BF5"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n-US" w:eastAsia="fr-FR"/>
              </w:rPr>
            </w:pPr>
            <w:r w:rsidRPr="00F21EDD">
              <w:rPr>
                <w:rFonts w:ascii="Arial" w:eastAsia="Times New Roman" w:hAnsi="Arial" w:cs="Arial"/>
                <w:color w:val="000000"/>
                <w:sz w:val="20"/>
                <w:szCs w:val="20"/>
                <w:lang w:val="en-US" w:eastAsia="fr-FR"/>
              </w:rPr>
              <w:t>miR-21</w:t>
            </w:r>
          </w:p>
        </w:tc>
        <w:tc>
          <w:tcPr>
            <w:tcW w:w="717" w:type="dxa"/>
            <w:tcBorders>
              <w:top w:val="nil"/>
              <w:bottom w:val="nil"/>
            </w:tcBorders>
            <w:noWrap/>
          </w:tcPr>
          <w:p w14:paraId="0760F653"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n-US" w:eastAsia="fr-FR"/>
              </w:rPr>
            </w:pPr>
            <w:r w:rsidRPr="00F21EDD">
              <w:rPr>
                <w:rFonts w:ascii="Arial" w:eastAsia="Times New Roman" w:hAnsi="Arial" w:cs="Arial"/>
                <w:color w:val="000000"/>
                <w:sz w:val="20"/>
                <w:szCs w:val="20"/>
                <w:lang w:val="en-US" w:eastAsia="fr-FR"/>
              </w:rPr>
              <w:t>100</w:t>
            </w:r>
          </w:p>
        </w:tc>
        <w:tc>
          <w:tcPr>
            <w:tcW w:w="717" w:type="dxa"/>
            <w:tcBorders>
              <w:top w:val="nil"/>
              <w:bottom w:val="nil"/>
            </w:tcBorders>
            <w:noWrap/>
          </w:tcPr>
          <w:p w14:paraId="2DD68C58"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n-US" w:eastAsia="fr-FR"/>
              </w:rPr>
            </w:pPr>
            <w:r w:rsidRPr="00F21EDD">
              <w:rPr>
                <w:rFonts w:ascii="Arial" w:eastAsia="Times New Roman" w:hAnsi="Arial" w:cs="Arial"/>
                <w:color w:val="000000"/>
                <w:sz w:val="20"/>
                <w:szCs w:val="20"/>
                <w:lang w:val="en-US" w:eastAsia="fr-FR"/>
              </w:rPr>
              <w:t>75.00</w:t>
            </w:r>
          </w:p>
        </w:tc>
        <w:tc>
          <w:tcPr>
            <w:tcW w:w="550" w:type="dxa"/>
            <w:tcBorders>
              <w:top w:val="nil"/>
              <w:bottom w:val="nil"/>
            </w:tcBorders>
            <w:noWrap/>
          </w:tcPr>
          <w:p w14:paraId="1AD2DCAB"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n-US" w:eastAsia="fr-FR"/>
              </w:rPr>
            </w:pPr>
            <w:r w:rsidRPr="00F21EDD">
              <w:rPr>
                <w:rFonts w:ascii="Arial" w:eastAsia="Times New Roman" w:hAnsi="Arial" w:cs="Arial"/>
                <w:color w:val="000000"/>
                <w:sz w:val="20"/>
                <w:szCs w:val="20"/>
                <w:lang w:val="en-US" w:eastAsia="fr-FR"/>
              </w:rPr>
              <w:t>20</w:t>
            </w:r>
          </w:p>
        </w:tc>
        <w:tc>
          <w:tcPr>
            <w:tcW w:w="472" w:type="dxa"/>
            <w:tcBorders>
              <w:top w:val="nil"/>
              <w:bottom w:val="nil"/>
            </w:tcBorders>
            <w:noWrap/>
          </w:tcPr>
          <w:p w14:paraId="266857A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n-US" w:eastAsia="fr-FR"/>
              </w:rPr>
            </w:pPr>
            <w:r w:rsidRPr="00F21EDD">
              <w:rPr>
                <w:rFonts w:ascii="Arial" w:eastAsia="Times New Roman" w:hAnsi="Arial" w:cs="Arial"/>
                <w:color w:val="000000"/>
                <w:sz w:val="20"/>
                <w:szCs w:val="20"/>
                <w:lang w:val="en-US" w:eastAsia="fr-FR"/>
              </w:rPr>
              <w:t>5</w:t>
            </w:r>
          </w:p>
        </w:tc>
        <w:tc>
          <w:tcPr>
            <w:tcW w:w="483" w:type="dxa"/>
            <w:tcBorders>
              <w:top w:val="nil"/>
              <w:bottom w:val="nil"/>
            </w:tcBorders>
            <w:noWrap/>
          </w:tcPr>
          <w:p w14:paraId="0BF758BE"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n-US" w:eastAsia="fr-FR"/>
              </w:rPr>
            </w:pPr>
            <w:r w:rsidRPr="00F21EDD">
              <w:rPr>
                <w:rFonts w:ascii="Arial" w:eastAsia="Times New Roman" w:hAnsi="Arial" w:cs="Arial"/>
                <w:color w:val="000000"/>
                <w:sz w:val="20"/>
                <w:szCs w:val="20"/>
                <w:lang w:val="en-US" w:eastAsia="fr-FR"/>
              </w:rPr>
              <w:t>15</w:t>
            </w:r>
          </w:p>
        </w:tc>
        <w:tc>
          <w:tcPr>
            <w:tcW w:w="483" w:type="dxa"/>
            <w:tcBorders>
              <w:top w:val="nil"/>
              <w:bottom w:val="nil"/>
            </w:tcBorders>
            <w:noWrap/>
          </w:tcPr>
          <w:p w14:paraId="2B1437E8"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n-US" w:eastAsia="fr-FR"/>
              </w:rPr>
            </w:pPr>
            <w:r w:rsidRPr="00F21EDD">
              <w:rPr>
                <w:rFonts w:ascii="Arial" w:eastAsia="Times New Roman" w:hAnsi="Arial" w:cs="Arial"/>
                <w:color w:val="000000"/>
                <w:sz w:val="20"/>
                <w:szCs w:val="20"/>
                <w:lang w:val="en-US" w:eastAsia="fr-FR"/>
              </w:rPr>
              <w:t>0</w:t>
            </w:r>
          </w:p>
        </w:tc>
        <w:tc>
          <w:tcPr>
            <w:tcW w:w="650" w:type="dxa"/>
            <w:tcBorders>
              <w:top w:val="nil"/>
              <w:bottom w:val="nil"/>
            </w:tcBorders>
          </w:tcPr>
          <w:p w14:paraId="41B192AD"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r>
      <w:tr w:rsidR="00E84D7D" w:rsidRPr="00C12CF0" w14:paraId="4A0A53C1"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55CB169E" w14:textId="72705515"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{"citationID":"a2b47fdd9f0","properties":{"formattedCitation":"\\uldash{(Giglio et al., 2021)}","plainCitation":"(Giglio et al., 2021)","dontUpdate":true,"noteIndex":0},"citationItems":[{"id":696,"uris":["http://zotero.org/users/3583561/items/CXU578V5"],"itemData":{"id":696,"type":"article-journal","abstract":"BACKGROUND: A prostate cancer diagnosis is based on biopsy sampling that is an invasive, expensive procedure, and doesn't accurately represent multifocal disease.\nMETHODS: To establish a model using plasma miRs to distinguish Prostate cancer patients from non-cancer controls, we enrolled 600 patients histologically diagnosed as having or not prostate cancer at biopsy. Two hundred ninety patients were eligible for the analysis. Samples were randomly divided into discovery and validation cohorts.\nRESULTS: NGS-miR-expression profiling revealed a miRs signature able to distinguish prostate cancer from non-cancer plasma samples. Of 51 miRs selected in the discovery cohort, we successfully validated 5 miRs (4732-3p, 98-5p, let-7a-5p, 26b-5p, and 21-5p) deregulated in prostate cancer samples compared to controls (p ≤ 0.05). Multivariate and ROC analyses show miR-26b-5p as a strong predictor of PCa, with an AUC of 0.89 (CI = 0.83-0.95;p &lt; 0.001). Combining miRs 26b-5p and 98-5p, we developed a model that has the best predictive power in discriminating prostate cancer from non-cancer (AUC = 0.94; CI: 0,835-0,954). To distinguish between low and high-grade prostate cancer, we found that miR-4732-3p levels were significantly higher; instead, miR-26b-5p and miR-98-5p levels were lower in low-grade compared to the high-grade group (p ≤ 0.05). Combining miR-26b-5p and miR-4732-3p we have the highest diagnostic accuracy for high-grade prostate cancer patients, (AUC = 0.80; CI 0,69-0,873).\nCONCLUSIONS: Noninvasive diagnostic tests may reduce the number of unnecessary prostate biopsies. The 2-miRs-diagnostic model (miR-26b-5p and miR-98-5p) and the 2-miRs-grade model (miR-26b-5p and miR-4732-3p) are promising minimally invasive tools in prostate cancer clinical management.","container-title":"Journal of experimental &amp; clinical cancer research: CR","DOI":"10.1186/s13046-021-01875-0","ISSN":"1756-9966","issue":"1","journalAbbreviation":"J Exp Clin Cancer Res","language":"eng","note":"PMID: 33622375\nPMCID: PMC7903618","page":"79","source":"PubMed","title":"A preliminary study of micro-RNAs as minimally invasive biomarkers for the diagnosis of prostate cancer patients","volume":"40","author":[{"family":"Giglio","given":"Simona"},{"family":"De Nunzio","given":"Cosimo"},{"family":"Cirombella","given":"Roberto"},{"family":"Stoppacciaro","given":"Antonella"},{"family":"Faruq","given":"Omar"},{"family":"Volinia","given":"Stefano"},{"family":"Baldassarre","given":"Gustavo"},{"family":"Tubaro","given":"Andrea"},{"family":"Ishii","given":"Hideshi"},{"family":"Croce","given":"Carlo M."},{"family":"Vecchione","given":"Andrea"}],"issued":{"date-parts":[["2021",2,23]]}}}],"schema":"https://github.com/citation-style-language/schema/raw/master/csl-citation.json"}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Giglio et al., 2021</w:t>
            </w:r>
            <w:r w:rsidRPr="00E84D7D">
              <w:rPr>
                <w:rFonts w:ascii="Arial" w:hAnsi="Arial" w:cs="Arial"/>
                <w:color w:val="000000"/>
                <w:lang w:eastAsia="fr-FR"/>
              </w:rPr>
              <w:fldChar w:fldCharType="end"/>
            </w:r>
          </w:p>
        </w:tc>
        <w:tc>
          <w:tcPr>
            <w:tcW w:w="1084" w:type="dxa"/>
            <w:tcBorders>
              <w:top w:val="nil"/>
              <w:bottom w:val="nil"/>
            </w:tcBorders>
            <w:noWrap/>
          </w:tcPr>
          <w:p w14:paraId="18457047"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r w:rsidRPr="00F21EDD">
              <w:rPr>
                <w:rFonts w:ascii="Arial" w:eastAsia="Times New Roman" w:hAnsi="Arial" w:cs="Arial"/>
                <w:color w:val="000000"/>
                <w:sz w:val="20"/>
                <w:szCs w:val="20"/>
                <w:lang w:eastAsia="fr-FR"/>
              </w:rPr>
              <w:t>Italiy</w:t>
            </w:r>
            <w:proofErr w:type="spellEnd"/>
          </w:p>
        </w:tc>
        <w:tc>
          <w:tcPr>
            <w:tcW w:w="927" w:type="dxa"/>
            <w:tcBorders>
              <w:top w:val="nil"/>
              <w:bottom w:val="nil"/>
            </w:tcBorders>
          </w:tcPr>
          <w:p w14:paraId="3AF100D3"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BPH</w:t>
            </w:r>
          </w:p>
        </w:tc>
        <w:tc>
          <w:tcPr>
            <w:tcW w:w="695" w:type="dxa"/>
            <w:tcBorders>
              <w:top w:val="nil"/>
              <w:bottom w:val="nil"/>
            </w:tcBorders>
            <w:noWrap/>
          </w:tcPr>
          <w:p w14:paraId="4AB97EDC"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45</w:t>
            </w:r>
          </w:p>
        </w:tc>
        <w:tc>
          <w:tcPr>
            <w:tcW w:w="927" w:type="dxa"/>
            <w:tcBorders>
              <w:top w:val="nil"/>
              <w:bottom w:val="nil"/>
            </w:tcBorders>
            <w:noWrap/>
          </w:tcPr>
          <w:p w14:paraId="4944A07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65</w:t>
            </w:r>
          </w:p>
        </w:tc>
        <w:tc>
          <w:tcPr>
            <w:tcW w:w="1361" w:type="dxa"/>
            <w:tcBorders>
              <w:top w:val="nil"/>
              <w:bottom w:val="nil"/>
            </w:tcBorders>
            <w:noWrap/>
          </w:tcPr>
          <w:p w14:paraId="68CC5682"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Plasma</w:t>
            </w:r>
          </w:p>
        </w:tc>
        <w:tc>
          <w:tcPr>
            <w:tcW w:w="1172" w:type="dxa"/>
            <w:tcBorders>
              <w:top w:val="nil"/>
              <w:bottom w:val="nil"/>
            </w:tcBorders>
          </w:tcPr>
          <w:p w14:paraId="021FA74D"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proofErr w:type="gramStart"/>
            <w:r w:rsidRPr="00F21EDD">
              <w:rPr>
                <w:rFonts w:ascii="Arial" w:eastAsia="Times New Roman" w:hAnsi="Arial" w:cs="Arial"/>
                <w:color w:val="000000"/>
                <w:sz w:val="20"/>
                <w:szCs w:val="20"/>
                <w:lang w:eastAsia="fr-FR"/>
              </w:rPr>
              <w:t>ddPCR</w:t>
            </w:r>
            <w:proofErr w:type="spellEnd"/>
            <w:proofErr w:type="gramEnd"/>
          </w:p>
        </w:tc>
        <w:tc>
          <w:tcPr>
            <w:tcW w:w="1206" w:type="dxa"/>
            <w:tcBorders>
              <w:top w:val="nil"/>
              <w:bottom w:val="nil"/>
            </w:tcBorders>
            <w:noWrap/>
          </w:tcPr>
          <w:p w14:paraId="1361E1EF"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gramStart"/>
            <w:r w:rsidRPr="00F21EDD">
              <w:rPr>
                <w:rFonts w:ascii="Arial" w:eastAsia="Times New Roman" w:hAnsi="Arial" w:cs="Arial"/>
                <w:color w:val="000000"/>
                <w:sz w:val="20"/>
                <w:szCs w:val="20"/>
                <w:lang w:eastAsia="fr-FR"/>
              </w:rPr>
              <w:t>miR</w:t>
            </w:r>
            <w:proofErr w:type="gramEnd"/>
            <w:r w:rsidRPr="00F21EDD">
              <w:rPr>
                <w:rFonts w:ascii="Arial" w:eastAsia="Times New Roman" w:hAnsi="Arial" w:cs="Arial"/>
                <w:color w:val="000000"/>
                <w:sz w:val="20"/>
                <w:szCs w:val="20"/>
                <w:lang w:eastAsia="fr-FR"/>
              </w:rPr>
              <w:t>-21</w:t>
            </w:r>
          </w:p>
        </w:tc>
        <w:tc>
          <w:tcPr>
            <w:tcW w:w="717" w:type="dxa"/>
            <w:tcBorders>
              <w:top w:val="nil"/>
              <w:bottom w:val="nil"/>
            </w:tcBorders>
            <w:noWrap/>
          </w:tcPr>
          <w:p w14:paraId="2D2540B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w:t>
            </w:r>
          </w:p>
        </w:tc>
        <w:tc>
          <w:tcPr>
            <w:tcW w:w="717" w:type="dxa"/>
            <w:tcBorders>
              <w:top w:val="nil"/>
              <w:bottom w:val="nil"/>
            </w:tcBorders>
            <w:noWrap/>
          </w:tcPr>
          <w:p w14:paraId="093010B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w:t>
            </w:r>
          </w:p>
        </w:tc>
        <w:tc>
          <w:tcPr>
            <w:tcW w:w="550" w:type="dxa"/>
            <w:tcBorders>
              <w:top w:val="nil"/>
              <w:bottom w:val="nil"/>
            </w:tcBorders>
            <w:noWrap/>
          </w:tcPr>
          <w:p w14:paraId="13FCD481"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w:t>
            </w:r>
          </w:p>
        </w:tc>
        <w:tc>
          <w:tcPr>
            <w:tcW w:w="472" w:type="dxa"/>
            <w:tcBorders>
              <w:top w:val="nil"/>
              <w:bottom w:val="nil"/>
            </w:tcBorders>
            <w:noWrap/>
          </w:tcPr>
          <w:p w14:paraId="657124EA"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w:t>
            </w:r>
          </w:p>
        </w:tc>
        <w:tc>
          <w:tcPr>
            <w:tcW w:w="483" w:type="dxa"/>
            <w:tcBorders>
              <w:top w:val="nil"/>
              <w:bottom w:val="nil"/>
            </w:tcBorders>
            <w:noWrap/>
          </w:tcPr>
          <w:p w14:paraId="40A20CDC"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w:t>
            </w:r>
          </w:p>
        </w:tc>
        <w:tc>
          <w:tcPr>
            <w:tcW w:w="483" w:type="dxa"/>
            <w:tcBorders>
              <w:top w:val="nil"/>
              <w:bottom w:val="nil"/>
            </w:tcBorders>
            <w:noWrap/>
          </w:tcPr>
          <w:p w14:paraId="23D42452"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w:t>
            </w:r>
          </w:p>
        </w:tc>
        <w:tc>
          <w:tcPr>
            <w:tcW w:w="650" w:type="dxa"/>
            <w:tcBorders>
              <w:top w:val="nil"/>
              <w:bottom w:val="nil"/>
            </w:tcBorders>
          </w:tcPr>
          <w:p w14:paraId="1C8233CF"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0.68</w:t>
            </w:r>
          </w:p>
        </w:tc>
      </w:tr>
      <w:tr w:rsidR="00E84D7D" w:rsidRPr="00F21EDD" w14:paraId="7825ED45"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093BFEDD" w14:textId="64E9F5AA"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{"citationID":"afvs286505","properties":{"formattedCitation":"\\uldash{(Kim et al., 2021)}","plainCitation":"(Kim et al., 2021)","dontUpdate":true,"noteIndex":0},"citationItems":[{"id":702,"uris":["http://zotero.org/users/3583561/items/GL5QSYHK"],"itemData":{"id":702,"type":"article-journal","abstract":"Extracellular vesicles (EVs) contain various types of molecules including micro-RNAs, so isolating EVs can be an effective way to analyze and diagnose diseases. A lot of micro-RNAs have been known in relation to prostate cancer (PCa), and we evaluate miR-21, miR-141, and miR-221 in EVs and compare them with prostate-specific antigen (PSA). EVs were isolated from plasma of 38 patients with prostate cancer and 8 patients with benign prostatic hyperplasia (BPH), using a method that showed the highest recovery of RNA. Isolation of EVs concentrated micro-RNAs, reducing the cycle threshold (Ct) value of RT-qPCR amplification of micro-RNA such as miR-16 by 5.12 and miR-191 by 4.65, compared to the values before EV isolation. Normalization of target micro-RNAs was done using miR-191. For miR-221, the mean expression level of patients with localized PCa was significantly higher than that of the control group, having 33.45 times higher expression than the control group (p &lt; 0.01). Area under curve (AUC) between BPH and PCa for miR-221 was 0.98 (p &lt; 0.0001), which was better than AUC for prostate-specific antigen (PSA) level in serum for the same patients. The levels of miR-21 and miR-141 in EVs did not show significant changes in patients with PCa compared to the control group in this study. This study suggests isolating EVs can be a helpful approach in analyzing micro-RNAs with regard to disease.","container-title":"PloS One","DOI":"10.1371/journal.pone.0262017","ISSN":"1932-6203","issue":"12","journalAbbreviation":"PLoS One","language":"eng","note":"PMID: 34972164\nPMCID: PMC8719659","page":"e0262017","source":"PubMed","title":"Evaluation of micro-RNA in extracellular vesicles from blood of patients with prostate cancer","volume":"16","author":[{"family":"Kim","given":"Jiyoon"},{"family":"Cho","given":"Siwoo"},{"family":"Park","given":"Yonghyun"},{"family":"Lee","given":"Jiyoul"},{"family":"Park","given":"Jaesung"}],"issued":{"date-parts":[["2021"]]}}}],"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Kim et al., 2021</w:t>
            </w:r>
            <w:r w:rsidRPr="00E84D7D">
              <w:rPr>
                <w:rFonts w:ascii="Arial" w:hAnsi="Arial" w:cs="Arial"/>
                <w:color w:val="000000"/>
                <w:lang w:eastAsia="fr-FR"/>
              </w:rPr>
              <w:fldChar w:fldCharType="end"/>
            </w:r>
          </w:p>
        </w:tc>
        <w:tc>
          <w:tcPr>
            <w:tcW w:w="1084" w:type="dxa"/>
            <w:tcBorders>
              <w:top w:val="nil"/>
              <w:bottom w:val="nil"/>
            </w:tcBorders>
            <w:noWrap/>
          </w:tcPr>
          <w:p w14:paraId="559A9852"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Korea</w:t>
            </w:r>
          </w:p>
        </w:tc>
        <w:tc>
          <w:tcPr>
            <w:tcW w:w="927" w:type="dxa"/>
            <w:tcBorders>
              <w:top w:val="nil"/>
              <w:bottom w:val="nil"/>
            </w:tcBorders>
          </w:tcPr>
          <w:p w14:paraId="26D25CD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BPH</w:t>
            </w:r>
          </w:p>
        </w:tc>
        <w:tc>
          <w:tcPr>
            <w:tcW w:w="695" w:type="dxa"/>
            <w:tcBorders>
              <w:top w:val="nil"/>
              <w:bottom w:val="nil"/>
            </w:tcBorders>
            <w:noWrap/>
          </w:tcPr>
          <w:p w14:paraId="6F3FFF1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38</w:t>
            </w:r>
          </w:p>
        </w:tc>
        <w:tc>
          <w:tcPr>
            <w:tcW w:w="927" w:type="dxa"/>
            <w:tcBorders>
              <w:top w:val="nil"/>
              <w:bottom w:val="nil"/>
            </w:tcBorders>
            <w:noWrap/>
          </w:tcPr>
          <w:p w14:paraId="0529F98A"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8</w:t>
            </w:r>
          </w:p>
        </w:tc>
        <w:tc>
          <w:tcPr>
            <w:tcW w:w="1361" w:type="dxa"/>
            <w:tcBorders>
              <w:top w:val="nil"/>
              <w:bottom w:val="nil"/>
            </w:tcBorders>
            <w:noWrap/>
          </w:tcPr>
          <w:p w14:paraId="3656D111"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Plasma (</w:t>
            </w:r>
            <w:proofErr w:type="spellStart"/>
            <w:r w:rsidRPr="00F21EDD">
              <w:rPr>
                <w:rFonts w:ascii="Arial" w:eastAsia="Times New Roman" w:hAnsi="Arial" w:cs="Arial"/>
                <w:color w:val="000000"/>
                <w:sz w:val="20"/>
                <w:szCs w:val="20"/>
                <w:lang w:val="en-US" w:eastAsia="fr-FR"/>
              </w:rPr>
              <w:t>exsosomes</w:t>
            </w:r>
            <w:proofErr w:type="spellEnd"/>
            <w:r w:rsidRPr="00F21EDD">
              <w:rPr>
                <w:rFonts w:ascii="Arial" w:eastAsia="Times New Roman" w:hAnsi="Arial" w:cs="Arial"/>
                <w:color w:val="000000"/>
                <w:sz w:val="20"/>
                <w:szCs w:val="20"/>
                <w:lang w:val="en-US" w:eastAsia="fr-FR"/>
              </w:rPr>
              <w:t>)</w:t>
            </w:r>
          </w:p>
        </w:tc>
        <w:tc>
          <w:tcPr>
            <w:tcW w:w="1172" w:type="dxa"/>
            <w:tcBorders>
              <w:top w:val="nil"/>
              <w:bottom w:val="nil"/>
            </w:tcBorders>
          </w:tcPr>
          <w:p w14:paraId="3B9F39EA"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667D9D72"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MiR-21</w:t>
            </w:r>
          </w:p>
        </w:tc>
        <w:tc>
          <w:tcPr>
            <w:tcW w:w="717" w:type="dxa"/>
            <w:tcBorders>
              <w:top w:val="nil"/>
              <w:bottom w:val="nil"/>
            </w:tcBorders>
            <w:noWrap/>
          </w:tcPr>
          <w:p w14:paraId="7C0E1DA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717" w:type="dxa"/>
            <w:tcBorders>
              <w:top w:val="nil"/>
              <w:bottom w:val="nil"/>
            </w:tcBorders>
            <w:noWrap/>
          </w:tcPr>
          <w:p w14:paraId="449406C0"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550" w:type="dxa"/>
            <w:tcBorders>
              <w:top w:val="nil"/>
              <w:bottom w:val="nil"/>
            </w:tcBorders>
            <w:noWrap/>
          </w:tcPr>
          <w:p w14:paraId="7DD3DC6C"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72" w:type="dxa"/>
            <w:tcBorders>
              <w:top w:val="nil"/>
              <w:bottom w:val="nil"/>
            </w:tcBorders>
            <w:noWrap/>
          </w:tcPr>
          <w:p w14:paraId="43BC11EC"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83" w:type="dxa"/>
            <w:tcBorders>
              <w:top w:val="nil"/>
              <w:bottom w:val="nil"/>
            </w:tcBorders>
            <w:noWrap/>
          </w:tcPr>
          <w:p w14:paraId="210859C9"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83" w:type="dxa"/>
            <w:tcBorders>
              <w:top w:val="nil"/>
              <w:bottom w:val="nil"/>
            </w:tcBorders>
            <w:noWrap/>
          </w:tcPr>
          <w:p w14:paraId="58693FB2"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650" w:type="dxa"/>
            <w:tcBorders>
              <w:top w:val="nil"/>
              <w:bottom w:val="nil"/>
            </w:tcBorders>
          </w:tcPr>
          <w:p w14:paraId="58BD7B09"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0.64</w:t>
            </w:r>
          </w:p>
        </w:tc>
      </w:tr>
      <w:tr w:rsidR="00E84D7D" w:rsidRPr="00F21EDD" w14:paraId="5570E526"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620C6A93" w14:textId="3CDBC724" w:rsidR="00E84D7D" w:rsidRPr="00E84D7D" w:rsidRDefault="00E84D7D" w:rsidP="0000574D">
            <w:pPr>
              <w:spacing w:before="240"/>
              <w:jc w:val="both"/>
              <w:rPr>
                <w:rFonts w:ascii="Arial" w:eastAsia="Times New Roman" w:hAnsi="Arial" w:cs="Arial"/>
                <w:b w:val="0"/>
                <w:bCs w:val="0"/>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{"citationID":"a15vqo7qtfn","properties":{"formattedCitation":"\\uldash{(Ciszkowicz et al., 2020)}","plainCitation":"(Ciszkowicz et al., 2020)","dontUpdate":true,"noteIndex":0},"citationItems":[{"id":578,"uris":["http://zotero.org/users/3583561/items/ME5Z4QWB"],"itemData":{"id":578,"type":"article-journal","abstract":"Dysregulation of miRNAs has a fundamental role in the initiation, development and progression of prostate cancer (PCa). The potential of miRNA in gene therapy and diagnostic applications is well documented. To further improve miRNAs' ability to distinguish between PCa and benign prostatic hyperplasia (BPH) patients, nine miRNA (-21, -27b, -93, -141, -205, -221, -182, -375 and let-7a) with the highest reported differentiation power were chosen and for the first time used in comparative studies of serum and prostate tissue samples. Spearman correlations and response operating characteristic (ROC) analyses were applied to assess the capability of the miRNAs present in serum to discriminate between PCa and BPH patients. The present study clearly demonstrates that miR-93 and miR-375 could be taken into consideration as single blood-based non-invasive molecules to distinguish PCa from BPH patients. We indicate that these two miRNAs have six common, PCa-related, target genes (CCND2, MAP3K2, MXI1, PAFAH1B1, YOD1, ZFYVE26) that share the molecular function of protein binding (GO:0005515 term). A high diagnostic value of the new serum derived miR-182 (AUC = 0.881, 95% confidence interval, CI = 0.816-0.946, p &lt; 0.0001, sensitivity and specificity were 85% and 79%, respectively) is also described.","container-title":"International Journal of Molecular Sciences","DOI":"10.3390/ijms21165667","ISSN":"Canatan","issue":"16","journalAbbreviation":"Int J Mol Sci","language":"eng","note":"PMID: 32784653\nPMCID: PMC7460886","page":"5667","source":"PubMed","title":"MiR-93/miR-375: Diagnostic Potential, Aggressiveness Correlation and Common Target Genes in Prostate Cancer","title-short":"MiR-93/miR-375","volume":"21","author":[{"family":"Ciszkowicz","given":"Ewa"},{"family":"Porzycki","given":"Paweł"},{"family":"Semik","given":"Małgorzata"},{"family":"Kaznowska","given":"Ewa"},{"family":"Tyrka","given":"Mirosław"}],"issued":{"date-parts":[["2020",8,7]]}}}],"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Ciszkowicz et al., 2020</w:t>
            </w:r>
            <w:r w:rsidRPr="00E84D7D">
              <w:rPr>
                <w:rFonts w:ascii="Arial" w:hAnsi="Arial" w:cs="Arial"/>
                <w:color w:val="000000"/>
                <w:lang w:eastAsia="fr-FR"/>
              </w:rPr>
              <w:fldChar w:fldCharType="end"/>
            </w:r>
          </w:p>
        </w:tc>
        <w:tc>
          <w:tcPr>
            <w:tcW w:w="1084" w:type="dxa"/>
            <w:tcBorders>
              <w:top w:val="nil"/>
              <w:bottom w:val="nil"/>
            </w:tcBorders>
            <w:noWrap/>
          </w:tcPr>
          <w:p w14:paraId="6012143A"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val="en-US" w:eastAsia="fr-FR"/>
              </w:rPr>
            </w:pPr>
            <w:r w:rsidRPr="00F21EDD">
              <w:rPr>
                <w:rFonts w:ascii="Arial" w:eastAsia="Times New Roman" w:hAnsi="Arial" w:cs="Arial"/>
                <w:color w:val="000000"/>
                <w:sz w:val="20"/>
                <w:szCs w:val="20"/>
                <w:lang w:val="en-US" w:eastAsia="fr-FR"/>
              </w:rPr>
              <w:t>Poland</w:t>
            </w:r>
          </w:p>
        </w:tc>
        <w:tc>
          <w:tcPr>
            <w:tcW w:w="927" w:type="dxa"/>
            <w:tcBorders>
              <w:top w:val="nil"/>
              <w:bottom w:val="nil"/>
            </w:tcBorders>
          </w:tcPr>
          <w:p w14:paraId="309EEF6E"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val="en-US" w:eastAsia="fr-FR"/>
              </w:rPr>
            </w:pPr>
            <w:r w:rsidRPr="00F21EDD">
              <w:rPr>
                <w:rFonts w:ascii="Arial" w:eastAsia="Times New Roman" w:hAnsi="Arial" w:cs="Arial"/>
                <w:color w:val="000000"/>
                <w:sz w:val="20"/>
                <w:szCs w:val="20"/>
                <w:lang w:val="en-US" w:eastAsia="fr-FR"/>
              </w:rPr>
              <w:t>BPH</w:t>
            </w:r>
          </w:p>
        </w:tc>
        <w:tc>
          <w:tcPr>
            <w:tcW w:w="695" w:type="dxa"/>
            <w:tcBorders>
              <w:top w:val="nil"/>
              <w:bottom w:val="nil"/>
            </w:tcBorders>
            <w:noWrap/>
          </w:tcPr>
          <w:p w14:paraId="5C541A3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val="en-US" w:eastAsia="fr-FR"/>
              </w:rPr>
            </w:pPr>
            <w:r w:rsidRPr="00F21EDD">
              <w:rPr>
                <w:rFonts w:ascii="Arial" w:eastAsia="Times New Roman" w:hAnsi="Arial" w:cs="Arial"/>
                <w:color w:val="000000"/>
                <w:sz w:val="20"/>
                <w:szCs w:val="20"/>
                <w:lang w:val="en-US" w:eastAsia="fr-FR"/>
              </w:rPr>
              <w:t>40</w:t>
            </w:r>
          </w:p>
        </w:tc>
        <w:tc>
          <w:tcPr>
            <w:tcW w:w="927" w:type="dxa"/>
            <w:tcBorders>
              <w:top w:val="nil"/>
              <w:bottom w:val="nil"/>
            </w:tcBorders>
            <w:noWrap/>
          </w:tcPr>
          <w:p w14:paraId="217D8B5D"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val="en-US" w:eastAsia="fr-FR"/>
              </w:rPr>
            </w:pPr>
            <w:r w:rsidRPr="00F21EDD">
              <w:rPr>
                <w:rFonts w:ascii="Arial" w:eastAsia="Times New Roman" w:hAnsi="Arial" w:cs="Arial"/>
                <w:color w:val="000000"/>
                <w:sz w:val="20"/>
                <w:szCs w:val="20"/>
                <w:lang w:val="en-US" w:eastAsia="fr-FR"/>
              </w:rPr>
              <w:t>62</w:t>
            </w:r>
          </w:p>
        </w:tc>
        <w:tc>
          <w:tcPr>
            <w:tcW w:w="1361" w:type="dxa"/>
            <w:tcBorders>
              <w:top w:val="nil"/>
              <w:bottom w:val="nil"/>
            </w:tcBorders>
            <w:noWrap/>
          </w:tcPr>
          <w:p w14:paraId="68584626"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val="en-US" w:eastAsia="fr-FR"/>
              </w:rPr>
            </w:pPr>
            <w:r w:rsidRPr="00F21EDD">
              <w:rPr>
                <w:rFonts w:ascii="Arial" w:eastAsia="Times New Roman" w:hAnsi="Arial" w:cs="Arial"/>
                <w:color w:val="000000"/>
                <w:sz w:val="20"/>
                <w:szCs w:val="20"/>
                <w:lang w:val="en-US" w:eastAsia="fr-FR"/>
              </w:rPr>
              <w:t>Serum</w:t>
            </w:r>
          </w:p>
        </w:tc>
        <w:tc>
          <w:tcPr>
            <w:tcW w:w="1172" w:type="dxa"/>
            <w:tcBorders>
              <w:top w:val="nil"/>
              <w:bottom w:val="nil"/>
            </w:tcBorders>
          </w:tcPr>
          <w:p w14:paraId="1D881811"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09100C1C"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val="en-US" w:eastAsia="fr-FR"/>
              </w:rPr>
            </w:pPr>
            <w:r w:rsidRPr="00F21EDD">
              <w:rPr>
                <w:rFonts w:ascii="Arial" w:eastAsia="Times New Roman" w:hAnsi="Arial" w:cs="Arial"/>
                <w:color w:val="000000"/>
                <w:sz w:val="20"/>
                <w:szCs w:val="20"/>
                <w:lang w:val="en-US" w:eastAsia="fr-FR"/>
              </w:rPr>
              <w:t>miR-21</w:t>
            </w:r>
          </w:p>
        </w:tc>
        <w:tc>
          <w:tcPr>
            <w:tcW w:w="717" w:type="dxa"/>
            <w:tcBorders>
              <w:top w:val="nil"/>
              <w:bottom w:val="nil"/>
            </w:tcBorders>
            <w:noWrap/>
          </w:tcPr>
          <w:p w14:paraId="47AD5009"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val="en-US" w:eastAsia="fr-FR"/>
              </w:rPr>
            </w:pPr>
            <w:r w:rsidRPr="00F21EDD">
              <w:rPr>
                <w:rFonts w:ascii="Arial" w:eastAsia="Times New Roman" w:hAnsi="Arial" w:cs="Arial"/>
                <w:color w:val="000000"/>
                <w:sz w:val="20"/>
                <w:szCs w:val="20"/>
                <w:lang w:val="en-US" w:eastAsia="fr-FR"/>
              </w:rPr>
              <w:t>50.00</w:t>
            </w:r>
          </w:p>
        </w:tc>
        <w:tc>
          <w:tcPr>
            <w:tcW w:w="717" w:type="dxa"/>
            <w:tcBorders>
              <w:top w:val="nil"/>
              <w:bottom w:val="nil"/>
            </w:tcBorders>
            <w:noWrap/>
          </w:tcPr>
          <w:p w14:paraId="5EE43625"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val="en-US" w:eastAsia="fr-FR"/>
              </w:rPr>
            </w:pPr>
            <w:r w:rsidRPr="00F21EDD">
              <w:rPr>
                <w:rFonts w:ascii="Arial" w:eastAsia="Times New Roman" w:hAnsi="Arial" w:cs="Arial"/>
                <w:color w:val="000000"/>
                <w:sz w:val="20"/>
                <w:szCs w:val="20"/>
                <w:lang w:val="en-US" w:eastAsia="fr-FR"/>
              </w:rPr>
              <w:t>92.00</w:t>
            </w:r>
          </w:p>
        </w:tc>
        <w:tc>
          <w:tcPr>
            <w:tcW w:w="550" w:type="dxa"/>
            <w:tcBorders>
              <w:top w:val="nil"/>
              <w:bottom w:val="nil"/>
            </w:tcBorders>
            <w:noWrap/>
          </w:tcPr>
          <w:p w14:paraId="73FE1137"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val="en-US" w:eastAsia="fr-FR"/>
              </w:rPr>
            </w:pPr>
            <w:r w:rsidRPr="00F21EDD">
              <w:rPr>
                <w:rFonts w:ascii="Arial" w:eastAsia="Times New Roman" w:hAnsi="Arial" w:cs="Arial"/>
                <w:color w:val="000000"/>
                <w:sz w:val="20"/>
                <w:szCs w:val="20"/>
                <w:lang w:val="en-US" w:eastAsia="fr-FR"/>
              </w:rPr>
              <w:t>20</w:t>
            </w:r>
          </w:p>
        </w:tc>
        <w:tc>
          <w:tcPr>
            <w:tcW w:w="472" w:type="dxa"/>
            <w:tcBorders>
              <w:top w:val="nil"/>
              <w:bottom w:val="nil"/>
            </w:tcBorders>
            <w:noWrap/>
          </w:tcPr>
          <w:p w14:paraId="74E75AC5"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val="en-US" w:eastAsia="fr-FR"/>
              </w:rPr>
            </w:pPr>
            <w:r w:rsidRPr="00F21EDD">
              <w:rPr>
                <w:rFonts w:ascii="Arial" w:eastAsia="Times New Roman" w:hAnsi="Arial" w:cs="Arial"/>
                <w:color w:val="000000"/>
                <w:sz w:val="20"/>
                <w:szCs w:val="20"/>
                <w:lang w:val="en-US" w:eastAsia="fr-FR"/>
              </w:rPr>
              <w:t>5</w:t>
            </w:r>
          </w:p>
        </w:tc>
        <w:tc>
          <w:tcPr>
            <w:tcW w:w="483" w:type="dxa"/>
            <w:tcBorders>
              <w:top w:val="nil"/>
              <w:bottom w:val="nil"/>
            </w:tcBorders>
            <w:noWrap/>
          </w:tcPr>
          <w:p w14:paraId="6A923811"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val="en-US" w:eastAsia="fr-FR"/>
              </w:rPr>
            </w:pPr>
            <w:r w:rsidRPr="00F21EDD">
              <w:rPr>
                <w:rFonts w:ascii="Arial" w:eastAsia="Times New Roman" w:hAnsi="Arial" w:cs="Arial"/>
                <w:color w:val="000000"/>
                <w:sz w:val="20"/>
                <w:szCs w:val="20"/>
                <w:lang w:val="en-US" w:eastAsia="fr-FR"/>
              </w:rPr>
              <w:t>57</w:t>
            </w:r>
          </w:p>
        </w:tc>
        <w:tc>
          <w:tcPr>
            <w:tcW w:w="483" w:type="dxa"/>
            <w:tcBorders>
              <w:top w:val="nil"/>
              <w:bottom w:val="nil"/>
            </w:tcBorders>
            <w:noWrap/>
          </w:tcPr>
          <w:p w14:paraId="067DD1CD"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val="en-US" w:eastAsia="fr-FR"/>
              </w:rPr>
            </w:pPr>
            <w:r w:rsidRPr="00F21EDD">
              <w:rPr>
                <w:rFonts w:ascii="Arial" w:eastAsia="Times New Roman" w:hAnsi="Arial" w:cs="Arial"/>
                <w:color w:val="000000"/>
                <w:sz w:val="20"/>
                <w:szCs w:val="20"/>
                <w:lang w:val="en-US" w:eastAsia="fr-FR"/>
              </w:rPr>
              <w:t>20</w:t>
            </w:r>
          </w:p>
        </w:tc>
        <w:tc>
          <w:tcPr>
            <w:tcW w:w="650" w:type="dxa"/>
            <w:tcBorders>
              <w:top w:val="nil"/>
              <w:bottom w:val="nil"/>
            </w:tcBorders>
          </w:tcPr>
          <w:p w14:paraId="23E64EFC"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0.75</w:t>
            </w:r>
          </w:p>
        </w:tc>
      </w:tr>
      <w:tr w:rsidR="00E84D7D" w:rsidRPr="00C12CF0" w14:paraId="55340390"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6713C735" w14:textId="42C44A5F"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{"citationID":"a2bkindookn","properties":{"formattedCitation":"\\uldash{(Ghorbanmehr et al., 2019)}","plainCitation":"(Ghorbanmehr et al., 2019)","dontUpdate":true,"noteIndex":0},"citationItems":[{"id":635,"uris":["http://zotero.org/users/3583561/items/F7D6GAQP"],"itemData":{"id":635,"type":"article-journal","abstract":"BACKGROUND: Early detection of cancers improves patients' survival and decreases the treatment cost. Unfortunately, the current methods for diagnosis of bladder and prostate cancers, two most common urothelial malignancies, suffer from a low sensitivity and specificity. MicroRNAs, as a group of endogenously produced non-coding RNAs, regulate gene expression and their expression is observed to be altered in many cancers and cancer progression phenomena. The remarkable stability of microRNAs in biofluids and their unique expression pattern in different pathological conditions make them an appealing, noninvasive diagnostic method in cancer diagnosis. Our objective is to identify microRNAs as biomarkers in urine samples of bladder and prostate cancers to improve the existing diagnostic methods in this field.\nMATERIALS AND METHODS: In this study, urine samples from 110 men with either bladder (n = 45) or prostate (n = 23) cancer, benign prostatic hyperplasia (n = 22) and healthy controls (n = 20) were collected. qPCR was used to evaluate the expression level of miR-21-5p, miR-141-3p, and miR-205-5p in these samples. The sensitivity and specificity of these microRNAs were determined using ROC curve analysis.\nRESULTS: The analysis of the data revealed that miR-21-5p, miR-141-3p, and miR-205-5p are differentially expressed in urine of bladder and prostate cancer patients. All these three microRNAs were upregulated in these samples and they were also able to differentiate benign prostatic hyperplasia from malignant cases. The statistical analyses revealed a good specificity for each individual microRNA.\nCONCLUSION: The results show that these three urine-based microRNAs might be a good choice to implement a specific and non-invasive diagnostic tool for bladder and prostate cancer. The expression pattern of all three microRNAs was particularly useful to distinguish benign and invasive tumors in prostate cases. From the patients' perspective the improvement of the diagnostic situation is awaited eagerly.","container-title":"The Prostate","DOI":"10.1002/pros.23714","ISSN":"1097-0045","issue":"1","journalAbbreviation":"Prostate","language":"eng","note":"PMID: 30194772","page":"88-95","source":"PubMed","title":"miR-21-5p, miR-141-3p, and miR-205-5p levels in urine-promising biomarkers for the identification of prostate and bladder cancer","volume":"79","author":[{"family":"Ghorbanmehr","given":"Nassim"},{"family":"Gharbi","given":"Sedigheh"},{"family":"Korsching","given":"Eberhard"},{"family":"Tavallaei","given":"Mahmood"},{"family":"Einollahi","given":"Behzad"},{"family":"Mowla","given":"Seyed Javad"}],"issued":{"date-parts":[["2019",1]]}}}],"schema":"https://github.com/citation-style-language/schema/raw/master/csl-citation.json"}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Ghorbanmehr et al., 2019</w:t>
            </w:r>
            <w:r w:rsidRPr="00E84D7D">
              <w:rPr>
                <w:rFonts w:ascii="Arial" w:hAnsi="Arial" w:cs="Arial"/>
                <w:color w:val="000000"/>
                <w:lang w:eastAsia="fr-FR"/>
              </w:rPr>
              <w:fldChar w:fldCharType="end"/>
            </w:r>
          </w:p>
        </w:tc>
        <w:tc>
          <w:tcPr>
            <w:tcW w:w="1084" w:type="dxa"/>
            <w:tcBorders>
              <w:top w:val="nil"/>
              <w:bottom w:val="nil"/>
            </w:tcBorders>
            <w:noWrap/>
          </w:tcPr>
          <w:p w14:paraId="0B7CCE03"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Iran</w:t>
            </w:r>
          </w:p>
        </w:tc>
        <w:tc>
          <w:tcPr>
            <w:tcW w:w="927" w:type="dxa"/>
            <w:tcBorders>
              <w:top w:val="nil"/>
              <w:bottom w:val="nil"/>
            </w:tcBorders>
          </w:tcPr>
          <w:p w14:paraId="4DF7FF90"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gramStart"/>
            <w:r w:rsidRPr="00F21EDD">
              <w:rPr>
                <w:rFonts w:ascii="Arial" w:eastAsia="Times New Roman" w:hAnsi="Arial" w:cs="Arial"/>
                <w:color w:val="000000"/>
                <w:sz w:val="20"/>
                <w:szCs w:val="20"/>
                <w:lang w:eastAsia="fr-FR"/>
              </w:rPr>
              <w:t>BPH;</w:t>
            </w:r>
            <w:proofErr w:type="gramEnd"/>
            <w:r w:rsidRPr="00F21EDD">
              <w:rPr>
                <w:rFonts w:ascii="Arial" w:eastAsia="Times New Roman" w:hAnsi="Arial" w:cs="Arial"/>
                <w:color w:val="000000"/>
                <w:sz w:val="20"/>
                <w:szCs w:val="20"/>
                <w:lang w:eastAsia="fr-FR"/>
              </w:rPr>
              <w:t xml:space="preserve"> HP</w:t>
            </w:r>
          </w:p>
        </w:tc>
        <w:tc>
          <w:tcPr>
            <w:tcW w:w="695" w:type="dxa"/>
            <w:tcBorders>
              <w:top w:val="nil"/>
              <w:bottom w:val="nil"/>
            </w:tcBorders>
            <w:noWrap/>
          </w:tcPr>
          <w:p w14:paraId="3E14132D"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23</w:t>
            </w:r>
          </w:p>
        </w:tc>
        <w:tc>
          <w:tcPr>
            <w:tcW w:w="927" w:type="dxa"/>
            <w:tcBorders>
              <w:top w:val="nil"/>
              <w:bottom w:val="nil"/>
            </w:tcBorders>
            <w:noWrap/>
          </w:tcPr>
          <w:p w14:paraId="2330735A"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42</w:t>
            </w:r>
          </w:p>
        </w:tc>
        <w:tc>
          <w:tcPr>
            <w:tcW w:w="1361" w:type="dxa"/>
            <w:tcBorders>
              <w:top w:val="nil"/>
              <w:bottom w:val="nil"/>
            </w:tcBorders>
            <w:noWrap/>
          </w:tcPr>
          <w:p w14:paraId="14C5FA8C"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Urine</w:t>
            </w:r>
          </w:p>
        </w:tc>
        <w:tc>
          <w:tcPr>
            <w:tcW w:w="1172" w:type="dxa"/>
            <w:tcBorders>
              <w:top w:val="nil"/>
              <w:bottom w:val="nil"/>
            </w:tcBorders>
          </w:tcPr>
          <w:p w14:paraId="0A297ED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RT-</w:t>
            </w:r>
            <w:proofErr w:type="spellStart"/>
            <w:r w:rsidRPr="00F21EDD">
              <w:rPr>
                <w:rFonts w:ascii="Arial" w:eastAsia="Times New Roman" w:hAnsi="Arial" w:cs="Arial"/>
                <w:color w:val="000000"/>
                <w:sz w:val="20"/>
                <w:szCs w:val="20"/>
                <w:lang w:eastAsia="fr-FR"/>
              </w:rPr>
              <w:t>qPCR</w:t>
            </w:r>
            <w:proofErr w:type="spellEnd"/>
          </w:p>
        </w:tc>
        <w:tc>
          <w:tcPr>
            <w:tcW w:w="1206" w:type="dxa"/>
            <w:tcBorders>
              <w:top w:val="nil"/>
              <w:bottom w:val="nil"/>
            </w:tcBorders>
            <w:noWrap/>
          </w:tcPr>
          <w:p w14:paraId="74F3B77F"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gramStart"/>
            <w:r w:rsidRPr="00F21EDD">
              <w:rPr>
                <w:rFonts w:ascii="Arial" w:eastAsia="Times New Roman" w:hAnsi="Arial" w:cs="Arial"/>
                <w:color w:val="000000"/>
                <w:sz w:val="20"/>
                <w:szCs w:val="20"/>
                <w:lang w:eastAsia="fr-FR"/>
              </w:rPr>
              <w:t>miR</w:t>
            </w:r>
            <w:proofErr w:type="gramEnd"/>
            <w:r w:rsidRPr="00F21EDD">
              <w:rPr>
                <w:rFonts w:ascii="Arial" w:eastAsia="Times New Roman" w:hAnsi="Arial" w:cs="Arial"/>
                <w:color w:val="000000"/>
                <w:sz w:val="20"/>
                <w:szCs w:val="20"/>
                <w:lang w:eastAsia="fr-FR"/>
              </w:rPr>
              <w:t xml:space="preserve">-21 </w:t>
            </w:r>
          </w:p>
        </w:tc>
        <w:tc>
          <w:tcPr>
            <w:tcW w:w="717" w:type="dxa"/>
            <w:tcBorders>
              <w:top w:val="nil"/>
              <w:bottom w:val="nil"/>
            </w:tcBorders>
            <w:noWrap/>
          </w:tcPr>
          <w:p w14:paraId="44D38896"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81.00</w:t>
            </w:r>
          </w:p>
        </w:tc>
        <w:tc>
          <w:tcPr>
            <w:tcW w:w="717" w:type="dxa"/>
            <w:tcBorders>
              <w:top w:val="nil"/>
              <w:bottom w:val="nil"/>
            </w:tcBorders>
            <w:noWrap/>
          </w:tcPr>
          <w:p w14:paraId="022BA94E"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88.00</w:t>
            </w:r>
          </w:p>
        </w:tc>
        <w:tc>
          <w:tcPr>
            <w:tcW w:w="550" w:type="dxa"/>
            <w:tcBorders>
              <w:top w:val="nil"/>
              <w:bottom w:val="nil"/>
            </w:tcBorders>
            <w:noWrap/>
          </w:tcPr>
          <w:p w14:paraId="600ABB66"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19</w:t>
            </w:r>
          </w:p>
        </w:tc>
        <w:tc>
          <w:tcPr>
            <w:tcW w:w="472" w:type="dxa"/>
            <w:tcBorders>
              <w:top w:val="nil"/>
              <w:bottom w:val="nil"/>
            </w:tcBorders>
            <w:noWrap/>
          </w:tcPr>
          <w:p w14:paraId="16C41C6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5</w:t>
            </w:r>
          </w:p>
        </w:tc>
        <w:tc>
          <w:tcPr>
            <w:tcW w:w="483" w:type="dxa"/>
            <w:tcBorders>
              <w:top w:val="nil"/>
              <w:bottom w:val="nil"/>
            </w:tcBorders>
            <w:noWrap/>
          </w:tcPr>
          <w:p w14:paraId="7C81D4C2"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37</w:t>
            </w:r>
          </w:p>
        </w:tc>
        <w:tc>
          <w:tcPr>
            <w:tcW w:w="483" w:type="dxa"/>
            <w:tcBorders>
              <w:top w:val="nil"/>
              <w:bottom w:val="nil"/>
            </w:tcBorders>
            <w:noWrap/>
          </w:tcPr>
          <w:p w14:paraId="1BCC0BAB"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4</w:t>
            </w:r>
          </w:p>
        </w:tc>
        <w:tc>
          <w:tcPr>
            <w:tcW w:w="650" w:type="dxa"/>
            <w:tcBorders>
              <w:top w:val="nil"/>
              <w:bottom w:val="nil"/>
            </w:tcBorders>
          </w:tcPr>
          <w:p w14:paraId="7DE855E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0.76</w:t>
            </w:r>
          </w:p>
        </w:tc>
      </w:tr>
      <w:tr w:rsidR="00E84D7D" w:rsidRPr="00F21EDD" w14:paraId="32F123D6"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47798F57" w14:textId="5DD84BE9" w:rsidR="00E84D7D" w:rsidRPr="00E84D7D" w:rsidRDefault="00E84D7D" w:rsidP="0000574D">
            <w:pPr>
              <w:spacing w:before="240"/>
              <w:jc w:val="both"/>
              <w:rPr>
                <w:rFonts w:ascii="Arial" w:hAnsi="Arial" w:cs="Arial"/>
                <w:sz w:val="20"/>
                <w:szCs w:val="20"/>
                <w:lang w:val="en-US"/>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{"citationID":"a15sq33rbb6","properties":{"formattedCitation":"\\uldash{(Ibrahim et al., 2019)}","plainCitation":"(Ibrahim et al., 2019)","dontUpdate":true,"noteIndex":0},"citationItems":[{"id":486,"uris":["http://zotero.org/users/3583561/items/RYSV9JFV","http://zotero.org/users/3583561/items/UYDERLUC"],"itemData":{"id":486,"type":"article-journal","abstract":"Prostate cancer (PC) is considered as the fifth cause of cancer deaths worldwide. The exact etiopathogenesis is unclear; however, genetic predisposition, hormonal influencers, lifestyle and environmental factors act as major contributors. It has been found that several miRNAs may play a crucial role in cancer initiation and progression. Here, in this study, we evaluated the peripheral blood levels of miR-21, miR-141, miR-221 and miR-18a expression among 80 prostate cancer patients (50 localised and 30 metastatic) and 30 benign prostatic hyperplasia patients compared to 50 normal control subjects, using RT-PCR. Our results of analysis of miR-21, miR-141, miR-18a and miR-221 in the plasma of PC patients showed that miR-18a is a powerful discriminator of PC patients from healthy controls as it had the highest AUC (0.966; 95% CI, 0.937-1.000), while miR-221 provided better differentiation of metastatic from localised PC (sensitivity was 92.9% at 100% specificity), and when we combine miR-18a and miR-221 for differentiating patients with MPC, it will increase the sensitivity to 96.4% at a specificity of 100% (AUC, 0.997; 95% CI, 0.988-1.0) (p &lt; .000). This current study recommends that analysis of these miRNAs might have clinical value in enhancing PSA testing.","container-title":"Andrologia","DOI":"10.1111/and.13384","ISSN":"1439-0272","issue":"10","journalAbbreviation":"Andrologia","language":"eng","note":"PMID: 31483058","page":"e13384","source":"PubMed","title":"Diagnostic significance of miR-21, miR-141, miR-18a and miR-221 as novel biomarkers in prostate cancer among Egyptian patients","volume":"51","author":[{"family":"Ibrahim","given":"Noha H."},{"family":"Abdellateif","given":"Mona S."},{"family":"Kassem","given":"Samar Hassab-Allah"},{"family":"Abd El Salam","given":"Mohamed Ahmed"},{"family":"El Gammal","given":"Mosaad M."}],"issued":{"date-parts":[["2019",11]]}}}],"schema":"https://github.com/citation-style-language/schema/raw/master/csl-citation.json"}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Ibrahim et al., 2019</w:t>
            </w:r>
            <w:r w:rsidRPr="00E84D7D">
              <w:rPr>
                <w:rFonts w:ascii="Arial" w:hAnsi="Arial" w:cs="Arial"/>
                <w:color w:val="000000"/>
                <w:lang w:eastAsia="fr-FR"/>
              </w:rPr>
              <w:fldChar w:fldCharType="end"/>
            </w:r>
          </w:p>
        </w:tc>
        <w:tc>
          <w:tcPr>
            <w:tcW w:w="1084" w:type="dxa"/>
            <w:tcBorders>
              <w:top w:val="nil"/>
              <w:bottom w:val="nil"/>
            </w:tcBorders>
            <w:noWrap/>
          </w:tcPr>
          <w:p w14:paraId="5C0D24A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Egypt</w:t>
            </w:r>
          </w:p>
        </w:tc>
        <w:tc>
          <w:tcPr>
            <w:tcW w:w="927" w:type="dxa"/>
            <w:tcBorders>
              <w:top w:val="nil"/>
              <w:bottom w:val="nil"/>
            </w:tcBorders>
          </w:tcPr>
          <w:p w14:paraId="7F42E8EF"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BPH; HP</w:t>
            </w:r>
          </w:p>
        </w:tc>
        <w:tc>
          <w:tcPr>
            <w:tcW w:w="695" w:type="dxa"/>
            <w:tcBorders>
              <w:top w:val="nil"/>
              <w:bottom w:val="nil"/>
            </w:tcBorders>
            <w:noWrap/>
          </w:tcPr>
          <w:p w14:paraId="44EF1EB9"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50</w:t>
            </w:r>
          </w:p>
        </w:tc>
        <w:tc>
          <w:tcPr>
            <w:tcW w:w="927" w:type="dxa"/>
            <w:tcBorders>
              <w:top w:val="nil"/>
              <w:bottom w:val="nil"/>
            </w:tcBorders>
            <w:noWrap/>
          </w:tcPr>
          <w:p w14:paraId="247A6977"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80</w:t>
            </w:r>
          </w:p>
        </w:tc>
        <w:tc>
          <w:tcPr>
            <w:tcW w:w="1361" w:type="dxa"/>
            <w:tcBorders>
              <w:top w:val="nil"/>
              <w:bottom w:val="nil"/>
            </w:tcBorders>
            <w:noWrap/>
          </w:tcPr>
          <w:p w14:paraId="072CADEF"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Plasma</w:t>
            </w:r>
          </w:p>
        </w:tc>
        <w:tc>
          <w:tcPr>
            <w:tcW w:w="1172" w:type="dxa"/>
            <w:tcBorders>
              <w:top w:val="nil"/>
              <w:bottom w:val="nil"/>
            </w:tcBorders>
          </w:tcPr>
          <w:p w14:paraId="58196A09"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6205CEA8"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miR-21</w:t>
            </w:r>
          </w:p>
        </w:tc>
        <w:tc>
          <w:tcPr>
            <w:tcW w:w="717" w:type="dxa"/>
            <w:tcBorders>
              <w:top w:val="nil"/>
              <w:bottom w:val="nil"/>
            </w:tcBorders>
            <w:noWrap/>
          </w:tcPr>
          <w:p w14:paraId="13D5F8BF"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95.50</w:t>
            </w:r>
          </w:p>
        </w:tc>
        <w:tc>
          <w:tcPr>
            <w:tcW w:w="717" w:type="dxa"/>
            <w:tcBorders>
              <w:top w:val="nil"/>
              <w:bottom w:val="nil"/>
            </w:tcBorders>
            <w:noWrap/>
          </w:tcPr>
          <w:p w14:paraId="12B4789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90.00</w:t>
            </w:r>
          </w:p>
        </w:tc>
        <w:tc>
          <w:tcPr>
            <w:tcW w:w="550" w:type="dxa"/>
            <w:tcBorders>
              <w:top w:val="nil"/>
              <w:bottom w:val="nil"/>
            </w:tcBorders>
            <w:noWrap/>
          </w:tcPr>
          <w:p w14:paraId="30827A4B"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48</w:t>
            </w:r>
          </w:p>
        </w:tc>
        <w:tc>
          <w:tcPr>
            <w:tcW w:w="472" w:type="dxa"/>
            <w:tcBorders>
              <w:top w:val="nil"/>
              <w:bottom w:val="nil"/>
            </w:tcBorders>
            <w:noWrap/>
          </w:tcPr>
          <w:p w14:paraId="189A4F63"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8</w:t>
            </w:r>
          </w:p>
        </w:tc>
        <w:tc>
          <w:tcPr>
            <w:tcW w:w="483" w:type="dxa"/>
            <w:tcBorders>
              <w:top w:val="nil"/>
              <w:bottom w:val="nil"/>
            </w:tcBorders>
            <w:noWrap/>
          </w:tcPr>
          <w:p w14:paraId="72E44F05"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72</w:t>
            </w:r>
          </w:p>
        </w:tc>
        <w:tc>
          <w:tcPr>
            <w:tcW w:w="483" w:type="dxa"/>
            <w:tcBorders>
              <w:top w:val="nil"/>
              <w:bottom w:val="nil"/>
            </w:tcBorders>
            <w:noWrap/>
          </w:tcPr>
          <w:p w14:paraId="3BB86CA7"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w:t>
            </w:r>
          </w:p>
        </w:tc>
        <w:tc>
          <w:tcPr>
            <w:tcW w:w="650" w:type="dxa"/>
            <w:tcBorders>
              <w:top w:val="nil"/>
              <w:bottom w:val="nil"/>
            </w:tcBorders>
          </w:tcPr>
          <w:p w14:paraId="2D2D03A2"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0.96</w:t>
            </w:r>
          </w:p>
        </w:tc>
      </w:tr>
      <w:tr w:rsidR="00E84D7D" w:rsidRPr="00F21EDD" w14:paraId="6512BE46"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67F8953E" w14:textId="6ED2DF49"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{"citationID":"a17046pv70g","properties":{"formattedCitation":"\\uldash{(Porzycki et al., 2018)}","plainCitation":"(Porzycki et al., 2018)","dontUpdate":true,"noteIndex":0},"citationItems":[{"id":93,"uris":["http://zotero.org/users/3583561/items/NZFL3MEY","http://zotero.org/users/3583561/items/SELRIWKQ"],"itemData":{"id":93,"type":"article-journal","abstract":"Purpose\nProstate cancer (PCa) is a common tumor disease in western countries and a leading cause of cancer-driven mortality in men. Current methods for prostate cancer detection, like prostate-specific antigen screening, lead to significant overtreatment. The purpose of the study was to analyze circulating microRNAs in serum as non-invasive biomarkers in patients with diagnosis of prostate cancer and healthy individuals.\n\nMethods\nThis preliminary study included a population of 20 patients with mean age of 68.6 years and mean PSA of 21.3 ng/ml. Eight healthy patients were used as control. MiRNAs were quantified in the total RNA fraction extracted from serum and levels of five microRNAs (miR-106b, miR-141, miR-21, mir-34a, and miR-375) were quantified by RT-qPCR. Statistical analyses evaluated correlation between clinicopathological data and miRNAs expression levels.\n\nResults\nRelative expression ratios of miR-106b, miR-141-3p, miR-21, and miR-375 were significantly increased (1.8-,  1.9-, 2.4-, and 2.6-fold, respectively) in the PCa group compared to healthy control. Using receiver operating characteristics, the highest area under the curve equal to 0.906 was obtained for miR-357 and indicates a very good diagnostic properties of this biomarker. We found expression level of mir-34a not related with PCa.\n\nConclusions\nOur results support previous findings on the possibility of discriminating prostate cancer patients from healthy controls by detecting miRNA (miR-141-3p, miR-21, and miR-375). Further insights into miRNA abundance and characteristics are necessary to validate the panel of miRNA as surrogate markers in diagnosis of prostate cancer.","container-title":"International Urology and Nephrology","DOI":"10.1007/s11255-018-1938-2","ISSN":"0301-1623","issue":"9","journalAbbreviation":"Int Urol Nephrol","note":"PMID: 30014459\nPMCID: PMC6133127","page":"1619-1626","source":"PubMed Central","title":"Combination of three miRNA (miR-141, miR-21, and miR-375) as potential diagnostic tool for prostate cancer recognition","URL":"https://www.ncbi.nlm.nih.gov/pmc/articles/PMC6133127/","volume":"50","author":[{"family":"Porzycki","given":"Paweł"},{"family":"Ciszkowicz","given":"Ewa"},{"family":"Semik","given":"Małgorzata"},{"family":"Tyrka","given":"Mirosław"}],"accessed":{"date-parts":[["2023",1,12]]},"issued":{"date-parts":[["2018"]]}}}],"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Porzycki et al., 2018</w:t>
            </w:r>
            <w:r w:rsidRPr="00E84D7D">
              <w:rPr>
                <w:rFonts w:ascii="Arial" w:hAnsi="Arial" w:cs="Arial"/>
                <w:color w:val="000000"/>
                <w:lang w:eastAsia="fr-FR"/>
              </w:rPr>
              <w:fldChar w:fldCharType="end"/>
            </w:r>
          </w:p>
        </w:tc>
        <w:tc>
          <w:tcPr>
            <w:tcW w:w="1084" w:type="dxa"/>
            <w:tcBorders>
              <w:top w:val="nil"/>
              <w:bottom w:val="nil"/>
            </w:tcBorders>
            <w:noWrap/>
          </w:tcPr>
          <w:p w14:paraId="1149945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Poland</w:t>
            </w:r>
          </w:p>
        </w:tc>
        <w:tc>
          <w:tcPr>
            <w:tcW w:w="927" w:type="dxa"/>
            <w:tcBorders>
              <w:top w:val="nil"/>
              <w:bottom w:val="nil"/>
            </w:tcBorders>
          </w:tcPr>
          <w:p w14:paraId="4ECC0C6B"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HP</w:t>
            </w:r>
          </w:p>
        </w:tc>
        <w:tc>
          <w:tcPr>
            <w:tcW w:w="695" w:type="dxa"/>
            <w:tcBorders>
              <w:top w:val="nil"/>
              <w:bottom w:val="nil"/>
            </w:tcBorders>
            <w:noWrap/>
          </w:tcPr>
          <w:p w14:paraId="05053DAA"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20</w:t>
            </w:r>
          </w:p>
        </w:tc>
        <w:tc>
          <w:tcPr>
            <w:tcW w:w="927" w:type="dxa"/>
            <w:tcBorders>
              <w:top w:val="nil"/>
              <w:bottom w:val="nil"/>
            </w:tcBorders>
            <w:noWrap/>
          </w:tcPr>
          <w:p w14:paraId="351B5F9A"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8</w:t>
            </w:r>
          </w:p>
        </w:tc>
        <w:tc>
          <w:tcPr>
            <w:tcW w:w="1361" w:type="dxa"/>
            <w:tcBorders>
              <w:top w:val="nil"/>
              <w:bottom w:val="nil"/>
            </w:tcBorders>
            <w:noWrap/>
          </w:tcPr>
          <w:p w14:paraId="762F5D4D"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Serum</w:t>
            </w:r>
          </w:p>
        </w:tc>
        <w:tc>
          <w:tcPr>
            <w:tcW w:w="1172" w:type="dxa"/>
            <w:tcBorders>
              <w:top w:val="nil"/>
              <w:bottom w:val="nil"/>
            </w:tcBorders>
          </w:tcPr>
          <w:p w14:paraId="121B4252"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3ACBF445"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miR-21</w:t>
            </w:r>
          </w:p>
        </w:tc>
        <w:tc>
          <w:tcPr>
            <w:tcW w:w="717" w:type="dxa"/>
            <w:tcBorders>
              <w:top w:val="nil"/>
              <w:bottom w:val="nil"/>
            </w:tcBorders>
            <w:noWrap/>
          </w:tcPr>
          <w:p w14:paraId="3D66C28C"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90.00</w:t>
            </w:r>
          </w:p>
        </w:tc>
        <w:tc>
          <w:tcPr>
            <w:tcW w:w="717" w:type="dxa"/>
            <w:tcBorders>
              <w:top w:val="nil"/>
              <w:bottom w:val="nil"/>
            </w:tcBorders>
            <w:noWrap/>
          </w:tcPr>
          <w:p w14:paraId="2A4259A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75.00</w:t>
            </w:r>
          </w:p>
        </w:tc>
        <w:tc>
          <w:tcPr>
            <w:tcW w:w="550" w:type="dxa"/>
            <w:tcBorders>
              <w:top w:val="nil"/>
              <w:bottom w:val="nil"/>
            </w:tcBorders>
            <w:noWrap/>
          </w:tcPr>
          <w:p w14:paraId="4E75A7D1"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18</w:t>
            </w:r>
          </w:p>
        </w:tc>
        <w:tc>
          <w:tcPr>
            <w:tcW w:w="472" w:type="dxa"/>
            <w:tcBorders>
              <w:top w:val="nil"/>
              <w:bottom w:val="nil"/>
            </w:tcBorders>
            <w:noWrap/>
          </w:tcPr>
          <w:p w14:paraId="12B3E275"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w:t>
            </w:r>
          </w:p>
        </w:tc>
        <w:tc>
          <w:tcPr>
            <w:tcW w:w="483" w:type="dxa"/>
            <w:tcBorders>
              <w:top w:val="nil"/>
              <w:bottom w:val="nil"/>
            </w:tcBorders>
            <w:noWrap/>
          </w:tcPr>
          <w:p w14:paraId="1A035AB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6</w:t>
            </w:r>
          </w:p>
        </w:tc>
        <w:tc>
          <w:tcPr>
            <w:tcW w:w="483" w:type="dxa"/>
            <w:tcBorders>
              <w:top w:val="nil"/>
              <w:bottom w:val="nil"/>
            </w:tcBorders>
            <w:noWrap/>
          </w:tcPr>
          <w:p w14:paraId="0DBB67B6"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w:t>
            </w:r>
          </w:p>
        </w:tc>
        <w:tc>
          <w:tcPr>
            <w:tcW w:w="650" w:type="dxa"/>
            <w:tcBorders>
              <w:top w:val="nil"/>
              <w:bottom w:val="nil"/>
            </w:tcBorders>
          </w:tcPr>
          <w:p w14:paraId="69866D0F"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0.86</w:t>
            </w:r>
          </w:p>
        </w:tc>
      </w:tr>
      <w:tr w:rsidR="00E84D7D" w:rsidRPr="00C12CF0" w14:paraId="37E46ABC"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1B1A7DDD" w14:textId="00CC80DB"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{"citationID":"a1jqipjr00u","properties":{"formattedCitation":"\\uldash{(Endzeli\\uc0\\u326{}\\uc0\\u353{} et al., 2017)}","plainCitation":"(Endzeliņš et al., 2017)","dontUpdate":true,"noteIndex":0},"citationItems":[{"id":681,"uris":["http://zotero.org/users/3583561/items/8KUUU6GK"],"itemData":{"id":681,"type":"article-journal","abstract":"BACKGROUND: Circulating cell-free miRNAs have emerged as promising minimally-invasive biomarkers for early detection, prognosis and monitoring of cancer. They can exist in the bloodstream incorporated into extracellular vesicles (EVs) and ribonucleoprotein complexes. However, it is still debated if EVs contain biologically meaningful amounts of miRNAs and may provide a better source of miRNA biomarkers than whole plasma. The aim of this study was to systematically compare the diagnostic potential of prostate cancer-associated miRNAs in whole plasma and in plasma EVs.\nMETHODS: RNA was isolated from whole plasma and plasma EV samples from a well characterised cohort of 50 patient with prostate cancer (PC) and 22 patients with benign prostatic hyperplasia (BPH). Nine miRNAs known to have a diagnostic potential for PC in cell-free blood were quantified by RT-qPCR and the relative quantities were compared between patients with PC and BPH and between PC patients with Gleason score ≥ 8 and ≤6.\nRESULTS: Only a small fraction of the total cell-free miRNA was recovered from the plasma EVs, however the EV-incorporated and whole plasma cell-free miRNA profiles were clearly different. Four of the miRNAs analysed showed a diagnostic potential in our patient cohort. MiR-375 could differentiate between PC and BPH patients when analysed in the whole plasma, while miR-200c-3p and miR-21-5p performed better when analysed in plasma EVs. EV-incorporated but not whole plasma Let-7a-5p level could distinguish PC patients with Gleason score ≥ 8 vs ≤6.\nCONCLUSIONS: This study demonstrates that for some miRNA biomarkers EVs provide a more consistent source of RNA than whole plasma, while other miRNAs show better diagnostic performance when tested in the whole plasma.","container-title":"BMC cancer","DOI":"10.1186/s12885-017-3737-z","ISSN":"1471-2407","issue":"1","journalAbbreviation":"BMC Cancer","language":"eng","note":"PMID: 29121858\nPMCID: PMC5679326","page":"730","source":"PubMed","title":"Detection of circulating miRNAs: comparative analysis of extracellular vesicle-incorporated miRNAs and cell-free miRNAs in whole plasma of prostate cancer patients","title-short":"Detection of circulating miRNAs","volume":"17","author":[{"family":"Endzeliņš","given":"Edgars"},{"family":"Berger","given":"Andreas"},{"family":"Melne","given":"Vita"},{"family":"Bajo-Santos","given":"Cristina"},{"family":"Soboļevska","given":"Kristīne"},{"family":"Ābols","given":"Artūrs"},{"family":"Rodriguez","given":"Marta"},{"family":"Šantare","given":"Daiga"},{"family":"Rudņickiha","given":"Anastasija"},{"family":"Lietuvietis","given":"Vilnis"},{"family":"Llorente","given":"Alicia"},{"family":"Linē","given":"Aija"}],"issued":{"date-parts":[["2017",11,9]]}}}],"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Endzeliņš et al., 2017</w:t>
            </w:r>
            <w:r w:rsidRPr="00E84D7D">
              <w:rPr>
                <w:rFonts w:ascii="Arial" w:hAnsi="Arial" w:cs="Arial"/>
                <w:color w:val="000000"/>
                <w:lang w:eastAsia="fr-FR"/>
              </w:rPr>
              <w:fldChar w:fldCharType="end"/>
            </w:r>
          </w:p>
        </w:tc>
        <w:tc>
          <w:tcPr>
            <w:tcW w:w="1084" w:type="dxa"/>
            <w:tcBorders>
              <w:top w:val="nil"/>
              <w:bottom w:val="nil"/>
            </w:tcBorders>
            <w:noWrap/>
          </w:tcPr>
          <w:p w14:paraId="6584A77C"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r w:rsidRPr="00F21EDD">
              <w:rPr>
                <w:rFonts w:ascii="Arial" w:eastAsia="Times New Roman" w:hAnsi="Arial" w:cs="Arial"/>
                <w:color w:val="000000"/>
                <w:sz w:val="20"/>
                <w:szCs w:val="20"/>
                <w:lang w:eastAsia="fr-FR"/>
              </w:rPr>
              <w:t>Latvia</w:t>
            </w:r>
            <w:proofErr w:type="spellEnd"/>
          </w:p>
        </w:tc>
        <w:tc>
          <w:tcPr>
            <w:tcW w:w="927" w:type="dxa"/>
            <w:tcBorders>
              <w:top w:val="nil"/>
              <w:bottom w:val="nil"/>
            </w:tcBorders>
          </w:tcPr>
          <w:p w14:paraId="2D1A3E27"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BPH</w:t>
            </w:r>
          </w:p>
        </w:tc>
        <w:tc>
          <w:tcPr>
            <w:tcW w:w="695" w:type="dxa"/>
            <w:tcBorders>
              <w:top w:val="nil"/>
              <w:bottom w:val="nil"/>
            </w:tcBorders>
            <w:noWrap/>
          </w:tcPr>
          <w:p w14:paraId="62CF2C8B"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50</w:t>
            </w:r>
          </w:p>
        </w:tc>
        <w:tc>
          <w:tcPr>
            <w:tcW w:w="927" w:type="dxa"/>
            <w:tcBorders>
              <w:top w:val="nil"/>
              <w:bottom w:val="nil"/>
            </w:tcBorders>
            <w:noWrap/>
          </w:tcPr>
          <w:p w14:paraId="40ECAA2F"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22</w:t>
            </w:r>
          </w:p>
        </w:tc>
        <w:tc>
          <w:tcPr>
            <w:tcW w:w="1361" w:type="dxa"/>
            <w:tcBorders>
              <w:top w:val="nil"/>
              <w:bottom w:val="nil"/>
            </w:tcBorders>
            <w:noWrap/>
          </w:tcPr>
          <w:p w14:paraId="5249B72C"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Plasma (</w:t>
            </w:r>
            <w:proofErr w:type="spellStart"/>
            <w:r w:rsidRPr="00F21EDD">
              <w:rPr>
                <w:rFonts w:ascii="Arial" w:eastAsia="Times New Roman" w:hAnsi="Arial" w:cs="Arial"/>
                <w:color w:val="000000"/>
                <w:sz w:val="20"/>
                <w:szCs w:val="20"/>
                <w:lang w:eastAsia="fr-FR"/>
              </w:rPr>
              <w:t>exsosomes</w:t>
            </w:r>
            <w:proofErr w:type="spellEnd"/>
            <w:r w:rsidRPr="00F21EDD">
              <w:rPr>
                <w:rFonts w:ascii="Arial" w:eastAsia="Times New Roman" w:hAnsi="Arial" w:cs="Arial"/>
                <w:color w:val="000000"/>
                <w:sz w:val="20"/>
                <w:szCs w:val="20"/>
                <w:lang w:eastAsia="fr-FR"/>
              </w:rPr>
              <w:t>)</w:t>
            </w:r>
          </w:p>
        </w:tc>
        <w:tc>
          <w:tcPr>
            <w:tcW w:w="1172" w:type="dxa"/>
            <w:tcBorders>
              <w:top w:val="nil"/>
              <w:bottom w:val="nil"/>
            </w:tcBorders>
          </w:tcPr>
          <w:p w14:paraId="7104F49D"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RT-</w:t>
            </w:r>
            <w:proofErr w:type="spellStart"/>
            <w:r w:rsidRPr="00F21EDD">
              <w:rPr>
                <w:rFonts w:ascii="Arial" w:eastAsia="Times New Roman" w:hAnsi="Arial" w:cs="Arial"/>
                <w:color w:val="000000"/>
                <w:sz w:val="20"/>
                <w:szCs w:val="20"/>
                <w:lang w:eastAsia="fr-FR"/>
              </w:rPr>
              <w:t>qPCR</w:t>
            </w:r>
            <w:proofErr w:type="spellEnd"/>
          </w:p>
        </w:tc>
        <w:tc>
          <w:tcPr>
            <w:tcW w:w="1206" w:type="dxa"/>
            <w:tcBorders>
              <w:top w:val="nil"/>
              <w:bottom w:val="nil"/>
            </w:tcBorders>
            <w:noWrap/>
          </w:tcPr>
          <w:p w14:paraId="66291EDF"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MiR-21</w:t>
            </w:r>
          </w:p>
        </w:tc>
        <w:tc>
          <w:tcPr>
            <w:tcW w:w="717" w:type="dxa"/>
            <w:tcBorders>
              <w:top w:val="nil"/>
              <w:bottom w:val="nil"/>
            </w:tcBorders>
            <w:noWrap/>
          </w:tcPr>
          <w:p w14:paraId="52924A52"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w:t>
            </w:r>
          </w:p>
        </w:tc>
        <w:tc>
          <w:tcPr>
            <w:tcW w:w="717" w:type="dxa"/>
            <w:tcBorders>
              <w:top w:val="nil"/>
              <w:bottom w:val="nil"/>
            </w:tcBorders>
            <w:noWrap/>
          </w:tcPr>
          <w:p w14:paraId="513A088D"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w:t>
            </w:r>
          </w:p>
        </w:tc>
        <w:tc>
          <w:tcPr>
            <w:tcW w:w="550" w:type="dxa"/>
            <w:tcBorders>
              <w:top w:val="nil"/>
              <w:bottom w:val="nil"/>
            </w:tcBorders>
            <w:noWrap/>
          </w:tcPr>
          <w:p w14:paraId="3A66DE1E"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w:t>
            </w:r>
          </w:p>
        </w:tc>
        <w:tc>
          <w:tcPr>
            <w:tcW w:w="472" w:type="dxa"/>
            <w:tcBorders>
              <w:top w:val="nil"/>
              <w:bottom w:val="nil"/>
            </w:tcBorders>
            <w:noWrap/>
          </w:tcPr>
          <w:p w14:paraId="1763F706"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w:t>
            </w:r>
          </w:p>
        </w:tc>
        <w:tc>
          <w:tcPr>
            <w:tcW w:w="483" w:type="dxa"/>
            <w:tcBorders>
              <w:top w:val="nil"/>
              <w:bottom w:val="nil"/>
            </w:tcBorders>
            <w:noWrap/>
          </w:tcPr>
          <w:p w14:paraId="710857A6"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w:t>
            </w:r>
          </w:p>
        </w:tc>
        <w:tc>
          <w:tcPr>
            <w:tcW w:w="483" w:type="dxa"/>
            <w:tcBorders>
              <w:top w:val="nil"/>
              <w:bottom w:val="nil"/>
            </w:tcBorders>
            <w:noWrap/>
          </w:tcPr>
          <w:p w14:paraId="68177D87"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w:t>
            </w:r>
          </w:p>
        </w:tc>
        <w:tc>
          <w:tcPr>
            <w:tcW w:w="650" w:type="dxa"/>
            <w:tcBorders>
              <w:top w:val="nil"/>
              <w:bottom w:val="nil"/>
            </w:tcBorders>
          </w:tcPr>
          <w:p w14:paraId="6837988E"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0.67</w:t>
            </w:r>
          </w:p>
        </w:tc>
      </w:tr>
      <w:tr w:rsidR="00E84D7D" w:rsidRPr="00F21EDD" w14:paraId="6F940582"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50DF7E65" w14:textId="15D9D877" w:rsidR="00E84D7D" w:rsidRPr="00E84D7D" w:rsidRDefault="00E84D7D" w:rsidP="0000574D">
            <w:pPr>
              <w:spacing w:before="240"/>
              <w:jc w:val="both"/>
              <w:rPr>
                <w:rFonts w:ascii="Arial" w:eastAsia="Times New Roman" w:hAnsi="Arial" w:cs="Arial"/>
                <w:color w:val="000000"/>
                <w:sz w:val="20"/>
                <w:szCs w:val="20"/>
                <w:lang w:val="en-US" w:eastAsia="fr-FR"/>
              </w:rPr>
            </w:pPr>
            <w:r w:rsidRPr="00E84D7D">
              <w:rPr>
                <w:rFonts w:ascii="Arial" w:hAnsi="Arial" w:cs="Arial"/>
                <w:color w:val="000000"/>
                <w:lang w:eastAsia="fr-FR"/>
              </w:rPr>
              <w:lastRenderedPageBreak/>
              <w:fldChar w:fldCharType="begin"/>
            </w:r>
            <w:r w:rsidRPr="00E84D7D">
              <w:rPr>
                <w:rFonts w:ascii="Arial" w:eastAsia="Times New Roman" w:hAnsi="Arial" w:cs="Arial"/>
                <w:color w:val="000000"/>
                <w:sz w:val="20"/>
                <w:szCs w:val="20"/>
                <w:lang w:eastAsia="fr-FR"/>
              </w:rPr>
              <w:instrText xml:space="preserve"> ADDIN ZOTERO_ITEM CSL_CITATION {"citationID":"a2m6u4dchhu","properties":{"formattedCitation":"\\uldash{(Foj et al., 2017)}","plainCitation":"(Foj et al., 2017)","dontUpdate":true,"noteIndex":0},"citationItems":[{"id":704,"uris":["http://zotero.org/users/3583561/items/MDGVUG48"],"itemData":{"id":704,"type":"article-journal","abstract":"BACKGROUND: MicroRNAs (miRNAs) are non-coding small RNAs, involved in post-transcriptional regulation of many target genes.\nMETHODS: Five miRNAs that have been consistently found deregulated in PCa (miR-21, miR-141, miR-214, miR-375, and let-7c) were analyzed in urinary pellets from 60 prostate cancer (PCa) patients and 10 healthy subjects by qRT-PCR. Besides, urinary exosomes were isolated by differential centrifugation and analyzed for those miRNAs.\nRESULTS: Significant upregulation of miR-21, miR-141, and miR-375 was found comparing PCa patients with healthy subjects in urinary pellets, while miR-214 was found significantly downregulated. Regarding urinary exosomes, miR-21 and miR-375 were also significantly upregulated in PCa but no differences were found for miR-141. Significant differences were found for let-7c in PCa in urinary exosomes while no differences were observed in urinary pellets. A panel combining miR-21 and miR-375 is suggested as the best combination to distinguish PCa patients and healthy subjects, with an AUC of 0.872. Furthermore, the association of miRNAs with clinicopathological characteristics was investigated. MiR-141 resulted significantly correlated with Gleason score in urinary pellets and let-7c with clinical stage in urinary exosomes. Additionally, miR-21, miR-141, and miR-214 were found significantly deregulated in intermediate/high-risk PCa versus low-risk/healthy subjects in urinary pellets. Significant differences between both groups were found in urinary exosomes for miR-21, miR-375, and let-7c.\nCONCLUSIONS: These findings suggest that the analysis of miRNAs-especially miRNA-21 and miR-375- in urine could be useful as biomarkers in PCa. Prostate 77: 573-583, 2017. © 2016 Wiley Periodicals, Inc.","container-title":"The Prostate","DOI":"10.1002/pros.23295","ISSN":"1097-0045","issue":"6","journalAbbreviation":"Prostate","language":"eng","note":"PMID: 27990656","page":"573-583","source":"PubMed","title":"Exosomal and Non-Exosomal Urinary miRNAs in Prostate Cancer Detection and Prognosis","volume":"77","author":[{"family":"Foj","given":"Laura"},{"family":"Ferrer","given":"Ferran"},{"family":"Serra","given":"Marta"},{"family":"Arévalo","given":"Antonio"},{"family":"Gavagnach","given":"Montserrat"},{"family":"Giménez","given":"Nuria"},{"family":"Filella","given":"Xavier"}],"issued":{"date-parts":[["2017",5]]}}}],"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Foj et al., 2017</w:t>
            </w:r>
            <w:r w:rsidRPr="00E84D7D">
              <w:rPr>
                <w:rFonts w:ascii="Arial" w:hAnsi="Arial" w:cs="Arial"/>
                <w:color w:val="000000"/>
                <w:lang w:eastAsia="fr-FR"/>
              </w:rPr>
              <w:fldChar w:fldCharType="end"/>
            </w:r>
          </w:p>
        </w:tc>
        <w:tc>
          <w:tcPr>
            <w:tcW w:w="1084" w:type="dxa"/>
            <w:tcBorders>
              <w:top w:val="nil"/>
              <w:bottom w:val="nil"/>
            </w:tcBorders>
            <w:noWrap/>
          </w:tcPr>
          <w:p w14:paraId="1E338192"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Spain</w:t>
            </w:r>
          </w:p>
        </w:tc>
        <w:tc>
          <w:tcPr>
            <w:tcW w:w="927" w:type="dxa"/>
            <w:tcBorders>
              <w:top w:val="nil"/>
              <w:bottom w:val="nil"/>
            </w:tcBorders>
          </w:tcPr>
          <w:p w14:paraId="38FE81ED"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HP</w:t>
            </w:r>
          </w:p>
        </w:tc>
        <w:tc>
          <w:tcPr>
            <w:tcW w:w="695" w:type="dxa"/>
            <w:tcBorders>
              <w:top w:val="nil"/>
              <w:bottom w:val="nil"/>
            </w:tcBorders>
            <w:noWrap/>
          </w:tcPr>
          <w:p w14:paraId="16CB2A4E"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60</w:t>
            </w:r>
          </w:p>
        </w:tc>
        <w:tc>
          <w:tcPr>
            <w:tcW w:w="927" w:type="dxa"/>
            <w:tcBorders>
              <w:top w:val="nil"/>
              <w:bottom w:val="nil"/>
            </w:tcBorders>
            <w:noWrap/>
          </w:tcPr>
          <w:p w14:paraId="0B22B793"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10</w:t>
            </w:r>
          </w:p>
        </w:tc>
        <w:tc>
          <w:tcPr>
            <w:tcW w:w="1361" w:type="dxa"/>
            <w:tcBorders>
              <w:top w:val="nil"/>
              <w:bottom w:val="nil"/>
            </w:tcBorders>
            <w:noWrap/>
          </w:tcPr>
          <w:p w14:paraId="4DE92F95"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Urine (exosomes)</w:t>
            </w:r>
          </w:p>
        </w:tc>
        <w:tc>
          <w:tcPr>
            <w:tcW w:w="1172" w:type="dxa"/>
            <w:tcBorders>
              <w:top w:val="nil"/>
              <w:bottom w:val="nil"/>
            </w:tcBorders>
          </w:tcPr>
          <w:p w14:paraId="05D3554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177B38B9"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MiR-21</w:t>
            </w:r>
          </w:p>
        </w:tc>
        <w:tc>
          <w:tcPr>
            <w:tcW w:w="717" w:type="dxa"/>
            <w:tcBorders>
              <w:top w:val="nil"/>
              <w:bottom w:val="nil"/>
            </w:tcBorders>
            <w:noWrap/>
          </w:tcPr>
          <w:p w14:paraId="6D3BBFF6"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717" w:type="dxa"/>
            <w:tcBorders>
              <w:top w:val="nil"/>
              <w:bottom w:val="nil"/>
            </w:tcBorders>
            <w:noWrap/>
          </w:tcPr>
          <w:p w14:paraId="28402765"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550" w:type="dxa"/>
            <w:tcBorders>
              <w:top w:val="nil"/>
              <w:bottom w:val="nil"/>
            </w:tcBorders>
            <w:noWrap/>
          </w:tcPr>
          <w:p w14:paraId="40341E3D"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72" w:type="dxa"/>
            <w:tcBorders>
              <w:top w:val="nil"/>
              <w:bottom w:val="nil"/>
            </w:tcBorders>
            <w:noWrap/>
          </w:tcPr>
          <w:p w14:paraId="2A78EE1E"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83" w:type="dxa"/>
            <w:tcBorders>
              <w:top w:val="nil"/>
              <w:bottom w:val="nil"/>
            </w:tcBorders>
            <w:noWrap/>
          </w:tcPr>
          <w:p w14:paraId="7C53B436"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83" w:type="dxa"/>
            <w:tcBorders>
              <w:top w:val="nil"/>
              <w:bottom w:val="nil"/>
            </w:tcBorders>
            <w:noWrap/>
          </w:tcPr>
          <w:p w14:paraId="3235681D"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650" w:type="dxa"/>
            <w:tcBorders>
              <w:top w:val="nil"/>
              <w:bottom w:val="nil"/>
            </w:tcBorders>
          </w:tcPr>
          <w:p w14:paraId="45E7FAF9"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0.71</w:t>
            </w:r>
          </w:p>
        </w:tc>
      </w:tr>
      <w:tr w:rsidR="00E84D7D" w:rsidRPr="00F21EDD" w14:paraId="56DE37E9"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1CA45160" w14:textId="705468C3"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{"citationID":"aubp7qnugr","properties":{"formattedCitation":"\\uldash{(Stuopelyt\\uc0\\u279{} et al., 2016)}","plainCitation":"(Stuopelytė et al., 2016)","dontUpdate":true,"noteIndex":0},"citationItems":[{"id":77,"uris":["http://zotero.org/users/3583561/items/QPFBX3X4"],"itemData":{"id":77,"type":"article-journal","abstract":"BACKGROUND AND AIM: Prostate cancer (PCa) is the second most prevalent oncologic disease among men worldwide. Expression of various transcripts, including miRNAs, is markedly deregulated in cancerous prostate tissue. This study aimed at identifying a PCa-specific expression profile of miRNAs for subsequent use in noninvasive diagnostics.\nMATERIALS AND METHODS: MiRNA expression was profiled in 13 PCa tissues using human miRNA microarrays. Highly expressed miRNAs were selected for the analysis in urine of patients with PCa (N=143) and benign prostate hyperplasia (BPH; N=23) by means of real time PCR, while miRNAs showing the expression differences in relation to clinical variables were further analyzed in 52 PCa and 12 noncancerous prostate tissues (NPT) on TaqMan Low Density Arrays (TLDA).\nRESULTS: Analysis of miRNA expression in prostate tissue linked miR-95 to aggressive form of PCa. This miRNA was up-regulated in high grade (P=0.041), the TMPRSS2-ERG fusion-positive tumors (P=0.026), and in patients with subsequently developed biochemical recurrence (BCR; P=0.054) after radical prostatectomy. MiRNAs highly expressed in PCa tissues were also detectable in urine from PCa patients. Moreover, the urinary levels of miR-21 had significant discriminatory power (P=0.010) to separate PCa patients from BPH, while the combined analysis of urinary miR-19a and miR-19b was prognostic for BCR. In PCa, the diagnostic potential of urinary miRNA panel (miR-21, miR-19a, and miR-19b) was higher than that of the PSA test (AUC=0.738 vs. AUC=0.514).\nCONCLUSIONS: Measurement of urinary levels of PCa-specific miRNAs could assist in more specific detection of PCa and prediction of BCR.","container-title":"Medicina (Kaunas, Lithuania)","DOI":"10.1016/j.medici.2016.02.007","ISSN":"1648-9144","issue":"2","journalAbbreviation":"Medicina (Kaunas)","language":"eng","note":"PMID: 27170485","page":"116-124","source":"PubMed","title":"Detection of miRNAs in urine of prostate cancer patients","volume":"52","author":[{"family":"Stuopelytė","given":"Kristina"},{"family":"Daniūnaitė","given":"Kristina"},{"family":"Jankevičius","given":"Feliksas"},{"family":"Jarmalaitė","given":"Sonata"}],"issued":{"date-parts":[["2016"]]}}}],"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Stuopelytė et al., 2016</w:t>
            </w:r>
            <w:r w:rsidRPr="00E84D7D">
              <w:rPr>
                <w:rFonts w:ascii="Arial" w:hAnsi="Arial" w:cs="Arial"/>
                <w:color w:val="000000"/>
                <w:lang w:eastAsia="fr-FR"/>
              </w:rPr>
              <w:fldChar w:fldCharType="end"/>
            </w:r>
          </w:p>
        </w:tc>
        <w:tc>
          <w:tcPr>
            <w:tcW w:w="1084" w:type="dxa"/>
            <w:tcBorders>
              <w:top w:val="nil"/>
              <w:bottom w:val="nil"/>
            </w:tcBorders>
            <w:noWrap/>
          </w:tcPr>
          <w:p w14:paraId="397DF1E5"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Lithuania</w:t>
            </w:r>
          </w:p>
        </w:tc>
        <w:tc>
          <w:tcPr>
            <w:tcW w:w="927" w:type="dxa"/>
            <w:tcBorders>
              <w:top w:val="nil"/>
              <w:bottom w:val="nil"/>
            </w:tcBorders>
          </w:tcPr>
          <w:p w14:paraId="2FB5C106"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BPH</w:t>
            </w:r>
          </w:p>
        </w:tc>
        <w:tc>
          <w:tcPr>
            <w:tcW w:w="695" w:type="dxa"/>
            <w:tcBorders>
              <w:top w:val="nil"/>
              <w:bottom w:val="nil"/>
            </w:tcBorders>
            <w:noWrap/>
          </w:tcPr>
          <w:p w14:paraId="6ABACD0F"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143</w:t>
            </w:r>
          </w:p>
        </w:tc>
        <w:tc>
          <w:tcPr>
            <w:tcW w:w="927" w:type="dxa"/>
            <w:tcBorders>
              <w:top w:val="nil"/>
              <w:bottom w:val="nil"/>
            </w:tcBorders>
            <w:noWrap/>
          </w:tcPr>
          <w:p w14:paraId="1B59960A"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23</w:t>
            </w:r>
          </w:p>
        </w:tc>
        <w:tc>
          <w:tcPr>
            <w:tcW w:w="1361" w:type="dxa"/>
            <w:tcBorders>
              <w:top w:val="nil"/>
              <w:bottom w:val="nil"/>
            </w:tcBorders>
            <w:noWrap/>
          </w:tcPr>
          <w:p w14:paraId="56DDAC16"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Urine</w:t>
            </w:r>
          </w:p>
        </w:tc>
        <w:tc>
          <w:tcPr>
            <w:tcW w:w="1172" w:type="dxa"/>
            <w:tcBorders>
              <w:top w:val="nil"/>
              <w:bottom w:val="nil"/>
            </w:tcBorders>
          </w:tcPr>
          <w:p w14:paraId="111FB983"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091C913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miR-21</w:t>
            </w:r>
          </w:p>
        </w:tc>
        <w:tc>
          <w:tcPr>
            <w:tcW w:w="717" w:type="dxa"/>
            <w:tcBorders>
              <w:top w:val="nil"/>
              <w:bottom w:val="nil"/>
            </w:tcBorders>
            <w:noWrap/>
          </w:tcPr>
          <w:p w14:paraId="27FA939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47.83</w:t>
            </w:r>
          </w:p>
        </w:tc>
        <w:tc>
          <w:tcPr>
            <w:tcW w:w="717" w:type="dxa"/>
            <w:tcBorders>
              <w:top w:val="nil"/>
              <w:bottom w:val="nil"/>
            </w:tcBorders>
            <w:noWrap/>
          </w:tcPr>
          <w:p w14:paraId="52FBCCD5"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76.22</w:t>
            </w:r>
          </w:p>
        </w:tc>
        <w:tc>
          <w:tcPr>
            <w:tcW w:w="550" w:type="dxa"/>
            <w:tcBorders>
              <w:top w:val="nil"/>
              <w:bottom w:val="nil"/>
            </w:tcBorders>
            <w:noWrap/>
          </w:tcPr>
          <w:p w14:paraId="20EDF932"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68</w:t>
            </w:r>
          </w:p>
        </w:tc>
        <w:tc>
          <w:tcPr>
            <w:tcW w:w="472" w:type="dxa"/>
            <w:tcBorders>
              <w:top w:val="nil"/>
              <w:bottom w:val="nil"/>
            </w:tcBorders>
            <w:noWrap/>
          </w:tcPr>
          <w:p w14:paraId="647DC9A1"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5</w:t>
            </w:r>
          </w:p>
        </w:tc>
        <w:tc>
          <w:tcPr>
            <w:tcW w:w="483" w:type="dxa"/>
            <w:tcBorders>
              <w:top w:val="nil"/>
              <w:bottom w:val="nil"/>
            </w:tcBorders>
            <w:noWrap/>
          </w:tcPr>
          <w:p w14:paraId="48AD16DB"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18</w:t>
            </w:r>
          </w:p>
        </w:tc>
        <w:tc>
          <w:tcPr>
            <w:tcW w:w="483" w:type="dxa"/>
            <w:tcBorders>
              <w:top w:val="nil"/>
              <w:bottom w:val="nil"/>
            </w:tcBorders>
            <w:noWrap/>
          </w:tcPr>
          <w:p w14:paraId="3352A295"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75</w:t>
            </w:r>
          </w:p>
        </w:tc>
        <w:tc>
          <w:tcPr>
            <w:tcW w:w="650" w:type="dxa"/>
            <w:tcBorders>
              <w:top w:val="nil"/>
              <w:bottom w:val="nil"/>
            </w:tcBorders>
          </w:tcPr>
          <w:p w14:paraId="0433EB8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0.63</w:t>
            </w:r>
          </w:p>
        </w:tc>
      </w:tr>
      <w:tr w:rsidR="00E84D7D" w:rsidRPr="00F21EDD" w14:paraId="0B7E600B"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2613B824" w14:textId="275BC471" w:rsidR="00E84D7D" w:rsidRPr="00E84D7D" w:rsidRDefault="00E84D7D" w:rsidP="0000574D">
            <w:pPr>
              <w:spacing w:before="240"/>
              <w:jc w:val="both"/>
              <w:rPr>
                <w:rFonts w:ascii="Arial" w:eastAsia="Times New Roman" w:hAnsi="Arial" w:cs="Arial"/>
                <w:color w:val="000000"/>
                <w:sz w:val="20"/>
                <w:szCs w:val="20"/>
                <w:lang w:val="en-US"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{"citationID":"a1edhhp433j","properties":{"formattedCitation":"\\uldash{(Yang et al., 2016)}","plainCitation":"(Yang et al., 2016)","dontUpdate":true,"noteIndex":0},"citationItems":[{"id":354,"uris":["http://zotero.org/users/3583561/items/L25E4I8R","http://zotero.org/users/3583561/items/25T8E7SX"],"itemData":{"id":354,"type":"article-journal","abstract":"OBJECTIVE: To evaluate the effects of microRNA-21 (miR-21) in peripheral blood mononuclear cells (PBMC) in the diagnosis and prognosis of prostate cancer (PCa).\nMETHODS: Proved by pathologic biopsy, 92 patients diagnosed with PCa and also underwent resection operation and 85 patients with benign prostatic hyperplasia (BPH) were selected in this study, as well as 97 healthy volunteers were chosen as the control group. PBMC were extracted to examine the relative expression of miR-21 by real time reverse transcriptase-polymerase chain reaction (RT-PCR). The relative operating characteristic (ROC) curves were drew to analyze the diagnosis value of PCa. The survival function curves were made by Kaplan-Meier method to show the miR-21 expression levels of PCa patients. The Log-rank test was adopted to compare the differences among the different groups. The Cox proportional hazard risk regression analysis was used to screen the independent factors affected the PCa patients.\nRESULTS: The expression levels of miR-21 in PCa group were increased compared to BPH and control group (P &lt; 0.05). The expression of miR-21 was significantly correlated with the Gleason score, clinical stages, bone metastasis and tumor recurrence (all P &lt; 0.05). ROC curves demonstrated that the area under the curve of PCa and BPH distinguished by the miR-21 were 0.974 and 95% confidence intervals (95% CI) were 0.956</w:instrText>
            </w:r>
            <w:r w:rsidRPr="00E84D7D">
              <w:rPr>
                <w:rFonts w:ascii="Cambria Math" w:eastAsia="Times New Roman" w:hAnsi="Cambria Math" w:cs="Cambria Math"/>
                <w:color w:val="000000"/>
                <w:sz w:val="20"/>
                <w:szCs w:val="20"/>
                <w:lang w:eastAsia="fr-FR"/>
              </w:rPr>
              <w:instrText>∼</w:instrText>
            </w:r>
            <w:r w:rsidRPr="00E84D7D">
              <w:rPr>
                <w:rFonts w:ascii="Arial" w:eastAsia="Times New Roman" w:hAnsi="Arial" w:cs="Arial"/>
                <w:color w:val="000000"/>
                <w:sz w:val="20"/>
                <w:szCs w:val="20"/>
                <w:lang w:eastAsia="fr-FR"/>
              </w:rPr>
              <w:instrText xml:space="preserve"> 0.993. The sensitivity and specificity were 93.5% and 92.9%. ROC curves demonstrated that the area und</w:instrText>
            </w:r>
            <w:r w:rsidRPr="00E84D7D">
              <w:rPr>
                <w:rFonts w:ascii="Arial" w:eastAsia="Times New Roman" w:hAnsi="Arial" w:cs="Arial"/>
                <w:color w:val="000000"/>
                <w:sz w:val="20"/>
                <w:szCs w:val="20"/>
                <w:lang w:val="en-US" w:eastAsia="fr-FR"/>
              </w:rPr>
              <w:instrText>er the curve of PCa and control group distinguished by the miR-21 were 0.984 and 95% CI were 0.972</w:instrText>
            </w:r>
            <w:r w:rsidRPr="00E84D7D">
              <w:rPr>
                <w:rFonts w:ascii="Cambria Math" w:eastAsia="Times New Roman" w:hAnsi="Cambria Math" w:cs="Cambria Math"/>
                <w:color w:val="000000"/>
                <w:sz w:val="20"/>
                <w:szCs w:val="20"/>
                <w:lang w:val="en-US" w:eastAsia="fr-FR"/>
              </w:rPr>
              <w:instrText>∼</w:instrText>
            </w:r>
            <w:r w:rsidRPr="00E84D7D">
              <w:rPr>
                <w:rFonts w:ascii="Arial" w:eastAsia="Times New Roman" w:hAnsi="Arial" w:cs="Arial"/>
                <w:color w:val="000000"/>
                <w:sz w:val="20"/>
                <w:szCs w:val="20"/>
                <w:lang w:val="en-US" w:eastAsia="fr-FR"/>
              </w:rPr>
              <w:instrText xml:space="preserve"> 0.997. The sensitivity and specificity were 94.6% and 92.8%. The results of Kaplan-Meier Method demonstrated that the miR-21 expression levels were related to the prognosis of PCa (all P &lt; 0.05). The results of the COX analysis suggested that the miR-21 expression level, tumor recurrence and bone metastasis could be the independent factors affected the prognosis of PCa patients (all P &lt; 0.05).\nCONCLUSION: miR-21 is highly expressed in the PCa patients, which could be the molecule biomarker of diagnosis and prognosis of PCa.","container-title":"Cancer Biomarkers: Section A of Disease Markers","DOI":"10.3233/CBM-160634","ISSN":"1875-8592","issue":"2","journalAbbreviation":"Cancer Biomark","language":"eng","note":"PMID: 27434290","page":"223-230","source":"PubMed","title":"MicroRNA-21 in peripheral blood mononuclear cells as a novel biomarker in the diagnosis and prognosis of prostate cancer","volume":"17","author":[{"family":"Yang","given":"Bing"},{"family":"Liu","given":"Zheng"},{"family":"Ning","given":"Hao"},{"family":"Zhang","given":"Kai"},{"family":"Pan","given":"Dongliang"},{"family":"Ding","given":"Kejia"},{"family":"Huang","given":"Wei"},{"family":"Kang","given":"Xin-Li"},{"family":"Wang","given":"Yang"},{"family":"Chen","given":"Xiang"}],"issued":{"date-parts":[["2016",7,8]]}}}],"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lang w:val="en-US"/>
              </w:rPr>
              <w:t>Yang et al., 2016</w:t>
            </w:r>
            <w:r w:rsidRPr="00E84D7D">
              <w:rPr>
                <w:rFonts w:ascii="Arial" w:hAnsi="Arial" w:cs="Arial"/>
                <w:color w:val="000000"/>
                <w:lang w:eastAsia="fr-FR"/>
              </w:rPr>
              <w:fldChar w:fldCharType="end"/>
            </w:r>
          </w:p>
        </w:tc>
        <w:tc>
          <w:tcPr>
            <w:tcW w:w="1084" w:type="dxa"/>
            <w:tcBorders>
              <w:top w:val="nil"/>
              <w:bottom w:val="nil"/>
            </w:tcBorders>
            <w:noWrap/>
          </w:tcPr>
          <w:p w14:paraId="6243E7F2"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China</w:t>
            </w:r>
          </w:p>
        </w:tc>
        <w:tc>
          <w:tcPr>
            <w:tcW w:w="927" w:type="dxa"/>
            <w:tcBorders>
              <w:top w:val="nil"/>
              <w:bottom w:val="nil"/>
            </w:tcBorders>
          </w:tcPr>
          <w:p w14:paraId="62262526"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BPH</w:t>
            </w:r>
          </w:p>
        </w:tc>
        <w:tc>
          <w:tcPr>
            <w:tcW w:w="695" w:type="dxa"/>
            <w:tcBorders>
              <w:top w:val="nil"/>
              <w:bottom w:val="nil"/>
            </w:tcBorders>
            <w:noWrap/>
          </w:tcPr>
          <w:p w14:paraId="6C6C14C5"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92</w:t>
            </w:r>
          </w:p>
        </w:tc>
        <w:tc>
          <w:tcPr>
            <w:tcW w:w="927" w:type="dxa"/>
            <w:tcBorders>
              <w:top w:val="nil"/>
              <w:bottom w:val="nil"/>
            </w:tcBorders>
            <w:noWrap/>
          </w:tcPr>
          <w:p w14:paraId="0965ADF9"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85</w:t>
            </w:r>
          </w:p>
        </w:tc>
        <w:tc>
          <w:tcPr>
            <w:tcW w:w="1361" w:type="dxa"/>
            <w:tcBorders>
              <w:top w:val="nil"/>
              <w:bottom w:val="nil"/>
            </w:tcBorders>
            <w:noWrap/>
          </w:tcPr>
          <w:p w14:paraId="1CCFEC38"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Whole blood</w:t>
            </w:r>
          </w:p>
        </w:tc>
        <w:tc>
          <w:tcPr>
            <w:tcW w:w="1172" w:type="dxa"/>
            <w:tcBorders>
              <w:top w:val="nil"/>
              <w:bottom w:val="nil"/>
            </w:tcBorders>
          </w:tcPr>
          <w:p w14:paraId="6FA5F41C"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4C92D939"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miR-21</w:t>
            </w:r>
          </w:p>
        </w:tc>
        <w:tc>
          <w:tcPr>
            <w:tcW w:w="717" w:type="dxa"/>
            <w:tcBorders>
              <w:top w:val="nil"/>
              <w:bottom w:val="nil"/>
            </w:tcBorders>
            <w:noWrap/>
          </w:tcPr>
          <w:p w14:paraId="38A42DB5"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93.50</w:t>
            </w:r>
          </w:p>
        </w:tc>
        <w:tc>
          <w:tcPr>
            <w:tcW w:w="717" w:type="dxa"/>
            <w:tcBorders>
              <w:top w:val="nil"/>
              <w:bottom w:val="nil"/>
            </w:tcBorders>
            <w:noWrap/>
          </w:tcPr>
          <w:p w14:paraId="0D7A55F8"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92.90</w:t>
            </w:r>
          </w:p>
        </w:tc>
        <w:tc>
          <w:tcPr>
            <w:tcW w:w="550" w:type="dxa"/>
            <w:tcBorders>
              <w:top w:val="nil"/>
              <w:bottom w:val="nil"/>
            </w:tcBorders>
            <w:noWrap/>
          </w:tcPr>
          <w:p w14:paraId="2940BD13"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86</w:t>
            </w:r>
          </w:p>
        </w:tc>
        <w:tc>
          <w:tcPr>
            <w:tcW w:w="472" w:type="dxa"/>
            <w:tcBorders>
              <w:top w:val="nil"/>
              <w:bottom w:val="nil"/>
            </w:tcBorders>
            <w:noWrap/>
          </w:tcPr>
          <w:p w14:paraId="33A23B4C"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6</w:t>
            </w:r>
          </w:p>
        </w:tc>
        <w:tc>
          <w:tcPr>
            <w:tcW w:w="483" w:type="dxa"/>
            <w:tcBorders>
              <w:top w:val="nil"/>
              <w:bottom w:val="nil"/>
            </w:tcBorders>
            <w:noWrap/>
          </w:tcPr>
          <w:p w14:paraId="71C9B1B1"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79</w:t>
            </w:r>
          </w:p>
        </w:tc>
        <w:tc>
          <w:tcPr>
            <w:tcW w:w="483" w:type="dxa"/>
            <w:tcBorders>
              <w:top w:val="nil"/>
              <w:bottom w:val="nil"/>
            </w:tcBorders>
            <w:noWrap/>
          </w:tcPr>
          <w:p w14:paraId="61B2C065"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6</w:t>
            </w:r>
          </w:p>
        </w:tc>
        <w:tc>
          <w:tcPr>
            <w:tcW w:w="650" w:type="dxa"/>
            <w:tcBorders>
              <w:top w:val="nil"/>
              <w:bottom w:val="nil"/>
            </w:tcBorders>
          </w:tcPr>
          <w:p w14:paraId="218BCE8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0.97</w:t>
            </w:r>
          </w:p>
        </w:tc>
      </w:tr>
      <w:tr w:rsidR="00E84D7D" w:rsidRPr="00F21EDD" w14:paraId="637C95F9"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0A37416B" w14:textId="3EF4E679" w:rsidR="00E84D7D" w:rsidRPr="00E84D7D" w:rsidRDefault="00E84D7D" w:rsidP="0000574D">
            <w:pPr>
              <w:spacing w:before="240"/>
              <w:jc w:val="both"/>
              <w:rPr>
                <w:rFonts w:ascii="Arial" w:eastAsia="Times New Roman" w:hAnsi="Arial" w:cs="Arial"/>
                <w:color w:val="000000"/>
                <w:sz w:val="20"/>
                <w:szCs w:val="20"/>
                <w:lang w:val="en-US"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val="en-US" w:eastAsia="fr-FR"/>
              </w:rPr>
              <w:instrText xml:space="preserve"> ADDIN ZOTERO_ITEM CSL_CITATION {"citationID":"a1e6ug9gekp","properties":{"formattedCitation":"\\uldash{(Yang et al., 2016)}","plainCitation":"(Yang et al., 2016)","dontUpdate":true,"noteIndex":0},"citationItems":[{"id":354,"uris":["http://zotero.org/users/3583561/items/L25E4I8R","http://zotero.org/users/3583561/items/25T8E7SX"],"itemData":{"id":354,"type":"article-journal","abstract":"OBJECTIVE: To evaluate the effects of microRNA-21 (miR-21) in peripheral blood mononuclear cells (PBMC) in the diagnosis and prognosis of prostate cancer (PCa).\nMETHODS: Proved by pathologic biopsy, 92 patients diagnosed with PCa and also underwent resection operation and 85 patients with benign prostatic hyperplasia (BPH) were selected in this study, as well as 97 healthy volunteers were chosen as the control group. PBMC were extracted to examine the relative expression of miR-21 by real time reverse transcriptase-polymerase chain reaction (RT-PCR). The relative operating characteristic (ROC) curves were drew to analyze the diagnosis value of PCa. The survival function curves were made by Kaplan-Meier method to show the miR-21 expression levels of PCa patients. The Log-rank test was adopted to compare the differences among the different groups. The Cox proportional hazard risk regression analysis was used to screen the independent factors affected the PCa patients.\nRESULTS: The expression levels of miR-21 in PCa group were increased compared to BPH and control group (P &lt; 0.05). The expression of miR-21 was significantly correlated with the Gleason score, clinical stages, bone metastasis and tumor recurrence (all P &lt; 0.05). ROC curves demonstrated that the area under the curve of PCa and BPH distinguished by the miR-21 were 0.974 and 95% confidence intervals (95% CI) were 0.956</w:instrText>
            </w:r>
            <w:r w:rsidRPr="00E84D7D">
              <w:rPr>
                <w:rFonts w:ascii="Cambria Math" w:eastAsia="Times New Roman" w:hAnsi="Cambria Math" w:cs="Cambria Math"/>
                <w:color w:val="000000"/>
                <w:sz w:val="20"/>
                <w:szCs w:val="20"/>
                <w:lang w:val="en-US" w:eastAsia="fr-FR"/>
              </w:rPr>
              <w:instrText>∼</w:instrText>
            </w:r>
            <w:r w:rsidRPr="00E84D7D">
              <w:rPr>
                <w:rFonts w:ascii="Arial" w:eastAsia="Times New Roman" w:hAnsi="Arial" w:cs="Arial"/>
                <w:color w:val="000000"/>
                <w:sz w:val="20"/>
                <w:szCs w:val="20"/>
                <w:lang w:val="en-US" w:eastAsia="fr-FR"/>
              </w:rPr>
              <w:instrText xml:space="preserve"> 0.993. The sensitivity and specificity were 93.5% and 92.9%. ROC curves demonstrated that the area under the curve of PCa and control group distinguished by the miR-21 were 0.984 and 95% CI were 0.972</w:instrText>
            </w:r>
            <w:r w:rsidRPr="00E84D7D">
              <w:rPr>
                <w:rFonts w:ascii="Cambria Math" w:eastAsia="Times New Roman" w:hAnsi="Cambria Math" w:cs="Cambria Math"/>
                <w:color w:val="000000"/>
                <w:sz w:val="20"/>
                <w:szCs w:val="20"/>
                <w:lang w:val="en-US" w:eastAsia="fr-FR"/>
              </w:rPr>
              <w:instrText>∼</w:instrText>
            </w:r>
            <w:r w:rsidRPr="00E84D7D">
              <w:rPr>
                <w:rFonts w:ascii="Arial" w:eastAsia="Times New Roman" w:hAnsi="Arial" w:cs="Arial"/>
                <w:color w:val="000000"/>
                <w:sz w:val="20"/>
                <w:szCs w:val="20"/>
                <w:lang w:val="en-US" w:eastAsia="fr-FR"/>
              </w:rPr>
              <w:instrText xml:space="preserve"> 0.997. The sensitivity and specificity were 94.6% and 92.8%. The results of Kaplan-Meier Method demonstrated that the miR-21 expression levels were related to the prognosis of PCa (all P &lt; 0.05). The results of the COX analysis suggested that the miR-21 expression level, tumor recurrence and bone metastasis could be the independent factors affected the prognosis of PCa patients (all P &lt; 0.05).\nCONCLUSION: miR-21 is highly expressed in the PCa patients, which could be the molecule biomarker of diagnosis and prognosis of PCa.","container-title":"Cancer Biomarkers: Section A of Disease Markers","DOI":"10.3233/CBM-160634","ISSN":"1875-8592","issue":"2","journalAbbreviation":"Cancer Biomark","language":"eng","note":"PMID: 27434290","page":"223-230","source":"PubMed","title":"MicroRNA-21 in peripheral blood mononuclear cells as a novel biomarker in the diagnosis and prognosis of prostate cancer","volume":"17","author":[{"family":"Yang","given":"Bing"},{"family":"Liu","given":"Zheng"},{"family":"Ning","given":"Hao"},{"family":"Zhang","given":"Kai"},{"family":"Pan","given":"Dongliang"},{"family":"Ding","given":"Kejia"},{"family":"Huang","given":"Wei"},{"family":"Kang","given":"Xin-Li"},{"family":"Wang","given":"Yang"},{"family":"Chen","given":"Xiang"}],"issued":{"date-parts":[["2016",7,8]]}}}],"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lang w:val="en-US"/>
              </w:rPr>
              <w:t>Yang et al., 2016</w:t>
            </w:r>
            <w:r w:rsidRPr="00E84D7D">
              <w:rPr>
                <w:rFonts w:ascii="Arial" w:hAnsi="Arial" w:cs="Arial"/>
                <w:color w:val="000000"/>
                <w:lang w:eastAsia="fr-FR"/>
              </w:rPr>
              <w:fldChar w:fldCharType="end"/>
            </w:r>
            <w:r w:rsidRPr="00E84D7D">
              <w:rPr>
                <w:rFonts w:ascii="Arial" w:eastAsia="Times New Roman" w:hAnsi="Arial" w:cs="Arial"/>
                <w:color w:val="000000"/>
                <w:sz w:val="20"/>
                <w:szCs w:val="20"/>
                <w:lang w:val="en-US" w:eastAsia="fr-FR"/>
              </w:rPr>
              <w:t xml:space="preserve"> </w:t>
            </w:r>
          </w:p>
        </w:tc>
        <w:tc>
          <w:tcPr>
            <w:tcW w:w="1084" w:type="dxa"/>
            <w:tcBorders>
              <w:top w:val="nil"/>
              <w:bottom w:val="nil"/>
            </w:tcBorders>
            <w:noWrap/>
          </w:tcPr>
          <w:p w14:paraId="080DDA4B"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China</w:t>
            </w:r>
          </w:p>
        </w:tc>
        <w:tc>
          <w:tcPr>
            <w:tcW w:w="927" w:type="dxa"/>
            <w:tcBorders>
              <w:top w:val="nil"/>
              <w:bottom w:val="nil"/>
            </w:tcBorders>
          </w:tcPr>
          <w:p w14:paraId="167C1876"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HP</w:t>
            </w:r>
          </w:p>
        </w:tc>
        <w:tc>
          <w:tcPr>
            <w:tcW w:w="695" w:type="dxa"/>
            <w:tcBorders>
              <w:top w:val="nil"/>
              <w:bottom w:val="nil"/>
            </w:tcBorders>
            <w:noWrap/>
          </w:tcPr>
          <w:p w14:paraId="31C31699"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92</w:t>
            </w:r>
          </w:p>
        </w:tc>
        <w:tc>
          <w:tcPr>
            <w:tcW w:w="927" w:type="dxa"/>
            <w:tcBorders>
              <w:top w:val="nil"/>
              <w:bottom w:val="nil"/>
            </w:tcBorders>
            <w:noWrap/>
          </w:tcPr>
          <w:p w14:paraId="2446BA1C"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97</w:t>
            </w:r>
          </w:p>
        </w:tc>
        <w:tc>
          <w:tcPr>
            <w:tcW w:w="1361" w:type="dxa"/>
            <w:tcBorders>
              <w:top w:val="nil"/>
              <w:bottom w:val="nil"/>
            </w:tcBorders>
            <w:noWrap/>
          </w:tcPr>
          <w:p w14:paraId="485E856F"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Whole blood</w:t>
            </w:r>
          </w:p>
        </w:tc>
        <w:tc>
          <w:tcPr>
            <w:tcW w:w="1172" w:type="dxa"/>
            <w:tcBorders>
              <w:top w:val="nil"/>
              <w:bottom w:val="nil"/>
            </w:tcBorders>
          </w:tcPr>
          <w:p w14:paraId="6D31D52E"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2BCC2818"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miR-21</w:t>
            </w:r>
          </w:p>
        </w:tc>
        <w:tc>
          <w:tcPr>
            <w:tcW w:w="717" w:type="dxa"/>
            <w:tcBorders>
              <w:top w:val="nil"/>
              <w:bottom w:val="nil"/>
            </w:tcBorders>
            <w:noWrap/>
          </w:tcPr>
          <w:p w14:paraId="522AE73A"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94.60</w:t>
            </w:r>
          </w:p>
        </w:tc>
        <w:tc>
          <w:tcPr>
            <w:tcW w:w="717" w:type="dxa"/>
            <w:tcBorders>
              <w:top w:val="nil"/>
              <w:bottom w:val="nil"/>
            </w:tcBorders>
            <w:noWrap/>
          </w:tcPr>
          <w:p w14:paraId="52F572FC"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92.80</w:t>
            </w:r>
          </w:p>
        </w:tc>
        <w:tc>
          <w:tcPr>
            <w:tcW w:w="550" w:type="dxa"/>
            <w:tcBorders>
              <w:top w:val="nil"/>
              <w:bottom w:val="nil"/>
            </w:tcBorders>
            <w:noWrap/>
          </w:tcPr>
          <w:p w14:paraId="2D49225D"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87</w:t>
            </w:r>
          </w:p>
        </w:tc>
        <w:tc>
          <w:tcPr>
            <w:tcW w:w="472" w:type="dxa"/>
            <w:tcBorders>
              <w:top w:val="nil"/>
              <w:bottom w:val="nil"/>
            </w:tcBorders>
            <w:noWrap/>
          </w:tcPr>
          <w:p w14:paraId="69B8041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w:t>
            </w:r>
          </w:p>
        </w:tc>
        <w:tc>
          <w:tcPr>
            <w:tcW w:w="483" w:type="dxa"/>
            <w:tcBorders>
              <w:top w:val="nil"/>
              <w:bottom w:val="nil"/>
            </w:tcBorders>
            <w:noWrap/>
          </w:tcPr>
          <w:p w14:paraId="5381593E"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90</w:t>
            </w:r>
          </w:p>
        </w:tc>
        <w:tc>
          <w:tcPr>
            <w:tcW w:w="483" w:type="dxa"/>
            <w:tcBorders>
              <w:top w:val="nil"/>
              <w:bottom w:val="nil"/>
            </w:tcBorders>
            <w:noWrap/>
          </w:tcPr>
          <w:p w14:paraId="24498188"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5</w:t>
            </w:r>
          </w:p>
        </w:tc>
        <w:tc>
          <w:tcPr>
            <w:tcW w:w="650" w:type="dxa"/>
            <w:tcBorders>
              <w:top w:val="nil"/>
              <w:bottom w:val="nil"/>
            </w:tcBorders>
          </w:tcPr>
          <w:p w14:paraId="32FB085D"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0.98</w:t>
            </w:r>
          </w:p>
        </w:tc>
      </w:tr>
      <w:tr w:rsidR="00E84D7D" w:rsidRPr="00F21EDD" w14:paraId="144D426E"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3D926885" w14:textId="158F3125" w:rsidR="00E84D7D" w:rsidRPr="00E84D7D" w:rsidRDefault="00E84D7D" w:rsidP="0000574D">
            <w:pPr>
              <w:spacing w:before="240"/>
              <w:jc w:val="both"/>
              <w:rPr>
                <w:rFonts w:ascii="Arial" w:eastAsia="Times New Roman" w:hAnsi="Arial" w:cs="Arial"/>
                <w:color w:val="000000"/>
                <w:sz w:val="20"/>
                <w:szCs w:val="20"/>
                <w:lang w:val="en-US"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val="en-US" w:eastAsia="fr-FR"/>
              </w:rPr>
              <w:instrText xml:space="preserve"> ADDIN ZOTERO_ITEM CSL_CITATION {"citationID":"a8jd0bqun4","properties":{"formattedCitation":"\\uldash{(Gao et al., 2016)}","plainCitation":"(Gao et al., 2016)","dontUpdate":true,"noteIndex":0},"citationItems":[{"id":694,"uris":["http://zotero.org/users/3583561/items/ATU2QLD2"],"itemData":{"id":694,"type":"article-journal","abstract":"To investigate the diagnostic potential of plasma miR-21 and miR-375 by comparing their levels in prostate cancer (PCa) patients to subjects without cancer in a Chinese population. The study population included 57 PCa patients and 28 benign prostatic hyperplasia (BPH) patients. The plasma levels of miR-21 and miR-375 were quantitated with Taqman based quantitative real-time polymerase chain reaction. In the BPH group, the median relative expression levels of miR-21 and miR-375 were 0.07 and 0.55, respectively; In the PCa group, the median values of miR-21 and miR-375 were 1.32 and 1.74, respectively. Both miR-21 (p=0.014) and miR-375 (p=0.005) plasma levels were significantly higher in PCa group than in BPH group. Using ROC analysis the AUC of miR-21 was 0.799, 95% CI between 0.690 and 0.908 (p=8×10-6); for miR-375, the AUC was 0.757, 95% CI between 0.640-0.874 (p=0.000126). The largest AUC (0.881) was obtained when the data of miR-21, miR-375 and PSA were combined, with a sensitivity of 87.7% and a specificity of 75%. The results of this study showed that circulating miR-21 and miR-375 can discriminate PCa patients from BPH controls at early stages. Combinations of the studied miRNAs and PSA remarkably increased specificity compared with PSA alone. The combination method has the potential to be used as a noninvasive diagnostic cocktail for PCa screening.","container-title":"Neoplasma","DOI":"10.4149/neo_2016_417","ISSN":"0028-2685","issue":"4","journalAbbreviation":"Neoplasma","language":"eng","note":"PMID: 27268927","page":"623-628","source":"PubMed","title":"Analysis of circulating miRNAs 21 and 375 as potential biomarkers for early diagnosis of prostate cancer","volume":"63","author":[{"family":"Gao","given":"Y."},{"family":"Guo","given":"Y."},{"family":"Wang","given":"Z."},{"family":"Dai","given":"Z."},{"family":"Xu","given":"Y."},{"family":"Zhang","given":"W."},{"family":"Liu","given":"Z."},{"family":"Li","given":"S."}],"issued":{"date-parts":[["2016"]]}}}],"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Gao et al., 2016</w:t>
            </w:r>
            <w:r w:rsidRPr="00E84D7D">
              <w:rPr>
                <w:rFonts w:ascii="Arial" w:hAnsi="Arial" w:cs="Arial"/>
                <w:color w:val="000000"/>
                <w:lang w:eastAsia="fr-FR"/>
              </w:rPr>
              <w:fldChar w:fldCharType="end"/>
            </w:r>
          </w:p>
        </w:tc>
        <w:tc>
          <w:tcPr>
            <w:tcW w:w="1084" w:type="dxa"/>
            <w:tcBorders>
              <w:top w:val="nil"/>
              <w:bottom w:val="nil"/>
            </w:tcBorders>
            <w:noWrap/>
          </w:tcPr>
          <w:p w14:paraId="584218E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China</w:t>
            </w:r>
          </w:p>
        </w:tc>
        <w:tc>
          <w:tcPr>
            <w:tcW w:w="927" w:type="dxa"/>
            <w:tcBorders>
              <w:top w:val="nil"/>
              <w:bottom w:val="nil"/>
            </w:tcBorders>
          </w:tcPr>
          <w:p w14:paraId="7AC24329"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BPH</w:t>
            </w:r>
          </w:p>
        </w:tc>
        <w:tc>
          <w:tcPr>
            <w:tcW w:w="695" w:type="dxa"/>
            <w:tcBorders>
              <w:top w:val="nil"/>
              <w:bottom w:val="nil"/>
            </w:tcBorders>
            <w:noWrap/>
          </w:tcPr>
          <w:p w14:paraId="099775A8"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57</w:t>
            </w:r>
          </w:p>
        </w:tc>
        <w:tc>
          <w:tcPr>
            <w:tcW w:w="927" w:type="dxa"/>
            <w:tcBorders>
              <w:top w:val="nil"/>
              <w:bottom w:val="nil"/>
            </w:tcBorders>
            <w:noWrap/>
          </w:tcPr>
          <w:p w14:paraId="128967F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28</w:t>
            </w:r>
          </w:p>
        </w:tc>
        <w:tc>
          <w:tcPr>
            <w:tcW w:w="1361" w:type="dxa"/>
            <w:tcBorders>
              <w:top w:val="nil"/>
              <w:bottom w:val="nil"/>
            </w:tcBorders>
            <w:noWrap/>
          </w:tcPr>
          <w:p w14:paraId="3C65BEC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Plasma</w:t>
            </w:r>
          </w:p>
        </w:tc>
        <w:tc>
          <w:tcPr>
            <w:tcW w:w="1172" w:type="dxa"/>
            <w:tcBorders>
              <w:top w:val="nil"/>
              <w:bottom w:val="nil"/>
            </w:tcBorders>
          </w:tcPr>
          <w:p w14:paraId="2654A88B"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18D2A49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miR-21</w:t>
            </w:r>
          </w:p>
        </w:tc>
        <w:tc>
          <w:tcPr>
            <w:tcW w:w="717" w:type="dxa"/>
            <w:tcBorders>
              <w:top w:val="nil"/>
              <w:bottom w:val="nil"/>
            </w:tcBorders>
            <w:noWrap/>
          </w:tcPr>
          <w:p w14:paraId="64009190"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87.70</w:t>
            </w:r>
          </w:p>
        </w:tc>
        <w:tc>
          <w:tcPr>
            <w:tcW w:w="717" w:type="dxa"/>
            <w:tcBorders>
              <w:top w:val="nil"/>
              <w:bottom w:val="nil"/>
            </w:tcBorders>
            <w:noWrap/>
          </w:tcPr>
          <w:p w14:paraId="04DD2C50"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75.00</w:t>
            </w:r>
          </w:p>
        </w:tc>
        <w:tc>
          <w:tcPr>
            <w:tcW w:w="550" w:type="dxa"/>
            <w:tcBorders>
              <w:top w:val="nil"/>
              <w:bottom w:val="nil"/>
            </w:tcBorders>
            <w:noWrap/>
          </w:tcPr>
          <w:p w14:paraId="33F9BB3A"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50</w:t>
            </w:r>
          </w:p>
        </w:tc>
        <w:tc>
          <w:tcPr>
            <w:tcW w:w="472" w:type="dxa"/>
            <w:tcBorders>
              <w:top w:val="nil"/>
              <w:bottom w:val="nil"/>
            </w:tcBorders>
            <w:noWrap/>
          </w:tcPr>
          <w:p w14:paraId="0E906276"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w:t>
            </w:r>
          </w:p>
        </w:tc>
        <w:tc>
          <w:tcPr>
            <w:tcW w:w="483" w:type="dxa"/>
            <w:tcBorders>
              <w:top w:val="nil"/>
              <w:bottom w:val="nil"/>
            </w:tcBorders>
            <w:noWrap/>
          </w:tcPr>
          <w:p w14:paraId="541DF9CB"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21</w:t>
            </w:r>
          </w:p>
        </w:tc>
        <w:tc>
          <w:tcPr>
            <w:tcW w:w="483" w:type="dxa"/>
            <w:tcBorders>
              <w:top w:val="nil"/>
              <w:bottom w:val="nil"/>
            </w:tcBorders>
            <w:noWrap/>
          </w:tcPr>
          <w:p w14:paraId="1D04D20A"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w:t>
            </w:r>
          </w:p>
        </w:tc>
        <w:tc>
          <w:tcPr>
            <w:tcW w:w="650" w:type="dxa"/>
            <w:tcBorders>
              <w:top w:val="nil"/>
              <w:bottom w:val="nil"/>
            </w:tcBorders>
          </w:tcPr>
          <w:p w14:paraId="5CFA95AF"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0.80</w:t>
            </w:r>
          </w:p>
        </w:tc>
      </w:tr>
      <w:tr w:rsidR="00E84D7D" w:rsidRPr="00F21EDD" w14:paraId="55BE62DA"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72FA1FFE" w14:textId="6707CFBF"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{"citationID":"a1eniahjg5q","properties":{"formattedCitation":"\\uldash{(Huang et al., 2015)}","plainCitation":"(Huang et al., 2015)","dontUpdate":true,"noteIndex":0},"citationItems":[{"id":645,"uris":["http://zotero.org/users/3583561/items/F9FWFC3K"],"itemData":{"id":645,"type":"article-journal","abstract":"AIMS: Our study aimed to evaluate the diagnostic and prognostic values of microRNA-21 (miR-21) expression levels in peripheral blood mononuclear cells (PBMCs) for prostate cancer (PCa).\nMETHODS: Between February 2010 and June 2014, 75 consecutive patients with localized PCa confirmed by radical prostatectomy and biopsy were enrolled as the case group. Among them, 25 patients were confirmed with recurrence or metastasis (R/M) (PCa with R/M group) and 50 patients without R/M (PCa without R/M group). During the same period, 75 healthy volunteers were enrolled as the control group. Blood was collected from all subjects, and PBMCs were isolated. Relative miR-21 expression levels from the PBMCs were determined by fluorescence real-time quantitative polymerase chain reaction (RT-qPCR).\nRESULTS: The relative miR-21 expression levels in the preoperative case group was significantly higher than that in the postoperative case group and the control group (both p&lt;0.001). miR-21 expression levels were associated with tumor differentiation, clinical stage, and lymph node metastasis (all p&lt;0.001). Furthermore, miR-21 expression levels in PCa patients with R/M were significantly higher than that in PCa patients without R/M and healthy controls (both p&lt;0.001). Receiver operating characteristic (ROC) curve analysis revealed that the cut-off point of miR-21 for diagnosis of PCa was 0.9 with a sensitivity of 87.5% and a specificity of 85.7%.\nCONCLUSIONS: Our study demonstrates that high miR-21 expression levels in PBMCs were correlated with the presence, recurrence, and metastasis of PCa and that this may be a useful biomarker for screening PCa and monitoring the risk of PCa recurrence and metastasis.","container-title":"Genetic Testing and Molecular Biomarkers","DOI":"10.1089/gtmb.2015.0088","ISSN":"1945-0257","issue":"9","journalAbbreviation":"Genet Test Mol Biomarkers","language":"eng","note":"PMID: 26247873","page":"469-475","source":"PubMed","title":"High-Level Expression of microRNA-21 in Peripheral Blood Mononuclear Cells Is a Diagnostic and Prognostic Marker in Prostate Cancer","volume":"19","author":[{"family":"Huang","given":"Wei"},{"family":"Kang","given":"Xin-Li"},{"family":"Cen","given":"Son"},{"family":"Wang","given":"Yang"},{"family":"Chen","given":"Xiang"}],"issued":{"date-parts":[["2015",9]]}}}],"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Huang et al., 2015</w:t>
            </w:r>
            <w:r w:rsidRPr="00E84D7D">
              <w:rPr>
                <w:rFonts w:ascii="Arial" w:hAnsi="Arial" w:cs="Arial"/>
                <w:color w:val="000000"/>
                <w:lang w:eastAsia="fr-FR"/>
              </w:rPr>
              <w:fldChar w:fldCharType="end"/>
            </w:r>
          </w:p>
        </w:tc>
        <w:tc>
          <w:tcPr>
            <w:tcW w:w="1084" w:type="dxa"/>
            <w:tcBorders>
              <w:top w:val="nil"/>
              <w:bottom w:val="nil"/>
            </w:tcBorders>
            <w:noWrap/>
          </w:tcPr>
          <w:p w14:paraId="20BEA797"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China</w:t>
            </w:r>
          </w:p>
        </w:tc>
        <w:tc>
          <w:tcPr>
            <w:tcW w:w="927" w:type="dxa"/>
            <w:tcBorders>
              <w:top w:val="nil"/>
              <w:bottom w:val="nil"/>
            </w:tcBorders>
          </w:tcPr>
          <w:p w14:paraId="4D30113D"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HP</w:t>
            </w:r>
          </w:p>
        </w:tc>
        <w:tc>
          <w:tcPr>
            <w:tcW w:w="695" w:type="dxa"/>
            <w:tcBorders>
              <w:top w:val="nil"/>
              <w:bottom w:val="nil"/>
            </w:tcBorders>
            <w:noWrap/>
          </w:tcPr>
          <w:p w14:paraId="48123E25"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75</w:t>
            </w:r>
          </w:p>
        </w:tc>
        <w:tc>
          <w:tcPr>
            <w:tcW w:w="927" w:type="dxa"/>
            <w:tcBorders>
              <w:top w:val="nil"/>
              <w:bottom w:val="nil"/>
            </w:tcBorders>
            <w:noWrap/>
          </w:tcPr>
          <w:p w14:paraId="7EE6DFAA"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75</w:t>
            </w:r>
          </w:p>
        </w:tc>
        <w:tc>
          <w:tcPr>
            <w:tcW w:w="1361" w:type="dxa"/>
            <w:tcBorders>
              <w:top w:val="nil"/>
              <w:bottom w:val="nil"/>
            </w:tcBorders>
            <w:noWrap/>
          </w:tcPr>
          <w:p w14:paraId="7A1F6EDF"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Whole blood</w:t>
            </w:r>
          </w:p>
        </w:tc>
        <w:tc>
          <w:tcPr>
            <w:tcW w:w="1172" w:type="dxa"/>
            <w:tcBorders>
              <w:top w:val="nil"/>
              <w:bottom w:val="nil"/>
            </w:tcBorders>
          </w:tcPr>
          <w:p w14:paraId="22ED536E"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05A66487"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miR-21</w:t>
            </w:r>
          </w:p>
        </w:tc>
        <w:tc>
          <w:tcPr>
            <w:tcW w:w="717" w:type="dxa"/>
            <w:tcBorders>
              <w:top w:val="nil"/>
              <w:bottom w:val="nil"/>
            </w:tcBorders>
            <w:noWrap/>
          </w:tcPr>
          <w:p w14:paraId="5B6B400B"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87.50</w:t>
            </w:r>
          </w:p>
        </w:tc>
        <w:tc>
          <w:tcPr>
            <w:tcW w:w="717" w:type="dxa"/>
            <w:tcBorders>
              <w:top w:val="nil"/>
              <w:bottom w:val="nil"/>
            </w:tcBorders>
            <w:noWrap/>
          </w:tcPr>
          <w:p w14:paraId="3C84DE42"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85.70</w:t>
            </w:r>
          </w:p>
        </w:tc>
        <w:tc>
          <w:tcPr>
            <w:tcW w:w="550" w:type="dxa"/>
            <w:tcBorders>
              <w:top w:val="nil"/>
              <w:bottom w:val="nil"/>
            </w:tcBorders>
            <w:noWrap/>
          </w:tcPr>
          <w:p w14:paraId="504F51E8"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66</w:t>
            </w:r>
          </w:p>
        </w:tc>
        <w:tc>
          <w:tcPr>
            <w:tcW w:w="472" w:type="dxa"/>
            <w:tcBorders>
              <w:top w:val="nil"/>
              <w:bottom w:val="nil"/>
            </w:tcBorders>
            <w:noWrap/>
          </w:tcPr>
          <w:p w14:paraId="0E061983"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11</w:t>
            </w:r>
          </w:p>
        </w:tc>
        <w:tc>
          <w:tcPr>
            <w:tcW w:w="483" w:type="dxa"/>
            <w:tcBorders>
              <w:top w:val="nil"/>
              <w:bottom w:val="nil"/>
            </w:tcBorders>
            <w:noWrap/>
          </w:tcPr>
          <w:p w14:paraId="1B0D5D1B"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64</w:t>
            </w:r>
          </w:p>
        </w:tc>
        <w:tc>
          <w:tcPr>
            <w:tcW w:w="483" w:type="dxa"/>
            <w:tcBorders>
              <w:top w:val="nil"/>
              <w:bottom w:val="nil"/>
            </w:tcBorders>
            <w:noWrap/>
          </w:tcPr>
          <w:p w14:paraId="6AB99638"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9</w:t>
            </w:r>
          </w:p>
        </w:tc>
        <w:tc>
          <w:tcPr>
            <w:tcW w:w="650" w:type="dxa"/>
            <w:tcBorders>
              <w:top w:val="nil"/>
              <w:bottom w:val="nil"/>
            </w:tcBorders>
          </w:tcPr>
          <w:p w14:paraId="6CC4D222"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0.83</w:t>
            </w:r>
          </w:p>
        </w:tc>
      </w:tr>
      <w:tr w:rsidR="00E84D7D" w:rsidRPr="00F21EDD" w14:paraId="05E4EA0B"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03E332D2" w14:textId="6CEE1073"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{"citationID":"a1hi70bs3mc","properties":{"formattedCitation":"\\uldash{(Emamvirdizadeh et al., 2015)}","plainCitation":"(Emamvirdizadeh et al., 2015)","dontUpdate":true,"noteIndex":0},"citationItems":[{"id":613,"uris":["http://zotero.org/users/3583561/items/ZIAUMHEN"],"itemData":{"id":613,"type":"article-journal","abstract":"Background: Prostate cancer is the most prevalent cancer among men worldwide. Diagnosis in this cancer is primarily done, using aggressive methods such as biopsy. Laboratory methods, such as the measurement of prostate-specific antigen (PSA) in the blood, do not have high sensitivity and specificity. MicroRNAs (miRNAs), a group of diagnostic biomarkers, can diagnose diseases such as cancer. MicroRNA (miRNA) is a small, non-coding, single-stranded RNA with a length of 21 to 23 nucleotides. Objectives: This study was designed to investigate the changes in the expression level of miR-21 and miR-214 in the urine of patients with prostate cancer compared with healthy controls. Methods: A total of 70 urine samples from prostate cancer patients (32 metastatic and 38 non-metastatic) and 30 from healthy subjects with negative biopsy reports were collected. The expression level of miR-21 and miR-214 in the urine were detected by quantitative reverse transcription-polymerase chain reaction (qRT-PCR). Results: miR-21 showed a significant increase in expression (P = 0.003) and miR-214 showed a significant decrease in expression (P = 0.000) compared with the control group. The specificity, sensitivity, and area under the curve (AUC) were 100, 72.14, and 0.721% for combined panels of miR-21 and miR-214 and 63.33, 61.43, and 0.620%, respectively, for PSA. Conclusions: miR-21 and miR-214 showed significant change in expression in patients with prostate cancer compared with healthy subjects. It is hoped that, with further research, a combined panel of miR-21 and miR-214 can be used as a non-invasive method for detecting prostate cancer with higher sensitivity and specificity than the PSA test.","container-title":"International Journal of Cancer Management","DOI":"10.5812/ijcm.110014","ISSN":"2538-497X","issue":"6","journalAbbreviation":"Int J Cancer Manag","language":"en","license":"This is an open-access article distributed under the terms of the Creative Commons Attribution-NonCommercial 4.0 International License (http://creativecommons.org/licenses/by-nc/4.0/) which permits copy and redistribute the material just in noncommercial usages, provided the original work is properly cited.","note":"number: 6\npublisher: Brieflands","source":"brieflands.com","title":"Non-invasive Prostate Cancer Detection by Measuring Expression Level of miR-21 and miR-214 in Urine","URL":"https://brieflands.com/articles/ijcm-110014.html#abstract","volume":"14","author":[{"family":"Emamvirdizadeh","given":"Alireza"},{"family":"Jamshidian","given":"Faranak"},{"family":"Entezari","given":"Maliheh"},{"family":"Nooraei","given":"Saghi"},{"family":"Hashemi","given":"Mehrdad"}],"accessed":{"date-parts":[["2023",5,23]]},"issued":{"date-parts":[["2015"]]}}}],"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Emamvirdizadeh et al., 2015</w:t>
            </w:r>
            <w:r w:rsidRPr="00E84D7D">
              <w:rPr>
                <w:rFonts w:ascii="Arial" w:hAnsi="Arial" w:cs="Arial"/>
                <w:color w:val="000000"/>
                <w:lang w:eastAsia="fr-FR"/>
              </w:rPr>
              <w:fldChar w:fldCharType="end"/>
            </w:r>
          </w:p>
        </w:tc>
        <w:tc>
          <w:tcPr>
            <w:tcW w:w="1084" w:type="dxa"/>
            <w:tcBorders>
              <w:top w:val="nil"/>
              <w:bottom w:val="nil"/>
            </w:tcBorders>
            <w:noWrap/>
          </w:tcPr>
          <w:p w14:paraId="1E65C31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Iran</w:t>
            </w:r>
          </w:p>
        </w:tc>
        <w:tc>
          <w:tcPr>
            <w:tcW w:w="927" w:type="dxa"/>
            <w:tcBorders>
              <w:top w:val="nil"/>
              <w:bottom w:val="nil"/>
            </w:tcBorders>
          </w:tcPr>
          <w:p w14:paraId="40F9944E"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HP</w:t>
            </w:r>
          </w:p>
        </w:tc>
        <w:tc>
          <w:tcPr>
            <w:tcW w:w="695" w:type="dxa"/>
            <w:tcBorders>
              <w:top w:val="nil"/>
              <w:bottom w:val="nil"/>
            </w:tcBorders>
            <w:noWrap/>
          </w:tcPr>
          <w:p w14:paraId="41BB5D76"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70</w:t>
            </w:r>
          </w:p>
        </w:tc>
        <w:tc>
          <w:tcPr>
            <w:tcW w:w="927" w:type="dxa"/>
            <w:tcBorders>
              <w:top w:val="nil"/>
              <w:bottom w:val="nil"/>
            </w:tcBorders>
            <w:noWrap/>
          </w:tcPr>
          <w:p w14:paraId="4BFD4BA3"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30</w:t>
            </w:r>
          </w:p>
        </w:tc>
        <w:tc>
          <w:tcPr>
            <w:tcW w:w="1361" w:type="dxa"/>
            <w:tcBorders>
              <w:top w:val="nil"/>
              <w:bottom w:val="nil"/>
            </w:tcBorders>
            <w:noWrap/>
          </w:tcPr>
          <w:p w14:paraId="4F4B88E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Urine</w:t>
            </w:r>
          </w:p>
        </w:tc>
        <w:tc>
          <w:tcPr>
            <w:tcW w:w="1172" w:type="dxa"/>
            <w:tcBorders>
              <w:top w:val="nil"/>
              <w:bottom w:val="nil"/>
            </w:tcBorders>
          </w:tcPr>
          <w:p w14:paraId="1FCFD3D8"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RT-</w:t>
            </w:r>
            <w:proofErr w:type="spellStart"/>
            <w:r w:rsidRPr="00F21EDD">
              <w:rPr>
                <w:rFonts w:ascii="Arial" w:eastAsia="Times New Roman" w:hAnsi="Arial" w:cs="Arial"/>
                <w:color w:val="000000"/>
                <w:sz w:val="20"/>
                <w:szCs w:val="20"/>
                <w:lang w:eastAsia="fr-FR"/>
              </w:rPr>
              <w:t>qPCR</w:t>
            </w:r>
            <w:proofErr w:type="spellEnd"/>
          </w:p>
        </w:tc>
        <w:tc>
          <w:tcPr>
            <w:tcW w:w="1206" w:type="dxa"/>
            <w:tcBorders>
              <w:top w:val="nil"/>
              <w:bottom w:val="nil"/>
            </w:tcBorders>
            <w:noWrap/>
          </w:tcPr>
          <w:p w14:paraId="02FEDBB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gramStart"/>
            <w:r w:rsidRPr="00F21EDD">
              <w:rPr>
                <w:rFonts w:ascii="Arial" w:eastAsia="Times New Roman" w:hAnsi="Arial" w:cs="Arial"/>
                <w:color w:val="000000"/>
                <w:sz w:val="20"/>
                <w:szCs w:val="20"/>
                <w:lang w:eastAsia="fr-FR"/>
              </w:rPr>
              <w:t>miR</w:t>
            </w:r>
            <w:proofErr w:type="gramEnd"/>
            <w:r w:rsidRPr="00F21EDD">
              <w:rPr>
                <w:rFonts w:ascii="Arial" w:eastAsia="Times New Roman" w:hAnsi="Arial" w:cs="Arial"/>
                <w:color w:val="000000"/>
                <w:sz w:val="20"/>
                <w:szCs w:val="20"/>
                <w:lang w:eastAsia="fr-FR"/>
              </w:rPr>
              <w:t>-21</w:t>
            </w:r>
          </w:p>
        </w:tc>
        <w:tc>
          <w:tcPr>
            <w:tcW w:w="717" w:type="dxa"/>
            <w:tcBorders>
              <w:top w:val="nil"/>
              <w:bottom w:val="nil"/>
            </w:tcBorders>
            <w:noWrap/>
          </w:tcPr>
          <w:p w14:paraId="063FB195"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64.29</w:t>
            </w:r>
          </w:p>
        </w:tc>
        <w:tc>
          <w:tcPr>
            <w:tcW w:w="717" w:type="dxa"/>
            <w:tcBorders>
              <w:top w:val="nil"/>
              <w:bottom w:val="nil"/>
            </w:tcBorders>
            <w:noWrap/>
          </w:tcPr>
          <w:p w14:paraId="548C5A2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100</w:t>
            </w:r>
          </w:p>
        </w:tc>
        <w:tc>
          <w:tcPr>
            <w:tcW w:w="550" w:type="dxa"/>
            <w:tcBorders>
              <w:top w:val="nil"/>
              <w:bottom w:val="nil"/>
            </w:tcBorders>
            <w:noWrap/>
          </w:tcPr>
          <w:p w14:paraId="276B5D68"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45</w:t>
            </w:r>
          </w:p>
        </w:tc>
        <w:tc>
          <w:tcPr>
            <w:tcW w:w="472" w:type="dxa"/>
            <w:tcBorders>
              <w:top w:val="nil"/>
              <w:bottom w:val="nil"/>
            </w:tcBorders>
            <w:noWrap/>
          </w:tcPr>
          <w:p w14:paraId="5CEB21C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0</w:t>
            </w:r>
          </w:p>
        </w:tc>
        <w:tc>
          <w:tcPr>
            <w:tcW w:w="483" w:type="dxa"/>
            <w:tcBorders>
              <w:top w:val="nil"/>
              <w:bottom w:val="nil"/>
            </w:tcBorders>
            <w:noWrap/>
          </w:tcPr>
          <w:p w14:paraId="437B44E1"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30</w:t>
            </w:r>
          </w:p>
        </w:tc>
        <w:tc>
          <w:tcPr>
            <w:tcW w:w="483" w:type="dxa"/>
            <w:tcBorders>
              <w:top w:val="nil"/>
              <w:bottom w:val="nil"/>
            </w:tcBorders>
            <w:noWrap/>
          </w:tcPr>
          <w:p w14:paraId="6B0E3C0F"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25</w:t>
            </w:r>
          </w:p>
        </w:tc>
        <w:tc>
          <w:tcPr>
            <w:tcW w:w="650" w:type="dxa"/>
            <w:tcBorders>
              <w:top w:val="nil"/>
              <w:bottom w:val="nil"/>
            </w:tcBorders>
          </w:tcPr>
          <w:p w14:paraId="1C2300DD"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0.64</w:t>
            </w:r>
          </w:p>
        </w:tc>
      </w:tr>
      <w:tr w:rsidR="00E84D7D" w:rsidRPr="00F21EDD" w14:paraId="70C7E0AB"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39F34D9C" w14:textId="690837A5"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{"citationID":"ajaskqieib","properties":{"formattedCitation":"\\uldash{(Kotb et al., 2014)}","plainCitation":"(Kotb et al., 2014)","dontUpdate":true,"noteIndex":0},"citationItems":[{"id":777,"uris":["http://zotero.org/users/3583561/items/A4CXYGJC"],"itemData":{"id":777,"type":"article-journal","abstract":"To compare the expression of two promising circulating micro-ribonucleic acids (miRNAs 21 and 221) in patients with prostate cancer to subjects without cancer and to evaluate their potential role as specific noninvasive molecular biomarkers for prostate cancer diagnosis, circulating miRNAs 21 and 221 expression profiles were analyzed in 20 men aged 50-75 years, presenting with lower urinary tract symptoms (LUTSs) and undergoing transrectal ultrasound (TRUS)-guided prostate biopsy based on either elevated serum prostate-specific antigen (PSA) (&gt;4.0 ng/ml) or suspicious digital rectal examination (DRE). The performance of miRNAs 21 and 221 in differentiating prostate cancer from nonmalignant cases was evaluated and compared to DRE and elevated PSA. miRNA 21 was overexpressed in 90 % of group A vs. 10 % of group B, while miRNA 221 was overexpressed in 80 % of group A vs. 20 % of group B (p = 0.001). MiRNA 21 overexpression had the highest performance as a diagnostic test with a sensitivity of 90 % and a specificity 90 % (p = 0.02). No correlations were noted between Gleason score of prostate cancer cases and relative quantity (RQ) 21 (r = -0.355, p = 0.292) or RQ 221 (r = -0.044, p = 0.892). Our study showed that serum miRNAs 21 and 221 expression profiling tests may be used as specific noninvasive molecular biomarkers for prostate cancer diagnosis due to their higher sensitivity and specificity with a high negative predictive value leading to a decrease in the biopsies taken for patients with elevated serum PSA values.","container-title":"Tumour Biology: The Journal of the International Society for Oncodevelopmental Biology and Medicine","DOI":"10.1007/s13277-014-2584-7","ISSN":"1423-0380","issue":"12","journalAbbreviation":"Tumour Biol","language":"eng","note":"PMID: 25190021","page":"12613-12617","source":"PubMed","title":"Circulating miRNAs 21 and 221 as biomarkers for early diagnosis of prostate cancer","volume":"35","author":[{"family":"Kotb","given":"Sameh"},{"family":"Mosharafa","given":"Ashraf"},{"family":"Essawi","given":"Mona"},{"family":"Hassan","given":"Heba"},{"family":"Meshref","given":"Alaa"},{"family":"Morsy","given":"Ahmed"}],"issued":{"date-parts":[["2014",12]]}}}],"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Kotb et al., 2014</w:t>
            </w:r>
            <w:r w:rsidRPr="00E84D7D">
              <w:rPr>
                <w:rFonts w:ascii="Arial" w:hAnsi="Arial" w:cs="Arial"/>
                <w:color w:val="000000"/>
                <w:lang w:eastAsia="fr-FR"/>
              </w:rPr>
              <w:fldChar w:fldCharType="end"/>
            </w:r>
          </w:p>
        </w:tc>
        <w:tc>
          <w:tcPr>
            <w:tcW w:w="1084" w:type="dxa"/>
            <w:tcBorders>
              <w:top w:val="nil"/>
              <w:bottom w:val="nil"/>
            </w:tcBorders>
            <w:noWrap/>
          </w:tcPr>
          <w:p w14:paraId="6BD42E1A"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r w:rsidRPr="00F21EDD">
              <w:rPr>
                <w:rFonts w:ascii="Arial" w:eastAsia="Times New Roman" w:hAnsi="Arial" w:cs="Arial"/>
                <w:color w:val="000000"/>
                <w:sz w:val="20"/>
                <w:szCs w:val="20"/>
                <w:lang w:eastAsia="fr-FR"/>
              </w:rPr>
              <w:t>Egypt</w:t>
            </w:r>
            <w:proofErr w:type="spellEnd"/>
          </w:p>
        </w:tc>
        <w:tc>
          <w:tcPr>
            <w:tcW w:w="927" w:type="dxa"/>
            <w:tcBorders>
              <w:top w:val="nil"/>
              <w:bottom w:val="nil"/>
            </w:tcBorders>
          </w:tcPr>
          <w:p w14:paraId="45F9977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BPH</w:t>
            </w:r>
          </w:p>
        </w:tc>
        <w:tc>
          <w:tcPr>
            <w:tcW w:w="695" w:type="dxa"/>
            <w:tcBorders>
              <w:top w:val="nil"/>
              <w:bottom w:val="nil"/>
            </w:tcBorders>
            <w:noWrap/>
          </w:tcPr>
          <w:p w14:paraId="1334084C"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10</w:t>
            </w:r>
          </w:p>
        </w:tc>
        <w:tc>
          <w:tcPr>
            <w:tcW w:w="927" w:type="dxa"/>
            <w:tcBorders>
              <w:top w:val="nil"/>
              <w:bottom w:val="nil"/>
            </w:tcBorders>
            <w:noWrap/>
          </w:tcPr>
          <w:p w14:paraId="4E2F063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10</w:t>
            </w:r>
          </w:p>
        </w:tc>
        <w:tc>
          <w:tcPr>
            <w:tcW w:w="1361" w:type="dxa"/>
            <w:tcBorders>
              <w:top w:val="nil"/>
              <w:bottom w:val="nil"/>
            </w:tcBorders>
            <w:noWrap/>
          </w:tcPr>
          <w:p w14:paraId="7D0DD46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r w:rsidRPr="00F21EDD">
              <w:rPr>
                <w:rFonts w:ascii="Arial" w:eastAsia="Times New Roman" w:hAnsi="Arial" w:cs="Arial"/>
                <w:color w:val="000000"/>
                <w:sz w:val="20"/>
                <w:szCs w:val="20"/>
                <w:lang w:eastAsia="fr-FR"/>
              </w:rPr>
              <w:t>Serum</w:t>
            </w:r>
            <w:proofErr w:type="spellEnd"/>
          </w:p>
        </w:tc>
        <w:tc>
          <w:tcPr>
            <w:tcW w:w="1172" w:type="dxa"/>
            <w:tcBorders>
              <w:top w:val="nil"/>
              <w:bottom w:val="nil"/>
            </w:tcBorders>
          </w:tcPr>
          <w:p w14:paraId="16995EC3"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RT-</w:t>
            </w:r>
            <w:proofErr w:type="spellStart"/>
            <w:r w:rsidRPr="00F21EDD">
              <w:rPr>
                <w:rFonts w:ascii="Arial" w:eastAsia="Times New Roman" w:hAnsi="Arial" w:cs="Arial"/>
                <w:color w:val="000000"/>
                <w:sz w:val="20"/>
                <w:szCs w:val="20"/>
                <w:lang w:eastAsia="fr-FR"/>
              </w:rPr>
              <w:t>qPCR</w:t>
            </w:r>
            <w:proofErr w:type="spellEnd"/>
          </w:p>
        </w:tc>
        <w:tc>
          <w:tcPr>
            <w:tcW w:w="1206" w:type="dxa"/>
            <w:tcBorders>
              <w:top w:val="nil"/>
              <w:bottom w:val="nil"/>
            </w:tcBorders>
            <w:noWrap/>
          </w:tcPr>
          <w:p w14:paraId="14D52A4C"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gramStart"/>
            <w:r w:rsidRPr="00F21EDD">
              <w:rPr>
                <w:rFonts w:ascii="Arial" w:eastAsia="Times New Roman" w:hAnsi="Arial" w:cs="Arial"/>
                <w:color w:val="000000"/>
                <w:sz w:val="20"/>
                <w:szCs w:val="20"/>
                <w:lang w:eastAsia="fr-FR"/>
              </w:rPr>
              <w:t>miR</w:t>
            </w:r>
            <w:proofErr w:type="gramEnd"/>
            <w:r w:rsidRPr="00F21EDD">
              <w:rPr>
                <w:rFonts w:ascii="Arial" w:eastAsia="Times New Roman" w:hAnsi="Arial" w:cs="Arial"/>
                <w:color w:val="000000"/>
                <w:sz w:val="20"/>
                <w:szCs w:val="20"/>
                <w:lang w:eastAsia="fr-FR"/>
              </w:rPr>
              <w:t>-21</w:t>
            </w:r>
          </w:p>
        </w:tc>
        <w:tc>
          <w:tcPr>
            <w:tcW w:w="717" w:type="dxa"/>
            <w:tcBorders>
              <w:top w:val="nil"/>
              <w:bottom w:val="nil"/>
            </w:tcBorders>
            <w:noWrap/>
          </w:tcPr>
          <w:p w14:paraId="50C455B6"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90</w:t>
            </w:r>
          </w:p>
        </w:tc>
        <w:tc>
          <w:tcPr>
            <w:tcW w:w="717" w:type="dxa"/>
            <w:tcBorders>
              <w:top w:val="nil"/>
              <w:bottom w:val="nil"/>
            </w:tcBorders>
            <w:noWrap/>
          </w:tcPr>
          <w:p w14:paraId="1719187D"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90</w:t>
            </w:r>
          </w:p>
        </w:tc>
        <w:tc>
          <w:tcPr>
            <w:tcW w:w="550" w:type="dxa"/>
            <w:tcBorders>
              <w:top w:val="nil"/>
              <w:bottom w:val="nil"/>
            </w:tcBorders>
            <w:noWrap/>
          </w:tcPr>
          <w:p w14:paraId="38CD2011"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9</w:t>
            </w:r>
          </w:p>
        </w:tc>
        <w:tc>
          <w:tcPr>
            <w:tcW w:w="472" w:type="dxa"/>
            <w:tcBorders>
              <w:top w:val="nil"/>
              <w:bottom w:val="nil"/>
            </w:tcBorders>
            <w:noWrap/>
          </w:tcPr>
          <w:p w14:paraId="30540FE8"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1</w:t>
            </w:r>
          </w:p>
        </w:tc>
        <w:tc>
          <w:tcPr>
            <w:tcW w:w="483" w:type="dxa"/>
            <w:tcBorders>
              <w:top w:val="nil"/>
              <w:bottom w:val="nil"/>
            </w:tcBorders>
            <w:noWrap/>
          </w:tcPr>
          <w:p w14:paraId="23F3080E"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9</w:t>
            </w:r>
          </w:p>
        </w:tc>
        <w:tc>
          <w:tcPr>
            <w:tcW w:w="483" w:type="dxa"/>
            <w:tcBorders>
              <w:top w:val="nil"/>
              <w:bottom w:val="nil"/>
            </w:tcBorders>
            <w:noWrap/>
          </w:tcPr>
          <w:p w14:paraId="3D88D395"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1</w:t>
            </w:r>
          </w:p>
        </w:tc>
        <w:tc>
          <w:tcPr>
            <w:tcW w:w="650" w:type="dxa"/>
            <w:tcBorders>
              <w:top w:val="nil"/>
              <w:bottom w:val="nil"/>
            </w:tcBorders>
          </w:tcPr>
          <w:p w14:paraId="4529D472"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w:t>
            </w:r>
          </w:p>
        </w:tc>
      </w:tr>
      <w:tr w:rsidR="00E84D7D" w:rsidRPr="00F21EDD" w14:paraId="6CE78872"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3F02F65C" w14:textId="07433805" w:rsidR="00E84D7D" w:rsidRPr="00E84D7D" w:rsidRDefault="00E84D7D" w:rsidP="0000574D">
            <w:pPr>
              <w:spacing w:before="240"/>
              <w:jc w:val="both"/>
              <w:rPr>
                <w:rFonts w:ascii="Arial" w:eastAsia="Times New Roman" w:hAnsi="Arial" w:cs="Arial"/>
                <w:color w:val="000000"/>
                <w:sz w:val="20"/>
                <w:szCs w:val="20"/>
                <w:lang w:val="en-US"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{"citationID":"a2e3cla41cl","properties":{"formattedCitation":"\\uldash{(Yaman Agaoglu et al., 2011)}","plainCitation":"(Yaman Agaoglu et al., 2011)","dontUpdate":true,"noteIndex":0},"citationItems":[{"id":352,"uris":["http://zotero.org/users/3583561/items/M3XCR24F","http://zotero.org/users/3583561/items/IPD4CHAN"],"itemData":{"id":352,"type":"article-journal","abstract":"In addition to their potential as tissue-based markers for cancer classification and prognostication, the study of microRNAs (miRNAs) in blood circulation is also of interest. In the present study, we investigated the amounts of three cancer-related miRNAs, miR-21, -141, and -221 in blood plasma of prostate cancer (PCa) patients. A cohort of 51 patients with PCa was enrolled into the study, and miRNAs were measured in two subgroups, with localized/local advanced or metastatic PCa. A group of 20 healthy individuals served as the control group. miRNAs were quantified from the total RNA fraction using 200 μl plasma and the small RNA molecule RNU1A as a control for normalizing the miRNA amounts in circulation. We found similar levels of three miRNAs in healthy subjects with median values of 0.039, 0.033 and 0.04, respectively; (p = n.s.). In the patients, the miRNA levels were higher, with miR-21 being the highest (median, 1.51). The miR-221 levels were intermediate (median, 0.71) while the miR-141 displayed the lowest levels (median, 0.051). The differences between the control group and the patients were highly significant for the miR-21 (p &lt; 0.001; area under the curve (AUC), 88%) and -221 (p &lt; 0.001; AUC, 83%) but not for the miR-141 (p = 0.2). In patients diagnosed with metastatic PCa, levels of all three miRNAs were significantly higher than in patients with localized/local advanced disease where the difference for the miR-141 was most pronounced (p&lt; 0.001; AUC, 75.5%). In conclusion, analysis of miR-21, -141, and -221 in blood of PCa patients reveals varying patterns of these molecules in clinical subgroups of PCa.","container-title":"Tumour Biology: The Journal of the International Society for Oncodevelopmental Biology and Medicine","DOI":"10.1007/s13277-011-0154-9","ISSN":"1423-0380","issue":"3","journalAbbreviation":"Tumour Biol","language":"eng","note":"PMID: 21274675","page":"583-588","source":"PubMed","title":"Investigation of miR-21, miR-141, and miR-221 in blood circulation of patients with prostate cancer","volume":"32","author":[{"family":"Yaman Agaoglu","given":"Fulya"},{"family":"Kovancilar","given":"Müge"},{"family":"Dizdar","given":"Yavuz"},{"family":"Darendeliler","given":"Emin"},{"family":"Holdenrieder","given":"Stefan"},{"family":"Dalay","given":"Nejat"},{"family":"Gezer","given":"Ugur"}],"issued":{"date-parts":[["2011",6]]}}}],"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Yaman Agaoglu et al., 2011</w:t>
            </w:r>
            <w:r w:rsidRPr="00E84D7D">
              <w:rPr>
                <w:rFonts w:ascii="Arial" w:hAnsi="Arial" w:cs="Arial"/>
                <w:color w:val="000000"/>
                <w:lang w:eastAsia="fr-FR"/>
              </w:rPr>
              <w:fldChar w:fldCharType="end"/>
            </w:r>
          </w:p>
        </w:tc>
        <w:tc>
          <w:tcPr>
            <w:tcW w:w="1084" w:type="dxa"/>
            <w:tcBorders>
              <w:top w:val="nil"/>
              <w:bottom w:val="nil"/>
            </w:tcBorders>
            <w:noWrap/>
          </w:tcPr>
          <w:p w14:paraId="18CAD15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Turkey</w:t>
            </w:r>
          </w:p>
        </w:tc>
        <w:tc>
          <w:tcPr>
            <w:tcW w:w="927" w:type="dxa"/>
            <w:tcBorders>
              <w:top w:val="nil"/>
              <w:bottom w:val="nil"/>
            </w:tcBorders>
          </w:tcPr>
          <w:p w14:paraId="37CD3E2F"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HP</w:t>
            </w:r>
          </w:p>
        </w:tc>
        <w:tc>
          <w:tcPr>
            <w:tcW w:w="695" w:type="dxa"/>
            <w:tcBorders>
              <w:top w:val="nil"/>
              <w:bottom w:val="nil"/>
            </w:tcBorders>
            <w:noWrap/>
          </w:tcPr>
          <w:p w14:paraId="57D7738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51</w:t>
            </w:r>
          </w:p>
        </w:tc>
        <w:tc>
          <w:tcPr>
            <w:tcW w:w="927" w:type="dxa"/>
            <w:tcBorders>
              <w:top w:val="nil"/>
              <w:bottom w:val="nil"/>
            </w:tcBorders>
            <w:noWrap/>
          </w:tcPr>
          <w:p w14:paraId="7F77F5CE"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20</w:t>
            </w:r>
          </w:p>
        </w:tc>
        <w:tc>
          <w:tcPr>
            <w:tcW w:w="1361" w:type="dxa"/>
            <w:tcBorders>
              <w:top w:val="nil"/>
              <w:bottom w:val="nil"/>
            </w:tcBorders>
            <w:noWrap/>
          </w:tcPr>
          <w:p w14:paraId="381DD20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Plasma</w:t>
            </w:r>
          </w:p>
        </w:tc>
        <w:tc>
          <w:tcPr>
            <w:tcW w:w="1172" w:type="dxa"/>
            <w:tcBorders>
              <w:top w:val="nil"/>
              <w:bottom w:val="nil"/>
            </w:tcBorders>
          </w:tcPr>
          <w:p w14:paraId="6B0F297C"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3FB77D2C"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MiR-21</w:t>
            </w:r>
          </w:p>
        </w:tc>
        <w:tc>
          <w:tcPr>
            <w:tcW w:w="717" w:type="dxa"/>
            <w:tcBorders>
              <w:top w:val="nil"/>
              <w:bottom w:val="nil"/>
            </w:tcBorders>
            <w:noWrap/>
          </w:tcPr>
          <w:p w14:paraId="7D49D606"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717" w:type="dxa"/>
            <w:tcBorders>
              <w:top w:val="nil"/>
              <w:bottom w:val="nil"/>
            </w:tcBorders>
            <w:noWrap/>
          </w:tcPr>
          <w:p w14:paraId="14A4AA9B"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550" w:type="dxa"/>
            <w:tcBorders>
              <w:top w:val="nil"/>
              <w:bottom w:val="nil"/>
            </w:tcBorders>
            <w:noWrap/>
          </w:tcPr>
          <w:p w14:paraId="0C31AAB1"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72" w:type="dxa"/>
            <w:tcBorders>
              <w:top w:val="nil"/>
              <w:bottom w:val="nil"/>
            </w:tcBorders>
            <w:noWrap/>
          </w:tcPr>
          <w:p w14:paraId="686E0C7C"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83" w:type="dxa"/>
            <w:tcBorders>
              <w:top w:val="nil"/>
              <w:bottom w:val="nil"/>
            </w:tcBorders>
            <w:noWrap/>
          </w:tcPr>
          <w:p w14:paraId="60E1D620"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83" w:type="dxa"/>
            <w:tcBorders>
              <w:top w:val="nil"/>
              <w:bottom w:val="nil"/>
            </w:tcBorders>
            <w:noWrap/>
          </w:tcPr>
          <w:p w14:paraId="52E064BD"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650" w:type="dxa"/>
            <w:tcBorders>
              <w:top w:val="nil"/>
              <w:bottom w:val="nil"/>
            </w:tcBorders>
          </w:tcPr>
          <w:p w14:paraId="05857BB5"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0.88</w:t>
            </w:r>
          </w:p>
        </w:tc>
      </w:tr>
      <w:tr w:rsidR="00E84D7D" w:rsidRPr="00F21EDD" w14:paraId="7EDF50FF"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096A7860" w14:textId="14E398F3"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{"citationID":"a2bu50ht2g","properties":{"formattedCitation":"\\uldash{(Canatan et al., 2022)}","plainCitation":"(Canatan et al., 2022)","dontUpdate":true,"noteIndex":0},"citationItems":[{"id":794,"uris":["http://zotero.org/users/3583561/items/8QTS8J57"],"itemData":{"id":794,"type":"article-journal","abstract":"INTRODUCTION: Prostate cancer (PCa) is a common type of cancer in western countries and prominent cause of mortality in men. The aim of the study was to analyze circulating miRNAs as biomarkers in the sera of healthy individuals and prostate cancer cases without biopsy.\nMATERIAL AND METHODS: Twenty prostate cases, age (mean and range) 61,4±12.1 (45-73), and twenty healthy men, age 59,3±11.2 (44-70) were included to the study. The mean and range of prostate spesific antigen (PSA) in cancer cases and healthy individuals were 6.79±2.84 ng/ml (2.25-14.7) and 3.8±2.2 ng/ml (1.3-7.8) respectively.\nRESULTS: Seven miRNAs including two internal controls (Let7c, miR125b, miR141, miR145, miR 155, miR181 ve miR192) were evaluated in two groups. The level of miR141 was significantly lower in PCa cases than healthy individuals (p=0,004), and miR155 was significantly higher (p=0,005) in PCa cases. Both miRNAs were explored sensitive and spesific in the ROC analysis. Tumor mass were found to be associated with the level of miR-125b and miR-145. Conclusion; validation studies are required in wider patient groups in the subject of tumor effect and miRNA biomarkers in prostate cancer.","container-title":"Acta Bio-Medica: Atenei Parmensis","DOI":"10.23750/abm.v93i3.11642","ISSN":"2531-6745","issue":"3","journalAbbreviation":"Acta Biomed","language":"eng","note":"PMID: 35775783\nPMCID: PMC9335414","page":"e2022089","source":"PubMed","title":"Use of MicroRNAs as biomarkers in the early diagnosis of prostate cancer","volume":"93","author":[{"family":"Canatan","given":"Duran"},{"family":"Yılmaz","given":"Ozlem"},{"family":"Sonmez","given":"Yonca"},{"family":"Cim","given":"Abdullah"},{"family":"Baykara","given":"Mehmet"},{"family":"Savas","given":"Murat"},{"family":"Coskun","given":"Hasan Senol"},{"family":"Goksu","given":"Sema Sezgin"},{"family":"Aktekin","given":"Mehmet Rıfkı"}],"issued":{"date-parts":[["2022",7,1]]}}}],"schema":"https://github.com/citation-style-language/schema/raw/master/csl-citation.json"}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Canatan et al., 2022</w:t>
            </w:r>
            <w:r w:rsidRPr="00E84D7D">
              <w:rPr>
                <w:rFonts w:ascii="Arial" w:hAnsi="Arial" w:cs="Arial"/>
                <w:color w:val="000000"/>
                <w:lang w:eastAsia="fr-FR"/>
              </w:rPr>
              <w:fldChar w:fldCharType="end"/>
            </w:r>
          </w:p>
        </w:tc>
        <w:tc>
          <w:tcPr>
            <w:tcW w:w="1084" w:type="dxa"/>
            <w:tcBorders>
              <w:top w:val="nil"/>
              <w:bottom w:val="nil"/>
            </w:tcBorders>
            <w:noWrap/>
          </w:tcPr>
          <w:p w14:paraId="00D2BF75"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Georgia</w:t>
            </w:r>
          </w:p>
        </w:tc>
        <w:tc>
          <w:tcPr>
            <w:tcW w:w="927" w:type="dxa"/>
            <w:tcBorders>
              <w:top w:val="nil"/>
              <w:bottom w:val="nil"/>
            </w:tcBorders>
          </w:tcPr>
          <w:p w14:paraId="30079B62"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HP</w:t>
            </w:r>
          </w:p>
        </w:tc>
        <w:tc>
          <w:tcPr>
            <w:tcW w:w="695" w:type="dxa"/>
            <w:tcBorders>
              <w:top w:val="nil"/>
              <w:bottom w:val="nil"/>
            </w:tcBorders>
            <w:noWrap/>
          </w:tcPr>
          <w:p w14:paraId="2EE0DB11"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20</w:t>
            </w:r>
          </w:p>
        </w:tc>
        <w:tc>
          <w:tcPr>
            <w:tcW w:w="927" w:type="dxa"/>
            <w:tcBorders>
              <w:top w:val="nil"/>
              <w:bottom w:val="nil"/>
            </w:tcBorders>
            <w:noWrap/>
          </w:tcPr>
          <w:p w14:paraId="0340DFB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20</w:t>
            </w:r>
          </w:p>
        </w:tc>
        <w:tc>
          <w:tcPr>
            <w:tcW w:w="1361" w:type="dxa"/>
            <w:tcBorders>
              <w:top w:val="nil"/>
              <w:bottom w:val="nil"/>
            </w:tcBorders>
            <w:noWrap/>
          </w:tcPr>
          <w:p w14:paraId="6AD2A0EA"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Plasma</w:t>
            </w:r>
          </w:p>
        </w:tc>
        <w:tc>
          <w:tcPr>
            <w:tcW w:w="1172" w:type="dxa"/>
            <w:tcBorders>
              <w:top w:val="nil"/>
              <w:bottom w:val="nil"/>
            </w:tcBorders>
          </w:tcPr>
          <w:p w14:paraId="2D74332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5DDA1A08"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miR-141</w:t>
            </w:r>
          </w:p>
        </w:tc>
        <w:tc>
          <w:tcPr>
            <w:tcW w:w="717" w:type="dxa"/>
            <w:tcBorders>
              <w:top w:val="nil"/>
              <w:bottom w:val="nil"/>
            </w:tcBorders>
            <w:noWrap/>
          </w:tcPr>
          <w:p w14:paraId="132582B8"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100</w:t>
            </w:r>
          </w:p>
        </w:tc>
        <w:tc>
          <w:tcPr>
            <w:tcW w:w="717" w:type="dxa"/>
            <w:tcBorders>
              <w:top w:val="nil"/>
              <w:bottom w:val="nil"/>
            </w:tcBorders>
            <w:noWrap/>
          </w:tcPr>
          <w:p w14:paraId="21149035"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83.30</w:t>
            </w:r>
          </w:p>
        </w:tc>
        <w:tc>
          <w:tcPr>
            <w:tcW w:w="550" w:type="dxa"/>
            <w:tcBorders>
              <w:top w:val="nil"/>
              <w:bottom w:val="nil"/>
            </w:tcBorders>
            <w:noWrap/>
          </w:tcPr>
          <w:p w14:paraId="2CED000C"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20</w:t>
            </w:r>
          </w:p>
        </w:tc>
        <w:tc>
          <w:tcPr>
            <w:tcW w:w="472" w:type="dxa"/>
            <w:tcBorders>
              <w:top w:val="nil"/>
              <w:bottom w:val="nil"/>
            </w:tcBorders>
            <w:noWrap/>
          </w:tcPr>
          <w:p w14:paraId="1B27881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3</w:t>
            </w:r>
          </w:p>
        </w:tc>
        <w:tc>
          <w:tcPr>
            <w:tcW w:w="483" w:type="dxa"/>
            <w:tcBorders>
              <w:top w:val="nil"/>
              <w:bottom w:val="nil"/>
            </w:tcBorders>
            <w:noWrap/>
          </w:tcPr>
          <w:p w14:paraId="569C383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w:t>
            </w:r>
          </w:p>
        </w:tc>
        <w:tc>
          <w:tcPr>
            <w:tcW w:w="483" w:type="dxa"/>
            <w:tcBorders>
              <w:top w:val="nil"/>
              <w:bottom w:val="nil"/>
            </w:tcBorders>
            <w:noWrap/>
          </w:tcPr>
          <w:p w14:paraId="422469DF"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17</w:t>
            </w:r>
          </w:p>
        </w:tc>
        <w:tc>
          <w:tcPr>
            <w:tcW w:w="650" w:type="dxa"/>
            <w:tcBorders>
              <w:top w:val="nil"/>
              <w:bottom w:val="nil"/>
            </w:tcBorders>
          </w:tcPr>
          <w:p w14:paraId="09FE6116"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0.92</w:t>
            </w:r>
          </w:p>
        </w:tc>
      </w:tr>
      <w:tr w:rsidR="00E84D7D" w:rsidRPr="00F21EDD" w14:paraId="2F6DE512"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583335D4" w14:textId="567051CD"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{"citationID":"a12js65mikc","properties":{"formattedCitation":"\\uldash{(Zabegina et al., 2021)}","plainCitation":"(Zabegina et al., 2021)","dontUpdate":true,"noteIndex":0},"citationItems":[{"id":66,"uris":["http://zotero.org/users/3583561/items/WVK8J6GI"],"itemData":{"id":66,"type":"article-journal","abstract":"Vesicular miRNA has emerged as a promising marker for various types of cancer, including prostate cancer (PC). In the advanced stage of PC, the cancer-cell-derived small extracellular vesicles (SEVs) may constitute a significant portion of circulating vesicles and may mediate a detectable change in the plasma vesicular miRNA profile. However, SEVs secreted by small tumor in the prostate gland constitute a tiny fraction of circulating vesicles and cause undetectable miRNA pattern changes. Thus, the isolation and miRNA profiling of a specific prostate-derived fraction of SEVs can improve the diagnostic potency of the methods based on vesicular miRNA analysis. Prostate-specific membrane antigen (PSMA) was selected as a marker of prostate-derived SEVs. Super-paramagnetic beads (SPMBs) were functionalized by PSMA-binding DNA aptamer (PSMA–Apt) via a click reaction. The efficacy of SPMB–PSMA–Apt complex formation and PSMA(+)SEVs capture were assayed by flow cytometry. miRNA was isolated from the total population of SEVs and PSMA(+)SEVs of PC patients (n = 55) and healthy donors (n = 30). Four PC-related miRNAs (miR-145, miR-451a, miR-143, and miR-221) were assayed by RT-PCR. The click chemistry allowed fixing DNA aptamers onto the surface of SPMB with an efficacy of up to 89.9%. The developed method more effectively isolates PSMA(+)SEVs than relevant antibody-based technology. The analysis of PC-related miRNA in the fraction of PSMA(+)SEVs was more sensitive and revealed distinct diagnostic potency (AUC: miR-145, 0.76; miR-221, 0.7; miR-451a, 0.65; and miR-141, 0.64) than analysis of the total SEV population. Thus, isolation of prostate-specific SEVs followed by analysis of vesicular miRNA might be a promising PC diagnosis method.","container-title":"Cells","DOI":"10.3390/cells10092372","ISSN":"2073-4409","issue":"9","journalAbbreviation":"Cells","note":"PMID: 34572021\nPMCID: PMC8467918","page":"2372","source":"PubMed Central","title":"A New Approach for Prostate Cancer Diagnosis by miRNA Profiling of Prostate-Derived Plasma Small Extracellular Vesicles","URL":"https://www.ncbi.nlm.nih.gov/pmc/articles/PMC8467918/","volume":"10","author":[{"family":"Zabegina","given":"Lidia"},{"family":"Nazarova","given":"Inga"},{"family":"Nikiforova","given":"Nadezhda"},{"family":"Slyusarenko","given":"Maria"},{"family":"Sidina","given":"Elena"},{"family":"Knyazeva","given":"Margarita"},{"family":"Tsyrlina","given":"Evgenia"},{"family":"Novikov","given":"Sergey"},{"family":"Reva","given":"Sergey"},{"family":"Malek","given":"Anastasia"}],"accessed":{"date-parts":[["2023",4,25]]},"issued":{"date-parts":[["2021",9,9]]}}}],"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Zabegina et al., 2021</w:t>
            </w:r>
            <w:r w:rsidRPr="00E84D7D">
              <w:rPr>
                <w:rFonts w:ascii="Arial" w:hAnsi="Arial" w:cs="Arial"/>
                <w:color w:val="000000"/>
                <w:lang w:eastAsia="fr-FR"/>
              </w:rPr>
              <w:fldChar w:fldCharType="end"/>
            </w:r>
          </w:p>
        </w:tc>
        <w:tc>
          <w:tcPr>
            <w:tcW w:w="1084" w:type="dxa"/>
            <w:tcBorders>
              <w:top w:val="nil"/>
              <w:bottom w:val="nil"/>
            </w:tcBorders>
            <w:noWrap/>
          </w:tcPr>
          <w:p w14:paraId="365D0181"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spellStart"/>
            <w:r w:rsidRPr="00F21EDD">
              <w:rPr>
                <w:rFonts w:ascii="Arial" w:eastAsia="Times New Roman" w:hAnsi="Arial" w:cs="Arial"/>
                <w:color w:val="000000"/>
                <w:sz w:val="20"/>
                <w:szCs w:val="20"/>
                <w:lang w:eastAsia="fr-FR"/>
              </w:rPr>
              <w:t>Russia</w:t>
            </w:r>
            <w:proofErr w:type="spellEnd"/>
          </w:p>
        </w:tc>
        <w:tc>
          <w:tcPr>
            <w:tcW w:w="927" w:type="dxa"/>
            <w:tcBorders>
              <w:top w:val="nil"/>
              <w:bottom w:val="nil"/>
            </w:tcBorders>
          </w:tcPr>
          <w:p w14:paraId="290F77C6"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HP</w:t>
            </w:r>
          </w:p>
        </w:tc>
        <w:tc>
          <w:tcPr>
            <w:tcW w:w="695" w:type="dxa"/>
            <w:tcBorders>
              <w:top w:val="nil"/>
              <w:bottom w:val="nil"/>
            </w:tcBorders>
            <w:noWrap/>
          </w:tcPr>
          <w:p w14:paraId="5172AC76"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55</w:t>
            </w:r>
          </w:p>
        </w:tc>
        <w:tc>
          <w:tcPr>
            <w:tcW w:w="927" w:type="dxa"/>
            <w:tcBorders>
              <w:top w:val="nil"/>
              <w:bottom w:val="nil"/>
            </w:tcBorders>
            <w:noWrap/>
          </w:tcPr>
          <w:p w14:paraId="374F1A49"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30</w:t>
            </w:r>
          </w:p>
        </w:tc>
        <w:tc>
          <w:tcPr>
            <w:tcW w:w="1361" w:type="dxa"/>
            <w:tcBorders>
              <w:top w:val="nil"/>
              <w:bottom w:val="nil"/>
            </w:tcBorders>
            <w:noWrap/>
          </w:tcPr>
          <w:p w14:paraId="70B0402D"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 xml:space="preserve">Plasma </w:t>
            </w:r>
          </w:p>
        </w:tc>
        <w:tc>
          <w:tcPr>
            <w:tcW w:w="1172" w:type="dxa"/>
            <w:tcBorders>
              <w:top w:val="nil"/>
              <w:bottom w:val="nil"/>
            </w:tcBorders>
          </w:tcPr>
          <w:p w14:paraId="349B0080"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RT-</w:t>
            </w:r>
            <w:proofErr w:type="spellStart"/>
            <w:r w:rsidRPr="00F21EDD">
              <w:rPr>
                <w:rFonts w:ascii="Arial" w:eastAsia="Times New Roman" w:hAnsi="Arial" w:cs="Arial"/>
                <w:color w:val="000000"/>
                <w:sz w:val="20"/>
                <w:szCs w:val="20"/>
                <w:lang w:eastAsia="fr-FR"/>
              </w:rPr>
              <w:t>qPCR</w:t>
            </w:r>
            <w:proofErr w:type="spellEnd"/>
          </w:p>
        </w:tc>
        <w:tc>
          <w:tcPr>
            <w:tcW w:w="1206" w:type="dxa"/>
            <w:tcBorders>
              <w:top w:val="nil"/>
              <w:bottom w:val="nil"/>
            </w:tcBorders>
            <w:noWrap/>
          </w:tcPr>
          <w:p w14:paraId="396EF59C"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MiR-141</w:t>
            </w:r>
          </w:p>
        </w:tc>
        <w:tc>
          <w:tcPr>
            <w:tcW w:w="717" w:type="dxa"/>
            <w:tcBorders>
              <w:top w:val="nil"/>
              <w:bottom w:val="nil"/>
            </w:tcBorders>
            <w:noWrap/>
          </w:tcPr>
          <w:p w14:paraId="70D1239B"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74.55</w:t>
            </w:r>
          </w:p>
        </w:tc>
        <w:tc>
          <w:tcPr>
            <w:tcW w:w="717" w:type="dxa"/>
            <w:tcBorders>
              <w:top w:val="nil"/>
              <w:bottom w:val="nil"/>
            </w:tcBorders>
            <w:noWrap/>
          </w:tcPr>
          <w:p w14:paraId="224FEB85"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60.00</w:t>
            </w:r>
          </w:p>
        </w:tc>
        <w:tc>
          <w:tcPr>
            <w:tcW w:w="550" w:type="dxa"/>
            <w:tcBorders>
              <w:top w:val="nil"/>
              <w:bottom w:val="nil"/>
            </w:tcBorders>
            <w:noWrap/>
          </w:tcPr>
          <w:p w14:paraId="6F0B0AAE"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41</w:t>
            </w:r>
          </w:p>
        </w:tc>
        <w:tc>
          <w:tcPr>
            <w:tcW w:w="472" w:type="dxa"/>
            <w:tcBorders>
              <w:top w:val="nil"/>
              <w:bottom w:val="nil"/>
            </w:tcBorders>
            <w:noWrap/>
          </w:tcPr>
          <w:p w14:paraId="15A5AC5A"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12</w:t>
            </w:r>
          </w:p>
        </w:tc>
        <w:tc>
          <w:tcPr>
            <w:tcW w:w="483" w:type="dxa"/>
            <w:tcBorders>
              <w:top w:val="nil"/>
              <w:bottom w:val="nil"/>
            </w:tcBorders>
            <w:noWrap/>
          </w:tcPr>
          <w:p w14:paraId="0FD1A4FB"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18</w:t>
            </w:r>
          </w:p>
        </w:tc>
        <w:tc>
          <w:tcPr>
            <w:tcW w:w="483" w:type="dxa"/>
            <w:tcBorders>
              <w:top w:val="nil"/>
              <w:bottom w:val="nil"/>
            </w:tcBorders>
            <w:noWrap/>
          </w:tcPr>
          <w:p w14:paraId="78B2F212"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14</w:t>
            </w:r>
          </w:p>
        </w:tc>
        <w:tc>
          <w:tcPr>
            <w:tcW w:w="650" w:type="dxa"/>
            <w:tcBorders>
              <w:top w:val="nil"/>
              <w:bottom w:val="nil"/>
            </w:tcBorders>
          </w:tcPr>
          <w:p w14:paraId="03FD81EC"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0.64</w:t>
            </w:r>
          </w:p>
        </w:tc>
      </w:tr>
      <w:tr w:rsidR="00E84D7D" w:rsidRPr="00F21EDD" w14:paraId="7C1A06A3"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25F9AF12" w14:textId="297191C7" w:rsidR="00E84D7D" w:rsidRPr="00E84D7D" w:rsidRDefault="00E84D7D" w:rsidP="0000574D">
            <w:pPr>
              <w:spacing w:before="240"/>
              <w:jc w:val="both"/>
              <w:rPr>
                <w:rFonts w:ascii="Arial" w:eastAsia="Times New Roman" w:hAnsi="Arial" w:cs="Arial"/>
                <w:color w:val="000000"/>
                <w:sz w:val="20"/>
                <w:szCs w:val="20"/>
                <w:lang w:val="en-US"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{"citationID":"a13gh5nn7n7","properties":{"formattedCitation":"\\uldash{(Kim et al., 2021)}","plainCitation":"(Kim et al., 2021)","dontUpdate":true,"noteIndex":0},"citationItems":[{"id":702,"uris":["http://zotero.org/users/3583561/items/GL5QSYHK"],"itemData":{"id":702,"type":"article-journal","abstract":"Extracellular vesicles (EVs) contain various types of molecules including micro-RNAs, so isolating EVs can be an effective way to analyze and diagnose diseases. A lot of micro-RNAs have been known in relation to prostate cancer (PCa), and we evaluate miR-21, miR-141, and miR-221 in EVs and compare them with prostate-specific antigen (PSA). EVs were isolated from plasma of 38 patients with prostate cancer and 8 patients with benign prostatic hyperplasia (BPH), using a method that showed the highest recovery of RNA. Isolation of EVs concentrated micro-RNAs, reducing the cycle threshold (Ct) value of RT-qPCR amplification of micro-RNA such as miR-16 by 5.12 and miR-191 by 4.65, compared to the values before EV isolation. Normalization of target micro-RNAs was done using miR-191. For miR-221, the mean expression level of patients with localized PCa was significantly higher than that of the control group, having 33.45 times higher expression than the control group (p &lt; 0.01). Area under curve (AUC) between BPH and PCa for miR-221 was 0.98 (p &lt; 0.0001), which was better than AUC for prostate-specific antigen (PSA) level in serum for the same patients. The levels of miR-21 and miR-141 in EVs did not show significant changes in patients with PCa compared to the control group in this study. This study suggests isolating EVs can be a helpful approach in analyzing micro-RNAs with regard to disease.","container-title":"PloS One","DOI":"10.1371/journal.pone.0262017","ISSN":"1932-6203","issue":"12","journalAbbreviation":"PLoS One","language":"eng","note":"PMID: 34972164\nPMCID: PMC8719659","page":"e0262017","source":"PubMed","title":"Evaluation of micro-RNA in extracellular vesicles from blood of patients with prostate cancer","volume":"16","author":[{"family":"Kim","given":"Jiyoon"},{"family":"Cho","given":"Siwoo"},{"family":"Park","given":"Yonghyun"},{"family":"Lee","given":"Jiyoul"},{"family":"Park","given":"Jaesung"}],"issued":{"date-parts":[["2021"]]}}}],"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Kim et al., 2021</w:t>
            </w:r>
            <w:r w:rsidRPr="00E84D7D">
              <w:rPr>
                <w:rFonts w:ascii="Arial" w:hAnsi="Arial" w:cs="Arial"/>
                <w:color w:val="000000"/>
                <w:lang w:eastAsia="fr-FR"/>
              </w:rPr>
              <w:fldChar w:fldCharType="end"/>
            </w:r>
          </w:p>
        </w:tc>
        <w:tc>
          <w:tcPr>
            <w:tcW w:w="1084" w:type="dxa"/>
            <w:tcBorders>
              <w:top w:val="nil"/>
              <w:bottom w:val="nil"/>
            </w:tcBorders>
            <w:noWrap/>
          </w:tcPr>
          <w:p w14:paraId="7190D9EA"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Korea</w:t>
            </w:r>
          </w:p>
        </w:tc>
        <w:tc>
          <w:tcPr>
            <w:tcW w:w="927" w:type="dxa"/>
            <w:tcBorders>
              <w:top w:val="nil"/>
              <w:bottom w:val="nil"/>
            </w:tcBorders>
          </w:tcPr>
          <w:p w14:paraId="5D04DFEA"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BPH</w:t>
            </w:r>
          </w:p>
        </w:tc>
        <w:tc>
          <w:tcPr>
            <w:tcW w:w="695" w:type="dxa"/>
            <w:tcBorders>
              <w:top w:val="nil"/>
              <w:bottom w:val="nil"/>
            </w:tcBorders>
            <w:noWrap/>
          </w:tcPr>
          <w:p w14:paraId="1F0F023B"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38</w:t>
            </w:r>
          </w:p>
        </w:tc>
        <w:tc>
          <w:tcPr>
            <w:tcW w:w="927" w:type="dxa"/>
            <w:tcBorders>
              <w:top w:val="nil"/>
              <w:bottom w:val="nil"/>
            </w:tcBorders>
            <w:noWrap/>
          </w:tcPr>
          <w:p w14:paraId="1DD54C5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8</w:t>
            </w:r>
          </w:p>
        </w:tc>
        <w:tc>
          <w:tcPr>
            <w:tcW w:w="1361" w:type="dxa"/>
            <w:tcBorders>
              <w:top w:val="nil"/>
              <w:bottom w:val="nil"/>
            </w:tcBorders>
            <w:noWrap/>
          </w:tcPr>
          <w:p w14:paraId="1ADE038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Plasma (</w:t>
            </w:r>
            <w:proofErr w:type="spellStart"/>
            <w:r w:rsidRPr="00F21EDD">
              <w:rPr>
                <w:rFonts w:ascii="Arial" w:eastAsia="Times New Roman" w:hAnsi="Arial" w:cs="Arial"/>
                <w:color w:val="000000"/>
                <w:sz w:val="20"/>
                <w:szCs w:val="20"/>
                <w:lang w:val="en-US" w:eastAsia="fr-FR"/>
              </w:rPr>
              <w:t>exsosomes</w:t>
            </w:r>
            <w:proofErr w:type="spellEnd"/>
            <w:r w:rsidRPr="00F21EDD">
              <w:rPr>
                <w:rFonts w:ascii="Arial" w:eastAsia="Times New Roman" w:hAnsi="Arial" w:cs="Arial"/>
                <w:color w:val="000000"/>
                <w:sz w:val="20"/>
                <w:szCs w:val="20"/>
                <w:lang w:val="en-US" w:eastAsia="fr-FR"/>
              </w:rPr>
              <w:t>)</w:t>
            </w:r>
          </w:p>
        </w:tc>
        <w:tc>
          <w:tcPr>
            <w:tcW w:w="1172" w:type="dxa"/>
            <w:tcBorders>
              <w:top w:val="nil"/>
              <w:bottom w:val="nil"/>
            </w:tcBorders>
          </w:tcPr>
          <w:p w14:paraId="52399FFD"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07BBA03B"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MiR-141</w:t>
            </w:r>
          </w:p>
        </w:tc>
        <w:tc>
          <w:tcPr>
            <w:tcW w:w="717" w:type="dxa"/>
            <w:tcBorders>
              <w:top w:val="nil"/>
              <w:bottom w:val="nil"/>
            </w:tcBorders>
            <w:noWrap/>
          </w:tcPr>
          <w:p w14:paraId="43FE9973"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717" w:type="dxa"/>
            <w:tcBorders>
              <w:top w:val="nil"/>
              <w:bottom w:val="nil"/>
            </w:tcBorders>
            <w:noWrap/>
          </w:tcPr>
          <w:p w14:paraId="1951BC7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550" w:type="dxa"/>
            <w:tcBorders>
              <w:top w:val="nil"/>
              <w:bottom w:val="nil"/>
            </w:tcBorders>
            <w:noWrap/>
          </w:tcPr>
          <w:p w14:paraId="6FB7624A"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72" w:type="dxa"/>
            <w:tcBorders>
              <w:top w:val="nil"/>
              <w:bottom w:val="nil"/>
            </w:tcBorders>
            <w:noWrap/>
          </w:tcPr>
          <w:p w14:paraId="69429AE7"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83" w:type="dxa"/>
            <w:tcBorders>
              <w:top w:val="nil"/>
              <w:bottom w:val="nil"/>
            </w:tcBorders>
            <w:noWrap/>
          </w:tcPr>
          <w:p w14:paraId="3B3D9105"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83" w:type="dxa"/>
            <w:tcBorders>
              <w:top w:val="nil"/>
              <w:bottom w:val="nil"/>
            </w:tcBorders>
            <w:noWrap/>
          </w:tcPr>
          <w:p w14:paraId="43F14562"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650" w:type="dxa"/>
            <w:tcBorders>
              <w:top w:val="nil"/>
              <w:bottom w:val="nil"/>
            </w:tcBorders>
          </w:tcPr>
          <w:p w14:paraId="19FF8EE7"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0.52</w:t>
            </w:r>
          </w:p>
        </w:tc>
      </w:tr>
      <w:tr w:rsidR="00E84D7D" w:rsidRPr="00F21EDD" w14:paraId="737C3366"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0D7D8970" w14:textId="0DDDBFB1"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{"citationID":"a2acjjaubn2","properties":{"formattedCitation":"\\uldash{(Ciszkowicz et al., 2020)}","plainCitation":"(Ciszkowicz et al., 2020)","dontUpdate":true,"noteIndex":0},"citationItems":[{"id":578,"uris":["http://zotero.org/users/3583561/items/ME5Z4QWB"],"itemData":{"id":578,"type":"article-journal","abstract":"Dysregulation of miRNAs has a fundamental role in the initiation, development and progression of prostate cancer (PCa). The potential of miRNA in gene therapy and diagnostic applications is well documented. To further improve miRNAs' ability to distinguish between PCa and benign prostatic hyperplasia (BPH) patients, nine miRNA (-21, -27b, -93, -141, -205, -221, -182, -375 and let-7a) with the highest reported differentiation power were chosen and for the first time used in comparative studies of serum and prostate tissue samples. Spearman correlations and response operating characteristic (ROC) analyses were applied to assess the capability of the miRNAs present in serum to discriminate between PCa and BPH patients. The present study clearly demonstrates that miR-93 and miR-375 could be taken into consideration as single blood-based non-invasive molecules to distinguish PCa from BPH patients. We indicate that these two miRNAs have six common, PCa-related, target genes (CCND2, MAP3K2, MXI1, PAFAH1B1, YOD1, ZFYVE26) that share the molecular function of protein binding (GO:0005515 term). A high diagnostic value of the new serum derived miR-182 (AUC = 0.881, 95% confidence interval, CI = 0.816-0.946, p &lt; 0.0001, sensitivity and specificity were 85% and 79%, respectively) is also described.","container-title":"International Journal of Molecular Sciences","DOI":"10.3390/ijms21165667","ISSN":"Canatan","issue":"16","journalAbbreviation":"Int J Mol Sci","language":"eng","note":"PMID: 32784653\nPMCID: PMC7460886","page":"5667","source":"PubMed","title":"MiR-93/miR-375: Diagnostic Potential, Aggressiveness Correlation and Common Target Genes in Prostate Cancer","title-short":"MiR-93/miR-375","volume":"21","author":[{"family":"Ciszkowicz","given":"Ewa"},{"family":"Porzycki","given":"Paweł"},{"family":"Semik","given":"Małgorzata"},{"family":"Kaznowska","given":"Ewa"},{"family":"Tyrka","given":"Mirosław"}],"issued":{"date-parts":[["2020",8,7]]}}}],"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Ciszkowicz et al., 2020</w:t>
            </w:r>
            <w:r w:rsidRPr="00E84D7D">
              <w:rPr>
                <w:rFonts w:ascii="Arial" w:hAnsi="Arial" w:cs="Arial"/>
                <w:color w:val="000000"/>
                <w:lang w:eastAsia="fr-FR"/>
              </w:rPr>
              <w:fldChar w:fldCharType="end"/>
            </w:r>
          </w:p>
        </w:tc>
        <w:tc>
          <w:tcPr>
            <w:tcW w:w="1084" w:type="dxa"/>
            <w:tcBorders>
              <w:top w:val="nil"/>
              <w:bottom w:val="nil"/>
            </w:tcBorders>
            <w:noWrap/>
          </w:tcPr>
          <w:p w14:paraId="53062CFF"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Poland</w:t>
            </w:r>
          </w:p>
        </w:tc>
        <w:tc>
          <w:tcPr>
            <w:tcW w:w="927" w:type="dxa"/>
            <w:tcBorders>
              <w:top w:val="nil"/>
              <w:bottom w:val="nil"/>
            </w:tcBorders>
          </w:tcPr>
          <w:p w14:paraId="2EF915EB"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BPH</w:t>
            </w:r>
          </w:p>
        </w:tc>
        <w:tc>
          <w:tcPr>
            <w:tcW w:w="695" w:type="dxa"/>
            <w:tcBorders>
              <w:top w:val="nil"/>
              <w:bottom w:val="nil"/>
            </w:tcBorders>
            <w:noWrap/>
          </w:tcPr>
          <w:p w14:paraId="24CAA5B3"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40</w:t>
            </w:r>
          </w:p>
        </w:tc>
        <w:tc>
          <w:tcPr>
            <w:tcW w:w="927" w:type="dxa"/>
            <w:tcBorders>
              <w:top w:val="nil"/>
              <w:bottom w:val="nil"/>
            </w:tcBorders>
            <w:noWrap/>
          </w:tcPr>
          <w:p w14:paraId="0D4388E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62</w:t>
            </w:r>
          </w:p>
        </w:tc>
        <w:tc>
          <w:tcPr>
            <w:tcW w:w="1361" w:type="dxa"/>
            <w:tcBorders>
              <w:top w:val="nil"/>
              <w:bottom w:val="nil"/>
            </w:tcBorders>
            <w:noWrap/>
          </w:tcPr>
          <w:p w14:paraId="72E7438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Serum</w:t>
            </w:r>
          </w:p>
        </w:tc>
        <w:tc>
          <w:tcPr>
            <w:tcW w:w="1172" w:type="dxa"/>
            <w:tcBorders>
              <w:top w:val="nil"/>
              <w:bottom w:val="nil"/>
            </w:tcBorders>
          </w:tcPr>
          <w:p w14:paraId="2D1694CB"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5657083C"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miR-141</w:t>
            </w:r>
          </w:p>
        </w:tc>
        <w:tc>
          <w:tcPr>
            <w:tcW w:w="717" w:type="dxa"/>
            <w:tcBorders>
              <w:top w:val="nil"/>
              <w:bottom w:val="nil"/>
            </w:tcBorders>
            <w:noWrap/>
          </w:tcPr>
          <w:p w14:paraId="63E3D37D"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92.00</w:t>
            </w:r>
          </w:p>
        </w:tc>
        <w:tc>
          <w:tcPr>
            <w:tcW w:w="717" w:type="dxa"/>
            <w:tcBorders>
              <w:top w:val="nil"/>
              <w:bottom w:val="nil"/>
            </w:tcBorders>
            <w:noWrap/>
          </w:tcPr>
          <w:p w14:paraId="36355F9E"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66.00</w:t>
            </w:r>
          </w:p>
        </w:tc>
        <w:tc>
          <w:tcPr>
            <w:tcW w:w="550" w:type="dxa"/>
            <w:tcBorders>
              <w:top w:val="nil"/>
              <w:bottom w:val="nil"/>
            </w:tcBorders>
            <w:noWrap/>
          </w:tcPr>
          <w:p w14:paraId="38A1F7E1"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37</w:t>
            </w:r>
          </w:p>
        </w:tc>
        <w:tc>
          <w:tcPr>
            <w:tcW w:w="472" w:type="dxa"/>
            <w:tcBorders>
              <w:top w:val="nil"/>
              <w:bottom w:val="nil"/>
            </w:tcBorders>
            <w:noWrap/>
          </w:tcPr>
          <w:p w14:paraId="38AF5785"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21</w:t>
            </w:r>
          </w:p>
        </w:tc>
        <w:tc>
          <w:tcPr>
            <w:tcW w:w="483" w:type="dxa"/>
            <w:tcBorders>
              <w:top w:val="nil"/>
              <w:bottom w:val="nil"/>
            </w:tcBorders>
            <w:noWrap/>
          </w:tcPr>
          <w:p w14:paraId="39BD488E"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41</w:t>
            </w:r>
          </w:p>
        </w:tc>
        <w:tc>
          <w:tcPr>
            <w:tcW w:w="483" w:type="dxa"/>
            <w:tcBorders>
              <w:top w:val="nil"/>
              <w:bottom w:val="nil"/>
            </w:tcBorders>
            <w:noWrap/>
          </w:tcPr>
          <w:p w14:paraId="2D95551D"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3</w:t>
            </w:r>
          </w:p>
        </w:tc>
        <w:tc>
          <w:tcPr>
            <w:tcW w:w="650" w:type="dxa"/>
            <w:tcBorders>
              <w:top w:val="nil"/>
              <w:bottom w:val="nil"/>
            </w:tcBorders>
          </w:tcPr>
          <w:p w14:paraId="54EF1818"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0.85</w:t>
            </w:r>
          </w:p>
        </w:tc>
      </w:tr>
      <w:tr w:rsidR="00E84D7D" w:rsidRPr="00F21EDD" w14:paraId="73728FE3"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7ECCB25B" w14:textId="03B21F77"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lastRenderedPageBreak/>
              <w:fldChar w:fldCharType="begin"/>
            </w:r>
            <w:r w:rsidRPr="00E84D7D">
              <w:rPr>
                <w:rFonts w:ascii="Arial" w:eastAsia="Times New Roman" w:hAnsi="Arial" w:cs="Arial"/>
                <w:color w:val="000000"/>
                <w:sz w:val="20"/>
                <w:szCs w:val="20"/>
                <w:lang w:eastAsia="fr-FR"/>
              </w:rPr>
              <w:instrText xml:space="preserve"> ADDIN ZOTERO_ITEM CSL_CITATION {"citationID":"a2hal1jeutk","properties":{"formattedCitation":"\\uldash{(Jin et al., 2020)}","plainCitation":"(Jin et al., 2020)","dontUpdate":true,"noteIndex":0},"citationItems":[{"id":790,"uris":["http://zotero.org/users/3583561/items/TY9SS6IY"],"itemData":{"id":790,"type":"article-journal","abstract":"Body fluids often contain freely circulating nucleic acids, many of which can be exploited as noninvasive tools for the diagnosis of cancer as well as for clinical prognostication. Identifying microRNAs (miRNAs) in subjects' blood with various malignancies means that they can serve as novel biomarkers for prostate cancer (PCa) diagnosis. This study analyzed serum-circulating miRNAs as a noninvasive biomarker in subjects with PCa and subjects with benign prostatic hyperplasia (BPH). In total, 31 PCa subjects and 31 BPH subjects were included, with the BPH group serving as the control group. RT-qPCR was used to quantify the levels of 10 miRNAs, which included miR-18a, miR-34a, miR-106b, miR-183, miR-200a, miR-301a, miR-141, miR-182, miR-200b, and miR-375 in serum. Statistical tests were used to assess the relationship between the levels of miRNAs and the clinicopathological data. A significant increase was observed in the relative expression ratios of miR-141, miR-182, miR-200b, and miR-375 (1.89-, 2.09-, 2.41-, and 2.27-folds, respectively) in the PCa group when compared to the BPH group. Based on the receiver operating characteristic (ROC) analysis, the largest area under the curve (AUC), 0.923, was associated with the miR-200b group, indicating effective diagnostic properties for this biomarker. A correlation was observed between total prostate-specific antigen (TPSA) and the relative levels of miR-141, miR-182, miR-200b, and miR-375. The Gleason score and the miR-200b expression level were also correlated. These results are consistent with previous studies regarding the possibility of differentiating between PCa subjects and healthy controls based on the detection of miRNA. The findings attest to a distinctive expression profile of miRNA that is detectable in the blood of PCa subjects, thereby confirming the role of miRNAs as diagnostic biomarkers for PCa.","container-title":"Journal of Immunology Research","DOI":"10.1155/2020/5873056","ISSN":"2314-7156","journalAbbreviation":"J Immunol Res","language":"eng","note":"PMID: 32455140\nPMCID: PMC7230987","page":"5873056","source":"PubMed","title":"Circulating miRNAs as Biomarkers for Prostate Cancer Diagnosis in Subjects with Benign Prostatic Hyperplasia","volume":"2020","author":[{"family":"Jin","given":"Wei"},{"family":"Fei","given":"Xiang"},{"family":"Wang","given":"Xia"},{"family":"Chen","given":"Fangjie"},{"family":"Song","given":"Yan"}],"issued":{"date-parts":[["2020"]]}}}],"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Jin et al., 2020</w:t>
            </w:r>
            <w:r w:rsidRPr="00E84D7D">
              <w:rPr>
                <w:rFonts w:ascii="Arial" w:hAnsi="Arial" w:cs="Arial"/>
                <w:color w:val="000000"/>
                <w:lang w:eastAsia="fr-FR"/>
              </w:rPr>
              <w:fldChar w:fldCharType="end"/>
            </w:r>
          </w:p>
        </w:tc>
        <w:tc>
          <w:tcPr>
            <w:tcW w:w="1084" w:type="dxa"/>
            <w:tcBorders>
              <w:top w:val="nil"/>
              <w:bottom w:val="nil"/>
            </w:tcBorders>
            <w:noWrap/>
          </w:tcPr>
          <w:p w14:paraId="65E3C06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China</w:t>
            </w:r>
          </w:p>
        </w:tc>
        <w:tc>
          <w:tcPr>
            <w:tcW w:w="927" w:type="dxa"/>
            <w:tcBorders>
              <w:top w:val="nil"/>
              <w:bottom w:val="nil"/>
            </w:tcBorders>
          </w:tcPr>
          <w:p w14:paraId="6D58BBDB"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BPH</w:t>
            </w:r>
          </w:p>
        </w:tc>
        <w:tc>
          <w:tcPr>
            <w:tcW w:w="695" w:type="dxa"/>
            <w:tcBorders>
              <w:top w:val="nil"/>
              <w:bottom w:val="nil"/>
            </w:tcBorders>
            <w:noWrap/>
          </w:tcPr>
          <w:p w14:paraId="002BA03F"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31</w:t>
            </w:r>
          </w:p>
        </w:tc>
        <w:tc>
          <w:tcPr>
            <w:tcW w:w="927" w:type="dxa"/>
            <w:tcBorders>
              <w:top w:val="nil"/>
              <w:bottom w:val="nil"/>
            </w:tcBorders>
            <w:noWrap/>
          </w:tcPr>
          <w:p w14:paraId="24AF42B7"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31</w:t>
            </w:r>
          </w:p>
        </w:tc>
        <w:tc>
          <w:tcPr>
            <w:tcW w:w="1361" w:type="dxa"/>
            <w:tcBorders>
              <w:top w:val="nil"/>
              <w:bottom w:val="nil"/>
            </w:tcBorders>
            <w:noWrap/>
          </w:tcPr>
          <w:p w14:paraId="729F384D"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Plasma</w:t>
            </w:r>
          </w:p>
        </w:tc>
        <w:tc>
          <w:tcPr>
            <w:tcW w:w="1172" w:type="dxa"/>
            <w:tcBorders>
              <w:top w:val="nil"/>
              <w:bottom w:val="nil"/>
            </w:tcBorders>
          </w:tcPr>
          <w:p w14:paraId="613FD7AF"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69423C33"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miR-141</w:t>
            </w:r>
          </w:p>
        </w:tc>
        <w:tc>
          <w:tcPr>
            <w:tcW w:w="717" w:type="dxa"/>
            <w:tcBorders>
              <w:top w:val="nil"/>
              <w:bottom w:val="nil"/>
            </w:tcBorders>
            <w:noWrap/>
          </w:tcPr>
          <w:p w14:paraId="2D0C5263"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717" w:type="dxa"/>
            <w:tcBorders>
              <w:top w:val="nil"/>
              <w:bottom w:val="nil"/>
            </w:tcBorders>
            <w:noWrap/>
          </w:tcPr>
          <w:p w14:paraId="4CC15BFB"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550" w:type="dxa"/>
            <w:tcBorders>
              <w:top w:val="nil"/>
              <w:bottom w:val="nil"/>
            </w:tcBorders>
            <w:noWrap/>
          </w:tcPr>
          <w:p w14:paraId="30F298FB"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72" w:type="dxa"/>
            <w:tcBorders>
              <w:top w:val="nil"/>
              <w:bottom w:val="nil"/>
            </w:tcBorders>
            <w:noWrap/>
          </w:tcPr>
          <w:p w14:paraId="65E3A521"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83" w:type="dxa"/>
            <w:tcBorders>
              <w:top w:val="nil"/>
              <w:bottom w:val="nil"/>
            </w:tcBorders>
            <w:noWrap/>
          </w:tcPr>
          <w:p w14:paraId="6942DBEC"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83" w:type="dxa"/>
            <w:tcBorders>
              <w:top w:val="nil"/>
              <w:bottom w:val="nil"/>
            </w:tcBorders>
            <w:noWrap/>
          </w:tcPr>
          <w:p w14:paraId="44FBCD0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650" w:type="dxa"/>
            <w:tcBorders>
              <w:top w:val="nil"/>
              <w:bottom w:val="nil"/>
            </w:tcBorders>
          </w:tcPr>
          <w:p w14:paraId="0AF4FBF5"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0.89</w:t>
            </w:r>
          </w:p>
        </w:tc>
      </w:tr>
      <w:tr w:rsidR="00E84D7D" w:rsidRPr="00C12CF0" w14:paraId="386D98B1" w14:textId="77777777" w:rsidTr="00E84D7D">
        <w:trPr>
          <w:trHeight w:val="556"/>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0D06E5EA" w14:textId="170FFEC2"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{"citationID":"avaa3g7b7h","properties":{"formattedCitation":"\\uldash{(Ghorbanmehr et al., 2019)}","plainCitation":"(Ghorbanmehr et al., 2019)","dontUpdate":true,"noteIndex":0},"citationItems":[{"id":635,"uris":["http://zotero.org/users/3583561/items/F7D6GAQP"],"itemData":{"id":635,"type":"article-journal","abstract":"BACKGROUND: Early detection of cancers improves patients' survival and decreases the treatment cost. Unfortunately, the current methods for diagnosis of bladder and prostate cancers, two most common urothelial malignancies, suffer from a low sensitivity and specificity. MicroRNAs, as a group of endogenously produced non-coding RNAs, regulate gene expression and their expression is observed to be altered in many cancers and cancer progression phenomena. The remarkable stability of microRNAs in biofluids and their unique expression pattern in different pathological conditions make them an appealing, noninvasive diagnostic method in cancer diagnosis. Our objective is to identify microRNAs as biomarkers in urine samples of bladder and prostate cancers to improve the existing diagnostic methods in this field.\nMATERIALS AND METHODS: In this study, urine samples from 110 men with either bladder (n = 45) or prostate (n = 23) cancer, benign prostatic hyperplasia (n = 22) and healthy controls (n = 20) were collected. qPCR was used to evaluate the expression level of miR-21-5p, miR-141-3p, and miR-205-5p in these samples. The sensitivity and specificity of these microRNAs were determined using ROC curve analysis.\nRESULTS: The analysis of the data revealed that miR-21-5p, miR-141-3p, and miR-205-5p are differentially expressed in urine of bladder and prostate cancer patients. All these three microRNAs were upregulated in these samples and they were also able to differentiate benign prostatic hyperplasia from malignant cases. The statistical analyses revealed a good specificity for each individual microRNA.\nCONCLUSION: The results show that these three urine-based microRNAs might be a good choice to implement a specific and non-invasive diagnostic tool for bladder and prostate cancer. The expression pattern of all three microRNAs was particularly useful to distinguish benign and invasive tumors in prostate cases. From the patients' perspective the improvement of the diagnostic situation is awaited eagerly.","container-title":"The Prostate","DOI":"10.1002/pros.23714","ISSN":"1097-0045","issue":"1","journalAbbreviation":"Prostate","language":"eng","note":"PMID: 30194772","page":"88-95","source":"PubMed","title":"miR-21-5p, miR-141-3p, and miR-205-5p levels in urine-promising biomarkers for the identification of prostate and bladder cancer","volume":"79","author":[{"family":"Ghorbanmehr","given":"Nassim"},{"family":"Gharbi","given":"Sedigheh"},{"family":"Korsching","given":"Eberhard"},{"family":"Tavallaei","given":"Mahmood"},{"family":"Einollahi","given":"Behzad"},{"family":"Mowla","given":"Seyed Javad"}],"issued":{"date-parts":[["2019",1]]}}}],"schema":"https://github.com/citation-style-language/schema/raw/master/csl-citation.json"}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Ghorbanmehr et al., 2019</w:t>
            </w:r>
            <w:r w:rsidRPr="00E84D7D">
              <w:rPr>
                <w:rFonts w:ascii="Arial" w:hAnsi="Arial" w:cs="Arial"/>
                <w:color w:val="000000"/>
                <w:lang w:eastAsia="fr-FR"/>
              </w:rPr>
              <w:fldChar w:fldCharType="end"/>
            </w:r>
          </w:p>
        </w:tc>
        <w:tc>
          <w:tcPr>
            <w:tcW w:w="1084" w:type="dxa"/>
            <w:tcBorders>
              <w:top w:val="nil"/>
              <w:bottom w:val="nil"/>
            </w:tcBorders>
            <w:noWrap/>
          </w:tcPr>
          <w:p w14:paraId="3D90F8CA"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Iran</w:t>
            </w:r>
          </w:p>
        </w:tc>
        <w:tc>
          <w:tcPr>
            <w:tcW w:w="927" w:type="dxa"/>
            <w:tcBorders>
              <w:top w:val="nil"/>
              <w:bottom w:val="nil"/>
            </w:tcBorders>
          </w:tcPr>
          <w:p w14:paraId="7DA53DAA"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gramStart"/>
            <w:r w:rsidRPr="00F21EDD">
              <w:rPr>
                <w:rFonts w:ascii="Arial" w:eastAsia="Times New Roman" w:hAnsi="Arial" w:cs="Arial"/>
                <w:color w:val="000000"/>
                <w:sz w:val="20"/>
                <w:szCs w:val="20"/>
                <w:lang w:eastAsia="fr-FR"/>
              </w:rPr>
              <w:t>BPH;</w:t>
            </w:r>
            <w:proofErr w:type="gramEnd"/>
            <w:r w:rsidRPr="00F21EDD">
              <w:rPr>
                <w:rFonts w:ascii="Arial" w:eastAsia="Times New Roman" w:hAnsi="Arial" w:cs="Arial"/>
                <w:color w:val="000000"/>
                <w:sz w:val="20"/>
                <w:szCs w:val="20"/>
                <w:lang w:eastAsia="fr-FR"/>
              </w:rPr>
              <w:t xml:space="preserve"> HP </w:t>
            </w:r>
          </w:p>
        </w:tc>
        <w:tc>
          <w:tcPr>
            <w:tcW w:w="695" w:type="dxa"/>
            <w:tcBorders>
              <w:top w:val="nil"/>
              <w:bottom w:val="nil"/>
            </w:tcBorders>
            <w:noWrap/>
          </w:tcPr>
          <w:p w14:paraId="473B8C42"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23</w:t>
            </w:r>
          </w:p>
        </w:tc>
        <w:tc>
          <w:tcPr>
            <w:tcW w:w="927" w:type="dxa"/>
            <w:tcBorders>
              <w:top w:val="nil"/>
              <w:bottom w:val="nil"/>
            </w:tcBorders>
            <w:noWrap/>
          </w:tcPr>
          <w:p w14:paraId="52809039"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42</w:t>
            </w:r>
          </w:p>
        </w:tc>
        <w:tc>
          <w:tcPr>
            <w:tcW w:w="1361" w:type="dxa"/>
            <w:tcBorders>
              <w:top w:val="nil"/>
              <w:bottom w:val="nil"/>
            </w:tcBorders>
            <w:noWrap/>
          </w:tcPr>
          <w:p w14:paraId="2929C92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Urine</w:t>
            </w:r>
          </w:p>
        </w:tc>
        <w:tc>
          <w:tcPr>
            <w:tcW w:w="1172" w:type="dxa"/>
            <w:tcBorders>
              <w:top w:val="nil"/>
              <w:bottom w:val="nil"/>
            </w:tcBorders>
          </w:tcPr>
          <w:p w14:paraId="4316ACF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RT-</w:t>
            </w:r>
            <w:proofErr w:type="spellStart"/>
            <w:r w:rsidRPr="00F21EDD">
              <w:rPr>
                <w:rFonts w:ascii="Arial" w:eastAsia="Times New Roman" w:hAnsi="Arial" w:cs="Arial"/>
                <w:color w:val="000000"/>
                <w:sz w:val="20"/>
                <w:szCs w:val="20"/>
                <w:lang w:eastAsia="fr-FR"/>
              </w:rPr>
              <w:t>qPCR</w:t>
            </w:r>
            <w:proofErr w:type="spellEnd"/>
          </w:p>
        </w:tc>
        <w:tc>
          <w:tcPr>
            <w:tcW w:w="1206" w:type="dxa"/>
            <w:tcBorders>
              <w:top w:val="nil"/>
              <w:bottom w:val="nil"/>
            </w:tcBorders>
            <w:noWrap/>
          </w:tcPr>
          <w:p w14:paraId="57F66ABA"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gramStart"/>
            <w:r w:rsidRPr="00F21EDD">
              <w:rPr>
                <w:rFonts w:ascii="Arial" w:eastAsia="Times New Roman" w:hAnsi="Arial" w:cs="Arial"/>
                <w:color w:val="000000"/>
                <w:sz w:val="20"/>
                <w:szCs w:val="20"/>
                <w:lang w:eastAsia="fr-FR"/>
              </w:rPr>
              <w:t>miR</w:t>
            </w:r>
            <w:proofErr w:type="gramEnd"/>
            <w:r w:rsidRPr="00F21EDD">
              <w:rPr>
                <w:rFonts w:ascii="Arial" w:eastAsia="Times New Roman" w:hAnsi="Arial" w:cs="Arial"/>
                <w:color w:val="000000"/>
                <w:sz w:val="20"/>
                <w:szCs w:val="20"/>
                <w:lang w:eastAsia="fr-FR"/>
              </w:rPr>
              <w:t>-141</w:t>
            </w:r>
          </w:p>
        </w:tc>
        <w:tc>
          <w:tcPr>
            <w:tcW w:w="717" w:type="dxa"/>
            <w:tcBorders>
              <w:top w:val="nil"/>
              <w:bottom w:val="nil"/>
            </w:tcBorders>
            <w:noWrap/>
          </w:tcPr>
          <w:p w14:paraId="23694A19"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81.00</w:t>
            </w:r>
          </w:p>
        </w:tc>
        <w:tc>
          <w:tcPr>
            <w:tcW w:w="717" w:type="dxa"/>
            <w:tcBorders>
              <w:top w:val="nil"/>
              <w:bottom w:val="nil"/>
            </w:tcBorders>
            <w:noWrap/>
          </w:tcPr>
          <w:p w14:paraId="194C6379"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86.00</w:t>
            </w:r>
          </w:p>
        </w:tc>
        <w:tc>
          <w:tcPr>
            <w:tcW w:w="550" w:type="dxa"/>
            <w:tcBorders>
              <w:top w:val="nil"/>
              <w:bottom w:val="nil"/>
            </w:tcBorders>
            <w:noWrap/>
          </w:tcPr>
          <w:p w14:paraId="2290C9E3"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19</w:t>
            </w:r>
          </w:p>
        </w:tc>
        <w:tc>
          <w:tcPr>
            <w:tcW w:w="472" w:type="dxa"/>
            <w:tcBorders>
              <w:top w:val="nil"/>
              <w:bottom w:val="nil"/>
            </w:tcBorders>
            <w:noWrap/>
          </w:tcPr>
          <w:p w14:paraId="279DD465"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6</w:t>
            </w:r>
          </w:p>
        </w:tc>
        <w:tc>
          <w:tcPr>
            <w:tcW w:w="483" w:type="dxa"/>
            <w:tcBorders>
              <w:top w:val="nil"/>
              <w:bottom w:val="nil"/>
            </w:tcBorders>
            <w:noWrap/>
          </w:tcPr>
          <w:p w14:paraId="6CE9F2BE"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36</w:t>
            </w:r>
          </w:p>
        </w:tc>
        <w:tc>
          <w:tcPr>
            <w:tcW w:w="483" w:type="dxa"/>
            <w:tcBorders>
              <w:top w:val="nil"/>
              <w:bottom w:val="nil"/>
            </w:tcBorders>
            <w:noWrap/>
          </w:tcPr>
          <w:p w14:paraId="66124ADF"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4</w:t>
            </w:r>
          </w:p>
        </w:tc>
        <w:tc>
          <w:tcPr>
            <w:tcW w:w="650" w:type="dxa"/>
            <w:tcBorders>
              <w:top w:val="nil"/>
              <w:bottom w:val="nil"/>
            </w:tcBorders>
          </w:tcPr>
          <w:p w14:paraId="66CF43EC"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0.85</w:t>
            </w:r>
          </w:p>
        </w:tc>
      </w:tr>
      <w:tr w:rsidR="00E84D7D" w:rsidRPr="00F21EDD" w14:paraId="4152EE7A"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5F877D9D" w14:textId="63AE2055" w:rsidR="00E84D7D" w:rsidRPr="00E84D7D" w:rsidRDefault="00E84D7D" w:rsidP="0000574D">
            <w:pPr>
              <w:spacing w:before="240"/>
              <w:jc w:val="both"/>
              <w:rPr>
                <w:rFonts w:ascii="Arial" w:eastAsia="Times New Roman" w:hAnsi="Arial" w:cs="Arial"/>
                <w:color w:val="000000"/>
                <w:sz w:val="20"/>
                <w:szCs w:val="20"/>
                <w:lang w:val="en-US"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{"citationID":"a2dm4g77sr1","properties":{"formattedCitation":"\\uldash{(Ali et al., 2018)}","plainCitation":"(Ali et al., 2018)","dontUpdate":true,"noteIndex":0},"citationItems":[{"id":757,"uris":["http://zotero.org/users/3583561/items/G5WNTQNA"],"itemData":{"id":757,"type":"article-journal","abstract":"Introduction\nmicroRNAs are a family of small non protein-coding RNAs. They are involved in post-transcriptional gene regulation of their target genes. The deregulation of microRNAs has been linked to cancer development and tumor progression. The aim of out study was to look for microRNA-141 as a diagnostic and prognostic biomarker for prostate cancer.\nPatients and methods\nThe study prospectively recruited 30 patients newly diagnosed with prostate cancer; including 13 and 17 patients without and with metastases, respectively. Another 30 patients without prostate cancer diagnosis were included as a control group. Real-time polymerase chain reaction analysis was done for relative quantification of microRNA-141.\nResults\nThe present study showed that microRNA-141 was significantly upregulated in cancerous patients compared to control group. Also it was significantly upregulated in patients with metastatic disease compared to non-metastatic patients. Moreover, it was significantly correlating with serum PSA and Gleason score.\nConclusion\nSerum microRNA-141 could be a promising diagnostic and prognostic biomarker for prostate cancer and a good indicative of disease aggressiveness.","container-title":"African Journal of Urology","DOI":"10.1016/j.afju.2018.11.006","ISSN":"1110-5704","issue":"4","journalAbbreviation":"African Journal of Urology","language":"en","page":"347-352","source":"ScienceDirect","title":"microRNA-141 as a diagnostic and prognostic biomarker for prostate cancer in Egyptian population: Pilot study","title-short":"microRNA-141 as a diagnostic and prognostic biomarker for prostate cancer in Egyptian population","URL":"https://www.sciencedirect.com/science/article/pii/S1110570418301279","volume":"24","author":[{"family":"Ali","given":"R."},{"family":"El Tabbakh","given":"S."},{"family":"El Delgawy","given":"W."},{"family":"Kotb","given":"A."},{"family":"Desouky","given":"M. N."}],"accessed":{"date-parts":[["2023",5,20]]},"issued":{"date-parts":[["2018",12,1]]}}}],"schema":"https://github.com/citation-style-language/schema/raw/master/csl-citation.json"}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Ali et al., 2018</w:t>
            </w:r>
            <w:r w:rsidRPr="00E84D7D">
              <w:rPr>
                <w:rFonts w:ascii="Arial" w:hAnsi="Arial" w:cs="Arial"/>
                <w:color w:val="000000"/>
                <w:lang w:eastAsia="fr-FR"/>
              </w:rPr>
              <w:fldChar w:fldCharType="end"/>
            </w:r>
            <w:r w:rsidRPr="00E84D7D">
              <w:rPr>
                <w:rFonts w:ascii="Arial" w:eastAsia="Times New Roman" w:hAnsi="Arial" w:cs="Arial"/>
                <w:color w:val="000000"/>
                <w:sz w:val="20"/>
                <w:szCs w:val="20"/>
                <w:lang w:val="en-US" w:eastAsia="fr-FR"/>
              </w:rPr>
              <w:t xml:space="preserve"> </w:t>
            </w:r>
          </w:p>
        </w:tc>
        <w:tc>
          <w:tcPr>
            <w:tcW w:w="1084" w:type="dxa"/>
            <w:tcBorders>
              <w:top w:val="nil"/>
              <w:bottom w:val="nil"/>
            </w:tcBorders>
            <w:noWrap/>
          </w:tcPr>
          <w:p w14:paraId="2C1B27D9"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Egypt</w:t>
            </w:r>
          </w:p>
        </w:tc>
        <w:tc>
          <w:tcPr>
            <w:tcW w:w="927" w:type="dxa"/>
            <w:tcBorders>
              <w:top w:val="nil"/>
              <w:bottom w:val="nil"/>
            </w:tcBorders>
          </w:tcPr>
          <w:p w14:paraId="28D46C9A"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HP</w:t>
            </w:r>
          </w:p>
        </w:tc>
        <w:tc>
          <w:tcPr>
            <w:tcW w:w="695" w:type="dxa"/>
            <w:tcBorders>
              <w:top w:val="nil"/>
              <w:bottom w:val="nil"/>
            </w:tcBorders>
            <w:noWrap/>
          </w:tcPr>
          <w:p w14:paraId="78570F55"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30</w:t>
            </w:r>
          </w:p>
        </w:tc>
        <w:tc>
          <w:tcPr>
            <w:tcW w:w="927" w:type="dxa"/>
            <w:tcBorders>
              <w:top w:val="nil"/>
              <w:bottom w:val="nil"/>
            </w:tcBorders>
            <w:noWrap/>
          </w:tcPr>
          <w:p w14:paraId="3EF42358"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30</w:t>
            </w:r>
          </w:p>
        </w:tc>
        <w:tc>
          <w:tcPr>
            <w:tcW w:w="1361" w:type="dxa"/>
            <w:tcBorders>
              <w:top w:val="nil"/>
              <w:bottom w:val="nil"/>
            </w:tcBorders>
            <w:noWrap/>
          </w:tcPr>
          <w:p w14:paraId="36FCBD5D"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Serum</w:t>
            </w:r>
          </w:p>
        </w:tc>
        <w:tc>
          <w:tcPr>
            <w:tcW w:w="1172" w:type="dxa"/>
            <w:tcBorders>
              <w:top w:val="nil"/>
              <w:bottom w:val="nil"/>
            </w:tcBorders>
          </w:tcPr>
          <w:p w14:paraId="18F95CD3"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316ABB6F"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miR-141</w:t>
            </w:r>
          </w:p>
        </w:tc>
        <w:tc>
          <w:tcPr>
            <w:tcW w:w="717" w:type="dxa"/>
            <w:tcBorders>
              <w:top w:val="nil"/>
              <w:bottom w:val="nil"/>
            </w:tcBorders>
            <w:noWrap/>
          </w:tcPr>
          <w:p w14:paraId="66A54E5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93.33</w:t>
            </w:r>
          </w:p>
        </w:tc>
        <w:tc>
          <w:tcPr>
            <w:tcW w:w="717" w:type="dxa"/>
            <w:tcBorders>
              <w:top w:val="nil"/>
              <w:bottom w:val="nil"/>
            </w:tcBorders>
            <w:noWrap/>
          </w:tcPr>
          <w:p w14:paraId="6EBA4DB8"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80.00</w:t>
            </w:r>
          </w:p>
        </w:tc>
        <w:tc>
          <w:tcPr>
            <w:tcW w:w="550" w:type="dxa"/>
            <w:tcBorders>
              <w:top w:val="nil"/>
              <w:bottom w:val="nil"/>
            </w:tcBorders>
            <w:noWrap/>
          </w:tcPr>
          <w:p w14:paraId="7C4472F1"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28</w:t>
            </w:r>
          </w:p>
        </w:tc>
        <w:tc>
          <w:tcPr>
            <w:tcW w:w="472" w:type="dxa"/>
            <w:tcBorders>
              <w:top w:val="nil"/>
              <w:bottom w:val="nil"/>
            </w:tcBorders>
            <w:noWrap/>
          </w:tcPr>
          <w:p w14:paraId="68FA855A"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6</w:t>
            </w:r>
          </w:p>
        </w:tc>
        <w:tc>
          <w:tcPr>
            <w:tcW w:w="483" w:type="dxa"/>
            <w:tcBorders>
              <w:top w:val="nil"/>
              <w:bottom w:val="nil"/>
            </w:tcBorders>
            <w:noWrap/>
          </w:tcPr>
          <w:p w14:paraId="6DDACCFF"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24</w:t>
            </w:r>
          </w:p>
        </w:tc>
        <w:tc>
          <w:tcPr>
            <w:tcW w:w="483" w:type="dxa"/>
            <w:tcBorders>
              <w:top w:val="nil"/>
              <w:bottom w:val="nil"/>
            </w:tcBorders>
            <w:noWrap/>
          </w:tcPr>
          <w:p w14:paraId="7DF743C6"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w:t>
            </w:r>
          </w:p>
        </w:tc>
        <w:tc>
          <w:tcPr>
            <w:tcW w:w="650" w:type="dxa"/>
            <w:tcBorders>
              <w:top w:val="nil"/>
              <w:bottom w:val="nil"/>
            </w:tcBorders>
          </w:tcPr>
          <w:p w14:paraId="11F00DED"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0.91</w:t>
            </w:r>
          </w:p>
        </w:tc>
      </w:tr>
      <w:tr w:rsidR="00E84D7D" w:rsidRPr="00F21EDD" w14:paraId="53A15C2D"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25938CB2" w14:textId="24463DA8"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{"citationID":"a2ormlbsss7","properties":{"formattedCitation":"\\uldash{(Guo et al., 2018)}","plainCitation":"(Guo et al., 2018)","dontUpdate":true,"noteIndex":0},"citationItems":[{"id":664,"uris":["http://zotero.org/users/3583561/items/8W3Z5M3S"],"itemData":{"id":664,"type":"article-journal","abstract":"BACKGROUND: Prostate cancer (PCa) is a common malignant human tumor and one of the main causes of cancer-related deaths in men. At present, prostate-specific antigen levels are widely used to diagnose PCa in the clinic, but they are not sufficient for an accurate early diagnosis or prognosis.\nMETHODS: To identify potential molecular markers for PCa, we used real-time PCR to measure the expression levels of various microRNAs, including miR-1825, miR-484, miR-205, miR-141, and let-7b, in the serum of 72 PCa patients and 34 healthy controls.\nRESULTS: miR-1825, miR-484, miR-205, miR-141, and let-7b were shown to be highly specific for PCa, suggesting that they could be used as PCa tumor screening biomarkers. miR-205 may also be used as a biomarker for indicating bone metastasis in PCa patients, miR-1825 levels may help indicate tumor-node-metastasis classification, the evaluation of treatment effects, and determining prognosis, while let-7b levels may indicate potential tumor malignancy and the hormone resistance status and could be used as a basis to adjust individual treatments for the high-risk, early diagnosis of refractory PCa.\nCONCLUSION: This study identified possible PCa tumor markers to more accurately predict the occurrence, progression, and prognosis of PCa, and which could be used in the development of tumor drug therapy.","container-title":"International Urology and Nephrology","DOI":"10.1007/s11255-018-2009-4","ISSN":"1573-2584","issue":"12","journalAbbreviation":"Int Urol Nephrol","language":"eng","note":"PMID: 30324582\nPMCID: PMC6267169","page":"2193-2200","source":"PubMed","title":"Five microRNAs in serum as potential biomarkers for prostate cancer risk assessment and therapeutic intervention","volume":"50","author":[{"family":"Guo","given":"Xiaogang"},{"family":"Han","given":"Tao"},{"family":"Hu","given":"Pingping"},{"family":"Guo","given":"Xiaojun"},{"family":"Zhu","given":"Changming"},{"family":"Wang","given":"Youbao"},{"family":"Chang","given":"Shaoyan"}],"issued":{"date-parts":[["2018",12]]}}}],"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Guo et al., 2018</w:t>
            </w:r>
            <w:r w:rsidRPr="00E84D7D">
              <w:rPr>
                <w:rFonts w:ascii="Arial" w:hAnsi="Arial" w:cs="Arial"/>
                <w:color w:val="000000"/>
                <w:lang w:eastAsia="fr-FR"/>
              </w:rPr>
              <w:fldChar w:fldCharType="end"/>
            </w:r>
          </w:p>
        </w:tc>
        <w:tc>
          <w:tcPr>
            <w:tcW w:w="1084" w:type="dxa"/>
            <w:tcBorders>
              <w:top w:val="nil"/>
              <w:bottom w:val="nil"/>
            </w:tcBorders>
            <w:noWrap/>
          </w:tcPr>
          <w:p w14:paraId="398F00CB"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China</w:t>
            </w:r>
          </w:p>
        </w:tc>
        <w:tc>
          <w:tcPr>
            <w:tcW w:w="927" w:type="dxa"/>
            <w:tcBorders>
              <w:top w:val="nil"/>
              <w:bottom w:val="nil"/>
            </w:tcBorders>
          </w:tcPr>
          <w:p w14:paraId="3E1E4D61"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HP</w:t>
            </w:r>
          </w:p>
        </w:tc>
        <w:tc>
          <w:tcPr>
            <w:tcW w:w="695" w:type="dxa"/>
            <w:tcBorders>
              <w:top w:val="nil"/>
              <w:bottom w:val="nil"/>
            </w:tcBorders>
            <w:noWrap/>
          </w:tcPr>
          <w:p w14:paraId="2B8B4FB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72</w:t>
            </w:r>
          </w:p>
        </w:tc>
        <w:tc>
          <w:tcPr>
            <w:tcW w:w="927" w:type="dxa"/>
            <w:tcBorders>
              <w:top w:val="nil"/>
              <w:bottom w:val="nil"/>
            </w:tcBorders>
            <w:noWrap/>
          </w:tcPr>
          <w:p w14:paraId="1A7DF24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34</w:t>
            </w:r>
          </w:p>
        </w:tc>
        <w:tc>
          <w:tcPr>
            <w:tcW w:w="1361" w:type="dxa"/>
            <w:tcBorders>
              <w:top w:val="nil"/>
              <w:bottom w:val="nil"/>
            </w:tcBorders>
            <w:noWrap/>
          </w:tcPr>
          <w:p w14:paraId="6CC45C9D"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Serum</w:t>
            </w:r>
          </w:p>
        </w:tc>
        <w:tc>
          <w:tcPr>
            <w:tcW w:w="1172" w:type="dxa"/>
            <w:tcBorders>
              <w:top w:val="nil"/>
              <w:bottom w:val="nil"/>
            </w:tcBorders>
          </w:tcPr>
          <w:p w14:paraId="4421F689"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65FBB73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miR-141</w:t>
            </w:r>
          </w:p>
        </w:tc>
        <w:tc>
          <w:tcPr>
            <w:tcW w:w="717" w:type="dxa"/>
            <w:tcBorders>
              <w:top w:val="nil"/>
              <w:bottom w:val="nil"/>
            </w:tcBorders>
            <w:noWrap/>
          </w:tcPr>
          <w:p w14:paraId="04B0A3D5"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87.50</w:t>
            </w:r>
          </w:p>
        </w:tc>
        <w:tc>
          <w:tcPr>
            <w:tcW w:w="717" w:type="dxa"/>
            <w:tcBorders>
              <w:top w:val="nil"/>
              <w:bottom w:val="nil"/>
            </w:tcBorders>
            <w:noWrap/>
          </w:tcPr>
          <w:p w14:paraId="0789D69C"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100</w:t>
            </w:r>
          </w:p>
        </w:tc>
        <w:tc>
          <w:tcPr>
            <w:tcW w:w="550" w:type="dxa"/>
            <w:tcBorders>
              <w:top w:val="nil"/>
              <w:bottom w:val="nil"/>
            </w:tcBorders>
            <w:noWrap/>
          </w:tcPr>
          <w:p w14:paraId="4DFAC2F0"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63</w:t>
            </w:r>
          </w:p>
        </w:tc>
        <w:tc>
          <w:tcPr>
            <w:tcW w:w="472" w:type="dxa"/>
            <w:tcBorders>
              <w:top w:val="nil"/>
              <w:bottom w:val="nil"/>
            </w:tcBorders>
            <w:noWrap/>
          </w:tcPr>
          <w:p w14:paraId="281547BB"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w:t>
            </w:r>
          </w:p>
        </w:tc>
        <w:tc>
          <w:tcPr>
            <w:tcW w:w="483" w:type="dxa"/>
            <w:tcBorders>
              <w:top w:val="nil"/>
              <w:bottom w:val="nil"/>
            </w:tcBorders>
            <w:noWrap/>
          </w:tcPr>
          <w:p w14:paraId="536DA2E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34</w:t>
            </w:r>
          </w:p>
        </w:tc>
        <w:tc>
          <w:tcPr>
            <w:tcW w:w="483" w:type="dxa"/>
            <w:tcBorders>
              <w:top w:val="nil"/>
              <w:bottom w:val="nil"/>
            </w:tcBorders>
            <w:noWrap/>
          </w:tcPr>
          <w:p w14:paraId="300F6D2F"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9</w:t>
            </w:r>
          </w:p>
        </w:tc>
        <w:tc>
          <w:tcPr>
            <w:tcW w:w="650" w:type="dxa"/>
            <w:tcBorders>
              <w:top w:val="nil"/>
              <w:bottom w:val="nil"/>
            </w:tcBorders>
          </w:tcPr>
          <w:p w14:paraId="5ADC61D0"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0.93</w:t>
            </w:r>
          </w:p>
        </w:tc>
      </w:tr>
      <w:tr w:rsidR="00E84D7D" w:rsidRPr="00F21EDD" w14:paraId="602DCB36"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705A0E99" w14:textId="791DA50E"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{"citationID":"a797uil4h0","properties":{"formattedCitation":"\\uldash{(Porzycki et al., 2018)}","plainCitation":"(Porzycki et al., 2018)","dontUpdate":true,"noteIndex":0},"citationItems":[{"id":93,"uris":["http://zotero.org/users/3583561/items/NZFL3MEY","http://zotero.org/users/3583561/items/SELRIWKQ"],"itemData":{"id":93,"type":"article-journal","abstract":"Purpose\nProstate cancer (PCa) is a common tumor disease in western countries and a leading cause of cancer-driven mortality in men. Current methods for prostate cancer detection, like prostate-specific antigen screening, lead to significant overtreatment. The purpose of the study was to analyze circulating microRNAs in serum as non-invasive biomarkers in patients with diagnosis of prostate cancer and healthy individuals.\n\nMethods\nThis preliminary study included a population of 20 patients with mean age of 68.6 years and mean PSA of 21.3 ng/ml. Eight healthy patients were used as control. MiRNAs were quantified in the total RNA fraction extracted from serum and levels of five microRNAs (miR-106b, miR-141, miR-21, mir-34a, and miR-375) were quantified by RT-qPCR. Statistical analyses evaluated correlation between clinicopathological data and miRNAs expression levels.\n\nResults\nRelative expression ratios of miR-106b, miR-141-3p, miR-21, and miR-375 were significantly increased (1.8-,  1.9-, 2.4-, and 2.6-fold, respectively) in the PCa group compared to healthy control. Using receiver operating characteristics, the highest area under the curve equal to 0.906 was obtained for miR-357 and indicates a very good diagnostic properties of this biomarker. We found expression level of mir-34a not related with PCa.\n\nConclusions\nOur results support previous findings on the possibility of discriminating prostate cancer patients from healthy controls by detecting miRNA (miR-141-3p, miR-21, and miR-375). Further insights into miRNA abundance and characteristics are necessary to validate the panel of miRNA as surrogate markers in diagnosis of prostate cancer.","container-title":"International Urology and Nephrology","DOI":"10.1007/s11255-018-1938-2","ISSN":"0301-1623","issue":"9","journalAbbreviation":"Int Urol Nephrol","note":"PMID: 30014459\nPMCID: PMC6133127","page":"1619-1626","source":"PubMed Central","title":"Combination of three miRNA (miR-141, miR-21, and miR-375) as potential diagnostic tool for prostate cancer recognition","URL":"https://www.ncbi.nlm.nih.gov/pmc/articles/PMC6133127/","volume":"50","author":[{"family":"Porzycki","given":"Paweł"},{"family":"Ciszkowicz","given":"Ewa"},{"family":"Semik","given":"Małgorzata"},{"family":"Tyrka","given":"Mirosław"}],"accessed":{"date-parts":[["2023",1,12]]},"issued":{"date-parts":[["2018"]]}}}],"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Porzycki et al., 2018</w:t>
            </w:r>
            <w:r w:rsidRPr="00E84D7D">
              <w:rPr>
                <w:rFonts w:ascii="Arial" w:hAnsi="Arial" w:cs="Arial"/>
                <w:color w:val="000000"/>
                <w:lang w:eastAsia="fr-FR"/>
              </w:rPr>
              <w:fldChar w:fldCharType="end"/>
            </w:r>
          </w:p>
        </w:tc>
        <w:tc>
          <w:tcPr>
            <w:tcW w:w="1084" w:type="dxa"/>
            <w:tcBorders>
              <w:top w:val="nil"/>
              <w:bottom w:val="nil"/>
            </w:tcBorders>
            <w:noWrap/>
          </w:tcPr>
          <w:p w14:paraId="71A4C57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Poland</w:t>
            </w:r>
          </w:p>
        </w:tc>
        <w:tc>
          <w:tcPr>
            <w:tcW w:w="927" w:type="dxa"/>
            <w:tcBorders>
              <w:top w:val="nil"/>
              <w:bottom w:val="nil"/>
            </w:tcBorders>
          </w:tcPr>
          <w:p w14:paraId="59373C97"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HP</w:t>
            </w:r>
          </w:p>
        </w:tc>
        <w:tc>
          <w:tcPr>
            <w:tcW w:w="695" w:type="dxa"/>
            <w:tcBorders>
              <w:top w:val="nil"/>
              <w:bottom w:val="nil"/>
            </w:tcBorders>
            <w:noWrap/>
          </w:tcPr>
          <w:p w14:paraId="371C6411"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20</w:t>
            </w:r>
          </w:p>
        </w:tc>
        <w:tc>
          <w:tcPr>
            <w:tcW w:w="927" w:type="dxa"/>
            <w:tcBorders>
              <w:top w:val="nil"/>
              <w:bottom w:val="nil"/>
            </w:tcBorders>
            <w:noWrap/>
          </w:tcPr>
          <w:p w14:paraId="5737B9A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8</w:t>
            </w:r>
          </w:p>
        </w:tc>
        <w:tc>
          <w:tcPr>
            <w:tcW w:w="1361" w:type="dxa"/>
            <w:tcBorders>
              <w:top w:val="nil"/>
              <w:bottom w:val="nil"/>
            </w:tcBorders>
            <w:noWrap/>
          </w:tcPr>
          <w:p w14:paraId="0FD99DC6"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Serum</w:t>
            </w:r>
          </w:p>
        </w:tc>
        <w:tc>
          <w:tcPr>
            <w:tcW w:w="1172" w:type="dxa"/>
            <w:tcBorders>
              <w:top w:val="nil"/>
              <w:bottom w:val="nil"/>
            </w:tcBorders>
          </w:tcPr>
          <w:p w14:paraId="2A867C9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04656CAB"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miR-141</w:t>
            </w:r>
          </w:p>
        </w:tc>
        <w:tc>
          <w:tcPr>
            <w:tcW w:w="717" w:type="dxa"/>
            <w:tcBorders>
              <w:top w:val="nil"/>
              <w:bottom w:val="nil"/>
            </w:tcBorders>
            <w:noWrap/>
          </w:tcPr>
          <w:p w14:paraId="4206931E"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65.00</w:t>
            </w:r>
          </w:p>
        </w:tc>
        <w:tc>
          <w:tcPr>
            <w:tcW w:w="717" w:type="dxa"/>
            <w:tcBorders>
              <w:top w:val="nil"/>
              <w:bottom w:val="nil"/>
            </w:tcBorders>
            <w:noWrap/>
          </w:tcPr>
          <w:p w14:paraId="1146CC2E"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88.00</w:t>
            </w:r>
          </w:p>
        </w:tc>
        <w:tc>
          <w:tcPr>
            <w:tcW w:w="550" w:type="dxa"/>
            <w:tcBorders>
              <w:top w:val="nil"/>
              <w:bottom w:val="nil"/>
            </w:tcBorders>
            <w:noWrap/>
          </w:tcPr>
          <w:p w14:paraId="6413B1DD"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13</w:t>
            </w:r>
          </w:p>
        </w:tc>
        <w:tc>
          <w:tcPr>
            <w:tcW w:w="472" w:type="dxa"/>
            <w:tcBorders>
              <w:top w:val="nil"/>
              <w:bottom w:val="nil"/>
            </w:tcBorders>
            <w:noWrap/>
          </w:tcPr>
          <w:p w14:paraId="629B4B1E"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w:t>
            </w:r>
          </w:p>
        </w:tc>
        <w:tc>
          <w:tcPr>
            <w:tcW w:w="483" w:type="dxa"/>
            <w:tcBorders>
              <w:top w:val="nil"/>
              <w:bottom w:val="nil"/>
            </w:tcBorders>
            <w:noWrap/>
          </w:tcPr>
          <w:p w14:paraId="7A9DA3F3"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w:t>
            </w:r>
          </w:p>
        </w:tc>
        <w:tc>
          <w:tcPr>
            <w:tcW w:w="483" w:type="dxa"/>
            <w:tcBorders>
              <w:top w:val="nil"/>
              <w:bottom w:val="nil"/>
            </w:tcBorders>
            <w:noWrap/>
          </w:tcPr>
          <w:p w14:paraId="0CA78A41"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w:t>
            </w:r>
          </w:p>
        </w:tc>
        <w:tc>
          <w:tcPr>
            <w:tcW w:w="650" w:type="dxa"/>
            <w:tcBorders>
              <w:top w:val="nil"/>
              <w:bottom w:val="nil"/>
            </w:tcBorders>
          </w:tcPr>
          <w:p w14:paraId="126FA586"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0.83</w:t>
            </w:r>
          </w:p>
        </w:tc>
      </w:tr>
      <w:tr w:rsidR="00E84D7D" w:rsidRPr="00C12CF0" w14:paraId="298E7FAC"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57D9C609" w14:textId="13AD1BC6"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{"citationID":"a1kfs7unf09","properties":{"formattedCitation":"\\uldash{(Li et al., 2016)}","plainCitation":"(Li et al., 2016)","dontUpdate":true,"noteIndex":0},"citationItems":[{"id":795,"uris":["http://zotero.org/users/3583561/items/3ZAD7B5I","http://zotero.org/users/3583561/items/MNAIIMYK"],"itemData":{"id":795,"type":"article-journal","abstract":"PURPOSE: Novel biomarkers for the diagnosis of prostate cancer (PCa) are urgently required. Increasing evidence suggests that exosomal microRNAs (miRNAs or miRs) in serum may be potential noninvasive biomarkers for certain diseases. The objective of the present study was to investigate and assess whether exosomal miR-141 is an effective biomarker for human PCa.\nMETHODS: In the present study, exosomes were isolated from the serum of patients with PCa, patients with benign prostate hyperplasia (BPH), and healthy volunteers. The total RNA was extracted from the exosomes and the level of miR-141 was analyzed by quantitative reverse transcription-polymerase chain reaction. The expression levels of miR-141 were compared between the whole serum and the serum exosomes of the three groups. Subsequently, the relevance of the exosomal expression of miR-141 to the clinicopathological factors in PCa was investigated.\nRESULTS: The expression of miR-141 was higher in exosomes compared with whole serum (control group, P=0.0003; BPH group, P=0.0016; PCa group, P&lt;0.0001). The level of serum exosomal miR-141 was significantly higher in the patients with PCa compared with the patients with BPH and the healthy controls (3.85-fold, P=0.0007 and 4.06-fold, P=0.0005, respectively). In addition, the expression levels were significantly higher in metastatic PCa compared with localized PCa (P&lt;0.0001). Receiver-operating characteristic curve revealed that the serum exosomal miR-141 yielded an area under the curve of 0.8694, with 80% sensitivity and 87.1% specificity in discriminating patients with metastatic PCa from the patients with localized PCa.\nCONCLUSION: Serum exosomes may serve as a more suitable material compared with the whole serum for measuring circulating miR-141 levels in patients with PCa. Exosomal miR-141 is upregulated in the serum from patients with PCa compared with patients with BPH or the healthy volunteers, and it may be a useful potential biomarker for the diagnosis of metastatic PCa.","container-title":"OncoTargets and Therapy","DOI":"10.2147/OTT.S95565","ISSN":"1178-6930","journalAbbreviation":"Onco Targets Ther","language":"eng","note":"PMID: 26770063\nPMCID: PMC4706124","page":"139-148","source":"PubMed","title":"Exosomal microRNA-141 is upregulated in the serum of prostate cancer patients","volume":"9","author":[{"family":"Li","given":"Zhuo"},{"family":"Ma","given":"Yue-Yun"},{"family":"Wang","given":"Juan"},{"family":"Zeng","given":"Xian-Fei"},{"family":"Li","given":"Rui"},{"family":"Kang","given":"Wei"},{"family":"Hao","given":"Xiao-Ke"}],"issued":{"date-parts":[["2016"]]}}}],"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Li et al., 2016</w:t>
            </w:r>
            <w:r w:rsidRPr="00E84D7D">
              <w:rPr>
                <w:rFonts w:ascii="Arial" w:hAnsi="Arial" w:cs="Arial"/>
                <w:color w:val="000000"/>
                <w:lang w:eastAsia="fr-FR"/>
              </w:rPr>
              <w:fldChar w:fldCharType="end"/>
            </w:r>
          </w:p>
        </w:tc>
        <w:tc>
          <w:tcPr>
            <w:tcW w:w="1084" w:type="dxa"/>
            <w:tcBorders>
              <w:top w:val="nil"/>
              <w:bottom w:val="nil"/>
            </w:tcBorders>
            <w:noWrap/>
          </w:tcPr>
          <w:p w14:paraId="06889A40"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China</w:t>
            </w:r>
          </w:p>
        </w:tc>
        <w:tc>
          <w:tcPr>
            <w:tcW w:w="927" w:type="dxa"/>
            <w:tcBorders>
              <w:top w:val="nil"/>
              <w:bottom w:val="nil"/>
            </w:tcBorders>
          </w:tcPr>
          <w:p w14:paraId="41925048"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HP</w:t>
            </w:r>
          </w:p>
        </w:tc>
        <w:tc>
          <w:tcPr>
            <w:tcW w:w="695" w:type="dxa"/>
            <w:tcBorders>
              <w:top w:val="nil"/>
              <w:bottom w:val="nil"/>
            </w:tcBorders>
            <w:noWrap/>
          </w:tcPr>
          <w:p w14:paraId="251EBB7D"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51</w:t>
            </w:r>
          </w:p>
        </w:tc>
        <w:tc>
          <w:tcPr>
            <w:tcW w:w="927" w:type="dxa"/>
            <w:tcBorders>
              <w:top w:val="nil"/>
              <w:bottom w:val="nil"/>
            </w:tcBorders>
            <w:noWrap/>
          </w:tcPr>
          <w:p w14:paraId="270B8261"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40</w:t>
            </w:r>
          </w:p>
        </w:tc>
        <w:tc>
          <w:tcPr>
            <w:tcW w:w="1361" w:type="dxa"/>
            <w:tcBorders>
              <w:top w:val="nil"/>
              <w:bottom w:val="nil"/>
            </w:tcBorders>
            <w:noWrap/>
          </w:tcPr>
          <w:p w14:paraId="7F95802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spellStart"/>
            <w:r w:rsidRPr="00F21EDD">
              <w:rPr>
                <w:rFonts w:ascii="Arial" w:eastAsia="Times New Roman" w:hAnsi="Arial" w:cs="Arial"/>
                <w:color w:val="000000"/>
                <w:sz w:val="20"/>
                <w:szCs w:val="20"/>
                <w:lang w:eastAsia="fr-FR"/>
              </w:rPr>
              <w:t>Serum</w:t>
            </w:r>
            <w:proofErr w:type="spellEnd"/>
            <w:r w:rsidRPr="00F21EDD">
              <w:rPr>
                <w:rFonts w:ascii="Arial" w:eastAsia="Times New Roman" w:hAnsi="Arial" w:cs="Arial"/>
                <w:color w:val="000000"/>
                <w:sz w:val="20"/>
                <w:szCs w:val="20"/>
                <w:lang w:eastAsia="fr-FR"/>
              </w:rPr>
              <w:t xml:space="preserve"> (</w:t>
            </w:r>
            <w:proofErr w:type="spellStart"/>
            <w:r w:rsidRPr="00F21EDD">
              <w:rPr>
                <w:rFonts w:ascii="Arial" w:eastAsia="Times New Roman" w:hAnsi="Arial" w:cs="Arial"/>
                <w:color w:val="000000"/>
                <w:sz w:val="20"/>
                <w:szCs w:val="20"/>
                <w:lang w:eastAsia="fr-FR"/>
              </w:rPr>
              <w:t>exsosomes</w:t>
            </w:r>
            <w:proofErr w:type="spellEnd"/>
            <w:r w:rsidRPr="00F21EDD">
              <w:rPr>
                <w:rFonts w:ascii="Arial" w:eastAsia="Times New Roman" w:hAnsi="Arial" w:cs="Arial"/>
                <w:color w:val="000000"/>
                <w:sz w:val="20"/>
                <w:szCs w:val="20"/>
                <w:lang w:eastAsia="fr-FR"/>
              </w:rPr>
              <w:t>)</w:t>
            </w:r>
          </w:p>
        </w:tc>
        <w:tc>
          <w:tcPr>
            <w:tcW w:w="1172" w:type="dxa"/>
            <w:tcBorders>
              <w:top w:val="nil"/>
              <w:bottom w:val="nil"/>
            </w:tcBorders>
          </w:tcPr>
          <w:p w14:paraId="25624BDC"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RT-</w:t>
            </w:r>
            <w:proofErr w:type="spellStart"/>
            <w:r w:rsidRPr="00F21EDD">
              <w:rPr>
                <w:rFonts w:ascii="Arial" w:eastAsia="Times New Roman" w:hAnsi="Arial" w:cs="Arial"/>
                <w:color w:val="000000"/>
                <w:sz w:val="20"/>
                <w:szCs w:val="20"/>
                <w:lang w:eastAsia="fr-FR"/>
              </w:rPr>
              <w:t>qPCR</w:t>
            </w:r>
            <w:proofErr w:type="spellEnd"/>
          </w:p>
        </w:tc>
        <w:tc>
          <w:tcPr>
            <w:tcW w:w="1206" w:type="dxa"/>
            <w:tcBorders>
              <w:top w:val="nil"/>
              <w:bottom w:val="nil"/>
            </w:tcBorders>
            <w:noWrap/>
          </w:tcPr>
          <w:p w14:paraId="4704FBC8"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gramStart"/>
            <w:r w:rsidRPr="00F21EDD">
              <w:rPr>
                <w:rFonts w:ascii="Arial" w:eastAsia="Times New Roman" w:hAnsi="Arial" w:cs="Arial"/>
                <w:color w:val="000000"/>
                <w:sz w:val="20"/>
                <w:szCs w:val="20"/>
                <w:lang w:eastAsia="fr-FR"/>
              </w:rPr>
              <w:t>miR</w:t>
            </w:r>
            <w:proofErr w:type="gramEnd"/>
            <w:r w:rsidRPr="00F21EDD">
              <w:rPr>
                <w:rFonts w:ascii="Arial" w:eastAsia="Times New Roman" w:hAnsi="Arial" w:cs="Arial"/>
                <w:color w:val="000000"/>
                <w:sz w:val="20"/>
                <w:szCs w:val="20"/>
                <w:lang w:eastAsia="fr-FR"/>
              </w:rPr>
              <w:t>-141</w:t>
            </w:r>
          </w:p>
        </w:tc>
        <w:tc>
          <w:tcPr>
            <w:tcW w:w="717" w:type="dxa"/>
            <w:tcBorders>
              <w:top w:val="nil"/>
              <w:bottom w:val="nil"/>
            </w:tcBorders>
            <w:noWrap/>
          </w:tcPr>
          <w:p w14:paraId="253BFEBA"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80.00</w:t>
            </w:r>
          </w:p>
        </w:tc>
        <w:tc>
          <w:tcPr>
            <w:tcW w:w="717" w:type="dxa"/>
            <w:tcBorders>
              <w:top w:val="nil"/>
              <w:bottom w:val="nil"/>
            </w:tcBorders>
            <w:noWrap/>
          </w:tcPr>
          <w:p w14:paraId="09A7DB99"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70.97</w:t>
            </w:r>
          </w:p>
        </w:tc>
        <w:tc>
          <w:tcPr>
            <w:tcW w:w="550" w:type="dxa"/>
            <w:tcBorders>
              <w:top w:val="nil"/>
              <w:bottom w:val="nil"/>
            </w:tcBorders>
            <w:noWrap/>
          </w:tcPr>
          <w:p w14:paraId="07A02EA3"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41</w:t>
            </w:r>
          </w:p>
        </w:tc>
        <w:tc>
          <w:tcPr>
            <w:tcW w:w="472" w:type="dxa"/>
            <w:tcBorders>
              <w:top w:val="nil"/>
              <w:bottom w:val="nil"/>
            </w:tcBorders>
            <w:noWrap/>
          </w:tcPr>
          <w:p w14:paraId="2729E395"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12</w:t>
            </w:r>
          </w:p>
        </w:tc>
        <w:tc>
          <w:tcPr>
            <w:tcW w:w="483" w:type="dxa"/>
            <w:tcBorders>
              <w:top w:val="nil"/>
              <w:bottom w:val="nil"/>
            </w:tcBorders>
            <w:noWrap/>
          </w:tcPr>
          <w:p w14:paraId="0D0C7FBB"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28</w:t>
            </w:r>
          </w:p>
        </w:tc>
        <w:tc>
          <w:tcPr>
            <w:tcW w:w="483" w:type="dxa"/>
            <w:tcBorders>
              <w:top w:val="nil"/>
              <w:bottom w:val="nil"/>
            </w:tcBorders>
            <w:noWrap/>
          </w:tcPr>
          <w:p w14:paraId="338CF00B"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10</w:t>
            </w:r>
          </w:p>
        </w:tc>
        <w:tc>
          <w:tcPr>
            <w:tcW w:w="650" w:type="dxa"/>
            <w:tcBorders>
              <w:top w:val="nil"/>
              <w:bottom w:val="nil"/>
            </w:tcBorders>
          </w:tcPr>
          <w:p w14:paraId="40E197EF"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0.87</w:t>
            </w:r>
          </w:p>
        </w:tc>
      </w:tr>
      <w:tr w:rsidR="00E84D7D" w:rsidRPr="00F21EDD" w14:paraId="04FC71EA"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5AC4A6C6" w14:textId="0BB4A50C" w:rsidR="00E84D7D" w:rsidRPr="00E84D7D" w:rsidRDefault="00E84D7D" w:rsidP="0000574D">
            <w:pPr>
              <w:spacing w:before="240"/>
              <w:jc w:val="both"/>
              <w:rPr>
                <w:rFonts w:ascii="Arial" w:eastAsia="Times New Roman" w:hAnsi="Arial" w:cs="Arial"/>
                <w:color w:val="000000"/>
                <w:sz w:val="20"/>
                <w:szCs w:val="20"/>
                <w:lang w:val="en-US"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{"citationID":"a6af54o5le","properties":{"formattedCitation":"\\uldash{(Osipov et al., 2016)}","plainCitation":"(Osipov et al., 2016)","dontUpdate":true,"noteIndex":0},"citationItems":[{"id":577,"uris":["http://zotero.org/users/3583561/items/Y93ECYPB"],"itemData":{"id":577,"type":"article-journal","abstract":"Expression levels of five miRNAs (miR-19b, miR-21, miR-126, miR-141, miR-205) were measured in the plasma of healthy donors and prostate cancer patients. It was shown that miR-141 expression level efficiently discriminates early stage prostate cancer patients and correlates with the Gleason score.","container-title":"Advances in Experimental Medicine and Biology","DOI":"10.1007/978-3-319-42044-8_2","ISSN":"0065-2598","journalAbbreviation":"Adv Exp Med Biol","language":"eng","note":"Porzycki","page":"9-12","source":"PubMed","title":"Cell-Free miRNA-141 and miRNA-205 as Prostate Cancer Biomarkers","volume":"924","author":[{"family":"Osipov","given":"Ivan D."},{"family":"Zaporozhchenko","given":"Ivan A."},{"family":"Bondar","given":"Anna A."},{"family":"Zaripov","given":"Marat M."},{"family":"Voytsitskiy","given":"Vladimir E."},{"family":"Vlassov","given":"Valentin V."},{"family":"Laktionov","given":"Pavel P."},{"family":"Morozkin","given":"Evgeny S."}],"issued":{"date-parts":[["2016"]]}}}],"schema":"https://github.com/citation-style-language/schema/raw/master/csl-citation.json"}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Osipov et al., 2016)</w:t>
            </w:r>
            <w:r w:rsidRPr="00E84D7D">
              <w:rPr>
                <w:rFonts w:ascii="Arial" w:hAnsi="Arial" w:cs="Arial"/>
                <w:color w:val="000000"/>
                <w:lang w:eastAsia="fr-FR"/>
              </w:rPr>
              <w:fldChar w:fldCharType="end"/>
            </w:r>
          </w:p>
        </w:tc>
        <w:tc>
          <w:tcPr>
            <w:tcW w:w="1084" w:type="dxa"/>
            <w:tcBorders>
              <w:top w:val="nil"/>
              <w:bottom w:val="nil"/>
            </w:tcBorders>
            <w:noWrap/>
          </w:tcPr>
          <w:p w14:paraId="19A797B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Russia</w:t>
            </w:r>
          </w:p>
        </w:tc>
        <w:tc>
          <w:tcPr>
            <w:tcW w:w="927" w:type="dxa"/>
            <w:tcBorders>
              <w:top w:val="nil"/>
              <w:bottom w:val="nil"/>
            </w:tcBorders>
          </w:tcPr>
          <w:p w14:paraId="4D7386F7"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HP</w:t>
            </w:r>
          </w:p>
        </w:tc>
        <w:tc>
          <w:tcPr>
            <w:tcW w:w="695" w:type="dxa"/>
            <w:tcBorders>
              <w:top w:val="nil"/>
              <w:bottom w:val="nil"/>
            </w:tcBorders>
            <w:noWrap/>
          </w:tcPr>
          <w:p w14:paraId="640DA2DF"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48</w:t>
            </w:r>
          </w:p>
        </w:tc>
        <w:tc>
          <w:tcPr>
            <w:tcW w:w="927" w:type="dxa"/>
            <w:tcBorders>
              <w:top w:val="nil"/>
              <w:bottom w:val="nil"/>
            </w:tcBorders>
            <w:noWrap/>
          </w:tcPr>
          <w:p w14:paraId="7A2E297D"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47</w:t>
            </w:r>
          </w:p>
        </w:tc>
        <w:tc>
          <w:tcPr>
            <w:tcW w:w="1361" w:type="dxa"/>
            <w:tcBorders>
              <w:top w:val="nil"/>
              <w:bottom w:val="nil"/>
            </w:tcBorders>
            <w:noWrap/>
          </w:tcPr>
          <w:p w14:paraId="57FA908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Plasma</w:t>
            </w:r>
          </w:p>
        </w:tc>
        <w:tc>
          <w:tcPr>
            <w:tcW w:w="1172" w:type="dxa"/>
            <w:tcBorders>
              <w:top w:val="nil"/>
              <w:bottom w:val="nil"/>
            </w:tcBorders>
          </w:tcPr>
          <w:p w14:paraId="42867483"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3B30A2A7"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miR-141</w:t>
            </w:r>
          </w:p>
        </w:tc>
        <w:tc>
          <w:tcPr>
            <w:tcW w:w="717" w:type="dxa"/>
            <w:tcBorders>
              <w:top w:val="nil"/>
              <w:bottom w:val="nil"/>
            </w:tcBorders>
            <w:noWrap/>
          </w:tcPr>
          <w:p w14:paraId="53DCAB12"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56.25</w:t>
            </w:r>
          </w:p>
        </w:tc>
        <w:tc>
          <w:tcPr>
            <w:tcW w:w="717" w:type="dxa"/>
            <w:tcBorders>
              <w:top w:val="nil"/>
              <w:bottom w:val="nil"/>
            </w:tcBorders>
            <w:noWrap/>
          </w:tcPr>
          <w:p w14:paraId="539BB98A"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100</w:t>
            </w:r>
          </w:p>
        </w:tc>
        <w:tc>
          <w:tcPr>
            <w:tcW w:w="550" w:type="dxa"/>
            <w:tcBorders>
              <w:top w:val="nil"/>
              <w:bottom w:val="nil"/>
            </w:tcBorders>
            <w:noWrap/>
          </w:tcPr>
          <w:p w14:paraId="1829C178"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27</w:t>
            </w:r>
          </w:p>
        </w:tc>
        <w:tc>
          <w:tcPr>
            <w:tcW w:w="472" w:type="dxa"/>
            <w:tcBorders>
              <w:top w:val="nil"/>
              <w:bottom w:val="nil"/>
            </w:tcBorders>
            <w:noWrap/>
          </w:tcPr>
          <w:p w14:paraId="14EFE65F"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w:t>
            </w:r>
          </w:p>
        </w:tc>
        <w:tc>
          <w:tcPr>
            <w:tcW w:w="483" w:type="dxa"/>
            <w:tcBorders>
              <w:top w:val="nil"/>
              <w:bottom w:val="nil"/>
            </w:tcBorders>
            <w:noWrap/>
          </w:tcPr>
          <w:p w14:paraId="526592D1"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47</w:t>
            </w:r>
          </w:p>
        </w:tc>
        <w:tc>
          <w:tcPr>
            <w:tcW w:w="483" w:type="dxa"/>
            <w:tcBorders>
              <w:top w:val="nil"/>
              <w:bottom w:val="nil"/>
            </w:tcBorders>
            <w:noWrap/>
          </w:tcPr>
          <w:p w14:paraId="1DBE40A2"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21</w:t>
            </w:r>
          </w:p>
        </w:tc>
        <w:tc>
          <w:tcPr>
            <w:tcW w:w="650" w:type="dxa"/>
            <w:tcBorders>
              <w:top w:val="nil"/>
              <w:bottom w:val="nil"/>
            </w:tcBorders>
          </w:tcPr>
          <w:p w14:paraId="26C23F2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0.80</w:t>
            </w:r>
          </w:p>
        </w:tc>
      </w:tr>
      <w:tr w:rsidR="00E84D7D" w:rsidRPr="00F21EDD" w14:paraId="52B711BE"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63AAD5D4" w14:textId="41BCD45B"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{"citationID":"a1lvnkub09s","properties":{"formattedCitation":"\\uldash{(Kachakova et al., 2015)}","plainCitation":"(Kachakova et al., 2015)","dontUpdate":true,"noteIndex":0},"citationItems":[{"id":12,"uris":["http://zotero.org/users/3583561/items/6P4KDUPG"],"itemData":{"id":12,"type":"article-journal","abstract":"In the current study, expression levels of let-7c, miR-30c, miR-141, and miR-375 in plasma from 59 prostate cancer (PC) patients with different clinicopathological characteristics and two groups of controls: 16 benign prostatic hyperplasia (BPH) samples and 11 young asymptomatic men (YAM) were analyzed to evaluate their diagnostic and prognostic value in comparison to prostate-specific antigen (PSA). miR-375 was significantly downregulated in 83.5% of patients compared to BPH controls and showed stronger diagnostic accuracy (area under the curve [AUC]=0.809, 95% CI: 0.697–0.922, p=0.00016) compared with PSA (AUC=0.710, 95% CI: 0.559–0.861, p=0.013). Expression levels of let-7c showed potential to distinguish PC patients from BPH controls with AUC=0.757, but the result did not reach significance. Better discriminating performance was observed when combinations of studied biomarkers were used. Sensitivity of 86.8% and specificity of 81.8% were reached when all biomarkers were combined (AUC=0.877) and YAM were used as calibrators. None of the studied microRNAs (miRNAs) showed correlation with clinicopathological characteristics. PSA levels were significantly correlated with the Gleason score, tumor stage, and lymph node metastasis with Spearman correlation coefficients: 0.612, 0.576, and 0.458. In conclusion, the combination of the studied circulating plasma miRNAs and serum PSA has the potential to be used as a noninvasive diagnostic biomarker for PC screening outperforming the PSA testing alone.","container-title":"DNA and Cell Biology","DOI":"10.1089/dna.2014.2663","ISSN":"1044-5498","issue":"3","journalAbbreviation":"DNA Cell Biol","note":"PMID: 25521481\nPMCID: PMC4337462","page":"189-200","source":"PubMed Central","title":"Combinations of Serum Prostate-Specific Antigen and Plasma Expression Levels of let-7c, miR-30c, miR-141, and miR-375 as Potential Better Diagnostic Biomarkers for Prostate Cancer","URL":"https://www.ncbi.nlm.nih.gov/pmc/articles/PMC4337462/","volume":"34","author":[{"family":"Kachakova","given":"Darina"},{"family":"Mitkova","given":"Atanaska"},{"family":"Popov","given":"Elenko"},{"family":"Popov","given":"Ivan"},{"family":"Vlahova","given":"Alexandrina"},{"family":"Dikov","given":"Tihomir"},{"family":"Christova","given":"Svetlana"},{"family":"Mitev","given":"Vanio"},{"family":"Slavov","given":"Chavdar"},{"family":"Kaneva","given":"Radka"}],"accessed":{"date-parts":[["2023",5,2]]},"issued":{"date-parts":[["2015",3,1]]}}}],"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Kachakova et al., 2015</w:t>
            </w:r>
            <w:r w:rsidRPr="00E84D7D">
              <w:rPr>
                <w:rFonts w:ascii="Arial" w:hAnsi="Arial" w:cs="Arial"/>
                <w:color w:val="000000"/>
                <w:lang w:eastAsia="fr-FR"/>
              </w:rPr>
              <w:fldChar w:fldCharType="end"/>
            </w:r>
          </w:p>
        </w:tc>
        <w:tc>
          <w:tcPr>
            <w:tcW w:w="1084" w:type="dxa"/>
            <w:tcBorders>
              <w:top w:val="nil"/>
              <w:bottom w:val="nil"/>
            </w:tcBorders>
            <w:noWrap/>
          </w:tcPr>
          <w:p w14:paraId="671390E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Bulgaria</w:t>
            </w:r>
          </w:p>
        </w:tc>
        <w:tc>
          <w:tcPr>
            <w:tcW w:w="927" w:type="dxa"/>
            <w:tcBorders>
              <w:top w:val="nil"/>
              <w:bottom w:val="nil"/>
            </w:tcBorders>
          </w:tcPr>
          <w:p w14:paraId="74AA5EC8"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BPH</w:t>
            </w:r>
          </w:p>
        </w:tc>
        <w:tc>
          <w:tcPr>
            <w:tcW w:w="695" w:type="dxa"/>
            <w:tcBorders>
              <w:top w:val="nil"/>
              <w:bottom w:val="nil"/>
            </w:tcBorders>
            <w:noWrap/>
          </w:tcPr>
          <w:p w14:paraId="47030455"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56</w:t>
            </w:r>
          </w:p>
        </w:tc>
        <w:tc>
          <w:tcPr>
            <w:tcW w:w="927" w:type="dxa"/>
            <w:tcBorders>
              <w:top w:val="nil"/>
              <w:bottom w:val="nil"/>
            </w:tcBorders>
            <w:noWrap/>
          </w:tcPr>
          <w:p w14:paraId="59CA1D73"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12</w:t>
            </w:r>
          </w:p>
        </w:tc>
        <w:tc>
          <w:tcPr>
            <w:tcW w:w="1361" w:type="dxa"/>
            <w:tcBorders>
              <w:top w:val="nil"/>
              <w:bottom w:val="nil"/>
            </w:tcBorders>
            <w:noWrap/>
          </w:tcPr>
          <w:p w14:paraId="39D8A62F"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Plasma</w:t>
            </w:r>
          </w:p>
        </w:tc>
        <w:tc>
          <w:tcPr>
            <w:tcW w:w="1172" w:type="dxa"/>
            <w:tcBorders>
              <w:top w:val="nil"/>
              <w:bottom w:val="nil"/>
            </w:tcBorders>
          </w:tcPr>
          <w:p w14:paraId="476C3802"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1DAD83E3"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miR-141</w:t>
            </w:r>
          </w:p>
        </w:tc>
        <w:tc>
          <w:tcPr>
            <w:tcW w:w="717" w:type="dxa"/>
            <w:tcBorders>
              <w:top w:val="nil"/>
              <w:bottom w:val="nil"/>
            </w:tcBorders>
            <w:noWrap/>
          </w:tcPr>
          <w:p w14:paraId="24A9692B"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50.00</w:t>
            </w:r>
          </w:p>
        </w:tc>
        <w:tc>
          <w:tcPr>
            <w:tcW w:w="717" w:type="dxa"/>
            <w:tcBorders>
              <w:top w:val="nil"/>
              <w:bottom w:val="nil"/>
            </w:tcBorders>
            <w:noWrap/>
          </w:tcPr>
          <w:p w14:paraId="123457F6"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71.20</w:t>
            </w:r>
          </w:p>
        </w:tc>
        <w:tc>
          <w:tcPr>
            <w:tcW w:w="550" w:type="dxa"/>
            <w:tcBorders>
              <w:top w:val="nil"/>
              <w:bottom w:val="nil"/>
            </w:tcBorders>
            <w:noWrap/>
          </w:tcPr>
          <w:p w14:paraId="7D1F3AD3"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28</w:t>
            </w:r>
          </w:p>
        </w:tc>
        <w:tc>
          <w:tcPr>
            <w:tcW w:w="472" w:type="dxa"/>
            <w:tcBorders>
              <w:top w:val="nil"/>
              <w:bottom w:val="nil"/>
            </w:tcBorders>
            <w:noWrap/>
          </w:tcPr>
          <w:p w14:paraId="3220B54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3</w:t>
            </w:r>
          </w:p>
        </w:tc>
        <w:tc>
          <w:tcPr>
            <w:tcW w:w="483" w:type="dxa"/>
            <w:tcBorders>
              <w:top w:val="nil"/>
              <w:bottom w:val="nil"/>
            </w:tcBorders>
            <w:noWrap/>
          </w:tcPr>
          <w:p w14:paraId="2BD72BC0"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9</w:t>
            </w:r>
          </w:p>
        </w:tc>
        <w:tc>
          <w:tcPr>
            <w:tcW w:w="483" w:type="dxa"/>
            <w:tcBorders>
              <w:top w:val="nil"/>
              <w:bottom w:val="nil"/>
            </w:tcBorders>
            <w:noWrap/>
          </w:tcPr>
          <w:p w14:paraId="78B63F1C"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28</w:t>
            </w:r>
          </w:p>
        </w:tc>
        <w:tc>
          <w:tcPr>
            <w:tcW w:w="650" w:type="dxa"/>
            <w:tcBorders>
              <w:top w:val="nil"/>
              <w:bottom w:val="nil"/>
            </w:tcBorders>
          </w:tcPr>
          <w:p w14:paraId="02A017A0"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0.51</w:t>
            </w:r>
          </w:p>
        </w:tc>
      </w:tr>
      <w:tr w:rsidR="00E84D7D" w:rsidRPr="00F21EDD" w14:paraId="2E8FDD6C"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54307DD7" w14:textId="49C355CF" w:rsidR="00E84D7D" w:rsidRPr="00E84D7D" w:rsidRDefault="00E84D7D" w:rsidP="0000574D">
            <w:pPr>
              <w:spacing w:before="240"/>
              <w:jc w:val="both"/>
              <w:rPr>
                <w:rFonts w:ascii="Arial" w:eastAsia="Times New Roman" w:hAnsi="Arial" w:cs="Arial"/>
                <w:color w:val="000000"/>
                <w:sz w:val="20"/>
                <w:szCs w:val="20"/>
                <w:lang w:val="en-US"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val="en-US" w:eastAsia="fr-FR"/>
              </w:rPr>
              <w:instrText xml:space="preserve"> ADDIN ZOTERO_ITEM CSL_CITATION {"citationID":"a1vuqaadr8f","properties":{"formattedCitation":"\\uldash{(Kelly et al., 2015)}","plainCitation":"(Kelly et al., 2015)","dontUpdate":true,"noteIndex":0},"citationItems":[{"id":826,"uris":["http://zotero.org/users/3583561/items/ANHQ3CYQ","http://zotero.org/users/3583561/items/NAWIKKI4"],"itemData":{"id":826,"type":"article-journal","abstract":"INTRODUCTION: Mi(cro)RNAs are small non-coding RNAs whose differential expression in tissue has been implicated in the development and progression of many malignancies, including prostate cancer. The discovery of miRNAs in the blood of patients with a variety of malignancies makes them an ideal, novel biomarker for prostate cancer diagnosis. The aim of this study was to identify a unique expression profile of circulating miRNAs in patients with prostate cancer attending a rapid access prostate assessment clinic.\nMETHODS: To conduct this study blood and tissue samples were collected from 102 patients (75 with biopsy confirmed cancer and 27 benign samples) following ethical approval and informed consent. These patients were attending a prostate assessment clinic. Samples were reverse-transcribed using stem-loop primers and expression levels of each of 12 candidate miRNAs were determined using real-time quantitative polymerase chain reaction. miRNA expression levels were then correlated with clinicopathological data and subsequently analysed using qBasePlus software and Minitab.\nRESULTS: Circulating miRNAs were detected and quantified in all subjects. The analysis of miRNA mean expression levels revealed that four miRNAs were significantly dysregulated, including let-7a (p = 0.005) which has known tumour suppressor characteristics, along with miR-141 (p = 0.01) which has oncogenic characteristics. In 20 patients undergoing a radical retropubic-prostatectomy, the expression levels of miR-141 returned to normal at day 10 post-operatively. A panel of four miRNAs could be used in combination to detect prostate cancer with an area under the curve (AUC) of 0.783 and a PPV of 80%.\nCONCLUSION: These findings identify a unique expression profile of miRNA detectable in the blood of prostate cancer patients. This confirms their use as a novel, diagnostic biomarker for prostate cancer.","container-title":"Journal of Clinical Medicine","DOI":"10.3390/jcm4071369","ISSN":"2077-0383","issue":"7","journalAbbreviation":"J Clin Med","language":"eng","note":"PMID: 26239681\nPMCID: PMC4519795","page":"1369-1379","source":"PubMed","title":"A Circulating MicroRNA Signature as a Biomarker for Prostate Cancer in a High Risk Group","volume":"4","author":[{"family":"Kelly","given":"Brian D."},{"family":"Miller","given":"Nicola"},{"family":"Sweeney","given":"Karl J."},{"family":"Durkan","given":"Garrett C."},{"family":"Rogers","given":"Eamon"},{"family":"Walsh","given":"Killian"},{"family":"Kerin","given":"Michael J."}],"issued":{"date-parts":[["2015",7,7]]}}}],"schema":"https://github.com/citation-style-language/schema/raw/master/csl-citation.json"}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lang w:val="en-US"/>
              </w:rPr>
              <w:t>Kelly et al., 2015</w:t>
            </w:r>
            <w:r w:rsidRPr="00E84D7D">
              <w:rPr>
                <w:rFonts w:ascii="Arial" w:hAnsi="Arial" w:cs="Arial"/>
                <w:color w:val="000000"/>
                <w:lang w:eastAsia="fr-FR"/>
              </w:rPr>
              <w:fldChar w:fldCharType="end"/>
            </w:r>
          </w:p>
        </w:tc>
        <w:tc>
          <w:tcPr>
            <w:tcW w:w="1084" w:type="dxa"/>
            <w:tcBorders>
              <w:top w:val="nil"/>
              <w:bottom w:val="nil"/>
            </w:tcBorders>
            <w:noWrap/>
          </w:tcPr>
          <w:p w14:paraId="573767A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Irland</w:t>
            </w:r>
          </w:p>
        </w:tc>
        <w:tc>
          <w:tcPr>
            <w:tcW w:w="927" w:type="dxa"/>
            <w:tcBorders>
              <w:top w:val="nil"/>
              <w:bottom w:val="nil"/>
            </w:tcBorders>
          </w:tcPr>
          <w:p w14:paraId="038FE9E1"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BPH</w:t>
            </w:r>
          </w:p>
        </w:tc>
        <w:tc>
          <w:tcPr>
            <w:tcW w:w="695" w:type="dxa"/>
            <w:tcBorders>
              <w:top w:val="nil"/>
              <w:bottom w:val="nil"/>
            </w:tcBorders>
            <w:noWrap/>
          </w:tcPr>
          <w:p w14:paraId="430C1469"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75</w:t>
            </w:r>
          </w:p>
        </w:tc>
        <w:tc>
          <w:tcPr>
            <w:tcW w:w="927" w:type="dxa"/>
            <w:tcBorders>
              <w:top w:val="nil"/>
              <w:bottom w:val="nil"/>
            </w:tcBorders>
            <w:noWrap/>
          </w:tcPr>
          <w:p w14:paraId="4177D869"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27</w:t>
            </w:r>
          </w:p>
        </w:tc>
        <w:tc>
          <w:tcPr>
            <w:tcW w:w="1361" w:type="dxa"/>
            <w:tcBorders>
              <w:top w:val="nil"/>
              <w:bottom w:val="nil"/>
            </w:tcBorders>
            <w:noWrap/>
          </w:tcPr>
          <w:p w14:paraId="2DB60CF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Whole blood</w:t>
            </w:r>
          </w:p>
        </w:tc>
        <w:tc>
          <w:tcPr>
            <w:tcW w:w="1172" w:type="dxa"/>
            <w:tcBorders>
              <w:top w:val="nil"/>
              <w:bottom w:val="nil"/>
            </w:tcBorders>
          </w:tcPr>
          <w:p w14:paraId="3C1B1008"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7542C943"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miR-141</w:t>
            </w:r>
          </w:p>
        </w:tc>
        <w:tc>
          <w:tcPr>
            <w:tcW w:w="717" w:type="dxa"/>
            <w:tcBorders>
              <w:top w:val="nil"/>
              <w:bottom w:val="nil"/>
            </w:tcBorders>
            <w:noWrap/>
          </w:tcPr>
          <w:p w14:paraId="1E2FFEB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94.00</w:t>
            </w:r>
          </w:p>
        </w:tc>
        <w:tc>
          <w:tcPr>
            <w:tcW w:w="717" w:type="dxa"/>
            <w:tcBorders>
              <w:top w:val="nil"/>
              <w:bottom w:val="nil"/>
            </w:tcBorders>
            <w:noWrap/>
          </w:tcPr>
          <w:p w14:paraId="324A566B"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73.00</w:t>
            </w:r>
          </w:p>
        </w:tc>
        <w:tc>
          <w:tcPr>
            <w:tcW w:w="550" w:type="dxa"/>
            <w:tcBorders>
              <w:top w:val="nil"/>
              <w:bottom w:val="nil"/>
            </w:tcBorders>
            <w:noWrap/>
          </w:tcPr>
          <w:p w14:paraId="68E20E5A"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70</w:t>
            </w:r>
          </w:p>
        </w:tc>
        <w:tc>
          <w:tcPr>
            <w:tcW w:w="472" w:type="dxa"/>
            <w:tcBorders>
              <w:top w:val="nil"/>
              <w:bottom w:val="nil"/>
            </w:tcBorders>
            <w:noWrap/>
          </w:tcPr>
          <w:p w14:paraId="434D7779"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w:t>
            </w:r>
          </w:p>
        </w:tc>
        <w:tc>
          <w:tcPr>
            <w:tcW w:w="483" w:type="dxa"/>
            <w:tcBorders>
              <w:top w:val="nil"/>
              <w:bottom w:val="nil"/>
            </w:tcBorders>
            <w:noWrap/>
          </w:tcPr>
          <w:p w14:paraId="0DED429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20</w:t>
            </w:r>
          </w:p>
        </w:tc>
        <w:tc>
          <w:tcPr>
            <w:tcW w:w="483" w:type="dxa"/>
            <w:tcBorders>
              <w:top w:val="nil"/>
              <w:bottom w:val="nil"/>
            </w:tcBorders>
            <w:noWrap/>
          </w:tcPr>
          <w:p w14:paraId="621F4D7A"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5</w:t>
            </w:r>
          </w:p>
        </w:tc>
        <w:tc>
          <w:tcPr>
            <w:tcW w:w="650" w:type="dxa"/>
            <w:tcBorders>
              <w:top w:val="nil"/>
              <w:bottom w:val="nil"/>
            </w:tcBorders>
          </w:tcPr>
          <w:p w14:paraId="65EC1FE1"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0.65</w:t>
            </w:r>
          </w:p>
        </w:tc>
      </w:tr>
      <w:tr w:rsidR="00E84D7D" w:rsidRPr="00F21EDD" w14:paraId="0D99B3A7"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602E342D" w14:textId="577976B1" w:rsidR="00E84D7D" w:rsidRPr="00E84D7D" w:rsidRDefault="00E84D7D" w:rsidP="0000574D">
            <w:pPr>
              <w:spacing w:before="240"/>
              <w:jc w:val="both"/>
              <w:rPr>
                <w:rFonts w:ascii="Arial" w:eastAsia="Times New Roman" w:hAnsi="Arial" w:cs="Arial"/>
                <w:color w:val="000000"/>
                <w:sz w:val="20"/>
                <w:szCs w:val="20"/>
                <w:lang w:val="en-US"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val="en-US" w:eastAsia="fr-FR"/>
              </w:rPr>
              <w:instrText xml:space="preserve"> ADDIN ZOTERO_ITEM CSL_CITATION {"citationID":"as93kdfruc","properties":{"formattedCitation":"\\uldash{(Cheng et al., 2013)}","plainCitation":"(Cheng et al., 2013)","dontUpdate":true,"noteIndex":0},"citationItems":[{"id":650,"uris":["http://zotero.org/users/3583561/items/LCSL4298"],"itemData":{"id":650,"type":"article-journal","abstract":"MicroRNAs (miRNAs) are small (</w:instrText>
            </w:r>
            <w:r w:rsidRPr="00E84D7D">
              <w:rPr>
                <w:rFonts w:ascii="Cambria Math" w:eastAsia="Times New Roman" w:hAnsi="Cambria Math" w:cs="Cambria Math"/>
                <w:color w:val="000000"/>
                <w:sz w:val="20"/>
                <w:szCs w:val="20"/>
                <w:lang w:val="en-US" w:eastAsia="fr-FR"/>
              </w:rPr>
              <w:instrText>∼</w:instrText>
            </w:r>
            <w:r w:rsidRPr="00E84D7D">
              <w:rPr>
                <w:rFonts w:ascii="Arial" w:eastAsia="Times New Roman" w:hAnsi="Arial" w:cs="Arial"/>
                <w:color w:val="000000"/>
                <w:sz w:val="20"/>
                <w:szCs w:val="20"/>
                <w:lang w:val="en-US" w:eastAsia="fr-FR"/>
              </w:rPr>
              <w:instrText xml:space="preserve">22 nucleotide) non-coding RNAs that regulate a myriad of biological processes and are frequently dysregulated in cancer. Cancer-associated microRNAs have been detected in serum and plasma and hold promise as minimally invasive cancer biomarkers, potentially for assessing disease characteristics in patients with metastatic disease that is difficult to biopsy. Here we used miRNA profiling to identify cancer-associated miRNAs that are differentially expressed in sera from patients with metastatic castration resistant prostate cancer (mCRPC) as compared to healthy controls. Of 365 miRNAs profiled, we identified five serum miRNAs (miR-141, miR-200a, miR-200c, miR-210 and miR-375) that were elevated in cases compared to controls across two independent cohorts. One of these, miR-210, is a known transcriptional target of the hypoxia-responsive HIF-1α signaling pathway. Exposure of cultured prostate cancer cells to hypoxia led to induction of miR-210 and its release into the extracellular environment. Moreover, we found that serum miR-210 levels varied widely amongst mCRPC patients undergoing therapy, and correlated with treatment response as assessed by change in PSA. Our results suggest that (i) cancer-associated hypoxia is a frequent, previously under-appreciated characteristic of mCRPC, and (ii) serum miR-210 may be further developed as a predictive biomarker in patients with this distinct disease biology.","container-title":"PloS One","DOI":"10.1371/journal.pone.0069239","ISSN":"1932-6203","issue":"7","journalAbbreviation":"PLoS One","language":"eng","note":"PMID: 23935962\nPMCID: PMC3728349","page":"e69239","source":"PubMed","title":"Circulating microRNA profiling identifies a subset of metastatic prostate cancer patients with evidence of cancer-associated hypoxia","volume":"8","author":[{"family":"Cheng","given":"Heather H."},{"family":"Mitchell","given":"Patrick S."},{"family":"Kroh","given":"Evan M."},{"family":"Dowell","given":"Alexander E."},{"family":"Chéry","given":"Lisly"},{"family":"Siddiqui","given":"Javed"},{"family":"Nelson","given":"Peter S."},{"family":"Vessella","given":"Robert L."},{"family":"Knudsen","given":"Beatrice S."},{"family":"Chinnaiyan","given":"Arul M."},{"family":"Pienta","given":"Kenneth J."},{"family":"Morrissey","given":"Colm"},{"family":"Tewari","given":"Muneesh"}],"issued":{"date-parts":[["2013"]]}}}],"schema":"https://github.com/citation-style-language/schema/raw/master/csl-citation.json"}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Cheng et al., 2013</w:t>
            </w:r>
            <w:r w:rsidRPr="00E84D7D">
              <w:rPr>
                <w:rFonts w:ascii="Arial" w:hAnsi="Arial" w:cs="Arial"/>
                <w:color w:val="000000"/>
                <w:lang w:eastAsia="fr-FR"/>
              </w:rPr>
              <w:fldChar w:fldCharType="end"/>
            </w:r>
          </w:p>
        </w:tc>
        <w:tc>
          <w:tcPr>
            <w:tcW w:w="1084" w:type="dxa"/>
            <w:tcBorders>
              <w:top w:val="nil"/>
              <w:bottom w:val="nil"/>
            </w:tcBorders>
            <w:noWrap/>
          </w:tcPr>
          <w:p w14:paraId="4838FA6B"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United States</w:t>
            </w:r>
          </w:p>
        </w:tc>
        <w:tc>
          <w:tcPr>
            <w:tcW w:w="927" w:type="dxa"/>
            <w:tcBorders>
              <w:top w:val="nil"/>
              <w:bottom w:val="nil"/>
            </w:tcBorders>
          </w:tcPr>
          <w:p w14:paraId="4CEBAD11"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HP</w:t>
            </w:r>
          </w:p>
        </w:tc>
        <w:tc>
          <w:tcPr>
            <w:tcW w:w="695" w:type="dxa"/>
            <w:tcBorders>
              <w:top w:val="nil"/>
              <w:bottom w:val="nil"/>
            </w:tcBorders>
            <w:noWrap/>
          </w:tcPr>
          <w:p w14:paraId="085B48FC"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25</w:t>
            </w:r>
          </w:p>
        </w:tc>
        <w:tc>
          <w:tcPr>
            <w:tcW w:w="927" w:type="dxa"/>
            <w:tcBorders>
              <w:top w:val="nil"/>
              <w:bottom w:val="nil"/>
            </w:tcBorders>
            <w:noWrap/>
          </w:tcPr>
          <w:p w14:paraId="310B9CED"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25</w:t>
            </w:r>
          </w:p>
        </w:tc>
        <w:tc>
          <w:tcPr>
            <w:tcW w:w="1361" w:type="dxa"/>
            <w:tcBorders>
              <w:top w:val="nil"/>
              <w:bottom w:val="nil"/>
            </w:tcBorders>
            <w:noWrap/>
          </w:tcPr>
          <w:p w14:paraId="258FFE79"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Serum</w:t>
            </w:r>
          </w:p>
        </w:tc>
        <w:tc>
          <w:tcPr>
            <w:tcW w:w="1172" w:type="dxa"/>
            <w:tcBorders>
              <w:top w:val="nil"/>
              <w:bottom w:val="nil"/>
            </w:tcBorders>
          </w:tcPr>
          <w:p w14:paraId="202241A6"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5D3D410A"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miR-141</w:t>
            </w:r>
          </w:p>
        </w:tc>
        <w:tc>
          <w:tcPr>
            <w:tcW w:w="717" w:type="dxa"/>
            <w:tcBorders>
              <w:top w:val="nil"/>
              <w:bottom w:val="nil"/>
            </w:tcBorders>
            <w:noWrap/>
          </w:tcPr>
          <w:p w14:paraId="11F4FE4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717" w:type="dxa"/>
            <w:tcBorders>
              <w:top w:val="nil"/>
              <w:bottom w:val="nil"/>
            </w:tcBorders>
            <w:noWrap/>
          </w:tcPr>
          <w:p w14:paraId="7ECB442D"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550" w:type="dxa"/>
            <w:tcBorders>
              <w:top w:val="nil"/>
              <w:bottom w:val="nil"/>
            </w:tcBorders>
            <w:noWrap/>
          </w:tcPr>
          <w:p w14:paraId="57036B81"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72" w:type="dxa"/>
            <w:tcBorders>
              <w:top w:val="nil"/>
              <w:bottom w:val="nil"/>
            </w:tcBorders>
            <w:noWrap/>
          </w:tcPr>
          <w:p w14:paraId="39402920"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83" w:type="dxa"/>
            <w:tcBorders>
              <w:top w:val="nil"/>
              <w:bottom w:val="nil"/>
            </w:tcBorders>
            <w:noWrap/>
          </w:tcPr>
          <w:p w14:paraId="6D7694BA"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83" w:type="dxa"/>
            <w:tcBorders>
              <w:top w:val="nil"/>
              <w:bottom w:val="nil"/>
            </w:tcBorders>
            <w:noWrap/>
          </w:tcPr>
          <w:p w14:paraId="7934972E"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650" w:type="dxa"/>
            <w:tcBorders>
              <w:top w:val="nil"/>
              <w:bottom w:val="nil"/>
            </w:tcBorders>
          </w:tcPr>
          <w:p w14:paraId="7198CA6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0.90</w:t>
            </w:r>
          </w:p>
        </w:tc>
      </w:tr>
      <w:tr w:rsidR="00E84D7D" w:rsidRPr="00F21EDD" w14:paraId="710D5FD9"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5C8DC63D" w14:textId="07AB95AB"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{"citationID":"a2mb0gsq2kh","properties":{"formattedCitation":"\\uldash{(Yaman Agaoglu et al., 2011)}","plainCitation":"(Yaman Agaoglu et al., 2011)","dontUpdate":true,"noteIndex":0},"citationItems":[{"id":352,"uris":["http://zotero.org/users/3583561/items/M3XCR24F","http://zotero.org/users/3583561/items/IPD4CHAN"],"itemData":{"id":352,"type":"article-journal","abstract":"In addition to their potential as tissue-based markers for cancer classification and prognostication, the study of microRNAs (miRNAs) in blood circulation is also of interest. In the present study, we investigated the amounts of three cancer-related miRNAs, miR-21, -141, and -221 in blood plasma of prostate cancer (PCa) patients. A cohort of 51 patients with PCa was enrolled into the study, and miRNAs were measured in two subgroups, with localized/local advanced or metastatic PCa. A group of 20 healthy individuals served as the control group. miRNAs were quantified from the total RNA fraction using 200 μl plasma and the small RNA molecule RNU1A as a control for normalizing the miRNA amounts in circulation. We found similar levels of three miRNAs in healthy subjects with median values of 0.039, 0.033 and 0.04, respectively; (p = n.s.). In the patients, the miRNA levels were higher, with miR-21 being the highest (median, 1.51). The miR-221 levels were intermediate (median, 0.71) while the miR-141 displayed the lowest levels (median, 0.051). The differences between the control group and the patients were highly significant for the miR-21 (p &lt; 0.001; area under the curve (AUC), 88%) and -221 (p &lt; 0.001; AUC, 83%) but not for the miR-141 (p = 0.2). In patients diagnosed with metastatic PCa, levels of all three miRNAs were significantly higher than in patients with localized/local advanced disease where the difference for the miR-141 was most pronounced (p&lt; 0.001; AUC, 75.5%). In conclusion, analysis of miR-21, -141, and -221 in blood of PCa patients reveals varying patterns of these molecules in clinical subgroups of PCa.","container-title":"Tumour Biology: The Journal of the International Society for Oncodevelopmental Biology and Medicine","DOI":"10.1007/s13277-011-0154-9","ISSN":"1423-0380","issue":"3","journalAbbreviation":"Tumour Biol","language":"eng","note":"PMID: 21274675","page":"583-588","source":"PubMed","title":"Investigation of miR-21, miR-141, and miR-221 in blood circulation of patients with prostate cancer","volume":"32","author":[{"family":"Yaman Agaoglu","given":"Fulya"},{"family":"Kovancilar","given":"Müge"},{"family":"Dizdar","given":"Yavuz"},{"family":"Darendeliler","given":"Emin"},{"family":"Holdenrieder","given":"Stefan"},{"family":"Dalay","given":"Nejat"},{"family":"Gezer","given":"Ugur"}],"issued":{"date-parts":[["2011",6]]}}}],"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Yaman Agaoglu et al., 2011</w:t>
            </w:r>
            <w:r w:rsidRPr="00E84D7D">
              <w:rPr>
                <w:rFonts w:ascii="Arial" w:hAnsi="Arial" w:cs="Arial"/>
                <w:color w:val="000000"/>
                <w:lang w:eastAsia="fr-FR"/>
              </w:rPr>
              <w:fldChar w:fldCharType="end"/>
            </w:r>
          </w:p>
        </w:tc>
        <w:tc>
          <w:tcPr>
            <w:tcW w:w="1084" w:type="dxa"/>
            <w:tcBorders>
              <w:top w:val="nil"/>
              <w:bottom w:val="nil"/>
            </w:tcBorders>
            <w:noWrap/>
          </w:tcPr>
          <w:p w14:paraId="4708A47D"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Turkey</w:t>
            </w:r>
          </w:p>
        </w:tc>
        <w:tc>
          <w:tcPr>
            <w:tcW w:w="927" w:type="dxa"/>
            <w:tcBorders>
              <w:top w:val="nil"/>
              <w:bottom w:val="nil"/>
            </w:tcBorders>
          </w:tcPr>
          <w:p w14:paraId="319B371D"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HP</w:t>
            </w:r>
          </w:p>
        </w:tc>
        <w:tc>
          <w:tcPr>
            <w:tcW w:w="695" w:type="dxa"/>
            <w:tcBorders>
              <w:top w:val="nil"/>
              <w:bottom w:val="nil"/>
            </w:tcBorders>
            <w:noWrap/>
          </w:tcPr>
          <w:p w14:paraId="2A9E160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51</w:t>
            </w:r>
          </w:p>
        </w:tc>
        <w:tc>
          <w:tcPr>
            <w:tcW w:w="927" w:type="dxa"/>
            <w:tcBorders>
              <w:top w:val="nil"/>
              <w:bottom w:val="nil"/>
            </w:tcBorders>
            <w:noWrap/>
          </w:tcPr>
          <w:p w14:paraId="0DBEB5E6"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20</w:t>
            </w:r>
          </w:p>
        </w:tc>
        <w:tc>
          <w:tcPr>
            <w:tcW w:w="1361" w:type="dxa"/>
            <w:tcBorders>
              <w:top w:val="nil"/>
              <w:bottom w:val="nil"/>
            </w:tcBorders>
            <w:noWrap/>
          </w:tcPr>
          <w:p w14:paraId="6854FF5C"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Plasma</w:t>
            </w:r>
          </w:p>
        </w:tc>
        <w:tc>
          <w:tcPr>
            <w:tcW w:w="1172" w:type="dxa"/>
            <w:tcBorders>
              <w:top w:val="nil"/>
              <w:bottom w:val="nil"/>
            </w:tcBorders>
          </w:tcPr>
          <w:p w14:paraId="1FD55F37"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57B27EF2"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MiR-141</w:t>
            </w:r>
          </w:p>
        </w:tc>
        <w:tc>
          <w:tcPr>
            <w:tcW w:w="717" w:type="dxa"/>
            <w:tcBorders>
              <w:top w:val="nil"/>
              <w:bottom w:val="nil"/>
            </w:tcBorders>
            <w:noWrap/>
          </w:tcPr>
          <w:p w14:paraId="75BCEC11"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717" w:type="dxa"/>
            <w:tcBorders>
              <w:top w:val="nil"/>
              <w:bottom w:val="nil"/>
            </w:tcBorders>
            <w:noWrap/>
          </w:tcPr>
          <w:p w14:paraId="6BB9466D"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550" w:type="dxa"/>
            <w:tcBorders>
              <w:top w:val="nil"/>
              <w:bottom w:val="nil"/>
            </w:tcBorders>
            <w:noWrap/>
          </w:tcPr>
          <w:p w14:paraId="3DCFC659"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72" w:type="dxa"/>
            <w:tcBorders>
              <w:top w:val="nil"/>
              <w:bottom w:val="nil"/>
            </w:tcBorders>
            <w:noWrap/>
          </w:tcPr>
          <w:p w14:paraId="66F91CD2"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83" w:type="dxa"/>
            <w:tcBorders>
              <w:top w:val="nil"/>
              <w:bottom w:val="nil"/>
            </w:tcBorders>
            <w:noWrap/>
          </w:tcPr>
          <w:p w14:paraId="7DD391FB"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83" w:type="dxa"/>
            <w:tcBorders>
              <w:top w:val="nil"/>
              <w:bottom w:val="nil"/>
            </w:tcBorders>
            <w:noWrap/>
          </w:tcPr>
          <w:p w14:paraId="3894476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650" w:type="dxa"/>
            <w:tcBorders>
              <w:top w:val="nil"/>
              <w:bottom w:val="nil"/>
            </w:tcBorders>
          </w:tcPr>
          <w:p w14:paraId="2B838EE3"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0.56</w:t>
            </w:r>
          </w:p>
        </w:tc>
      </w:tr>
      <w:tr w:rsidR="00E84D7D" w:rsidRPr="00F21EDD" w14:paraId="23ED7B74"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2922E951" w14:textId="42CCA120" w:rsidR="00E84D7D" w:rsidRPr="00E84D7D" w:rsidRDefault="00E84D7D" w:rsidP="0000574D">
            <w:pPr>
              <w:spacing w:before="240"/>
              <w:jc w:val="both"/>
              <w:rPr>
                <w:rFonts w:ascii="Arial" w:eastAsia="Times New Roman" w:hAnsi="Arial" w:cs="Arial"/>
                <w:color w:val="000000"/>
                <w:sz w:val="20"/>
                <w:szCs w:val="20"/>
                <w:lang w:val="en-US"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val="en-US" w:eastAsia="fr-FR"/>
              </w:rPr>
              <w:instrText xml:space="preserve"> ADDIN ZOTERO_ITEM CSL_CITATION {"citationID":"ae4v6rbchn","properties":{"formattedCitation":"\\uldash{(Mitchell et al., 2008)}","plainCitation":"(Mitchell et al., 2008)","dontUpdate":true,"noteIndex":0},"citationItems":[{"id":350,"uris":["http://zotero.org/users/local/Wg7jwtUt/items/U9I3VNB9","http://zotero.org/users/3583561/items/U9I3VNB9","http://zotero.org/users/3583561/items/7RAN7IVH"],"itemData":{"id":350,"type":"article-journal","container-title":"Proceedings of the National Academy of Sciences","DOI":"10.1073/pnas.0804549105","issue":"30","note":"publisher: Proceedings of the National Academy of Sciences","page":"10513-10518","source":"pnas.org (Atypon)","title":"Circulating microRNAs as stable blood-based markers for cancer detection","URL":"https://www.pnas.org/doi/10.1073/pnas.0804549105","volume":"105","author":[{"family":"Mitchell","given":"Patrick S."},{"family":"Parkin","given":"Rachael K."},{"family":"Kroh","given":"Evan M."},{"family":"Fritz","given":"Brian R."},{"family":"Wyman","given":"Stacia K."},{"family":"Pogosova-Agadjanyan","given":"époque L."},{"family":"Peterson","given":"Amélie"},{"family":"Noteboom","given":"Jennifer"},{"family":"O'Briant","given":"Kathy C."},{"family":"Allen","given":"avril"},{"family":"Lin","given":"Daniel W."},{"family":"Urbain","given":"Nicole"},{"family":"Drescher","given":"Charles W."},{"family":"Knudsen","given":"Béatrice S."},{"family":"Stirewalt","given":"Derek L."},{"family":"Gentilhomme","given":"Robert"},{"family":"Vessella","given":"Robert L."},{"family":"Nelson","given":"Peter S."},{"family":"Martin","given":"Daniel B."},{"family":"Tewari","given":"Muneesh"}],"accessed":{"date-parts":[["2022",6,9]]},"issued":{"date-parts":[["2008",7,29]]}}}],"schema":"https://github.com/citation-style-language/schema/raw/master/csl-citation.json"}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Mitchell et al., 2008</w:t>
            </w:r>
            <w:r w:rsidRPr="00E84D7D">
              <w:rPr>
                <w:rFonts w:ascii="Arial" w:hAnsi="Arial" w:cs="Arial"/>
                <w:color w:val="000000"/>
                <w:lang w:eastAsia="fr-FR"/>
              </w:rPr>
              <w:fldChar w:fldCharType="end"/>
            </w:r>
          </w:p>
        </w:tc>
        <w:tc>
          <w:tcPr>
            <w:tcW w:w="1084" w:type="dxa"/>
            <w:tcBorders>
              <w:top w:val="nil"/>
              <w:bottom w:val="nil"/>
            </w:tcBorders>
            <w:noWrap/>
          </w:tcPr>
          <w:p w14:paraId="0E38C9A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United States</w:t>
            </w:r>
          </w:p>
        </w:tc>
        <w:tc>
          <w:tcPr>
            <w:tcW w:w="927" w:type="dxa"/>
            <w:tcBorders>
              <w:top w:val="nil"/>
              <w:bottom w:val="nil"/>
            </w:tcBorders>
          </w:tcPr>
          <w:p w14:paraId="339C6289"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HP</w:t>
            </w:r>
          </w:p>
        </w:tc>
        <w:tc>
          <w:tcPr>
            <w:tcW w:w="695" w:type="dxa"/>
            <w:tcBorders>
              <w:top w:val="nil"/>
              <w:bottom w:val="nil"/>
            </w:tcBorders>
            <w:noWrap/>
          </w:tcPr>
          <w:p w14:paraId="117CDFF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25</w:t>
            </w:r>
          </w:p>
        </w:tc>
        <w:tc>
          <w:tcPr>
            <w:tcW w:w="927" w:type="dxa"/>
            <w:tcBorders>
              <w:top w:val="nil"/>
              <w:bottom w:val="nil"/>
            </w:tcBorders>
            <w:noWrap/>
          </w:tcPr>
          <w:p w14:paraId="7EA8B110"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25</w:t>
            </w:r>
          </w:p>
        </w:tc>
        <w:tc>
          <w:tcPr>
            <w:tcW w:w="1361" w:type="dxa"/>
            <w:tcBorders>
              <w:top w:val="nil"/>
              <w:bottom w:val="nil"/>
            </w:tcBorders>
            <w:noWrap/>
          </w:tcPr>
          <w:p w14:paraId="289DA4B5"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Serum</w:t>
            </w:r>
          </w:p>
        </w:tc>
        <w:tc>
          <w:tcPr>
            <w:tcW w:w="1172" w:type="dxa"/>
            <w:tcBorders>
              <w:top w:val="nil"/>
              <w:bottom w:val="nil"/>
            </w:tcBorders>
          </w:tcPr>
          <w:p w14:paraId="42C46AD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04430DE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miR-141</w:t>
            </w:r>
          </w:p>
        </w:tc>
        <w:tc>
          <w:tcPr>
            <w:tcW w:w="717" w:type="dxa"/>
            <w:tcBorders>
              <w:top w:val="nil"/>
              <w:bottom w:val="nil"/>
            </w:tcBorders>
            <w:noWrap/>
          </w:tcPr>
          <w:p w14:paraId="1B7903F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60.00</w:t>
            </w:r>
          </w:p>
        </w:tc>
        <w:tc>
          <w:tcPr>
            <w:tcW w:w="717" w:type="dxa"/>
            <w:tcBorders>
              <w:top w:val="nil"/>
              <w:bottom w:val="nil"/>
            </w:tcBorders>
            <w:noWrap/>
          </w:tcPr>
          <w:p w14:paraId="0C99617D"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100</w:t>
            </w:r>
          </w:p>
        </w:tc>
        <w:tc>
          <w:tcPr>
            <w:tcW w:w="550" w:type="dxa"/>
            <w:tcBorders>
              <w:top w:val="nil"/>
              <w:bottom w:val="nil"/>
            </w:tcBorders>
            <w:noWrap/>
          </w:tcPr>
          <w:p w14:paraId="733DB493"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15</w:t>
            </w:r>
          </w:p>
        </w:tc>
        <w:tc>
          <w:tcPr>
            <w:tcW w:w="472" w:type="dxa"/>
            <w:tcBorders>
              <w:top w:val="nil"/>
              <w:bottom w:val="nil"/>
            </w:tcBorders>
            <w:noWrap/>
          </w:tcPr>
          <w:p w14:paraId="21456623"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w:t>
            </w:r>
          </w:p>
        </w:tc>
        <w:tc>
          <w:tcPr>
            <w:tcW w:w="483" w:type="dxa"/>
            <w:tcBorders>
              <w:top w:val="nil"/>
              <w:bottom w:val="nil"/>
            </w:tcBorders>
            <w:noWrap/>
          </w:tcPr>
          <w:p w14:paraId="7E6C1491"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25</w:t>
            </w:r>
          </w:p>
        </w:tc>
        <w:tc>
          <w:tcPr>
            <w:tcW w:w="483" w:type="dxa"/>
            <w:tcBorders>
              <w:top w:val="nil"/>
              <w:bottom w:val="nil"/>
            </w:tcBorders>
            <w:noWrap/>
          </w:tcPr>
          <w:p w14:paraId="135E064D"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10</w:t>
            </w:r>
          </w:p>
        </w:tc>
        <w:tc>
          <w:tcPr>
            <w:tcW w:w="650" w:type="dxa"/>
            <w:tcBorders>
              <w:top w:val="nil"/>
              <w:bottom w:val="nil"/>
            </w:tcBorders>
          </w:tcPr>
          <w:p w14:paraId="192462C2"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0.91</w:t>
            </w:r>
          </w:p>
        </w:tc>
      </w:tr>
      <w:tr w:rsidR="00E84D7D" w:rsidRPr="00F21EDD" w14:paraId="556400B5"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68A5D5D9" w14:textId="25EA1103"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{"citationID":"a2lpv8mbmcn","properties":{"formattedCitation":"\\uldash{(Nobrega et al., 2025)}","plainCitation":"(Nobrega et al., 2025)","dontUpdate":true,"noteIndex":0},"citationItems":[{"id":8044,"uris":["http://zotero.org/users/3583561/items/8PCIWI7G"],"itemData":{"id":8044,"type":"article-journal","abstract":"MicroRNAs can be found intracellularly incorporated into extracellular vesicles (EV-miRNAs) or extracellularly as cell-free miRNAs (cf-miRNAs). This study aimed to compare the diagnostic and prognostic potential of four miRNAs with recognized roles in prostate cancer as cf-miRNAs and EV-miRNAs, obtained from liquid biopsies (LB). Total RNA was isolated from whole plasma and plasma EVs from 15 controls (CTR) and 30 patients (20 with localized prostate cancer (PCa), 10 with metastatic prostate cancer (mPCa)). The miRNAs were quantified by RT-qPCR and the relative expression of these miRNAs was compared between the three groups, and their associations with clinicopathological parameters were assessed. Receiver operating characteristic (ROC) curves were performed to evaluate the diagnostic potential of the miRNAs in discriminating different groups. Overall, EV-miRNAs showed higher expression compared to cf-miRNAs. All EV-miRNAs analyzed showed diagnostic potential with an area under the curve (AUC) above 0.744. EV-miR-21-5p, EV-miR-375-3p, and EV-miR-1290-3p were overexpressed in PCa and mPCa compared to CTR, while EV-miR-200c-3p was overexpressed only in mPCa in comparison to CTR. Remarkably, EV-miR-375-3p and EV-miR-1290-3p could differentiate mPCa with ISUP ≥ 3, demonstrating their prognostic potential. In addition, EV-miR-1290-3p and EV-4-miR-panel detected patients with PSA &gt; 10 ng/mL. Cf-miRNAs performed lower than EV-miRNAs, which can be explained by the greater stability and specificity of EV-miRNAs, making them superior to cf-miRNA. The results show that LB, a non-invasive strategy, is clinically feasible to identify EV-miRNAs as biomarkers for PCa and may provide additional information for assessing PCa risk stratification.","container-title":"Gene","DOI":"10.1016/j.gene.2024.149186","ISSN":"0378-1119","journalAbbreviation":"Gene","page":"149186","source":"ScienceDirect","title":"Comparative analysis of extracellular vesicles miRNAs (EV-miRNAs) and cell-free microRNAs (cf-miRNAs) reveals that EV-miRNAs are more promising as diagnostic and prognostic biomarkers for prostate cancer","URL":"https://www.sciencedirect.com/science/article/pii/S0378111924010679","volume":"939","author":[{"family":"Nobrega","given":"Monyse"},{"family":"Reis","given":"Mariana Bisarro","dropping-particle":"dos"},{"family":"Souza","given":"Marilesia Ferreira","dropping-particle":"de"},{"family":"Furini","given":"Hector Hugo"},{"family":"Costa Brandão Berti","given":"Fernanda"},{"family":"Souza","given":"Ingrid Larissa Melo"},{"family":"Mingorance Carvalho","given":"Tamyres"},{"family":"Zanata","given":"Silvio M."},{"family":"Fuganti","given":"Paulo Emilio"},{"family":"Malheiros","given":"Danielle"},{"family":"Ribeiro","given":"Enilze Maria de Souza Fonseca"},{"family":"Cólus","given":"Ilce Mara de Syllos"}],"accessed":{"date-parts":[["2025",5,21]]},"issued":{"date-parts":[["2025",3,5]]}}}],"schema":"https://github.com/citation-style-language/schema/raw/master/csl-citation.json"}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Nobrega et al., 2025</w:t>
            </w:r>
            <w:r w:rsidRPr="00E84D7D">
              <w:rPr>
                <w:rFonts w:ascii="Arial" w:hAnsi="Arial" w:cs="Arial"/>
                <w:color w:val="000000"/>
                <w:lang w:eastAsia="fr-FR"/>
              </w:rPr>
              <w:fldChar w:fldCharType="end"/>
            </w:r>
          </w:p>
        </w:tc>
        <w:tc>
          <w:tcPr>
            <w:tcW w:w="1084" w:type="dxa"/>
            <w:tcBorders>
              <w:top w:val="nil"/>
              <w:bottom w:val="nil"/>
            </w:tcBorders>
            <w:noWrap/>
          </w:tcPr>
          <w:p w14:paraId="3D49B5C8"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Brazil</w:t>
            </w:r>
          </w:p>
        </w:tc>
        <w:tc>
          <w:tcPr>
            <w:tcW w:w="927" w:type="dxa"/>
            <w:tcBorders>
              <w:top w:val="nil"/>
              <w:bottom w:val="nil"/>
            </w:tcBorders>
          </w:tcPr>
          <w:p w14:paraId="4FCF9152"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HP</w:t>
            </w:r>
          </w:p>
        </w:tc>
        <w:tc>
          <w:tcPr>
            <w:tcW w:w="695" w:type="dxa"/>
            <w:tcBorders>
              <w:top w:val="nil"/>
              <w:bottom w:val="nil"/>
            </w:tcBorders>
            <w:noWrap/>
          </w:tcPr>
          <w:p w14:paraId="6906E48F"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30</w:t>
            </w:r>
          </w:p>
        </w:tc>
        <w:tc>
          <w:tcPr>
            <w:tcW w:w="927" w:type="dxa"/>
            <w:tcBorders>
              <w:top w:val="nil"/>
              <w:bottom w:val="nil"/>
            </w:tcBorders>
            <w:noWrap/>
          </w:tcPr>
          <w:p w14:paraId="487B1FC2"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15</w:t>
            </w:r>
          </w:p>
        </w:tc>
        <w:tc>
          <w:tcPr>
            <w:tcW w:w="1361" w:type="dxa"/>
            <w:tcBorders>
              <w:top w:val="nil"/>
              <w:bottom w:val="nil"/>
            </w:tcBorders>
            <w:noWrap/>
          </w:tcPr>
          <w:p w14:paraId="367E3F3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Plasma</w:t>
            </w:r>
          </w:p>
        </w:tc>
        <w:tc>
          <w:tcPr>
            <w:tcW w:w="1172" w:type="dxa"/>
            <w:tcBorders>
              <w:top w:val="nil"/>
              <w:bottom w:val="nil"/>
            </w:tcBorders>
          </w:tcPr>
          <w:p w14:paraId="244B6CAF"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RT-</w:t>
            </w:r>
            <w:proofErr w:type="spellStart"/>
            <w:r w:rsidRPr="00F21EDD">
              <w:rPr>
                <w:rFonts w:ascii="Arial" w:eastAsia="Times New Roman" w:hAnsi="Arial" w:cs="Arial"/>
                <w:color w:val="000000"/>
                <w:sz w:val="20"/>
                <w:szCs w:val="20"/>
                <w:lang w:eastAsia="fr-FR"/>
              </w:rPr>
              <w:t>qPCR</w:t>
            </w:r>
            <w:proofErr w:type="spellEnd"/>
          </w:p>
        </w:tc>
        <w:tc>
          <w:tcPr>
            <w:tcW w:w="1206" w:type="dxa"/>
            <w:tcBorders>
              <w:top w:val="nil"/>
              <w:bottom w:val="nil"/>
            </w:tcBorders>
            <w:noWrap/>
          </w:tcPr>
          <w:p w14:paraId="7C95314A"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MiR-375</w:t>
            </w:r>
          </w:p>
        </w:tc>
        <w:tc>
          <w:tcPr>
            <w:tcW w:w="717" w:type="dxa"/>
            <w:tcBorders>
              <w:top w:val="nil"/>
              <w:bottom w:val="nil"/>
            </w:tcBorders>
            <w:noWrap/>
          </w:tcPr>
          <w:p w14:paraId="0290DB2C"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61.00</w:t>
            </w:r>
          </w:p>
        </w:tc>
        <w:tc>
          <w:tcPr>
            <w:tcW w:w="717" w:type="dxa"/>
            <w:tcBorders>
              <w:top w:val="nil"/>
              <w:bottom w:val="nil"/>
            </w:tcBorders>
            <w:noWrap/>
          </w:tcPr>
          <w:p w14:paraId="0A34E10F"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93.00</w:t>
            </w:r>
          </w:p>
        </w:tc>
        <w:tc>
          <w:tcPr>
            <w:tcW w:w="550" w:type="dxa"/>
            <w:tcBorders>
              <w:top w:val="nil"/>
              <w:bottom w:val="nil"/>
            </w:tcBorders>
            <w:noWrap/>
          </w:tcPr>
          <w:p w14:paraId="29AAA72A"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18</w:t>
            </w:r>
          </w:p>
        </w:tc>
        <w:tc>
          <w:tcPr>
            <w:tcW w:w="472" w:type="dxa"/>
            <w:tcBorders>
              <w:top w:val="nil"/>
              <w:bottom w:val="nil"/>
            </w:tcBorders>
            <w:noWrap/>
          </w:tcPr>
          <w:p w14:paraId="12DBAEE6"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1</w:t>
            </w:r>
          </w:p>
        </w:tc>
        <w:tc>
          <w:tcPr>
            <w:tcW w:w="483" w:type="dxa"/>
            <w:tcBorders>
              <w:top w:val="nil"/>
              <w:bottom w:val="nil"/>
            </w:tcBorders>
            <w:noWrap/>
          </w:tcPr>
          <w:p w14:paraId="10D15E13"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14</w:t>
            </w:r>
          </w:p>
        </w:tc>
        <w:tc>
          <w:tcPr>
            <w:tcW w:w="483" w:type="dxa"/>
            <w:tcBorders>
              <w:top w:val="nil"/>
              <w:bottom w:val="nil"/>
            </w:tcBorders>
            <w:noWrap/>
          </w:tcPr>
          <w:p w14:paraId="4B12B6B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12</w:t>
            </w:r>
          </w:p>
        </w:tc>
        <w:tc>
          <w:tcPr>
            <w:tcW w:w="650" w:type="dxa"/>
            <w:tcBorders>
              <w:top w:val="nil"/>
              <w:bottom w:val="nil"/>
            </w:tcBorders>
          </w:tcPr>
          <w:p w14:paraId="27F74D7A"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0.82</w:t>
            </w:r>
          </w:p>
        </w:tc>
      </w:tr>
      <w:tr w:rsidR="00E84D7D" w:rsidRPr="00F21EDD" w14:paraId="4D901E69"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hideMark/>
          </w:tcPr>
          <w:p w14:paraId="787C1337" w14:textId="2CBABDED"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lastRenderedPageBreak/>
              <w:fldChar w:fldCharType="begin"/>
            </w:r>
            <w:r w:rsidRPr="00E84D7D">
              <w:rPr>
                <w:rFonts w:ascii="Arial" w:eastAsia="Times New Roman" w:hAnsi="Arial" w:cs="Arial"/>
                <w:color w:val="000000"/>
                <w:sz w:val="20"/>
                <w:szCs w:val="20"/>
                <w:lang w:eastAsia="fr-FR"/>
              </w:rPr>
              <w:instrText xml:space="preserve"> ADDIN ZOTERO_ITEM CSL_CITATION {"citationID":"ad60g4kaab","properties":{"formattedCitation":"\\uldash{(Abramovic et al., 2021)}","plainCitation":"(Abramovic et al., 2021)","dontUpdate":true,"noteIndex":0},"citationItems":[{"id":800,"uris":["http://zotero.org/users/3583561/items/XFZNNLEM"],"itemData":{"id":800,"type":"article-journal","abstract":"Prostate cancer (PCa) is the most commonly diagnosed neoplasm among men. Since it often resembles benign prostate hyperplasia (BPH), biomarkers with a higher differential value than PSA are required. Epigenetic biomarkers in liquid biopsies, especially miRNA, could address this challenge. The absolute expression of miR-375-3p, miR-182-5p, miR-21-5p, and miR-148a-3p were quantified in blood plasma and seminal plasma of 65 PCa and 58 BPH patients by digital droplet PCR. The sensitivity and specificity of these microRNAs were determined using ROC curve analysis. The higher expression of miR-182-5p and miR-375-3p in the blood plasma of PCa patients was statistically significant as compared to BPH (p = 0.0363 and 0.0226, respectively). Their combination achieved a specificity of 90.2% for predicting positive or negative biopsy results, while PSA cut-off of 4 µg/L performed with only 1.7% specificity. In seminal plasma, miR-375-3p, miR-182-5p, and miR-21-5p showed a statistically significantly higher expression in PCa patients with PSA &gt;10 µg/L compared to ones with PSA ≤10 µg/L. MiR-182-5p and miR-375-3p in blood plasma show higher performance than PSA in discriminating PCa from BPH. Seminal plasma requires further investigation as it represents an obvious source for PCa biomarker identification.","container-title":"Cancers","DOI":"10.3390/cancers13092068","ISSN":"2072-6694","issue":"9","journalAbbreviation":"Cancers (Basel)","language":"eng","note":"PMID: 33922968\nPMCID: PMC8123314","page":"2068","source":"PubMed","title":"MiR-182-5p and miR-375-3p Have Higher Performance Than PSA in Discriminating Prostate Cancer from Benign Prostate Hyperplasia","volume":"13","author":[{"family":"Abramovic","given":"Irena"},{"family":"Vrhovec","given":"Borna"},{"family":"Skara","given":"Lucija"},{"family":"Vrtaric","given":"Alen"},{"family":"Nikolac Gabaj","given":"Nora"},{"family":"Kulis","given":"Tomislav"},{"family":"Stimac","given":"Goran"},{"family":"Ljiljak","given":"Dejan"},{"family":"Ruzic","given":"Boris"},{"family":"Kastelan","given":"Zeljko"},{"family":"Kruslin","given":"Bozo"},{"family":"Bulic-Jakus","given":"Floriana"},{"family":"Ulamec","given":"Monika"},{"family":"Katusic-Bojanac","given":"Ana"},{"family":"Sincic","given":"Nino"}],"issued":{"date-parts":[["2021",4,25]]}}}],"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Abramovic et al., 2021</w:t>
            </w:r>
            <w:r w:rsidRPr="00E84D7D">
              <w:rPr>
                <w:rFonts w:ascii="Arial" w:hAnsi="Arial" w:cs="Arial"/>
                <w:color w:val="000000"/>
                <w:lang w:eastAsia="fr-FR"/>
              </w:rPr>
              <w:fldChar w:fldCharType="end"/>
            </w:r>
          </w:p>
        </w:tc>
        <w:tc>
          <w:tcPr>
            <w:tcW w:w="1084" w:type="dxa"/>
            <w:tcBorders>
              <w:top w:val="nil"/>
              <w:bottom w:val="nil"/>
            </w:tcBorders>
            <w:noWrap/>
            <w:hideMark/>
          </w:tcPr>
          <w:p w14:paraId="78EA33D2"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proofErr w:type="spellStart"/>
            <w:r w:rsidRPr="00F21EDD">
              <w:rPr>
                <w:rFonts w:ascii="Arial" w:eastAsia="Times New Roman" w:hAnsi="Arial" w:cs="Arial"/>
                <w:color w:val="000000"/>
                <w:sz w:val="20"/>
                <w:szCs w:val="20"/>
                <w:lang w:val="en-US" w:eastAsia="fr-FR"/>
              </w:rPr>
              <w:t>Croatie</w:t>
            </w:r>
            <w:proofErr w:type="spellEnd"/>
          </w:p>
        </w:tc>
        <w:tc>
          <w:tcPr>
            <w:tcW w:w="927" w:type="dxa"/>
            <w:tcBorders>
              <w:top w:val="nil"/>
              <w:bottom w:val="nil"/>
            </w:tcBorders>
          </w:tcPr>
          <w:p w14:paraId="4BD300EA"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BPH</w:t>
            </w:r>
          </w:p>
        </w:tc>
        <w:tc>
          <w:tcPr>
            <w:tcW w:w="695" w:type="dxa"/>
            <w:tcBorders>
              <w:top w:val="nil"/>
              <w:bottom w:val="nil"/>
            </w:tcBorders>
            <w:noWrap/>
            <w:hideMark/>
          </w:tcPr>
          <w:p w14:paraId="78D6F423"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65</w:t>
            </w:r>
          </w:p>
        </w:tc>
        <w:tc>
          <w:tcPr>
            <w:tcW w:w="927" w:type="dxa"/>
            <w:tcBorders>
              <w:top w:val="nil"/>
              <w:bottom w:val="nil"/>
            </w:tcBorders>
            <w:noWrap/>
            <w:hideMark/>
          </w:tcPr>
          <w:p w14:paraId="6960C87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58</w:t>
            </w:r>
          </w:p>
        </w:tc>
        <w:tc>
          <w:tcPr>
            <w:tcW w:w="1361" w:type="dxa"/>
            <w:tcBorders>
              <w:top w:val="nil"/>
              <w:bottom w:val="nil"/>
            </w:tcBorders>
            <w:noWrap/>
            <w:hideMark/>
          </w:tcPr>
          <w:p w14:paraId="40F770D8"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Plasma</w:t>
            </w:r>
          </w:p>
        </w:tc>
        <w:tc>
          <w:tcPr>
            <w:tcW w:w="1172" w:type="dxa"/>
            <w:tcBorders>
              <w:top w:val="nil"/>
              <w:bottom w:val="nil"/>
            </w:tcBorders>
          </w:tcPr>
          <w:p w14:paraId="6FB0F2B8"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proofErr w:type="spellStart"/>
            <w:r w:rsidRPr="00F21EDD">
              <w:rPr>
                <w:rFonts w:ascii="Arial" w:eastAsia="Times New Roman" w:hAnsi="Arial" w:cs="Arial"/>
                <w:color w:val="000000"/>
                <w:sz w:val="20"/>
                <w:szCs w:val="20"/>
                <w:lang w:val="en-US" w:eastAsia="fr-FR"/>
              </w:rPr>
              <w:t>ddPCR</w:t>
            </w:r>
            <w:proofErr w:type="spellEnd"/>
          </w:p>
        </w:tc>
        <w:tc>
          <w:tcPr>
            <w:tcW w:w="1206" w:type="dxa"/>
            <w:tcBorders>
              <w:top w:val="nil"/>
              <w:bottom w:val="nil"/>
            </w:tcBorders>
            <w:noWrap/>
            <w:hideMark/>
          </w:tcPr>
          <w:p w14:paraId="725C7E6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 xml:space="preserve">miR-375 </w:t>
            </w:r>
          </w:p>
        </w:tc>
        <w:tc>
          <w:tcPr>
            <w:tcW w:w="717" w:type="dxa"/>
            <w:tcBorders>
              <w:top w:val="nil"/>
              <w:bottom w:val="nil"/>
            </w:tcBorders>
            <w:noWrap/>
            <w:hideMark/>
          </w:tcPr>
          <w:p w14:paraId="6169C4C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40.00</w:t>
            </w:r>
          </w:p>
        </w:tc>
        <w:tc>
          <w:tcPr>
            <w:tcW w:w="717" w:type="dxa"/>
            <w:tcBorders>
              <w:top w:val="nil"/>
              <w:bottom w:val="nil"/>
            </w:tcBorders>
            <w:noWrap/>
            <w:hideMark/>
          </w:tcPr>
          <w:p w14:paraId="31AEE946"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80.70</w:t>
            </w:r>
          </w:p>
        </w:tc>
        <w:tc>
          <w:tcPr>
            <w:tcW w:w="550" w:type="dxa"/>
            <w:tcBorders>
              <w:top w:val="nil"/>
              <w:bottom w:val="nil"/>
            </w:tcBorders>
            <w:noWrap/>
            <w:hideMark/>
          </w:tcPr>
          <w:p w14:paraId="1E37FA3F"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26</w:t>
            </w:r>
          </w:p>
        </w:tc>
        <w:tc>
          <w:tcPr>
            <w:tcW w:w="472" w:type="dxa"/>
            <w:tcBorders>
              <w:top w:val="nil"/>
              <w:bottom w:val="nil"/>
            </w:tcBorders>
            <w:noWrap/>
            <w:hideMark/>
          </w:tcPr>
          <w:p w14:paraId="6488183A"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11</w:t>
            </w:r>
          </w:p>
        </w:tc>
        <w:tc>
          <w:tcPr>
            <w:tcW w:w="483" w:type="dxa"/>
            <w:tcBorders>
              <w:top w:val="nil"/>
              <w:bottom w:val="nil"/>
            </w:tcBorders>
            <w:noWrap/>
            <w:hideMark/>
          </w:tcPr>
          <w:p w14:paraId="54166500"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47</w:t>
            </w:r>
          </w:p>
        </w:tc>
        <w:tc>
          <w:tcPr>
            <w:tcW w:w="483" w:type="dxa"/>
            <w:tcBorders>
              <w:top w:val="nil"/>
              <w:bottom w:val="nil"/>
            </w:tcBorders>
            <w:noWrap/>
            <w:hideMark/>
          </w:tcPr>
          <w:p w14:paraId="7A2D9B78"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39</w:t>
            </w:r>
          </w:p>
        </w:tc>
        <w:tc>
          <w:tcPr>
            <w:tcW w:w="650" w:type="dxa"/>
            <w:tcBorders>
              <w:top w:val="nil"/>
              <w:bottom w:val="nil"/>
            </w:tcBorders>
          </w:tcPr>
          <w:p w14:paraId="42B24F11"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0.62</w:t>
            </w:r>
          </w:p>
        </w:tc>
      </w:tr>
      <w:tr w:rsidR="00E84D7D" w:rsidRPr="00F21EDD" w14:paraId="684A7C51"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2CEB76D1" w14:textId="00F87B08"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{"citationID":"a4humica1c","properties":{"formattedCitation":"\\uldash{(Li et al., 2021)}","plainCitation":"(Li et al., 2021)","dontUpdate":true,"noteIndex":0},"citationItems":[{"id":797,"uris":["http://zotero.org/users/3583561/items/MNX96SV7"],"itemData":{"id":797,"type":"article-journal","abstract":"BACKGROUND: Novel and non-invasive biomarkers with higher sensitivity and specificity for the diagnosis of prostate cancer (PCa) is urgently needed. In this study, we used next-generation sequencing (NGS) to characterize the genome-wide exosomal miRNA expression profiling in urine specimens and explored the diagnostic potential of urinary exosomal miRNAs for PCa.\nMETHODS: Urinary exosomal microRNA expression profiling was performed by next-generation sequencing (NGS) and then validated by quantitative real-time PCR.\nRESULTS: Significant downregulation of urinary exosomal miR-375 was observed in PCa patients compared with healthy controls, while the expression levels of urinary exosomal miR-451a, miR-486-3p and miR-486-5p were found to be significantly up-regulated in the PCa patients. Furthermore, the expression level of urinary exosomal miR-375 showed a significant correlation with the clinical T-stage and bone metastasis of patients with PCa (P&lt;0.05). Receiver operator characteristic curve demonstrated that the urinary exosomal miR-375, miR-451a, miR-486-3p and miR-486-5p levels can be used to differentiate PCa patients from healthy controls, with area under the curves (AUCs) of 0.788, 0.757, 0.704 and 0.796, respectively. The urinary exosomal miR-375 was found to be superior in discriminating between localized and metastatic PCa with an AUC of 0.806. Moreover, PCa patients can be distinguished from patients with benign prostatic hyperplasia by using a panel combining urinary exosomal miR-375 and miR-451a with an AUC of 0.726.\nCONCLUSION: These findings demonstrate that the urinary exosomal miRNAs can serve as novel and non-invasive biomarkers for diagnosing and predicting the progression of PCa.","container-title":"Cancer Management and Research","DOI":"10.2147/CMAR.S272140","ISSN":"1179-1322","journalAbbreviation":"Cancer Manag Res","language":"eng","note":"PMID: 33442291\nPMCID: PMC7797303","page":"25-35","source":"PubMed","title":"Identification of Urinary Exosomal miRNAs for the Non-Invasive Diagnosis of Prostate Cancer","volume":"13","author":[{"family":"Li","given":"Zhuo"},{"family":"Li","given":"La-Xiu"},{"family":"Diao","given":"Yan-Jun"},{"family":"Wang","given":"Juan"},{"family":"Ye","given":"Yun"},{"family":"Hao","given":"Xiao-Ke"}],"issued":{"date-parts":[["2021"]]}}}],"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Li et al., 2021</w:t>
            </w:r>
            <w:r w:rsidRPr="00E84D7D">
              <w:rPr>
                <w:rFonts w:ascii="Arial" w:hAnsi="Arial" w:cs="Arial"/>
                <w:color w:val="000000"/>
                <w:lang w:eastAsia="fr-FR"/>
              </w:rPr>
              <w:fldChar w:fldCharType="end"/>
            </w:r>
          </w:p>
        </w:tc>
        <w:tc>
          <w:tcPr>
            <w:tcW w:w="1084" w:type="dxa"/>
            <w:tcBorders>
              <w:top w:val="nil"/>
              <w:bottom w:val="nil"/>
            </w:tcBorders>
            <w:noWrap/>
          </w:tcPr>
          <w:p w14:paraId="294B6747"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China</w:t>
            </w:r>
          </w:p>
        </w:tc>
        <w:tc>
          <w:tcPr>
            <w:tcW w:w="927" w:type="dxa"/>
            <w:tcBorders>
              <w:top w:val="nil"/>
              <w:bottom w:val="nil"/>
            </w:tcBorders>
          </w:tcPr>
          <w:p w14:paraId="4CC5E988"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HP</w:t>
            </w:r>
          </w:p>
        </w:tc>
        <w:tc>
          <w:tcPr>
            <w:tcW w:w="695" w:type="dxa"/>
            <w:tcBorders>
              <w:top w:val="nil"/>
              <w:bottom w:val="nil"/>
            </w:tcBorders>
            <w:noWrap/>
          </w:tcPr>
          <w:p w14:paraId="5F9CDEF8"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49</w:t>
            </w:r>
          </w:p>
        </w:tc>
        <w:tc>
          <w:tcPr>
            <w:tcW w:w="927" w:type="dxa"/>
            <w:tcBorders>
              <w:top w:val="nil"/>
              <w:bottom w:val="nil"/>
            </w:tcBorders>
            <w:noWrap/>
          </w:tcPr>
          <w:p w14:paraId="2022C4C2"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25</w:t>
            </w:r>
          </w:p>
        </w:tc>
        <w:tc>
          <w:tcPr>
            <w:tcW w:w="1361" w:type="dxa"/>
            <w:tcBorders>
              <w:top w:val="nil"/>
              <w:bottom w:val="nil"/>
            </w:tcBorders>
            <w:noWrap/>
          </w:tcPr>
          <w:p w14:paraId="70E31932"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Urine (exosomes)</w:t>
            </w:r>
          </w:p>
        </w:tc>
        <w:tc>
          <w:tcPr>
            <w:tcW w:w="1172" w:type="dxa"/>
            <w:tcBorders>
              <w:top w:val="nil"/>
              <w:bottom w:val="nil"/>
            </w:tcBorders>
          </w:tcPr>
          <w:p w14:paraId="534A8162"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6C526DEE"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MiR-375</w:t>
            </w:r>
          </w:p>
        </w:tc>
        <w:tc>
          <w:tcPr>
            <w:tcW w:w="717" w:type="dxa"/>
            <w:tcBorders>
              <w:top w:val="nil"/>
              <w:bottom w:val="nil"/>
            </w:tcBorders>
            <w:noWrap/>
          </w:tcPr>
          <w:p w14:paraId="315041CB"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717" w:type="dxa"/>
            <w:tcBorders>
              <w:top w:val="nil"/>
              <w:bottom w:val="nil"/>
            </w:tcBorders>
            <w:noWrap/>
          </w:tcPr>
          <w:p w14:paraId="6EF8C5CF"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550" w:type="dxa"/>
            <w:tcBorders>
              <w:top w:val="nil"/>
              <w:bottom w:val="nil"/>
            </w:tcBorders>
            <w:noWrap/>
          </w:tcPr>
          <w:p w14:paraId="58C997D3"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72" w:type="dxa"/>
            <w:tcBorders>
              <w:top w:val="nil"/>
              <w:bottom w:val="nil"/>
            </w:tcBorders>
            <w:noWrap/>
          </w:tcPr>
          <w:p w14:paraId="48D25CC8"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83" w:type="dxa"/>
            <w:tcBorders>
              <w:top w:val="nil"/>
              <w:bottom w:val="nil"/>
            </w:tcBorders>
            <w:noWrap/>
          </w:tcPr>
          <w:p w14:paraId="493E4A69"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83" w:type="dxa"/>
            <w:tcBorders>
              <w:top w:val="nil"/>
              <w:bottom w:val="nil"/>
            </w:tcBorders>
            <w:noWrap/>
          </w:tcPr>
          <w:p w14:paraId="75B96B3E"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650" w:type="dxa"/>
            <w:tcBorders>
              <w:top w:val="nil"/>
              <w:bottom w:val="nil"/>
            </w:tcBorders>
          </w:tcPr>
          <w:p w14:paraId="6554263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0.79</w:t>
            </w:r>
          </w:p>
        </w:tc>
      </w:tr>
      <w:tr w:rsidR="00E84D7D" w:rsidRPr="00F21EDD" w14:paraId="67693D90"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0C90310E" w14:textId="3671FE8C"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{"citationID":"a15bk4irapk","properties":{"formattedCitation":"\\uldash{(Li et al., 2021)}","plainCitation":"(Li et al., 2021)","dontUpdate":true,"noteIndex":0},"citationItems":[{"id":797,"uris":["http://zotero.org/users/3583561/items/MNX96SV7"],"itemData":{"id":797,"type":"article-journal","abstract":"BACKGROUND: Novel and non-invasive biomarkers with higher sensitivity and specificity for the diagnosis of prostate cancer (PCa) is urgently needed. In this study, we used next-generation sequencing (NGS) to characterize the genome-wide exosomal miRNA expression profiling in urine specimens and explored the diagnostic potential of urinary exosomal miRNAs for PCa.\nMETHODS: Urinary exosomal microRNA expression profiling was performed by next-generation sequencing (NGS) and then validated by quantitative real-time PCR.\nRESULTS: Significant downregulation of urinary exosomal miR-375 was observed in PCa patients compared with healthy controls, while the expression levels of urinary exosomal miR-451a, miR-486-3p and miR-486-5p were found to be significantly up-regulated in the PCa patients. Furthermore, the expression level of urinary exosomal miR-375 showed a significant correlation with the clinical T-stage and bone metastasis of patients with PCa (P&lt;0.05). Receiver operator characteristic curve demonstrated that the urinary exosomal miR-375, miR-451a, miR-486-3p and miR-486-5p levels can be used to differentiate PCa patients from healthy controls, with area under the curves (AUCs) of 0.788, 0.757, 0.704 and 0.796, respectively. The urinary exosomal miR-375 was found to be superior in discriminating between localized and metastatic PCa with an AUC of 0.806. Moreover, PCa patients can be distinguished from patients with benign prostatic hyperplasia by using a panel combining urinary exosomal miR-375 and miR-451a with an AUC of 0.726.\nCONCLUSION: These findings demonstrate that the urinary exosomal miRNAs can serve as novel and non-invasive biomarkers for diagnosing and predicting the progression of PCa.","container-title":"Cancer Management and Research","DOI":"10.2147/CMAR.S272140","ISSN":"1179-1322","journalAbbreviation":"Cancer Manag Res","language":"eng","note":"PMID: 33442291\nPMCID: PMC7797303","page":"25-35","source":"PubMed","title":"Identification of Urinary Exosomal miRNAs for the Non-Invasive Diagnosis of Prostate Cancer","volume":"13","author":[{"family":"Li","given":"Zhuo"},{"family":"Li","given":"La-Xiu"},{"family":"Diao","given":"Yan-Jun"},{"family":"Wang","given":"Juan"},{"family":"Ye","given":"Yun"},{"family":"Hao","given":"Xiao-Ke"}],"issued":{"date-parts":[["2021"]]}}}],"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Li et al., 2021</w:t>
            </w:r>
            <w:r w:rsidRPr="00E84D7D">
              <w:rPr>
                <w:rFonts w:ascii="Arial" w:hAnsi="Arial" w:cs="Arial"/>
                <w:color w:val="000000"/>
                <w:lang w:eastAsia="fr-FR"/>
              </w:rPr>
              <w:fldChar w:fldCharType="end"/>
            </w:r>
          </w:p>
        </w:tc>
        <w:tc>
          <w:tcPr>
            <w:tcW w:w="1084" w:type="dxa"/>
            <w:tcBorders>
              <w:top w:val="nil"/>
              <w:bottom w:val="nil"/>
            </w:tcBorders>
            <w:noWrap/>
          </w:tcPr>
          <w:p w14:paraId="038CAB36"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China</w:t>
            </w:r>
          </w:p>
        </w:tc>
        <w:tc>
          <w:tcPr>
            <w:tcW w:w="927" w:type="dxa"/>
            <w:tcBorders>
              <w:top w:val="nil"/>
              <w:bottom w:val="nil"/>
            </w:tcBorders>
          </w:tcPr>
          <w:p w14:paraId="4690E599"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BPH</w:t>
            </w:r>
          </w:p>
        </w:tc>
        <w:tc>
          <w:tcPr>
            <w:tcW w:w="695" w:type="dxa"/>
            <w:tcBorders>
              <w:top w:val="nil"/>
              <w:bottom w:val="nil"/>
            </w:tcBorders>
            <w:noWrap/>
          </w:tcPr>
          <w:p w14:paraId="3FC4F42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49</w:t>
            </w:r>
          </w:p>
        </w:tc>
        <w:tc>
          <w:tcPr>
            <w:tcW w:w="927" w:type="dxa"/>
            <w:tcBorders>
              <w:top w:val="nil"/>
              <w:bottom w:val="nil"/>
            </w:tcBorders>
            <w:noWrap/>
          </w:tcPr>
          <w:p w14:paraId="01D74048"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29</w:t>
            </w:r>
          </w:p>
        </w:tc>
        <w:tc>
          <w:tcPr>
            <w:tcW w:w="1361" w:type="dxa"/>
            <w:tcBorders>
              <w:top w:val="nil"/>
              <w:bottom w:val="nil"/>
            </w:tcBorders>
            <w:noWrap/>
          </w:tcPr>
          <w:p w14:paraId="39C9C1E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Urine (exosomes)</w:t>
            </w:r>
          </w:p>
        </w:tc>
        <w:tc>
          <w:tcPr>
            <w:tcW w:w="1172" w:type="dxa"/>
            <w:tcBorders>
              <w:top w:val="nil"/>
              <w:bottom w:val="nil"/>
            </w:tcBorders>
          </w:tcPr>
          <w:p w14:paraId="0C209A28"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59C6B5D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MiR-375</w:t>
            </w:r>
          </w:p>
        </w:tc>
        <w:tc>
          <w:tcPr>
            <w:tcW w:w="717" w:type="dxa"/>
            <w:tcBorders>
              <w:top w:val="nil"/>
              <w:bottom w:val="nil"/>
            </w:tcBorders>
            <w:noWrap/>
          </w:tcPr>
          <w:p w14:paraId="373AD39F"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717" w:type="dxa"/>
            <w:tcBorders>
              <w:top w:val="nil"/>
              <w:bottom w:val="nil"/>
            </w:tcBorders>
            <w:noWrap/>
          </w:tcPr>
          <w:p w14:paraId="66D53E6C"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550" w:type="dxa"/>
            <w:tcBorders>
              <w:top w:val="nil"/>
              <w:bottom w:val="nil"/>
            </w:tcBorders>
            <w:noWrap/>
          </w:tcPr>
          <w:p w14:paraId="1DC88FE6"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72" w:type="dxa"/>
            <w:tcBorders>
              <w:top w:val="nil"/>
              <w:bottom w:val="nil"/>
            </w:tcBorders>
            <w:noWrap/>
          </w:tcPr>
          <w:p w14:paraId="32453C2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83" w:type="dxa"/>
            <w:tcBorders>
              <w:top w:val="nil"/>
              <w:bottom w:val="nil"/>
            </w:tcBorders>
            <w:noWrap/>
          </w:tcPr>
          <w:p w14:paraId="2521769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83" w:type="dxa"/>
            <w:tcBorders>
              <w:top w:val="nil"/>
              <w:bottom w:val="nil"/>
            </w:tcBorders>
            <w:noWrap/>
          </w:tcPr>
          <w:p w14:paraId="0FCF513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650" w:type="dxa"/>
            <w:tcBorders>
              <w:top w:val="nil"/>
              <w:bottom w:val="nil"/>
            </w:tcBorders>
          </w:tcPr>
          <w:p w14:paraId="1F6B0345"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0.70</w:t>
            </w:r>
          </w:p>
        </w:tc>
      </w:tr>
      <w:tr w:rsidR="00E84D7D" w:rsidRPr="00F21EDD" w14:paraId="078F5F11"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hideMark/>
          </w:tcPr>
          <w:p w14:paraId="4B6BB2CD" w14:textId="4EBD1197"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{"citationID":"a1fla5uj5ej","properties":{"formattedCitation":"\\uldash{(Ciszkowicz et al., 2020)}","plainCitation":"(Ciszkowicz et al., 2020)","dontUpdate":true,"noteIndex":0},"citationItems":[{"id":578,"uris":["http://zotero.org/users/3583561/items/ME5Z4QWB"],"itemData":{"id":578,"type":"article-journal","abstract":"Dysregulation of miRNAs has a fundamental role in the initiation, development and progression of prostate cancer (PCa). The potential of miRNA in gene therapy and diagnostic applications is well documented. To further improve miRNAs' ability to distinguish between PCa and benign prostatic hyperplasia (BPH) patients, nine miRNA (-21, -27b, -93, -141, -205, -221, -182, -375 and let-7a) with the highest reported differentiation power were chosen and for the first time used in comparative studies of serum and prostate tissue samples. Spearman correlations and response operating characteristic (ROC) analyses were applied to assess the capability of the miRNAs present in serum to discriminate between PCa and BPH patients. The present study clearly demonstrates that miR-93 and miR-375 could be taken into consideration as single blood-based non-invasive molecules to distinguish PCa from BPH patients. We indicate that these two miRNAs have six common, PCa-related, target genes (CCND2, MAP3K2, MXI1, PAFAH1B1, YOD1, ZFYVE26) that share the molecular function of protein binding (GO:0005515 term). A high diagnostic value of the new serum derived miR-182 (AUC = 0.881, 95% confidence interval, CI = 0.816-0.946, p &lt; 0.0001, sensitivity and specificity were 85% and 79%, respectively) is also described.","container-title":"International Journal of Molecular Sciences","DOI":"10.3390/ijms21165667","ISSN":"Canatan","issue":"16","journalAbbreviation":"Int J Mol Sci","language":"eng","note":"PMID: 32784653\nPMCID: PMC7460886","page":"5667","source":"PubMed","title":"MiR-93/miR-375: Diagnostic Potential, Aggressiveness Correlation and Common Target Genes in Prostate Cancer","title-short":"MiR-93/miR-375","volume":"21","author":[{"family":"Ciszkowicz","given":"Ewa"},{"family":"Porzycki","given":"Paweł"},{"family":"Semik","given":"Małgorzata"},{"family":"Kaznowska","given":"Ewa"},{"family":"Tyrka","given":"Mirosław"}],"issued":{"date-parts":[["2020",8,7]]}}}],"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Ciszkowicz et al., 2020</w:t>
            </w:r>
            <w:r w:rsidRPr="00E84D7D">
              <w:rPr>
                <w:rFonts w:ascii="Arial" w:hAnsi="Arial" w:cs="Arial"/>
                <w:color w:val="000000"/>
                <w:lang w:eastAsia="fr-FR"/>
              </w:rPr>
              <w:fldChar w:fldCharType="end"/>
            </w:r>
          </w:p>
        </w:tc>
        <w:tc>
          <w:tcPr>
            <w:tcW w:w="1084" w:type="dxa"/>
            <w:tcBorders>
              <w:top w:val="nil"/>
              <w:bottom w:val="nil"/>
            </w:tcBorders>
            <w:noWrap/>
            <w:hideMark/>
          </w:tcPr>
          <w:p w14:paraId="787DA726"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Poland</w:t>
            </w:r>
          </w:p>
        </w:tc>
        <w:tc>
          <w:tcPr>
            <w:tcW w:w="927" w:type="dxa"/>
            <w:tcBorders>
              <w:top w:val="nil"/>
              <w:bottom w:val="nil"/>
            </w:tcBorders>
          </w:tcPr>
          <w:p w14:paraId="07824256"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BPH</w:t>
            </w:r>
          </w:p>
        </w:tc>
        <w:tc>
          <w:tcPr>
            <w:tcW w:w="695" w:type="dxa"/>
            <w:tcBorders>
              <w:top w:val="nil"/>
              <w:bottom w:val="nil"/>
            </w:tcBorders>
            <w:noWrap/>
            <w:hideMark/>
          </w:tcPr>
          <w:p w14:paraId="2B37958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40</w:t>
            </w:r>
          </w:p>
        </w:tc>
        <w:tc>
          <w:tcPr>
            <w:tcW w:w="927" w:type="dxa"/>
            <w:tcBorders>
              <w:top w:val="nil"/>
              <w:bottom w:val="nil"/>
            </w:tcBorders>
            <w:noWrap/>
            <w:hideMark/>
          </w:tcPr>
          <w:p w14:paraId="0E6FAC3E"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62</w:t>
            </w:r>
          </w:p>
        </w:tc>
        <w:tc>
          <w:tcPr>
            <w:tcW w:w="1361" w:type="dxa"/>
            <w:tcBorders>
              <w:top w:val="nil"/>
              <w:bottom w:val="nil"/>
            </w:tcBorders>
            <w:noWrap/>
            <w:hideMark/>
          </w:tcPr>
          <w:p w14:paraId="6D2F7E58"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Serum</w:t>
            </w:r>
          </w:p>
        </w:tc>
        <w:tc>
          <w:tcPr>
            <w:tcW w:w="1172" w:type="dxa"/>
            <w:tcBorders>
              <w:top w:val="nil"/>
              <w:bottom w:val="nil"/>
            </w:tcBorders>
          </w:tcPr>
          <w:p w14:paraId="520EDC2C"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hideMark/>
          </w:tcPr>
          <w:p w14:paraId="1F215489"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miR-375</w:t>
            </w:r>
          </w:p>
        </w:tc>
        <w:tc>
          <w:tcPr>
            <w:tcW w:w="717" w:type="dxa"/>
            <w:tcBorders>
              <w:top w:val="nil"/>
              <w:bottom w:val="nil"/>
            </w:tcBorders>
            <w:noWrap/>
            <w:hideMark/>
          </w:tcPr>
          <w:p w14:paraId="5CB4C95C"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73.00</w:t>
            </w:r>
          </w:p>
        </w:tc>
        <w:tc>
          <w:tcPr>
            <w:tcW w:w="717" w:type="dxa"/>
            <w:tcBorders>
              <w:top w:val="nil"/>
              <w:bottom w:val="nil"/>
            </w:tcBorders>
            <w:noWrap/>
            <w:hideMark/>
          </w:tcPr>
          <w:p w14:paraId="1E9DB41A"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90.00</w:t>
            </w:r>
          </w:p>
        </w:tc>
        <w:tc>
          <w:tcPr>
            <w:tcW w:w="550" w:type="dxa"/>
            <w:tcBorders>
              <w:top w:val="nil"/>
              <w:bottom w:val="nil"/>
            </w:tcBorders>
            <w:noWrap/>
            <w:hideMark/>
          </w:tcPr>
          <w:p w14:paraId="23130F95"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29</w:t>
            </w:r>
          </w:p>
        </w:tc>
        <w:tc>
          <w:tcPr>
            <w:tcW w:w="472" w:type="dxa"/>
            <w:tcBorders>
              <w:top w:val="nil"/>
              <w:bottom w:val="nil"/>
            </w:tcBorders>
            <w:noWrap/>
            <w:hideMark/>
          </w:tcPr>
          <w:p w14:paraId="2D497B35"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6</w:t>
            </w:r>
          </w:p>
        </w:tc>
        <w:tc>
          <w:tcPr>
            <w:tcW w:w="483" w:type="dxa"/>
            <w:tcBorders>
              <w:top w:val="nil"/>
              <w:bottom w:val="nil"/>
            </w:tcBorders>
            <w:noWrap/>
            <w:hideMark/>
          </w:tcPr>
          <w:p w14:paraId="77085CF1"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56</w:t>
            </w:r>
          </w:p>
        </w:tc>
        <w:tc>
          <w:tcPr>
            <w:tcW w:w="483" w:type="dxa"/>
            <w:tcBorders>
              <w:top w:val="nil"/>
              <w:bottom w:val="nil"/>
            </w:tcBorders>
            <w:noWrap/>
            <w:hideMark/>
          </w:tcPr>
          <w:p w14:paraId="16E28EB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11</w:t>
            </w:r>
          </w:p>
        </w:tc>
        <w:tc>
          <w:tcPr>
            <w:tcW w:w="650" w:type="dxa"/>
            <w:tcBorders>
              <w:top w:val="nil"/>
              <w:bottom w:val="nil"/>
            </w:tcBorders>
          </w:tcPr>
          <w:p w14:paraId="0C893A5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0.78</w:t>
            </w:r>
          </w:p>
        </w:tc>
      </w:tr>
      <w:tr w:rsidR="00E84D7D" w:rsidRPr="00F21EDD" w14:paraId="2FCEEB9A"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223ECBA5" w14:textId="7CAC1315"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{"citationID":"a1qouft6kh","properties":{"formattedCitation":"\\uldash{(Jin et al., 2020)}","plainCitation":"(Jin et al., 2020)","dontUpdate":true,"noteIndex":0},"citationItems":[{"id":790,"uris":["http://zotero.org/users/3583561/items/TY9SS6IY"],"itemData":{"id":790,"type":"article-journal","abstract":"Body fluids often contain freely circulating nucleic acids, many of which can be exploited as noninvasive tools for the diagnosis of cancer as well as for clinical prognostication. Identifying microRNAs (miRNAs) in subjects' blood with various malignancies means that they can serve as novel biomarkers for prostate cancer (PCa) diagnosis. This study analyzed serum-circulating miRNAs as a noninvasive biomarker in subjects with PCa and subjects with benign prostatic hyperplasia (BPH). In total, 31 PCa subjects and 31 BPH subjects were included, with the BPH group serving as the control group. RT-qPCR was used to quantify the levels of 10 miRNAs, which included miR-18a, miR-34a, miR-106b, miR-183, miR-200a, miR-301a, miR-141, miR-182, miR-200b, and miR-375 in serum. Statistical tests were used to assess the relationship between the levels of miRNAs and the clinicopathological data. A significant increase was observed in the relative expression ratios of miR-141, miR-182, miR-200b, and miR-375 (1.89-, 2.09-, 2.41-, and 2.27-folds, respectively) in the PCa group when compared to the BPH group. Based on the receiver operating characteristic (ROC) analysis, the largest area under the curve (AUC), 0.923, was associated with the miR-200b group, indicating effective diagnostic properties for this biomarker. A correlation was observed between total prostate-specific antigen (TPSA) and the relative levels of miR-141, miR-182, miR-200b, and miR-375. The Gleason score and the miR-200b expression level were also correlated. These results are consistent with previous studies regarding the possibility of differentiating between PCa subjects and healthy controls based on the detection of miRNA. The findings attest to a distinctive expression profile of miRNA that is detectable in the blood of PCa subjects, thereby confirming the role of miRNAs as diagnostic biomarkers for PCa.","container-title":"Journal of Immunology Research","DOI":"10.1155/2020/5873056","ISSN":"2314-7156","journalAbbreviation":"J Immunol Res","language":"eng","note":"PMID: 32455140\nPMCID: PMC7230987","page":"5873056","source":"PubMed","title":"Circulating miRNAs as Biomarkers for Prostate Cancer Diagnosis in Subjects with Benign Prostatic Hyperplasia","volume":"2020","author":[{"family":"Jin","given":"Wei"},{"family":"Fei","given":"Xiang"},{"family":"Wang","given":"Xia"},{"family":"Chen","given":"Fangjie"},{"family":"Song","given":"Yan"}],"issued":{"date-parts":[["2020"]]}}}],"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Jin et al., 2020</w:t>
            </w:r>
            <w:r w:rsidRPr="00E84D7D">
              <w:rPr>
                <w:rFonts w:ascii="Arial" w:hAnsi="Arial" w:cs="Arial"/>
                <w:color w:val="000000"/>
                <w:lang w:eastAsia="fr-FR"/>
              </w:rPr>
              <w:fldChar w:fldCharType="end"/>
            </w:r>
          </w:p>
        </w:tc>
        <w:tc>
          <w:tcPr>
            <w:tcW w:w="1084" w:type="dxa"/>
            <w:tcBorders>
              <w:top w:val="nil"/>
              <w:bottom w:val="nil"/>
            </w:tcBorders>
            <w:noWrap/>
          </w:tcPr>
          <w:p w14:paraId="3D6B4FE0"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China</w:t>
            </w:r>
          </w:p>
        </w:tc>
        <w:tc>
          <w:tcPr>
            <w:tcW w:w="927" w:type="dxa"/>
            <w:tcBorders>
              <w:top w:val="nil"/>
              <w:bottom w:val="nil"/>
            </w:tcBorders>
          </w:tcPr>
          <w:p w14:paraId="58E41931"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BPH</w:t>
            </w:r>
          </w:p>
        </w:tc>
        <w:tc>
          <w:tcPr>
            <w:tcW w:w="695" w:type="dxa"/>
            <w:tcBorders>
              <w:top w:val="nil"/>
              <w:bottom w:val="nil"/>
            </w:tcBorders>
            <w:noWrap/>
          </w:tcPr>
          <w:p w14:paraId="41A75E51"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31</w:t>
            </w:r>
          </w:p>
        </w:tc>
        <w:tc>
          <w:tcPr>
            <w:tcW w:w="927" w:type="dxa"/>
            <w:tcBorders>
              <w:top w:val="nil"/>
              <w:bottom w:val="nil"/>
            </w:tcBorders>
            <w:noWrap/>
          </w:tcPr>
          <w:p w14:paraId="4CDA2A62"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31</w:t>
            </w:r>
          </w:p>
        </w:tc>
        <w:tc>
          <w:tcPr>
            <w:tcW w:w="1361" w:type="dxa"/>
            <w:tcBorders>
              <w:top w:val="nil"/>
              <w:bottom w:val="nil"/>
            </w:tcBorders>
            <w:noWrap/>
          </w:tcPr>
          <w:p w14:paraId="6898CD16"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Plasma</w:t>
            </w:r>
          </w:p>
        </w:tc>
        <w:tc>
          <w:tcPr>
            <w:tcW w:w="1172" w:type="dxa"/>
            <w:tcBorders>
              <w:top w:val="nil"/>
              <w:bottom w:val="nil"/>
            </w:tcBorders>
          </w:tcPr>
          <w:p w14:paraId="4900BCE1"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3C5ACF31"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miR-375</w:t>
            </w:r>
          </w:p>
        </w:tc>
        <w:tc>
          <w:tcPr>
            <w:tcW w:w="717" w:type="dxa"/>
            <w:tcBorders>
              <w:top w:val="nil"/>
              <w:bottom w:val="nil"/>
            </w:tcBorders>
            <w:noWrap/>
          </w:tcPr>
          <w:p w14:paraId="02CB6146"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717" w:type="dxa"/>
            <w:tcBorders>
              <w:top w:val="nil"/>
              <w:bottom w:val="nil"/>
            </w:tcBorders>
            <w:noWrap/>
          </w:tcPr>
          <w:p w14:paraId="4F5F5F12"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550" w:type="dxa"/>
            <w:tcBorders>
              <w:top w:val="nil"/>
              <w:bottom w:val="nil"/>
            </w:tcBorders>
            <w:noWrap/>
          </w:tcPr>
          <w:p w14:paraId="18CF0891"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72" w:type="dxa"/>
            <w:tcBorders>
              <w:top w:val="nil"/>
              <w:bottom w:val="nil"/>
            </w:tcBorders>
            <w:noWrap/>
          </w:tcPr>
          <w:p w14:paraId="598850AE"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83" w:type="dxa"/>
            <w:tcBorders>
              <w:top w:val="nil"/>
              <w:bottom w:val="nil"/>
            </w:tcBorders>
            <w:noWrap/>
          </w:tcPr>
          <w:p w14:paraId="5D8C114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83" w:type="dxa"/>
            <w:tcBorders>
              <w:top w:val="nil"/>
              <w:bottom w:val="nil"/>
            </w:tcBorders>
            <w:noWrap/>
          </w:tcPr>
          <w:p w14:paraId="617FCA7A"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650" w:type="dxa"/>
            <w:tcBorders>
              <w:top w:val="nil"/>
              <w:bottom w:val="nil"/>
            </w:tcBorders>
          </w:tcPr>
          <w:p w14:paraId="7E87838E"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0.88</w:t>
            </w:r>
          </w:p>
        </w:tc>
      </w:tr>
      <w:tr w:rsidR="00E84D7D" w:rsidRPr="00F21EDD" w14:paraId="7DB18B7E"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30314717" w14:textId="4B49866F"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{"citationID":"a1tl6u6h1jh","properties":{"formattedCitation":"\\uldash{(Mowayeiz et al., 2019)}","plainCitation":"(Mowayeiz et al., 2019)","dontUpdate":true,"noteIndex":0},"citationItems":[{"id":2710,"uris":["http://zotero.org/users/3583561/items/76XP6MAS"],"itemData":{"id":2710,"type":"article-journal","abstract":"Objective: quantify the level of miRNAs (375) in serum of men with prostatic carcinoma in relation to different Histopathological grade (Gleason score) Method: This case control study 140 of males with an age range of 40 - 85 years was conducted divided on Prostate cancer newly diagnostic 35 cases and 35 of Prostate cancer patients under hormonal therapy cases and 35 benign Prostate hyperplasia (BPH) newly diagnosed patients and 35 apparently healthy control subjects. Results: There were a statistical trend towards increased in serum levels of Prostate specific antigen (tPSA, fPSA) also decreased %FPSA ratio in both Pca patients and HT-Pca as compared with BPH, control samples (p&lt;0.001). And increased in miR-375 expression in both Pca patients and HT-Pca when compared with benign prostatic hyperplasia and control groups (p&lt;0.001). The median fold change level of serum exosomal miR-375 expression were significantly highly (up-regulated) in Pca patients when comparable whit BPH group and healthy control (p&lt;0.001). Conclusions: The miRNA levels are a direct reflection of their expression in Pca. There was Positive correlation between miRNAs expression in serum samples and clinicopathological parameters such as tumor TNM stage and Gleason score and biochemical marker as prostate specific antigen (tPSA and fPSA).","archive":"Embase","container-title":"Indian Journal of Public Health Research and Development","DOI":"10.5958/0976-5506.2019.01791.1","ISSN":"0976-5506","issue":"7","journalAbbreviation":"Indian J. Public Health Res. Dev.","language":"English","page":"1425-1430","title":"The Serum Micro RNA-375 utility to diagnosis of men with prostate cancer in Iraq","URL":"https://www.embase.com/search/results?subaction=viewrecord&amp;id=L2002832006&amp;from=export","volume":"10","author":[{"family":"Mowayeiz","given":"K.J."},{"family":"Hasan","given":"N.A."},{"family":"Hussein","given":"A.G."},{"family":"Al-Wasiti","given":"E.A.R."},{"family":"Al-Nasiri","given":"U.S."}],"issued":{"date-parts":[["2019"]]}}}],"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Mowayeiz et al., 2019</w:t>
            </w:r>
            <w:r w:rsidRPr="00E84D7D">
              <w:rPr>
                <w:rFonts w:ascii="Arial" w:hAnsi="Arial" w:cs="Arial"/>
                <w:color w:val="000000"/>
                <w:lang w:eastAsia="fr-FR"/>
              </w:rPr>
              <w:fldChar w:fldCharType="end"/>
            </w:r>
          </w:p>
        </w:tc>
        <w:tc>
          <w:tcPr>
            <w:tcW w:w="1084" w:type="dxa"/>
            <w:tcBorders>
              <w:top w:val="nil"/>
              <w:bottom w:val="nil"/>
            </w:tcBorders>
            <w:noWrap/>
          </w:tcPr>
          <w:p w14:paraId="0C49CC01"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Iraq</w:t>
            </w:r>
          </w:p>
        </w:tc>
        <w:tc>
          <w:tcPr>
            <w:tcW w:w="927" w:type="dxa"/>
            <w:tcBorders>
              <w:top w:val="nil"/>
              <w:bottom w:val="nil"/>
            </w:tcBorders>
          </w:tcPr>
          <w:p w14:paraId="0623F432"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BPH</w:t>
            </w:r>
          </w:p>
        </w:tc>
        <w:tc>
          <w:tcPr>
            <w:tcW w:w="695" w:type="dxa"/>
            <w:tcBorders>
              <w:top w:val="nil"/>
              <w:bottom w:val="nil"/>
            </w:tcBorders>
            <w:noWrap/>
          </w:tcPr>
          <w:p w14:paraId="2C5BCDA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70</w:t>
            </w:r>
          </w:p>
        </w:tc>
        <w:tc>
          <w:tcPr>
            <w:tcW w:w="927" w:type="dxa"/>
            <w:tcBorders>
              <w:top w:val="nil"/>
              <w:bottom w:val="nil"/>
            </w:tcBorders>
            <w:noWrap/>
          </w:tcPr>
          <w:p w14:paraId="58EC3416"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70</w:t>
            </w:r>
          </w:p>
        </w:tc>
        <w:tc>
          <w:tcPr>
            <w:tcW w:w="1361" w:type="dxa"/>
            <w:tcBorders>
              <w:top w:val="nil"/>
              <w:bottom w:val="nil"/>
            </w:tcBorders>
            <w:noWrap/>
          </w:tcPr>
          <w:p w14:paraId="78971C56"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Whole blood</w:t>
            </w:r>
          </w:p>
        </w:tc>
        <w:tc>
          <w:tcPr>
            <w:tcW w:w="1172" w:type="dxa"/>
            <w:tcBorders>
              <w:top w:val="nil"/>
              <w:bottom w:val="nil"/>
            </w:tcBorders>
          </w:tcPr>
          <w:p w14:paraId="5827021B"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6B88B12E"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miR-375</w:t>
            </w:r>
          </w:p>
        </w:tc>
        <w:tc>
          <w:tcPr>
            <w:tcW w:w="717" w:type="dxa"/>
            <w:tcBorders>
              <w:top w:val="nil"/>
              <w:bottom w:val="nil"/>
            </w:tcBorders>
            <w:noWrap/>
          </w:tcPr>
          <w:p w14:paraId="760216B6"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96.00</w:t>
            </w:r>
          </w:p>
        </w:tc>
        <w:tc>
          <w:tcPr>
            <w:tcW w:w="717" w:type="dxa"/>
            <w:tcBorders>
              <w:top w:val="nil"/>
              <w:bottom w:val="nil"/>
            </w:tcBorders>
            <w:noWrap/>
          </w:tcPr>
          <w:p w14:paraId="492E3EA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94.00</w:t>
            </w:r>
          </w:p>
        </w:tc>
        <w:tc>
          <w:tcPr>
            <w:tcW w:w="550" w:type="dxa"/>
            <w:tcBorders>
              <w:top w:val="nil"/>
              <w:bottom w:val="nil"/>
            </w:tcBorders>
            <w:noWrap/>
          </w:tcPr>
          <w:p w14:paraId="0E25595E"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67</w:t>
            </w:r>
          </w:p>
        </w:tc>
        <w:tc>
          <w:tcPr>
            <w:tcW w:w="472" w:type="dxa"/>
            <w:tcBorders>
              <w:top w:val="nil"/>
              <w:bottom w:val="nil"/>
            </w:tcBorders>
            <w:noWrap/>
          </w:tcPr>
          <w:p w14:paraId="49E22B7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4</w:t>
            </w:r>
          </w:p>
        </w:tc>
        <w:tc>
          <w:tcPr>
            <w:tcW w:w="483" w:type="dxa"/>
            <w:tcBorders>
              <w:top w:val="nil"/>
              <w:bottom w:val="nil"/>
            </w:tcBorders>
            <w:noWrap/>
          </w:tcPr>
          <w:p w14:paraId="04A93BB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66</w:t>
            </w:r>
          </w:p>
        </w:tc>
        <w:tc>
          <w:tcPr>
            <w:tcW w:w="483" w:type="dxa"/>
            <w:tcBorders>
              <w:top w:val="nil"/>
              <w:bottom w:val="nil"/>
            </w:tcBorders>
            <w:noWrap/>
          </w:tcPr>
          <w:p w14:paraId="6B6373CD"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3</w:t>
            </w:r>
          </w:p>
        </w:tc>
        <w:tc>
          <w:tcPr>
            <w:tcW w:w="650" w:type="dxa"/>
            <w:tcBorders>
              <w:top w:val="nil"/>
              <w:bottom w:val="nil"/>
            </w:tcBorders>
          </w:tcPr>
          <w:p w14:paraId="615E6766"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0.96</w:t>
            </w:r>
          </w:p>
        </w:tc>
      </w:tr>
      <w:tr w:rsidR="00E84D7D" w:rsidRPr="00F21EDD" w14:paraId="0CD02A67"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hideMark/>
          </w:tcPr>
          <w:p w14:paraId="1F416001" w14:textId="32FA0E3A"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{"citationID":"a28vb8keth4","properties":{"formattedCitation":"\\uldash{(D\\uc0\\u252{}lgero\\uc0\\u287{}lu &amp; Ero\\uc0\\u287{}lu, 2019)}","plainCitation":"(Dülgeroğlu &amp; Eroğlu, 2019)","dontUpdate":true,"noteIndex":0},"citationItems":[{"id":827,"uris":["http://zotero.org/users/3583561/items/V84XW7LE"],"itemData":{"id":827,"type":"article-journal","abstract":"Background In this study, the objective was to evaluate the diagnostic performance of some miRNAs, which were shown to have a diagnostic value for prostate cancer (PCa), and the effect of chronic prostatitis in distinguishing benign prostatic hyperplasia (BPH) and PCa. Materials and methods Serum levels of 11 miRNAs were investigated in BPH, chronic prostatitis and PCa patients. Measurements were performed using qRT-PCR. Results In the analysis, serum levels of miR-375, -125b-5p, -30c-5p, -26b-5p, and let-7c-5p were downregulated in cancer compared with non-cancer group and AUCs of these miRNAs in distinguishing PCa group from non-cancer group were calculated as 0.781, 0.782, 0.762, 0.874, and 0.845, respectively. AUC of the combination of miR-375 and miR-26b-5p in distinguishing PCa group from non-cancer group was 0.891, AUC of these two miRNAs in distinguishing PCa group from BPH group was 0.944. Conclusion In our study, 11 miRNAs were studied and 5 of these miRNAs were considered as biomarker candidates as these miRNAs, individually or combined, could be used to distinguish PCa from benign conditions. Furthermore, a higher specificity and sensitivity were obtained in distinguishing BPH and PCa when data for diagnostic potential of miRNAs were analyzed without including chronic prostatic group.","container-title":"Turkish Journal of Biochemistry","DOI":"10.1515/tjb-2018-0198","ISSN":"1303-829X","issue":"4","language":"en","note":"publisher: De Gruyter","page":"417-425","source":"www.degruyter.com","title":"Diagnostic performance of microRNAs in the circulation in differential diagnosis of BPH, chronic prostatitis and prostate cancer","URL":"https://www.degruyter.com/document/doi/10.1515/tjb-2018-0198/html","volume":"44","author":[{"family":"Dülgeroğlu","given":"Yakup"},{"family":"Eroğlu","given":"Onur"}],"accessed":{"date-parts":[["2023",5,18]]},"issued":{"date-parts":[["2019",8,1]]}}}],"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Dülgeroğlu &amp; Eroğlu, 2019</w:t>
            </w:r>
            <w:r w:rsidRPr="00E84D7D">
              <w:rPr>
                <w:rFonts w:ascii="Arial" w:hAnsi="Arial" w:cs="Arial"/>
                <w:color w:val="000000"/>
                <w:lang w:eastAsia="fr-FR"/>
              </w:rPr>
              <w:fldChar w:fldCharType="end"/>
            </w:r>
          </w:p>
        </w:tc>
        <w:tc>
          <w:tcPr>
            <w:tcW w:w="1084" w:type="dxa"/>
            <w:tcBorders>
              <w:top w:val="nil"/>
              <w:bottom w:val="nil"/>
            </w:tcBorders>
            <w:noWrap/>
            <w:hideMark/>
          </w:tcPr>
          <w:p w14:paraId="47BAA253"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Turkey</w:t>
            </w:r>
          </w:p>
        </w:tc>
        <w:tc>
          <w:tcPr>
            <w:tcW w:w="927" w:type="dxa"/>
            <w:tcBorders>
              <w:top w:val="nil"/>
              <w:bottom w:val="nil"/>
            </w:tcBorders>
          </w:tcPr>
          <w:p w14:paraId="5DF231A0"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BPH; HP</w:t>
            </w:r>
          </w:p>
        </w:tc>
        <w:tc>
          <w:tcPr>
            <w:tcW w:w="695" w:type="dxa"/>
            <w:tcBorders>
              <w:top w:val="nil"/>
              <w:bottom w:val="nil"/>
            </w:tcBorders>
            <w:noWrap/>
            <w:hideMark/>
          </w:tcPr>
          <w:p w14:paraId="2F66C169"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33</w:t>
            </w:r>
          </w:p>
        </w:tc>
        <w:tc>
          <w:tcPr>
            <w:tcW w:w="927" w:type="dxa"/>
            <w:tcBorders>
              <w:top w:val="nil"/>
              <w:bottom w:val="nil"/>
            </w:tcBorders>
            <w:noWrap/>
            <w:hideMark/>
          </w:tcPr>
          <w:p w14:paraId="14169D68"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35</w:t>
            </w:r>
          </w:p>
        </w:tc>
        <w:tc>
          <w:tcPr>
            <w:tcW w:w="1361" w:type="dxa"/>
            <w:tcBorders>
              <w:top w:val="nil"/>
              <w:bottom w:val="nil"/>
            </w:tcBorders>
            <w:noWrap/>
            <w:hideMark/>
          </w:tcPr>
          <w:p w14:paraId="42A1647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Serum</w:t>
            </w:r>
          </w:p>
        </w:tc>
        <w:tc>
          <w:tcPr>
            <w:tcW w:w="1172" w:type="dxa"/>
            <w:tcBorders>
              <w:top w:val="nil"/>
              <w:bottom w:val="nil"/>
            </w:tcBorders>
          </w:tcPr>
          <w:p w14:paraId="44980039"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hideMark/>
          </w:tcPr>
          <w:p w14:paraId="164D6021"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miR-375</w:t>
            </w:r>
          </w:p>
        </w:tc>
        <w:tc>
          <w:tcPr>
            <w:tcW w:w="717" w:type="dxa"/>
            <w:tcBorders>
              <w:top w:val="nil"/>
              <w:bottom w:val="nil"/>
            </w:tcBorders>
            <w:noWrap/>
            <w:hideMark/>
          </w:tcPr>
          <w:p w14:paraId="316D882A"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76.00</w:t>
            </w:r>
          </w:p>
        </w:tc>
        <w:tc>
          <w:tcPr>
            <w:tcW w:w="717" w:type="dxa"/>
            <w:tcBorders>
              <w:top w:val="nil"/>
              <w:bottom w:val="nil"/>
            </w:tcBorders>
            <w:noWrap/>
            <w:hideMark/>
          </w:tcPr>
          <w:p w14:paraId="520D733F"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74.00</w:t>
            </w:r>
          </w:p>
        </w:tc>
        <w:tc>
          <w:tcPr>
            <w:tcW w:w="550" w:type="dxa"/>
            <w:tcBorders>
              <w:top w:val="nil"/>
              <w:bottom w:val="nil"/>
            </w:tcBorders>
            <w:noWrap/>
            <w:hideMark/>
          </w:tcPr>
          <w:p w14:paraId="690B165E"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25</w:t>
            </w:r>
          </w:p>
        </w:tc>
        <w:tc>
          <w:tcPr>
            <w:tcW w:w="472" w:type="dxa"/>
            <w:tcBorders>
              <w:top w:val="nil"/>
              <w:bottom w:val="nil"/>
            </w:tcBorders>
            <w:noWrap/>
            <w:hideMark/>
          </w:tcPr>
          <w:p w14:paraId="69661639"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9</w:t>
            </w:r>
          </w:p>
        </w:tc>
        <w:tc>
          <w:tcPr>
            <w:tcW w:w="483" w:type="dxa"/>
            <w:tcBorders>
              <w:top w:val="nil"/>
              <w:bottom w:val="nil"/>
            </w:tcBorders>
            <w:noWrap/>
            <w:hideMark/>
          </w:tcPr>
          <w:p w14:paraId="0C6F6F23"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26</w:t>
            </w:r>
          </w:p>
        </w:tc>
        <w:tc>
          <w:tcPr>
            <w:tcW w:w="483" w:type="dxa"/>
            <w:tcBorders>
              <w:top w:val="nil"/>
              <w:bottom w:val="nil"/>
            </w:tcBorders>
            <w:noWrap/>
            <w:hideMark/>
          </w:tcPr>
          <w:p w14:paraId="2A0750CE"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8</w:t>
            </w:r>
          </w:p>
        </w:tc>
        <w:tc>
          <w:tcPr>
            <w:tcW w:w="650" w:type="dxa"/>
            <w:tcBorders>
              <w:top w:val="nil"/>
              <w:bottom w:val="nil"/>
            </w:tcBorders>
          </w:tcPr>
          <w:p w14:paraId="75B3C66D"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0.78</w:t>
            </w:r>
          </w:p>
        </w:tc>
      </w:tr>
      <w:tr w:rsidR="00E84D7D" w:rsidRPr="00C12CF0" w14:paraId="709B063F"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28F76CFD" w14:textId="137FD442"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{"citationID":"a16391hrrr7","properties":{"formattedCitation":"\\uldash{(Bidarra et al., 2019)}","plainCitation":"(Bidarra et al., 2019)","dontUpdate":true,"noteIndex":0},"citationItems":[{"id":791,"uris":["http://zotero.org/users/3583561/items/DDUYVHJX"],"itemData":{"id":791,"type":"article-journal","abstract":"Prostate Cancer (PCa) overdiagnosis and overtreatment, as a consequence of the limited specificity of current detection and prognostication methods, remains a major challenge in clinical practice. Therefore, development and validation of new molecular biomarkers amenable of detecting clinically significant disease is crucial. MicroRNAs (miRNA) deregulation is common in cancer, constituting potential non-invasive biomarkers for PCa detection and prognostication. Herein, we evaluated the screening and prognostic biomarker potential of two onco-microRNAs (miR-182-5p and miR-375-3p) in liquid biopsies (plasma) of PCa patients with clinically localized disease undergoing curative-intent treatment. A first cohort of 98 PCa and 15 normal prostates were used to assess PCa-specificity of miR-182-5p in tissues. A cohort composed of PCa 252 patients and 52 asymptomatic controls allowed for assessment of diagnostic and prognostic value in plasmas. After RNA extraction from tissue and plasma samples, cDNA synthesis specific for miRNAs was performed followed by measurement of miR-182-5p and miR-375-3p relative expression by RT-qPCR, using U6 snRNA gene as reference. MiR-182-5p was significantly overexpressed in PCa tissues (p &lt; 0.0001) and in plasma of PCa patients (p = 0.0020), compared to respective controls. Moreover, miR-182-5p expression identified PCa with AUC = 0.81 (95% CI: 0.725-0.892, p = 0.0001) in tissue and with 77% specificity and 99% NPV (AUC = 0.64, 95% CI: 0.561-0.709, p = 0.0021) in plasma. Both circulating miR-182-5p and miR-375-3p levels associated with more advanced pathologic stage and the former was significantly higher in patients that developed metastasis (p = 0.0145). Indeed, at the time of diagnosis, circulating miR-375-3p levels predicted which patients would develop metastasis, with almost 50% sensitivity, 76% specificity, and a NPV of 89% (AUC = 0.62, 95% CI: 0.529-0.713, p = 0.0149). We conclude that these two circulating miRNAs might be clinical useful as non-invasive biomarkers for detection and prediction of metastasis development at the diagnosis together with clinical variables used in routine practice.","container-title":"Frontiers in Oncology","DOI":"10.3389/fonc.2019.00900","ISSN":"2234-943X","journalAbbreviation":"Front Oncol","language":"eng","note":"PMID: 31572685\nPMCID: PMC6749029","page":"900","source":"PubMed","title":"Circulating MicroRNAs as Biomarkers for Prostate Cancer Detection and Metastasis Development Prediction","volume":"9","author":[{"family":"Bidarra","given":"David"},{"family":"Constâncio","given":"Vera"},{"family":"Barros-Silva","given":"Daniela"},{"family":"Ramalho-Carvalho","given":"João"},{"family":"Moreira-Barbosa","given":"Catarina"},{"family":"Antunes","given":"Luís"},{"family":"Maurício","given":"Joaquina"},{"family":"Oliveira","given":"Jorge"},{"family":"Henrique","given":"Rui"},{"family":"Jerónimo","given":"Carmen"}],"issued":{"date-parts":[["2019"]]}}}],"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Bidarra et al., 2019</w:t>
            </w:r>
            <w:r w:rsidRPr="00E84D7D">
              <w:rPr>
                <w:rFonts w:ascii="Arial" w:hAnsi="Arial" w:cs="Arial"/>
                <w:color w:val="000000"/>
                <w:lang w:eastAsia="fr-FR"/>
              </w:rPr>
              <w:fldChar w:fldCharType="end"/>
            </w:r>
          </w:p>
        </w:tc>
        <w:tc>
          <w:tcPr>
            <w:tcW w:w="1084" w:type="dxa"/>
            <w:tcBorders>
              <w:top w:val="nil"/>
              <w:bottom w:val="nil"/>
            </w:tcBorders>
            <w:noWrap/>
          </w:tcPr>
          <w:p w14:paraId="6B1F81DD"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Portugal</w:t>
            </w:r>
          </w:p>
        </w:tc>
        <w:tc>
          <w:tcPr>
            <w:tcW w:w="927" w:type="dxa"/>
            <w:tcBorders>
              <w:top w:val="nil"/>
              <w:bottom w:val="nil"/>
            </w:tcBorders>
          </w:tcPr>
          <w:p w14:paraId="32C5F1F9"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HP</w:t>
            </w:r>
          </w:p>
        </w:tc>
        <w:tc>
          <w:tcPr>
            <w:tcW w:w="695" w:type="dxa"/>
            <w:tcBorders>
              <w:top w:val="nil"/>
              <w:bottom w:val="nil"/>
            </w:tcBorders>
            <w:noWrap/>
          </w:tcPr>
          <w:p w14:paraId="6EE0AC81"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252</w:t>
            </w:r>
          </w:p>
        </w:tc>
        <w:tc>
          <w:tcPr>
            <w:tcW w:w="927" w:type="dxa"/>
            <w:tcBorders>
              <w:top w:val="nil"/>
              <w:bottom w:val="nil"/>
            </w:tcBorders>
            <w:noWrap/>
          </w:tcPr>
          <w:p w14:paraId="3C46C2E8"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52</w:t>
            </w:r>
          </w:p>
        </w:tc>
        <w:tc>
          <w:tcPr>
            <w:tcW w:w="1361" w:type="dxa"/>
            <w:tcBorders>
              <w:top w:val="nil"/>
              <w:bottom w:val="nil"/>
            </w:tcBorders>
            <w:noWrap/>
          </w:tcPr>
          <w:p w14:paraId="01B00372"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Plasma</w:t>
            </w:r>
          </w:p>
        </w:tc>
        <w:tc>
          <w:tcPr>
            <w:tcW w:w="1172" w:type="dxa"/>
            <w:tcBorders>
              <w:top w:val="nil"/>
              <w:bottom w:val="nil"/>
            </w:tcBorders>
          </w:tcPr>
          <w:p w14:paraId="5880D2A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RT-</w:t>
            </w:r>
            <w:proofErr w:type="spellStart"/>
            <w:r w:rsidRPr="00F21EDD">
              <w:rPr>
                <w:rFonts w:ascii="Arial" w:eastAsia="Times New Roman" w:hAnsi="Arial" w:cs="Arial"/>
                <w:color w:val="000000"/>
                <w:sz w:val="20"/>
                <w:szCs w:val="20"/>
                <w:lang w:eastAsia="fr-FR"/>
              </w:rPr>
              <w:t>qPCR</w:t>
            </w:r>
            <w:proofErr w:type="spellEnd"/>
          </w:p>
        </w:tc>
        <w:tc>
          <w:tcPr>
            <w:tcW w:w="1206" w:type="dxa"/>
            <w:tcBorders>
              <w:top w:val="nil"/>
              <w:bottom w:val="nil"/>
            </w:tcBorders>
            <w:noWrap/>
          </w:tcPr>
          <w:p w14:paraId="611D366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gramStart"/>
            <w:r w:rsidRPr="00F21EDD">
              <w:rPr>
                <w:rFonts w:ascii="Arial" w:eastAsia="Times New Roman" w:hAnsi="Arial" w:cs="Arial"/>
                <w:color w:val="000000"/>
                <w:sz w:val="20"/>
                <w:szCs w:val="20"/>
                <w:lang w:eastAsia="fr-FR"/>
              </w:rPr>
              <w:t>miR</w:t>
            </w:r>
            <w:proofErr w:type="gramEnd"/>
            <w:r w:rsidRPr="00F21EDD">
              <w:rPr>
                <w:rFonts w:ascii="Arial" w:eastAsia="Times New Roman" w:hAnsi="Arial" w:cs="Arial"/>
                <w:color w:val="000000"/>
                <w:sz w:val="20"/>
                <w:szCs w:val="20"/>
                <w:lang w:eastAsia="fr-FR"/>
              </w:rPr>
              <w:t>-375</w:t>
            </w:r>
          </w:p>
        </w:tc>
        <w:tc>
          <w:tcPr>
            <w:tcW w:w="717" w:type="dxa"/>
            <w:tcBorders>
              <w:top w:val="nil"/>
              <w:bottom w:val="nil"/>
            </w:tcBorders>
            <w:noWrap/>
          </w:tcPr>
          <w:p w14:paraId="38BC8B3F"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w:t>
            </w:r>
          </w:p>
        </w:tc>
        <w:tc>
          <w:tcPr>
            <w:tcW w:w="717" w:type="dxa"/>
            <w:tcBorders>
              <w:top w:val="nil"/>
              <w:bottom w:val="nil"/>
            </w:tcBorders>
            <w:noWrap/>
          </w:tcPr>
          <w:p w14:paraId="3436BF76"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w:t>
            </w:r>
          </w:p>
        </w:tc>
        <w:tc>
          <w:tcPr>
            <w:tcW w:w="550" w:type="dxa"/>
            <w:tcBorders>
              <w:top w:val="nil"/>
              <w:bottom w:val="nil"/>
            </w:tcBorders>
            <w:noWrap/>
          </w:tcPr>
          <w:p w14:paraId="335BE7F6"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w:t>
            </w:r>
          </w:p>
        </w:tc>
        <w:tc>
          <w:tcPr>
            <w:tcW w:w="472" w:type="dxa"/>
            <w:tcBorders>
              <w:top w:val="nil"/>
              <w:bottom w:val="nil"/>
            </w:tcBorders>
            <w:noWrap/>
          </w:tcPr>
          <w:p w14:paraId="67DE96E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w:t>
            </w:r>
          </w:p>
        </w:tc>
        <w:tc>
          <w:tcPr>
            <w:tcW w:w="483" w:type="dxa"/>
            <w:tcBorders>
              <w:top w:val="nil"/>
              <w:bottom w:val="nil"/>
            </w:tcBorders>
            <w:noWrap/>
          </w:tcPr>
          <w:p w14:paraId="614F907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w:t>
            </w:r>
          </w:p>
        </w:tc>
        <w:tc>
          <w:tcPr>
            <w:tcW w:w="483" w:type="dxa"/>
            <w:tcBorders>
              <w:top w:val="nil"/>
              <w:bottom w:val="nil"/>
            </w:tcBorders>
            <w:noWrap/>
          </w:tcPr>
          <w:p w14:paraId="446593FF"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w:t>
            </w:r>
          </w:p>
        </w:tc>
        <w:tc>
          <w:tcPr>
            <w:tcW w:w="650" w:type="dxa"/>
            <w:tcBorders>
              <w:top w:val="nil"/>
              <w:bottom w:val="nil"/>
            </w:tcBorders>
          </w:tcPr>
          <w:p w14:paraId="07EB8005"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w:t>
            </w:r>
          </w:p>
        </w:tc>
      </w:tr>
      <w:tr w:rsidR="00E84D7D" w:rsidRPr="00F21EDD" w14:paraId="744C123A"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064B9534" w14:textId="66374489" w:rsidR="00E84D7D" w:rsidRPr="00E84D7D" w:rsidRDefault="00E84D7D" w:rsidP="0000574D">
            <w:pPr>
              <w:spacing w:before="240"/>
              <w:jc w:val="both"/>
              <w:rPr>
                <w:rFonts w:ascii="Arial" w:eastAsia="Times New Roman" w:hAnsi="Arial" w:cs="Arial"/>
                <w:color w:val="000000"/>
                <w:sz w:val="20"/>
                <w:szCs w:val="20"/>
                <w:lang w:val="en-US"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{"citationID":"a2bhcg20o1t","properties":{"formattedCitation":"\\uldash{(Porzycki et al., 2018)}","plainCitation":"(Porzycki et al., 2018)","dontUpdate":true,"noteIndex":0},"citationItems":[{"id":93,"uris":["http://zotero.org/users/3583561/items/NZFL3MEY","http://zotero.org/users/3583561/items/SELRIWKQ"],"itemData":{"id":93,"type":"article-journal","abstract":"Purpose\nProstate cancer (PCa) is a common tumor disease in western countries and a leading cause of cancer-driven mortality in men. Current methods for prostate cancer detection, like prostate-specific antigen screening, lead to significant overtreatment. The purpose of the study was to analyze circulating microRNAs in serum as non-invasive biomarkers in patients with diagnosis of prostate cancer and healthy individuals.\n\nMethods\nThis preliminary study included a population of 20 patients with mean age of 68.6 years and mean PSA of 21.3 ng/ml. Eight healthy patients were used as control. MiRNAs were quantified in the total RNA fraction extracted from serum and levels of five microRNAs (miR-106b, miR-141, miR-21, mir-34a, and miR-375) were quantified by RT-qPCR. Statistical analyses evaluated correlation between clinicopathological data and miRNAs expression levels.\n\nResults\nRelative expression ratios of miR-106b, miR-141-3p, miR-21, and miR-375 were significantly increased (1.8-,  1.9-, 2.4-, and 2.6-fold, respectively) in the PCa group compared to healthy control. Using receiver operating characteristics, the highest area under the curve equal to 0.906 was obtained for miR-357 and indicates a very good diagnostic properties of this biomarker. We found expression level of mir-34a not related with PCa.\n\nConclusions\nOur results support previous findings on the possibility of discriminating prostate cancer patients from healthy controls by detecting miRNA (miR-141-3p, miR-21, and miR-375). Further insights into miRNA abundance and characteristics are necessary to validate the panel of miRNA as surrogate markers in diagnosis of prostate cancer.","container-title":"International Urology and Nephrology","DOI":"10.1007/s11255-018-1938-2","ISSN":"0301-1623","issue":"9","journalAbbreviation":"Int Urol Nephrol","note":"PMID: 30014459\nPMCID: PMC6133127","page":"1619-1626","source":"PubMed Central","title":"Combination of three miRNA (miR-141, miR-21, and miR-375) as potential diagnostic tool for prostate cancer recognition","URL":"https://www.ncbi.nlm.nih.gov/pmc/articles/PMC6133127/","volume":"50","author":[{"family":"Porzycki","given":"Paweł"},{"family":"Ciszkowicz","given":"Ewa"},{"family":"Semik","given":"Małgorzata"},{"family":"Tyrka","given":"Mirosław"}],"accessed":{"date-parts":[["2023",1,12]]},"issued":{"date-parts":[["2018"]]}}}],"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Porzycki et al., 2018</w:t>
            </w:r>
            <w:r w:rsidRPr="00E84D7D">
              <w:rPr>
                <w:rFonts w:ascii="Arial" w:hAnsi="Arial" w:cs="Arial"/>
                <w:color w:val="000000"/>
                <w:lang w:eastAsia="fr-FR"/>
              </w:rPr>
              <w:fldChar w:fldCharType="end"/>
            </w:r>
          </w:p>
        </w:tc>
        <w:tc>
          <w:tcPr>
            <w:tcW w:w="1084" w:type="dxa"/>
            <w:tcBorders>
              <w:top w:val="nil"/>
              <w:bottom w:val="nil"/>
            </w:tcBorders>
            <w:noWrap/>
          </w:tcPr>
          <w:p w14:paraId="6485B73C"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Poland</w:t>
            </w:r>
          </w:p>
        </w:tc>
        <w:tc>
          <w:tcPr>
            <w:tcW w:w="927" w:type="dxa"/>
            <w:tcBorders>
              <w:top w:val="nil"/>
              <w:bottom w:val="nil"/>
            </w:tcBorders>
          </w:tcPr>
          <w:p w14:paraId="78D35E2C"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HP</w:t>
            </w:r>
          </w:p>
        </w:tc>
        <w:tc>
          <w:tcPr>
            <w:tcW w:w="695" w:type="dxa"/>
            <w:tcBorders>
              <w:top w:val="nil"/>
              <w:bottom w:val="nil"/>
            </w:tcBorders>
            <w:noWrap/>
          </w:tcPr>
          <w:p w14:paraId="5FD0B4F8"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20</w:t>
            </w:r>
          </w:p>
        </w:tc>
        <w:tc>
          <w:tcPr>
            <w:tcW w:w="927" w:type="dxa"/>
            <w:tcBorders>
              <w:top w:val="nil"/>
              <w:bottom w:val="nil"/>
            </w:tcBorders>
            <w:noWrap/>
          </w:tcPr>
          <w:p w14:paraId="64BB790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8</w:t>
            </w:r>
          </w:p>
        </w:tc>
        <w:tc>
          <w:tcPr>
            <w:tcW w:w="1361" w:type="dxa"/>
            <w:tcBorders>
              <w:top w:val="nil"/>
              <w:bottom w:val="nil"/>
            </w:tcBorders>
            <w:noWrap/>
          </w:tcPr>
          <w:p w14:paraId="071E7003"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Serum</w:t>
            </w:r>
          </w:p>
        </w:tc>
        <w:tc>
          <w:tcPr>
            <w:tcW w:w="1172" w:type="dxa"/>
            <w:tcBorders>
              <w:top w:val="nil"/>
              <w:bottom w:val="nil"/>
            </w:tcBorders>
          </w:tcPr>
          <w:p w14:paraId="35BBE999"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04FD6981"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miR-375</w:t>
            </w:r>
          </w:p>
        </w:tc>
        <w:tc>
          <w:tcPr>
            <w:tcW w:w="717" w:type="dxa"/>
            <w:tcBorders>
              <w:top w:val="nil"/>
              <w:bottom w:val="nil"/>
            </w:tcBorders>
            <w:noWrap/>
          </w:tcPr>
          <w:p w14:paraId="08C521F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100</w:t>
            </w:r>
          </w:p>
        </w:tc>
        <w:tc>
          <w:tcPr>
            <w:tcW w:w="717" w:type="dxa"/>
            <w:tcBorders>
              <w:top w:val="nil"/>
              <w:bottom w:val="nil"/>
            </w:tcBorders>
            <w:noWrap/>
          </w:tcPr>
          <w:p w14:paraId="0DB447F0"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75.00</w:t>
            </w:r>
          </w:p>
        </w:tc>
        <w:tc>
          <w:tcPr>
            <w:tcW w:w="550" w:type="dxa"/>
            <w:tcBorders>
              <w:top w:val="nil"/>
              <w:bottom w:val="nil"/>
            </w:tcBorders>
            <w:noWrap/>
          </w:tcPr>
          <w:p w14:paraId="583881CD"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20</w:t>
            </w:r>
          </w:p>
        </w:tc>
        <w:tc>
          <w:tcPr>
            <w:tcW w:w="472" w:type="dxa"/>
            <w:tcBorders>
              <w:top w:val="nil"/>
              <w:bottom w:val="nil"/>
            </w:tcBorders>
            <w:noWrap/>
          </w:tcPr>
          <w:p w14:paraId="0AD8777C"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w:t>
            </w:r>
          </w:p>
        </w:tc>
        <w:tc>
          <w:tcPr>
            <w:tcW w:w="483" w:type="dxa"/>
            <w:tcBorders>
              <w:top w:val="nil"/>
              <w:bottom w:val="nil"/>
            </w:tcBorders>
            <w:noWrap/>
          </w:tcPr>
          <w:p w14:paraId="2D6C73A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6</w:t>
            </w:r>
          </w:p>
        </w:tc>
        <w:tc>
          <w:tcPr>
            <w:tcW w:w="483" w:type="dxa"/>
            <w:tcBorders>
              <w:top w:val="nil"/>
              <w:bottom w:val="nil"/>
            </w:tcBorders>
            <w:noWrap/>
          </w:tcPr>
          <w:p w14:paraId="349D18C5"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w:t>
            </w:r>
          </w:p>
        </w:tc>
        <w:tc>
          <w:tcPr>
            <w:tcW w:w="650" w:type="dxa"/>
            <w:tcBorders>
              <w:top w:val="nil"/>
              <w:bottom w:val="nil"/>
            </w:tcBorders>
          </w:tcPr>
          <w:p w14:paraId="09CC0E45"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0.91</w:t>
            </w:r>
          </w:p>
        </w:tc>
      </w:tr>
      <w:tr w:rsidR="00E84D7D" w:rsidRPr="00C12CF0" w14:paraId="25E7F952"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25643EDF" w14:textId="3015FEB5"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{"citationID":"a1bub4o0b97","properties":{"formattedCitation":"\\uldash{(Endzeli\\uc0\\u326{}\\uc0\\u353{} et al., 2017)}","plainCitation":"(Endzeliņš et al., 2017)","dontUpdate":true,"noteIndex":0},"citationItems":[{"id":681,"uris":["http://zotero.org/users/3583561/items/8KUUU6GK"],"itemData":{"id":681,"type":"article-journal","abstract":"BACKGROUND: Circulating cell-free miRNAs have emerged as promising minimally-invasive biomarkers for early detection, prognosis and monitoring of cancer. They can exist in the bloodstream incorporated into extracellular vesicles (EVs) and ribonucleoprotein complexes. However, it is still debated if EVs contain biologically meaningful amounts of miRNAs and may provide a better source of miRNA biomarkers than whole plasma. The aim of this study was to systematically compare the diagnostic potential of prostate cancer-associated miRNAs in whole plasma and in plasma EVs.\nMETHODS: RNA was isolated from whole plasma and plasma EV samples from a well characterised cohort of 50 patient with prostate cancer (PC) and 22 patients with benign prostatic hyperplasia (BPH). Nine miRNAs known to have a diagnostic potential for PC in cell-free blood were quantified by RT-qPCR and the relative quantities were compared between patients with PC and BPH and between PC patients with Gleason score ≥ 8 and ≤6.\nRESULTS: Only a small fraction of the total cell-free miRNA was recovered from the plasma EVs, however the EV-incorporated and whole plasma cell-free miRNA profiles were clearly different. Four of the miRNAs analysed showed a diagnostic potential in our patient cohort. MiR-375 could differentiate between PC and BPH patients when analysed in the whole plasma, while miR-200c-3p and miR-21-5p performed better when analysed in plasma EVs. EV-incorporated but not whole plasma Let-7a-5p level could distinguish PC patients with Gleason score ≥ 8 vs ≤6.\nCONCLUSIONS: This study demonstrates that for some miRNA biomarkers EVs provide a more consistent source of RNA than whole plasma, while other miRNAs show better diagnostic performance when tested in the whole plasma.","container-title":"BMC cancer","DOI":"10.1186/s12885-017-3737-z","ISSN":"1471-2407","issue":"1","journalAbbreviation":"BMC Cancer","language":"eng","note":"PMID: 29121858\nPMCID: PMC5679326","page":"730","source":"PubMed","title":"Detection of circulating miRNAs: comparative analysis of extracellular vesicle-incorporated miRNAs and cell-free miRNAs in whole plasma of prostate cancer patients","title-short":"Detection of circulating miRNAs","volume":"17","author":[{"family":"Endzeliņš","given":"Edgars"},{"family":"Berger","given":"Andreas"},{"family":"Melne","given":"Vita"},{"family":"Bajo-Santos","given":"Cristina"},{"family":"Soboļevska","given":"Kristīne"},{"family":"Ābols","given":"Artūrs"},{"family":"Rodriguez","given":"Marta"},{"family":"Šantare","given":"Daiga"},{"family":"Rudņickiha","given":"Anastasija"},{"family":"Lietuvietis","given":"Vilnis"},{"family":"Llorente","given":"Alicia"},{"family":"Linē","given":"Aija"}],"issued":{"date-parts":[["2017",11,9]]}}}],"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Endzeliņš et al., 2017</w:t>
            </w:r>
            <w:r w:rsidRPr="00E84D7D">
              <w:rPr>
                <w:rFonts w:ascii="Arial" w:hAnsi="Arial" w:cs="Arial"/>
                <w:color w:val="000000"/>
                <w:lang w:eastAsia="fr-FR"/>
              </w:rPr>
              <w:fldChar w:fldCharType="end"/>
            </w:r>
          </w:p>
        </w:tc>
        <w:tc>
          <w:tcPr>
            <w:tcW w:w="1084" w:type="dxa"/>
            <w:tcBorders>
              <w:top w:val="nil"/>
              <w:bottom w:val="nil"/>
            </w:tcBorders>
            <w:noWrap/>
          </w:tcPr>
          <w:p w14:paraId="75BA7F7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r w:rsidRPr="00F21EDD">
              <w:rPr>
                <w:rFonts w:ascii="Arial" w:eastAsia="Times New Roman" w:hAnsi="Arial" w:cs="Arial"/>
                <w:color w:val="000000"/>
                <w:sz w:val="20"/>
                <w:szCs w:val="20"/>
                <w:lang w:eastAsia="fr-FR"/>
              </w:rPr>
              <w:t>Latvia</w:t>
            </w:r>
            <w:proofErr w:type="spellEnd"/>
          </w:p>
        </w:tc>
        <w:tc>
          <w:tcPr>
            <w:tcW w:w="927" w:type="dxa"/>
            <w:tcBorders>
              <w:top w:val="nil"/>
              <w:bottom w:val="nil"/>
            </w:tcBorders>
          </w:tcPr>
          <w:p w14:paraId="0EB88798"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BPH</w:t>
            </w:r>
          </w:p>
        </w:tc>
        <w:tc>
          <w:tcPr>
            <w:tcW w:w="695" w:type="dxa"/>
            <w:tcBorders>
              <w:top w:val="nil"/>
              <w:bottom w:val="nil"/>
            </w:tcBorders>
            <w:noWrap/>
          </w:tcPr>
          <w:p w14:paraId="58368ED6"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50</w:t>
            </w:r>
          </w:p>
        </w:tc>
        <w:tc>
          <w:tcPr>
            <w:tcW w:w="927" w:type="dxa"/>
            <w:tcBorders>
              <w:top w:val="nil"/>
              <w:bottom w:val="nil"/>
            </w:tcBorders>
            <w:noWrap/>
          </w:tcPr>
          <w:p w14:paraId="40127F8F"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22</w:t>
            </w:r>
          </w:p>
        </w:tc>
        <w:tc>
          <w:tcPr>
            <w:tcW w:w="1361" w:type="dxa"/>
            <w:tcBorders>
              <w:top w:val="nil"/>
              <w:bottom w:val="nil"/>
            </w:tcBorders>
            <w:noWrap/>
          </w:tcPr>
          <w:p w14:paraId="20B4664B"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Plasma (</w:t>
            </w:r>
            <w:proofErr w:type="spellStart"/>
            <w:r w:rsidRPr="00F21EDD">
              <w:rPr>
                <w:rFonts w:ascii="Arial" w:eastAsia="Times New Roman" w:hAnsi="Arial" w:cs="Arial"/>
                <w:color w:val="000000"/>
                <w:sz w:val="20"/>
                <w:szCs w:val="20"/>
                <w:lang w:eastAsia="fr-FR"/>
              </w:rPr>
              <w:t>exsosomes</w:t>
            </w:r>
            <w:proofErr w:type="spellEnd"/>
            <w:r w:rsidRPr="00F21EDD">
              <w:rPr>
                <w:rFonts w:ascii="Arial" w:eastAsia="Times New Roman" w:hAnsi="Arial" w:cs="Arial"/>
                <w:color w:val="000000"/>
                <w:sz w:val="20"/>
                <w:szCs w:val="20"/>
                <w:lang w:eastAsia="fr-FR"/>
              </w:rPr>
              <w:t>)</w:t>
            </w:r>
          </w:p>
        </w:tc>
        <w:tc>
          <w:tcPr>
            <w:tcW w:w="1172" w:type="dxa"/>
            <w:tcBorders>
              <w:top w:val="nil"/>
              <w:bottom w:val="nil"/>
            </w:tcBorders>
          </w:tcPr>
          <w:p w14:paraId="43C520D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RT-</w:t>
            </w:r>
            <w:proofErr w:type="spellStart"/>
            <w:r w:rsidRPr="00F21EDD">
              <w:rPr>
                <w:rFonts w:ascii="Arial" w:eastAsia="Times New Roman" w:hAnsi="Arial" w:cs="Arial"/>
                <w:color w:val="000000"/>
                <w:sz w:val="20"/>
                <w:szCs w:val="20"/>
                <w:lang w:eastAsia="fr-FR"/>
              </w:rPr>
              <w:t>qPCR</w:t>
            </w:r>
            <w:proofErr w:type="spellEnd"/>
          </w:p>
        </w:tc>
        <w:tc>
          <w:tcPr>
            <w:tcW w:w="1206" w:type="dxa"/>
            <w:tcBorders>
              <w:top w:val="nil"/>
              <w:bottom w:val="nil"/>
            </w:tcBorders>
            <w:noWrap/>
          </w:tcPr>
          <w:p w14:paraId="7C88B608"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MiR-375</w:t>
            </w:r>
          </w:p>
        </w:tc>
        <w:tc>
          <w:tcPr>
            <w:tcW w:w="717" w:type="dxa"/>
            <w:tcBorders>
              <w:top w:val="nil"/>
              <w:bottom w:val="nil"/>
            </w:tcBorders>
            <w:noWrap/>
          </w:tcPr>
          <w:p w14:paraId="23BC5562"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w:t>
            </w:r>
          </w:p>
        </w:tc>
        <w:tc>
          <w:tcPr>
            <w:tcW w:w="717" w:type="dxa"/>
            <w:tcBorders>
              <w:top w:val="nil"/>
              <w:bottom w:val="nil"/>
            </w:tcBorders>
            <w:noWrap/>
          </w:tcPr>
          <w:p w14:paraId="0B24497A"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w:t>
            </w:r>
          </w:p>
        </w:tc>
        <w:tc>
          <w:tcPr>
            <w:tcW w:w="550" w:type="dxa"/>
            <w:tcBorders>
              <w:top w:val="nil"/>
              <w:bottom w:val="nil"/>
            </w:tcBorders>
            <w:noWrap/>
          </w:tcPr>
          <w:p w14:paraId="0A237BA1"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w:t>
            </w:r>
          </w:p>
        </w:tc>
        <w:tc>
          <w:tcPr>
            <w:tcW w:w="472" w:type="dxa"/>
            <w:tcBorders>
              <w:top w:val="nil"/>
              <w:bottom w:val="nil"/>
            </w:tcBorders>
            <w:noWrap/>
          </w:tcPr>
          <w:p w14:paraId="0E4A8CB5"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w:t>
            </w:r>
          </w:p>
        </w:tc>
        <w:tc>
          <w:tcPr>
            <w:tcW w:w="483" w:type="dxa"/>
            <w:tcBorders>
              <w:top w:val="nil"/>
              <w:bottom w:val="nil"/>
            </w:tcBorders>
            <w:noWrap/>
          </w:tcPr>
          <w:p w14:paraId="5D04BE97"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w:t>
            </w:r>
          </w:p>
        </w:tc>
        <w:tc>
          <w:tcPr>
            <w:tcW w:w="483" w:type="dxa"/>
            <w:tcBorders>
              <w:top w:val="nil"/>
              <w:bottom w:val="nil"/>
            </w:tcBorders>
            <w:noWrap/>
          </w:tcPr>
          <w:p w14:paraId="1A108199"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w:t>
            </w:r>
          </w:p>
        </w:tc>
        <w:tc>
          <w:tcPr>
            <w:tcW w:w="650" w:type="dxa"/>
            <w:tcBorders>
              <w:top w:val="nil"/>
              <w:bottom w:val="nil"/>
            </w:tcBorders>
          </w:tcPr>
          <w:p w14:paraId="06487CCA"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0.68</w:t>
            </w:r>
          </w:p>
        </w:tc>
      </w:tr>
      <w:tr w:rsidR="00E84D7D" w:rsidRPr="00F21EDD" w14:paraId="2C93B753"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4F549182" w14:textId="5CD7381A" w:rsidR="00E84D7D" w:rsidRPr="00E84D7D" w:rsidRDefault="00E84D7D" w:rsidP="0000574D">
            <w:pPr>
              <w:spacing w:before="240"/>
              <w:jc w:val="both"/>
              <w:rPr>
                <w:rFonts w:ascii="Arial" w:eastAsia="Times New Roman" w:hAnsi="Arial" w:cs="Arial"/>
                <w:color w:val="000000"/>
                <w:sz w:val="20"/>
                <w:szCs w:val="20"/>
                <w:lang w:val="en-US"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{"citationID":"a2edn73qa0r","properties":{"formattedCitation":"\\uldash{(Foj et al., 2017)}","plainCitation":"(Foj et al., 2017)","dontUpdate":true,"noteIndex":0},"citationItems":[{"id":704,"uris":["http://zotero.org/users/3583561/items/MDGVUG48"],"itemData":{"id":704,"type":"article-journal","abstract":"BACKGROUND: MicroRNAs (miRNAs) are non-coding small RNAs, involved in post-transcriptional regulation of many target genes.\nMETHODS: Five miRNAs that have been consistently found deregulated in PCa (miR-21, miR-141, miR-214, miR-375, and let-7c) were analyzed in urinary pellets from 60 prostate cancer (PCa) patients and 10 healthy subjects by qRT-PCR. Besides, urinary exosomes were isolated by differential centrifugation and analyzed for those miRNAs.\nRESULTS: Significant upregulation of miR-21, miR-141, and miR-375 was found comparing PCa patients with healthy subjects in urinary pellets, while miR-214 was found significantly downregulated. Regarding urinary exosomes, miR-21 and miR-375 were also significantly upregulated in PCa but no differences were found for miR-141. Significant differences were found for let-7c in PCa in urinary exosomes while no differences were observed in urinary pellets. A panel combining miR-21 and miR-375 is suggested as the best combination to distinguish PCa patients and healthy subjects, with an AUC of 0.872. Furthermore, the association of miRNAs with clinicopathological characteristics was investigated. MiR-141 resulted significantly correlated with Gleason score in urinary pellets and let-7c with clinical stage in urinary exosomes. Additionally, miR-21, miR-141, and miR-214 were found significantly deregulated in intermediate/high-risk PCa versus low-risk/healthy subjects in urinary pellets. Significant differences between both groups were found in urinary exosomes for miR-21, miR-375, and let-7c.\nCONCLUSIONS: These findings suggest that the analysis of miRNAs-especially miRNA-21 and miR-375- in urine could be useful as biomarkers in PCa. Prostate 77: 573-583, 2017. © 2016 Wiley Periodicals, Inc.","container-title":"The Prostate","DOI":"10.1002/pros.23295","ISSN":"1097-0045","issue":"6","journalAbbreviation":"Prostate","language":"eng","note":"PMID: 27990656","page":"573-583","source":"PubMed","title":"Exosomal and Non-Exosomal Urinary miRNAs in Prostate Cancer Detection and Prognosis","volume":"77","author":[{"family":"Foj","given":"Laura"},{"family":"Ferrer","given":"Ferran"},{"family":"Serra","given":"Marta"},{"family":"Arévalo","given":"Antonio"},{"family":"Gavagnach","given":"Montserrat"},{"family":"Giménez","given":"Nuria"},{"family":"Filella","given":"Xavier"}],"issued":{"date-parts":[["2017",5]]}}}],"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Foj et al., 2017</w:t>
            </w:r>
            <w:r w:rsidRPr="00E84D7D">
              <w:rPr>
                <w:rFonts w:ascii="Arial" w:hAnsi="Arial" w:cs="Arial"/>
                <w:color w:val="000000"/>
                <w:lang w:eastAsia="fr-FR"/>
              </w:rPr>
              <w:fldChar w:fldCharType="end"/>
            </w:r>
          </w:p>
        </w:tc>
        <w:tc>
          <w:tcPr>
            <w:tcW w:w="1084" w:type="dxa"/>
            <w:tcBorders>
              <w:top w:val="nil"/>
              <w:bottom w:val="nil"/>
            </w:tcBorders>
            <w:noWrap/>
          </w:tcPr>
          <w:p w14:paraId="2CECF4AC"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Spain</w:t>
            </w:r>
          </w:p>
        </w:tc>
        <w:tc>
          <w:tcPr>
            <w:tcW w:w="927" w:type="dxa"/>
            <w:tcBorders>
              <w:top w:val="nil"/>
              <w:bottom w:val="nil"/>
            </w:tcBorders>
          </w:tcPr>
          <w:p w14:paraId="19733BA2"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HP</w:t>
            </w:r>
          </w:p>
        </w:tc>
        <w:tc>
          <w:tcPr>
            <w:tcW w:w="695" w:type="dxa"/>
            <w:tcBorders>
              <w:top w:val="nil"/>
              <w:bottom w:val="nil"/>
            </w:tcBorders>
            <w:noWrap/>
          </w:tcPr>
          <w:p w14:paraId="74C384D3"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60</w:t>
            </w:r>
          </w:p>
        </w:tc>
        <w:tc>
          <w:tcPr>
            <w:tcW w:w="927" w:type="dxa"/>
            <w:tcBorders>
              <w:top w:val="nil"/>
              <w:bottom w:val="nil"/>
            </w:tcBorders>
            <w:noWrap/>
          </w:tcPr>
          <w:p w14:paraId="0BCB7DBA"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10</w:t>
            </w:r>
          </w:p>
        </w:tc>
        <w:tc>
          <w:tcPr>
            <w:tcW w:w="1361" w:type="dxa"/>
            <w:tcBorders>
              <w:top w:val="nil"/>
              <w:bottom w:val="nil"/>
            </w:tcBorders>
            <w:noWrap/>
          </w:tcPr>
          <w:p w14:paraId="18A311C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Urine (exosomes)</w:t>
            </w:r>
          </w:p>
        </w:tc>
        <w:tc>
          <w:tcPr>
            <w:tcW w:w="1172" w:type="dxa"/>
            <w:tcBorders>
              <w:top w:val="nil"/>
              <w:bottom w:val="nil"/>
            </w:tcBorders>
          </w:tcPr>
          <w:p w14:paraId="42EDC48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3699429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MiR-375</w:t>
            </w:r>
          </w:p>
        </w:tc>
        <w:tc>
          <w:tcPr>
            <w:tcW w:w="717" w:type="dxa"/>
            <w:tcBorders>
              <w:top w:val="nil"/>
              <w:bottom w:val="nil"/>
            </w:tcBorders>
            <w:noWrap/>
          </w:tcPr>
          <w:p w14:paraId="309C62A3"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717" w:type="dxa"/>
            <w:tcBorders>
              <w:top w:val="nil"/>
              <w:bottom w:val="nil"/>
            </w:tcBorders>
            <w:noWrap/>
          </w:tcPr>
          <w:p w14:paraId="7A80E180"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550" w:type="dxa"/>
            <w:tcBorders>
              <w:top w:val="nil"/>
              <w:bottom w:val="nil"/>
            </w:tcBorders>
            <w:noWrap/>
          </w:tcPr>
          <w:p w14:paraId="3D57E6FB"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72" w:type="dxa"/>
            <w:tcBorders>
              <w:top w:val="nil"/>
              <w:bottom w:val="nil"/>
            </w:tcBorders>
            <w:noWrap/>
          </w:tcPr>
          <w:p w14:paraId="70451235"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83" w:type="dxa"/>
            <w:tcBorders>
              <w:top w:val="nil"/>
              <w:bottom w:val="nil"/>
            </w:tcBorders>
            <w:noWrap/>
          </w:tcPr>
          <w:p w14:paraId="24D87218"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83" w:type="dxa"/>
            <w:tcBorders>
              <w:top w:val="nil"/>
              <w:bottom w:val="nil"/>
            </w:tcBorders>
            <w:noWrap/>
          </w:tcPr>
          <w:p w14:paraId="1E9DB97E"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650" w:type="dxa"/>
            <w:tcBorders>
              <w:top w:val="nil"/>
              <w:bottom w:val="nil"/>
            </w:tcBorders>
          </w:tcPr>
          <w:p w14:paraId="23E1E826"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0.80</w:t>
            </w:r>
          </w:p>
        </w:tc>
      </w:tr>
      <w:tr w:rsidR="00E84D7D" w:rsidRPr="00F21EDD" w14:paraId="4985B0F4"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hideMark/>
          </w:tcPr>
          <w:p w14:paraId="39ECA380" w14:textId="04BD9DAD"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{"citationID":"a27l53688lr","properties":{"formattedCitation":"\\uldash{(Gao et al., 2016)}","plainCitation":"(Gao et al., 2016)","dontUpdate":true,"noteIndex":0},"citationItems":[{"id":694,"uris":["http://zotero.org/users/3583561/items/ATU2QLD2"],"itemData":{"id":694,"type":"article-journal","abstract":"To investigate the diagnostic potential of plasma miR-21 and miR-375 by comparing their levels in prostate cancer (PCa) patients to subjects without cancer in a Chinese population. The study population included 57 PCa patients and 28 benign prostatic hyperplasia (BPH) patients. The plasma levels of miR-21 and miR-375 were quantitated with Taqman based quantitative real-time polymerase chain reaction. In the BPH group, the median relative expression levels of miR-21 and miR-375 were 0.07 and 0.55, respectively; In the PCa group, the median values of miR-21 and miR-375 were 1.32 and 1.74, respectively. Both miR-21 (p=0.014) and miR-375 (p=0.005) plasma levels were significantly higher in PCa group than in BPH group. Using ROC analysis the AUC of miR-21 was 0.799, 95% CI between 0.690 and 0.908 (p=8×10-6); for miR-375, the AUC was 0.757, 95% CI between 0.640-0.874 (p=0.000126). The largest AUC (0.881) was obtained when the data of miR-21, miR-375 and PSA were combined, with a sensitivity of 87.7% and a specificity of 75%. The results of this study showed that circulating miR-21 and miR-375 can discriminate PCa patients from BPH controls at early stages. Combinations of the studied miRNAs and PSA remarkably increased specificity compared with PSA alone. The combination method has the potential to be used as a noninvasive diagnostic cocktail for PCa screening.","container-title":"Neoplasma","DOI":"10.4149/neo_2016_417","ISSN":"0028-2685","issue":"4","journalAbbreviation":"Neoplasma","language":"eng","note":"PMID: 27268927","page":"623-628","source":"PubMed","title":"Analysis of circulating miRNAs 21 and 375 as potential biomarkers for early diagnosis of prostate cancer","volume":"63","author":[{"family":"Gao","given":"Y."},{"family":"Guo","given":"Y."},{"family":"Wang","given":"Z."},{"family":"Dai","given":"Z."},{"family":"Xu","given":"Y."},{"family":"Zhang","given":"W."},{"family":"Liu","given":"Z."},{"family":"Li","given":"S."}],"issued":{"date-parts":[["2016"]]}}}],"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Gao et al., 2016</w:t>
            </w:r>
            <w:r w:rsidRPr="00E84D7D">
              <w:rPr>
                <w:rFonts w:ascii="Arial" w:hAnsi="Arial" w:cs="Arial"/>
                <w:color w:val="000000"/>
                <w:lang w:eastAsia="fr-FR"/>
              </w:rPr>
              <w:fldChar w:fldCharType="end"/>
            </w:r>
          </w:p>
        </w:tc>
        <w:tc>
          <w:tcPr>
            <w:tcW w:w="1084" w:type="dxa"/>
            <w:tcBorders>
              <w:top w:val="nil"/>
              <w:bottom w:val="nil"/>
            </w:tcBorders>
            <w:noWrap/>
            <w:hideMark/>
          </w:tcPr>
          <w:p w14:paraId="00B9D92E"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China</w:t>
            </w:r>
          </w:p>
        </w:tc>
        <w:tc>
          <w:tcPr>
            <w:tcW w:w="927" w:type="dxa"/>
            <w:tcBorders>
              <w:top w:val="nil"/>
              <w:bottom w:val="nil"/>
            </w:tcBorders>
          </w:tcPr>
          <w:p w14:paraId="74CD79EC"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BPH</w:t>
            </w:r>
          </w:p>
        </w:tc>
        <w:tc>
          <w:tcPr>
            <w:tcW w:w="695" w:type="dxa"/>
            <w:tcBorders>
              <w:top w:val="nil"/>
              <w:bottom w:val="nil"/>
            </w:tcBorders>
            <w:noWrap/>
            <w:hideMark/>
          </w:tcPr>
          <w:p w14:paraId="09CB4621"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57</w:t>
            </w:r>
          </w:p>
        </w:tc>
        <w:tc>
          <w:tcPr>
            <w:tcW w:w="927" w:type="dxa"/>
            <w:tcBorders>
              <w:top w:val="nil"/>
              <w:bottom w:val="nil"/>
            </w:tcBorders>
            <w:noWrap/>
            <w:hideMark/>
          </w:tcPr>
          <w:p w14:paraId="564E1483"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28</w:t>
            </w:r>
          </w:p>
        </w:tc>
        <w:tc>
          <w:tcPr>
            <w:tcW w:w="1361" w:type="dxa"/>
            <w:tcBorders>
              <w:top w:val="nil"/>
              <w:bottom w:val="nil"/>
            </w:tcBorders>
            <w:noWrap/>
            <w:hideMark/>
          </w:tcPr>
          <w:p w14:paraId="0C75CC18"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Plasma</w:t>
            </w:r>
          </w:p>
        </w:tc>
        <w:tc>
          <w:tcPr>
            <w:tcW w:w="1172" w:type="dxa"/>
            <w:tcBorders>
              <w:top w:val="nil"/>
              <w:bottom w:val="nil"/>
            </w:tcBorders>
          </w:tcPr>
          <w:p w14:paraId="1E237AC7"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hideMark/>
          </w:tcPr>
          <w:p w14:paraId="5229F7C3"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miR-375</w:t>
            </w:r>
          </w:p>
        </w:tc>
        <w:tc>
          <w:tcPr>
            <w:tcW w:w="717" w:type="dxa"/>
            <w:tcBorders>
              <w:top w:val="nil"/>
              <w:bottom w:val="nil"/>
            </w:tcBorders>
            <w:noWrap/>
            <w:hideMark/>
          </w:tcPr>
          <w:p w14:paraId="2F12DB0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75.40</w:t>
            </w:r>
          </w:p>
        </w:tc>
        <w:tc>
          <w:tcPr>
            <w:tcW w:w="717" w:type="dxa"/>
            <w:tcBorders>
              <w:top w:val="nil"/>
              <w:bottom w:val="nil"/>
            </w:tcBorders>
            <w:noWrap/>
            <w:hideMark/>
          </w:tcPr>
          <w:p w14:paraId="016906DE"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75.00</w:t>
            </w:r>
          </w:p>
        </w:tc>
        <w:tc>
          <w:tcPr>
            <w:tcW w:w="550" w:type="dxa"/>
            <w:tcBorders>
              <w:top w:val="nil"/>
              <w:bottom w:val="nil"/>
            </w:tcBorders>
            <w:noWrap/>
            <w:hideMark/>
          </w:tcPr>
          <w:p w14:paraId="35392108"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43</w:t>
            </w:r>
          </w:p>
        </w:tc>
        <w:tc>
          <w:tcPr>
            <w:tcW w:w="472" w:type="dxa"/>
            <w:tcBorders>
              <w:top w:val="nil"/>
              <w:bottom w:val="nil"/>
            </w:tcBorders>
            <w:noWrap/>
            <w:hideMark/>
          </w:tcPr>
          <w:p w14:paraId="6BB4F417"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w:t>
            </w:r>
          </w:p>
        </w:tc>
        <w:tc>
          <w:tcPr>
            <w:tcW w:w="483" w:type="dxa"/>
            <w:tcBorders>
              <w:top w:val="nil"/>
              <w:bottom w:val="nil"/>
            </w:tcBorders>
            <w:noWrap/>
            <w:hideMark/>
          </w:tcPr>
          <w:p w14:paraId="180506F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21</w:t>
            </w:r>
          </w:p>
        </w:tc>
        <w:tc>
          <w:tcPr>
            <w:tcW w:w="483" w:type="dxa"/>
            <w:tcBorders>
              <w:top w:val="nil"/>
              <w:bottom w:val="nil"/>
            </w:tcBorders>
            <w:noWrap/>
            <w:hideMark/>
          </w:tcPr>
          <w:p w14:paraId="13E7E8B3"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17</w:t>
            </w:r>
          </w:p>
        </w:tc>
        <w:tc>
          <w:tcPr>
            <w:tcW w:w="650" w:type="dxa"/>
            <w:tcBorders>
              <w:top w:val="nil"/>
              <w:bottom w:val="nil"/>
            </w:tcBorders>
          </w:tcPr>
          <w:p w14:paraId="42D6E7C1"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0.76</w:t>
            </w:r>
          </w:p>
        </w:tc>
      </w:tr>
      <w:tr w:rsidR="00E84D7D" w:rsidRPr="00F21EDD" w14:paraId="66079BCB"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28E25250" w14:textId="75CF0E84"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lastRenderedPageBreak/>
              <w:fldChar w:fldCharType="begin"/>
            </w:r>
            <w:r w:rsidRPr="00E84D7D">
              <w:rPr>
                <w:rFonts w:ascii="Arial" w:eastAsia="Times New Roman" w:hAnsi="Arial" w:cs="Arial"/>
                <w:color w:val="000000"/>
                <w:sz w:val="20"/>
                <w:szCs w:val="20"/>
                <w:lang w:eastAsia="fr-FR"/>
              </w:rPr>
              <w:instrText xml:space="preserve"> ADDIN ZOTERO_ITEM CSL_CITATION {"citationID":"a26ioa0qt73","properties":{"formattedCitation":"\\uldash{(Stuopelyte et al., 2016)}","plainCitation":"(Stuopelyte et al., 2016)","dontUpdate":true,"noteIndex":0},"citationItems":[{"id":499,"uris":["http://zotero.org/users/3583561/items/UZ33BSI2","http://zotero.org/users/3583561/items/48YIEIDR"],"itemData":{"id":499,"type":"article-journal","abstract":"BACKGROUND: In this paper, the utility of urine-circulating microRNAs (miRNAs) as the potential biomarker of prostate cancer (PCa), the second most prevalent male cancer worldwide, was evaluated.\nMETHODS: Cancerous (N=56) and non-cancerous (N=16) prostate tissues were analysed on TaqMan Low Density Array, with the initial screening of 754 miRNAs in a subset of the samples. The abundance of selected miRNAs was analysed in urine specimens from two independent cohorts of patients with PCa (N=215 overall), benign prostatic hyperplasia (BPH; N=23), and asymptomatic controls (ASC; N=62) by means of quantitative reverse transcription PCR.\nRESULTS: Over 100 miRNAs were found deregulated in PCa as compared with non-cancerous prostate tissue. After thorough validation, four miRNAs were selected for the analysis in urine specimens. The abundance of miR-148a and miR-375 in urine was identified as specific biomarkers of PCa in both cohorts. Combined analysis of urine-circulating miR-148a and miR-375 was highly sensitive and specific for PCa in both cohorts (AUC=0.79 and 0.84) and strongly improved the diagnostic power of the PSA test (AUC=0.85, cohort PCa1), including the grey diagnostic zone (AUC=0.90).\nCONCLUSIONS: Quantitative measurement of urine-circulating miR-148a and miR-375 can serve as the non-invasive tool for sensitive and specific detection of PCa.","container-title":"British Journal of Cancer","DOI":"10.1038/bjc.2016.233","ISSN":"1532-1827","issue":"6","journalAbbreviation":"Br J Cancer","language":"eng","note":"PMID: 27490805\nPMCID: PMC5023772","page":"707-715","source":"PubMed","title":"The utility of urine-circulating miRNAs for detection of prostate cancer","volume":"115","author":[{"family":"Stuopelyte","given":"Kristina"},{"family":"Daniunaite","given":"Kristina"},{"family":"Bakavicius","given":"Arnas"},{"family":"Lazutka","given":"Juozas R."},{"family":"Jankevicius","given":"Feliksas"},{"family":"Jarmalaite","given":"Sonata"}],"issued":{"date-parts":[["2016",9,6]]}}}],"schema":"https://github.com/citation-style-language/schema/raw/master/csl-citation.json"}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Stuopelyte et al., 2016</w:t>
            </w:r>
            <w:r w:rsidRPr="00E84D7D">
              <w:rPr>
                <w:rFonts w:ascii="Arial" w:hAnsi="Arial" w:cs="Arial"/>
                <w:color w:val="000000"/>
                <w:lang w:eastAsia="fr-FR"/>
              </w:rPr>
              <w:fldChar w:fldCharType="end"/>
            </w:r>
          </w:p>
        </w:tc>
        <w:tc>
          <w:tcPr>
            <w:tcW w:w="1084" w:type="dxa"/>
            <w:tcBorders>
              <w:top w:val="nil"/>
              <w:bottom w:val="nil"/>
            </w:tcBorders>
            <w:noWrap/>
          </w:tcPr>
          <w:p w14:paraId="0124505F"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Lithuania</w:t>
            </w:r>
          </w:p>
        </w:tc>
        <w:tc>
          <w:tcPr>
            <w:tcW w:w="927" w:type="dxa"/>
            <w:tcBorders>
              <w:top w:val="nil"/>
              <w:bottom w:val="nil"/>
            </w:tcBorders>
          </w:tcPr>
          <w:p w14:paraId="692BF1E6"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BPH</w:t>
            </w:r>
          </w:p>
        </w:tc>
        <w:tc>
          <w:tcPr>
            <w:tcW w:w="695" w:type="dxa"/>
            <w:tcBorders>
              <w:top w:val="nil"/>
              <w:bottom w:val="nil"/>
            </w:tcBorders>
            <w:noWrap/>
          </w:tcPr>
          <w:p w14:paraId="55EBF6E5"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143</w:t>
            </w:r>
          </w:p>
        </w:tc>
        <w:tc>
          <w:tcPr>
            <w:tcW w:w="927" w:type="dxa"/>
            <w:tcBorders>
              <w:top w:val="nil"/>
              <w:bottom w:val="nil"/>
            </w:tcBorders>
            <w:noWrap/>
          </w:tcPr>
          <w:p w14:paraId="586B9B89"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85</w:t>
            </w:r>
          </w:p>
        </w:tc>
        <w:tc>
          <w:tcPr>
            <w:tcW w:w="1361" w:type="dxa"/>
            <w:tcBorders>
              <w:top w:val="nil"/>
              <w:bottom w:val="nil"/>
            </w:tcBorders>
            <w:noWrap/>
          </w:tcPr>
          <w:p w14:paraId="333AC9A3"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Urine</w:t>
            </w:r>
          </w:p>
        </w:tc>
        <w:tc>
          <w:tcPr>
            <w:tcW w:w="1172" w:type="dxa"/>
            <w:tcBorders>
              <w:top w:val="nil"/>
              <w:bottom w:val="nil"/>
            </w:tcBorders>
          </w:tcPr>
          <w:p w14:paraId="71563725"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138E8AD8"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miR-375</w:t>
            </w:r>
          </w:p>
        </w:tc>
        <w:tc>
          <w:tcPr>
            <w:tcW w:w="717" w:type="dxa"/>
            <w:tcBorders>
              <w:top w:val="nil"/>
              <w:bottom w:val="nil"/>
            </w:tcBorders>
            <w:noWrap/>
          </w:tcPr>
          <w:p w14:paraId="5E713272"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94.00</w:t>
            </w:r>
          </w:p>
        </w:tc>
        <w:tc>
          <w:tcPr>
            <w:tcW w:w="717" w:type="dxa"/>
            <w:tcBorders>
              <w:top w:val="nil"/>
              <w:bottom w:val="nil"/>
            </w:tcBorders>
            <w:noWrap/>
          </w:tcPr>
          <w:p w14:paraId="37A91F2C"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39.00</w:t>
            </w:r>
          </w:p>
        </w:tc>
        <w:tc>
          <w:tcPr>
            <w:tcW w:w="550" w:type="dxa"/>
            <w:tcBorders>
              <w:top w:val="nil"/>
              <w:bottom w:val="nil"/>
            </w:tcBorders>
            <w:noWrap/>
          </w:tcPr>
          <w:p w14:paraId="6E1DBA11"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135</w:t>
            </w:r>
          </w:p>
        </w:tc>
        <w:tc>
          <w:tcPr>
            <w:tcW w:w="472" w:type="dxa"/>
            <w:tcBorders>
              <w:top w:val="nil"/>
              <w:bottom w:val="nil"/>
            </w:tcBorders>
            <w:noWrap/>
          </w:tcPr>
          <w:p w14:paraId="05780B46"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52</w:t>
            </w:r>
          </w:p>
        </w:tc>
        <w:tc>
          <w:tcPr>
            <w:tcW w:w="483" w:type="dxa"/>
            <w:tcBorders>
              <w:top w:val="nil"/>
              <w:bottom w:val="nil"/>
            </w:tcBorders>
            <w:noWrap/>
          </w:tcPr>
          <w:p w14:paraId="695541E3"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33</w:t>
            </w:r>
          </w:p>
        </w:tc>
        <w:tc>
          <w:tcPr>
            <w:tcW w:w="483" w:type="dxa"/>
            <w:tcBorders>
              <w:top w:val="nil"/>
              <w:bottom w:val="nil"/>
            </w:tcBorders>
            <w:noWrap/>
          </w:tcPr>
          <w:p w14:paraId="06CD89EB"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8</w:t>
            </w:r>
          </w:p>
        </w:tc>
        <w:tc>
          <w:tcPr>
            <w:tcW w:w="650" w:type="dxa"/>
            <w:tcBorders>
              <w:top w:val="nil"/>
              <w:bottom w:val="nil"/>
            </w:tcBorders>
          </w:tcPr>
          <w:p w14:paraId="1630B7CB"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0.68</w:t>
            </w:r>
          </w:p>
        </w:tc>
      </w:tr>
      <w:tr w:rsidR="00E84D7D" w:rsidRPr="00F21EDD" w14:paraId="40A450E3"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4CF0ABAA" w14:textId="3C7472A2"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{"citationID":"a1dmshartjg","properties":{"formattedCitation":"\\uldash{(Stuopelyte et al., 2016)}","plainCitation":"(Stuopelyte et al., 2016)","dontUpdate":true,"noteIndex":0},"citationItems":[{"id":499,"uris":["http://zotero.org/users/3583561/items/UZ33BSI2","http://zotero.org/users/3583561/items/48YIEIDR"],"itemData":{"id":499,"type":"article-journal","abstract":"BACKGROUND: In this paper, the utility of urine-circulating microRNAs (miRNAs) as the potential biomarker of prostate cancer (PCa), the second most prevalent male cancer worldwide, was evaluated.\nMETHODS: Cancerous (N=56) and non-cancerous (N=16) prostate tissues were analysed on TaqMan Low Density Array, with the initial screening of 754 miRNAs in a subset of the samples. The abundance of selected miRNAs was analysed in urine specimens from two independent cohorts of patients with PCa (N=215 overall), benign prostatic hyperplasia (BPH; N=23), and asymptomatic controls (ASC; N=62) by means of quantitative reverse transcription PCR.\nRESULTS: Over 100 miRNAs were found deregulated in PCa as compared with non-cancerous prostate tissue. After thorough validation, four miRNAs were selected for the analysis in urine specimens. The abundance of miR-148a and miR-375 in urine was identified as specific biomarkers of PCa in both cohorts. Combined analysis of urine-circulating miR-148a and miR-375 was highly sensitive and specific for PCa in both cohorts (AUC=0.79 and 0.84) and strongly improved the diagnostic power of the PSA test (AUC=0.85, cohort PCa1), including the grey diagnostic zone (AUC=0.90).\nCONCLUSIONS: Quantitative measurement of urine-circulating miR-148a and miR-375 can serve as the non-invasive tool for sensitive and specific detection of PCa.","container-title":"British Journal of Cancer","DOI":"10.1038/bjc.2016.233","ISSN":"1532-1827","issue":"6","journalAbbreviation":"Br J Cancer","language":"eng","note":"PMID: 27490805\nPMCID: PMC5023772","page":"707-715","source":"PubMed","title":"The utility of urine-circulating miRNAs for detection of prostate cancer","volume":"115","author":[{"family":"Stuopelyte","given":"Kristina"},{"family":"Daniunaite","given":"Kristina"},{"family":"Bakavicius","given":"Arnas"},{"family":"Lazutka","given":"Juozas R."},{"family":"Jankevicius","given":"Feliksas"},{"family":"Jarmalaite","given":"Sonata"}],"issued":{"date-parts":[["2016",9,6]]}}}],"schema":"https://github.com/citation-style-language/schema/raw/master/csl-citation.json"}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Stuopelyte et al., 2016</w:t>
            </w:r>
            <w:r w:rsidRPr="00E84D7D">
              <w:rPr>
                <w:rFonts w:ascii="Arial" w:hAnsi="Arial" w:cs="Arial"/>
                <w:color w:val="000000"/>
                <w:lang w:eastAsia="fr-FR"/>
              </w:rPr>
              <w:fldChar w:fldCharType="end"/>
            </w:r>
          </w:p>
        </w:tc>
        <w:tc>
          <w:tcPr>
            <w:tcW w:w="1084" w:type="dxa"/>
            <w:tcBorders>
              <w:top w:val="nil"/>
              <w:bottom w:val="nil"/>
            </w:tcBorders>
            <w:noWrap/>
          </w:tcPr>
          <w:p w14:paraId="530D5AF8"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Lithuania</w:t>
            </w:r>
          </w:p>
        </w:tc>
        <w:tc>
          <w:tcPr>
            <w:tcW w:w="927" w:type="dxa"/>
            <w:tcBorders>
              <w:top w:val="nil"/>
              <w:bottom w:val="nil"/>
            </w:tcBorders>
          </w:tcPr>
          <w:p w14:paraId="4267D0FB"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BPH</w:t>
            </w:r>
          </w:p>
        </w:tc>
        <w:tc>
          <w:tcPr>
            <w:tcW w:w="695" w:type="dxa"/>
            <w:tcBorders>
              <w:top w:val="nil"/>
              <w:bottom w:val="nil"/>
            </w:tcBorders>
            <w:noWrap/>
          </w:tcPr>
          <w:p w14:paraId="23C914D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72</w:t>
            </w:r>
          </w:p>
        </w:tc>
        <w:tc>
          <w:tcPr>
            <w:tcW w:w="927" w:type="dxa"/>
            <w:tcBorders>
              <w:top w:val="nil"/>
              <w:bottom w:val="nil"/>
            </w:tcBorders>
            <w:noWrap/>
          </w:tcPr>
          <w:p w14:paraId="74302B0D"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85</w:t>
            </w:r>
          </w:p>
        </w:tc>
        <w:tc>
          <w:tcPr>
            <w:tcW w:w="1361" w:type="dxa"/>
            <w:tcBorders>
              <w:top w:val="nil"/>
              <w:bottom w:val="nil"/>
            </w:tcBorders>
            <w:noWrap/>
          </w:tcPr>
          <w:p w14:paraId="76F09A77"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Urine</w:t>
            </w:r>
          </w:p>
        </w:tc>
        <w:tc>
          <w:tcPr>
            <w:tcW w:w="1172" w:type="dxa"/>
            <w:tcBorders>
              <w:top w:val="nil"/>
              <w:bottom w:val="nil"/>
            </w:tcBorders>
          </w:tcPr>
          <w:p w14:paraId="0762B41B"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70A4206F"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miR-375</w:t>
            </w:r>
          </w:p>
        </w:tc>
        <w:tc>
          <w:tcPr>
            <w:tcW w:w="717" w:type="dxa"/>
            <w:tcBorders>
              <w:top w:val="nil"/>
              <w:bottom w:val="nil"/>
            </w:tcBorders>
            <w:noWrap/>
          </w:tcPr>
          <w:p w14:paraId="637D3E1B"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58.00</w:t>
            </w:r>
          </w:p>
        </w:tc>
        <w:tc>
          <w:tcPr>
            <w:tcW w:w="717" w:type="dxa"/>
            <w:tcBorders>
              <w:top w:val="nil"/>
              <w:bottom w:val="nil"/>
            </w:tcBorders>
            <w:noWrap/>
          </w:tcPr>
          <w:p w14:paraId="56C46E58"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92.00</w:t>
            </w:r>
          </w:p>
        </w:tc>
        <w:tc>
          <w:tcPr>
            <w:tcW w:w="550" w:type="dxa"/>
            <w:tcBorders>
              <w:top w:val="nil"/>
              <w:bottom w:val="nil"/>
            </w:tcBorders>
            <w:noWrap/>
          </w:tcPr>
          <w:p w14:paraId="48CA0C52"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42</w:t>
            </w:r>
          </w:p>
        </w:tc>
        <w:tc>
          <w:tcPr>
            <w:tcW w:w="472" w:type="dxa"/>
            <w:tcBorders>
              <w:top w:val="nil"/>
              <w:bottom w:val="nil"/>
            </w:tcBorders>
            <w:noWrap/>
          </w:tcPr>
          <w:p w14:paraId="0A478447"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w:t>
            </w:r>
          </w:p>
        </w:tc>
        <w:tc>
          <w:tcPr>
            <w:tcW w:w="483" w:type="dxa"/>
            <w:tcBorders>
              <w:top w:val="nil"/>
              <w:bottom w:val="nil"/>
            </w:tcBorders>
            <w:noWrap/>
          </w:tcPr>
          <w:p w14:paraId="74AA4D2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78</w:t>
            </w:r>
          </w:p>
        </w:tc>
        <w:tc>
          <w:tcPr>
            <w:tcW w:w="483" w:type="dxa"/>
            <w:tcBorders>
              <w:top w:val="nil"/>
              <w:bottom w:val="nil"/>
            </w:tcBorders>
            <w:noWrap/>
          </w:tcPr>
          <w:p w14:paraId="445E4481"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30</w:t>
            </w:r>
          </w:p>
        </w:tc>
        <w:tc>
          <w:tcPr>
            <w:tcW w:w="650" w:type="dxa"/>
            <w:tcBorders>
              <w:top w:val="nil"/>
              <w:bottom w:val="nil"/>
            </w:tcBorders>
          </w:tcPr>
          <w:p w14:paraId="6F76EE63"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0.80</w:t>
            </w:r>
          </w:p>
        </w:tc>
      </w:tr>
      <w:tr w:rsidR="00E84D7D" w:rsidRPr="00F21EDD" w14:paraId="706DABBD"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hideMark/>
          </w:tcPr>
          <w:p w14:paraId="7ABFF74B" w14:textId="3D7E8EC9"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{"citationID":"audu7m0m66","properties":{"formattedCitation":"\\uldash{(Kachakova et al., 2015)}","plainCitation":"(Kachakova et al., 2015)","dontUpdate":true,"noteIndex":0},"citationItems":[{"id":12,"uris":["http://zotero.org/users/3583561/items/6P4KDUPG"],"itemData":{"id":12,"type":"article-journal","abstract":"In the current study, expression levels of let-7c, miR-30c, miR-141, and miR-375 in plasma from 59 prostate cancer (PC) patients with different clinicopathological characteristics and two groups of controls: 16 benign prostatic hyperplasia (BPH) samples and 11 young asymptomatic men (YAM) were analyzed to evaluate their diagnostic and prognostic value in comparison to prostate-specific antigen (PSA). miR-375 was significantly downregulated in 83.5% of patients compared to BPH controls and showed stronger diagnostic accuracy (area under the curve [AUC]=0.809, 95% CI: 0.697–0.922, p=0.00016) compared with PSA (AUC=0.710, 95% CI: 0.559–0.861, p=0.013). Expression levels of let-7c showed potential to distinguish PC patients from BPH controls with AUC=0.757, but the result did not reach significance. Better discriminating performance was observed when combinations of studied biomarkers were used. Sensitivity of 86.8% and specificity of 81.8% were reached when all biomarkers were combined (AUC=0.877) and YAM were used as calibrators. None of the studied microRNAs (miRNAs) showed correlation with clinicopathological characteristics. PSA levels were significantly correlated with the Gleason score, tumor stage, and lymph node metastasis with Spearman correlation coefficients: 0.612, 0.576, and 0.458. In conclusion, the combination of the studied circulating plasma miRNAs and serum PSA has the potential to be used as a noninvasive diagnostic biomarker for PC screening outperforming the PSA testing alone.","container-title":"DNA and Cell Biology","DOI":"10.1089/dna.2014.2663","ISSN":"1044-5498","issue":"3","journalAbbreviation":"DNA Cell Biol","note":"PMID: 25521481\nPMCID: PMC4337462","page":"189-200","source":"PubMed Central","title":"Combinations of Serum Prostate-Specific Antigen and Plasma Expression Levels of let-7c, miR-30c, miR-141, and miR-375 as Potential Better Diagnostic Biomarkers for Prostate Cancer","URL":"https://www.ncbi.nlm.nih.gov/pmc/articles/PMC4337462/","volume":"34","author":[{"family":"Kachakova","given":"Darina"},{"family":"Mitkova","given":"Atanaska"},{"family":"Popov","given":"Elenko"},{"family":"Popov","given":"Ivan"},{"family":"Vlahova","given":"Alexandrina"},{"family":"Dikov","given":"Tihomir"},{"family":"Christova","given":"Svetlana"},{"family":"Mitev","given":"Vanio"},{"family":"Slavov","given":"Chavdar"},{"family":"Kaneva","given":"Radka"}],"accessed":{"date-parts":[["2023",5,2]]},"issued":{"date-parts":[["2015",3,1]]}}}],"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Kachakova et al., 2015</w:t>
            </w:r>
            <w:r w:rsidRPr="00E84D7D">
              <w:rPr>
                <w:rFonts w:ascii="Arial" w:hAnsi="Arial" w:cs="Arial"/>
                <w:color w:val="000000"/>
                <w:lang w:eastAsia="fr-FR"/>
              </w:rPr>
              <w:fldChar w:fldCharType="end"/>
            </w:r>
          </w:p>
        </w:tc>
        <w:tc>
          <w:tcPr>
            <w:tcW w:w="1084" w:type="dxa"/>
            <w:tcBorders>
              <w:top w:val="nil"/>
              <w:bottom w:val="nil"/>
            </w:tcBorders>
            <w:noWrap/>
            <w:hideMark/>
          </w:tcPr>
          <w:p w14:paraId="6CA9E125"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Bulgaria</w:t>
            </w:r>
          </w:p>
        </w:tc>
        <w:tc>
          <w:tcPr>
            <w:tcW w:w="927" w:type="dxa"/>
            <w:tcBorders>
              <w:top w:val="nil"/>
              <w:bottom w:val="nil"/>
            </w:tcBorders>
          </w:tcPr>
          <w:p w14:paraId="4C2F2B32"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BPH</w:t>
            </w:r>
          </w:p>
        </w:tc>
        <w:tc>
          <w:tcPr>
            <w:tcW w:w="695" w:type="dxa"/>
            <w:tcBorders>
              <w:top w:val="nil"/>
              <w:bottom w:val="nil"/>
            </w:tcBorders>
            <w:noWrap/>
            <w:hideMark/>
          </w:tcPr>
          <w:p w14:paraId="4899069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59</w:t>
            </w:r>
          </w:p>
        </w:tc>
        <w:tc>
          <w:tcPr>
            <w:tcW w:w="927" w:type="dxa"/>
            <w:tcBorders>
              <w:top w:val="nil"/>
              <w:bottom w:val="nil"/>
            </w:tcBorders>
            <w:noWrap/>
            <w:hideMark/>
          </w:tcPr>
          <w:p w14:paraId="319E9823"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16</w:t>
            </w:r>
          </w:p>
        </w:tc>
        <w:tc>
          <w:tcPr>
            <w:tcW w:w="1361" w:type="dxa"/>
            <w:tcBorders>
              <w:top w:val="nil"/>
              <w:bottom w:val="nil"/>
            </w:tcBorders>
            <w:noWrap/>
            <w:hideMark/>
          </w:tcPr>
          <w:p w14:paraId="2C3F42EB"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Plasma</w:t>
            </w:r>
          </w:p>
        </w:tc>
        <w:tc>
          <w:tcPr>
            <w:tcW w:w="1172" w:type="dxa"/>
            <w:tcBorders>
              <w:top w:val="nil"/>
              <w:bottom w:val="nil"/>
            </w:tcBorders>
          </w:tcPr>
          <w:p w14:paraId="11F700CC"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hideMark/>
          </w:tcPr>
          <w:p w14:paraId="4BE65A4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miR-375</w:t>
            </w:r>
          </w:p>
        </w:tc>
        <w:tc>
          <w:tcPr>
            <w:tcW w:w="717" w:type="dxa"/>
            <w:tcBorders>
              <w:top w:val="nil"/>
              <w:bottom w:val="nil"/>
            </w:tcBorders>
            <w:noWrap/>
            <w:hideMark/>
          </w:tcPr>
          <w:p w14:paraId="5F21B978"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81.30</w:t>
            </w:r>
          </w:p>
        </w:tc>
        <w:tc>
          <w:tcPr>
            <w:tcW w:w="717" w:type="dxa"/>
            <w:tcBorders>
              <w:top w:val="nil"/>
              <w:bottom w:val="nil"/>
            </w:tcBorders>
            <w:noWrap/>
            <w:hideMark/>
          </w:tcPr>
          <w:p w14:paraId="2BD51779"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72.90</w:t>
            </w:r>
          </w:p>
        </w:tc>
        <w:tc>
          <w:tcPr>
            <w:tcW w:w="550" w:type="dxa"/>
            <w:tcBorders>
              <w:top w:val="nil"/>
              <w:bottom w:val="nil"/>
            </w:tcBorders>
            <w:noWrap/>
            <w:hideMark/>
          </w:tcPr>
          <w:p w14:paraId="28F23F7F"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48</w:t>
            </w:r>
          </w:p>
        </w:tc>
        <w:tc>
          <w:tcPr>
            <w:tcW w:w="472" w:type="dxa"/>
            <w:tcBorders>
              <w:top w:val="nil"/>
              <w:bottom w:val="nil"/>
            </w:tcBorders>
            <w:noWrap/>
            <w:hideMark/>
          </w:tcPr>
          <w:p w14:paraId="707AAA00"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4</w:t>
            </w:r>
          </w:p>
        </w:tc>
        <w:tc>
          <w:tcPr>
            <w:tcW w:w="483" w:type="dxa"/>
            <w:tcBorders>
              <w:top w:val="nil"/>
              <w:bottom w:val="nil"/>
            </w:tcBorders>
            <w:noWrap/>
            <w:hideMark/>
          </w:tcPr>
          <w:p w14:paraId="2CD8AB0D"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12</w:t>
            </w:r>
          </w:p>
        </w:tc>
        <w:tc>
          <w:tcPr>
            <w:tcW w:w="483" w:type="dxa"/>
            <w:tcBorders>
              <w:top w:val="nil"/>
              <w:bottom w:val="nil"/>
            </w:tcBorders>
            <w:noWrap/>
            <w:hideMark/>
          </w:tcPr>
          <w:p w14:paraId="0F26DEAD"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11</w:t>
            </w:r>
          </w:p>
        </w:tc>
        <w:tc>
          <w:tcPr>
            <w:tcW w:w="650" w:type="dxa"/>
            <w:tcBorders>
              <w:top w:val="nil"/>
              <w:bottom w:val="nil"/>
            </w:tcBorders>
          </w:tcPr>
          <w:p w14:paraId="61395B3A"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0.81</w:t>
            </w:r>
          </w:p>
        </w:tc>
      </w:tr>
      <w:tr w:rsidR="00E84D7D" w:rsidRPr="00F21EDD" w14:paraId="5ADA4C9B"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3A62728A" w14:textId="336F9DBC" w:rsidR="00E84D7D" w:rsidRPr="00E84D7D" w:rsidRDefault="00E84D7D" w:rsidP="0000574D">
            <w:pPr>
              <w:spacing w:before="240"/>
              <w:jc w:val="both"/>
              <w:rPr>
                <w:rFonts w:ascii="Arial" w:eastAsia="Times New Roman" w:hAnsi="Arial" w:cs="Arial"/>
                <w:color w:val="000000"/>
                <w:sz w:val="20"/>
                <w:szCs w:val="20"/>
                <w:lang w:val="en-US"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val="en-US" w:eastAsia="fr-FR"/>
              </w:rPr>
              <w:instrText xml:space="preserve"> ADDIN ZOTERO_ITEM CSL_CITATION {"citationID":"a2i1or3bn89","properties":{"formattedCitation":"\\uldash{(Haldrup et al., 2014)}","plainCitation":"(Haldrup et al., 2014)","dontUpdate":true,"noteIndex":0},"citationItems":[{"id":680,"uris":["http://zotero.org/users/3583561/items/52ZXB2YK"],"itemData":{"id":680,"type":"article-journal","abstract":"Prostate cancer (PC) is the most frequent cancer in men in the Western world. Currently, serum prostate-specific antigen levels and digital rectal examinations are used to indicate the need for diagnostic prostate biopsy, but lack in specificity and sensitivity. Thus, many men undergo unnecessary biopsy, and better and less invasive tools for PC detection are needed. Furthermore, whereas aggressive PC should be treated immediately to prevent dissemination, indolent PC often does not progress and overtreatment should be avoided. Currently, the best predictors of aggressiveness are Gleason score and T-stage of the primary PC. Better tools to assess PC aggressiveness could aid in treatment decisions. Recently, circulating miRNAs have been suggested as potential new biomarkers for PC with diagnostic and prognostic potential. Here, to identify new serum miRNA biomarker candidates for PC, we performed genome-wide miRNA profiling of serum samples from 13 benign prostatic hyperplasia (BPH) control patients and 31 PC patients. Furthermore, we carefully reviewed the literature on circulating miRNA biomarkers for PC. Our results confirmed the de-regulation of miR-141 and miR-375, two of the most well-documented candidate miRNA markers for PC. Moreover, we identified several new potential serum miRNA markers for PC and developed three novel and highly specific (100 %) miRNA candidate marker panels able to identify 84 % of all PC patients (miR-562/miR-210/miR-501-3p/miR-375/miR-551b), 80 % of patients with disseminated PC when compared to BPH patients (let-7a*/miR-210/miR-562/miR-616), and 75 % of disseminated PC patients when compared to localized PC patients (miR-375/miR-708/miR-1203/miR-200a), demonstrating high potential of serum miRNAs for diagnosing and staging of PC.","container-title":"Drug Delivery and Translational Research","DOI":"10.1007/s13346-013-0169-4","ISSN":"2190-3948","issue":"1","journalAbbreviation":"Drug Deliv Transl Res","language":"eng","note":"PMID: 25786615","page":"19-30","source":"PubMed","title":"Profiling of circulating microRNAs for prostate cancer biomarker discovery","volume":"4","author":[{"family":"Haldrup","given":"Christa"},{"family":"Kosaka","given":"Nobuyoshi"},{"family":"Ochiya","given":"Takahiro"},{"family":"Borre","given":"Michael"},{"family":"Høyer","given":"Soren"},{"family":"Orntoft","given":"Torben F."},{"family":"Sorensen","given":"Karina D."}],"issued":{"date-parts":[["2014",2]]}}}],"schema":"https://github.com/citation-style-language/schema/raw/master/csl-citation.json"}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Haldrup et al., 2014</w:t>
            </w:r>
            <w:r w:rsidRPr="00E84D7D">
              <w:rPr>
                <w:rFonts w:ascii="Arial" w:hAnsi="Arial" w:cs="Arial"/>
                <w:color w:val="000000"/>
                <w:lang w:eastAsia="fr-FR"/>
              </w:rPr>
              <w:fldChar w:fldCharType="end"/>
            </w:r>
          </w:p>
        </w:tc>
        <w:tc>
          <w:tcPr>
            <w:tcW w:w="1084" w:type="dxa"/>
            <w:tcBorders>
              <w:top w:val="nil"/>
              <w:bottom w:val="nil"/>
            </w:tcBorders>
            <w:noWrap/>
          </w:tcPr>
          <w:p w14:paraId="008CD56A"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Denmark</w:t>
            </w:r>
          </w:p>
        </w:tc>
        <w:tc>
          <w:tcPr>
            <w:tcW w:w="927" w:type="dxa"/>
            <w:tcBorders>
              <w:top w:val="nil"/>
              <w:bottom w:val="nil"/>
            </w:tcBorders>
          </w:tcPr>
          <w:p w14:paraId="35E3EEE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BPH</w:t>
            </w:r>
          </w:p>
        </w:tc>
        <w:tc>
          <w:tcPr>
            <w:tcW w:w="695" w:type="dxa"/>
            <w:tcBorders>
              <w:top w:val="nil"/>
              <w:bottom w:val="nil"/>
            </w:tcBorders>
            <w:noWrap/>
          </w:tcPr>
          <w:p w14:paraId="04508131"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31</w:t>
            </w:r>
          </w:p>
        </w:tc>
        <w:tc>
          <w:tcPr>
            <w:tcW w:w="927" w:type="dxa"/>
            <w:tcBorders>
              <w:top w:val="nil"/>
              <w:bottom w:val="nil"/>
            </w:tcBorders>
            <w:noWrap/>
          </w:tcPr>
          <w:p w14:paraId="1F78E402"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13</w:t>
            </w:r>
          </w:p>
        </w:tc>
        <w:tc>
          <w:tcPr>
            <w:tcW w:w="1361" w:type="dxa"/>
            <w:tcBorders>
              <w:top w:val="nil"/>
              <w:bottom w:val="nil"/>
            </w:tcBorders>
            <w:noWrap/>
          </w:tcPr>
          <w:p w14:paraId="7BCFE4D5"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Serum</w:t>
            </w:r>
          </w:p>
        </w:tc>
        <w:tc>
          <w:tcPr>
            <w:tcW w:w="1172" w:type="dxa"/>
            <w:tcBorders>
              <w:top w:val="nil"/>
              <w:bottom w:val="nil"/>
            </w:tcBorders>
          </w:tcPr>
          <w:p w14:paraId="718AC3D9"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7388616D"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miR-375</w:t>
            </w:r>
          </w:p>
        </w:tc>
        <w:tc>
          <w:tcPr>
            <w:tcW w:w="717" w:type="dxa"/>
            <w:tcBorders>
              <w:top w:val="nil"/>
              <w:bottom w:val="nil"/>
            </w:tcBorders>
            <w:noWrap/>
          </w:tcPr>
          <w:p w14:paraId="520E8DB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23.00</w:t>
            </w:r>
          </w:p>
        </w:tc>
        <w:tc>
          <w:tcPr>
            <w:tcW w:w="717" w:type="dxa"/>
            <w:tcBorders>
              <w:top w:val="nil"/>
              <w:bottom w:val="nil"/>
            </w:tcBorders>
            <w:noWrap/>
          </w:tcPr>
          <w:p w14:paraId="135F1D0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100</w:t>
            </w:r>
          </w:p>
        </w:tc>
        <w:tc>
          <w:tcPr>
            <w:tcW w:w="550" w:type="dxa"/>
            <w:tcBorders>
              <w:top w:val="nil"/>
              <w:bottom w:val="nil"/>
            </w:tcBorders>
            <w:noWrap/>
          </w:tcPr>
          <w:p w14:paraId="42E8E823"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w:t>
            </w:r>
          </w:p>
        </w:tc>
        <w:tc>
          <w:tcPr>
            <w:tcW w:w="472" w:type="dxa"/>
            <w:tcBorders>
              <w:top w:val="nil"/>
              <w:bottom w:val="nil"/>
            </w:tcBorders>
            <w:noWrap/>
          </w:tcPr>
          <w:p w14:paraId="7C1E5DB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w:t>
            </w:r>
          </w:p>
        </w:tc>
        <w:tc>
          <w:tcPr>
            <w:tcW w:w="483" w:type="dxa"/>
            <w:tcBorders>
              <w:top w:val="nil"/>
              <w:bottom w:val="nil"/>
            </w:tcBorders>
            <w:noWrap/>
          </w:tcPr>
          <w:p w14:paraId="33FDBE2C"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13</w:t>
            </w:r>
          </w:p>
        </w:tc>
        <w:tc>
          <w:tcPr>
            <w:tcW w:w="483" w:type="dxa"/>
            <w:tcBorders>
              <w:top w:val="nil"/>
              <w:bottom w:val="nil"/>
            </w:tcBorders>
            <w:noWrap/>
          </w:tcPr>
          <w:p w14:paraId="28757A86"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24</w:t>
            </w:r>
          </w:p>
        </w:tc>
        <w:tc>
          <w:tcPr>
            <w:tcW w:w="650" w:type="dxa"/>
            <w:tcBorders>
              <w:top w:val="nil"/>
              <w:bottom w:val="nil"/>
            </w:tcBorders>
          </w:tcPr>
          <w:p w14:paraId="3DEA26AB"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0.65</w:t>
            </w:r>
          </w:p>
        </w:tc>
      </w:tr>
      <w:tr w:rsidR="00E84D7D" w:rsidRPr="00F21EDD" w14:paraId="55BE7040"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tcBorders>
            <w:noWrap/>
          </w:tcPr>
          <w:p w14:paraId="03B9B206" w14:textId="10BF0B13"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{"citationID":"an33tfg8jk","properties":{"formattedCitation":"\\uldash{(Cheng et al., 2013)}","plainCitation":"(Cheng et al., 2013)","dontUpdate":true,"noteIndex":0},"citationItems":[{"id":650,"uris":["http://zotero.org/users/3583561/items/LCSL4298"],"itemData":{"id":650,"type":"article-journal","abstract":"MicroRNAs (miRNAs) are small (</w:instrText>
            </w:r>
            <w:r w:rsidRPr="00E84D7D">
              <w:rPr>
                <w:rFonts w:ascii="Cambria Math" w:eastAsia="Times New Roman" w:hAnsi="Cambria Math" w:cs="Cambria Math"/>
                <w:color w:val="000000"/>
                <w:sz w:val="20"/>
                <w:szCs w:val="20"/>
                <w:lang w:eastAsia="fr-FR"/>
              </w:rPr>
              <w:instrText>∼</w:instrText>
            </w:r>
            <w:r w:rsidRPr="00E84D7D">
              <w:rPr>
                <w:rFonts w:ascii="Arial" w:eastAsia="Times New Roman" w:hAnsi="Arial" w:cs="Arial"/>
                <w:color w:val="000000"/>
                <w:sz w:val="20"/>
                <w:szCs w:val="20"/>
                <w:lang w:eastAsia="fr-FR"/>
              </w:rPr>
              <w:instrText xml:space="preserve">22 nucleotide) non-coding RNAs that regulate a myriad of biological processes and are frequently dysregulated in cancer. Cancer-associated microRNAs have been detected in serum and plasma and hold promise as minimally invasive cancer biomarkers, potentially for assessing disease characteristics in patients with metastatic disease that is difficult to biopsy. Here we used miRNA profiling to identify cancer-associated miRNAs that are differentially expressed in sera from patients with metastatic castration resistant prostate cancer (mCRPC) as compared to healthy controls. Of 365 miRNAs profiled, we identified five serum miRNAs (miR-141, miR-200a, miR-200c, miR-210 and miR-375) that were elevated in cases compared to controls across two independent cohorts. One of these, miR-210, is a known transcriptional target of the hypoxia-responsive HIF-1α signaling pathway. Exposure of cultured prostate cancer cells to hypoxia led to induction of miR-210 and its release into the extracellular environment. Moreover, we found that serum miR-210 levels varied widely amongst mCRPC patients undergoing therapy, and correlated with treatment response as assessed by change in PSA. Our results suggest that (i) cancer-associated hypoxia is a frequent, previously under-appreciated characteristic of mCRPC, and (ii) serum miR-210 may be further developed as a predictive biomarker in patients with this distinct disease biology.","container-title":"PloS One","DOI":"10.1371/journal.pone.0069239","ISSN":"1932-6203","issue":"7","journalAbbreviation":"PLoS One","language":"eng","note":"PMID: 23935962\nPMCID: PMC3728349","page":"e69239","source":"PubMed","title":"Circulating microRNA profiling identifies a subset of metastatic prostate cancer patients with evidence of cancer-associated hypoxia","volume":"8","author":[{"family":"Cheng","given":"Heather H."},{"family":"Mitchell","given":"Patrick S."},{"family":"Kroh","given":"Evan M."},{"family":"Dowell","given":"Alexander E."},{"family":"Chéry","given":"Lisly"},{"family":"Siddiqui","given":"Javed"},{"family":"Nelson","given":"Peter S."},{"family":"Vessella","given":"Robert L."},{"family":"Knudsen","given":"Beatrice S."},{"family":"Chinnaiyan","given":"Arul M."},{"family":"Pienta","given":"Kenneth J."},{"family":"Morrissey","given":"Colm"},{"family":"Tewari","given":"Muneesh"}],"issued":{"date-parts":[["2013"]]}}}],"schema":"https://github.com/citation-style-language/schema/raw/master/csl-citation.json"}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Cheng et al., 2013</w:t>
            </w:r>
            <w:r w:rsidRPr="00E84D7D">
              <w:rPr>
                <w:rFonts w:ascii="Arial" w:hAnsi="Arial" w:cs="Arial"/>
                <w:color w:val="000000"/>
                <w:lang w:eastAsia="fr-FR"/>
              </w:rPr>
              <w:fldChar w:fldCharType="end"/>
            </w:r>
          </w:p>
        </w:tc>
        <w:tc>
          <w:tcPr>
            <w:tcW w:w="1084" w:type="dxa"/>
            <w:tcBorders>
              <w:top w:val="nil"/>
            </w:tcBorders>
            <w:noWrap/>
          </w:tcPr>
          <w:p w14:paraId="48E63FFA"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United States</w:t>
            </w:r>
          </w:p>
        </w:tc>
        <w:tc>
          <w:tcPr>
            <w:tcW w:w="927" w:type="dxa"/>
            <w:tcBorders>
              <w:top w:val="nil"/>
            </w:tcBorders>
          </w:tcPr>
          <w:p w14:paraId="44313169"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HP</w:t>
            </w:r>
          </w:p>
        </w:tc>
        <w:tc>
          <w:tcPr>
            <w:tcW w:w="695" w:type="dxa"/>
            <w:tcBorders>
              <w:top w:val="nil"/>
            </w:tcBorders>
            <w:noWrap/>
          </w:tcPr>
          <w:p w14:paraId="2E416FF3"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25</w:t>
            </w:r>
          </w:p>
        </w:tc>
        <w:tc>
          <w:tcPr>
            <w:tcW w:w="927" w:type="dxa"/>
            <w:tcBorders>
              <w:top w:val="nil"/>
            </w:tcBorders>
            <w:noWrap/>
          </w:tcPr>
          <w:p w14:paraId="1F7078D9"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25</w:t>
            </w:r>
          </w:p>
        </w:tc>
        <w:tc>
          <w:tcPr>
            <w:tcW w:w="1361" w:type="dxa"/>
            <w:tcBorders>
              <w:top w:val="nil"/>
            </w:tcBorders>
            <w:noWrap/>
          </w:tcPr>
          <w:p w14:paraId="38D8DFD2"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Serum</w:t>
            </w:r>
          </w:p>
        </w:tc>
        <w:tc>
          <w:tcPr>
            <w:tcW w:w="1172" w:type="dxa"/>
            <w:tcBorders>
              <w:top w:val="nil"/>
            </w:tcBorders>
          </w:tcPr>
          <w:p w14:paraId="730F3D99"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tcBorders>
            <w:noWrap/>
          </w:tcPr>
          <w:p w14:paraId="2ABB0D45"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miR-375</w:t>
            </w:r>
          </w:p>
        </w:tc>
        <w:tc>
          <w:tcPr>
            <w:tcW w:w="717" w:type="dxa"/>
            <w:tcBorders>
              <w:top w:val="nil"/>
            </w:tcBorders>
            <w:noWrap/>
          </w:tcPr>
          <w:p w14:paraId="64F8DF1D"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717" w:type="dxa"/>
            <w:tcBorders>
              <w:top w:val="nil"/>
            </w:tcBorders>
            <w:noWrap/>
          </w:tcPr>
          <w:p w14:paraId="3A944D9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550" w:type="dxa"/>
            <w:tcBorders>
              <w:top w:val="nil"/>
            </w:tcBorders>
            <w:noWrap/>
          </w:tcPr>
          <w:p w14:paraId="6670EBC6"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72" w:type="dxa"/>
            <w:tcBorders>
              <w:top w:val="nil"/>
            </w:tcBorders>
            <w:noWrap/>
          </w:tcPr>
          <w:p w14:paraId="1511EFF0"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83" w:type="dxa"/>
            <w:tcBorders>
              <w:top w:val="nil"/>
            </w:tcBorders>
            <w:noWrap/>
          </w:tcPr>
          <w:p w14:paraId="6C2E77F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83" w:type="dxa"/>
            <w:tcBorders>
              <w:top w:val="nil"/>
            </w:tcBorders>
            <w:noWrap/>
          </w:tcPr>
          <w:p w14:paraId="4DBD3E42"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650" w:type="dxa"/>
            <w:tcBorders>
              <w:top w:val="nil"/>
            </w:tcBorders>
          </w:tcPr>
          <w:p w14:paraId="700A49CF"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0.77</w:t>
            </w:r>
          </w:p>
        </w:tc>
      </w:tr>
    </w:tbl>
    <w:bookmarkEnd w:id="0"/>
    <w:p w14:paraId="472FAD4D" w14:textId="27189431" w:rsidR="001058A7" w:rsidRPr="00F21EDD" w:rsidRDefault="00F21EDD" w:rsidP="00441B6F">
      <w:pPr>
        <w:tabs>
          <w:tab w:val="left" w:pos="1080"/>
        </w:tabs>
        <w:jc w:val="both"/>
        <w:rPr>
          <w:rFonts w:ascii="Arial" w:hAnsi="Arial"/>
          <w:bCs/>
          <w:i/>
          <w:iCs/>
          <w:sz w:val="18"/>
          <w:szCs w:val="18"/>
        </w:rPr>
      </w:pPr>
      <w:r w:rsidRPr="00F21EDD">
        <w:rPr>
          <w:rFonts w:ascii="Arial" w:hAnsi="Arial"/>
          <w:bCs/>
          <w:i/>
          <w:iCs/>
          <w:sz w:val="18"/>
          <w:szCs w:val="18"/>
        </w:rPr>
        <w:t>*Abbreviations: U: Unspecified; BPH: patients with Benign Prostate Disease; HP: Healthy People; TP: True Positive; FP: False Positive; FN: False Negative; TN: True Negative; SEN: Sensitivity; SPE: Specificity.</w:t>
      </w:r>
    </w:p>
    <w:p w14:paraId="6D5A4DB0" w14:textId="77777777" w:rsidR="001058A7" w:rsidRPr="00F21EDD" w:rsidRDefault="001058A7" w:rsidP="00441B6F">
      <w:pPr>
        <w:tabs>
          <w:tab w:val="left" w:pos="1080"/>
        </w:tabs>
        <w:jc w:val="both"/>
        <w:rPr>
          <w:rFonts w:ascii="Arial" w:hAnsi="Arial"/>
          <w:b/>
          <w:i/>
          <w:iCs/>
          <w:sz w:val="18"/>
          <w:szCs w:val="18"/>
        </w:rPr>
      </w:pPr>
    </w:p>
    <w:p w14:paraId="45A0841D" w14:textId="77777777" w:rsidR="001058A7" w:rsidRDefault="001058A7" w:rsidP="00441B6F">
      <w:pPr>
        <w:tabs>
          <w:tab w:val="left" w:pos="1080"/>
        </w:tabs>
        <w:jc w:val="both"/>
        <w:rPr>
          <w:rFonts w:ascii="Arial" w:hAnsi="Arial"/>
          <w:b/>
        </w:rPr>
      </w:pPr>
    </w:p>
    <w:p w14:paraId="36117DC7" w14:textId="77777777" w:rsidR="001058A7" w:rsidRDefault="001058A7" w:rsidP="00441B6F">
      <w:pPr>
        <w:pStyle w:val="ConcHead"/>
        <w:spacing w:after="0"/>
        <w:jc w:val="both"/>
        <w:rPr>
          <w:rFonts w:ascii="Arial" w:hAnsi="Arial" w:cs="Arial"/>
        </w:rPr>
        <w:sectPr w:rsidR="001058A7" w:rsidSect="00DA1151">
          <w:headerReference w:type="even" r:id="rId15"/>
          <w:headerReference w:type="default" r:id="rId16"/>
          <w:headerReference w:type="first" r:id="rId17"/>
          <w:type w:val="continuous"/>
          <w:pgSz w:w="15840" w:h="12240" w:orient="landscape"/>
          <w:pgMar w:top="2016" w:right="1440" w:bottom="2016" w:left="2016" w:header="720" w:footer="1123" w:gutter="0"/>
          <w:cols w:space="720"/>
          <w:docGrid w:linePitch="272"/>
        </w:sectPr>
      </w:pPr>
    </w:p>
    <w:p w14:paraId="5A7C8A50" w14:textId="77777777" w:rsidR="00F21EDD" w:rsidRPr="00FB3A86" w:rsidRDefault="00F21EDD" w:rsidP="00F21EDD">
      <w:pPr>
        <w:pStyle w:val="Body"/>
        <w:spacing w:after="0"/>
        <w:rPr>
          <w:rFonts w:ascii="Arial" w:hAnsi="Arial" w:cs="Arial"/>
        </w:rPr>
      </w:pPr>
    </w:p>
    <w:p w14:paraId="46510D1B" w14:textId="1369AA43" w:rsidR="00A00A98" w:rsidRDefault="00A00A98" w:rsidP="00B00B61">
      <w:pPr>
        <w:pStyle w:val="Body"/>
        <w:spacing w:after="0"/>
        <w:rPr>
          <w:rFonts w:ascii="Arial" w:hAnsi="Arial" w:cs="Arial"/>
          <w:b/>
          <w:sz w:val="22"/>
          <w:szCs w:val="22"/>
        </w:rPr>
      </w:pPr>
      <w:r w:rsidRPr="00A00A98">
        <w:rPr>
          <w:rFonts w:ascii="Arial" w:hAnsi="Arial" w:cs="Arial"/>
          <w:b/>
          <w:caps/>
          <w:sz w:val="22"/>
        </w:rPr>
        <w:t>3.2.</w:t>
      </w:r>
      <w:r w:rsidR="00B00B61">
        <w:rPr>
          <w:rFonts w:ascii="Arial" w:hAnsi="Arial" w:cs="Arial"/>
          <w:b/>
          <w:caps/>
          <w:sz w:val="22"/>
        </w:rPr>
        <w:t xml:space="preserve">  </w:t>
      </w:r>
      <w:r w:rsidR="00B00B61" w:rsidRPr="00B00B61">
        <w:rPr>
          <w:rFonts w:ascii="Arial" w:hAnsi="Arial" w:cs="Arial"/>
          <w:b/>
          <w:sz w:val="22"/>
          <w:szCs w:val="22"/>
        </w:rPr>
        <w:t>Methodological Quality Assessment</w:t>
      </w:r>
      <w:r w:rsidR="00B00B61">
        <w:rPr>
          <w:rFonts w:ascii="Arial" w:hAnsi="Arial" w:cs="Arial"/>
          <w:b/>
          <w:sz w:val="22"/>
          <w:szCs w:val="22"/>
        </w:rPr>
        <w:t xml:space="preserve">   </w:t>
      </w:r>
    </w:p>
    <w:p w14:paraId="65768AF1" w14:textId="77777777" w:rsidR="00B00B61" w:rsidRDefault="00B00B61" w:rsidP="00B00B61">
      <w:pPr>
        <w:pStyle w:val="Body"/>
        <w:spacing w:after="0"/>
        <w:rPr>
          <w:rFonts w:ascii="Arial" w:hAnsi="Arial" w:cs="Arial"/>
        </w:rPr>
      </w:pPr>
    </w:p>
    <w:p w14:paraId="4A90015C" w14:textId="5A40B406" w:rsidR="00A00A98" w:rsidRPr="00A00A98" w:rsidRDefault="00A00A98" w:rsidP="00B00B61">
      <w:pPr>
        <w:pStyle w:val="Body"/>
        <w:spacing w:after="0"/>
        <w:rPr>
          <w:rFonts w:ascii="Arial" w:hAnsi="Arial" w:cs="Arial"/>
        </w:rPr>
      </w:pPr>
      <w:r w:rsidRPr="00A00A98">
        <w:rPr>
          <w:rFonts w:ascii="Arial" w:hAnsi="Arial" w:cs="Arial"/>
        </w:rPr>
        <w:t>Study quality was evaluated using the QUADAS-2 tool (</w:t>
      </w:r>
      <w:r w:rsidRPr="00A00A98">
        <w:rPr>
          <w:rFonts w:ascii="Arial" w:hAnsi="Arial" w:cs="Arial"/>
          <w:b/>
          <w:bCs/>
        </w:rPr>
        <w:t>Fig. 2A</w:t>
      </w:r>
      <w:r w:rsidRPr="00A00A98">
        <w:rPr>
          <w:rFonts w:ascii="Arial" w:hAnsi="Arial" w:cs="Arial"/>
        </w:rPr>
        <w:t xml:space="preserve">), with individual study risk of bias presented in </w:t>
      </w:r>
      <w:r w:rsidRPr="00A00A98">
        <w:rPr>
          <w:rFonts w:ascii="Arial" w:hAnsi="Arial" w:cs="Arial"/>
          <w:b/>
          <w:bCs/>
        </w:rPr>
        <w:t>Fig. 2B</w:t>
      </w:r>
      <w:r w:rsidRPr="00A00A98">
        <w:rPr>
          <w:rFonts w:ascii="Arial" w:hAnsi="Arial" w:cs="Arial"/>
        </w:rPr>
        <w:t>. The QUADAS-2 assessment demonstrated:</w:t>
      </w:r>
      <w:r>
        <w:rPr>
          <w:rFonts w:ascii="Arial" w:hAnsi="Arial" w:cs="Arial"/>
        </w:rPr>
        <w:t xml:space="preserve"> l</w:t>
      </w:r>
      <w:r w:rsidRPr="00A00A98">
        <w:rPr>
          <w:rFonts w:ascii="Arial" w:hAnsi="Arial" w:cs="Arial"/>
        </w:rPr>
        <w:t>ow risk of bias in &gt;80% of studies for reference standard and flow/timing domains</w:t>
      </w:r>
      <w:r>
        <w:rPr>
          <w:rFonts w:ascii="Arial" w:hAnsi="Arial" w:cs="Arial"/>
        </w:rPr>
        <w:t>; m</w:t>
      </w:r>
      <w:r w:rsidRPr="00A00A98">
        <w:rPr>
          <w:rFonts w:ascii="Arial" w:hAnsi="Arial" w:cs="Arial"/>
        </w:rPr>
        <w:t>inimal applicability concerns (&lt;15% of studies) across all evaluation domains (</w:t>
      </w:r>
      <w:r w:rsidRPr="00A00A98">
        <w:rPr>
          <w:rFonts w:ascii="Arial" w:hAnsi="Arial" w:cs="Arial"/>
          <w:b/>
          <w:bCs/>
        </w:rPr>
        <w:t>Fig.</w:t>
      </w:r>
      <w:r w:rsidRPr="00A00A98">
        <w:rPr>
          <w:rFonts w:ascii="Arial" w:hAnsi="Arial" w:cs="Arial"/>
        </w:rPr>
        <w:t xml:space="preserve"> </w:t>
      </w:r>
      <w:r w:rsidRPr="00A00A98">
        <w:rPr>
          <w:rFonts w:ascii="Arial" w:hAnsi="Arial" w:cs="Arial"/>
          <w:b/>
          <w:bCs/>
        </w:rPr>
        <w:t>2A-B</w:t>
      </w:r>
      <w:r w:rsidRPr="00A00A98">
        <w:rPr>
          <w:rFonts w:ascii="Arial" w:hAnsi="Arial" w:cs="Arial"/>
        </w:rPr>
        <w:t>).</w:t>
      </w:r>
    </w:p>
    <w:p w14:paraId="11910968" w14:textId="77777777" w:rsidR="00A00A98" w:rsidRDefault="00A00A98" w:rsidP="00A00A98">
      <w:pPr>
        <w:pStyle w:val="Body"/>
        <w:spacing w:after="0"/>
        <w:rPr>
          <w:rFonts w:ascii="Arial" w:hAnsi="Arial" w:cs="Arial"/>
        </w:rPr>
      </w:pPr>
      <w:r w:rsidRPr="00A00A98">
        <w:rPr>
          <w:rFonts w:ascii="Arial" w:hAnsi="Arial" w:cs="Arial"/>
        </w:rPr>
        <w:t>No studies were excluded based on QUADAS-2 results to maintain comprehensive evidence synthesis.</w:t>
      </w:r>
    </w:p>
    <w:p w14:paraId="79358998" w14:textId="320D5B51" w:rsidR="00A00A98" w:rsidRDefault="00A00A98" w:rsidP="00A00A98">
      <w:pPr>
        <w:pStyle w:val="Body"/>
        <w:spacing w:after="0"/>
        <w:rPr>
          <w:rFonts w:ascii="Arial" w:hAnsi="Arial" w:cs="Arial"/>
        </w:rPr>
      </w:pPr>
      <w:r>
        <w:rPr>
          <w:noProof/>
        </w:rPr>
        <w:drawing>
          <wp:inline distT="0" distB="0" distL="0" distR="0" wp14:anchorId="17AF5EE0" wp14:editId="096037B0">
            <wp:extent cx="2922008" cy="864000"/>
            <wp:effectExtent l="0" t="0" r="0" b="0"/>
            <wp:docPr id="104857490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2008" cy="864000"/>
                    </a:xfrm>
                    <a:prstGeom prst="rect">
                      <a:avLst/>
                    </a:prstGeom>
                    <a:noFill/>
                    <a:ln>
                      <a:noFill/>
                    </a:ln>
                  </pic:spPr>
                </pic:pic>
              </a:graphicData>
            </a:graphic>
          </wp:inline>
        </w:drawing>
      </w:r>
      <w:r>
        <w:rPr>
          <w:rFonts w:ascii="Arial" w:hAnsi="Arial" w:cs="Arial"/>
        </w:rPr>
        <w:t xml:space="preserve"> </w:t>
      </w:r>
      <w:r>
        <w:rPr>
          <w:noProof/>
        </w:rPr>
        <w:drawing>
          <wp:inline distT="0" distB="0" distL="0" distR="0" wp14:anchorId="7198A01E" wp14:editId="311B68B4">
            <wp:extent cx="2093343" cy="5976000"/>
            <wp:effectExtent l="0" t="0" r="0" b="0"/>
            <wp:docPr id="614019766" name="Image 4" descr="Une image contenant texte,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019766" name="Image 4" descr="Une image contenant texte, capture d’écran, conception&#10;&#10;Le contenu généré par l’IA peut êtr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3343" cy="5976000"/>
                    </a:xfrm>
                    <a:prstGeom prst="rect">
                      <a:avLst/>
                    </a:prstGeom>
                    <a:noFill/>
                    <a:ln>
                      <a:noFill/>
                    </a:ln>
                  </pic:spPr>
                </pic:pic>
              </a:graphicData>
            </a:graphic>
          </wp:inline>
        </w:drawing>
      </w:r>
    </w:p>
    <w:p w14:paraId="4532655E" w14:textId="77777777" w:rsidR="00B00B61" w:rsidRDefault="00B00B61" w:rsidP="00B00B61">
      <w:pPr>
        <w:pStyle w:val="Body"/>
        <w:spacing w:after="0"/>
        <w:rPr>
          <w:rFonts w:ascii="Arial" w:hAnsi="Arial" w:cs="Arial"/>
          <w:b/>
          <w:bCs/>
          <w:szCs w:val="22"/>
        </w:rPr>
      </w:pPr>
    </w:p>
    <w:p w14:paraId="6117B972" w14:textId="1A30DEF5" w:rsidR="00B00B61" w:rsidRDefault="00A00A98" w:rsidP="00B00B61">
      <w:pPr>
        <w:pStyle w:val="Body"/>
        <w:spacing w:after="0"/>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sidR="00B00B61">
        <w:rPr>
          <w:rFonts w:ascii="Arial" w:hAnsi="Arial" w:cs="Arial"/>
          <w:b/>
          <w:bCs/>
          <w:szCs w:val="22"/>
        </w:rPr>
        <w:t>2</w:t>
      </w:r>
      <w:r>
        <w:rPr>
          <w:rFonts w:ascii="Arial" w:hAnsi="Arial" w:cs="Arial"/>
          <w:b/>
          <w:bCs/>
          <w:szCs w:val="22"/>
        </w:rPr>
        <w:t xml:space="preserve">. </w:t>
      </w:r>
      <w:r w:rsidR="00B00B61" w:rsidRPr="00B00B61">
        <w:rPr>
          <w:rFonts w:ascii="Arial" w:hAnsi="Arial" w:cs="Arial"/>
          <w:b/>
          <w:bCs/>
          <w:szCs w:val="22"/>
        </w:rPr>
        <w:t>QUADAS assessment for eligible studies</w:t>
      </w:r>
      <w:r w:rsidR="00CC63E9">
        <w:rPr>
          <w:rFonts w:ascii="Arial" w:hAnsi="Arial" w:cs="Arial"/>
          <w:b/>
          <w:bCs/>
          <w:szCs w:val="22"/>
        </w:rPr>
        <w:t xml:space="preserve"> </w:t>
      </w:r>
    </w:p>
    <w:p w14:paraId="175E5F30" w14:textId="3CF66FF1" w:rsidR="00F21EDD" w:rsidRPr="00B00B61" w:rsidRDefault="00B00B61" w:rsidP="00B00B61">
      <w:pPr>
        <w:pStyle w:val="Body"/>
        <w:rPr>
          <w:rFonts w:ascii="Arial" w:hAnsi="Arial" w:cs="Arial"/>
          <w:i/>
          <w:iCs/>
          <w:sz w:val="18"/>
          <w:szCs w:val="18"/>
        </w:rPr>
      </w:pPr>
      <w:r w:rsidRPr="00B00B61">
        <w:rPr>
          <w:rFonts w:ascii="Arial" w:hAnsi="Arial" w:cs="Arial"/>
          <w:i/>
          <w:iCs/>
          <w:sz w:val="18"/>
          <w:szCs w:val="18"/>
        </w:rPr>
        <w:t>(</w:t>
      </w:r>
      <w:r w:rsidRPr="00B00B61">
        <w:rPr>
          <w:rFonts w:ascii="Arial" w:hAnsi="Arial" w:cs="Arial"/>
          <w:b/>
          <w:bCs/>
          <w:i/>
          <w:iCs/>
          <w:sz w:val="18"/>
          <w:szCs w:val="18"/>
        </w:rPr>
        <w:t>A</w:t>
      </w:r>
      <w:r w:rsidRPr="00B00B61">
        <w:rPr>
          <w:rFonts w:ascii="Arial" w:hAnsi="Arial" w:cs="Arial"/>
          <w:i/>
          <w:iCs/>
          <w:sz w:val="18"/>
          <w:szCs w:val="18"/>
        </w:rPr>
        <w:t>) Risk of bias and applicability concerns summary. (</w:t>
      </w:r>
      <w:r w:rsidRPr="00B00B61">
        <w:rPr>
          <w:rFonts w:ascii="Arial" w:hAnsi="Arial" w:cs="Arial"/>
          <w:b/>
          <w:bCs/>
          <w:i/>
          <w:iCs/>
          <w:sz w:val="18"/>
          <w:szCs w:val="18"/>
        </w:rPr>
        <w:t>B</w:t>
      </w:r>
      <w:r w:rsidRPr="00B00B61">
        <w:rPr>
          <w:rFonts w:ascii="Arial" w:hAnsi="Arial" w:cs="Arial"/>
          <w:i/>
          <w:iCs/>
          <w:sz w:val="18"/>
          <w:szCs w:val="18"/>
        </w:rPr>
        <w:t>) Risk of bias and applicability concerns each included study.</w:t>
      </w:r>
      <w:r w:rsidR="00CC63E9">
        <w:rPr>
          <w:rFonts w:ascii="Arial" w:hAnsi="Arial" w:cs="Arial"/>
          <w:i/>
          <w:iCs/>
          <w:sz w:val="18"/>
          <w:szCs w:val="18"/>
        </w:rPr>
        <w:t xml:space="preserve"> </w:t>
      </w:r>
    </w:p>
    <w:p w14:paraId="68716804" w14:textId="492F1912" w:rsidR="00B00B61" w:rsidRDefault="00B00B61" w:rsidP="00B00B61">
      <w:pPr>
        <w:pStyle w:val="Body"/>
        <w:spacing w:after="0"/>
        <w:rPr>
          <w:rFonts w:ascii="Arial" w:hAnsi="Arial" w:cs="Arial"/>
          <w:b/>
          <w:sz w:val="22"/>
          <w:szCs w:val="22"/>
        </w:rPr>
      </w:pPr>
      <w:r w:rsidRPr="00B00B61">
        <w:rPr>
          <w:rFonts w:ascii="Arial" w:hAnsi="Arial" w:cs="Arial"/>
          <w:b/>
          <w:sz w:val="22"/>
          <w:szCs w:val="22"/>
        </w:rPr>
        <w:lastRenderedPageBreak/>
        <w:t>3.3.</w:t>
      </w:r>
      <w:r w:rsidRPr="00B00B61">
        <w:rPr>
          <w:rFonts w:ascii="Arial" w:hAnsi="Arial" w:cs="Arial"/>
          <w:b/>
          <w:sz w:val="22"/>
          <w:szCs w:val="22"/>
        </w:rPr>
        <w:tab/>
        <w:t>Diagnostic Performance of Circulating miRNA Profiling (miR-21, miR-141, and miR-375) in Prostate Cancer</w:t>
      </w:r>
    </w:p>
    <w:p w14:paraId="4351B583" w14:textId="77777777" w:rsidR="00A00A98" w:rsidRDefault="00A00A98" w:rsidP="00F21EDD">
      <w:pPr>
        <w:pStyle w:val="Body"/>
        <w:spacing w:after="0"/>
        <w:rPr>
          <w:rFonts w:ascii="Arial" w:hAnsi="Arial" w:cs="Arial"/>
        </w:rPr>
      </w:pPr>
    </w:p>
    <w:p w14:paraId="1A766837" w14:textId="1837ECF0" w:rsidR="00F21EDD" w:rsidRDefault="00F21EDD" w:rsidP="00F21EDD">
      <w:pPr>
        <w:pStyle w:val="Body"/>
        <w:spacing w:after="0"/>
        <w:rPr>
          <w:rFonts w:ascii="Arial" w:hAnsi="Arial" w:cs="Arial"/>
          <w:b/>
          <w:u w:val="single"/>
        </w:rPr>
      </w:pPr>
      <w:r>
        <w:rPr>
          <w:rFonts w:ascii="Arial" w:hAnsi="Arial" w:cs="Arial"/>
          <w:b/>
          <w:u w:val="single"/>
        </w:rPr>
        <w:t>3</w:t>
      </w:r>
      <w:r w:rsidRPr="00902823">
        <w:rPr>
          <w:rFonts w:ascii="Arial" w:hAnsi="Arial" w:cs="Arial"/>
          <w:b/>
          <w:u w:val="single"/>
        </w:rPr>
        <w:t>.</w:t>
      </w:r>
      <w:r w:rsidR="00B00B61">
        <w:rPr>
          <w:rFonts w:ascii="Arial" w:hAnsi="Arial" w:cs="Arial"/>
          <w:b/>
          <w:u w:val="single"/>
        </w:rPr>
        <w:t xml:space="preserve">3.1. </w:t>
      </w:r>
      <w:r w:rsidR="00B00B61" w:rsidRPr="00B00B61">
        <w:rPr>
          <w:rFonts w:ascii="Arial" w:hAnsi="Arial" w:cs="Arial"/>
          <w:b/>
          <w:u w:val="single"/>
        </w:rPr>
        <w:t>Diagnostic Value of miR-21 for Prostate Cancer</w:t>
      </w:r>
      <w:r w:rsidR="00B00B61">
        <w:rPr>
          <w:rFonts w:ascii="Arial" w:hAnsi="Arial" w:cs="Arial"/>
          <w:b/>
          <w:u w:val="single"/>
        </w:rPr>
        <w:t xml:space="preserve">  </w:t>
      </w:r>
    </w:p>
    <w:p w14:paraId="25E5C93A" w14:textId="77777777" w:rsidR="00B00B61" w:rsidRDefault="00B00B61" w:rsidP="00F21EDD">
      <w:pPr>
        <w:pStyle w:val="Body"/>
        <w:spacing w:after="0"/>
        <w:rPr>
          <w:rFonts w:ascii="Arial" w:hAnsi="Arial" w:cs="Arial"/>
        </w:rPr>
      </w:pPr>
    </w:p>
    <w:p w14:paraId="45081EE1" w14:textId="0EFA46B9" w:rsidR="00B00B61" w:rsidRPr="00B00B61" w:rsidRDefault="00B00B61" w:rsidP="00B00B61">
      <w:pPr>
        <w:pStyle w:val="Body"/>
        <w:rPr>
          <w:rFonts w:ascii="Arial" w:hAnsi="Arial" w:cs="Arial"/>
        </w:rPr>
      </w:pPr>
      <w:r w:rsidRPr="00B00B61">
        <w:rPr>
          <w:rFonts w:ascii="Arial" w:hAnsi="Arial" w:cs="Arial"/>
        </w:rPr>
        <w:t xml:space="preserve">The meta-analysis of sensitivity and specificity estimates from twelve eligible studies investigating miR-21 (n=1,277 participants) revealed significant heterogeneity (I²=94.38% for sensitivity, I²=64.62% for specificity, </w:t>
      </w:r>
      <w:r w:rsidRPr="00B00B61">
        <w:rPr>
          <w:rFonts w:ascii="Arial" w:hAnsi="Arial" w:cs="Arial"/>
          <w:i/>
          <w:iCs/>
        </w:rPr>
        <w:t>P</w:t>
      </w:r>
      <w:r w:rsidRPr="00B00B61">
        <w:rPr>
          <w:rFonts w:ascii="Arial" w:hAnsi="Arial" w:cs="Arial"/>
        </w:rPr>
        <w:t xml:space="preserve">&lt;.001), as shown in </w:t>
      </w:r>
      <w:r w:rsidRPr="00607B6A">
        <w:rPr>
          <w:rFonts w:ascii="Arial" w:hAnsi="Arial" w:cs="Arial"/>
          <w:b/>
          <w:bCs/>
        </w:rPr>
        <w:t>Fig</w:t>
      </w:r>
      <w:r w:rsidR="00607B6A">
        <w:rPr>
          <w:rFonts w:ascii="Arial" w:hAnsi="Arial" w:cs="Arial"/>
          <w:b/>
          <w:bCs/>
        </w:rPr>
        <w:t>.</w:t>
      </w:r>
      <w:r w:rsidRPr="00607B6A">
        <w:rPr>
          <w:rFonts w:ascii="Arial" w:hAnsi="Arial" w:cs="Arial"/>
          <w:b/>
          <w:bCs/>
        </w:rPr>
        <w:t xml:space="preserve"> 3A</w:t>
      </w:r>
      <w:r w:rsidRPr="00B00B61">
        <w:rPr>
          <w:rFonts w:ascii="Arial" w:hAnsi="Arial" w:cs="Arial"/>
        </w:rPr>
        <w:t>. The forest plot of paired ROC curves is presented in the same figure. Overall analysis yielded a pooled sensitivity of 0.87 (95% CI: 0.76-0.94) and specificity of 0.86 (95% CI: 0.80-0.91), with an area under the ROC curve (AUC) of 0.92 (95% CI: 0.90-0.94) (</w:t>
      </w:r>
      <w:r w:rsidRPr="00B00B61">
        <w:rPr>
          <w:rFonts w:ascii="Arial" w:hAnsi="Arial" w:cs="Arial"/>
          <w:b/>
          <w:bCs/>
        </w:rPr>
        <w:t>Fig. 4A</w:t>
      </w:r>
      <w:r w:rsidRPr="00B00B61">
        <w:rPr>
          <w:rFonts w:ascii="Arial" w:hAnsi="Arial" w:cs="Arial"/>
        </w:rPr>
        <w:t xml:space="preserve">), indicating high diagnostic performance for miR-21 in prostate cancer detection. </w:t>
      </w:r>
    </w:p>
    <w:p w14:paraId="4B88CD29" w14:textId="644E90F5" w:rsidR="00F21EDD" w:rsidRDefault="00B00B61" w:rsidP="00B00B61">
      <w:pPr>
        <w:pStyle w:val="Body"/>
        <w:spacing w:after="0"/>
        <w:rPr>
          <w:rFonts w:ascii="Arial" w:hAnsi="Arial" w:cs="Arial"/>
        </w:rPr>
      </w:pPr>
      <w:r w:rsidRPr="00B00B61">
        <w:rPr>
          <w:rFonts w:ascii="Arial" w:hAnsi="Arial" w:cs="Arial"/>
        </w:rPr>
        <w:t>Based on the pooled estimates, the following likelihood ratios were calculated: a positive likelihood ratio (LR+) of 6.4 (95% CI: 4.3–9.6) and negative likelihood ratio (LR−) of 0.15 (95% CI: 0.08–0.29), yielding a diagnostic odds ratio (DOR) of 43 (95% CI: 19–100). Assuming a pre-test probability (prevalence) of 25%, the post-test probability of prostate cancer following a positive test result increased to approximately 68% (red line), while it decreased to about 5% following a negative test result (blue line) (</w:t>
      </w:r>
      <w:r w:rsidRPr="00B00B61">
        <w:rPr>
          <w:rFonts w:ascii="Arial" w:hAnsi="Arial" w:cs="Arial"/>
          <w:b/>
          <w:bCs/>
        </w:rPr>
        <w:t>Fig. 5A</w:t>
      </w:r>
      <w:r w:rsidRPr="00B00B61">
        <w:rPr>
          <w:rFonts w:ascii="Arial" w:hAnsi="Arial" w:cs="Arial"/>
        </w:rPr>
        <w:t>)</w:t>
      </w:r>
      <w:r w:rsidR="00607B6A">
        <w:rPr>
          <w:rFonts w:ascii="Arial" w:hAnsi="Arial" w:cs="Arial"/>
        </w:rPr>
        <w:t xml:space="preserve">.  </w:t>
      </w:r>
    </w:p>
    <w:p w14:paraId="241DEDFE" w14:textId="77777777" w:rsidR="00607B6A" w:rsidRDefault="00607B6A" w:rsidP="00B00B61">
      <w:pPr>
        <w:pStyle w:val="Body"/>
        <w:spacing w:after="0"/>
        <w:rPr>
          <w:rFonts w:ascii="Arial" w:hAnsi="Arial" w:cs="Arial"/>
        </w:rPr>
      </w:pPr>
    </w:p>
    <w:p w14:paraId="6385CC39" w14:textId="75E4FEC9" w:rsidR="00607B6A" w:rsidRDefault="00607B6A" w:rsidP="00607B6A">
      <w:pPr>
        <w:pStyle w:val="Body"/>
        <w:spacing w:after="0"/>
        <w:rPr>
          <w:rFonts w:ascii="Arial" w:hAnsi="Arial" w:cs="Arial"/>
          <w:b/>
          <w:u w:val="single"/>
        </w:rPr>
      </w:pPr>
      <w:r>
        <w:rPr>
          <w:rFonts w:ascii="Arial" w:hAnsi="Arial" w:cs="Arial"/>
          <w:b/>
          <w:u w:val="single"/>
        </w:rPr>
        <w:t xml:space="preserve">3.3.2. </w:t>
      </w:r>
      <w:r w:rsidRPr="00607B6A">
        <w:rPr>
          <w:rFonts w:ascii="Arial" w:hAnsi="Arial" w:cs="Arial"/>
          <w:b/>
          <w:u w:val="single"/>
        </w:rPr>
        <w:t>Diagnostic Performance of miR-141 in Prostate Cancer</w:t>
      </w:r>
      <w:r>
        <w:rPr>
          <w:rFonts w:ascii="Arial" w:hAnsi="Arial" w:cs="Arial"/>
          <w:b/>
          <w:u w:val="single"/>
        </w:rPr>
        <w:t xml:space="preserve">   </w:t>
      </w:r>
    </w:p>
    <w:p w14:paraId="14810D92" w14:textId="77777777" w:rsidR="00607B6A" w:rsidRDefault="00607B6A" w:rsidP="00B00B61">
      <w:pPr>
        <w:pStyle w:val="Body"/>
        <w:spacing w:after="0"/>
        <w:rPr>
          <w:rFonts w:ascii="Arial" w:hAnsi="Arial" w:cs="Arial"/>
        </w:rPr>
      </w:pPr>
    </w:p>
    <w:p w14:paraId="779FF26E" w14:textId="48076553" w:rsidR="00607B6A" w:rsidRPr="00607B6A" w:rsidRDefault="00607B6A" w:rsidP="00607B6A">
      <w:pPr>
        <w:pStyle w:val="Body"/>
        <w:rPr>
          <w:rFonts w:ascii="Arial" w:hAnsi="Arial" w:cs="Arial"/>
        </w:rPr>
      </w:pPr>
      <w:r w:rsidRPr="00607B6A">
        <w:rPr>
          <w:rFonts w:ascii="Arial" w:hAnsi="Arial" w:cs="Arial"/>
        </w:rPr>
        <w:t>Twelve studies involving 892 participants were included in the miR-141 analysis. The pooled sensitivity and specificity were estimated at 0.78 (95% CI: 0.67-0.86) and 0.87 (95% CI: 0.67-0.95), respectively, with an area under the ROC curve (AUC) of 0.87 (95% CI: 0.84-0.90) (</w:t>
      </w:r>
      <w:r w:rsidRPr="00607B6A">
        <w:rPr>
          <w:rFonts w:ascii="Arial" w:hAnsi="Arial" w:cs="Arial"/>
          <w:b/>
          <w:bCs/>
        </w:rPr>
        <w:t>Fig. 4B</w:t>
      </w:r>
      <w:r w:rsidRPr="00607B6A">
        <w:rPr>
          <w:rFonts w:ascii="Arial" w:hAnsi="Arial" w:cs="Arial"/>
        </w:rPr>
        <w:t xml:space="preserve">), indicating moderate to good diagnostic performance. Heterogeneity analysis revealed substantial variability across studies for both sensitivity (I² = 86.03%, </w:t>
      </w:r>
      <w:r w:rsidRPr="00607B6A">
        <w:rPr>
          <w:rFonts w:ascii="Arial" w:hAnsi="Arial" w:cs="Arial"/>
          <w:i/>
          <w:iCs/>
        </w:rPr>
        <w:t>P</w:t>
      </w:r>
      <w:r w:rsidRPr="00607B6A">
        <w:rPr>
          <w:rFonts w:ascii="Arial" w:hAnsi="Arial" w:cs="Arial"/>
        </w:rPr>
        <w:t xml:space="preserve"> &lt; .001) and specificity (I² = 81.03%, </w:t>
      </w:r>
      <w:r w:rsidRPr="00607B6A">
        <w:rPr>
          <w:rFonts w:ascii="Arial" w:hAnsi="Arial" w:cs="Arial"/>
          <w:i/>
          <w:iCs/>
        </w:rPr>
        <w:t>P</w:t>
      </w:r>
      <w:r w:rsidRPr="00607B6A">
        <w:rPr>
          <w:rFonts w:ascii="Arial" w:hAnsi="Arial" w:cs="Arial"/>
        </w:rPr>
        <w:t xml:space="preserve"> &lt; .001) (</w:t>
      </w:r>
      <w:r w:rsidRPr="00607B6A">
        <w:rPr>
          <w:rFonts w:ascii="Arial" w:hAnsi="Arial" w:cs="Arial"/>
          <w:b/>
          <w:bCs/>
        </w:rPr>
        <w:t>Fig. 3B</w:t>
      </w:r>
      <w:r w:rsidRPr="00607B6A">
        <w:rPr>
          <w:rFonts w:ascii="Arial" w:hAnsi="Arial" w:cs="Arial"/>
        </w:rPr>
        <w:t xml:space="preserve">). </w:t>
      </w:r>
    </w:p>
    <w:p w14:paraId="4E246B68" w14:textId="3D885F48" w:rsidR="00607B6A" w:rsidRDefault="00607B6A" w:rsidP="00607B6A">
      <w:pPr>
        <w:pStyle w:val="Body"/>
        <w:spacing w:after="0"/>
        <w:rPr>
          <w:rFonts w:ascii="Arial" w:hAnsi="Arial" w:cs="Arial"/>
        </w:rPr>
      </w:pPr>
      <w:r w:rsidRPr="00607B6A">
        <w:rPr>
          <w:rFonts w:ascii="Arial" w:hAnsi="Arial" w:cs="Arial"/>
        </w:rPr>
        <w:t>From the combined estimates, the pooled positive likelihood ratio (LR+) was 5.8 (95% CI: 2.1-15.9), while the negative likelihood ratio (LR-) was 0.25 (95% CI: 0.16-0.40), yielding a diagnostic odds ratio (DOR) of 23 (95% CI: 7-90). Assuming a pre-test probability of 25%, the post-test probability of prostate cancer following a positive test result increased to approximately 66% (red line), whereas a negative test result reduced the probability to about 8% (blue line) (</w:t>
      </w:r>
      <w:r w:rsidRPr="00607B6A">
        <w:rPr>
          <w:rFonts w:ascii="Arial" w:hAnsi="Arial" w:cs="Arial"/>
          <w:b/>
          <w:bCs/>
        </w:rPr>
        <w:t>Fig. 5B</w:t>
      </w:r>
      <w:r w:rsidRPr="00607B6A">
        <w:rPr>
          <w:rFonts w:ascii="Arial" w:hAnsi="Arial" w:cs="Arial"/>
        </w:rPr>
        <w:t>).</w:t>
      </w:r>
      <w:r>
        <w:rPr>
          <w:rFonts w:ascii="Arial" w:hAnsi="Arial" w:cs="Arial"/>
        </w:rPr>
        <w:t xml:space="preserve"> </w:t>
      </w:r>
    </w:p>
    <w:p w14:paraId="2E9EFE40" w14:textId="77777777" w:rsidR="00B00B61" w:rsidRDefault="00B00B61" w:rsidP="00B00B61">
      <w:pPr>
        <w:pStyle w:val="Body"/>
        <w:spacing w:after="0"/>
        <w:rPr>
          <w:rFonts w:ascii="Arial" w:hAnsi="Arial" w:cs="Arial"/>
        </w:rPr>
      </w:pPr>
    </w:p>
    <w:p w14:paraId="0722CCA9" w14:textId="1F47839F" w:rsidR="00607B6A" w:rsidRDefault="00607B6A" w:rsidP="00607B6A">
      <w:pPr>
        <w:pStyle w:val="Body"/>
        <w:spacing w:after="0"/>
        <w:rPr>
          <w:rFonts w:ascii="Arial" w:hAnsi="Arial" w:cs="Arial"/>
          <w:b/>
          <w:u w:val="single"/>
        </w:rPr>
      </w:pPr>
      <w:r>
        <w:rPr>
          <w:rFonts w:ascii="Arial" w:hAnsi="Arial" w:cs="Arial"/>
          <w:b/>
          <w:u w:val="single"/>
        </w:rPr>
        <w:t xml:space="preserve">3.3.3. </w:t>
      </w:r>
      <w:r w:rsidRPr="00607B6A">
        <w:rPr>
          <w:rFonts w:ascii="Arial" w:hAnsi="Arial" w:cs="Arial"/>
          <w:b/>
          <w:u w:val="single"/>
        </w:rPr>
        <w:t>Diagnostic Performance of miR-375 in Prostate Cancer</w:t>
      </w:r>
      <w:r>
        <w:rPr>
          <w:rFonts w:ascii="Arial" w:hAnsi="Arial" w:cs="Arial"/>
          <w:b/>
          <w:u w:val="single"/>
        </w:rPr>
        <w:t xml:space="preserve">   </w:t>
      </w:r>
    </w:p>
    <w:p w14:paraId="531374AE" w14:textId="77777777" w:rsidR="00607B6A" w:rsidRDefault="00607B6A" w:rsidP="00607B6A">
      <w:pPr>
        <w:pStyle w:val="Body"/>
        <w:spacing w:after="0"/>
        <w:rPr>
          <w:rFonts w:ascii="Arial" w:hAnsi="Arial" w:cs="Arial"/>
          <w:b/>
          <w:u w:val="single"/>
        </w:rPr>
      </w:pPr>
    </w:p>
    <w:p w14:paraId="5905E601" w14:textId="1AB46A99" w:rsidR="00607B6A" w:rsidRPr="00607B6A" w:rsidRDefault="00607B6A" w:rsidP="00607B6A">
      <w:pPr>
        <w:pStyle w:val="Body"/>
        <w:rPr>
          <w:rFonts w:ascii="Arial" w:hAnsi="Arial" w:cs="Arial"/>
        </w:rPr>
      </w:pPr>
      <w:r w:rsidRPr="00607B6A">
        <w:rPr>
          <w:rFonts w:ascii="Arial" w:hAnsi="Arial" w:cs="Arial"/>
        </w:rPr>
        <w:t>Eleven studies involving 1,095 participants were included for miR-375 analysis. The combined estimates demonstrated a sensitivity of 0.76 (95% CI: 0.58-0.88) and specificity of 0.84 (95% CI: 0.73-0.92), with an area under the ROC curve (AUC) of 0.88 (95% CI: 0.85-0.90) (</w:t>
      </w:r>
      <w:r w:rsidRPr="00607B6A">
        <w:rPr>
          <w:rFonts w:ascii="Arial" w:hAnsi="Arial" w:cs="Arial"/>
          <w:b/>
          <w:bCs/>
        </w:rPr>
        <w:t>Fig</w:t>
      </w:r>
      <w:r>
        <w:rPr>
          <w:rFonts w:ascii="Arial" w:hAnsi="Arial" w:cs="Arial"/>
          <w:b/>
          <w:bCs/>
        </w:rPr>
        <w:t>.</w:t>
      </w:r>
      <w:r w:rsidRPr="00607B6A">
        <w:rPr>
          <w:rFonts w:ascii="Arial" w:hAnsi="Arial" w:cs="Arial"/>
          <w:b/>
          <w:bCs/>
        </w:rPr>
        <w:t xml:space="preserve"> 4C</w:t>
      </w:r>
      <w:r w:rsidRPr="00607B6A">
        <w:rPr>
          <w:rFonts w:ascii="Arial" w:hAnsi="Arial" w:cs="Arial"/>
        </w:rPr>
        <w:t xml:space="preserve">), indicating moderate overall diagnostic accuracy. Considerable heterogeneity was observed for both sensitivity (I² = 93.73%, </w:t>
      </w:r>
      <w:r w:rsidRPr="00607B6A">
        <w:rPr>
          <w:rFonts w:ascii="Arial" w:hAnsi="Arial" w:cs="Arial"/>
          <w:i/>
          <w:iCs/>
        </w:rPr>
        <w:t>P</w:t>
      </w:r>
      <w:r w:rsidRPr="00607B6A">
        <w:rPr>
          <w:rFonts w:ascii="Arial" w:hAnsi="Arial" w:cs="Arial"/>
        </w:rPr>
        <w:t xml:space="preserve"> &lt; .001) and specificity (I² = 91.71%, </w:t>
      </w:r>
      <w:r w:rsidRPr="00607B6A">
        <w:rPr>
          <w:rFonts w:ascii="Arial" w:hAnsi="Arial" w:cs="Arial"/>
          <w:i/>
          <w:iCs/>
        </w:rPr>
        <w:t>P</w:t>
      </w:r>
      <w:r w:rsidRPr="00607B6A">
        <w:rPr>
          <w:rFonts w:ascii="Arial" w:hAnsi="Arial" w:cs="Arial"/>
        </w:rPr>
        <w:t xml:space="preserve"> &lt; .001) (</w:t>
      </w:r>
      <w:r w:rsidRPr="00607B6A">
        <w:rPr>
          <w:rFonts w:ascii="Arial" w:hAnsi="Arial" w:cs="Arial"/>
          <w:b/>
          <w:bCs/>
        </w:rPr>
        <w:t>Fig</w:t>
      </w:r>
      <w:r>
        <w:rPr>
          <w:rFonts w:ascii="Arial" w:hAnsi="Arial" w:cs="Arial"/>
          <w:b/>
          <w:bCs/>
        </w:rPr>
        <w:t>.</w:t>
      </w:r>
      <w:r w:rsidRPr="00607B6A">
        <w:rPr>
          <w:rFonts w:ascii="Arial" w:hAnsi="Arial" w:cs="Arial"/>
          <w:b/>
          <w:bCs/>
        </w:rPr>
        <w:t xml:space="preserve"> 3C</w:t>
      </w:r>
      <w:r w:rsidRPr="00607B6A">
        <w:rPr>
          <w:rFonts w:ascii="Arial" w:hAnsi="Arial" w:cs="Arial"/>
        </w:rPr>
        <w:t>), suggesting substantial variability across the included studies.</w:t>
      </w:r>
    </w:p>
    <w:p w14:paraId="52558D3A" w14:textId="62F33A39" w:rsidR="00607B6A" w:rsidRDefault="00607B6A" w:rsidP="00607B6A">
      <w:pPr>
        <w:pStyle w:val="Body"/>
        <w:spacing w:after="0"/>
        <w:rPr>
          <w:rFonts w:ascii="Arial" w:hAnsi="Arial" w:cs="Arial"/>
        </w:rPr>
      </w:pPr>
      <w:r w:rsidRPr="00607B6A">
        <w:rPr>
          <w:rFonts w:ascii="Arial" w:hAnsi="Arial" w:cs="Arial"/>
        </w:rPr>
        <w:t>The pooled positive and negative likelihood ratios (LR+ and LR-) were 4.8 (95% CI: 2.9-8.2) and 0.29 (95% CI: 0.18-0.51) respectively, yielding a diagnostic odds ratio (DOR) of 17 (95% CI: 8-38). Using a pre-test probability (prevalence) of 25%, the post-test probability of prostate cancer following a positive test result increased to approximately 62% (red line), while a negative test result reduced the probability to about 9% (blue line) (</w:t>
      </w:r>
      <w:r w:rsidRPr="00607B6A">
        <w:rPr>
          <w:rFonts w:ascii="Arial" w:hAnsi="Arial" w:cs="Arial"/>
          <w:b/>
          <w:bCs/>
        </w:rPr>
        <w:t>Fi</w:t>
      </w:r>
      <w:r>
        <w:rPr>
          <w:rFonts w:ascii="Arial" w:hAnsi="Arial" w:cs="Arial"/>
          <w:b/>
          <w:bCs/>
        </w:rPr>
        <w:t>g.</w:t>
      </w:r>
      <w:r w:rsidRPr="00607B6A">
        <w:rPr>
          <w:rFonts w:ascii="Arial" w:hAnsi="Arial" w:cs="Arial"/>
          <w:b/>
          <w:bCs/>
        </w:rPr>
        <w:t xml:space="preserve"> 5C</w:t>
      </w:r>
      <w:r w:rsidRPr="00607B6A">
        <w:rPr>
          <w:rFonts w:ascii="Arial" w:hAnsi="Arial" w:cs="Arial"/>
        </w:rPr>
        <w:t>).</w:t>
      </w:r>
    </w:p>
    <w:p w14:paraId="6D495F5F" w14:textId="77777777" w:rsidR="00607B6A" w:rsidRDefault="00607B6A" w:rsidP="00607B6A">
      <w:pPr>
        <w:pStyle w:val="Body"/>
        <w:spacing w:after="0"/>
        <w:rPr>
          <w:rFonts w:ascii="Arial" w:hAnsi="Arial" w:cs="Arial"/>
          <w:b/>
          <w:u w:val="single"/>
        </w:rPr>
      </w:pPr>
    </w:p>
    <w:p w14:paraId="67AFE36A" w14:textId="77777777" w:rsidR="000A33EA" w:rsidRDefault="000A33EA" w:rsidP="00607B6A">
      <w:pPr>
        <w:pStyle w:val="Body"/>
        <w:spacing w:after="0"/>
        <w:rPr>
          <w:rFonts w:ascii="Arial" w:hAnsi="Arial" w:cs="Arial"/>
          <w:b/>
          <w:u w:val="single"/>
        </w:rPr>
      </w:pPr>
    </w:p>
    <w:p w14:paraId="5C31BEAB" w14:textId="77777777" w:rsidR="000A33EA" w:rsidRDefault="000A33EA" w:rsidP="00607B6A">
      <w:pPr>
        <w:pStyle w:val="Body"/>
        <w:spacing w:after="0"/>
        <w:rPr>
          <w:rFonts w:ascii="Arial" w:hAnsi="Arial" w:cs="Arial"/>
          <w:b/>
          <w:u w:val="single"/>
        </w:rPr>
      </w:pPr>
    </w:p>
    <w:p w14:paraId="205B127D" w14:textId="77777777" w:rsidR="00607B6A" w:rsidRDefault="00607B6A" w:rsidP="00607B6A">
      <w:pPr>
        <w:pStyle w:val="Body"/>
        <w:spacing w:after="0"/>
        <w:rPr>
          <w:rFonts w:ascii="Arial" w:hAnsi="Arial" w:cs="Arial"/>
          <w:b/>
          <w:u w:val="single"/>
        </w:rPr>
      </w:pPr>
    </w:p>
    <w:p w14:paraId="38282DC7" w14:textId="09EE8D21" w:rsidR="00607B6A" w:rsidRDefault="00607B6A" w:rsidP="00607B6A">
      <w:pPr>
        <w:pStyle w:val="Body"/>
        <w:spacing w:after="0"/>
        <w:rPr>
          <w:rFonts w:ascii="Arial" w:hAnsi="Arial" w:cs="Arial"/>
          <w:b/>
          <w:u w:val="single"/>
        </w:rPr>
      </w:pPr>
      <w:r>
        <w:rPr>
          <w:rFonts w:ascii="Arial" w:hAnsi="Arial" w:cs="Arial"/>
          <w:b/>
          <w:u w:val="single"/>
        </w:rPr>
        <w:lastRenderedPageBreak/>
        <w:t xml:space="preserve">3.3.4. </w:t>
      </w:r>
      <w:r w:rsidRPr="00607B6A">
        <w:rPr>
          <w:rFonts w:ascii="Arial" w:hAnsi="Arial" w:cs="Arial"/>
          <w:b/>
          <w:u w:val="single"/>
        </w:rPr>
        <w:t>Diagnostic Performance of Combined miR-21, miR-141, and miR-375</w:t>
      </w:r>
    </w:p>
    <w:p w14:paraId="78710774" w14:textId="77777777" w:rsidR="00607B6A" w:rsidRDefault="00607B6A" w:rsidP="00607B6A">
      <w:pPr>
        <w:pStyle w:val="Body"/>
        <w:spacing w:after="0"/>
        <w:rPr>
          <w:rFonts w:ascii="Arial" w:hAnsi="Arial" w:cs="Arial"/>
          <w:b/>
          <w:u w:val="single"/>
        </w:rPr>
      </w:pPr>
    </w:p>
    <w:p w14:paraId="0F82FBEF" w14:textId="1CA42D54" w:rsidR="00607B6A" w:rsidRDefault="00607B6A" w:rsidP="00607B6A">
      <w:pPr>
        <w:pStyle w:val="Body"/>
        <w:spacing w:after="0"/>
        <w:rPr>
          <w:rFonts w:ascii="Arial" w:hAnsi="Arial" w:cs="Arial"/>
        </w:rPr>
      </w:pPr>
      <w:r w:rsidRPr="00607B6A">
        <w:rPr>
          <w:rFonts w:ascii="Arial" w:hAnsi="Arial" w:cs="Arial"/>
        </w:rPr>
        <w:t xml:space="preserve">A meta-analysis of sensitivity and specificity estimates from all 27 eligible studies (n=2,697 participants) revealed significant between-study heterogeneity (I²=92.30% for sensitivity, I²=80.75% for specificity). ROC curve analysis for the three-miRNA panel demonstrated a pooled sensitivity of 0.82 (95% CI: 0.75-0.88) and specificity of 0.86 (95% CI: 0.81-0.90), with an AUC value of 0.91 (95% CI: 0.88-0.93; </w:t>
      </w:r>
      <w:r w:rsidRPr="00DD38EA">
        <w:rPr>
          <w:rFonts w:ascii="Arial" w:hAnsi="Arial" w:cs="Arial"/>
          <w:b/>
          <w:bCs/>
        </w:rPr>
        <w:t>Fi</w:t>
      </w:r>
      <w:r w:rsidR="00DD38EA" w:rsidRPr="00DD38EA">
        <w:rPr>
          <w:rFonts w:ascii="Arial" w:hAnsi="Arial" w:cs="Arial"/>
          <w:b/>
          <w:bCs/>
        </w:rPr>
        <w:t>g.</w:t>
      </w:r>
      <w:r w:rsidRPr="00DD38EA">
        <w:rPr>
          <w:rFonts w:ascii="Arial" w:hAnsi="Arial" w:cs="Arial"/>
          <w:b/>
          <w:bCs/>
        </w:rPr>
        <w:t xml:space="preserve"> 4C</w:t>
      </w:r>
      <w:r w:rsidRPr="00607B6A">
        <w:rPr>
          <w:rFonts w:ascii="Arial" w:hAnsi="Arial" w:cs="Arial"/>
        </w:rPr>
        <w:t>), indicating good overall diagnostic accuracy for the combined miRNA signature.</w:t>
      </w:r>
    </w:p>
    <w:p w14:paraId="752A75A5" w14:textId="77777777" w:rsidR="00607B6A" w:rsidRDefault="00607B6A" w:rsidP="00B00B61">
      <w:pPr>
        <w:pStyle w:val="Body"/>
        <w:spacing w:after="0"/>
        <w:rPr>
          <w:rFonts w:ascii="Arial" w:hAnsi="Arial" w:cs="Arial"/>
        </w:rPr>
      </w:pPr>
    </w:p>
    <w:p w14:paraId="0B66D3B9" w14:textId="57876576" w:rsidR="00607B6A" w:rsidRDefault="00607B6A" w:rsidP="00607B6A">
      <w:pPr>
        <w:pStyle w:val="Body"/>
        <w:spacing w:after="0"/>
        <w:rPr>
          <w:rFonts w:ascii="Arial" w:hAnsi="Arial" w:cs="Arial"/>
          <w:b/>
          <w:sz w:val="22"/>
          <w:szCs w:val="22"/>
        </w:rPr>
      </w:pPr>
      <w:r w:rsidRPr="00607B6A">
        <w:rPr>
          <w:rFonts w:ascii="Arial" w:hAnsi="Arial" w:cs="Arial"/>
          <w:b/>
          <w:sz w:val="22"/>
          <w:szCs w:val="22"/>
        </w:rPr>
        <w:t>3.4.</w:t>
      </w:r>
      <w:r w:rsidRPr="00607B6A">
        <w:rPr>
          <w:rFonts w:ascii="Arial" w:hAnsi="Arial" w:cs="Arial"/>
          <w:b/>
          <w:sz w:val="22"/>
          <w:szCs w:val="22"/>
        </w:rPr>
        <w:tab/>
        <w:t>Subgroup Analyses</w:t>
      </w:r>
      <w:r w:rsidR="00510C3B">
        <w:rPr>
          <w:rFonts w:ascii="Arial" w:hAnsi="Arial" w:cs="Arial"/>
          <w:b/>
          <w:sz w:val="22"/>
          <w:szCs w:val="22"/>
        </w:rPr>
        <w:t xml:space="preserve"> </w:t>
      </w:r>
    </w:p>
    <w:p w14:paraId="4AF5505A" w14:textId="77777777" w:rsidR="00607B6A" w:rsidRDefault="00607B6A" w:rsidP="00B00B61">
      <w:pPr>
        <w:pStyle w:val="Body"/>
        <w:spacing w:after="0"/>
        <w:rPr>
          <w:rFonts w:ascii="Arial" w:hAnsi="Arial" w:cs="Arial"/>
        </w:rPr>
      </w:pPr>
    </w:p>
    <w:p w14:paraId="56F08842" w14:textId="77777777" w:rsidR="00607B6A" w:rsidRPr="00607B6A" w:rsidRDefault="00607B6A" w:rsidP="00607B6A">
      <w:pPr>
        <w:pStyle w:val="Body"/>
        <w:rPr>
          <w:rFonts w:ascii="Arial" w:hAnsi="Arial" w:cs="Arial"/>
        </w:rPr>
      </w:pPr>
      <w:r w:rsidRPr="00607B6A">
        <w:rPr>
          <w:rFonts w:ascii="Arial" w:hAnsi="Arial" w:cs="Arial"/>
        </w:rPr>
        <w:t>We investigated potential sources of heterogeneity in the area under the ROC curve (AUC) through subgroup analyses stratified by sample type (serum, plasma, urine, whole blood) and control group composition (healthy men versus benign prostatic hyperplasia patients). These analyses identified these criteria as key heterogeneity factors in our meta-analysis.</w:t>
      </w:r>
    </w:p>
    <w:p w14:paraId="64A837B9" w14:textId="77777777" w:rsidR="00607B6A" w:rsidRPr="00607B6A" w:rsidRDefault="00607B6A" w:rsidP="00607B6A">
      <w:pPr>
        <w:pStyle w:val="Body"/>
        <w:rPr>
          <w:rFonts w:ascii="Arial" w:hAnsi="Arial" w:cs="Arial"/>
        </w:rPr>
      </w:pPr>
      <w:r w:rsidRPr="00607B6A">
        <w:rPr>
          <w:rFonts w:ascii="Arial" w:hAnsi="Arial" w:cs="Arial"/>
        </w:rPr>
        <w:t>Studies using plasma or whole blood showed marked variability (I² = 88.4% and 91.8%, respectively), contrasting with more homogeneous results from serum-based studies (I² = 51.0%). The inter-subgroup differences were statistically significant (</w:t>
      </w:r>
      <w:r w:rsidRPr="00DD38EA">
        <w:rPr>
          <w:rFonts w:ascii="Arial" w:hAnsi="Arial" w:cs="Arial"/>
          <w:i/>
          <w:iCs/>
        </w:rPr>
        <w:t>P</w:t>
      </w:r>
      <w:r w:rsidRPr="00607B6A">
        <w:rPr>
          <w:rFonts w:ascii="Arial" w:hAnsi="Arial" w:cs="Arial"/>
        </w:rPr>
        <w:t xml:space="preserve"> &lt; .001), indicating that sample type substantially influences miRNA diagnostic performance, particularly regarding AUC values. Notably, miRNA diagnostic value was highest in whole blood (AUC = 0.91), followed by serum (AUC = 0.86), underscoring the importance of standardizing biological sampling protocols to enhance reproducibility and reliability in future research (</w:t>
      </w:r>
      <w:r w:rsidRPr="00DD38EA">
        <w:rPr>
          <w:rFonts w:ascii="Arial" w:hAnsi="Arial" w:cs="Arial"/>
          <w:b/>
          <w:bCs/>
        </w:rPr>
        <w:t>Table 2</w:t>
      </w:r>
      <w:r w:rsidRPr="00607B6A">
        <w:rPr>
          <w:rFonts w:ascii="Arial" w:hAnsi="Arial" w:cs="Arial"/>
        </w:rPr>
        <w:t>).</w:t>
      </w:r>
    </w:p>
    <w:p w14:paraId="246E95B1" w14:textId="77777777" w:rsidR="00607B6A" w:rsidRPr="00607B6A" w:rsidRDefault="00607B6A" w:rsidP="00607B6A">
      <w:pPr>
        <w:pStyle w:val="Body"/>
        <w:rPr>
          <w:rFonts w:ascii="Arial" w:hAnsi="Arial" w:cs="Arial"/>
        </w:rPr>
      </w:pPr>
      <w:r w:rsidRPr="00607B6A">
        <w:rPr>
          <w:rFonts w:ascii="Arial" w:hAnsi="Arial" w:cs="Arial"/>
        </w:rPr>
        <w:t xml:space="preserve">Control group type (BPH versus healthy) emerged as another critical heterogeneity factor. Diagnostic performance showed significantly greater consistency with healthy controls (I² = 86.7%, </w:t>
      </w:r>
      <w:r w:rsidRPr="00DD38EA">
        <w:rPr>
          <w:rFonts w:ascii="Arial" w:hAnsi="Arial" w:cs="Arial"/>
          <w:i/>
          <w:iCs/>
        </w:rPr>
        <w:t>P</w:t>
      </w:r>
      <w:r w:rsidRPr="00607B6A">
        <w:rPr>
          <w:rFonts w:ascii="Arial" w:hAnsi="Arial" w:cs="Arial"/>
        </w:rPr>
        <w:t xml:space="preserve"> &lt; .001) compared to BPH controls (I² = 92.4%, </w:t>
      </w:r>
      <w:r w:rsidRPr="00DD38EA">
        <w:rPr>
          <w:rFonts w:ascii="Arial" w:hAnsi="Arial" w:cs="Arial"/>
          <w:i/>
          <w:iCs/>
        </w:rPr>
        <w:t>P</w:t>
      </w:r>
      <w:r w:rsidRPr="00607B6A">
        <w:rPr>
          <w:rFonts w:ascii="Arial" w:hAnsi="Arial" w:cs="Arial"/>
        </w:rPr>
        <w:t xml:space="preserve"> &lt; .001). While overall heterogeneity remained high (I² = 90.8%, </w:t>
      </w:r>
      <w:r w:rsidRPr="00DD38EA">
        <w:rPr>
          <w:rFonts w:ascii="Arial" w:hAnsi="Arial" w:cs="Arial"/>
          <w:i/>
          <w:iCs/>
        </w:rPr>
        <w:t xml:space="preserve">P </w:t>
      </w:r>
      <w:r w:rsidRPr="00607B6A">
        <w:rPr>
          <w:rFonts w:ascii="Arial" w:hAnsi="Arial" w:cs="Arial"/>
        </w:rPr>
        <w:t>&lt; .001), the subgroup stratification highlights the importance of control group selection for result robustness (</w:t>
      </w:r>
      <w:r w:rsidRPr="00DD38EA">
        <w:rPr>
          <w:rFonts w:ascii="Arial" w:hAnsi="Arial" w:cs="Arial"/>
          <w:b/>
          <w:bCs/>
        </w:rPr>
        <w:t>Table 2</w:t>
      </w:r>
      <w:r w:rsidRPr="00607B6A">
        <w:rPr>
          <w:rFonts w:ascii="Arial" w:hAnsi="Arial" w:cs="Arial"/>
        </w:rPr>
        <w:t>).</w:t>
      </w:r>
    </w:p>
    <w:p w14:paraId="417166D7" w14:textId="5D9EBDF2" w:rsidR="00607B6A" w:rsidRDefault="00607B6A" w:rsidP="00607B6A">
      <w:pPr>
        <w:pStyle w:val="Body"/>
        <w:spacing w:after="0"/>
        <w:rPr>
          <w:rFonts w:ascii="Arial" w:hAnsi="Arial" w:cs="Arial"/>
        </w:rPr>
      </w:pPr>
      <w:r w:rsidRPr="00607B6A">
        <w:rPr>
          <w:rFonts w:ascii="Arial" w:hAnsi="Arial" w:cs="Arial"/>
        </w:rPr>
        <w:t>This comprehensive analysis reveals that both sample matrix and control group selection substantially impact miRNA biomarker performance, with whole blood showing superior diagnostic potential despite its greater variability. These findings emphasize the need for standardized protocols in future translational studies to optimize the clinical utility of miRNA-based prostate cancer detection</w:t>
      </w:r>
      <w:r w:rsidR="00DD38EA">
        <w:rPr>
          <w:rFonts w:ascii="Arial" w:hAnsi="Arial" w:cs="Arial"/>
        </w:rPr>
        <w:t>.</w:t>
      </w:r>
    </w:p>
    <w:p w14:paraId="6C2B9019" w14:textId="77777777" w:rsidR="00DD38EA" w:rsidRDefault="00DD38EA" w:rsidP="00607B6A">
      <w:pPr>
        <w:pStyle w:val="Body"/>
        <w:spacing w:after="0"/>
        <w:rPr>
          <w:rFonts w:ascii="Arial" w:hAnsi="Arial" w:cs="Arial"/>
        </w:rPr>
      </w:pPr>
    </w:p>
    <w:p w14:paraId="064339DD" w14:textId="77777777" w:rsidR="00DD38EA" w:rsidRDefault="00DD38EA" w:rsidP="00DD38EA">
      <w:pPr>
        <w:tabs>
          <w:tab w:val="left" w:pos="1080"/>
        </w:tabs>
        <w:jc w:val="both"/>
        <w:rPr>
          <w:rFonts w:ascii="Arial" w:hAnsi="Arial"/>
          <w:b/>
        </w:rPr>
      </w:pPr>
      <w:r w:rsidRPr="00DD38EA">
        <w:rPr>
          <w:rFonts w:ascii="Arial" w:hAnsi="Arial"/>
          <w:b/>
        </w:rPr>
        <w:t>Table 2: Subgroup analyses by type of control and sample using AUC values (95% CI)</w:t>
      </w:r>
    </w:p>
    <w:p w14:paraId="4A70E6C1" w14:textId="77777777" w:rsidR="0000574D" w:rsidRDefault="0000574D" w:rsidP="00DD38EA">
      <w:pPr>
        <w:tabs>
          <w:tab w:val="left" w:pos="1080"/>
        </w:tabs>
        <w:jc w:val="both"/>
        <w:rPr>
          <w:rFonts w:ascii="Arial" w:hAnsi="Arial"/>
          <w:b/>
        </w:rPr>
      </w:pPr>
    </w:p>
    <w:tbl>
      <w:tblPr>
        <w:tblStyle w:val="PlainTable2"/>
        <w:tblW w:w="9162" w:type="dxa"/>
        <w:tblLook w:val="04A0" w:firstRow="1" w:lastRow="0" w:firstColumn="1" w:lastColumn="0" w:noHBand="0" w:noVBand="1"/>
      </w:tblPr>
      <w:tblGrid>
        <w:gridCol w:w="1630"/>
        <w:gridCol w:w="1390"/>
        <w:gridCol w:w="1465"/>
        <w:gridCol w:w="1381"/>
        <w:gridCol w:w="1550"/>
        <w:gridCol w:w="1746"/>
      </w:tblGrid>
      <w:tr w:rsidR="0000574D" w:rsidRPr="00B070D2" w14:paraId="4B276A5E" w14:textId="77777777" w:rsidTr="0000574D">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1660" w:type="dxa"/>
            <w:hideMark/>
          </w:tcPr>
          <w:p w14:paraId="13DDE76F" w14:textId="77777777" w:rsidR="0000574D" w:rsidRPr="00B070D2" w:rsidRDefault="0000574D" w:rsidP="004D593F">
            <w:pPr>
              <w:autoSpaceDE w:val="0"/>
              <w:autoSpaceDN w:val="0"/>
              <w:adjustRightInd w:val="0"/>
              <w:spacing w:line="360" w:lineRule="auto"/>
              <w:ind w:right="-283"/>
              <w:jc w:val="both"/>
              <w:rPr>
                <w:rFonts w:ascii="Arial" w:eastAsia="Times New Roman" w:hAnsi="Arial" w:cs="Arial"/>
                <w:b w:val="0"/>
                <w:bCs w:val="0"/>
                <w:sz w:val="20"/>
                <w:szCs w:val="20"/>
                <w:lang w:val="en-US" w:eastAsia="fr-FR"/>
              </w:rPr>
            </w:pPr>
            <w:bookmarkStart w:id="1" w:name="_Hlk201914220"/>
            <w:r w:rsidRPr="00B070D2">
              <w:rPr>
                <w:rFonts w:ascii="Arial" w:eastAsia="Times New Roman" w:hAnsi="Arial" w:cs="Arial"/>
                <w:sz w:val="20"/>
                <w:szCs w:val="20"/>
                <w:lang w:val="en-US" w:eastAsia="fr-FR"/>
              </w:rPr>
              <w:t>Category</w:t>
            </w:r>
          </w:p>
        </w:tc>
        <w:tc>
          <w:tcPr>
            <w:tcW w:w="1404" w:type="dxa"/>
            <w:hideMark/>
          </w:tcPr>
          <w:p w14:paraId="43045555" w14:textId="77777777" w:rsidR="0000574D" w:rsidRPr="00B070D2" w:rsidRDefault="0000574D" w:rsidP="004D593F">
            <w:pPr>
              <w:autoSpaceDE w:val="0"/>
              <w:autoSpaceDN w:val="0"/>
              <w:adjustRightInd w:val="0"/>
              <w:spacing w:line="360" w:lineRule="auto"/>
              <w:ind w:right="-283"/>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n-US" w:eastAsia="fr-FR"/>
              </w:rPr>
            </w:pPr>
            <w:r w:rsidRPr="00B070D2">
              <w:rPr>
                <w:rFonts w:ascii="Arial" w:eastAsia="Times New Roman" w:hAnsi="Arial" w:cs="Arial"/>
                <w:sz w:val="20"/>
                <w:szCs w:val="20"/>
                <w:lang w:val="en-US" w:eastAsia="fr-FR"/>
              </w:rPr>
              <w:t>subgroup</w:t>
            </w:r>
          </w:p>
        </w:tc>
        <w:tc>
          <w:tcPr>
            <w:tcW w:w="1503" w:type="dxa"/>
            <w:hideMark/>
          </w:tcPr>
          <w:p w14:paraId="184A66B6" w14:textId="77777777" w:rsidR="0000574D" w:rsidRPr="00B070D2" w:rsidRDefault="0000574D" w:rsidP="004D593F">
            <w:pPr>
              <w:autoSpaceDE w:val="0"/>
              <w:autoSpaceDN w:val="0"/>
              <w:adjustRightInd w:val="0"/>
              <w:spacing w:line="360" w:lineRule="auto"/>
              <w:ind w:right="-283"/>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n-US" w:eastAsia="fr-FR"/>
              </w:rPr>
            </w:pPr>
            <w:r w:rsidRPr="00B070D2">
              <w:rPr>
                <w:rFonts w:ascii="Arial" w:eastAsia="Times New Roman" w:hAnsi="Arial" w:cs="Arial"/>
                <w:sz w:val="20"/>
                <w:szCs w:val="20"/>
                <w:lang w:val="en-US" w:eastAsia="fr-FR"/>
              </w:rPr>
              <w:t>AUC (CI 95%)</w:t>
            </w:r>
          </w:p>
        </w:tc>
        <w:tc>
          <w:tcPr>
            <w:tcW w:w="1404" w:type="dxa"/>
            <w:hideMark/>
          </w:tcPr>
          <w:p w14:paraId="79531CDF" w14:textId="77777777" w:rsidR="0000574D" w:rsidRPr="00B070D2" w:rsidRDefault="0000574D" w:rsidP="004D593F">
            <w:pPr>
              <w:autoSpaceDE w:val="0"/>
              <w:autoSpaceDN w:val="0"/>
              <w:adjustRightInd w:val="0"/>
              <w:spacing w:line="360" w:lineRule="auto"/>
              <w:ind w:right="-283"/>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n-US" w:eastAsia="fr-FR"/>
              </w:rPr>
            </w:pPr>
            <w:r w:rsidRPr="00B070D2">
              <w:rPr>
                <w:rFonts w:ascii="Arial" w:eastAsia="Times New Roman" w:hAnsi="Arial" w:cs="Arial"/>
                <w:sz w:val="20"/>
                <w:szCs w:val="20"/>
                <w:lang w:val="en-US" w:eastAsia="fr-FR"/>
              </w:rPr>
              <w:t>Number</w:t>
            </w:r>
            <w:r>
              <w:rPr>
                <w:rFonts w:ascii="Arial" w:eastAsia="Times New Roman" w:hAnsi="Arial" w:cs="Arial"/>
                <w:sz w:val="20"/>
                <w:szCs w:val="20"/>
                <w:lang w:val="en-US" w:eastAsia="fr-FR"/>
              </w:rPr>
              <w:t xml:space="preserve"> o</w:t>
            </w:r>
            <w:r w:rsidRPr="00B070D2">
              <w:rPr>
                <w:rFonts w:ascii="Arial" w:eastAsia="Times New Roman" w:hAnsi="Arial" w:cs="Arial"/>
                <w:sz w:val="20"/>
                <w:szCs w:val="20"/>
                <w:lang w:val="en-US" w:eastAsia="fr-FR"/>
              </w:rPr>
              <w:t xml:space="preserve">f </w:t>
            </w:r>
            <w:proofErr w:type="spellStart"/>
            <w:r w:rsidRPr="00B070D2">
              <w:rPr>
                <w:rFonts w:ascii="Arial" w:eastAsia="Times New Roman" w:hAnsi="Arial" w:cs="Arial"/>
                <w:sz w:val="20"/>
                <w:szCs w:val="20"/>
                <w:lang w:val="en-US" w:eastAsia="fr-FR"/>
              </w:rPr>
              <w:t>of</w:t>
            </w:r>
            <w:proofErr w:type="spellEnd"/>
            <w:r w:rsidRPr="00B070D2">
              <w:rPr>
                <w:rFonts w:ascii="Arial" w:eastAsia="Times New Roman" w:hAnsi="Arial" w:cs="Arial"/>
                <w:sz w:val="20"/>
                <w:szCs w:val="20"/>
                <w:lang w:val="en-US" w:eastAsia="fr-FR"/>
              </w:rPr>
              <w:t xml:space="preserve"> studies</w:t>
            </w:r>
          </w:p>
        </w:tc>
        <w:tc>
          <w:tcPr>
            <w:tcW w:w="1434" w:type="dxa"/>
            <w:hideMark/>
          </w:tcPr>
          <w:p w14:paraId="04877F2A" w14:textId="77777777" w:rsidR="0000574D" w:rsidRPr="00B070D2" w:rsidRDefault="0000574D" w:rsidP="004D593F">
            <w:pPr>
              <w:autoSpaceDE w:val="0"/>
              <w:autoSpaceDN w:val="0"/>
              <w:adjustRightInd w:val="0"/>
              <w:spacing w:line="360" w:lineRule="auto"/>
              <w:ind w:right="-283"/>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n-US" w:eastAsia="fr-FR"/>
              </w:rPr>
            </w:pPr>
            <w:r w:rsidRPr="00B070D2">
              <w:rPr>
                <w:rFonts w:ascii="Arial" w:eastAsia="Times New Roman" w:hAnsi="Arial" w:cs="Arial"/>
                <w:sz w:val="20"/>
                <w:szCs w:val="20"/>
                <w:lang w:val="en-US" w:eastAsia="fr-FR"/>
              </w:rPr>
              <w:t xml:space="preserve">Heterogeneity </w:t>
            </w:r>
          </w:p>
          <w:p w14:paraId="5D263450" w14:textId="77777777" w:rsidR="0000574D" w:rsidRPr="00B070D2" w:rsidRDefault="0000574D" w:rsidP="004D593F">
            <w:pPr>
              <w:autoSpaceDE w:val="0"/>
              <w:autoSpaceDN w:val="0"/>
              <w:adjustRightInd w:val="0"/>
              <w:spacing w:line="360" w:lineRule="auto"/>
              <w:ind w:right="-283"/>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n-US" w:eastAsia="fr-FR"/>
              </w:rPr>
            </w:pPr>
            <w:r w:rsidRPr="00B070D2">
              <w:rPr>
                <w:rFonts w:ascii="Arial" w:eastAsia="Times New Roman" w:hAnsi="Arial" w:cs="Arial"/>
                <w:sz w:val="20"/>
                <w:szCs w:val="20"/>
                <w:lang w:val="en-US" w:eastAsia="fr-FR"/>
              </w:rPr>
              <w:t xml:space="preserve">(I², </w:t>
            </w:r>
            <w:r w:rsidRPr="00B070D2">
              <w:rPr>
                <w:rFonts w:ascii="Arial" w:eastAsia="Times New Roman" w:hAnsi="Arial" w:cs="Arial"/>
                <w:b w:val="0"/>
                <w:bCs w:val="0"/>
                <w:i/>
                <w:iCs/>
                <w:sz w:val="20"/>
                <w:szCs w:val="20"/>
                <w:lang w:val="en-US" w:eastAsia="fr-FR"/>
              </w:rPr>
              <w:t>P</w:t>
            </w:r>
            <w:r w:rsidRPr="00B070D2">
              <w:rPr>
                <w:rFonts w:ascii="Arial" w:eastAsia="Times New Roman" w:hAnsi="Arial" w:cs="Arial"/>
                <w:sz w:val="20"/>
                <w:szCs w:val="20"/>
                <w:lang w:val="en-US" w:eastAsia="fr-FR"/>
              </w:rPr>
              <w:t>-value)</w:t>
            </w:r>
          </w:p>
        </w:tc>
        <w:tc>
          <w:tcPr>
            <w:tcW w:w="1757" w:type="dxa"/>
            <w:hideMark/>
          </w:tcPr>
          <w:p w14:paraId="1DB1DAE6" w14:textId="4656AE06" w:rsidR="0000574D" w:rsidRPr="00B070D2" w:rsidRDefault="0000574D" w:rsidP="004D593F">
            <w:pPr>
              <w:autoSpaceDE w:val="0"/>
              <w:autoSpaceDN w:val="0"/>
              <w:adjustRightInd w:val="0"/>
              <w:spacing w:line="360" w:lineRule="auto"/>
              <w:ind w:right="-283"/>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n-US" w:eastAsia="fr-FR"/>
              </w:rPr>
            </w:pPr>
            <w:r w:rsidRPr="00B070D2">
              <w:rPr>
                <w:rFonts w:ascii="Arial" w:eastAsia="Times New Roman" w:hAnsi="Arial" w:cs="Arial"/>
                <w:sz w:val="20"/>
                <w:szCs w:val="20"/>
                <w:lang w:val="en-US" w:eastAsia="fr-FR"/>
              </w:rPr>
              <w:t xml:space="preserve">Heterogeneity between groups </w:t>
            </w:r>
          </w:p>
        </w:tc>
      </w:tr>
      <w:tr w:rsidR="0000574D" w:rsidRPr="00B070D2" w14:paraId="26C68374" w14:textId="77777777" w:rsidTr="0000574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660" w:type="dxa"/>
            <w:vMerge w:val="restart"/>
            <w:hideMark/>
          </w:tcPr>
          <w:p w14:paraId="4228768F" w14:textId="77777777" w:rsidR="0000574D" w:rsidRPr="00B070D2" w:rsidRDefault="0000574D" w:rsidP="004D593F">
            <w:pPr>
              <w:autoSpaceDE w:val="0"/>
              <w:autoSpaceDN w:val="0"/>
              <w:adjustRightInd w:val="0"/>
              <w:spacing w:line="360" w:lineRule="auto"/>
              <w:ind w:right="-283"/>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Type of control</w:t>
            </w:r>
          </w:p>
        </w:tc>
        <w:tc>
          <w:tcPr>
            <w:tcW w:w="1404" w:type="dxa"/>
            <w:tcBorders>
              <w:bottom w:val="nil"/>
            </w:tcBorders>
            <w:hideMark/>
          </w:tcPr>
          <w:p w14:paraId="255920B2" w14:textId="77777777" w:rsidR="0000574D" w:rsidRPr="00B070D2"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BPH</w:t>
            </w:r>
          </w:p>
        </w:tc>
        <w:tc>
          <w:tcPr>
            <w:tcW w:w="1503" w:type="dxa"/>
            <w:tcBorders>
              <w:bottom w:val="nil"/>
            </w:tcBorders>
            <w:hideMark/>
          </w:tcPr>
          <w:p w14:paraId="674810D9" w14:textId="77777777" w:rsidR="0000574D" w:rsidRPr="00B070D2"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0.77 (0.71–0.84)</w:t>
            </w:r>
          </w:p>
        </w:tc>
        <w:tc>
          <w:tcPr>
            <w:tcW w:w="1404" w:type="dxa"/>
            <w:tcBorders>
              <w:bottom w:val="nil"/>
            </w:tcBorders>
            <w:hideMark/>
          </w:tcPr>
          <w:p w14:paraId="52BB39E9" w14:textId="77777777" w:rsidR="0000574D" w:rsidRPr="00B070D2"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13</w:t>
            </w:r>
          </w:p>
        </w:tc>
        <w:tc>
          <w:tcPr>
            <w:tcW w:w="1434" w:type="dxa"/>
            <w:tcBorders>
              <w:bottom w:val="nil"/>
            </w:tcBorders>
            <w:hideMark/>
          </w:tcPr>
          <w:p w14:paraId="73A97AC1" w14:textId="77777777" w:rsidR="0000574D" w:rsidRPr="00B070D2"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 xml:space="preserve">92.4%, </w:t>
            </w:r>
            <w:r w:rsidRPr="00B070D2">
              <w:rPr>
                <w:rFonts w:ascii="Arial" w:eastAsia="Times New Roman" w:hAnsi="Arial" w:cs="Arial"/>
                <w:i/>
                <w:iCs/>
                <w:sz w:val="20"/>
                <w:szCs w:val="20"/>
                <w:lang w:val="en-US" w:eastAsia="fr-FR"/>
              </w:rPr>
              <w:t>P</w:t>
            </w:r>
            <w:r w:rsidRPr="00B070D2">
              <w:rPr>
                <w:rFonts w:ascii="Arial" w:eastAsia="Times New Roman" w:hAnsi="Arial" w:cs="Arial"/>
                <w:sz w:val="20"/>
                <w:szCs w:val="20"/>
                <w:lang w:val="en-US" w:eastAsia="fr-FR"/>
              </w:rPr>
              <w:t xml:space="preserve"> &lt; .001</w:t>
            </w:r>
          </w:p>
        </w:tc>
        <w:tc>
          <w:tcPr>
            <w:tcW w:w="1757" w:type="dxa"/>
            <w:vMerge w:val="restart"/>
            <w:hideMark/>
          </w:tcPr>
          <w:p w14:paraId="47D73985" w14:textId="66ED9915" w:rsidR="0000574D" w:rsidRPr="00B070D2"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b/>
                <w:bCs/>
                <w:i/>
                <w:iCs/>
                <w:sz w:val="20"/>
                <w:szCs w:val="20"/>
                <w:lang w:val="en-US" w:eastAsia="fr-FR"/>
              </w:rPr>
              <w:t xml:space="preserve">P </w:t>
            </w:r>
            <w:r w:rsidRPr="00B070D2">
              <w:rPr>
                <w:rFonts w:ascii="Arial" w:eastAsia="Times New Roman" w:hAnsi="Arial" w:cs="Arial"/>
                <w:b/>
                <w:bCs/>
                <w:sz w:val="20"/>
                <w:szCs w:val="20"/>
                <w:lang w:val="en-US" w:eastAsia="fr-FR"/>
              </w:rPr>
              <w:t>= .03</w:t>
            </w:r>
          </w:p>
        </w:tc>
      </w:tr>
      <w:tr w:rsidR="0000574D" w:rsidRPr="00B070D2" w14:paraId="65FC873A" w14:textId="77777777" w:rsidTr="0000574D">
        <w:trPr>
          <w:trHeight w:val="113"/>
        </w:trPr>
        <w:tc>
          <w:tcPr>
            <w:cnfStyle w:val="001000000000" w:firstRow="0" w:lastRow="0" w:firstColumn="1" w:lastColumn="0" w:oddVBand="0" w:evenVBand="0" w:oddHBand="0" w:evenHBand="0" w:firstRowFirstColumn="0" w:firstRowLastColumn="0" w:lastRowFirstColumn="0" w:lastRowLastColumn="0"/>
            <w:tcW w:w="1660" w:type="dxa"/>
            <w:vMerge/>
            <w:hideMark/>
          </w:tcPr>
          <w:p w14:paraId="28ADAE57" w14:textId="77777777" w:rsidR="0000574D" w:rsidRPr="00B070D2" w:rsidRDefault="0000574D" w:rsidP="004D593F">
            <w:pPr>
              <w:autoSpaceDE w:val="0"/>
              <w:autoSpaceDN w:val="0"/>
              <w:adjustRightInd w:val="0"/>
              <w:spacing w:line="360" w:lineRule="auto"/>
              <w:ind w:right="-283"/>
              <w:jc w:val="both"/>
              <w:rPr>
                <w:rFonts w:ascii="Arial" w:eastAsia="Times New Roman" w:hAnsi="Arial" w:cs="Arial"/>
                <w:sz w:val="20"/>
                <w:szCs w:val="20"/>
                <w:lang w:val="en-US" w:eastAsia="fr-FR"/>
              </w:rPr>
            </w:pPr>
          </w:p>
        </w:tc>
        <w:tc>
          <w:tcPr>
            <w:tcW w:w="1404" w:type="dxa"/>
            <w:tcBorders>
              <w:top w:val="nil"/>
              <w:bottom w:val="nil"/>
            </w:tcBorders>
            <w:hideMark/>
          </w:tcPr>
          <w:p w14:paraId="2A061819" w14:textId="77777777" w:rsidR="0000574D" w:rsidRPr="00B070D2"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HP</w:t>
            </w:r>
          </w:p>
        </w:tc>
        <w:tc>
          <w:tcPr>
            <w:tcW w:w="1503" w:type="dxa"/>
            <w:tcBorders>
              <w:top w:val="nil"/>
              <w:bottom w:val="nil"/>
            </w:tcBorders>
            <w:hideMark/>
          </w:tcPr>
          <w:p w14:paraId="46D73E6A" w14:textId="77777777" w:rsidR="0000574D" w:rsidRPr="00B070D2"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0.86 (0.81–0.91)</w:t>
            </w:r>
          </w:p>
        </w:tc>
        <w:tc>
          <w:tcPr>
            <w:tcW w:w="1404" w:type="dxa"/>
            <w:tcBorders>
              <w:top w:val="nil"/>
              <w:bottom w:val="nil"/>
            </w:tcBorders>
            <w:hideMark/>
          </w:tcPr>
          <w:p w14:paraId="4A823F59" w14:textId="77777777" w:rsidR="0000574D" w:rsidRPr="00B070D2"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13</w:t>
            </w:r>
          </w:p>
        </w:tc>
        <w:tc>
          <w:tcPr>
            <w:tcW w:w="1434" w:type="dxa"/>
            <w:tcBorders>
              <w:top w:val="nil"/>
              <w:bottom w:val="nil"/>
            </w:tcBorders>
            <w:hideMark/>
          </w:tcPr>
          <w:p w14:paraId="01C5272E" w14:textId="77777777" w:rsidR="0000574D" w:rsidRPr="00B070D2"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 xml:space="preserve">86.7%, </w:t>
            </w:r>
            <w:r w:rsidRPr="00B070D2">
              <w:rPr>
                <w:rFonts w:ascii="Arial" w:eastAsia="Times New Roman" w:hAnsi="Arial" w:cs="Arial"/>
                <w:i/>
                <w:iCs/>
                <w:sz w:val="20"/>
                <w:szCs w:val="20"/>
                <w:lang w:val="en-US" w:eastAsia="fr-FR"/>
              </w:rPr>
              <w:t>P</w:t>
            </w:r>
            <w:r w:rsidRPr="00B070D2">
              <w:rPr>
                <w:rFonts w:ascii="Arial" w:eastAsia="Times New Roman" w:hAnsi="Arial" w:cs="Arial"/>
                <w:sz w:val="20"/>
                <w:szCs w:val="20"/>
                <w:lang w:val="en-US" w:eastAsia="fr-FR"/>
              </w:rPr>
              <w:t xml:space="preserve"> &lt; .001</w:t>
            </w:r>
          </w:p>
        </w:tc>
        <w:tc>
          <w:tcPr>
            <w:tcW w:w="1757" w:type="dxa"/>
            <w:vMerge/>
            <w:tcBorders>
              <w:bottom w:val="nil"/>
            </w:tcBorders>
            <w:hideMark/>
          </w:tcPr>
          <w:p w14:paraId="037CCE21" w14:textId="77777777" w:rsidR="0000574D" w:rsidRPr="00B070D2"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p>
        </w:tc>
      </w:tr>
      <w:tr w:rsidR="0000574D" w:rsidRPr="00B070D2" w14:paraId="44369267" w14:textId="77777777" w:rsidTr="0000574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660" w:type="dxa"/>
            <w:vMerge/>
            <w:tcBorders>
              <w:bottom w:val="nil"/>
            </w:tcBorders>
            <w:hideMark/>
          </w:tcPr>
          <w:p w14:paraId="23DCB898" w14:textId="77777777" w:rsidR="0000574D" w:rsidRPr="00B070D2" w:rsidRDefault="0000574D" w:rsidP="004D593F">
            <w:pPr>
              <w:autoSpaceDE w:val="0"/>
              <w:autoSpaceDN w:val="0"/>
              <w:adjustRightInd w:val="0"/>
              <w:spacing w:line="360" w:lineRule="auto"/>
              <w:ind w:right="-283"/>
              <w:jc w:val="both"/>
              <w:rPr>
                <w:rFonts w:ascii="Arial" w:eastAsia="Times New Roman" w:hAnsi="Arial" w:cs="Arial"/>
                <w:sz w:val="20"/>
                <w:szCs w:val="20"/>
                <w:lang w:val="en-US" w:eastAsia="fr-FR"/>
              </w:rPr>
            </w:pPr>
          </w:p>
        </w:tc>
        <w:tc>
          <w:tcPr>
            <w:tcW w:w="1404" w:type="dxa"/>
            <w:tcBorders>
              <w:top w:val="nil"/>
              <w:bottom w:val="nil"/>
            </w:tcBorders>
            <w:hideMark/>
          </w:tcPr>
          <w:p w14:paraId="65A2656D" w14:textId="77777777" w:rsidR="0000574D" w:rsidRPr="00B070D2"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b/>
                <w:bCs/>
                <w:sz w:val="20"/>
                <w:szCs w:val="20"/>
                <w:lang w:val="en-US" w:eastAsia="fr-FR"/>
              </w:rPr>
              <w:t>Global</w:t>
            </w:r>
          </w:p>
        </w:tc>
        <w:tc>
          <w:tcPr>
            <w:tcW w:w="1503" w:type="dxa"/>
            <w:tcBorders>
              <w:top w:val="nil"/>
              <w:bottom w:val="nil"/>
            </w:tcBorders>
            <w:hideMark/>
          </w:tcPr>
          <w:p w14:paraId="2219E802" w14:textId="77777777" w:rsidR="0000574D" w:rsidRPr="00B070D2"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0.81 (0.78–0.89)</w:t>
            </w:r>
          </w:p>
        </w:tc>
        <w:tc>
          <w:tcPr>
            <w:tcW w:w="1404" w:type="dxa"/>
            <w:tcBorders>
              <w:top w:val="nil"/>
              <w:bottom w:val="nil"/>
            </w:tcBorders>
            <w:hideMark/>
          </w:tcPr>
          <w:p w14:paraId="56E64D4C" w14:textId="77777777" w:rsidR="0000574D" w:rsidRPr="00B070D2"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26</w:t>
            </w:r>
          </w:p>
        </w:tc>
        <w:tc>
          <w:tcPr>
            <w:tcW w:w="1434" w:type="dxa"/>
            <w:tcBorders>
              <w:top w:val="nil"/>
              <w:bottom w:val="nil"/>
            </w:tcBorders>
            <w:hideMark/>
          </w:tcPr>
          <w:p w14:paraId="5C303BC4" w14:textId="77777777" w:rsidR="0000574D" w:rsidRPr="00B070D2"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 xml:space="preserve">90.8%, </w:t>
            </w:r>
            <w:r w:rsidRPr="00B070D2">
              <w:rPr>
                <w:rFonts w:ascii="Arial" w:eastAsia="Times New Roman" w:hAnsi="Arial" w:cs="Arial"/>
                <w:i/>
                <w:iCs/>
                <w:sz w:val="20"/>
                <w:szCs w:val="20"/>
                <w:lang w:val="en-US" w:eastAsia="fr-FR"/>
              </w:rPr>
              <w:t>P</w:t>
            </w:r>
            <w:r w:rsidRPr="00B070D2">
              <w:rPr>
                <w:rFonts w:ascii="Arial" w:eastAsia="Times New Roman" w:hAnsi="Arial" w:cs="Arial"/>
                <w:sz w:val="20"/>
                <w:szCs w:val="20"/>
                <w:lang w:val="en-US" w:eastAsia="fr-FR"/>
              </w:rPr>
              <w:t xml:space="preserve"> &lt; .001</w:t>
            </w:r>
          </w:p>
        </w:tc>
        <w:tc>
          <w:tcPr>
            <w:tcW w:w="1757" w:type="dxa"/>
            <w:tcBorders>
              <w:top w:val="nil"/>
              <w:bottom w:val="nil"/>
            </w:tcBorders>
            <w:hideMark/>
          </w:tcPr>
          <w:p w14:paraId="4171C244" w14:textId="77777777" w:rsidR="0000574D" w:rsidRPr="00B070D2"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p>
        </w:tc>
      </w:tr>
      <w:tr w:rsidR="0000574D" w:rsidRPr="00B070D2" w14:paraId="1CB1E787" w14:textId="77777777" w:rsidTr="0000574D">
        <w:trPr>
          <w:trHeight w:val="274"/>
        </w:trPr>
        <w:tc>
          <w:tcPr>
            <w:cnfStyle w:val="001000000000" w:firstRow="0" w:lastRow="0" w:firstColumn="1" w:lastColumn="0" w:oddVBand="0" w:evenVBand="0" w:oddHBand="0" w:evenHBand="0" w:firstRowFirstColumn="0" w:firstRowLastColumn="0" w:lastRowFirstColumn="0" w:lastRowLastColumn="0"/>
            <w:tcW w:w="1660" w:type="dxa"/>
            <w:vMerge w:val="restart"/>
            <w:tcBorders>
              <w:top w:val="nil"/>
              <w:bottom w:val="single" w:sz="4" w:space="0" w:color="7F7F7F" w:themeColor="text1" w:themeTint="80"/>
            </w:tcBorders>
            <w:hideMark/>
          </w:tcPr>
          <w:p w14:paraId="7C9B623D" w14:textId="77777777" w:rsidR="0000574D" w:rsidRPr="00B070D2" w:rsidRDefault="0000574D" w:rsidP="004D593F">
            <w:pPr>
              <w:autoSpaceDE w:val="0"/>
              <w:autoSpaceDN w:val="0"/>
              <w:adjustRightInd w:val="0"/>
              <w:spacing w:line="360" w:lineRule="auto"/>
              <w:ind w:right="-283"/>
              <w:jc w:val="both"/>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Type of sample</w:t>
            </w:r>
          </w:p>
        </w:tc>
        <w:tc>
          <w:tcPr>
            <w:tcW w:w="1404" w:type="dxa"/>
            <w:tcBorders>
              <w:top w:val="nil"/>
              <w:bottom w:val="nil"/>
            </w:tcBorders>
            <w:hideMark/>
          </w:tcPr>
          <w:p w14:paraId="7014C2C8" w14:textId="77777777" w:rsidR="0000574D" w:rsidRPr="00B070D2"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Plasma</w:t>
            </w:r>
          </w:p>
        </w:tc>
        <w:tc>
          <w:tcPr>
            <w:tcW w:w="1503" w:type="dxa"/>
            <w:tcBorders>
              <w:top w:val="nil"/>
              <w:bottom w:val="nil"/>
            </w:tcBorders>
            <w:hideMark/>
          </w:tcPr>
          <w:p w14:paraId="67815FF9" w14:textId="77777777" w:rsidR="0000574D" w:rsidRPr="00B070D2"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0.77 (0.69–0.85)</w:t>
            </w:r>
          </w:p>
        </w:tc>
        <w:tc>
          <w:tcPr>
            <w:tcW w:w="1404" w:type="dxa"/>
            <w:tcBorders>
              <w:top w:val="nil"/>
              <w:bottom w:val="nil"/>
            </w:tcBorders>
            <w:hideMark/>
          </w:tcPr>
          <w:p w14:paraId="694BD442" w14:textId="77777777" w:rsidR="0000574D" w:rsidRPr="00B070D2"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8</w:t>
            </w:r>
          </w:p>
        </w:tc>
        <w:tc>
          <w:tcPr>
            <w:tcW w:w="1434" w:type="dxa"/>
            <w:tcBorders>
              <w:top w:val="nil"/>
              <w:bottom w:val="nil"/>
            </w:tcBorders>
            <w:hideMark/>
          </w:tcPr>
          <w:p w14:paraId="1D1ACB09" w14:textId="77777777" w:rsidR="0000574D" w:rsidRPr="00B070D2"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 xml:space="preserve">88.4%, </w:t>
            </w:r>
            <w:r w:rsidRPr="00B070D2">
              <w:rPr>
                <w:rFonts w:ascii="Arial" w:eastAsia="Times New Roman" w:hAnsi="Arial" w:cs="Arial"/>
                <w:i/>
                <w:iCs/>
                <w:sz w:val="20"/>
                <w:szCs w:val="20"/>
                <w:lang w:val="en-US" w:eastAsia="fr-FR"/>
              </w:rPr>
              <w:t>P</w:t>
            </w:r>
            <w:r w:rsidRPr="00B070D2">
              <w:rPr>
                <w:rFonts w:ascii="Arial" w:eastAsia="Times New Roman" w:hAnsi="Arial" w:cs="Arial"/>
                <w:sz w:val="20"/>
                <w:szCs w:val="20"/>
                <w:lang w:val="en-US" w:eastAsia="fr-FR"/>
              </w:rPr>
              <w:t xml:space="preserve"> &lt; .001</w:t>
            </w:r>
          </w:p>
        </w:tc>
        <w:tc>
          <w:tcPr>
            <w:tcW w:w="1757" w:type="dxa"/>
            <w:vMerge w:val="restart"/>
            <w:tcBorders>
              <w:top w:val="nil"/>
              <w:bottom w:val="nil"/>
            </w:tcBorders>
            <w:hideMark/>
          </w:tcPr>
          <w:p w14:paraId="27EBD0B1" w14:textId="77777777" w:rsidR="0000574D" w:rsidRPr="00B070D2"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b/>
                <w:bCs/>
                <w:i/>
                <w:iCs/>
                <w:sz w:val="20"/>
                <w:szCs w:val="20"/>
                <w:lang w:val="en-US" w:eastAsia="fr-FR"/>
              </w:rPr>
              <w:t>P</w:t>
            </w:r>
            <w:r w:rsidRPr="00B070D2">
              <w:rPr>
                <w:rFonts w:ascii="Arial" w:eastAsia="Times New Roman" w:hAnsi="Arial" w:cs="Arial"/>
                <w:b/>
                <w:bCs/>
                <w:sz w:val="20"/>
                <w:szCs w:val="20"/>
                <w:lang w:val="en-US" w:eastAsia="fr-FR"/>
              </w:rPr>
              <w:t xml:space="preserve"> &lt; .001</w:t>
            </w:r>
          </w:p>
        </w:tc>
      </w:tr>
      <w:tr w:rsidR="0000574D" w:rsidRPr="00B070D2" w14:paraId="48DAFCF1" w14:textId="77777777" w:rsidTr="0000574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660" w:type="dxa"/>
            <w:vMerge/>
            <w:tcBorders>
              <w:top w:val="nil"/>
            </w:tcBorders>
            <w:hideMark/>
          </w:tcPr>
          <w:p w14:paraId="700BD59F" w14:textId="77777777" w:rsidR="0000574D" w:rsidRPr="00B070D2" w:rsidRDefault="0000574D" w:rsidP="004D593F">
            <w:pPr>
              <w:autoSpaceDE w:val="0"/>
              <w:autoSpaceDN w:val="0"/>
              <w:adjustRightInd w:val="0"/>
              <w:spacing w:line="360" w:lineRule="auto"/>
              <w:ind w:right="-283"/>
              <w:jc w:val="both"/>
              <w:rPr>
                <w:rFonts w:ascii="Arial" w:eastAsia="Times New Roman" w:hAnsi="Arial" w:cs="Arial"/>
                <w:sz w:val="20"/>
                <w:szCs w:val="20"/>
                <w:lang w:val="en-US" w:eastAsia="fr-FR"/>
              </w:rPr>
            </w:pPr>
          </w:p>
        </w:tc>
        <w:tc>
          <w:tcPr>
            <w:tcW w:w="1404" w:type="dxa"/>
            <w:tcBorders>
              <w:top w:val="nil"/>
              <w:bottom w:val="nil"/>
            </w:tcBorders>
            <w:hideMark/>
          </w:tcPr>
          <w:p w14:paraId="110F1BB7" w14:textId="77777777" w:rsidR="0000574D" w:rsidRPr="00B070D2"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Serum</w:t>
            </w:r>
          </w:p>
        </w:tc>
        <w:tc>
          <w:tcPr>
            <w:tcW w:w="1503" w:type="dxa"/>
            <w:tcBorders>
              <w:top w:val="nil"/>
              <w:bottom w:val="nil"/>
            </w:tcBorders>
            <w:hideMark/>
          </w:tcPr>
          <w:p w14:paraId="0BA70523" w14:textId="77777777" w:rsidR="0000574D" w:rsidRPr="00B070D2"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0.86 (0.83–0.90)</w:t>
            </w:r>
          </w:p>
        </w:tc>
        <w:tc>
          <w:tcPr>
            <w:tcW w:w="1404" w:type="dxa"/>
            <w:tcBorders>
              <w:top w:val="nil"/>
              <w:bottom w:val="nil"/>
            </w:tcBorders>
            <w:hideMark/>
          </w:tcPr>
          <w:p w14:paraId="217CD866" w14:textId="77777777" w:rsidR="0000574D" w:rsidRPr="00B070D2"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8</w:t>
            </w:r>
          </w:p>
        </w:tc>
        <w:tc>
          <w:tcPr>
            <w:tcW w:w="1434" w:type="dxa"/>
            <w:tcBorders>
              <w:top w:val="nil"/>
              <w:bottom w:val="nil"/>
            </w:tcBorders>
            <w:hideMark/>
          </w:tcPr>
          <w:p w14:paraId="4D867BDF" w14:textId="77777777" w:rsidR="0000574D" w:rsidRPr="00B070D2"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 xml:space="preserve">51.0%, </w:t>
            </w:r>
            <w:r w:rsidRPr="00B070D2">
              <w:rPr>
                <w:rFonts w:ascii="Arial" w:eastAsia="Times New Roman" w:hAnsi="Arial" w:cs="Arial"/>
                <w:i/>
                <w:iCs/>
                <w:sz w:val="20"/>
                <w:szCs w:val="20"/>
                <w:lang w:val="en-US" w:eastAsia="fr-FR"/>
              </w:rPr>
              <w:t xml:space="preserve">P </w:t>
            </w:r>
            <w:r w:rsidRPr="00B070D2">
              <w:rPr>
                <w:rFonts w:ascii="Arial" w:eastAsia="Times New Roman" w:hAnsi="Arial" w:cs="Arial"/>
                <w:sz w:val="20"/>
                <w:szCs w:val="20"/>
                <w:lang w:val="en-US" w:eastAsia="fr-FR"/>
              </w:rPr>
              <w:t>= .021</w:t>
            </w:r>
          </w:p>
        </w:tc>
        <w:tc>
          <w:tcPr>
            <w:tcW w:w="1757" w:type="dxa"/>
            <w:vMerge/>
            <w:tcBorders>
              <w:top w:val="nil"/>
              <w:bottom w:val="nil"/>
            </w:tcBorders>
            <w:hideMark/>
          </w:tcPr>
          <w:p w14:paraId="3B4B0A68" w14:textId="77777777" w:rsidR="0000574D" w:rsidRPr="00B070D2"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p>
        </w:tc>
      </w:tr>
      <w:tr w:rsidR="0000574D" w:rsidRPr="00B070D2" w14:paraId="47F241BF" w14:textId="77777777" w:rsidTr="0000574D">
        <w:trPr>
          <w:trHeight w:val="113"/>
        </w:trPr>
        <w:tc>
          <w:tcPr>
            <w:cnfStyle w:val="001000000000" w:firstRow="0" w:lastRow="0" w:firstColumn="1" w:lastColumn="0" w:oddVBand="0" w:evenVBand="0" w:oddHBand="0" w:evenHBand="0" w:firstRowFirstColumn="0" w:firstRowLastColumn="0" w:lastRowFirstColumn="0" w:lastRowLastColumn="0"/>
            <w:tcW w:w="1660" w:type="dxa"/>
            <w:vMerge/>
            <w:tcBorders>
              <w:top w:val="nil"/>
              <w:bottom w:val="single" w:sz="4" w:space="0" w:color="7F7F7F" w:themeColor="text1" w:themeTint="80"/>
            </w:tcBorders>
            <w:hideMark/>
          </w:tcPr>
          <w:p w14:paraId="14267621" w14:textId="77777777" w:rsidR="0000574D" w:rsidRPr="00B070D2" w:rsidRDefault="0000574D" w:rsidP="004D593F">
            <w:pPr>
              <w:autoSpaceDE w:val="0"/>
              <w:autoSpaceDN w:val="0"/>
              <w:adjustRightInd w:val="0"/>
              <w:spacing w:line="360" w:lineRule="auto"/>
              <w:ind w:right="-283"/>
              <w:jc w:val="both"/>
              <w:rPr>
                <w:rFonts w:ascii="Arial" w:eastAsia="Times New Roman" w:hAnsi="Arial" w:cs="Arial"/>
                <w:sz w:val="20"/>
                <w:szCs w:val="20"/>
                <w:lang w:val="en-US" w:eastAsia="fr-FR"/>
              </w:rPr>
            </w:pPr>
          </w:p>
        </w:tc>
        <w:tc>
          <w:tcPr>
            <w:tcW w:w="1404" w:type="dxa"/>
            <w:tcBorders>
              <w:top w:val="nil"/>
              <w:bottom w:val="nil"/>
            </w:tcBorders>
            <w:hideMark/>
          </w:tcPr>
          <w:p w14:paraId="228E9BE5" w14:textId="77777777" w:rsidR="0000574D" w:rsidRPr="00B070D2"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Urine</w:t>
            </w:r>
          </w:p>
        </w:tc>
        <w:tc>
          <w:tcPr>
            <w:tcW w:w="1503" w:type="dxa"/>
            <w:tcBorders>
              <w:top w:val="nil"/>
              <w:bottom w:val="nil"/>
            </w:tcBorders>
            <w:hideMark/>
          </w:tcPr>
          <w:p w14:paraId="53FF53BE" w14:textId="77777777" w:rsidR="0000574D" w:rsidRPr="00B070D2"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0.73 (0.66–0.80)</w:t>
            </w:r>
          </w:p>
        </w:tc>
        <w:tc>
          <w:tcPr>
            <w:tcW w:w="1404" w:type="dxa"/>
            <w:tcBorders>
              <w:top w:val="nil"/>
              <w:bottom w:val="nil"/>
            </w:tcBorders>
            <w:hideMark/>
          </w:tcPr>
          <w:p w14:paraId="053C78AB" w14:textId="77777777" w:rsidR="0000574D" w:rsidRPr="00B070D2"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5</w:t>
            </w:r>
          </w:p>
        </w:tc>
        <w:tc>
          <w:tcPr>
            <w:tcW w:w="1434" w:type="dxa"/>
            <w:tcBorders>
              <w:top w:val="nil"/>
              <w:bottom w:val="nil"/>
            </w:tcBorders>
            <w:hideMark/>
          </w:tcPr>
          <w:p w14:paraId="7BEDE706" w14:textId="77777777" w:rsidR="0000574D" w:rsidRPr="00B070D2"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 xml:space="preserve">65.4%, </w:t>
            </w:r>
            <w:r w:rsidRPr="00B070D2">
              <w:rPr>
                <w:rFonts w:ascii="Arial" w:eastAsia="Times New Roman" w:hAnsi="Arial" w:cs="Arial"/>
                <w:i/>
                <w:iCs/>
                <w:sz w:val="20"/>
                <w:szCs w:val="20"/>
                <w:lang w:val="en-US" w:eastAsia="fr-FR"/>
              </w:rPr>
              <w:t xml:space="preserve">P </w:t>
            </w:r>
            <w:r w:rsidRPr="00B070D2">
              <w:rPr>
                <w:rFonts w:ascii="Arial" w:eastAsia="Times New Roman" w:hAnsi="Arial" w:cs="Arial"/>
                <w:sz w:val="20"/>
                <w:szCs w:val="20"/>
                <w:lang w:val="en-US" w:eastAsia="fr-FR"/>
              </w:rPr>
              <w:t>=.013</w:t>
            </w:r>
          </w:p>
        </w:tc>
        <w:tc>
          <w:tcPr>
            <w:tcW w:w="1757" w:type="dxa"/>
            <w:vMerge/>
            <w:tcBorders>
              <w:top w:val="nil"/>
              <w:bottom w:val="nil"/>
            </w:tcBorders>
            <w:hideMark/>
          </w:tcPr>
          <w:p w14:paraId="70C4C624" w14:textId="77777777" w:rsidR="0000574D" w:rsidRPr="00B070D2"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p>
        </w:tc>
      </w:tr>
      <w:tr w:rsidR="0000574D" w:rsidRPr="00B070D2" w14:paraId="04D7A48F" w14:textId="77777777" w:rsidTr="0000574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660" w:type="dxa"/>
            <w:vMerge/>
            <w:tcBorders>
              <w:top w:val="nil"/>
            </w:tcBorders>
            <w:hideMark/>
          </w:tcPr>
          <w:p w14:paraId="33D1212B" w14:textId="77777777" w:rsidR="0000574D" w:rsidRPr="00B070D2" w:rsidRDefault="0000574D" w:rsidP="004D593F">
            <w:pPr>
              <w:autoSpaceDE w:val="0"/>
              <w:autoSpaceDN w:val="0"/>
              <w:adjustRightInd w:val="0"/>
              <w:spacing w:line="360" w:lineRule="auto"/>
              <w:ind w:right="-283"/>
              <w:jc w:val="both"/>
              <w:rPr>
                <w:rFonts w:ascii="Arial" w:eastAsia="Times New Roman" w:hAnsi="Arial" w:cs="Arial"/>
                <w:sz w:val="20"/>
                <w:szCs w:val="20"/>
                <w:lang w:val="en-US" w:eastAsia="fr-FR"/>
              </w:rPr>
            </w:pPr>
          </w:p>
        </w:tc>
        <w:tc>
          <w:tcPr>
            <w:tcW w:w="1404" w:type="dxa"/>
            <w:tcBorders>
              <w:top w:val="nil"/>
              <w:bottom w:val="nil"/>
            </w:tcBorders>
            <w:hideMark/>
          </w:tcPr>
          <w:p w14:paraId="78F22DDC" w14:textId="77777777" w:rsidR="0000574D" w:rsidRPr="00B070D2"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r w:rsidRPr="00B070D2">
              <w:rPr>
                <w:rFonts w:ascii="Arial" w:hAnsi="Arial" w:cs="Arial"/>
                <w:sz w:val="20"/>
                <w:szCs w:val="20"/>
                <w:lang w:val="en-US"/>
              </w:rPr>
              <w:t>Whole blood</w:t>
            </w:r>
          </w:p>
        </w:tc>
        <w:tc>
          <w:tcPr>
            <w:tcW w:w="1503" w:type="dxa"/>
            <w:tcBorders>
              <w:top w:val="nil"/>
              <w:bottom w:val="nil"/>
            </w:tcBorders>
            <w:hideMark/>
          </w:tcPr>
          <w:p w14:paraId="7DD63672" w14:textId="77777777" w:rsidR="0000574D" w:rsidRPr="00B070D2"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0.91 (0.86–0.98)</w:t>
            </w:r>
          </w:p>
        </w:tc>
        <w:tc>
          <w:tcPr>
            <w:tcW w:w="1404" w:type="dxa"/>
            <w:tcBorders>
              <w:top w:val="nil"/>
              <w:bottom w:val="nil"/>
            </w:tcBorders>
            <w:hideMark/>
          </w:tcPr>
          <w:p w14:paraId="1DF3B86A" w14:textId="77777777" w:rsidR="0000574D" w:rsidRPr="00B070D2"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5</w:t>
            </w:r>
          </w:p>
        </w:tc>
        <w:tc>
          <w:tcPr>
            <w:tcW w:w="1434" w:type="dxa"/>
            <w:tcBorders>
              <w:top w:val="nil"/>
              <w:bottom w:val="nil"/>
            </w:tcBorders>
            <w:hideMark/>
          </w:tcPr>
          <w:p w14:paraId="29F67DDF" w14:textId="77777777" w:rsidR="0000574D" w:rsidRPr="00B070D2"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 xml:space="preserve">91.8%, </w:t>
            </w:r>
            <w:r w:rsidRPr="00B070D2">
              <w:rPr>
                <w:rFonts w:ascii="Arial" w:eastAsia="Times New Roman" w:hAnsi="Arial" w:cs="Arial"/>
                <w:i/>
                <w:iCs/>
                <w:sz w:val="20"/>
                <w:szCs w:val="20"/>
                <w:lang w:val="en-US" w:eastAsia="fr-FR"/>
              </w:rPr>
              <w:t>P</w:t>
            </w:r>
            <w:r w:rsidRPr="00B070D2">
              <w:rPr>
                <w:rFonts w:ascii="Arial" w:eastAsia="Times New Roman" w:hAnsi="Arial" w:cs="Arial"/>
                <w:sz w:val="20"/>
                <w:szCs w:val="20"/>
                <w:lang w:val="en-US" w:eastAsia="fr-FR"/>
              </w:rPr>
              <w:t xml:space="preserve"> &lt; .001</w:t>
            </w:r>
          </w:p>
        </w:tc>
        <w:tc>
          <w:tcPr>
            <w:tcW w:w="1757" w:type="dxa"/>
            <w:vMerge/>
            <w:tcBorders>
              <w:top w:val="nil"/>
              <w:bottom w:val="nil"/>
            </w:tcBorders>
            <w:hideMark/>
          </w:tcPr>
          <w:p w14:paraId="704792CD" w14:textId="77777777" w:rsidR="0000574D" w:rsidRPr="00B070D2"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p>
        </w:tc>
      </w:tr>
      <w:tr w:rsidR="0000574D" w:rsidRPr="00B070D2" w14:paraId="7CADBDA9" w14:textId="77777777" w:rsidTr="0000574D">
        <w:trPr>
          <w:trHeight w:val="113"/>
        </w:trPr>
        <w:tc>
          <w:tcPr>
            <w:cnfStyle w:val="001000000000" w:firstRow="0" w:lastRow="0" w:firstColumn="1" w:lastColumn="0" w:oddVBand="0" w:evenVBand="0" w:oddHBand="0" w:evenHBand="0" w:firstRowFirstColumn="0" w:firstRowLastColumn="0" w:lastRowFirstColumn="0" w:lastRowLastColumn="0"/>
            <w:tcW w:w="1660" w:type="dxa"/>
            <w:vMerge/>
            <w:tcBorders>
              <w:top w:val="nil"/>
              <w:bottom w:val="single" w:sz="4" w:space="0" w:color="7F7F7F" w:themeColor="text1" w:themeTint="80"/>
            </w:tcBorders>
            <w:hideMark/>
          </w:tcPr>
          <w:p w14:paraId="5FD0AC95" w14:textId="77777777" w:rsidR="0000574D" w:rsidRPr="00B070D2" w:rsidRDefault="0000574D" w:rsidP="004D593F">
            <w:pPr>
              <w:autoSpaceDE w:val="0"/>
              <w:autoSpaceDN w:val="0"/>
              <w:adjustRightInd w:val="0"/>
              <w:spacing w:line="360" w:lineRule="auto"/>
              <w:ind w:right="-283"/>
              <w:jc w:val="both"/>
              <w:rPr>
                <w:rFonts w:ascii="Arial" w:eastAsia="Times New Roman" w:hAnsi="Arial" w:cs="Arial"/>
                <w:sz w:val="20"/>
                <w:szCs w:val="20"/>
                <w:lang w:val="en-US" w:eastAsia="fr-FR"/>
              </w:rPr>
            </w:pPr>
          </w:p>
        </w:tc>
        <w:tc>
          <w:tcPr>
            <w:tcW w:w="1404" w:type="dxa"/>
            <w:tcBorders>
              <w:top w:val="nil"/>
            </w:tcBorders>
            <w:hideMark/>
          </w:tcPr>
          <w:p w14:paraId="6379B787" w14:textId="77777777" w:rsidR="0000574D" w:rsidRPr="00B070D2"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b/>
                <w:bCs/>
                <w:sz w:val="20"/>
                <w:szCs w:val="20"/>
                <w:lang w:val="en-US" w:eastAsia="fr-FR"/>
              </w:rPr>
              <w:t>Global</w:t>
            </w:r>
          </w:p>
        </w:tc>
        <w:tc>
          <w:tcPr>
            <w:tcW w:w="1503" w:type="dxa"/>
            <w:tcBorders>
              <w:top w:val="nil"/>
            </w:tcBorders>
            <w:hideMark/>
          </w:tcPr>
          <w:p w14:paraId="4F82A95B" w14:textId="77777777" w:rsidR="0000574D" w:rsidRPr="00B070D2"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0.81 (0.78–0.88)</w:t>
            </w:r>
          </w:p>
        </w:tc>
        <w:tc>
          <w:tcPr>
            <w:tcW w:w="1404" w:type="dxa"/>
            <w:tcBorders>
              <w:top w:val="nil"/>
            </w:tcBorders>
            <w:hideMark/>
          </w:tcPr>
          <w:p w14:paraId="62A7F6CD" w14:textId="77777777" w:rsidR="0000574D" w:rsidRPr="00B070D2"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26</w:t>
            </w:r>
          </w:p>
        </w:tc>
        <w:tc>
          <w:tcPr>
            <w:tcW w:w="1434" w:type="dxa"/>
            <w:tcBorders>
              <w:top w:val="nil"/>
            </w:tcBorders>
            <w:hideMark/>
          </w:tcPr>
          <w:p w14:paraId="60B40225" w14:textId="77777777" w:rsidR="0000574D" w:rsidRPr="00B070D2"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 xml:space="preserve">90.8%, </w:t>
            </w:r>
            <w:r w:rsidRPr="00B070D2">
              <w:rPr>
                <w:rFonts w:ascii="Arial" w:eastAsia="Times New Roman" w:hAnsi="Arial" w:cs="Arial"/>
                <w:i/>
                <w:iCs/>
                <w:sz w:val="20"/>
                <w:szCs w:val="20"/>
                <w:lang w:val="en-US" w:eastAsia="fr-FR"/>
              </w:rPr>
              <w:t>P</w:t>
            </w:r>
            <w:r w:rsidRPr="00B070D2">
              <w:rPr>
                <w:rFonts w:ascii="Arial" w:eastAsia="Times New Roman" w:hAnsi="Arial" w:cs="Arial"/>
                <w:sz w:val="20"/>
                <w:szCs w:val="20"/>
                <w:lang w:val="en-US" w:eastAsia="fr-FR"/>
              </w:rPr>
              <w:t xml:space="preserve"> &lt; .001</w:t>
            </w:r>
          </w:p>
        </w:tc>
        <w:tc>
          <w:tcPr>
            <w:tcW w:w="1757" w:type="dxa"/>
            <w:tcBorders>
              <w:top w:val="nil"/>
            </w:tcBorders>
            <w:hideMark/>
          </w:tcPr>
          <w:p w14:paraId="74C31FF4" w14:textId="77777777" w:rsidR="0000574D" w:rsidRPr="00B070D2"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p>
        </w:tc>
      </w:tr>
      <w:bookmarkEnd w:id="1"/>
    </w:tbl>
    <w:p w14:paraId="228E1A60" w14:textId="77777777" w:rsidR="00DD38EA" w:rsidRDefault="00DD38EA" w:rsidP="00607B6A">
      <w:pPr>
        <w:pStyle w:val="Body"/>
        <w:spacing w:after="0"/>
        <w:rPr>
          <w:rFonts w:ascii="Arial" w:hAnsi="Arial" w:cs="Arial"/>
        </w:rPr>
      </w:pPr>
    </w:p>
    <w:p w14:paraId="73BCB9AB" w14:textId="2816A6C4" w:rsidR="00607B6A" w:rsidRDefault="0000574D" w:rsidP="00B00B61">
      <w:pPr>
        <w:pStyle w:val="Body"/>
        <w:spacing w:after="0"/>
        <w:rPr>
          <w:rFonts w:ascii="Arial" w:hAnsi="Arial" w:cs="Arial"/>
        </w:rPr>
      </w:pPr>
      <w:r>
        <w:rPr>
          <w:noProof/>
        </w:rPr>
        <w:drawing>
          <wp:inline distT="0" distB="0" distL="0" distR="0" wp14:anchorId="74762C5E" wp14:editId="488AF0B4">
            <wp:extent cx="4800258" cy="3492000"/>
            <wp:effectExtent l="0" t="0" r="0" b="0"/>
            <wp:docPr id="39614772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00258" cy="3492000"/>
                    </a:xfrm>
                    <a:prstGeom prst="rect">
                      <a:avLst/>
                    </a:prstGeom>
                    <a:noFill/>
                    <a:ln>
                      <a:noFill/>
                    </a:ln>
                  </pic:spPr>
                </pic:pic>
              </a:graphicData>
            </a:graphic>
          </wp:inline>
        </w:drawing>
      </w:r>
    </w:p>
    <w:p w14:paraId="6DA31C5E" w14:textId="77777777" w:rsidR="0000574D" w:rsidRDefault="0000574D" w:rsidP="00B00B61">
      <w:pPr>
        <w:pStyle w:val="Body"/>
        <w:spacing w:after="0"/>
        <w:rPr>
          <w:rFonts w:ascii="Arial" w:hAnsi="Arial" w:cs="Arial"/>
        </w:rPr>
      </w:pPr>
    </w:p>
    <w:p w14:paraId="66C54C8A" w14:textId="7601F7D5" w:rsidR="0000574D" w:rsidRDefault="00CC63E9" w:rsidP="00B00B61">
      <w:pPr>
        <w:pStyle w:val="Body"/>
        <w:spacing w:after="0"/>
        <w:rPr>
          <w:rFonts w:ascii="Arial" w:hAnsi="Arial" w:cs="Arial"/>
        </w:rPr>
      </w:pPr>
      <w:r>
        <w:rPr>
          <w:noProof/>
        </w:rPr>
        <w:drawing>
          <wp:inline distT="0" distB="0" distL="0" distR="0" wp14:anchorId="0761F9A5" wp14:editId="4C96997B">
            <wp:extent cx="4801865" cy="3492000"/>
            <wp:effectExtent l="0" t="0" r="0" b="0"/>
            <wp:docPr id="1988170643" name="Image 6" descr="Une image contenant texte, capture d’écran, menu,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170643" name="Image 6" descr="Une image contenant texte, capture d’écran, menu, nombre&#10;&#10;Le contenu généré par l’IA peut êtr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01865" cy="3492000"/>
                    </a:xfrm>
                    <a:prstGeom prst="rect">
                      <a:avLst/>
                    </a:prstGeom>
                    <a:noFill/>
                    <a:ln>
                      <a:noFill/>
                    </a:ln>
                  </pic:spPr>
                </pic:pic>
              </a:graphicData>
            </a:graphic>
          </wp:inline>
        </w:drawing>
      </w:r>
    </w:p>
    <w:p w14:paraId="0286F48F" w14:textId="5EDBEA24" w:rsidR="00CC63E9" w:rsidRDefault="00CC63E9" w:rsidP="00B00B61">
      <w:pPr>
        <w:pStyle w:val="Body"/>
        <w:spacing w:after="0"/>
        <w:rPr>
          <w:rFonts w:ascii="Arial" w:hAnsi="Arial" w:cs="Arial"/>
        </w:rPr>
      </w:pPr>
      <w:r>
        <w:rPr>
          <w:noProof/>
        </w:rPr>
        <w:lastRenderedPageBreak/>
        <w:drawing>
          <wp:inline distT="0" distB="0" distL="0" distR="0" wp14:anchorId="68B6DA58" wp14:editId="6E0B8FC0">
            <wp:extent cx="4798649" cy="3492000"/>
            <wp:effectExtent l="0" t="0" r="0" b="0"/>
            <wp:docPr id="1171873169" name="Image 7" descr="Une image contenant texte, menu, capture d’écran,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873169" name="Image 7" descr="Une image contenant texte, menu, capture d’écran, nombre&#10;&#10;Le contenu généré par l’IA peut êtr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98649" cy="3492000"/>
                    </a:xfrm>
                    <a:prstGeom prst="rect">
                      <a:avLst/>
                    </a:prstGeom>
                    <a:noFill/>
                    <a:ln>
                      <a:noFill/>
                    </a:ln>
                  </pic:spPr>
                </pic:pic>
              </a:graphicData>
            </a:graphic>
          </wp:inline>
        </w:drawing>
      </w:r>
    </w:p>
    <w:p w14:paraId="78C1A097" w14:textId="77777777" w:rsidR="00CC63E9" w:rsidRDefault="00CC63E9" w:rsidP="00B00B61">
      <w:pPr>
        <w:pStyle w:val="Body"/>
        <w:spacing w:after="0"/>
        <w:rPr>
          <w:rFonts w:ascii="Arial" w:hAnsi="Arial" w:cs="Arial"/>
        </w:rPr>
      </w:pPr>
    </w:p>
    <w:p w14:paraId="0D37BB72" w14:textId="3024D4F0" w:rsidR="00CC63E9" w:rsidRDefault="00CC63E9" w:rsidP="00B00B61">
      <w:pPr>
        <w:pStyle w:val="Body"/>
        <w:spacing w:after="0"/>
        <w:rPr>
          <w:rFonts w:ascii="Arial" w:hAnsi="Arial" w:cs="Arial"/>
        </w:rPr>
      </w:pPr>
      <w:r>
        <w:rPr>
          <w:noProof/>
        </w:rPr>
        <w:drawing>
          <wp:inline distT="0" distB="0" distL="0" distR="0" wp14:anchorId="53B33834" wp14:editId="5985689F">
            <wp:extent cx="4800259" cy="3492000"/>
            <wp:effectExtent l="0" t="0" r="0" b="0"/>
            <wp:docPr id="1685376875" name="Image 8" descr="Une image contenant texte, capture d’écran, menu,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376875" name="Image 8" descr="Une image contenant texte, capture d’écran, menu, nombre&#10;&#10;Le contenu généré par l’IA peut êtr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00259" cy="3492000"/>
                    </a:xfrm>
                    <a:prstGeom prst="rect">
                      <a:avLst/>
                    </a:prstGeom>
                    <a:noFill/>
                    <a:ln>
                      <a:noFill/>
                    </a:ln>
                  </pic:spPr>
                </pic:pic>
              </a:graphicData>
            </a:graphic>
          </wp:inline>
        </w:drawing>
      </w:r>
    </w:p>
    <w:p w14:paraId="6EA4E984" w14:textId="77777777" w:rsidR="00CC63E9" w:rsidRDefault="00CC63E9" w:rsidP="00B00B61">
      <w:pPr>
        <w:pStyle w:val="Body"/>
        <w:spacing w:after="0"/>
        <w:rPr>
          <w:rFonts w:ascii="Arial" w:hAnsi="Arial" w:cs="Arial"/>
        </w:rPr>
      </w:pPr>
    </w:p>
    <w:p w14:paraId="0873A884" w14:textId="6BE87FCD" w:rsidR="00CC63E9" w:rsidRDefault="00CC63E9" w:rsidP="00CC63E9">
      <w:pPr>
        <w:pStyle w:val="Body"/>
        <w:spacing w:after="0"/>
        <w:rPr>
          <w:rFonts w:ascii="Arial" w:hAnsi="Arial" w:cs="Arial"/>
          <w:b/>
          <w:bCs/>
          <w:szCs w:val="22"/>
        </w:rPr>
      </w:pPr>
      <w:r w:rsidRPr="00CC63E9">
        <w:rPr>
          <w:rFonts w:ascii="Arial" w:hAnsi="Arial" w:cs="Arial"/>
          <w:b/>
          <w:bCs/>
          <w:szCs w:val="22"/>
        </w:rPr>
        <w:t>Fig</w:t>
      </w:r>
      <w:r>
        <w:rPr>
          <w:rFonts w:ascii="Arial" w:hAnsi="Arial" w:cs="Arial"/>
          <w:b/>
          <w:bCs/>
          <w:szCs w:val="22"/>
        </w:rPr>
        <w:t>.</w:t>
      </w:r>
      <w:r w:rsidRPr="00CC63E9">
        <w:rPr>
          <w:rFonts w:ascii="Arial" w:hAnsi="Arial" w:cs="Arial"/>
          <w:b/>
          <w:bCs/>
          <w:szCs w:val="22"/>
        </w:rPr>
        <w:t xml:space="preserve"> 3: Displays paired forest plots of sensitivity and specificity</w:t>
      </w:r>
      <w:r>
        <w:rPr>
          <w:rFonts w:ascii="Arial" w:hAnsi="Arial" w:cs="Arial"/>
          <w:b/>
          <w:bCs/>
          <w:szCs w:val="22"/>
        </w:rPr>
        <w:t xml:space="preserve"> </w:t>
      </w:r>
      <w:r w:rsidRPr="00CC63E9">
        <w:rPr>
          <w:rFonts w:ascii="Arial" w:hAnsi="Arial" w:cs="Arial"/>
          <w:b/>
          <w:bCs/>
          <w:szCs w:val="22"/>
        </w:rPr>
        <w:t>in discriminating against prostate cancer (</w:t>
      </w:r>
      <w:proofErr w:type="spellStart"/>
      <w:r w:rsidRPr="00CC63E9">
        <w:rPr>
          <w:rFonts w:ascii="Arial" w:hAnsi="Arial" w:cs="Arial"/>
          <w:b/>
          <w:bCs/>
          <w:szCs w:val="22"/>
        </w:rPr>
        <w:t>PCa</w:t>
      </w:r>
      <w:proofErr w:type="spellEnd"/>
      <w:r w:rsidRPr="00CC63E9">
        <w:rPr>
          <w:rFonts w:ascii="Arial" w:hAnsi="Arial" w:cs="Arial"/>
          <w:b/>
          <w:bCs/>
          <w:szCs w:val="22"/>
        </w:rPr>
        <w:t xml:space="preserve">) patients from healthy/benign subjects. </w:t>
      </w:r>
      <w:r w:rsidRPr="00B00B61">
        <w:rPr>
          <w:rFonts w:ascii="Arial" w:hAnsi="Arial" w:cs="Arial"/>
          <w:b/>
          <w:bCs/>
          <w:szCs w:val="22"/>
        </w:rPr>
        <w:t xml:space="preserve"> </w:t>
      </w:r>
      <w:r>
        <w:rPr>
          <w:rFonts w:ascii="Arial" w:hAnsi="Arial" w:cs="Arial"/>
          <w:b/>
          <w:bCs/>
          <w:szCs w:val="22"/>
        </w:rPr>
        <w:t xml:space="preserve"> </w:t>
      </w:r>
    </w:p>
    <w:p w14:paraId="5B23AD1E" w14:textId="766BCA85" w:rsidR="00CC63E9" w:rsidRDefault="00CC63E9" w:rsidP="00CC63E9">
      <w:pPr>
        <w:pStyle w:val="Body"/>
        <w:rPr>
          <w:rFonts w:ascii="Arial" w:hAnsi="Arial" w:cs="Arial"/>
          <w:i/>
          <w:iCs/>
          <w:sz w:val="18"/>
          <w:szCs w:val="18"/>
        </w:rPr>
      </w:pPr>
      <w:r w:rsidRPr="00CC63E9">
        <w:rPr>
          <w:rFonts w:ascii="Arial" w:hAnsi="Arial" w:cs="Arial"/>
          <w:i/>
          <w:iCs/>
          <w:sz w:val="18"/>
          <w:szCs w:val="18"/>
        </w:rPr>
        <w:t>(</w:t>
      </w:r>
      <w:r w:rsidRPr="00CC63E9">
        <w:rPr>
          <w:rFonts w:ascii="Arial" w:hAnsi="Arial" w:cs="Arial"/>
          <w:b/>
          <w:bCs/>
          <w:i/>
          <w:iCs/>
          <w:sz w:val="18"/>
          <w:szCs w:val="18"/>
        </w:rPr>
        <w:t>A</w:t>
      </w:r>
      <w:r w:rsidRPr="00CC63E9">
        <w:rPr>
          <w:rFonts w:ascii="Arial" w:hAnsi="Arial" w:cs="Arial"/>
          <w:i/>
          <w:iCs/>
          <w:sz w:val="18"/>
          <w:szCs w:val="18"/>
        </w:rPr>
        <w:t>)</w:t>
      </w:r>
      <w:r>
        <w:rPr>
          <w:rFonts w:ascii="Arial" w:hAnsi="Arial" w:cs="Arial"/>
          <w:i/>
          <w:iCs/>
          <w:sz w:val="18"/>
          <w:szCs w:val="18"/>
        </w:rPr>
        <w:t xml:space="preserve"> </w:t>
      </w:r>
      <w:r w:rsidRPr="00CC63E9">
        <w:rPr>
          <w:rFonts w:ascii="Arial" w:hAnsi="Arial" w:cs="Arial"/>
          <w:i/>
          <w:iCs/>
          <w:sz w:val="18"/>
          <w:szCs w:val="18"/>
        </w:rPr>
        <w:t>miR-21, (</w:t>
      </w:r>
      <w:r w:rsidRPr="00CC63E9">
        <w:rPr>
          <w:rFonts w:ascii="Arial" w:hAnsi="Arial" w:cs="Arial"/>
          <w:b/>
          <w:bCs/>
          <w:i/>
          <w:iCs/>
          <w:sz w:val="18"/>
          <w:szCs w:val="18"/>
        </w:rPr>
        <w:t>B</w:t>
      </w:r>
      <w:r w:rsidRPr="00CC63E9">
        <w:rPr>
          <w:rFonts w:ascii="Arial" w:hAnsi="Arial" w:cs="Arial"/>
          <w:i/>
          <w:iCs/>
          <w:sz w:val="18"/>
          <w:szCs w:val="18"/>
        </w:rPr>
        <w:t>)</w:t>
      </w:r>
      <w:r>
        <w:rPr>
          <w:rFonts w:ascii="Arial" w:hAnsi="Arial" w:cs="Arial"/>
          <w:i/>
          <w:iCs/>
          <w:sz w:val="18"/>
          <w:szCs w:val="18"/>
        </w:rPr>
        <w:t xml:space="preserve"> </w:t>
      </w:r>
      <w:r w:rsidRPr="00CC63E9">
        <w:rPr>
          <w:rFonts w:ascii="Arial" w:hAnsi="Arial" w:cs="Arial"/>
          <w:i/>
          <w:iCs/>
          <w:sz w:val="18"/>
          <w:szCs w:val="18"/>
        </w:rPr>
        <w:t>miR-141, (</w:t>
      </w:r>
      <w:r w:rsidRPr="00CC63E9">
        <w:rPr>
          <w:rFonts w:ascii="Arial" w:hAnsi="Arial" w:cs="Arial"/>
          <w:b/>
          <w:bCs/>
          <w:i/>
          <w:iCs/>
          <w:sz w:val="18"/>
          <w:szCs w:val="18"/>
        </w:rPr>
        <w:t>C</w:t>
      </w:r>
      <w:r w:rsidRPr="00CC63E9">
        <w:rPr>
          <w:rFonts w:ascii="Arial" w:hAnsi="Arial" w:cs="Arial"/>
          <w:i/>
          <w:iCs/>
          <w:sz w:val="18"/>
          <w:szCs w:val="18"/>
        </w:rPr>
        <w:t>)</w:t>
      </w:r>
      <w:r>
        <w:rPr>
          <w:rFonts w:ascii="Arial" w:hAnsi="Arial" w:cs="Arial"/>
          <w:i/>
          <w:iCs/>
          <w:sz w:val="18"/>
          <w:szCs w:val="18"/>
        </w:rPr>
        <w:t xml:space="preserve"> </w:t>
      </w:r>
      <w:r w:rsidRPr="00CC63E9">
        <w:rPr>
          <w:rFonts w:ascii="Arial" w:hAnsi="Arial" w:cs="Arial"/>
          <w:i/>
          <w:iCs/>
          <w:sz w:val="18"/>
          <w:szCs w:val="18"/>
        </w:rPr>
        <w:t>miR-375, (</w:t>
      </w:r>
      <w:r w:rsidRPr="00CC63E9">
        <w:rPr>
          <w:rFonts w:ascii="Arial" w:hAnsi="Arial" w:cs="Arial"/>
          <w:b/>
          <w:bCs/>
          <w:i/>
          <w:iCs/>
          <w:sz w:val="18"/>
          <w:szCs w:val="18"/>
        </w:rPr>
        <w:t>D</w:t>
      </w:r>
      <w:r w:rsidRPr="00CC63E9">
        <w:rPr>
          <w:rFonts w:ascii="Arial" w:hAnsi="Arial" w:cs="Arial"/>
          <w:i/>
          <w:iCs/>
          <w:sz w:val="18"/>
          <w:szCs w:val="18"/>
        </w:rPr>
        <w:t>) combined miR-21/miR-141/miR-375 panel The plots present diagnostic probabilities with 95% confidence intervals, where pooled sensitivity and specificity estimates are indicated by diamond symbols.</w:t>
      </w:r>
      <w:r w:rsidR="00671876">
        <w:rPr>
          <w:rFonts w:ascii="Arial" w:hAnsi="Arial" w:cs="Arial"/>
          <w:i/>
          <w:iCs/>
          <w:sz w:val="18"/>
          <w:szCs w:val="18"/>
        </w:rPr>
        <w:t xml:space="preserve"> </w:t>
      </w:r>
    </w:p>
    <w:p w14:paraId="12421910" w14:textId="5EB61910" w:rsidR="00CC63E9" w:rsidRDefault="00671876" w:rsidP="00B00B61">
      <w:pPr>
        <w:pStyle w:val="Body"/>
        <w:spacing w:after="0"/>
        <w:rPr>
          <w:rFonts w:ascii="Arial" w:hAnsi="Arial" w:cs="Arial"/>
          <w:b/>
          <w:bCs/>
          <w:szCs w:val="22"/>
        </w:rPr>
      </w:pPr>
      <w:r>
        <w:rPr>
          <w:noProof/>
        </w:rPr>
        <w:lastRenderedPageBreak/>
        <w:drawing>
          <wp:inline distT="0" distB="0" distL="0" distR="0" wp14:anchorId="334F0DD7" wp14:editId="5B92C233">
            <wp:extent cx="3492000" cy="3492000"/>
            <wp:effectExtent l="0" t="0" r="0" b="0"/>
            <wp:docPr id="56471032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92000" cy="3492000"/>
                    </a:xfrm>
                    <a:prstGeom prst="rect">
                      <a:avLst/>
                    </a:prstGeom>
                    <a:noFill/>
                    <a:ln>
                      <a:noFill/>
                    </a:ln>
                  </pic:spPr>
                </pic:pic>
              </a:graphicData>
            </a:graphic>
          </wp:inline>
        </w:drawing>
      </w:r>
    </w:p>
    <w:p w14:paraId="46373225" w14:textId="77777777" w:rsidR="00671876" w:rsidRDefault="00671876" w:rsidP="00B00B61">
      <w:pPr>
        <w:pStyle w:val="Body"/>
        <w:spacing w:after="0"/>
        <w:rPr>
          <w:rFonts w:ascii="Arial" w:hAnsi="Arial" w:cs="Arial"/>
          <w:b/>
          <w:bCs/>
          <w:szCs w:val="22"/>
        </w:rPr>
      </w:pPr>
    </w:p>
    <w:p w14:paraId="2AD43B32" w14:textId="032673B5" w:rsidR="00671876" w:rsidRDefault="00671876" w:rsidP="00B00B61">
      <w:pPr>
        <w:pStyle w:val="Body"/>
        <w:spacing w:after="0"/>
        <w:rPr>
          <w:rFonts w:ascii="Arial" w:hAnsi="Arial" w:cs="Arial"/>
          <w:b/>
          <w:bCs/>
          <w:szCs w:val="22"/>
        </w:rPr>
      </w:pPr>
      <w:r>
        <w:rPr>
          <w:noProof/>
        </w:rPr>
        <w:drawing>
          <wp:inline distT="0" distB="0" distL="0" distR="0" wp14:anchorId="1066FCFB" wp14:editId="4FBB32A5">
            <wp:extent cx="3492000" cy="3492000"/>
            <wp:effectExtent l="0" t="0" r="0" b="0"/>
            <wp:docPr id="647314339" name="Image 10" descr="Une image contenant texte, diagramm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314339" name="Image 10" descr="Une image contenant texte, diagramme, capture d’écran&#10;&#10;Le contenu généré par l’IA peut êtr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92000" cy="3492000"/>
                    </a:xfrm>
                    <a:prstGeom prst="rect">
                      <a:avLst/>
                    </a:prstGeom>
                    <a:noFill/>
                    <a:ln>
                      <a:noFill/>
                    </a:ln>
                  </pic:spPr>
                </pic:pic>
              </a:graphicData>
            </a:graphic>
          </wp:inline>
        </w:drawing>
      </w:r>
    </w:p>
    <w:p w14:paraId="2B70FB09" w14:textId="77777777" w:rsidR="00CC63E9" w:rsidRDefault="00CC63E9" w:rsidP="00B00B61">
      <w:pPr>
        <w:pStyle w:val="Body"/>
        <w:spacing w:after="0"/>
        <w:rPr>
          <w:rFonts w:ascii="Arial" w:hAnsi="Arial" w:cs="Arial"/>
        </w:rPr>
      </w:pPr>
    </w:p>
    <w:p w14:paraId="74EF8C5D" w14:textId="77777777" w:rsidR="00CC63E9" w:rsidRDefault="00CC63E9" w:rsidP="00B00B61">
      <w:pPr>
        <w:pStyle w:val="Body"/>
        <w:spacing w:after="0"/>
        <w:rPr>
          <w:rFonts w:ascii="Arial" w:hAnsi="Arial" w:cs="Arial"/>
        </w:rPr>
      </w:pPr>
    </w:p>
    <w:p w14:paraId="1AFBB7A8" w14:textId="77777777" w:rsidR="00CC63E9" w:rsidRDefault="00CC63E9" w:rsidP="00B00B61">
      <w:pPr>
        <w:pStyle w:val="Body"/>
        <w:spacing w:after="0"/>
        <w:rPr>
          <w:rFonts w:ascii="Arial" w:hAnsi="Arial" w:cs="Arial"/>
        </w:rPr>
      </w:pPr>
    </w:p>
    <w:p w14:paraId="42901581" w14:textId="77777777" w:rsidR="00671876" w:rsidRDefault="00671876" w:rsidP="00F21EDD">
      <w:pPr>
        <w:pStyle w:val="Body"/>
        <w:spacing w:after="0"/>
        <w:rPr>
          <w:rFonts w:ascii="Arial" w:hAnsi="Arial" w:cs="Arial"/>
          <w:i/>
        </w:rPr>
      </w:pPr>
    </w:p>
    <w:p w14:paraId="5B87DB3B" w14:textId="0853C208" w:rsidR="00671876" w:rsidRDefault="00671876" w:rsidP="00F21EDD">
      <w:pPr>
        <w:pStyle w:val="Body"/>
        <w:spacing w:after="0"/>
        <w:rPr>
          <w:rFonts w:ascii="Arial" w:hAnsi="Arial" w:cs="Arial"/>
          <w:i/>
        </w:rPr>
      </w:pPr>
      <w:r>
        <w:rPr>
          <w:noProof/>
        </w:rPr>
        <w:lastRenderedPageBreak/>
        <w:drawing>
          <wp:inline distT="0" distB="0" distL="0" distR="0" wp14:anchorId="0765793C" wp14:editId="1B7458F5">
            <wp:extent cx="3492000" cy="3492000"/>
            <wp:effectExtent l="0" t="0" r="0" b="0"/>
            <wp:docPr id="58833094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2000" cy="3492000"/>
                    </a:xfrm>
                    <a:prstGeom prst="rect">
                      <a:avLst/>
                    </a:prstGeom>
                    <a:noFill/>
                    <a:ln>
                      <a:noFill/>
                    </a:ln>
                  </pic:spPr>
                </pic:pic>
              </a:graphicData>
            </a:graphic>
          </wp:inline>
        </w:drawing>
      </w:r>
    </w:p>
    <w:p w14:paraId="085D7680" w14:textId="77777777" w:rsidR="00671876" w:rsidRDefault="00671876" w:rsidP="00F21EDD">
      <w:pPr>
        <w:pStyle w:val="Body"/>
        <w:spacing w:after="0"/>
        <w:rPr>
          <w:rFonts w:ascii="Arial" w:hAnsi="Arial" w:cs="Arial"/>
          <w:i/>
        </w:rPr>
      </w:pPr>
    </w:p>
    <w:p w14:paraId="480BF085" w14:textId="1CDB1A84" w:rsidR="00671876" w:rsidRDefault="00671876" w:rsidP="00F21EDD">
      <w:pPr>
        <w:pStyle w:val="Body"/>
        <w:spacing w:after="0"/>
        <w:rPr>
          <w:rFonts w:ascii="Arial" w:hAnsi="Arial" w:cs="Arial"/>
          <w:i/>
        </w:rPr>
      </w:pPr>
      <w:r>
        <w:rPr>
          <w:noProof/>
        </w:rPr>
        <w:drawing>
          <wp:inline distT="0" distB="0" distL="0" distR="0" wp14:anchorId="6789C9CF" wp14:editId="1790720F">
            <wp:extent cx="3492000" cy="3492000"/>
            <wp:effectExtent l="0" t="0" r="0" b="0"/>
            <wp:docPr id="466699311" name="Image 12" descr="Une image contenant texte, diagramme, capture d’écran, cerc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699311" name="Image 12" descr="Une image contenant texte, diagramme, capture d’écran, cercle&#10;&#10;Le contenu généré par l’IA peut êtr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92000" cy="3492000"/>
                    </a:xfrm>
                    <a:prstGeom prst="rect">
                      <a:avLst/>
                    </a:prstGeom>
                    <a:noFill/>
                    <a:ln>
                      <a:noFill/>
                    </a:ln>
                  </pic:spPr>
                </pic:pic>
              </a:graphicData>
            </a:graphic>
          </wp:inline>
        </w:drawing>
      </w:r>
    </w:p>
    <w:p w14:paraId="360D40A0" w14:textId="77777777" w:rsidR="00671876" w:rsidRPr="00671876" w:rsidRDefault="00671876" w:rsidP="00F21EDD">
      <w:pPr>
        <w:pStyle w:val="Body"/>
        <w:spacing w:after="0"/>
        <w:rPr>
          <w:rFonts w:ascii="Arial" w:hAnsi="Arial" w:cs="Arial"/>
          <w:iCs/>
        </w:rPr>
      </w:pPr>
    </w:p>
    <w:p w14:paraId="68C8E7F3" w14:textId="47521BDC" w:rsidR="00671876" w:rsidRDefault="00671876" w:rsidP="00671876">
      <w:pPr>
        <w:pStyle w:val="Body"/>
        <w:spacing w:after="0"/>
        <w:rPr>
          <w:rFonts w:ascii="Arial" w:hAnsi="Arial" w:cs="Arial"/>
          <w:b/>
          <w:bCs/>
          <w:szCs w:val="22"/>
        </w:rPr>
      </w:pPr>
      <w:r w:rsidRPr="00671876">
        <w:rPr>
          <w:rFonts w:ascii="Arial" w:hAnsi="Arial" w:cs="Arial"/>
          <w:b/>
          <w:bCs/>
          <w:szCs w:val="22"/>
        </w:rPr>
        <w:t>Fig</w:t>
      </w:r>
      <w:r>
        <w:rPr>
          <w:rFonts w:ascii="Arial" w:hAnsi="Arial" w:cs="Arial"/>
          <w:b/>
          <w:bCs/>
          <w:szCs w:val="22"/>
        </w:rPr>
        <w:t>.</w:t>
      </w:r>
      <w:r w:rsidRPr="00671876">
        <w:rPr>
          <w:rFonts w:ascii="Arial" w:hAnsi="Arial" w:cs="Arial"/>
          <w:b/>
          <w:bCs/>
          <w:szCs w:val="22"/>
        </w:rPr>
        <w:t xml:space="preserve"> 4: Summary ROC curve with confidence and prediction regions around means operating sensitivity and specificity point.</w:t>
      </w:r>
      <w:r w:rsidR="002F45CA">
        <w:rPr>
          <w:rFonts w:ascii="Arial" w:hAnsi="Arial" w:cs="Arial"/>
          <w:b/>
          <w:bCs/>
          <w:szCs w:val="22"/>
        </w:rPr>
        <w:t xml:space="preserve"> </w:t>
      </w:r>
    </w:p>
    <w:p w14:paraId="40607159" w14:textId="77777777" w:rsidR="00671876" w:rsidRPr="00671876" w:rsidRDefault="00671876" w:rsidP="00671876">
      <w:pPr>
        <w:pStyle w:val="Body"/>
        <w:spacing w:after="0"/>
        <w:rPr>
          <w:rFonts w:ascii="Arial" w:hAnsi="Arial" w:cs="Arial"/>
          <w:i/>
          <w:iCs/>
          <w:sz w:val="18"/>
          <w:szCs w:val="18"/>
        </w:rPr>
      </w:pPr>
      <w:r w:rsidRPr="00671876">
        <w:rPr>
          <w:rFonts w:ascii="Arial" w:hAnsi="Arial" w:cs="Arial"/>
          <w:i/>
          <w:iCs/>
          <w:sz w:val="18"/>
          <w:szCs w:val="18"/>
        </w:rPr>
        <w:t xml:space="preserve">Note: (A) miR-21, (B) miR-141, (C) miR-375 and (D) miR-21, miR-141 and miR-375 </w:t>
      </w:r>
      <w:proofErr w:type="spellStart"/>
      <w:r w:rsidRPr="00671876">
        <w:rPr>
          <w:rFonts w:ascii="Arial" w:hAnsi="Arial" w:cs="Arial"/>
          <w:i/>
          <w:iCs/>
          <w:sz w:val="18"/>
          <w:szCs w:val="18"/>
        </w:rPr>
        <w:t>combinaison</w:t>
      </w:r>
      <w:proofErr w:type="spellEnd"/>
      <w:r w:rsidRPr="00671876">
        <w:rPr>
          <w:rFonts w:ascii="Arial" w:hAnsi="Arial" w:cs="Arial"/>
          <w:i/>
          <w:iCs/>
          <w:sz w:val="18"/>
          <w:szCs w:val="18"/>
        </w:rPr>
        <w:t xml:space="preserve">. </w:t>
      </w:r>
    </w:p>
    <w:p w14:paraId="4EE93AD9" w14:textId="635192E8" w:rsidR="00671876" w:rsidRPr="00B00B61" w:rsidRDefault="00671876" w:rsidP="00671876">
      <w:pPr>
        <w:pStyle w:val="Body"/>
        <w:spacing w:after="0"/>
        <w:rPr>
          <w:rFonts w:ascii="Arial" w:hAnsi="Arial" w:cs="Arial"/>
          <w:i/>
          <w:iCs/>
          <w:sz w:val="18"/>
          <w:szCs w:val="18"/>
        </w:rPr>
      </w:pPr>
      <w:r w:rsidRPr="00671876">
        <w:rPr>
          <w:rFonts w:ascii="Arial" w:hAnsi="Arial" w:cs="Arial"/>
          <w:i/>
          <w:iCs/>
          <w:sz w:val="18"/>
          <w:szCs w:val="18"/>
        </w:rPr>
        <w:t>Abbreviations: AUC = area under curve; SROC = summary receiver- operating characteristic; SENS = sensitivity; SPEC = specificity.</w:t>
      </w:r>
      <w:r w:rsidR="002F45CA">
        <w:rPr>
          <w:rFonts w:ascii="Arial" w:hAnsi="Arial" w:cs="Arial"/>
          <w:i/>
          <w:iCs/>
          <w:sz w:val="18"/>
          <w:szCs w:val="18"/>
        </w:rPr>
        <w:t xml:space="preserve">  </w:t>
      </w:r>
    </w:p>
    <w:p w14:paraId="48CF7C91" w14:textId="34F95CA9" w:rsidR="00671876" w:rsidRDefault="00671876" w:rsidP="00F21EDD">
      <w:pPr>
        <w:pStyle w:val="Body"/>
        <w:spacing w:after="0"/>
        <w:rPr>
          <w:rFonts w:ascii="Arial" w:hAnsi="Arial" w:cs="Arial"/>
          <w:iCs/>
        </w:rPr>
      </w:pPr>
      <w:r>
        <w:rPr>
          <w:noProof/>
        </w:rPr>
        <w:lastRenderedPageBreak/>
        <w:drawing>
          <wp:inline distT="0" distB="0" distL="0" distR="0" wp14:anchorId="371A8FA5" wp14:editId="12DBDBEB">
            <wp:extent cx="2400781" cy="3600000"/>
            <wp:effectExtent l="0" t="0" r="0" b="0"/>
            <wp:docPr id="146086464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0781" cy="3600000"/>
                    </a:xfrm>
                    <a:prstGeom prst="rect">
                      <a:avLst/>
                    </a:prstGeom>
                    <a:noFill/>
                    <a:ln>
                      <a:noFill/>
                    </a:ln>
                  </pic:spPr>
                </pic:pic>
              </a:graphicData>
            </a:graphic>
          </wp:inline>
        </w:drawing>
      </w:r>
      <w:r w:rsidR="002F45CA">
        <w:rPr>
          <w:rFonts w:ascii="Arial" w:hAnsi="Arial" w:cs="Arial"/>
          <w:iCs/>
        </w:rPr>
        <w:t xml:space="preserve">           </w:t>
      </w:r>
      <w:r w:rsidR="002F45CA">
        <w:rPr>
          <w:noProof/>
        </w:rPr>
        <w:drawing>
          <wp:inline distT="0" distB="0" distL="0" distR="0" wp14:anchorId="679A3E6D" wp14:editId="096C17DB">
            <wp:extent cx="2400000" cy="3600000"/>
            <wp:effectExtent l="0" t="0" r="0" b="0"/>
            <wp:docPr id="149819592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0000" cy="3600000"/>
                    </a:xfrm>
                    <a:prstGeom prst="rect">
                      <a:avLst/>
                    </a:prstGeom>
                    <a:noFill/>
                    <a:ln>
                      <a:noFill/>
                    </a:ln>
                  </pic:spPr>
                </pic:pic>
              </a:graphicData>
            </a:graphic>
          </wp:inline>
        </w:drawing>
      </w:r>
    </w:p>
    <w:p w14:paraId="617E9427" w14:textId="77777777" w:rsidR="002F45CA" w:rsidRDefault="002F45CA" w:rsidP="00F21EDD">
      <w:pPr>
        <w:pStyle w:val="Body"/>
        <w:spacing w:after="0"/>
        <w:rPr>
          <w:rFonts w:ascii="Arial" w:hAnsi="Arial" w:cs="Arial"/>
          <w:iCs/>
        </w:rPr>
      </w:pPr>
    </w:p>
    <w:p w14:paraId="0DF31F32" w14:textId="140B5ACE" w:rsidR="002F45CA" w:rsidRDefault="002F45CA" w:rsidP="002F45CA">
      <w:pPr>
        <w:pStyle w:val="Body"/>
        <w:spacing w:after="0"/>
        <w:jc w:val="center"/>
        <w:rPr>
          <w:rFonts w:ascii="Arial" w:hAnsi="Arial" w:cs="Arial"/>
          <w:iCs/>
        </w:rPr>
      </w:pPr>
      <w:r>
        <w:rPr>
          <w:noProof/>
        </w:rPr>
        <w:drawing>
          <wp:inline distT="0" distB="0" distL="0" distR="0" wp14:anchorId="5A8C94DB" wp14:editId="3E2AC248">
            <wp:extent cx="2400000" cy="3600000"/>
            <wp:effectExtent l="0" t="0" r="0" b="0"/>
            <wp:docPr id="75965303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00000" cy="3600000"/>
                    </a:xfrm>
                    <a:prstGeom prst="rect">
                      <a:avLst/>
                    </a:prstGeom>
                    <a:noFill/>
                    <a:ln>
                      <a:noFill/>
                    </a:ln>
                  </pic:spPr>
                </pic:pic>
              </a:graphicData>
            </a:graphic>
          </wp:inline>
        </w:drawing>
      </w:r>
    </w:p>
    <w:p w14:paraId="48F092C5" w14:textId="77777777" w:rsidR="002F45CA" w:rsidRDefault="002F45CA" w:rsidP="002F45CA">
      <w:pPr>
        <w:pStyle w:val="Body"/>
        <w:spacing w:after="0"/>
        <w:jc w:val="center"/>
        <w:rPr>
          <w:rFonts w:ascii="Arial" w:hAnsi="Arial" w:cs="Arial"/>
          <w:iCs/>
        </w:rPr>
      </w:pPr>
    </w:p>
    <w:p w14:paraId="7232DB9F" w14:textId="73AEFB03" w:rsidR="002F45CA" w:rsidRDefault="002F45CA" w:rsidP="002F45CA">
      <w:pPr>
        <w:pStyle w:val="Body"/>
        <w:spacing w:after="0"/>
        <w:rPr>
          <w:rFonts w:ascii="Arial" w:hAnsi="Arial" w:cs="Arial"/>
          <w:b/>
          <w:bCs/>
          <w:szCs w:val="22"/>
        </w:rPr>
      </w:pPr>
      <w:r w:rsidRPr="002F45CA">
        <w:rPr>
          <w:rFonts w:ascii="Arial" w:hAnsi="Arial" w:cs="Arial"/>
          <w:b/>
          <w:bCs/>
          <w:szCs w:val="22"/>
        </w:rPr>
        <w:t>Fig</w:t>
      </w:r>
      <w:r>
        <w:rPr>
          <w:rFonts w:ascii="Arial" w:hAnsi="Arial" w:cs="Arial"/>
          <w:b/>
          <w:bCs/>
          <w:szCs w:val="22"/>
        </w:rPr>
        <w:t>.</w:t>
      </w:r>
      <w:r w:rsidRPr="002F45CA">
        <w:rPr>
          <w:rFonts w:ascii="Arial" w:hAnsi="Arial" w:cs="Arial"/>
          <w:b/>
          <w:bCs/>
          <w:szCs w:val="22"/>
        </w:rPr>
        <w:t xml:space="preserve"> 5: Post-Test Probability Assessment Using Fagan's Nomogram</w:t>
      </w:r>
      <w:r w:rsidR="00510C3B">
        <w:rPr>
          <w:rFonts w:ascii="Arial" w:hAnsi="Arial" w:cs="Arial"/>
          <w:b/>
          <w:bCs/>
          <w:szCs w:val="22"/>
        </w:rPr>
        <w:t xml:space="preserve"> </w:t>
      </w:r>
    </w:p>
    <w:p w14:paraId="06BB53FC" w14:textId="371F0C6D" w:rsidR="00F21EDD" w:rsidRPr="00067738" w:rsidRDefault="002F45CA" w:rsidP="00F21EDD">
      <w:pPr>
        <w:pStyle w:val="Body"/>
        <w:spacing w:after="0"/>
        <w:rPr>
          <w:rFonts w:ascii="Arial" w:hAnsi="Arial" w:cs="Arial"/>
          <w:iCs/>
        </w:rPr>
      </w:pPr>
      <w:r w:rsidRPr="002F45CA">
        <w:rPr>
          <w:rFonts w:ascii="Arial" w:hAnsi="Arial" w:cs="Arial"/>
          <w:i/>
          <w:iCs/>
          <w:sz w:val="18"/>
          <w:szCs w:val="18"/>
        </w:rPr>
        <w:t>Note: (A) miR-21, (B) miR-141, (C) miR-375 and miR-21.</w:t>
      </w:r>
      <w:r w:rsidR="00510C3B">
        <w:rPr>
          <w:rFonts w:ascii="Arial" w:hAnsi="Arial" w:cs="Arial"/>
          <w:i/>
          <w:iCs/>
          <w:sz w:val="18"/>
          <w:szCs w:val="18"/>
        </w:rPr>
        <w:t xml:space="preserve">  </w:t>
      </w:r>
      <w:r w:rsidR="00510C3B" w:rsidRPr="00510C3B">
        <w:rPr>
          <w:rFonts w:ascii="Arial" w:hAnsi="Arial" w:cs="Arial"/>
          <w:i/>
          <w:iCs/>
          <w:sz w:val="18"/>
          <w:szCs w:val="18"/>
        </w:rPr>
        <w:t>(a) goodness of fit based on residuals, (b) bivariate normality, (c) influence analysis, and (d) outlier detection.</w:t>
      </w:r>
    </w:p>
    <w:p w14:paraId="6CC030D1" w14:textId="1E43EFD1" w:rsidR="00510C3B" w:rsidRDefault="00510C3B" w:rsidP="00510C3B">
      <w:pPr>
        <w:pStyle w:val="Body"/>
        <w:spacing w:after="0"/>
        <w:rPr>
          <w:rFonts w:ascii="Arial" w:hAnsi="Arial" w:cs="Arial"/>
          <w:b/>
          <w:sz w:val="22"/>
          <w:szCs w:val="22"/>
        </w:rPr>
      </w:pPr>
      <w:r w:rsidRPr="00510C3B">
        <w:rPr>
          <w:rFonts w:ascii="Arial" w:hAnsi="Arial" w:cs="Arial"/>
          <w:b/>
          <w:sz w:val="22"/>
          <w:szCs w:val="22"/>
        </w:rPr>
        <w:lastRenderedPageBreak/>
        <w:t>3.5.</w:t>
      </w:r>
      <w:r>
        <w:rPr>
          <w:rFonts w:ascii="Arial" w:hAnsi="Arial" w:cs="Arial"/>
          <w:b/>
          <w:sz w:val="22"/>
          <w:szCs w:val="22"/>
        </w:rPr>
        <w:t xml:space="preserve"> </w:t>
      </w:r>
      <w:r w:rsidRPr="00510C3B">
        <w:rPr>
          <w:rFonts w:ascii="Arial" w:hAnsi="Arial" w:cs="Arial"/>
          <w:b/>
          <w:sz w:val="22"/>
          <w:szCs w:val="22"/>
        </w:rPr>
        <w:t>Publication Bias</w:t>
      </w:r>
    </w:p>
    <w:p w14:paraId="5B91A836" w14:textId="77777777" w:rsidR="00F21EDD" w:rsidRPr="00FB3A86" w:rsidRDefault="00F21EDD" w:rsidP="00F21EDD">
      <w:pPr>
        <w:pStyle w:val="Body"/>
        <w:spacing w:after="0"/>
        <w:rPr>
          <w:rFonts w:ascii="Arial" w:hAnsi="Arial" w:cs="Arial"/>
        </w:rPr>
      </w:pPr>
    </w:p>
    <w:p w14:paraId="4815BE79" w14:textId="77777777" w:rsidR="00510C3B" w:rsidRPr="00510C3B" w:rsidRDefault="00510C3B" w:rsidP="00510C3B">
      <w:pPr>
        <w:pStyle w:val="Body"/>
        <w:rPr>
          <w:rFonts w:ascii="Arial" w:hAnsi="Arial" w:cs="Arial"/>
        </w:rPr>
      </w:pPr>
      <w:r w:rsidRPr="00510C3B">
        <w:rPr>
          <w:rFonts w:ascii="Arial" w:hAnsi="Arial" w:cs="Arial"/>
          <w:b/>
          <w:bCs/>
        </w:rPr>
        <w:t>Fig. 6</w:t>
      </w:r>
      <w:r w:rsidRPr="00510C3B">
        <w:rPr>
          <w:rFonts w:ascii="Arial" w:hAnsi="Arial" w:cs="Arial"/>
        </w:rPr>
        <w:t xml:space="preserve"> displays the residual analysis from the bivariate model evaluating the diagnostic performance of miR-21, miR-141, and miR-375. The results demonstrate that the bivariate model shows satisfactory fit to the data, meets the assumption of bivariate normality, and does not appear to be unduly influenced by any individual studies. These findings support the robustness and statistical validity of the meta-analysis results for these three miRNAs.</w:t>
      </w:r>
    </w:p>
    <w:p w14:paraId="0538FEE1" w14:textId="26C8F096" w:rsidR="00510C3B" w:rsidRPr="00510C3B" w:rsidRDefault="00510C3B" w:rsidP="00510C3B">
      <w:pPr>
        <w:pStyle w:val="Body"/>
        <w:rPr>
          <w:rFonts w:ascii="Arial" w:hAnsi="Arial" w:cs="Arial"/>
        </w:rPr>
      </w:pPr>
      <w:r w:rsidRPr="00510C3B">
        <w:rPr>
          <w:rFonts w:ascii="Arial" w:hAnsi="Arial" w:cs="Arial"/>
        </w:rPr>
        <w:t>Regarding publication bias, Deeks' funnel plots (</w:t>
      </w:r>
      <w:r w:rsidRPr="00510C3B">
        <w:rPr>
          <w:rFonts w:ascii="Arial" w:hAnsi="Arial" w:cs="Arial"/>
          <w:b/>
          <w:bCs/>
        </w:rPr>
        <w:t>Fig. 7</w:t>
      </w:r>
      <w:r w:rsidRPr="00510C3B">
        <w:rPr>
          <w:rFonts w:ascii="Arial" w:hAnsi="Arial" w:cs="Arial"/>
        </w:rPr>
        <w:t>) suggest an absence of significant publication bias, as evidenced by the observed funnel plot symmetry. This visual assessment is corroborated by formal asymmetry tests showing non-significant P-values: .11 for miR-21, .12 for miR-141, and .99 for miR-375, indicating no detectable bias for any of the biomarkers.</w:t>
      </w:r>
    </w:p>
    <w:p w14:paraId="7DEF0C42" w14:textId="14DE3958" w:rsidR="00F21EDD" w:rsidRDefault="00510C3B" w:rsidP="00510C3B">
      <w:pPr>
        <w:pStyle w:val="Body"/>
        <w:rPr>
          <w:rFonts w:ascii="Arial" w:hAnsi="Arial" w:cs="Arial"/>
        </w:rPr>
      </w:pPr>
      <w:r w:rsidRPr="00510C3B">
        <w:rPr>
          <w:rFonts w:ascii="Arial" w:hAnsi="Arial" w:cs="Arial"/>
        </w:rPr>
        <w:t>The combination of graphical assessment and statistical testing provides comprehensive evidence that the meta-analysis results are not substantially affected by publication bias. The symmetric distribution of study estimates around the pooled effect size, particularly for miR-375, further strengthens confidence in the validity of our findings. These results suggest that the diagnostic accuracy estimates presented in this meta-analysis are robust and representative of the available evidence.</w:t>
      </w:r>
    </w:p>
    <w:p w14:paraId="21B5000E" w14:textId="2B84F8CC" w:rsidR="00510C3B" w:rsidRDefault="00510C3B" w:rsidP="00510C3B">
      <w:pPr>
        <w:pStyle w:val="Body"/>
        <w:rPr>
          <w:rFonts w:ascii="Arial" w:hAnsi="Arial" w:cs="Arial"/>
        </w:rPr>
      </w:pPr>
      <w:r>
        <w:rPr>
          <w:noProof/>
        </w:rPr>
        <w:drawing>
          <wp:inline distT="0" distB="0" distL="0" distR="0" wp14:anchorId="3861A704" wp14:editId="6DDC796A">
            <wp:extent cx="4453847" cy="3240000"/>
            <wp:effectExtent l="0" t="0" r="0" b="0"/>
            <wp:docPr id="61586935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53847" cy="3240000"/>
                    </a:xfrm>
                    <a:prstGeom prst="rect">
                      <a:avLst/>
                    </a:prstGeom>
                    <a:noFill/>
                    <a:ln>
                      <a:noFill/>
                    </a:ln>
                  </pic:spPr>
                </pic:pic>
              </a:graphicData>
            </a:graphic>
          </wp:inline>
        </w:drawing>
      </w:r>
    </w:p>
    <w:p w14:paraId="151E5587" w14:textId="77777777" w:rsidR="00510C3B" w:rsidRDefault="00510C3B" w:rsidP="00510C3B">
      <w:pPr>
        <w:pStyle w:val="Body"/>
        <w:rPr>
          <w:rFonts w:ascii="Arial" w:hAnsi="Arial" w:cs="Arial"/>
        </w:rPr>
      </w:pPr>
    </w:p>
    <w:p w14:paraId="756F0D9E" w14:textId="217B1063" w:rsidR="00510C3B" w:rsidRDefault="00510C3B" w:rsidP="00510C3B">
      <w:pPr>
        <w:pStyle w:val="Body"/>
        <w:rPr>
          <w:rFonts w:ascii="Arial" w:hAnsi="Arial" w:cs="Arial"/>
        </w:rPr>
      </w:pPr>
      <w:r>
        <w:rPr>
          <w:noProof/>
        </w:rPr>
        <w:lastRenderedPageBreak/>
        <w:drawing>
          <wp:inline distT="0" distB="0" distL="0" distR="0" wp14:anchorId="49095975" wp14:editId="3F3EF8D2">
            <wp:extent cx="4453847" cy="3240000"/>
            <wp:effectExtent l="0" t="0" r="0" b="0"/>
            <wp:docPr id="1717347397" name="Image 17" descr="Une image contenant texte, diagramme, capture d’écran,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347397" name="Image 17" descr="Une image contenant texte, diagramme, capture d’écran, nombre&#10;&#10;Le contenu généré par l’IA peut êtr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53847" cy="3240000"/>
                    </a:xfrm>
                    <a:prstGeom prst="rect">
                      <a:avLst/>
                    </a:prstGeom>
                    <a:noFill/>
                    <a:ln>
                      <a:noFill/>
                    </a:ln>
                  </pic:spPr>
                </pic:pic>
              </a:graphicData>
            </a:graphic>
          </wp:inline>
        </w:drawing>
      </w:r>
    </w:p>
    <w:p w14:paraId="0EA0F15A" w14:textId="13E4A3BB" w:rsidR="00510C3B" w:rsidRDefault="00510C3B" w:rsidP="00510C3B">
      <w:pPr>
        <w:pStyle w:val="Body"/>
        <w:rPr>
          <w:rFonts w:ascii="Arial" w:hAnsi="Arial" w:cs="Arial"/>
        </w:rPr>
      </w:pPr>
      <w:r>
        <w:rPr>
          <w:noProof/>
        </w:rPr>
        <w:drawing>
          <wp:inline distT="0" distB="0" distL="0" distR="0" wp14:anchorId="609787C8" wp14:editId="0298E968">
            <wp:extent cx="4453847" cy="3240000"/>
            <wp:effectExtent l="0" t="0" r="0" b="0"/>
            <wp:docPr id="997457081" name="Image 18" descr="Une image contenant texte, diagramme, capture d’écran,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457081" name="Image 18" descr="Une image contenant texte, diagramme, capture d’écran, nombre&#10;&#10;Le contenu généré par l’IA peut êtr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53847" cy="3240000"/>
                    </a:xfrm>
                    <a:prstGeom prst="rect">
                      <a:avLst/>
                    </a:prstGeom>
                    <a:noFill/>
                    <a:ln>
                      <a:noFill/>
                    </a:ln>
                  </pic:spPr>
                </pic:pic>
              </a:graphicData>
            </a:graphic>
          </wp:inline>
        </w:drawing>
      </w:r>
    </w:p>
    <w:p w14:paraId="475AA30E" w14:textId="0FB54777" w:rsidR="00510C3B" w:rsidRDefault="00510C3B" w:rsidP="00510C3B">
      <w:pPr>
        <w:pStyle w:val="Body"/>
        <w:spacing w:after="0"/>
        <w:rPr>
          <w:rFonts w:ascii="Arial" w:hAnsi="Arial" w:cs="Arial"/>
          <w:b/>
          <w:bCs/>
          <w:szCs w:val="22"/>
        </w:rPr>
      </w:pPr>
      <w:r w:rsidRPr="00510C3B">
        <w:rPr>
          <w:rFonts w:ascii="Arial" w:hAnsi="Arial" w:cs="Arial"/>
          <w:b/>
          <w:bCs/>
          <w:szCs w:val="22"/>
        </w:rPr>
        <w:t>Fig</w:t>
      </w:r>
      <w:r>
        <w:rPr>
          <w:rFonts w:ascii="Arial" w:hAnsi="Arial" w:cs="Arial"/>
          <w:b/>
          <w:bCs/>
          <w:szCs w:val="22"/>
        </w:rPr>
        <w:t>.</w:t>
      </w:r>
      <w:r w:rsidRPr="00510C3B">
        <w:rPr>
          <w:rFonts w:ascii="Arial" w:hAnsi="Arial" w:cs="Arial"/>
          <w:b/>
          <w:bCs/>
          <w:szCs w:val="22"/>
        </w:rPr>
        <w:t xml:space="preserve"> 6: Model Verification for miR-21 (A), miR-141 (B), and miR-375 (C) Studies</w:t>
      </w:r>
      <w:r w:rsidR="001960A1">
        <w:rPr>
          <w:rFonts w:ascii="Arial" w:hAnsi="Arial" w:cs="Arial"/>
          <w:b/>
          <w:bCs/>
          <w:szCs w:val="22"/>
        </w:rPr>
        <w:t xml:space="preserve"> </w:t>
      </w:r>
    </w:p>
    <w:p w14:paraId="69276E92" w14:textId="6254E2E6" w:rsidR="00510C3B" w:rsidRPr="00510C3B" w:rsidRDefault="00510C3B" w:rsidP="00510C3B">
      <w:pPr>
        <w:pStyle w:val="Body"/>
        <w:spacing w:after="0"/>
        <w:rPr>
          <w:rFonts w:ascii="Arial" w:hAnsi="Arial" w:cs="Arial"/>
          <w:iCs/>
        </w:rPr>
      </w:pPr>
      <w:r w:rsidRPr="00510C3B">
        <w:rPr>
          <w:rFonts w:ascii="Arial" w:hAnsi="Arial" w:cs="Arial"/>
          <w:i/>
          <w:iCs/>
          <w:sz w:val="18"/>
          <w:szCs w:val="18"/>
        </w:rPr>
        <w:t>(a) goodness of fit based on residuals, (b) bivariate normality, (c) influence analysis, and (d) outlier detection.</w:t>
      </w:r>
      <w:r w:rsidR="001960A1">
        <w:rPr>
          <w:rFonts w:ascii="Arial" w:hAnsi="Arial" w:cs="Arial"/>
          <w:i/>
          <w:iCs/>
          <w:sz w:val="18"/>
          <w:szCs w:val="18"/>
        </w:rPr>
        <w:t xml:space="preserve">     </w:t>
      </w:r>
    </w:p>
    <w:p w14:paraId="11D52D54" w14:textId="77777777" w:rsidR="00510C3B" w:rsidRDefault="00510C3B" w:rsidP="00510C3B">
      <w:pPr>
        <w:pStyle w:val="Body"/>
        <w:rPr>
          <w:rFonts w:ascii="Arial" w:hAnsi="Arial" w:cs="Arial"/>
        </w:rPr>
      </w:pPr>
    </w:p>
    <w:p w14:paraId="1C55EDC4" w14:textId="77777777" w:rsidR="00510C3B" w:rsidRDefault="00510C3B" w:rsidP="00510C3B">
      <w:pPr>
        <w:pStyle w:val="Body"/>
        <w:rPr>
          <w:rFonts w:ascii="Arial" w:hAnsi="Arial" w:cs="Arial"/>
        </w:rPr>
      </w:pPr>
    </w:p>
    <w:p w14:paraId="021E4F30" w14:textId="77777777" w:rsidR="00510C3B" w:rsidRDefault="00510C3B" w:rsidP="00510C3B">
      <w:pPr>
        <w:pStyle w:val="Body"/>
        <w:rPr>
          <w:rFonts w:ascii="Arial" w:hAnsi="Arial" w:cs="Arial"/>
        </w:rPr>
      </w:pPr>
    </w:p>
    <w:p w14:paraId="02471773" w14:textId="2C5DF6C8" w:rsidR="00510C3B" w:rsidRDefault="00510C3B" w:rsidP="00510C3B">
      <w:pPr>
        <w:pStyle w:val="Body"/>
        <w:rPr>
          <w:rFonts w:ascii="Arial" w:hAnsi="Arial" w:cs="Arial"/>
        </w:rPr>
      </w:pPr>
      <w:r>
        <w:rPr>
          <w:noProof/>
        </w:rPr>
        <w:lastRenderedPageBreak/>
        <w:drawing>
          <wp:inline distT="0" distB="0" distL="0" distR="0" wp14:anchorId="61114B40" wp14:editId="64CEBA4C">
            <wp:extent cx="4453851" cy="3240000"/>
            <wp:effectExtent l="0" t="0" r="0" b="0"/>
            <wp:docPr id="165626059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53851" cy="3240000"/>
                    </a:xfrm>
                    <a:prstGeom prst="rect">
                      <a:avLst/>
                    </a:prstGeom>
                    <a:noFill/>
                    <a:ln>
                      <a:noFill/>
                    </a:ln>
                  </pic:spPr>
                </pic:pic>
              </a:graphicData>
            </a:graphic>
          </wp:inline>
        </w:drawing>
      </w:r>
    </w:p>
    <w:p w14:paraId="19A7C376" w14:textId="0BE11786" w:rsidR="00510C3B" w:rsidRDefault="001960A1" w:rsidP="00510C3B">
      <w:pPr>
        <w:pStyle w:val="Body"/>
        <w:rPr>
          <w:rFonts w:ascii="Arial" w:hAnsi="Arial" w:cs="Arial"/>
        </w:rPr>
      </w:pPr>
      <w:r>
        <w:rPr>
          <w:noProof/>
        </w:rPr>
        <w:drawing>
          <wp:inline distT="0" distB="0" distL="0" distR="0" wp14:anchorId="28A1C696" wp14:editId="596E96B8">
            <wp:extent cx="4453847" cy="3240000"/>
            <wp:effectExtent l="0" t="0" r="0" b="0"/>
            <wp:docPr id="1811220988" name="Image 20"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220988" name="Image 20" descr="Une image contenant texte, capture d’écran, diagramme, ligne&#10;&#10;Le contenu généré par l’IA peut êtr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53847" cy="3240000"/>
                    </a:xfrm>
                    <a:prstGeom prst="rect">
                      <a:avLst/>
                    </a:prstGeom>
                    <a:noFill/>
                    <a:ln>
                      <a:noFill/>
                    </a:ln>
                  </pic:spPr>
                </pic:pic>
              </a:graphicData>
            </a:graphic>
          </wp:inline>
        </w:drawing>
      </w:r>
    </w:p>
    <w:p w14:paraId="30FAB705" w14:textId="3DB49248" w:rsidR="001960A1" w:rsidRDefault="001960A1" w:rsidP="00510C3B">
      <w:pPr>
        <w:pStyle w:val="Body"/>
        <w:rPr>
          <w:rFonts w:ascii="Arial" w:hAnsi="Arial" w:cs="Arial"/>
        </w:rPr>
      </w:pPr>
      <w:r>
        <w:rPr>
          <w:noProof/>
        </w:rPr>
        <w:lastRenderedPageBreak/>
        <w:drawing>
          <wp:inline distT="0" distB="0" distL="0" distR="0" wp14:anchorId="4D68901C" wp14:editId="001FA7A2">
            <wp:extent cx="4453847" cy="3240000"/>
            <wp:effectExtent l="0" t="0" r="0" b="0"/>
            <wp:docPr id="664438636" name="Image 21" descr="Une image contenant texte, capture d’écran, diagramm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38636" name="Image 21" descr="Une image contenant texte, capture d’écran, diagramme, nombre&#10;&#10;Le contenu généré par l’IA peut êtr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53847" cy="3240000"/>
                    </a:xfrm>
                    <a:prstGeom prst="rect">
                      <a:avLst/>
                    </a:prstGeom>
                    <a:noFill/>
                    <a:ln>
                      <a:noFill/>
                    </a:ln>
                  </pic:spPr>
                </pic:pic>
              </a:graphicData>
            </a:graphic>
          </wp:inline>
        </w:drawing>
      </w:r>
    </w:p>
    <w:p w14:paraId="475D1CDA" w14:textId="77777777" w:rsidR="001960A1" w:rsidRDefault="001960A1" w:rsidP="001960A1">
      <w:pPr>
        <w:pStyle w:val="Body"/>
        <w:spacing w:after="0"/>
        <w:rPr>
          <w:rFonts w:ascii="Arial" w:hAnsi="Arial" w:cs="Arial"/>
          <w:b/>
          <w:bCs/>
          <w:szCs w:val="22"/>
        </w:rPr>
      </w:pPr>
      <w:r w:rsidRPr="001960A1">
        <w:rPr>
          <w:rFonts w:ascii="Arial" w:hAnsi="Arial" w:cs="Arial"/>
          <w:b/>
          <w:bCs/>
          <w:szCs w:val="22"/>
        </w:rPr>
        <w:t>Figure 7: Deeks’ funnel plots asymmetry test.</w:t>
      </w:r>
    </w:p>
    <w:p w14:paraId="33E80368" w14:textId="32AAA19E" w:rsidR="00510C3B" w:rsidRPr="00510C3B" w:rsidRDefault="001960A1" w:rsidP="00510C3B">
      <w:pPr>
        <w:pStyle w:val="Body"/>
        <w:rPr>
          <w:rFonts w:ascii="Arial" w:hAnsi="Arial" w:cs="Arial"/>
        </w:rPr>
      </w:pPr>
      <w:r w:rsidRPr="001960A1">
        <w:rPr>
          <w:rFonts w:ascii="Arial" w:hAnsi="Arial" w:cs="Arial"/>
          <w:i/>
          <w:iCs/>
          <w:sz w:val="18"/>
          <w:szCs w:val="18"/>
        </w:rPr>
        <w:t>Note: (A) miR-21, (B) miR-141 and (C) miR-375.</w:t>
      </w:r>
    </w:p>
    <w:p w14:paraId="56B64EB7" w14:textId="77777777" w:rsidR="00F21EDD" w:rsidRDefault="00F21EDD" w:rsidP="00F21EDD">
      <w:pPr>
        <w:pStyle w:val="Head1"/>
        <w:spacing w:after="0"/>
        <w:jc w:val="both"/>
        <w:rPr>
          <w:rFonts w:ascii="Arial" w:hAnsi="Arial" w:cs="Arial"/>
        </w:rPr>
      </w:pPr>
      <w:r>
        <w:rPr>
          <w:rFonts w:ascii="Arial" w:hAnsi="Arial" w:cs="Arial"/>
        </w:rPr>
        <w:t>4. discussion</w:t>
      </w:r>
    </w:p>
    <w:p w14:paraId="2AF69D5F" w14:textId="77777777" w:rsidR="00F21EDD" w:rsidRDefault="00F21EDD" w:rsidP="00F21EDD">
      <w:pPr>
        <w:autoSpaceDE w:val="0"/>
        <w:autoSpaceDN w:val="0"/>
        <w:adjustRightInd w:val="0"/>
        <w:ind w:left="360"/>
        <w:jc w:val="both"/>
        <w:rPr>
          <w:rFonts w:ascii="Arial" w:hAnsi="Arial" w:cs="Arial"/>
          <w:i/>
          <w:sz w:val="18"/>
        </w:rPr>
      </w:pPr>
    </w:p>
    <w:p w14:paraId="00B6D76B" w14:textId="77777777" w:rsidR="00F703D8" w:rsidRPr="00F703D8" w:rsidRDefault="00F703D8" w:rsidP="00F703D8">
      <w:pPr>
        <w:autoSpaceDE w:val="0"/>
        <w:autoSpaceDN w:val="0"/>
        <w:adjustRightInd w:val="0"/>
        <w:spacing w:after="240"/>
        <w:jc w:val="both"/>
        <w:rPr>
          <w:rFonts w:ascii="Arial" w:hAnsi="Arial" w:cs="Arial"/>
          <w:iCs/>
          <w:sz w:val="18"/>
        </w:rPr>
      </w:pPr>
      <w:r w:rsidRPr="00F703D8">
        <w:rPr>
          <w:rFonts w:ascii="Arial" w:hAnsi="Arial" w:cs="Arial"/>
          <w:iCs/>
          <w:sz w:val="18"/>
        </w:rPr>
        <w:t>Prostate cancer (</w:t>
      </w:r>
      <w:proofErr w:type="spellStart"/>
      <w:r w:rsidRPr="00F703D8">
        <w:rPr>
          <w:rFonts w:ascii="Arial" w:hAnsi="Arial" w:cs="Arial"/>
          <w:iCs/>
          <w:sz w:val="18"/>
        </w:rPr>
        <w:t>PCa</w:t>
      </w:r>
      <w:proofErr w:type="spellEnd"/>
      <w:r w:rsidRPr="00F703D8">
        <w:rPr>
          <w:rFonts w:ascii="Arial" w:hAnsi="Arial" w:cs="Arial"/>
          <w:iCs/>
          <w:sz w:val="18"/>
        </w:rPr>
        <w:t>) is currently and increasingly a global health issue. It is the second most common cancer in men and the third most common in older adults. It progresses rapidly and has a high mortality rate.</w:t>
      </w:r>
    </w:p>
    <w:p w14:paraId="0172C9DD" w14:textId="6C987FE5" w:rsidR="00F703D8" w:rsidRPr="00001CAC" w:rsidRDefault="00F703D8" w:rsidP="00F703D8">
      <w:pPr>
        <w:autoSpaceDE w:val="0"/>
        <w:autoSpaceDN w:val="0"/>
        <w:adjustRightInd w:val="0"/>
        <w:spacing w:after="240"/>
        <w:jc w:val="both"/>
        <w:rPr>
          <w:rFonts w:ascii="Arial" w:hAnsi="Arial" w:cs="Arial"/>
          <w:iCs/>
          <w:sz w:val="18"/>
          <w:lang w:val="fr-FR"/>
        </w:rPr>
      </w:pPr>
      <w:r w:rsidRPr="00F703D8">
        <w:rPr>
          <w:rFonts w:ascii="Arial" w:hAnsi="Arial" w:cs="Arial"/>
          <w:iCs/>
          <w:sz w:val="18"/>
        </w:rPr>
        <w:t xml:space="preserve">The aim of our meta-analysis was to evaluate the diagnostic value of circulating microRNAs in </w:t>
      </w:r>
      <w:proofErr w:type="spellStart"/>
      <w:r w:rsidRPr="00F703D8">
        <w:rPr>
          <w:rFonts w:ascii="Arial" w:hAnsi="Arial" w:cs="Arial"/>
          <w:iCs/>
          <w:sz w:val="18"/>
        </w:rPr>
        <w:t>PCa</w:t>
      </w:r>
      <w:proofErr w:type="spellEnd"/>
      <w:r w:rsidRPr="00F703D8">
        <w:rPr>
          <w:rFonts w:ascii="Arial" w:hAnsi="Arial" w:cs="Arial"/>
          <w:iCs/>
          <w:sz w:val="18"/>
        </w:rPr>
        <w:t xml:space="preserve">. We found several miRNAs of interest in the literature, three of which were notable for their frequency and the relatively inconsistent data available on their function </w:t>
      </w:r>
      <w:r w:rsidR="00001CAC">
        <w:rPr>
          <w:rFonts w:ascii="Arial" w:hAnsi="Arial" w:cs="Arial"/>
          <w:iCs/>
          <w:sz w:val="18"/>
        </w:rPr>
        <w:fldChar w:fldCharType="begin"/>
      </w:r>
      <w:r w:rsidR="00F669DC">
        <w:rPr>
          <w:rFonts w:ascii="Arial" w:hAnsi="Arial" w:cs="Arial"/>
          <w:iCs/>
          <w:sz w:val="18"/>
        </w:rPr>
        <w:instrText xml:space="preserve"> ADDIN ZOTERO_ITEM CSL_CITATION {"citationID":"a29361dc6i8","properties":{"formattedCitation":"(Guan et al., 2016; Ibrahim et al., 2019; Jokovi\\uc0\\u263{} et al., 2022; Li et al., 2016; Nitusca et al., 2022b, 2022a; Osipov et al., 2016; Porzycki et al., 2018; Ye et al., 2020)","plainCitation":"(Guan et al., 2016; Ibrahim et al., 2019; Joković et al., 2022; Li et al., 2016; Nitusca et al., 2022b, 2022a; Osipov et al., 2016; Porzycki et al., 2018; Ye et al., 2020)","noteIndex":0},"citationItems":[{"id":617,"uris":["http://zotero.org/users/3583561/items/Y77KQ4JE"],"itemData":{"id":617,"type":"article-journal","abstract":"BACKGROUND Despite androgen deprivation therapy (ADT) remains the mainstay therapy for advanced prostate cancer (PCa), the patients have widely variable durations of response to ADT. Unfortunately, there is limited knowledge of pre-treatment prognostic factors for response to ADT. Recently, microRNA-21 (miR-21) has been reported to play an important role in development of castration resistance of CaP. However, little is known about the expression of miR-21 in advanced PCa biopsy tissues, and data on its potential predictive value in advanced PCa are completely lacking. METHODS In this study, paraffin-embedded prostate carcinoma tissues obtained by needle biopsy from 85 advanced PCa patients were evaluated for the expression levels of miR-21 by quantitative real-time PCR (qRT-PCR). In situ hybridization (ISH) analysis was performed to further confirm the qRT-PCR results. Kaplan–Meier analysis and Cox proportional hazards regression models were performed to investigate the correlation between miR-21 expression and time to progression of advanced PCa patients. RESULTS Compared with adjacent non-cancerous prostate tissues, the expression level of miR-21 was significantly increased in PCa tissues (PCa vs. non-cancerous prostate: 1.3273 ± 0.3207 vs. 0.9970 ± 0.2054, P &lt; 0.001). By and large, in ISH analysis miR-21 was expressed at a higher level in tumor areas than in adjacent non­cancerous areas. Additionally, PCa patients with higher expression of miR-21 were significantly more likely to be of high Gleason score and high clinical stage (P &lt; 0.05). There was no significant association between miR-21 expression and the initial prostate-specific antigen (PSA) level or age at diagnosis. Moreover, Kaplan–Meier survival analysis found that PCa patients with high miR-21 expression have shorter progression-free survival than those with low miR-21 expression. Furthermore, Multivariate Cox analysis revealed both miR-21 expression status (P = 0.040) and clinical stage (P = 0.042) were all independent predictive factor for progression-free survival for advanced PCa. CONCLUSION These findings suggest for the first time that the up-regulation of miR-21 may serve as an independent predictor of progress-free survival in patients with advanced PCa. Prostate 76:986–993, 2016. © 2016 Wiley Periodicals, Inc.","container-title":"The Prostate","DOI":"10.1002/pros.23187","ISSN":"1097-0045","issue":"11","language":"en","note":"_eprint: https://onlinelibrary.wiley.com/doi/pdf/10.1002/pros.23187","page":"986-993","source":"Wiley Online Library","title":"Association of microRNA-21 expression with clinicopathological characteristics and the risk of progression in advanced prostate cancer patients receiving androgen deprivation therapy","URL":"https://onlinelibrary.wiley.com/doi/abs/10.1002/pros.23187","volume":"76","author":[{"family":"Guan","given":"Yangbo"},{"family":"Wu","given":"You"},{"family":"Liu","given":"Yifei"},{"family":"Ni","given":"Jian"},{"family":"Nong","given":"Shaojun"}],"accessed":{"date-parts":[["2023",5,23]]},"issued":{"date-parts":[["2016"]]}}},{"id":486,"uris":["http://zotero.org/users/3583561/items/RYSV9JFV","http://zotero.org/users/3583561/items/UYDERLUC"],"itemData":{"id":486,"type":"article-journal","abstract":"Prostate cancer (PC) is considered as the fifth cause of cancer deaths worldwide. The exact etiopathogenesis is unclear; however, genetic predisposition, hormonal influencers, lifestyle and environmental factors act as major contributors. It has been found that several miRNAs may play a crucial role in cancer initiation and progression. Here, in this study, we evaluated the peripheral blood levels of miR-21, miR-141, miR-221 and miR-18a expression among 80 prostate cancer patients (50 localised and 30 metastatic) and 30 benign prostatic hyperplasia patients compared to 50 normal control subjects, using RT-PCR. Our results of analysis of miR-21, miR-141, miR-18a and miR-221 in the plasma of PC patients showed that miR-18a is a powerful discriminator of PC patients from healthy controls as it had the highest AUC (0.966; 95% CI, 0.937-1.000), while miR-221 provided better differentiation of metastatic from localised PC (sensitivity was 92.9% at 100% specificity), and when we combine miR-18a and miR-221 for differentiating patients with MPC, it will increase the sensitivity to 96.4% at a specificity of 100% (AUC, 0.997; 95% CI, 0.988-1.0) (p &lt; .000). This current study recommends that analysis of these miRNAs might have clinical value in enhancing PSA testing.","container-title":"Andrologia","DOI":"10.1111/and.13384","ISSN":"1439-0272","issue":"10","journalAbbreviation":"Andrologia","language":"eng","note":"PMID: 31483058","page":"e13384","source":"PubMed","title":"Diagnostic significance of miR-21, miR-141, miR-18a and miR-221 as novel biomarkers in prostate cancer among Egyptian patients","volume":"51","author":[{"family":"Ibrahim","given":"Noha H."},{"family":"Abdellateif","given":"Mona S."},{"family":"Kassem","given":"Samar Hassab-Allah"},{"family":"Abd El Salam","given":"Mohamed Ahmed"},{"family":"El Gammal","given":"Mosaad M."}],"issued":{"date-parts":[["2019",11]]}}},{"id":34,"uris":["http://zotero.org/users/3583561/items/YL3SS75Z"],"itemData":{"id":34,"type":"article-journal","abstract":"MiR-21 and miR-375 have been reported as dysregulated in prostate cancer (PCa) in multiple previous studies. Still, variable or even opposing data for the expression of these microRNAs in PCa were found, and their potential biomarker properties remain elusive. In an attempt to clarify their significance as PCa biomarkers, as well as to compare different types of specimens as a source of relevant microRNAs, we used plasma and matching plasma-derived exosomes from patients with PCa and patients with benign prostatic hyperplasia (BPH). Plasma and exosomes were obtained from 34 patients with PCa and 34 patients with BPH, and their levels of expression of miR-21 and miR-375 were determined by RT-qPCR. We found no significant difference in the level of expression of these microRNAs in plasma and exosomes between patients with PCa and BPH. The level of exosomal miR-21 was elevated in PCa patients with high serum PSA values, as well as in patients with aggressive PCa, while for plasma samples, the results remained insignificant. For miR-375, we did not find an association with the values of standard prognostic parameters of PCa, nor with cancer aggressiveness. Therefore, our results support the potential prognostic role of exosomal miR-21 expression levels in PCa.","container-title":"Genes","DOI":"10.3390/genes13122320","ISSN":"2073-4425","issue":"12","journalAbbreviation":"Genes (Basel)","note":"PMID: 36553586\nPMCID: PMC9778022","page":"2320","source":"PubMed Central","title":"MiR-375 and miR-21 as Potential Biomarkers of Prostate Cancer: Comparison of Matching Samples of Plasma and Exosomes","title-short":"MiR-375 and miR-21 as Potential Biomarkers of Prostate Cancer","URL":"https://www.ncbi.nlm.nih.gov/pmc/articles/PMC9778022/","volume":"13","author":[{"family":"Joković","given":"Suzana Matijašević"},{"family":"Dobrijević","given":"Zorana"},{"family":"Kotarac","given":"Nevena"},{"family":"Filipović","given":"Lidija"},{"family":"Popović","given":"Milica"},{"family":"Korać","given":"Aleksandra"},{"family":"Vuković","given":"Ivan"},{"family":"Savić-Pavićević","given":"Dušanka"},{"family":"Brajušković","given":"Goran"}],"accessed":{"date-parts":[["2023",5,1]]},"issued":{"date-parts":[["2022",12,9]]}}},{"id":795,"uris":["http://zotero.org/users/3583561/items/3ZAD7B5I","http://zotero.org/users/3583561/items/MNAIIMYK"],"itemData":{"id":795,"type":"article-journal","abstract":"PURPOSE: Novel biomarkers for the diagnosis of prostate cancer (PCa) are urgently required. Increasing evidence suggests that exosomal microRNAs (miRNAs or miRs) in serum may be potential noninvasive biomarkers for certain diseases. The objective of the present study was to investigate and assess whether exosomal miR-141 is an effective biomarker for human PCa.\nMETHODS: In the present study, exosomes were isolated from the serum of patients with PCa, patients with benign prostate hyperplasia (BPH), and healthy volunteers. The total RNA was extracted from the exosomes and the level of miR-141 was analyzed by quantitative reverse transcription-polymerase chain reaction. The expression levels of miR-141 were compared between the whole serum and the serum exosomes of the three groups. Subsequently, the relevance of the exosomal expression of miR-141 to the clinicopathological factors in PCa was investigated.\nRESULTS: The expression of miR-141 was higher in exosomes compared with whole serum (control group, P=0.0003; BPH group, P=0.0016; PCa group, P&lt;0.0001). The level of serum exosomal miR-141 was significantly higher in the patients with PCa compared with the patients with BPH and the healthy controls (3.85-fold, P=0.0007 and 4.06-fold, P=0.0005, respectively). In addition, the expression levels were significantly higher in metastatic PCa compared with localized PCa (P&lt;0.0001). Receiver-operating characteristic curve revealed that the serum exosomal miR-141 yielded an area under the curve of 0.8694, with 80% sensitivity and 87.1% specificity in discriminating patients with metastatic PCa from the patients with localized PCa.\nCONCLUSION: Serum exosomes may serve as a more suitable material compared with the whole serum for measuring circulating miR-141 levels in patients with PCa. Exosomal miR-141 is upregulated in the serum from patients with PCa compared with patients with BPH or the healthy volunteers, and it may be a useful potential biomarker for the diagnosis of metastatic PCa.","container-title":"OncoTargets and Therapy","DOI":"10.2147/OTT.S95565","ISSN":"1178-6930","journalAbbreviation":"Onco Targets Ther","language":"eng","note":"PMID: 26770063\nPMCID: PMC4706124","page":"139-148","source":"PubMed","title":"Exosomal microRNA-141 is upregulated in the serum of prostate cancer patients","volume":"9","author":[{"family":"Li","given":"Zhuo"},{"family":"Ma","given":"Yue-Yun"},{"family":"Wang","given":"Juan"},{"family":"Zeng","given":"Xian-Fei"},{"family":"Li","given":"Rui"},{"family":"Kang","given":"Wei"},{"family":"Hao","given":"Xiao-Ke"}],"issued":{"date-parts":[["2016"]]}}},{"id":710,"uris":["http://zotero.org/users/3583561/items/35DGDNS8"],"itemData":{"id":710,"type":"article-journal","abstract":"Background and Objectives: Responding to the need for additional biomarkers for the diagnosis of prostate cancer (PCa), mounting studies show that microRNAs (miRNAs/miRs) possess great potential as future promising diagnostic tools. However, the usefulness of these miRNAs is still highly debated, as the degree of inconsistency between study designs and results is still elevated. Herein, we present a meta-analysis evaluating the diagnostic value and accuracy of circulating miR-375, as it is one of the most studied types of miRs in PCa. Materials and Methods: The diagnostic accuracy of miR-375 was evaluated using the QUADAS-2 tool, analyzing different statistical parameters. The seven studies (from six articles) that matched our selection included 422 PCa patients and 212 controls (70 healthy volunteers + 142 with benign prostate diseases). Results and Conclusion: We obtained a p-value of 0.76 for sensitivity, 0.83 for specificity, 16 for DOR, 4.6 for LR+, 0.29 for LR−, and 0.87 for AUC (95% CI 0.83–0.89). Our results confirm that miRNA-375 has high diagnostic potential for PCa, suggesting its usefulness as a powerful biomarker. More comprehensive studies are warranted to better assess its true value as a diagnostic biomarker for this urologic disease.","container-title":"Medicina","DOI":"10.3390/medicina58040529","ISSN":"1010-660X","issue":"4","journalAbbreviation":"Medicina (Kaunas)","note":"PMID: 35454368\nPMCID: PMC9032467","page":"529","source":"PubMed Central","title":"Diagnostic Value of microRNA-375 as Future Biomarker for Prostate Cancer Detection: A Meta-Analysis","title-short":"Diagnostic Value of microRNA-375 as Future Biomarker for Prostate Cancer Detection","URL":"https://www.ncbi.nlm.nih.gov/pmc/articles/PMC9032467/","volume":"58","author":[{"family":"Nitusca","given":"Diana"},{"family":"Marcu","given":"Anca"},{"family":"Seclaman","given":"Edward"},{"family":"Bardan","given":"Razvan"},{"family":"Sirbu","given":"Ioan Ovidiu"},{"family":"Balacescu","given":"Ovidiu"},{"family":"Bucur","given":"Adina Ioana"},{"family":"Ursoniu","given":"Sorin"},{"family":"Marian","given":"Catalin"}],"accessed":{"date-parts":[["2023",5,7]]},"issued":{"date-parts":[["2022",4,10]]}}},{"id":8105,"uris":["http://zotero.org/users/3583561/items/MMCBGPYZ"],"itemData":{"id":8105,"type":"article-journal","abstract":"(1) Background and Objectives: Responding to the need for more optimized biomarkers for prostate cancer (PCa) diagnosis, a high number of studies have shown that microRNAs (miRNAs) could serve as novel, more reliable diagnostic tools. The usefulness of these miRNAs in assessing the presence of PCa is still under debate, given the discrepancies in their diagnostic performances. In this respect, hsa-miR-141 is among the miRNAs of particular interest, being very much investigated in PCa biology. (2) Material and Methods: Here, we provide a meta-analysis of miR-141 data published until May 2019, whose diagnostic accuracy was assessed using the Quality Assessment for Diagnostic Accuracy Studies-2 (QUADAS-2) tool, by analyzing several parameters including sensitivity, specificity, positive likelihood ratio (LR+), negative likelihood ratio (LR-), diagnostic odds ratio (DOR) and the area under the curve (AUC). The six studies that matched our selection and were included in our meta-analysis comprise 283 PCa patients, 114 healthy controls, with 84 patients suffering from benign prostate diseases. (3) Results and Conclusions: Our results indicate a very good diagnostic accuracy for miRNA-141 (0.78 sensitivity, 0.96 specificity, DOR of 89, LR+ of 21, LR- of 0.23 and AUC of 0.87), underlying its utility as a PCa diagnostic biomarker.","container-title":"Timisoara Med","DOI":"10.35995/tmj20220204","issue":"2","language":"en","note":"number: 2","page":"0-0","source":"www.tmj.ro","title":"Circulating microRNA-141 as a Biomarker for Prostate Cancer: A Systematic Review and Meta-Analysis","title-short":"Circulating microRNA-141 as a Biomarker for Prostate Cancer","URL":"https://www.tmj.ro/article/2022/2/202","volume":"2022","author":[{"family":"Nitusca","given":"Diana"},{"family":"Marcu","given":"Anca"},{"family":"Seclaman","given":"Edward"},{"family":"Bardan","given":"Razvan"},{"family":"Sirbu","given":"Ioan Ovidiu"},{"family":"Balacescu","given":"Ovidiu"},{"family":"Bucur","given":"Adina Ioana"},{"family":"Ursoniu","given":"Sorin"},{"family":"Marian","given":"Catalin"}],"accessed":{"date-parts":[["2025",6,26]]},"issued":{"date-parts":[["2022",9]]}}},{"id":577,"uris":["http://zotero.org/users/3583561/items/Y93ECYPB"],"itemData":{"id":577,"type":"article-journal","abstract":"Expression levels of five miRNAs (miR-19b, miR-21, miR-126, miR-141, miR-205) were measured in the plasma of healthy donors and prostate cancer patients. It was shown that miR-141 expression level efficiently discriminates early stage prostate cancer patients and correlates with the Gleason score.","container-title":"Advances in Experimental Medicine and Biology","DOI":"10.1007/978-3-319-42044-8_2","ISSN":"0065-2598","journalAbbreviation":"Adv Exp Med Biol","language":"eng","note":"Porzycki","page":"9-12","source":"PubMed","title":"Cell-Free miRNA-141 and miRNA-205 as Prostate Cancer Biomarkers","volume":"924","author":[{"family":"Osipov","given":"Ivan D."},{"family":"Zaporozhchenko","given":"Ivan A."},{"family":"Bondar","given":"Anna A."},{"family":"Zaripov","given":"Marat M."},{"family":"Voytsitskiy","given":"Vladimir E."},{"family":"Vlassov","given":"Valentin V."},{"family":"Laktionov","given":"Pavel P."},{"family":"Morozkin","given":"Evgeny S."}],"issued":{"date-parts":[["2016"]]}}},{"id":93,"uris":["http://zotero.org/users/3583561/items/NZFL3MEY","http://zotero.org/users/3583561/items/SELRIWKQ"],"itemData":{"id":93,"type":"article-journal","abstract":"Purpose\nProstate cancer (PCa) is a common tumor disease in western countries and a leading cause of cancer-driven mortality in men. Current methods for prostate cancer detection, like prostate-specific antigen screening, lead to significant overtreatment. The purpose of the study was to analyze circulating microRNAs in serum as non-invasive biomarkers in patients with diagnosis of prostate cancer and healthy individuals.\n\nMethods\nThis preliminary study included a population of 20 patients with mean age of 68.6 years and mean PSA of 21.3 ng/ml. Eight healthy patients were used as control. MiRNAs were quantified in the total RNA fraction extracted from serum and levels of five microRNAs (miR-106b, miR-141, miR-21, mir-34a, and miR-375) were quantified by RT-qPCR. Statistical analyses evaluated correlation between clinicopathological data and miRNAs expression levels.\n\nResults\nRelative expression ratios of miR-106b, miR-141-3p, miR-21, and miR-375 were significantly increased (1.8-,  1.9-, 2.4-, and 2.6-fold, respectively) in the PCa group compared to healthy control. Using receiver operating characteristics, the highest area under the curve equal to 0.906 was obtained for miR-357 and indicates a very good diagnostic properties of this biomarker. We found expression level of mir-34a not related with PCa.\n\nConclusions\nOur results support previous findings on the possibility of discriminating prostate cancer patients from healthy controls by detecting miRNA (miR-141-3p, miR-21, and miR-375). Further insights into miRNA abundance and characteristics are necessary to validate the panel of miRNA as surrogate markers in diagnosis of prostate cancer.","container-title":"International Urology and Nephrology","DOI":"10.1007/s11255-018-1938-2","ISSN":"0301-1623","issue":"9","journalAbbreviation":"Int Urol Nephrol","note":"PMID: 30014459\nPMCID: PMC6133127","page":"1619-1626","source":"PubMed Central","title":"Combination of three miRNA (miR-141, miR-21, and miR-375) as potential diagnostic tool for prostate cancer recognition","URL":"https://www.ncbi.nlm.nih.gov/pmc/articles/PMC6133127/","volume":"50","author":[{"family":"Porzycki","given":"Paweł"},{"family":"Ciszkowicz","given":"Ewa"},{"family":"Semik","given":"Małgorzata"},{"family":"Tyrka","given":"Mirosław"}],"accessed":{"date-parts":[["2023",1,12]]},"issued":{"date-parts":[["2018"]]}}},{"id":71,"uris":["http://zotero.org/users/3583561/items/NPD3MAJ7"],"itemData":{"id":71,"type":"article-journal","abstract":"Arrière-plan: \n        miR-141 a progressivement démontré son intérêt dans le diagnostic du cancer de la prostate . Cependant, les paramètres diagnostiques des études précédentes diffèrent. Une revue systématique a été menée pour explorer la valeur diagnostique de miR-141 dans le cancer de la prostate .\n        Méthodes : \n        Une recherche exhaustive de la littérature dans les bases de données PubMed, Medline, Cochrane Library et Embase a été effectuée. Les 7 études incluses ont évalué la valeur diagnostique de miR-141 chez les patients atteints d' un cancer de la prostate jusqu'au 31 octobre 2019. Nous avons utilisé la version 1.4 du méta-disque et la version 12.0 du logiciel STATA pour analyser les données.\n        Résultats: \n        La sensibilité et la spécificité regroupées étaient de 0,70 (intervalle de confiance à 95 % [IC] 0,64-0,75) et de 0,73 (IC à 95 % 0,64-0,80), respectivement. Le rapport de vraisemblance positif était de 2,88 (IC à 95 % 1,40-5,93) et le rapport de vraisemblance négatif était de 0,38 (IC à 95 % 0,20-0,71). En outre, nous notons que l'odds ratio diagnostique groupé de miR-141 pour le cancer de la prostate était</w:instrText>
      </w:r>
      <w:r w:rsidR="00F669DC" w:rsidRPr="00F669DC">
        <w:rPr>
          <w:rFonts w:ascii="Arial" w:hAnsi="Arial" w:cs="Arial"/>
          <w:iCs/>
          <w:sz w:val="18"/>
          <w:lang w:val="fr-FR"/>
        </w:rPr>
        <w:instrText xml:space="preserve"> de 9,94 (IC à 95 % : 2,55 à 38,80). L'aire récapitulative sous la courbe caractéristique de fonctionnement du récepteur était de 0,83 (IC à 95 % : 0,79 à 0,86). Les résultats de la méta-régression suggèrent que l'hétérogénéité provient principalement de l'âge du patient. Les résultats du nomogramme de Fagan ont montré qu'il était augmenté de manière significative en testant miR-141 pour le diagnostic du cancer de la prostate .\n        Conclusion: \n        Cette méta-analyse suggère que miR-141 a une valeur diagnostique élevée pour le cancer de la prostate . Dans le futur, des études prospectives à grande échelle sont nécessaires pour vérifier et évaluer ce résultat.","container-title":"Medicine","DOI":"10.1097/MD.0000000000019993","issue":"22","language":"fr","page":"e19993","source":"journals.lww.com","title":"The diagnostic value of miRNA-141 in prostate cancer: A systematic review and PRISMA-compliant meta-analysis","title-short":"The diagnostic value of miRNA-141 in prostate cancer","URL":"https://journals.lww.com/md-journal/Fulltext/2020/05290/The_diagnostic_value_of_miRNA_141_in_prostate.13.aspx","volume":"99","author":[{"family":"Ye","given":"Yun"},{"family":"Yuan","given":"Xiao-Hua"},{"family":"Wang","given":"Jian-Jun"},{"family":"Wang","given":"Yu-Chen"},{"family":"Li","given":"Su-Liang"}],"accessed":{"date-parts":[["2023",2,23]]},"issued":{"date-parts":[["2020",5,29]]}}}],"schema":"https://github.com/citation-style-language/schema/raw/master/csl-citation.json"} </w:instrText>
      </w:r>
      <w:r w:rsidR="00001CAC">
        <w:rPr>
          <w:rFonts w:ascii="Arial" w:hAnsi="Arial" w:cs="Arial"/>
          <w:iCs/>
          <w:sz w:val="18"/>
        </w:rPr>
        <w:fldChar w:fldCharType="separate"/>
      </w:r>
      <w:r w:rsidR="00F669DC" w:rsidRPr="00F669DC">
        <w:rPr>
          <w:rFonts w:ascii="Arial" w:hAnsi="Arial" w:cs="Arial"/>
          <w:sz w:val="18"/>
          <w:lang w:val="fr-FR"/>
        </w:rPr>
        <w:t>(Guan et al., 2016; Ibrahim et al., 2019; Joković et al., 2022; Li et al., 2016; Nitusca et al., 2022b, 2022a; Osipov et al., 2016; Porzycki et al., 2018; Ye et al., 2020)</w:t>
      </w:r>
      <w:r w:rsidR="00001CAC">
        <w:rPr>
          <w:rFonts w:ascii="Arial" w:hAnsi="Arial" w:cs="Arial"/>
          <w:iCs/>
          <w:sz w:val="18"/>
        </w:rPr>
        <w:fldChar w:fldCharType="end"/>
      </w:r>
      <w:r w:rsidRPr="00001CAC">
        <w:rPr>
          <w:rFonts w:ascii="Arial" w:hAnsi="Arial" w:cs="Arial"/>
          <w:iCs/>
          <w:sz w:val="18"/>
          <w:lang w:val="fr-FR"/>
        </w:rPr>
        <w:t>.</w:t>
      </w:r>
    </w:p>
    <w:p w14:paraId="2BB6DA49" w14:textId="57839DC9" w:rsidR="00F703D8" w:rsidRPr="00F703D8" w:rsidRDefault="00F703D8" w:rsidP="00F703D8">
      <w:pPr>
        <w:autoSpaceDE w:val="0"/>
        <w:autoSpaceDN w:val="0"/>
        <w:adjustRightInd w:val="0"/>
        <w:spacing w:after="240"/>
        <w:jc w:val="both"/>
        <w:rPr>
          <w:rFonts w:ascii="Arial" w:hAnsi="Arial" w:cs="Arial"/>
          <w:iCs/>
          <w:sz w:val="18"/>
        </w:rPr>
      </w:pPr>
      <w:r w:rsidRPr="00F703D8">
        <w:rPr>
          <w:rFonts w:ascii="Arial" w:hAnsi="Arial" w:cs="Arial"/>
          <w:iCs/>
          <w:sz w:val="18"/>
        </w:rPr>
        <w:t xml:space="preserve">In previous meta-analyses, the performance of each of these microRNAs was examined separately </w:t>
      </w:r>
      <w:r w:rsidR="00001CAC">
        <w:rPr>
          <w:rFonts w:ascii="Arial" w:hAnsi="Arial" w:cs="Arial"/>
          <w:iCs/>
          <w:sz w:val="18"/>
        </w:rPr>
        <w:fldChar w:fldCharType="begin"/>
      </w:r>
      <w:r w:rsidR="00F669DC">
        <w:rPr>
          <w:rFonts w:ascii="Arial" w:hAnsi="Arial" w:cs="Arial"/>
          <w:iCs/>
          <w:sz w:val="18"/>
        </w:rPr>
        <w:instrText xml:space="preserve"> ADDIN ZOTERO_ITEM CSL_CITATION {"citationID":"a25cfm5stgh","properties":{"formattedCitation":"(Nitusca et al., 2022b, 2022a; Zhang et al., 2022; Zhou &amp; Zhu, 2019)","plainCitation":"(Nitusca et al., 2022b, 2022a; Zhang et al., 2022; Zhou &amp; Zhu, 2019)","noteIndex":0},"citationItems":[{"id":710,"uris":["http://zotero.org/users/3583561/items/35DGDNS8"],"itemData":{"id":710,"type":"article-journal","abstract":"Background and Objectives: Responding to the need for additional biomarkers for the diagnosis of prostate cancer (PCa), mounting studies show that microRNAs (miRNAs/miRs) possess great potential as future promising diagnostic tools. However, the usefulness of these miRNAs is still highly debated, as the degree of inconsistency between study designs and results is still elevated. Herein, we present a meta-analysis evaluating the diagnostic value and accuracy of circulating miR-375, as it is one of the most studied types of miRs in PCa. Materials and Methods: The diagnostic accuracy of miR-375 was evaluated using the QUADAS-2 tool, analyzing different statistical parameters. The seven studies (from six articles) that matched our selection included 422 PCa patients and 212 controls (70 healthy volunteers + 142 with benign prostate diseases). Results and Conclusion: We obtained a p-value of 0.76 for sensitivity, 0.83 for specificity, 16 for DOR, 4.6 for LR+, 0.29 for LR−, and 0.87 for AUC (95% CI 0.83–0.89). Our results confirm that miRNA-375 has high diagnostic potential for PCa, suggesting its usefulness as a powerful biomarker. More comprehensive studies are warranted to better assess its true value as a diagnostic biomarker for this urologic disease.","container-title":"Medicina","DOI":"10.3390/medicina58040529","ISSN":"1010-660X","issue":"4","journalAbbreviation":"Medicina (Kaunas)","note":"PMID: 35454368\nPMCID: PMC9032467","page":"529","source":"PubMed Central","title":"Diagnostic Value of microRNA-375 as Future Biomarker for Prostate Cancer Detection: A Meta-Analysis","title-short":"Diagnostic Value of microRNA-375 as Future Biomarker for Prostate Cancer Detection","URL":"https://www.ncbi.nlm.nih.gov/pmc/articles/PMC9032467/","volume":"58","author":[{"family":"Nitusca","given":"Diana"},{"family":"Marcu","given":"Anca"},{"family":"Seclaman","given":"Edward"},{"family":"Bardan","given":"Razvan"},{"family":"Sirbu","given":"Ioan Ovidiu"},{"family":"Balacescu","given":"Ovidiu"},{"family":"Bucur","given":"Adina Ioana"},{"family":"Ursoniu","given":"Sorin"},{"family":"Marian","given":"Catalin"}],"accessed":{"date-parts":[["2023",5,7]]},"issued":{"date-parts":[["2022",4,10]]}}},{"id":8105,"uris":["http://zotero.org/users/3583561/items/MMCBGPYZ"],"itemData":{"id":8105,"type":"article-journal","abstract":"(1) Background and Objectives: Responding to the need for more optimized biomarkers for prostate cancer (PCa) diagnosis, a high number of studies have shown that microRNAs (miRNAs) could serve as novel, more reliable diagnostic tools. The usefulness of these miRNAs in assessing the presence of PCa is still under debate, given the discrepancies in their diagnostic performances. In this respect, hsa-miR-141 is among the miRNAs of particular interest, being very much investigated in PCa biology. (2) Material and Methods: Here, we provide a meta-analysis of miR-141 data published until May 2019, whose diagnostic accuracy was assessed using the Quality Assessment for Diagnostic Accuracy Studies-2 (QUADAS-2) tool, by analyzing several parameters including sensitivity, specificity, positive likelihood ratio (LR+), negative likelihood ratio (LR-), diagnostic odds ratio (DOR) and the area under the curve (AUC). The six studies that matched our selection and were included in our meta-analysis comprise 283 PCa patients, 114 healthy controls, with 84 patients suffering from benign prostate diseases. (3) Results and Conclusions: Our results indicate a very good diagnostic accuracy for miRNA-141 (0.78 sensitivity, 0.96 specificity, DOR of 89, LR+ of 21, LR- of 0.23 and AUC of 0.87), underlying its utility as a PCa diagnostic biomarker.","container-title":"Timisoara Med","DOI":"10.35995/tmj20220204","issue":"2","language":"en","note":"number: 2","page":"0-0","source":"www.tmj.ro","title":"Circulating microRNA-141 as a Biomarker for Prostate Cancer: A Systematic Review and Meta-Analysis","title-short":"Circulating microRNA-141 as a Biomarker for Prostate Cancer","URL":"https://www.tmj.ro/article/2022/2/202","volume":"2022","author":[{"family":"Nitusca","given":"Diana"},{"family":"Marcu","given":"Anca"},{"family":"Seclaman","given":"Edward"},{"family":"Bardan","given":"Razvan"},{"family":"Sirbu","given":"Ioan Ovidiu"},{"family":"Balacescu","given":"Ovidiu"},{"family":"Bucur","given":"Adina Ioana"},{"family":"Ursoniu","given":"Sorin"},{"family":"Marian","given":"Catalin"}],"accessed":{"date-parts":[["2025",6,26]]},"issued":{"date-parts":[["2022",9]]}}},{"id":642,"uris":["http://zotero.org/users/3583561/items/7ZNUBCUH"],"itemData":{"id":642,"type":"article-journal","abstract":"OBJECTIVES: This meta-analysis has been conducted to evaluate the diagnostic accuracy of circulating microRNAs for the early diagnosis of prostate cancer (PCA).\nMETHODS: A systematic literature search was performed (updated to February 18, 2021) in PubMed, EMBASE, Web of Science, Cochrane Library, Wanfang database and China National Knowledge Infrastructure (CNKI) to identify eligible studies. The pooled sensitivity (SEN), specificity (SPE), positive likelihood ratio (PLR), negative likelihood ratio (NLR), diagnostic odds ratio (DOR), and area under curve (AUC) of the summary receiver-operating characteristic (SROC) curve were calculated for both overall and subgroup analysis. The meta-regression and subgroup analysis were performed to explore heterogeneity and Deeks' funnel plot was used to assess publication bias.\nRESULTS: One hundred nineteen studies from 33 articles owned 8703 PCA patients and 4914 controls were included in our meta-analysis. The overall sensitivity, specificity, positive likelihood ratio, negative likelihood ratio, diagnostic odds ratio and area under the curve were 0.79, 0.81, 4.1, 0.26, 16 and 0.87, respectively. The pooled sensitivity, specificity, positive likelihood ratio, negative likelihood ratio, diagnostic odds ratio, and area under the curve of miR-21 in diagnosis of PCA were 0.86, 0.90, 8.3, 0.16, 52 and 0.94, respectively. Subgroup analysis suggested that the upregulated miRNA of serum type with large sample size could carry out a better diagnostic accuracy of PCA patients. Moreover, publication bias was not found.\nCONCLUSIONS: Circulating microRNA, especially miR-21, can be used as a promising noninvasive biomarker in the early diagnosis of PCA.","container-title":"Actas Urologicas Espanolas","DOI":"10.1016/j.acuroe.2021.05.005","ISSN":"2173-5786","issue":"3","journalAbbreviation":"Actas Urol Esp (Engl Ed)","language":"eng, spa","note":"PMID: 35260368","page":"138-149","source":"PubMed","title":"The potential diagnostic accuracy of circulating microRNAs for prostate cancer: A meta-analysis","title-short":"The potential diagnostic accuracy of circulating microRNAs for prostate cancer","volume":"46","author":[{"family":"Zhang","given":"W. T."},{"family":"Zhang","given":"G. X."},{"family":"Zhao","given":"R. Z."},{"family":"Gao","given":"S. S."}],"issued":{"date-parts":[["2022",4]]}}},{"id":360,"uris":["http://zotero.org/users/3583561/items/SWF6Z56W"],"itemData":{"id":360,"type":"article-journal","abstract":"Background\nProstate cancer (PCa) is the second leading cause of cancer death in men. Several articles have reported that microRNA-21 (miR-21) and microRNA-30c (miR-30c) have diagnostic values for PCa, but the results are inconclusive. In order to precisely assess the diagnostic values of miR-21 and miR-30c for PCa, this meta-analysis is performed.\n\nMethods\nArticles were searched in the databases of PubMed, Embase, and Web of Knowledge (search date: September 6, 2018). Studies were included if they were designed to evaluate the diagnostic performance of miR-21 or miR-30c for PCa. Using Stata 12.0 and Meta-Disc 1.4, the pooled sensitivity (SEN), specificity (SPE), positive likelihood ratio (PLR), negative likelihood ratio (NLR), diagnostic odds ratio (DOR), and area under curve (AUC) of the summary receiver-operating characteristic (SROC) curve with the corresponding 95% CI were calculated.\n\nResults\nOverall, ten studies (six studies for miR-21 and four for miR-30c) involving1,371 participants were included in this meta-analysis. For miR-21, the pooled SEN and SPE were, respectively, 0.91 (95% CI: 0.87–0.94) and 0.88 (95% CI: 0.82–0.93), the pooled PLR and NLR were, respectively, 7.74 (95% CI: 4.81–12.47), 0.1 (95% CI: 0.06–0.15), the DOR was 77.64 (95% CI: 34.64–174.02), AUC of SROC was 0.95 (95% CI: 0.93–0.97). For miR-30c, the pooled SEN and SPE were, respectively, 0.74 (95% CI: 0.65–0.81) and 0.78 (95% CI: 0.72–0.83), the pooled PLR and NLR were, respectively, 3.39 (95% CI: 2.69–4.26), and 0.34 (95% CI: 0.26–0.44), the DOR was 10.06 (95% CI: 6.96–14.55), and AUC of SROC was 0.83 (95% CI: 0.79–0.86).\n\nConclusion\nFor PCa, miR-21 is a good diagnostic biomarker and miR-30c is a moderate diagnostic biomarker.","container-title":"Cancer Management and Research","DOI":"10.2147/CMAR.S189026","ISSN":"1179-1322","journalAbbreviation":"Cancer Manag Res","note":"PMID: 30881128\nPMCID: PMC6411321","page":"2039-2050","source":"PubMed Central","title":"MicroRNA-21 and microRNA-30c as diagnostic biomarkers for prostate cancer: a meta-analysis","title-short":"MicroRNA-21 and microRNA-30c as diagnostic biomarkers for prostate cancer","URL":"https://www.ncbi.nlm.nih.gov/pmc/articles/PMC6411321/","volume":"11","author":[{"family":"Zhou","given":"Hongxing"},{"family":"Zhu","given":"Xuming"}],"accessed":{"date-parts":[["2022",6,6]]},"issued":{"date-parts":[["2019",3,6]]}}}],"schema":"https://github.com/citation-style-language/schema/raw/master/csl-citation.json"} </w:instrText>
      </w:r>
      <w:r w:rsidR="00001CAC">
        <w:rPr>
          <w:rFonts w:ascii="Arial" w:hAnsi="Arial" w:cs="Arial"/>
          <w:iCs/>
          <w:sz w:val="18"/>
        </w:rPr>
        <w:fldChar w:fldCharType="separate"/>
      </w:r>
      <w:r w:rsidR="00F669DC" w:rsidRPr="00F669DC">
        <w:rPr>
          <w:rFonts w:ascii="Arial" w:hAnsi="Arial" w:cs="Arial"/>
          <w:sz w:val="18"/>
        </w:rPr>
        <w:t>(Nitusca et al., 2022b, 2022a; Zhang et al., 2022; Zhou &amp; Zhu, 2019)</w:t>
      </w:r>
      <w:r w:rsidR="00001CAC">
        <w:rPr>
          <w:rFonts w:ascii="Arial" w:hAnsi="Arial" w:cs="Arial"/>
          <w:iCs/>
          <w:sz w:val="18"/>
        </w:rPr>
        <w:fldChar w:fldCharType="end"/>
      </w:r>
      <w:r w:rsidRPr="00F703D8">
        <w:rPr>
          <w:rFonts w:ascii="Arial" w:hAnsi="Arial" w:cs="Arial"/>
          <w:iCs/>
          <w:sz w:val="18"/>
        </w:rPr>
        <w:t>, but our meta-analysis is innovative in evaluating these miRNAs in combination and in comparison, to traditional diagnostic tests, and in optimizing detection by evaluating the most appropriate biological matrix for analysis.</w:t>
      </w:r>
    </w:p>
    <w:p w14:paraId="660984DB" w14:textId="54D0FB9C" w:rsidR="00F703D8" w:rsidRPr="00F703D8" w:rsidRDefault="00F703D8" w:rsidP="00F703D8">
      <w:pPr>
        <w:autoSpaceDE w:val="0"/>
        <w:autoSpaceDN w:val="0"/>
        <w:adjustRightInd w:val="0"/>
        <w:spacing w:after="240"/>
        <w:jc w:val="both"/>
        <w:rPr>
          <w:rFonts w:ascii="Arial" w:hAnsi="Arial" w:cs="Arial"/>
          <w:iCs/>
          <w:sz w:val="18"/>
        </w:rPr>
      </w:pPr>
      <w:r w:rsidRPr="00F703D8">
        <w:rPr>
          <w:rFonts w:ascii="Arial" w:hAnsi="Arial" w:cs="Arial"/>
          <w:iCs/>
          <w:sz w:val="18"/>
        </w:rPr>
        <w:t>In total, our analysis included 27 studies in 25 articles, involving 2,697 participants, with 12 studies on miR-21, 12 on miR-141, and 11 on miR-375. Our results suggest that each of the biomarkers studied has excellent diagnostic efficacy.</w:t>
      </w:r>
      <w:r>
        <w:rPr>
          <w:rFonts w:ascii="Arial" w:hAnsi="Arial" w:cs="Arial"/>
          <w:iCs/>
          <w:sz w:val="18"/>
        </w:rPr>
        <w:t xml:space="preserve"> </w:t>
      </w:r>
      <w:r w:rsidRPr="00F703D8">
        <w:rPr>
          <w:rFonts w:ascii="Arial" w:hAnsi="Arial" w:cs="Arial"/>
          <w:iCs/>
          <w:sz w:val="18"/>
        </w:rPr>
        <w:t>In the case of miR-21, we obtained a combined sensitivity of 0.87, ranging from 0.76 to 0.94, a specificity of 0.86, with a range of 0.80 to 0.91, a diagnostic odds ratio of 43, and a particularly high area under the ROC curve of 0.92. In terms of miR-141, these values were 0.78 with a range of 0.67 to 0.86, 0.87, and a range of 0.67 to 0.95, 23, and 0.87, respectively. For miR-375, the corresponding values were 0.76 (0.58 to 0.88) for SEN, 0.84 (0.73 to 0.92) for SPE, with a DOR of 17 and an AUC of 0.88.</w:t>
      </w:r>
      <w:r>
        <w:rPr>
          <w:rFonts w:ascii="Arial" w:hAnsi="Arial" w:cs="Arial"/>
          <w:iCs/>
          <w:sz w:val="18"/>
        </w:rPr>
        <w:t xml:space="preserve"> </w:t>
      </w:r>
      <w:r w:rsidRPr="00F703D8">
        <w:rPr>
          <w:rFonts w:ascii="Arial" w:hAnsi="Arial" w:cs="Arial"/>
          <w:iCs/>
          <w:sz w:val="18"/>
        </w:rPr>
        <w:t xml:space="preserve">These results suggest a high potential for distinguishing patients with </w:t>
      </w:r>
      <w:proofErr w:type="spellStart"/>
      <w:r w:rsidRPr="00F703D8">
        <w:rPr>
          <w:rFonts w:ascii="Arial" w:hAnsi="Arial" w:cs="Arial"/>
          <w:iCs/>
          <w:sz w:val="18"/>
        </w:rPr>
        <w:t>PCa</w:t>
      </w:r>
      <w:proofErr w:type="spellEnd"/>
      <w:r w:rsidRPr="00F703D8">
        <w:rPr>
          <w:rFonts w:ascii="Arial" w:hAnsi="Arial" w:cs="Arial"/>
          <w:iCs/>
          <w:sz w:val="18"/>
        </w:rPr>
        <w:t xml:space="preserve"> from healthy individuals or patients with BPH. Furthermore, a meta-analysis by Zhou and Zhu in 2019 also presents exceptional results for miR-21 with a sensitivity of 91%, specificity of 88%, DOR of 77.6, and AUC of 0.95, highlighting miR-21 as an extremely promising non-invasive marker </w:t>
      </w:r>
      <w:r w:rsidR="00AE19FB">
        <w:rPr>
          <w:rFonts w:ascii="Arial" w:hAnsi="Arial" w:cs="Arial"/>
          <w:iCs/>
          <w:sz w:val="18"/>
        </w:rPr>
        <w:fldChar w:fldCharType="begin"/>
      </w:r>
      <w:r w:rsidR="00F669DC">
        <w:rPr>
          <w:rFonts w:ascii="Arial" w:hAnsi="Arial" w:cs="Arial"/>
          <w:iCs/>
          <w:sz w:val="18"/>
        </w:rPr>
        <w:instrText xml:space="preserve"> ADDIN ZOTERO_ITEM CSL_CITATION {"citationID":"a1sum8v3smh","properties":{"formattedCitation":"(Zhou &amp; Zhu, 2019)","plainCitation":"(Zhou &amp; Zhu, 2019)","noteIndex":0},"citationItems":[{"id":360,"uris":["http://zotero.org/users/3583561/items/SWF6Z56W"],"itemData":{"id":360,"type":"article-journal","abstract":"Background\nProstate cancer (PCa) is the second leading cause of cancer death in men. Several articles have reported that microRNA-21 (miR-21) and microRNA-30c (miR-30c) have diagnostic values for PCa, but the results are inconclusive. In order to precisely assess the diagnostic values of miR-21 and miR-30c for PCa, this meta-analysis is performed.\n\nMethods\nArticles were searched in the databases of PubMed, Embase, and Web of Knowledge (search date: September 6, 2018). Studies were included if they were designed to evaluate the diagnostic performance of miR-21 or miR-30c for PCa. Using Stata 12.0 and Meta-Disc 1.4, the pooled sensitivity (SEN), specificity (SPE), positive likelihood ratio (PLR), negative likelihood ratio (NLR), diagnostic odds ratio (DOR), and area under curve (AUC) of the summary receiver-operating characteristic (SROC) curve with the corresponding 95% CI were calculated.\n\nResults\nOverall, ten studies (six studies for miR-21 and four for miR-30c) involving1,371 participants were included in this meta-analysis. For miR-21, the pooled SEN and SPE were, respectively, 0.91 (95% CI: 0.87–0.94) and 0.88 (95% CI: 0.82–0.93), the pooled PLR and NLR were, respectively, 7.74 (95% CI: 4.81–12.47), 0.1 (95% CI: 0.06–0.15), the DOR was 77.64 (95% CI: 34.64–174.02), AUC of SROC was 0.95 (95% CI: 0.93–0.97). For miR-30c, the pooled SEN and SPE were, respectively, 0.74 (95% CI: 0.65–0.81) and 0.78 (95% CI: 0.72–0.83), the pooled PLR and NLR were, respectively, 3.39 (95% CI: 2.69–4.26), and 0.34 (95% CI: 0.26–0.44), the DOR was 10.06 (95% CI: 6.96–14.55), and AUC of SROC was 0.83 (95% CI: 0.79–0.86).\n\nConclusion\nFor PCa, miR-21 is a good diagnostic biomarker and miR-30c is a moderate diagnostic biomarker.","container-title":"Cancer Management and Research","DOI":"10.2147/CMAR.S189026","ISSN":"1179-1322","journalAbbreviation":"Cancer Manag Res","note":"PMID: 30881128\nPMCID: PMC6411321","page":"2039-2050","source":"PubMed Central","title":"MicroRNA-21 and microRNA-30c as diagnostic biomarkers for prostate cancer: a meta-analysis","title-short":"MicroRNA-21 and microRNA-30c as diagnostic biomarkers for prostate cancer","URL":"https://www.ncbi.nlm.nih.gov/pmc/articles/PMC6411321/","volume":"11","author":[{"family":"Zhou","given":"Hongxing"},{"family":"Zhu","given":"Xuming"}],"accessed":{"date-parts":[["2022",6,6]]},"issued":{"date-parts":[["2019",3,6]]}}}],"schema":"https://github.com/citation-style-language/schema/raw/master/csl-citation.json"} </w:instrText>
      </w:r>
      <w:r w:rsidR="00AE19FB">
        <w:rPr>
          <w:rFonts w:ascii="Arial" w:hAnsi="Arial" w:cs="Arial"/>
          <w:iCs/>
          <w:sz w:val="18"/>
        </w:rPr>
        <w:fldChar w:fldCharType="separate"/>
      </w:r>
      <w:r w:rsidR="00F669DC" w:rsidRPr="00F669DC">
        <w:rPr>
          <w:rFonts w:ascii="Arial" w:hAnsi="Arial" w:cs="Arial"/>
          <w:sz w:val="18"/>
        </w:rPr>
        <w:t>(Zhou &amp; Zhu, 2019)</w:t>
      </w:r>
      <w:r w:rsidR="00AE19FB">
        <w:rPr>
          <w:rFonts w:ascii="Arial" w:hAnsi="Arial" w:cs="Arial"/>
          <w:iCs/>
          <w:sz w:val="18"/>
        </w:rPr>
        <w:fldChar w:fldCharType="end"/>
      </w:r>
      <w:r w:rsidRPr="00F703D8">
        <w:rPr>
          <w:rFonts w:ascii="Arial" w:hAnsi="Arial" w:cs="Arial"/>
          <w:iCs/>
          <w:sz w:val="18"/>
        </w:rPr>
        <w:t xml:space="preserve">. These results are consistent with another study by Zhang et al. in 2022, which reported a </w:t>
      </w:r>
      <w:r w:rsidRPr="00F703D8">
        <w:rPr>
          <w:rFonts w:ascii="Arial" w:hAnsi="Arial" w:cs="Arial"/>
          <w:iCs/>
          <w:sz w:val="18"/>
        </w:rPr>
        <w:lastRenderedPageBreak/>
        <w:t xml:space="preserve">sensitivity of 86%, specifically 90%, DOR of 52, and AUC of 0.94, also confirming superior diagnostic efficacy </w:t>
      </w:r>
      <w:r w:rsidR="00AE19FB">
        <w:rPr>
          <w:rFonts w:ascii="Arial" w:hAnsi="Arial" w:cs="Arial"/>
          <w:iCs/>
          <w:sz w:val="18"/>
        </w:rPr>
        <w:fldChar w:fldCharType="begin"/>
      </w:r>
      <w:r w:rsidR="00F669DC">
        <w:rPr>
          <w:rFonts w:ascii="Arial" w:hAnsi="Arial" w:cs="Arial"/>
          <w:iCs/>
          <w:sz w:val="18"/>
        </w:rPr>
        <w:instrText xml:space="preserve"> ADDIN ZOTERO_ITEM CSL_CITATION {"citationID":"a2d8a9k444j","properties":{"formattedCitation":"(Zhang et al., 2022)","plainCitation":"(Zhang et al., 2022)","noteIndex":0},"citationItems":[{"id":642,"uris":["http://zotero.org/users/3583561/items/7ZNUBCUH"],"itemData":{"id":642,"type":"article-journal","abstract":"OBJECTIVES: This meta-analysis has been conducted to evaluate the diagnostic accuracy of circulating microRNAs for the early diagnosis of prostate cancer (PCA).\nMETHODS: A systematic literature search was performed (updated to February 18, 2021) in PubMed, EMBASE, Web of Science, Cochrane Library, Wanfang database and China National Knowledge Infrastructure (CNKI) to identify eligible studies. The pooled sensitivity (SEN), specificity (SPE), positive likelihood ratio (PLR), negative likelihood ratio (NLR), diagnostic odds ratio (DOR), and area under curve (AUC) of the summary receiver-operating characteristic (SROC) curve were calculated for both overall and subgroup analysis. The meta-regression and subgroup analysis were performed to explore heterogeneity and Deeks' funnel plot was used to assess publication bias.\nRESULTS: One hundred nineteen studies from 33 articles owned 8703 PCA patients and 4914 controls were included in our meta-analysis. The overall sensitivity, specificity, positive likelihood ratio, negative likelihood ratio, diagnostic odds ratio and area under the curve were 0.79, 0.81, 4.1, 0.26, 16 and 0.87, respectively. The pooled sensitivity, specificity, positive likelihood ratio, negative likelihood ratio, diagnostic odds ratio, and area under the curve of miR-21 in diagnosis of PCA were 0.86, 0.90, 8.3, 0.16, 52 and 0.94, respectively. Subgroup analysis suggested that the upregulated miRNA of serum type with large sample size could carry out a better diagnostic accuracy of PCA patients. Moreover, publication bias was not found.\nCONCLUSIONS: Circulating microRNA, especially miR-21, can be used as a promising noninvasive biomarker in the early diagnosis of PCA.","container-title":"Actas Urologicas Espanolas","DOI":"10.1016/j.acuroe.2021.05.005","ISSN":"2173-5786","issue":"3","journalAbbreviation":"Actas Urol Esp (Engl Ed)","language":"eng, spa","note":"PMID: 35260368","page":"138-149","source":"PubMed","title":"The potential diagnostic accuracy of circulating microRNAs for prostate cancer: A meta-analysis","title-short":"The potential diagnostic accuracy of circulating microRNAs for prostate cancer","volume":"46","author":[{"family":"Zhang","given":"W. T."},{"family":"Zhang","given":"G. X."},{"family":"Zhao","given":"R. Z."},{"family":"Gao","given":"S. S."}],"issued":{"date-parts":[["2022",4]]}}}],"schema":"https://github.com/citation-style-language/schema/raw/master/csl-citation.json"} </w:instrText>
      </w:r>
      <w:r w:rsidR="00AE19FB">
        <w:rPr>
          <w:rFonts w:ascii="Arial" w:hAnsi="Arial" w:cs="Arial"/>
          <w:iCs/>
          <w:sz w:val="18"/>
        </w:rPr>
        <w:fldChar w:fldCharType="separate"/>
      </w:r>
      <w:r w:rsidR="00F669DC" w:rsidRPr="00F669DC">
        <w:rPr>
          <w:rFonts w:ascii="Arial" w:hAnsi="Arial" w:cs="Arial"/>
          <w:sz w:val="18"/>
        </w:rPr>
        <w:t>(Zhang et al., 2022)</w:t>
      </w:r>
      <w:r w:rsidR="00AE19FB">
        <w:rPr>
          <w:rFonts w:ascii="Arial" w:hAnsi="Arial" w:cs="Arial"/>
          <w:iCs/>
          <w:sz w:val="18"/>
        </w:rPr>
        <w:fldChar w:fldCharType="end"/>
      </w:r>
      <w:r w:rsidRPr="00F703D8">
        <w:rPr>
          <w:rFonts w:ascii="Arial" w:hAnsi="Arial" w:cs="Arial"/>
          <w:iCs/>
          <w:sz w:val="18"/>
        </w:rPr>
        <w:t>.</w:t>
      </w:r>
    </w:p>
    <w:p w14:paraId="163ABDF9" w14:textId="77777777" w:rsidR="00F703D8" w:rsidRPr="00F703D8" w:rsidRDefault="00F703D8" w:rsidP="00F703D8">
      <w:pPr>
        <w:autoSpaceDE w:val="0"/>
        <w:autoSpaceDN w:val="0"/>
        <w:adjustRightInd w:val="0"/>
        <w:spacing w:after="240"/>
        <w:jc w:val="both"/>
        <w:rPr>
          <w:rFonts w:ascii="Arial" w:hAnsi="Arial" w:cs="Arial"/>
          <w:iCs/>
          <w:sz w:val="18"/>
        </w:rPr>
      </w:pPr>
      <w:r w:rsidRPr="00F703D8">
        <w:rPr>
          <w:rFonts w:ascii="Arial" w:hAnsi="Arial" w:cs="Arial"/>
          <w:iCs/>
          <w:sz w:val="18"/>
        </w:rPr>
        <w:t>The robustness of miR-21's high and consistent performance in multiple independent meta-analyses strongly validates its clinical value. The diagnostic accuracy of the biomarker appears to be similar across populations and study designs, as reflected by SEN 87%, SPE 86%, DOR 43, and AUC 0.92, which were like the respective parameters in previous large studies. miR-21 maintained good specificity (86-90% in all studies), making it suitable for avoiding unnecessary biopsies in the clinical setting.</w:t>
      </w:r>
    </w:p>
    <w:p w14:paraId="6696A8F6" w14:textId="4DE96D25" w:rsidR="00F703D8" w:rsidRPr="00F703D8" w:rsidRDefault="00F703D8" w:rsidP="00F703D8">
      <w:pPr>
        <w:autoSpaceDE w:val="0"/>
        <w:autoSpaceDN w:val="0"/>
        <w:adjustRightInd w:val="0"/>
        <w:spacing w:after="240"/>
        <w:jc w:val="both"/>
        <w:rPr>
          <w:rFonts w:ascii="Arial" w:hAnsi="Arial" w:cs="Arial"/>
          <w:iCs/>
          <w:sz w:val="18"/>
        </w:rPr>
      </w:pPr>
      <w:r w:rsidRPr="00F703D8">
        <w:rPr>
          <w:rFonts w:ascii="Arial" w:hAnsi="Arial" w:cs="Arial"/>
          <w:iCs/>
          <w:sz w:val="18"/>
        </w:rPr>
        <w:t xml:space="preserve">Regarding miR-141, Ye et al. in 2020 described diagnostic performance inferior to our results, with a combined sensitivity of 70% and specificity of 73%, a DOR of 9.94, and an AUC of 0.83, indicating moderate diagnostic accuracy </w:t>
      </w:r>
      <w:r w:rsidR="00AE19FB">
        <w:rPr>
          <w:rFonts w:ascii="Arial" w:hAnsi="Arial" w:cs="Arial"/>
          <w:iCs/>
          <w:sz w:val="18"/>
        </w:rPr>
        <w:fldChar w:fldCharType="begin"/>
      </w:r>
      <w:r w:rsidR="00F669DC">
        <w:rPr>
          <w:rFonts w:ascii="Arial" w:hAnsi="Arial" w:cs="Arial"/>
          <w:iCs/>
          <w:sz w:val="18"/>
        </w:rPr>
        <w:instrText xml:space="preserve"> ADDIN ZOTERO_ITEM CSL_CITATION {"citationID":"a1cgi5008k4","properties":{"formattedCitation":"(Ye et al., 2020)","plainCitation":"(Ye et al., 2020)","noteIndex":0},"citationItems":[{"id":71,"uris":["http://zotero.org/users/3583561/items/NPD3MAJ7"],"itemData":{"id":71,"type":"article-journal","abstract":"Arrière-plan: \n        miR-141 a progressivement démontré son intérêt dans le diagnostic du cancer de la prostate . Cependant, les paramètres diagnostiques des études précédentes diffèrent. Une revue systématique a été menée pour explorer la valeur diagnostique de miR-141 dans le cancer de la prostate .\n        Méthodes : \n        Une recherche exhaustive de la littérature dans les bases de données PubMed, Medline, Cochrane Library et Embase a été effectuée. Les 7 études incluses ont évalué la valeur diagnostique de miR-141 chez les patients atteints d' un cancer de la prostate jusqu'au 31 octobre 2019. Nous avons utilisé la version 1.4 du méta-disque et la version 12.0 du logiciel STATA pour analyser les données.\n        Résultats: \n        La sensibilité et la spécificité regroupées étaient de 0,70 (intervalle de confiance à 95 % [IC] 0,64-0,75) et de 0,73 (IC à 95 % 0,64-0,80), respectivement. Le rapport de vraisemblance positif était de 2,88 (IC à 95 % 1,40-5,93) et le rapport de vraisemblance négatif était de 0,38 (IC à 95 % 0,20-0,71). En outre, nous notons que l'odds ratio diagnostique groupé de miR-141 pour le cancer de la prostate était de 9,94 (IC à 95 % : 2,55 à 38,80). L'aire récapitulative sous la courbe caractéristique de fonctionnement du récepteur était de 0,83 (IC à 95 % : 0,79 à 0,86). Les résultats de la méta-régression suggèrent que l'hétérogénéité provient principalement de l'âge du patient. Les résultats du nomogramme de Fagan ont montré qu'il était augmenté de manière significative en testant miR-141 pour le diagnostic du cancer de la prostate .\n        Conclusion: \n        Cette méta-analyse suggère que miR-141 a une valeur diagnostique élevée pour le cancer de la prostate . Dans le futur, des études prospectives à grande échelle sont nécessaires pour vérifier et évaluer ce résultat.","container-title":"Medicine","DOI":"10.1097/MD.0000000000019993","issue":"22","language":"fr","page":"e19993","source":"journals.lww.com","title":"The diagnostic value of miRNA-141 in prostate cancer: A systematic review and PRISMA-compliant meta-analysis","title-short":"The diagnostic value of miRNA-141 in prostate cancer","URL":"https://journals.lww.com/md-journal/Fulltext/2020/05290/The_diagnostic_value_of_miRNA_141_in_prostate.13.aspx","volume":"99","author":[{"family":"Ye","given":"Yun"},{"family":"Yuan","given":"Xiao-Hua"},{"family":"Wang","given":"Jian-Jun"},{"family":"Wang","given":"Yu-Chen"},{"family":"Li","given":"Su-Liang"}],"accessed":{"date-parts":[["2023",2,23]]},"issued":{"date-parts":[["2020",5,29]]}}}],"schema":"https://github.com/citation-style-language/schema/raw/master/csl-citation.json"} </w:instrText>
      </w:r>
      <w:r w:rsidR="00AE19FB">
        <w:rPr>
          <w:rFonts w:ascii="Arial" w:hAnsi="Arial" w:cs="Arial"/>
          <w:iCs/>
          <w:sz w:val="18"/>
        </w:rPr>
        <w:fldChar w:fldCharType="separate"/>
      </w:r>
      <w:r w:rsidR="00F669DC" w:rsidRPr="00F669DC">
        <w:rPr>
          <w:rFonts w:ascii="Arial" w:hAnsi="Arial" w:cs="Arial"/>
          <w:sz w:val="18"/>
        </w:rPr>
        <w:t>(Ye et al., 2020)</w:t>
      </w:r>
      <w:r w:rsidR="00AE19FB">
        <w:rPr>
          <w:rFonts w:ascii="Arial" w:hAnsi="Arial" w:cs="Arial"/>
          <w:iCs/>
          <w:sz w:val="18"/>
        </w:rPr>
        <w:fldChar w:fldCharType="end"/>
      </w:r>
      <w:r w:rsidRPr="00F703D8">
        <w:rPr>
          <w:rFonts w:ascii="Arial" w:hAnsi="Arial" w:cs="Arial"/>
          <w:iCs/>
          <w:sz w:val="18"/>
        </w:rPr>
        <w:t xml:space="preserve">. However, more promising results were reported by </w:t>
      </w:r>
      <w:proofErr w:type="spellStart"/>
      <w:r w:rsidRPr="00F703D8">
        <w:rPr>
          <w:rFonts w:ascii="Arial" w:hAnsi="Arial" w:cs="Arial"/>
          <w:iCs/>
          <w:sz w:val="18"/>
        </w:rPr>
        <w:t>Nitusca</w:t>
      </w:r>
      <w:proofErr w:type="spellEnd"/>
      <w:r w:rsidRPr="00F703D8">
        <w:rPr>
          <w:rFonts w:ascii="Arial" w:hAnsi="Arial" w:cs="Arial"/>
          <w:iCs/>
          <w:sz w:val="18"/>
        </w:rPr>
        <w:t xml:space="preserve"> et al. in 2022 in their meta-analysis, with a sensitivity of 78% and a high specificity of 96%, yielding a DOR of 89 and an AUC value of 0.87. However, the substantial heterogeneity of the studies, as suggested by the wide CIs, prevents generalized conclusions </w:t>
      </w:r>
      <w:r w:rsidR="00AE19FB">
        <w:rPr>
          <w:rFonts w:ascii="Arial" w:hAnsi="Arial" w:cs="Arial"/>
          <w:iCs/>
          <w:sz w:val="18"/>
        </w:rPr>
        <w:fldChar w:fldCharType="begin"/>
      </w:r>
      <w:r w:rsidR="00F669DC">
        <w:rPr>
          <w:rFonts w:ascii="Arial" w:hAnsi="Arial" w:cs="Arial"/>
          <w:iCs/>
          <w:sz w:val="18"/>
        </w:rPr>
        <w:instrText xml:space="preserve"> ADDIN ZOTERO_ITEM CSL_CITATION {"citationID":"a1ajmaabiq7","properties":{"formattedCitation":"(Nitusca et al., 2022a)","plainCitation":"(Nitusca et al., 2022a)","noteIndex":0},"citationItems":[{"id":8105,"uris":["http://zotero.org/users/3583561/items/MMCBGPYZ"],"itemData":{"id":8105,"type":"article-journal","abstract":"(1) Background and Objectives: Responding to the need for more optimized biomarkers for prostate cancer (PCa) diagnosis, a high number of studies have shown that microRNAs (miRNAs) could serve as novel, more reliable diagnostic tools. The usefulness of these miRNAs in assessing the presence of PCa is still under debate, given the discrepancies in their diagnostic performances. In this respect, hsa-miR-141 is among the miRNAs of particular interest, being very much investigated in PCa biology. (2) Material and Methods: Here, we provide a meta-analysis of miR-141 data published until May 2019, whose diagnostic accuracy was assessed using the Quality Assessment for Diagnostic Accuracy Studies-2 (QUADAS-2) tool, by analyzing several parameters including sensitivity, specificity, positive likelihood ratio (LR+), negative likelihood ratio (LR-), diagnostic odds ratio (DOR) and the area under the curve (AUC). The six studies that matched our selection and were included in our meta-analysis comprise 283 PCa patients, 114 healthy controls, with 84 patients suffering from benign prostate diseases. (3) Results and Conclusions: Our results indicate a very good diagnostic accuracy for miRNA-141 (0.78 sensitivity, 0.96 specificity, DOR of 89, LR+ of 21, LR- of 0.23 and AUC of 0.87), underlying its utility as a PCa diagnostic biomarker.","container-title":"Timisoara Med","DOI":"10.35995/tmj20220204","issue":"2","language":"en","note":"number: 2","page":"0-0","source":"www.tmj.ro","title":"Circulating microRNA-141 as a Biomarker for Prostate Cancer: A Systematic Review and Meta-Analysis","title-short":"Circulating microRNA-141 as a Biomarker for Prostate Cancer","URL":"https://www.tmj.ro/article/2022/2/202","volume":"2022","author":[{"family":"Nitusca","given":"Diana"},{"family":"Marcu","given":"Anca"},{"family":"Seclaman","given":"Edward"},{"family":"Bardan","given":"Razvan"},{"family":"Sirbu","given":"Ioan Ovidiu"},{"family":"Balacescu","given":"Ovidiu"},{"family":"Bucur","given":"Adina Ioana"},{"family":"Ursoniu","given":"Sorin"},{"family":"Marian","given":"Catalin"}],"accessed":{"date-parts":[["2025",6,26]]},"issued":{"date-parts":[["2022",9]]}}}],"schema":"https://github.com/citation-style-language/schema/raw/master/csl-citation.json"} </w:instrText>
      </w:r>
      <w:r w:rsidR="00AE19FB">
        <w:rPr>
          <w:rFonts w:ascii="Arial" w:hAnsi="Arial" w:cs="Arial"/>
          <w:iCs/>
          <w:sz w:val="18"/>
        </w:rPr>
        <w:fldChar w:fldCharType="separate"/>
      </w:r>
      <w:r w:rsidR="00F669DC" w:rsidRPr="00F669DC">
        <w:rPr>
          <w:rFonts w:ascii="Arial" w:hAnsi="Arial" w:cs="Arial"/>
          <w:sz w:val="18"/>
        </w:rPr>
        <w:t>(Nitusca et al., 2022a)</w:t>
      </w:r>
      <w:r w:rsidR="00AE19FB">
        <w:rPr>
          <w:rFonts w:ascii="Arial" w:hAnsi="Arial" w:cs="Arial"/>
          <w:iCs/>
          <w:sz w:val="18"/>
        </w:rPr>
        <w:fldChar w:fldCharType="end"/>
      </w:r>
      <w:r w:rsidRPr="00F703D8">
        <w:rPr>
          <w:rFonts w:ascii="Arial" w:hAnsi="Arial" w:cs="Arial"/>
          <w:iCs/>
          <w:sz w:val="18"/>
        </w:rPr>
        <w:t>. Studies on miR-141 have been reported mainly in metastatic contexts, which probably explains the differences in miR-141 performance stratified by stage and sample types.</w:t>
      </w:r>
    </w:p>
    <w:p w14:paraId="3CDCC55A" w14:textId="6DF69BB8" w:rsidR="00F703D8" w:rsidRPr="00F703D8" w:rsidRDefault="00F703D8" w:rsidP="00F703D8">
      <w:pPr>
        <w:autoSpaceDE w:val="0"/>
        <w:autoSpaceDN w:val="0"/>
        <w:adjustRightInd w:val="0"/>
        <w:spacing w:after="240"/>
        <w:jc w:val="both"/>
        <w:rPr>
          <w:rFonts w:ascii="Arial" w:hAnsi="Arial" w:cs="Arial"/>
          <w:iCs/>
          <w:sz w:val="18"/>
        </w:rPr>
      </w:pPr>
      <w:r w:rsidRPr="00F703D8">
        <w:rPr>
          <w:rFonts w:ascii="Arial" w:hAnsi="Arial" w:cs="Arial"/>
          <w:iCs/>
          <w:sz w:val="18"/>
        </w:rPr>
        <w:t xml:space="preserve">For miR-375, </w:t>
      </w:r>
      <w:proofErr w:type="spellStart"/>
      <w:r w:rsidRPr="00F703D8">
        <w:rPr>
          <w:rFonts w:ascii="Arial" w:hAnsi="Arial" w:cs="Arial"/>
          <w:iCs/>
          <w:sz w:val="18"/>
        </w:rPr>
        <w:t>Nitusca</w:t>
      </w:r>
      <w:proofErr w:type="spellEnd"/>
      <w:r w:rsidRPr="00F703D8">
        <w:rPr>
          <w:rFonts w:ascii="Arial" w:hAnsi="Arial" w:cs="Arial"/>
          <w:iCs/>
          <w:sz w:val="18"/>
        </w:rPr>
        <w:t xml:space="preserve"> et al. conducted a meta-analysis dedicated to prostate cancer in 2022. However, for seven studies, the sensitivity was 76%, the specificity was 83%, the DOR was 16, and the AUC was 0.87 (indicating a moderately lower but still acceptable diagnostic value compared to miR-21) </w:t>
      </w:r>
      <w:r w:rsidR="00AE19FB">
        <w:rPr>
          <w:rFonts w:ascii="Arial" w:hAnsi="Arial" w:cs="Arial"/>
          <w:iCs/>
          <w:sz w:val="18"/>
        </w:rPr>
        <w:fldChar w:fldCharType="begin"/>
      </w:r>
      <w:r w:rsidR="00F669DC">
        <w:rPr>
          <w:rFonts w:ascii="Arial" w:hAnsi="Arial" w:cs="Arial"/>
          <w:iCs/>
          <w:sz w:val="18"/>
        </w:rPr>
        <w:instrText xml:space="preserve"> ADDIN ZOTERO_ITEM CSL_CITATION {"citationID":"a1pemv11kli","properties":{"formattedCitation":"(Nitusca et al., 2022b)","plainCitation":"(Nitusca et al., 2022b)","noteIndex":0},"citationItems":[{"id":710,"uris":["http://zotero.org/users/3583561/items/35DGDNS8"],"itemData":{"id":710,"type":"article-journal","abstract":"Background and Objectives: Responding to the need for additional biomarkers for the diagnosis of prostate cancer (PCa), mounting studies show that microRNAs (miRNAs/miRs) possess great potential as future promising diagnostic tools. However, the usefulness of these miRNAs is still highly debated, as the degree of inconsistency between study designs and results is still elevated. Herein, we present a meta-analysis evaluating the diagnostic value and accuracy of circulating miR-375, as it is one of the most studied types of miRs in PCa. Materials and Methods: The diagnostic accuracy of miR-375 was evaluated using the QUADAS-2 tool, analyzing different statistical parameters. The seven studies (from six articles) that matched our selection included 422 PCa patients and 212 controls (70 healthy volunteers + 142 with benign prostate diseases). Results and Conclusion: We obtained a p-value of 0.76 for sensitivity, 0.83 for specificity, 16 for DOR, 4.6 for LR+, 0.29 for LR−, and 0.87 for AUC (95% CI 0.83–0.89). Our results confirm that miRNA-375 has high diagnostic potential for PCa, suggesting its usefulness as a powerful biomarker. More comprehensive studies are warranted to better assess its true value as a diagnostic biomarker for this urologic disease.","container-title":"Medicina","DOI":"10.3390/medicina58040529","ISSN":"1010-660X","issue":"4","journalAbbreviation":"Medicina (Kaunas)","note":"PMID: 35454368\nPMCID: PMC9032467","page":"529","source":"PubMed Central","title":"Diagnostic Value of microRNA-375 as Future Biomarker for Prostate Cancer Detection: A Meta-Analysis","title-short":"Diagnostic Value of microRNA-375 as Future Biomarker for Prostate Cancer Detection","URL":"https://www.ncbi.nlm.nih.gov/pmc/articles/PMC9032467/","volume":"58","author":[{"family":"Nitusca","given":"Diana"},{"family":"Marcu","given":"Anca"},{"family":"Seclaman","given":"Edward"},{"family":"Bardan","given":"Razvan"},{"family":"Sirbu","given":"Ioan Ovidiu"},{"family":"Balacescu","given":"Ovidiu"},{"family":"Bucur","given":"Adina Ioana"},{"family":"Ursoniu","given":"Sorin"},{"family":"Marian","given":"Catalin"}],"accessed":{"date-parts":[["2023",5,7]]},"issued":{"date-parts":[["2022",4,10]]}}}],"schema":"https://github.com/citation-style-language/schema/raw/master/csl-citation.json"} </w:instrText>
      </w:r>
      <w:r w:rsidR="00AE19FB">
        <w:rPr>
          <w:rFonts w:ascii="Arial" w:hAnsi="Arial" w:cs="Arial"/>
          <w:iCs/>
          <w:sz w:val="18"/>
        </w:rPr>
        <w:fldChar w:fldCharType="separate"/>
      </w:r>
      <w:r w:rsidR="00F669DC" w:rsidRPr="00F669DC">
        <w:rPr>
          <w:rFonts w:ascii="Arial" w:hAnsi="Arial" w:cs="Arial"/>
          <w:sz w:val="18"/>
        </w:rPr>
        <w:t>(Nitusca et al., 2022b)</w:t>
      </w:r>
      <w:r w:rsidR="00AE19FB">
        <w:rPr>
          <w:rFonts w:ascii="Arial" w:hAnsi="Arial" w:cs="Arial"/>
          <w:iCs/>
          <w:sz w:val="18"/>
        </w:rPr>
        <w:fldChar w:fldCharType="end"/>
      </w:r>
      <w:r w:rsidRPr="00F703D8">
        <w:rPr>
          <w:rFonts w:ascii="Arial" w:hAnsi="Arial" w:cs="Arial"/>
          <w:iCs/>
          <w:sz w:val="18"/>
        </w:rPr>
        <w:t>. These data are consistent with our results (SEN 76%, SPE 84%, DOR 17, AUC 0.88), further confirming the reliability of miR-375 performance across various types of analysis.</w:t>
      </w:r>
    </w:p>
    <w:p w14:paraId="7C8BDB51" w14:textId="77777777" w:rsidR="00F703D8" w:rsidRPr="00F703D8" w:rsidRDefault="00F703D8" w:rsidP="00F703D8">
      <w:pPr>
        <w:autoSpaceDE w:val="0"/>
        <w:autoSpaceDN w:val="0"/>
        <w:adjustRightInd w:val="0"/>
        <w:spacing w:after="240"/>
        <w:jc w:val="both"/>
        <w:rPr>
          <w:rFonts w:ascii="Arial" w:hAnsi="Arial" w:cs="Arial"/>
          <w:iCs/>
          <w:sz w:val="18"/>
        </w:rPr>
      </w:pPr>
      <w:r w:rsidRPr="00F703D8">
        <w:rPr>
          <w:rFonts w:ascii="Arial" w:hAnsi="Arial" w:cs="Arial"/>
          <w:iCs/>
          <w:sz w:val="18"/>
        </w:rPr>
        <w:t>Overall, these observations indicate that miR-21 was the most superior indicator for diagnosis, followed by miR-375 and miR-141. Such remarkable heterogeneity among studies (I² = 86.03–94.38% for sensitivities and 64.62–91.71% for specificities) highlights the need for a standard analytical threshold and consistent inclusion criteria for the optimal validation of these noninvasive biomarkers.</w:t>
      </w:r>
    </w:p>
    <w:p w14:paraId="1C69B986" w14:textId="2ADAF4E6" w:rsidR="00F703D8" w:rsidRPr="00F703D8" w:rsidRDefault="00F703D8" w:rsidP="00F703D8">
      <w:pPr>
        <w:autoSpaceDE w:val="0"/>
        <w:autoSpaceDN w:val="0"/>
        <w:adjustRightInd w:val="0"/>
        <w:spacing w:after="240"/>
        <w:jc w:val="both"/>
        <w:rPr>
          <w:rFonts w:ascii="Arial" w:hAnsi="Arial" w:cs="Arial"/>
          <w:iCs/>
          <w:sz w:val="18"/>
        </w:rPr>
      </w:pPr>
      <w:r w:rsidRPr="00F703D8">
        <w:rPr>
          <w:rFonts w:ascii="Arial" w:hAnsi="Arial" w:cs="Arial"/>
          <w:iCs/>
          <w:sz w:val="18"/>
        </w:rPr>
        <w:t xml:space="preserve">Our results indicate that these miRNAs have greater diagnostic value than prostate-specific antigen (PSA), a tool currently used for screening prostate cancer. PSA is moderately sensitive (60-80%) but has low specificity (20-40% for different cut-offs) with a high number of false positives, leading to overdiagnosis and unnecessary procedures such as biopsies. The current diagnostic gold standard is systematic transrectal ultrasound-guided biopsy, an invasive technique with rather poor performance (sensitivity 60-70% for clinically significant cancers and specificity &gt; 80%) </w:t>
      </w:r>
      <w:r w:rsidR="00AE19FB">
        <w:rPr>
          <w:rFonts w:ascii="Arial" w:hAnsi="Arial" w:cs="Arial"/>
          <w:iCs/>
          <w:sz w:val="18"/>
        </w:rPr>
        <w:fldChar w:fldCharType="begin"/>
      </w:r>
      <w:r w:rsidR="00F669DC">
        <w:rPr>
          <w:rFonts w:ascii="Arial" w:hAnsi="Arial" w:cs="Arial"/>
          <w:iCs/>
          <w:sz w:val="18"/>
        </w:rPr>
        <w:instrText xml:space="preserve"> ADDIN ZOTERO_ITEM CSL_CITATION {"citationID":"a2m18c2aib8","properties":{"formattedCitation":"(Borghesi et al., 2017)","plainCitation":"(Borghesi et al., 2017)","noteIndex":0},"citationItems":[{"id":8147,"uris":["http://zotero.org/users/3583561/items/G6P9E5E7"],"itemData":{"id":8147,"type":"article-journal","abstract":"CONTEXT: Prostate biopsy (PB) represents the gold standard method to confirm the presence of cancer. In addition to traditional random or systematic approaches, a magnetic resonance imaging (MRI)-guided technique has been introduced recently.\nOBJECTIVE: To perform a systematic review of complications after transrectal ultrasound (TRUS)-guided, transperineal, and MRI-guided PB.\nEVIDENCE ACQUISITION: We performed a systematic literature search of Web of Science, Embase, and Scopus databases up to October 2015, according to the Preferred Reporting Items for Systematic Reviews and Meta-Analyses (PRISMA) statement. Complications and mortality following random, systematic, and image-guided PBs were reviewed. Eighty-five references were included.\nEVIDENCE SYNTHESIS: The most frequent complication after PB was minor and self-limiting bleeding (hematuria and hematospermia), regardless of the biopsy approach. Occurrence of rectal bleeding was comparable for traditional TRUS-guided and image-guided PBs. Almost 25% of patients experienced lower urinary tract symptoms, but only a few had urinary retention, with higher rates after a transperineal approach. Temporary erectile dysfunction was not negligible, with a return to baseline after 1-6 mo. The incidence of infective complications is increasing, with higher rates among men with medical comorbidities and older age. Transperineal and in-bore MRI-targeted biopsy may reduce the risk of severe infectious complications. Mortality after PB is uncommon, regardless of biopsy technique.\nCONCLUSIONS: Complications after PB are frequent but often self-limiting. The incidence of hospitalization due to severe infections is continuously increasing. The patient's general health status, risk factors, and likelihood of antimicrobial resistance should be carefully appraised before scheduling a PB.\nPATIENT SUMMARY: We reviewed the variety and incidence of complications after prostate biopsy. Even if frequent, complications seldom represent a problem for the patient. The most troublesome complications are infections. To minimize this risk, the patient's medical condition should be carefully evaluated before biopsy.","container-title":"European Urology","DOI":"10.1016/j.eururo.2016.08.004","ISSN":"1873-7560","issue":"3","journalAbbreviation":"Eur Urol","language":"eng","note":"PMID: 27543165","page":"353-365","source":"PubMed","title":"Complications After Systematic, Random, and Image-guided Prostate Biopsy","volume":"71","author":[{"family":"Borghesi","given":"Marco"},{"family":"Ahmed","given":"Hashim"},{"family":"Nam","given":"Robert"},{"family":"Schaeffer","given":"Edward"},{"family":"Schiavina","given":"Riccardo"},{"family":"Taneja","given":"Samir"},{"family":"Weidner","given":"Wolfgang"},{"family":"Loeb","given":"Stacy"}],"issued":{"date-parts":[["2017",3]]}}}],"schema":"https://github.com/citation-style-language/schema/raw/master/csl-citation.json"} </w:instrText>
      </w:r>
      <w:r w:rsidR="00AE19FB">
        <w:rPr>
          <w:rFonts w:ascii="Arial" w:hAnsi="Arial" w:cs="Arial"/>
          <w:iCs/>
          <w:sz w:val="18"/>
        </w:rPr>
        <w:fldChar w:fldCharType="separate"/>
      </w:r>
      <w:r w:rsidR="00F669DC" w:rsidRPr="00F669DC">
        <w:rPr>
          <w:rFonts w:ascii="Arial" w:hAnsi="Arial" w:cs="Arial"/>
          <w:sz w:val="18"/>
        </w:rPr>
        <w:t>(Borghesi et al., 2017)</w:t>
      </w:r>
      <w:r w:rsidR="00AE19FB">
        <w:rPr>
          <w:rFonts w:ascii="Arial" w:hAnsi="Arial" w:cs="Arial"/>
          <w:iCs/>
          <w:sz w:val="18"/>
        </w:rPr>
        <w:fldChar w:fldCharType="end"/>
      </w:r>
      <w:r w:rsidRPr="00F703D8">
        <w:rPr>
          <w:rFonts w:ascii="Arial" w:hAnsi="Arial" w:cs="Arial"/>
          <w:iCs/>
          <w:sz w:val="18"/>
        </w:rPr>
        <w:t xml:space="preserve">. MRI-guided targeted biopsies, however, represent a significant improvement (sensitivity of 85-90% if high-grade tumors are primarily targeted </w:t>
      </w:r>
      <w:r w:rsidR="00AE19FB">
        <w:rPr>
          <w:rFonts w:ascii="Arial" w:hAnsi="Arial" w:cs="Arial"/>
          <w:iCs/>
          <w:sz w:val="18"/>
        </w:rPr>
        <w:fldChar w:fldCharType="begin"/>
      </w:r>
      <w:r w:rsidR="00F669DC">
        <w:rPr>
          <w:rFonts w:ascii="Arial" w:hAnsi="Arial" w:cs="Arial"/>
          <w:iCs/>
          <w:sz w:val="18"/>
        </w:rPr>
        <w:instrText xml:space="preserve"> ADDIN ZOTERO_ITEM CSL_CITATION {"citationID":"a27ja2eut67","properties":{"formattedCitation":"(Ahmed et al., 2017)","plainCitation":"(Ahmed et al., 2017)","noteIndex":0},"citationItems":[{"id":8150,"uris":["http://zotero.org/users/3583561/items/KXNUR2Q3"],"itemData":{"id":8150,"type":"article-journal","abstract":"BACKGROUND: Men with high serum prostate specific antigen usually undergo transrectal ultrasound-guided prostate biopsy (TRUS-biopsy). TRUS-biopsy can cause side-effects including bleeding, pain, and infection. Multi-parametric magnetic resonance imaging (MP-MRI) used as a triage test might allow men to avoid unnecessary TRUS-biopsy and improve diagnostic accuracy.\nMETHODS: We did this multicentre, paired-cohort, confirmatory study to test diagnostic accuracy of MP-MRI and TRUS-biopsy against a reference test (template prostate mapping biopsy [TPM-biopsy]). Men with prostate-specific antigen concentrations up to 15 ng/mL, with no previous biopsy, underwent 1·5 Tesla MP-MRI followed by both TRUS-biopsy and TPM-biopsy. The conduct and reporting of each test was done blind to other test results. Clinically significant cancer was defined as Gleason score ≥4 + 3 or a maximum cancer core length 6 mm or longer. This study is registered on ClinicalTrials.gov, NCT01292291.\nFINDINGS: Between May 17, 2012, and November 9, 2015, we enrolled 740 men, 576 of whom underwent 1·5 Tesla MP-MRI followed by both TRUS-biopsy and TPM-biopsy. On TPM-biopsy, 408 (71%) of 576 men had cancer with 230 (40%) of 576 patients clinically significant. For clinically significant cancer, MP-MRI was more sensitive (93%, 95% CI 88-96%) than TRUS-biopsy (48%, 42-55%; p&lt;0·0001) and less specific (41%, 36-46% for MP-MRI vs 96%, 94-98% for TRUS-biopsy; p&lt;0·0001). 44 (5·9%) of 740 patients reported serious adverse events, including 8 cases of sepsis.\nINTERPRETATION: Using MP-MRI to triage men might allow 27% of patients avoid a primary biopsy and diagnosis of 5% fewer clinically insignificant cancers. If subsequent TRUS-biopsies were directed by MP-MRI findings, up to 18% more cases of clinically significant cancer might be detected compared with the standard pathway of TRUS-biopsy for all. MP-MRI, used as a triage test before first prostate biopsy, could reduce unnecessary biopsies by a quarter. MP-MRI can also reduce over-diagnosis of clinically insignificant prostate cancer and improve detection of clinically significant cancer.\nFUNDING: PROMIS is funded by the UK Government Department of Health, National Institute of Health Research-Health Technology Assessment Programme, (Project number 09/22/67). This project is also supported and partly funded by UCLH/UCL Biomedical Research Centre and The Royal Marsden and Institute for Cancer Research Biomedical Research Centre and is coordinated by the Medical Research Council Clinical Trials Unit (MRC CTU) at UCL. It is sponsored by University College London (UCL).","container-title":"Lancet (London, England)","DOI":"10.1016/S0140-6736(16)32401-1","ISSN":"1474-547X","issue":"10071","journalAbbreviation":"Lancet","language":"eng","note":"PMID: 28110982","page":"815-822","source":"PubMed","title":"Diagnostic accuracy of multi-parametric MRI and TRUS biopsy in prostate cancer (PROMIS): a paired validating confirmatory study","title-short":"Diagnostic accuracy of multi-parametric MRI and TRUS biopsy in prostate cancer (PROMIS)","volume":"389","author":[{"family":"Ahmed","given":"Hashim U."},{"family":"El-Shater Bosaily","given":"Ahmed"},{"family":"Brown","given":"Louise C."},{"family":"Gabe","given":"Rhian"},{"family":"Kaplan","given":"Richard"},{"family":"Parmar","given":"Mahesh K."},{"family":"Collaco-Moraes","given":"Yolanda"},{"family":"Ward","given":"Katie"},{"family":"Hindley","given":"Richard G."},{"family":"Freeman","given":"Alex"},{"family":"Kirkham","given":"Alex P."},{"family":"Oldroyd","given":"Robert"},{"family":"Parker","given":"Chris"},{"family":"Emberton","given":"Mark"},{"literal":"PROMIS study group"}],"issued":{"date-parts":[["2017",2,25]]}}}],"schema":"https://github.com/citation-style-language/schema/raw/master/csl-citation.json"} </w:instrText>
      </w:r>
      <w:r w:rsidR="00AE19FB">
        <w:rPr>
          <w:rFonts w:ascii="Arial" w:hAnsi="Arial" w:cs="Arial"/>
          <w:iCs/>
          <w:sz w:val="18"/>
        </w:rPr>
        <w:fldChar w:fldCharType="separate"/>
      </w:r>
      <w:r w:rsidR="00F669DC" w:rsidRPr="00F669DC">
        <w:rPr>
          <w:rFonts w:ascii="Arial" w:hAnsi="Arial" w:cs="Arial"/>
          <w:sz w:val="18"/>
        </w:rPr>
        <w:t>(Ahmed et al., 2017)</w:t>
      </w:r>
      <w:r w:rsidR="00AE19FB">
        <w:rPr>
          <w:rFonts w:ascii="Arial" w:hAnsi="Arial" w:cs="Arial"/>
          <w:iCs/>
          <w:sz w:val="18"/>
        </w:rPr>
        <w:fldChar w:fldCharType="end"/>
      </w:r>
      <w:r w:rsidRPr="00F703D8">
        <w:rPr>
          <w:rFonts w:ascii="Arial" w:hAnsi="Arial" w:cs="Arial"/>
          <w:iCs/>
          <w:sz w:val="18"/>
        </w:rPr>
        <w:t>, but they are costly, technically demanding, and may pose a risk to patients. Circulating microRNAs, on the other hand, represent a potential non-invasive alternative.</w:t>
      </w:r>
    </w:p>
    <w:p w14:paraId="1EFF1057" w14:textId="1A0FD3B3" w:rsidR="00F703D8" w:rsidRPr="00F669DC" w:rsidRDefault="00F703D8" w:rsidP="00F703D8">
      <w:pPr>
        <w:autoSpaceDE w:val="0"/>
        <w:autoSpaceDN w:val="0"/>
        <w:adjustRightInd w:val="0"/>
        <w:spacing w:after="240"/>
        <w:jc w:val="both"/>
        <w:rPr>
          <w:rFonts w:ascii="Arial" w:hAnsi="Arial" w:cs="Arial"/>
          <w:iCs/>
          <w:sz w:val="18"/>
        </w:rPr>
      </w:pPr>
      <w:r w:rsidRPr="00F703D8">
        <w:rPr>
          <w:rFonts w:ascii="Arial" w:hAnsi="Arial" w:cs="Arial"/>
          <w:iCs/>
          <w:sz w:val="18"/>
        </w:rPr>
        <w:t xml:space="preserve">These results underscore the value of miRNAs as adjuncts to diagnostic strategies and as components of biopsies that better refine patient selection to minimize unnecessary invasive efforts. Our observations are in concordance with those of Bertoli et al. in 2016 and </w:t>
      </w:r>
      <w:proofErr w:type="spellStart"/>
      <w:r w:rsidRPr="00F703D8">
        <w:rPr>
          <w:rFonts w:ascii="Arial" w:hAnsi="Arial" w:cs="Arial"/>
          <w:iCs/>
          <w:sz w:val="18"/>
        </w:rPr>
        <w:t>Cochetti</w:t>
      </w:r>
      <w:proofErr w:type="spellEnd"/>
      <w:r w:rsidRPr="00F703D8">
        <w:rPr>
          <w:rFonts w:ascii="Arial" w:hAnsi="Arial" w:cs="Arial"/>
          <w:iCs/>
          <w:sz w:val="18"/>
        </w:rPr>
        <w:t xml:space="preserve"> et al. in 2020, supporting miRNAs hold promise as a successful candidate for the determination of clinically significant </w:t>
      </w:r>
      <w:proofErr w:type="spellStart"/>
      <w:r w:rsidRPr="00F703D8">
        <w:rPr>
          <w:rFonts w:ascii="Arial" w:hAnsi="Arial" w:cs="Arial"/>
          <w:iCs/>
          <w:sz w:val="18"/>
        </w:rPr>
        <w:t>PCa</w:t>
      </w:r>
      <w:proofErr w:type="spellEnd"/>
      <w:r w:rsidRPr="00F703D8">
        <w:rPr>
          <w:rFonts w:ascii="Arial" w:hAnsi="Arial" w:cs="Arial"/>
          <w:iCs/>
          <w:sz w:val="18"/>
        </w:rPr>
        <w:t xml:space="preserve">, with significantly enhanced patient acceptability and accessibility relative to current pathways </w:t>
      </w:r>
      <w:r w:rsidR="00AE19FB">
        <w:rPr>
          <w:rFonts w:ascii="Arial" w:hAnsi="Arial" w:cs="Arial"/>
          <w:iCs/>
          <w:sz w:val="18"/>
        </w:rPr>
        <w:fldChar w:fldCharType="begin"/>
      </w:r>
      <w:r w:rsidR="00F669DC">
        <w:rPr>
          <w:rFonts w:ascii="Arial" w:hAnsi="Arial" w:cs="Arial"/>
          <w:iCs/>
          <w:sz w:val="18"/>
        </w:rPr>
        <w:instrText xml:space="preserve"> ADDIN ZOTERO_ITEM CSL_CITATION {"citationID":"a11l7rg3a29","properties":{"formattedCitation":"(Bertoli et al., 2016; Cochetti et al., 2020)","plainCitation":"(Bertoli et al., 2016; Cochetti et al., 2020)","noteIndex":0},"citationItems":[{"id":686,"uris":["http://zotero.org/users/3583561/items/BTMFX2IB"],"itemData":{"id":686,"type":"article-journal","abstract":"Prostate cancer (PC) includes several phenotypes, from indolent to highly aggressive cancer. Actual diagnostic and prognostic tools have several limitations, and there is a need for new biomarkers to stratify patients and assign them optimal therapies by taking into account potential genetic and epigenetic differences. MicroRNAs (miRNAs) are small sequences of non-coding RNA regulating specific genes involved in the onset and development of PC. Stable miRNAs have been found in biofluids, such as serum and plasma; thus, the measurement of PC-associated miRNAs is emerging as a non-invasive tool for PC detection and monitoring. In this study, we conduct an in-depth literature review focusing on miRNAs that may contribute to the diagnosis and prognosis of PC. The role of miRNAs as a potential theranostic tool in PC is discussed. Using a meta-analysis approach, we found a group of 29 miRNAs with diagnostic properties and a group of seven miRNAs with prognostic properties, which were found already expressed in both biofluids and PC tissues. We tested the two miRNA groups on The Cancer Genome Atlas dataset of PC tissue samples with a machine-learning approach. Our results suggest that these 29 miRNAs should be considered as potential panel of biomarkers for the diagnosis of PC, both as in vivo non-invasive test and ex vivo confirmation test.","container-title":"International Journal of Molecular Sciences","DOI":"10.3390/ijms17030421","ISSN":"1422-0067","issue":"3","journalAbbreviation":"Int J Mol Sci","language":"eng","note":"PMID: 27011184\nPMCID: PMC4813272","page":"421","source":"PubMed","title":"MicroRNAs as Biomarkers for Diagnosis, Prognosis and Theranostics in Prostate Cancer","volume":"17","author":[{"family":"Bertoli","given":"Gloria"},{"family":"Cava","given":"Claudia"},{"family":"Castiglioni","given":"Isabella"}],"issued":{"date-parts":[["2016",3,22]]}}},{"id":8153,"uris":["http://zotero.org/users/3583561/items/AZC2CATQ"],"itemData":{"id":8153,"type":"article-journal","abstract":"Many different genetic alterations, as well as complex epigenetic interactions, are the basis of the genesis and progression of prostate cancer (CaP). This is the reason why until now the molecular pathways related to development of this cancer were only partly known, and even less those that determine aggressive or indolent tumour behaviour. MicroRNAs (miRNAs) represent a class of about 22 nucleotides long, small non-coding RNAs, which are involved in gene expression regulation at the post-transcriptional level. MiRNAs play a crucial role in regulating several biological functions and preserving homeostasis, as they carry out a wide modulatory activity on various molecular signalling pathways. MiRNA genes are placed in cancer-related genomic regions or in fragile sites, and they have been proven to be involved in the main steps of carcinogenesis as oncogenes or oncosuppressors in many types of cancer, including CaP. We performed a narrative review to describe the relationship between miRNAs and the crucial steps of development and progression of CaP. The aims of this study were to improve the knowledge regarding the mechanisms underlying miRNA expression and their target genes, and to contribute to understanding the relationship between miRNA expression profiles and CaP.","container-title":"Urologic Oncology","DOI":"10.1016/j.urolonc.2020.03.007","ISSN":"1873-2496","issue":"7","journalAbbreviation":"Urol Oncol","language":"eng","note":"PMID: 32284256","page":"623-635","source":"PubMed","title":"Role of miRNAs in prostate cancer: Do we really know everything?","title-short":"Role of miRNAs in prostate cancer","volume":"38","author":[{"family":"Cochetti","given":"Giovanni"},{"family":"Rossi de Vermandois","given":"Jacopo Adolfo"},{"family":"Maulà","given":"Vincenza"},{"family":"Giulietti","given":"Matteo"},{"family":"Cecati","given":"Monia"},{"family":"Del Zingaro","given":"Michele"},{"family":"Cagnani","given":"Rosy"},{"family":"Suvieri","given":"Chiara"},{"family":"Paladini","given":"Alessio"},{"family":"Mearini","given":"Ettore"}],"issued":{"date-parts":[["2020",7]]}}}],"schema":"https://github.com/citation-style-language/schema/raw/master/csl-citation.json"} </w:instrText>
      </w:r>
      <w:r w:rsidR="00AE19FB">
        <w:rPr>
          <w:rFonts w:ascii="Arial" w:hAnsi="Arial" w:cs="Arial"/>
          <w:iCs/>
          <w:sz w:val="18"/>
        </w:rPr>
        <w:fldChar w:fldCharType="separate"/>
      </w:r>
      <w:r w:rsidR="00F669DC" w:rsidRPr="00F669DC">
        <w:rPr>
          <w:rFonts w:ascii="Arial" w:hAnsi="Arial" w:cs="Arial"/>
          <w:sz w:val="18"/>
        </w:rPr>
        <w:t>(Bertoli et al., 2016; Cochetti et al., 2020)</w:t>
      </w:r>
      <w:r w:rsidR="00AE19FB">
        <w:rPr>
          <w:rFonts w:ascii="Arial" w:hAnsi="Arial" w:cs="Arial"/>
          <w:iCs/>
          <w:sz w:val="18"/>
        </w:rPr>
        <w:fldChar w:fldCharType="end"/>
      </w:r>
      <w:r w:rsidRPr="00F669DC">
        <w:rPr>
          <w:rFonts w:ascii="Arial" w:hAnsi="Arial" w:cs="Arial"/>
          <w:iCs/>
          <w:sz w:val="18"/>
        </w:rPr>
        <w:t>.</w:t>
      </w:r>
    </w:p>
    <w:p w14:paraId="3A229819" w14:textId="77777777" w:rsidR="00F703D8" w:rsidRPr="00F703D8" w:rsidRDefault="00F703D8" w:rsidP="00F703D8">
      <w:pPr>
        <w:autoSpaceDE w:val="0"/>
        <w:autoSpaceDN w:val="0"/>
        <w:adjustRightInd w:val="0"/>
        <w:spacing w:after="240"/>
        <w:jc w:val="both"/>
        <w:rPr>
          <w:rFonts w:ascii="Arial" w:hAnsi="Arial" w:cs="Arial"/>
          <w:iCs/>
          <w:sz w:val="18"/>
        </w:rPr>
      </w:pPr>
      <w:r w:rsidRPr="00F703D8">
        <w:rPr>
          <w:rFonts w:ascii="Arial" w:hAnsi="Arial" w:cs="Arial"/>
          <w:iCs/>
          <w:sz w:val="18"/>
        </w:rPr>
        <w:t xml:space="preserve">Our meta-analysis with an expanded data set up to April 2025 confirms and quantitatively updates these conclusions and demonstrates that specific circulating miRNAs, either alone or in combination, can outperform FFA in the diagnosis of </w:t>
      </w:r>
      <w:proofErr w:type="spellStart"/>
      <w:r w:rsidRPr="00F703D8">
        <w:rPr>
          <w:rFonts w:ascii="Arial" w:hAnsi="Arial" w:cs="Arial"/>
          <w:iCs/>
          <w:sz w:val="18"/>
        </w:rPr>
        <w:t>PCa</w:t>
      </w:r>
      <w:proofErr w:type="spellEnd"/>
      <w:r w:rsidRPr="00F703D8">
        <w:rPr>
          <w:rFonts w:ascii="Arial" w:hAnsi="Arial" w:cs="Arial"/>
          <w:iCs/>
          <w:sz w:val="18"/>
        </w:rPr>
        <w:t>. Interestingly, the 3-miRNA panel (miR-21, miR-141, miR-375) can offer improved diagnostic accuracy (AUC = 0.91), pooled sensitivity (82%), and specificity (86%). These performance measures rank this multi-miRNA signature among a strong standalone PSA substitute or a complementary tool to PSA in a combined screening setting.</w:t>
      </w:r>
    </w:p>
    <w:p w14:paraId="7B37A149" w14:textId="6B8A0E98" w:rsidR="00F703D8" w:rsidRPr="00F703D8" w:rsidRDefault="00F703D8" w:rsidP="00F703D8">
      <w:pPr>
        <w:autoSpaceDE w:val="0"/>
        <w:autoSpaceDN w:val="0"/>
        <w:adjustRightInd w:val="0"/>
        <w:spacing w:after="240"/>
        <w:jc w:val="both"/>
        <w:rPr>
          <w:rFonts w:ascii="Arial" w:hAnsi="Arial" w:cs="Arial"/>
          <w:iCs/>
          <w:sz w:val="18"/>
        </w:rPr>
      </w:pPr>
      <w:r w:rsidRPr="00F703D8">
        <w:rPr>
          <w:rFonts w:ascii="Arial" w:hAnsi="Arial" w:cs="Arial"/>
          <w:iCs/>
          <w:sz w:val="18"/>
        </w:rPr>
        <w:t>Inter-study heterogeneity remained substantial despite the observed diagnostic performance. Area under the ROC curve (AUC) was re-examined by subgroup analysis to identify its sources. Subgroup analyses were conducted. In contrast to sensitivity and specificity, performance is not dependent on the cut-offs used in individual studies, and the AUC offers a threshold-independent quantity of diagnostic accuracy that is therefore more robust for comparisons amongst heterogeneous subgroups.</w:t>
      </w:r>
    </w:p>
    <w:p w14:paraId="203372D2" w14:textId="77777777" w:rsidR="00F703D8" w:rsidRPr="00F703D8" w:rsidRDefault="00F703D8" w:rsidP="00F703D8">
      <w:pPr>
        <w:autoSpaceDE w:val="0"/>
        <w:autoSpaceDN w:val="0"/>
        <w:adjustRightInd w:val="0"/>
        <w:spacing w:after="240"/>
        <w:jc w:val="both"/>
        <w:rPr>
          <w:rFonts w:ascii="Arial" w:hAnsi="Arial" w:cs="Arial"/>
          <w:iCs/>
          <w:sz w:val="18"/>
        </w:rPr>
      </w:pPr>
      <w:r w:rsidRPr="00F703D8">
        <w:rPr>
          <w:rFonts w:ascii="Arial" w:hAnsi="Arial" w:cs="Arial"/>
          <w:iCs/>
          <w:sz w:val="18"/>
        </w:rPr>
        <w:lastRenderedPageBreak/>
        <w:t>Sub analysis identified that the type of biological matrix, plasma, serum, or urine, has a significant influence on the diagnostic performance. There were statistically significant differences between the sample types. Serum had an acceptable diagnostic performance (AUC = 0.86) and moderate between-study heterogeneity (I² = 51%), with the implication of being more robust and reproducible. Plasma and urine, on the other hand, demonstrated a low overall diagnostic accuracy (AUC ≤ 0.77), interspersed with high heterogeneity (I² = 88.4% and I² = 65.4%, respectively) and in a sense which did not allow their reliable use. Whole blood was rather paradoxically the medium returning the highest AUC of 0.91, yet it had significant heterogeneity (I² = 91.8%), meaning that studies did not agree very well together.</w:t>
      </w:r>
    </w:p>
    <w:p w14:paraId="70C89B28" w14:textId="55898AF7" w:rsidR="00F703D8" w:rsidRPr="00F703D8" w:rsidRDefault="00F703D8" w:rsidP="00F703D8">
      <w:pPr>
        <w:autoSpaceDE w:val="0"/>
        <w:autoSpaceDN w:val="0"/>
        <w:adjustRightInd w:val="0"/>
        <w:spacing w:after="240"/>
        <w:jc w:val="both"/>
        <w:rPr>
          <w:rFonts w:ascii="Arial" w:hAnsi="Arial" w:cs="Arial"/>
          <w:iCs/>
          <w:sz w:val="18"/>
        </w:rPr>
      </w:pPr>
      <w:r w:rsidRPr="00F703D8">
        <w:rPr>
          <w:rFonts w:ascii="Arial" w:hAnsi="Arial" w:cs="Arial"/>
          <w:iCs/>
          <w:sz w:val="18"/>
        </w:rPr>
        <w:t xml:space="preserve">Our data agree with the work of Zhang et al. in 2022, who reported an AUC of 0.94 for circulating microRNAs, higher discriminative capacity in serum than in plasma </w:t>
      </w:r>
      <w:r w:rsidR="00AE19FB">
        <w:rPr>
          <w:rFonts w:ascii="Arial" w:hAnsi="Arial" w:cs="Arial"/>
          <w:iCs/>
          <w:sz w:val="18"/>
        </w:rPr>
        <w:fldChar w:fldCharType="begin"/>
      </w:r>
      <w:r w:rsidR="00F669DC">
        <w:rPr>
          <w:rFonts w:ascii="Arial" w:hAnsi="Arial" w:cs="Arial"/>
          <w:iCs/>
          <w:sz w:val="18"/>
        </w:rPr>
        <w:instrText xml:space="preserve"> ADDIN ZOTERO_ITEM CSL_CITATION {"citationID":"autba9oijg","properties":{"formattedCitation":"(Zhang et al., 2022)","plainCitation":"(Zhang et al., 2022)","noteIndex":0},"citationItems":[{"id":642,"uris":["http://zotero.org/users/3583561/items/7ZNUBCUH"],"itemData":{"id":642,"type":"article-journal","abstract":"OBJECTIVES: This meta-analysis has been conducted to evaluate the diagnostic accuracy of circulating microRNAs for the early diagnosis of prostate cancer (PCA).\nMETHODS: A systematic literature search was performed (updated to February 18, 2021) in PubMed, EMBASE, Web of Science, Cochrane Library, Wanfang database and China National Knowledge Infrastructure (CNKI) to identify eligible studies. The pooled sensitivity (SEN), specificity (SPE), positive likelihood ratio (PLR), negative likelihood ratio (NLR), diagnostic odds ratio (DOR), and area under curve (AUC) of the summary receiver-operating characteristic (SROC) curve were calculated for both overall and subgroup analysis. The meta-regression and subgroup analysis were performed to explore heterogeneity and Deeks' funnel plot was used to assess publication bias.\nRESULTS: One hundred nineteen studies from 33 articles owned 8703 PCA patients and 4914 controls were included in our meta-analysis. The overall sensitivity, specificity, positive likelihood ratio, negative likelihood ratio, diagnostic odds ratio and area under the curve were 0.79, 0.81, 4.1, 0.26, 16 and 0.87, respectively. The pooled sensitivity, specificity, positive likelihood ratio, negative likelihood ratio, diagnostic odds ratio, and area under the curve of miR-21 in diagnosis of PCA were 0.86, 0.90, 8.3, 0.16, 52 and 0.94, respectively. Subgroup analysis suggested that the upregulated miRNA of serum type with large sample size could carry out a better diagnostic accuracy of PCA patients. Moreover, publication bias was not found.\nCONCLUSIONS: Circulating microRNA, especially miR-21, can be used as a promising noninvasive biomarker in the early diagnosis of PCA.","container-title":"Actas Urologicas Espanolas","DOI":"10.1016/j.acuroe.2021.05.005","ISSN":"2173-5786","issue":"3","journalAbbreviation":"Actas Urol Esp (Engl Ed)","language":"eng, spa","note":"PMID: 35260368","page":"138-149","source":"PubMed","title":"The potential diagnostic accuracy of circulating microRNAs for prostate cancer: A meta-analysis","title-short":"The potential diagnostic accuracy of circulating microRNAs for prostate cancer","volume":"46","author":[{"family":"Zhang","given":"W. T."},{"family":"Zhang","given":"G. X."},{"family":"Zhao","given":"R. Z."},{"family":"Gao","given":"S. S."}],"issued":{"date-parts":[["2022",4]]}}}],"schema":"https://github.com/citation-style-language/schema/raw/master/csl-citation.json"} </w:instrText>
      </w:r>
      <w:r w:rsidR="00AE19FB">
        <w:rPr>
          <w:rFonts w:ascii="Arial" w:hAnsi="Arial" w:cs="Arial"/>
          <w:iCs/>
          <w:sz w:val="18"/>
        </w:rPr>
        <w:fldChar w:fldCharType="separate"/>
      </w:r>
      <w:r w:rsidR="00F669DC" w:rsidRPr="00F669DC">
        <w:rPr>
          <w:rFonts w:ascii="Arial" w:hAnsi="Arial" w:cs="Arial"/>
          <w:sz w:val="18"/>
        </w:rPr>
        <w:t>(Zhang et al., 2022)</w:t>
      </w:r>
      <w:r w:rsidR="00AE19FB">
        <w:rPr>
          <w:rFonts w:ascii="Arial" w:hAnsi="Arial" w:cs="Arial"/>
          <w:iCs/>
          <w:sz w:val="18"/>
        </w:rPr>
        <w:fldChar w:fldCharType="end"/>
      </w:r>
      <w:r w:rsidRPr="00F703D8">
        <w:rPr>
          <w:rFonts w:ascii="Arial" w:hAnsi="Arial" w:cs="Arial"/>
          <w:iCs/>
          <w:sz w:val="18"/>
        </w:rPr>
        <w:t xml:space="preserve">. In contrast to plasma, which is sensitive to anticoagulants, and urine, whose composition may present with different hydration status, pH, or conditions of collection, using the serum is by far the best stability condition for microRNA quantification </w:t>
      </w:r>
      <w:r w:rsidR="00AE19FB">
        <w:rPr>
          <w:rFonts w:ascii="Arial" w:hAnsi="Arial" w:cs="Arial"/>
          <w:iCs/>
          <w:sz w:val="18"/>
        </w:rPr>
        <w:fldChar w:fldCharType="begin"/>
      </w:r>
      <w:r w:rsidR="00F669DC">
        <w:rPr>
          <w:rFonts w:ascii="Arial" w:hAnsi="Arial" w:cs="Arial"/>
          <w:iCs/>
          <w:sz w:val="18"/>
        </w:rPr>
        <w:instrText xml:space="preserve"> ADDIN ZOTERO_ITEM CSL_CITATION {"citationID":"a10350ptoqj","properties":{"formattedCitation":"(Yin et al., 2016)","plainCitation":"(Yin et al., 2016)","noteIndex":0},"citationItems":[{"id":764,"uris":["http://zotero.org/users/3583561/items/K7BICF8N"],"itemData":{"id":764,"type":"article-journal","abstract":"BACKGROUND: The diagnostic value of circulating microRNAs (miRNAs) detection in prostate cancer (PC) patients is currently under debate. Thus, we performed this meta-analysis of published literature to systematically evaluate the diagnostic potential of circulating miRNAs in PC.\nMETHODS: Eligible studies were searched in PubMed, Embase and Chinese National Knowledge Infrastructure databases. Sensitivity and specificity were pooled using a random-effects model and were used to plot the summary receiver operator characteristic (SROC) curve. All analyses were performed using the Stata 13.0 software and Meta-Disc 1.4 for windows.\nRESULTS: A total of ten articles were included for the meta-analysis according to the inclusion criteria. The pooled results based on all included studies showed circulating miRNAs have a relatively good diagnostic performance, with a sensitivity of 0.74, a specificity of 0.71 and an area under SROC curve (AUC) of 0.77 in indiscriminating PC from controls. Furthermore, meta-regression and subgroup analyses indicate that multiple circulating miRNAs detection displayed a better diagnostic performance than single one, with an AUC rising from 0.75 to 0.81. Additional interesting finding was that Caucasian-based circulating miRNAs assays could reach a higher accuracy compared with non-Caucasian-based one for PC with the p value of 0.0378.\nCONCLUSION: Our results confirmed the potential use of circulating miRNAs in the early diagnosis of PC, especially the combination of multiple circulating miRNAs. However, large-scale prospective studies are still needed to further validate our findings.","container-title":"International Urology and Nephrology","DOI":"10.1007/s11255-016-1281-4","ISSN":"1573-2584","issue":"7","journalAbbreviation":"Int Urol Nephrol","language":"eng","note":"PMID: 27068818","page":"1087-1095","source":"PubMed","title":"Circulating microRNAs as novel biomarkers in the diagnosis of prostate cancer: a systematic review and meta-analysis","title-short":"Circulating microRNAs as novel biomarkers in the diagnosis of prostate cancer","volume":"48","author":[{"family":"Yin","given":"Changqing"},{"family":"Fang","given":"Cheng"},{"family":"Weng","given":"Hong"},{"family":"Yuan","given":"Chunhui"},{"family":"Wang","given":"Fubing"}],"issued":{"date-parts":[["2016",7]]}}}],"schema":"https://github.com/citation-style-language/schema/raw/master/csl-citation.json"} </w:instrText>
      </w:r>
      <w:r w:rsidR="00AE19FB">
        <w:rPr>
          <w:rFonts w:ascii="Arial" w:hAnsi="Arial" w:cs="Arial"/>
          <w:iCs/>
          <w:sz w:val="18"/>
        </w:rPr>
        <w:fldChar w:fldCharType="separate"/>
      </w:r>
      <w:r w:rsidR="00F669DC" w:rsidRPr="00F669DC">
        <w:rPr>
          <w:rFonts w:ascii="Arial" w:hAnsi="Arial" w:cs="Arial"/>
          <w:sz w:val="18"/>
        </w:rPr>
        <w:t>(Yin et al., 2016)</w:t>
      </w:r>
      <w:r w:rsidR="00AE19FB">
        <w:rPr>
          <w:rFonts w:ascii="Arial" w:hAnsi="Arial" w:cs="Arial"/>
          <w:iCs/>
          <w:sz w:val="18"/>
        </w:rPr>
        <w:fldChar w:fldCharType="end"/>
      </w:r>
      <w:r w:rsidRPr="00F703D8">
        <w:rPr>
          <w:rFonts w:ascii="Arial" w:hAnsi="Arial" w:cs="Arial"/>
          <w:iCs/>
          <w:sz w:val="18"/>
        </w:rPr>
        <w:t>.</w:t>
      </w:r>
    </w:p>
    <w:p w14:paraId="5AF54890" w14:textId="10D6EB37" w:rsidR="00F703D8" w:rsidRPr="00F703D8" w:rsidRDefault="00F703D8" w:rsidP="00F703D8">
      <w:pPr>
        <w:autoSpaceDE w:val="0"/>
        <w:autoSpaceDN w:val="0"/>
        <w:adjustRightInd w:val="0"/>
        <w:spacing w:after="240"/>
        <w:jc w:val="both"/>
        <w:rPr>
          <w:rFonts w:ascii="Arial" w:hAnsi="Arial" w:cs="Arial"/>
          <w:iCs/>
          <w:sz w:val="18"/>
        </w:rPr>
      </w:pPr>
      <w:r w:rsidRPr="00F703D8">
        <w:rPr>
          <w:rFonts w:ascii="Arial" w:hAnsi="Arial" w:cs="Arial"/>
          <w:iCs/>
          <w:sz w:val="18"/>
        </w:rPr>
        <w:t>Also, the type of control group influenced the sensitivity of the diagnosis significantly (</w:t>
      </w:r>
      <w:r w:rsidRPr="00AE19FB">
        <w:rPr>
          <w:rFonts w:ascii="Arial" w:hAnsi="Arial" w:cs="Arial"/>
          <w:i/>
          <w:sz w:val="18"/>
        </w:rPr>
        <w:t>P</w:t>
      </w:r>
      <w:r w:rsidRPr="00F703D8">
        <w:rPr>
          <w:rFonts w:ascii="Arial" w:hAnsi="Arial" w:cs="Arial"/>
          <w:iCs/>
          <w:sz w:val="18"/>
        </w:rPr>
        <w:t xml:space="preserve"> = 0.03). Our results demonstrated that healthy individuals yielded a higher diagnostic accuracy (AUC = 0.86) as the control group than that observed with benign prostatic hyperplasia (BPH) (AUC = 0.77). Such findings are in line with the results of Zhou and Zhu in 2019, showing that diagnostic accuracy decreased when the control group was composed of patients being diagnosed with benign disorders of the prostate and AUC decreased from 0.86 to 0.78 </w:t>
      </w:r>
      <w:r w:rsidR="00F669DC">
        <w:rPr>
          <w:rFonts w:ascii="Arial" w:hAnsi="Arial" w:cs="Arial"/>
          <w:iCs/>
          <w:sz w:val="18"/>
        </w:rPr>
        <w:fldChar w:fldCharType="begin"/>
      </w:r>
      <w:r w:rsidR="00F669DC">
        <w:rPr>
          <w:rFonts w:ascii="Arial" w:hAnsi="Arial" w:cs="Arial"/>
          <w:iCs/>
          <w:sz w:val="18"/>
        </w:rPr>
        <w:instrText xml:space="preserve"> ADDIN ZOTERO_ITEM CSL_CITATION {"citationID":"a29rifmcktt","properties":{"formattedCitation":"(Zhou &amp; Zhu, 2019)","plainCitation":"(Zhou &amp; Zhu, 2019)","noteIndex":0},"citationItems":[{"id":360,"uris":["http://zotero.org/users/3583561/items/SWF6Z56W"],"itemData":{"id":360,"type":"article-journal","abstract":"Background\nProstate cancer (PCa) is the second leading cause of cancer death in men. Several articles have reported that microRNA-21 (miR-21) and microRNA-30c (miR-30c) have diagnostic values for PCa, but the results are inconclusive. In order to precisely assess the diagnostic values of miR-21 and miR-30c for PCa, this meta-analysis is performed.\n\nMethods\nArticles were searched in the databases of PubMed, Embase, and Web of Knowledge (search date: September 6, 2018). Studies were included if they were designed to evaluate the diagnostic performance of miR-21 or miR-30c for PCa. Using Stata 12.0 and Meta-Disc 1.4, the pooled sensitivity (SEN), specificity (SPE), positive likelihood ratio (PLR), negative likelihood ratio (NLR), diagnostic odds ratio (DOR), and area under curve (AUC) of the summary receiver-operating characteristic (SROC) curve with the corresponding 95% CI were calculated.\n\nResults\nOverall, ten studies (six studies for miR-21 and four for miR-30c) involving1,371 participants were included in this meta-analysis. For miR-21, the pooled SEN and SPE were, respectively, 0.91 (95% CI: 0.87–0.94) and 0.88 (95% CI: 0.82–0.93), the pooled PLR and NLR were, respectively, 7.74 (95% CI: 4.81–12.47), 0.1 (95% CI: 0.06–0.15), the DOR was 77.64 (95% CI: 34.64–174.02), AUC of SROC was 0.95 (95% CI: 0.93–0.97). For miR-30c, the pooled SEN and SPE were, respectively, 0.74 (95% CI: 0.65–0.81) and 0.78 (95% CI: 0.72–0.83), the pooled PLR and NLR were, respectively, 3.39 (95% CI: 2.69–4.26), and 0.34 (95% CI: 0.26–0.44), the DOR was 10.06 (95% CI: 6.96–14.55), and AUC of SROC was 0.83 (95% CI: 0.79–0.86).\n\nConclusion\nFor PCa, miR-21 is a good diagnostic biomarker and miR-30c is a moderate diagnostic biomarker.","container-title":"Cancer Management and Research","DOI":"10.2147/CMAR.S189026","ISSN":"1179-1322","journalAbbreviation":"Cancer Manag Res","note":"PMID: 30881128\nPMCID: PMC6411321","page":"2039-2050","source":"PubMed Central","title":"MicroRNA-21 and microRNA-30c as diagnostic biomarkers for prostate cancer: a meta-analysis","title-short":"MicroRNA-21 and microRNA-30c as diagnostic biomarkers for prostate cancer","URL":"https://www.ncbi.nlm.nih.gov/pmc/articles/PMC6411321/","volume":"11","author":[{"family":"Zhou","given":"Hongxing"},{"family":"Zhu","given":"Xuming"}],"accessed":{"date-parts":[["2022",6,6]]},"issued":{"date-parts":[["2019",3,6]]}}}],"schema":"https://github.com/citation-style-language/schema/raw/master/csl-citation.json"} </w:instrText>
      </w:r>
      <w:r w:rsidR="00F669DC">
        <w:rPr>
          <w:rFonts w:ascii="Arial" w:hAnsi="Arial" w:cs="Arial"/>
          <w:iCs/>
          <w:sz w:val="18"/>
        </w:rPr>
        <w:fldChar w:fldCharType="separate"/>
      </w:r>
      <w:r w:rsidR="00F669DC" w:rsidRPr="00F669DC">
        <w:rPr>
          <w:rFonts w:ascii="Arial" w:hAnsi="Arial" w:cs="Arial"/>
          <w:sz w:val="18"/>
        </w:rPr>
        <w:t>(Zhou &amp; Zhu, 2019)</w:t>
      </w:r>
      <w:r w:rsidR="00F669DC">
        <w:rPr>
          <w:rFonts w:ascii="Arial" w:hAnsi="Arial" w:cs="Arial"/>
          <w:iCs/>
          <w:sz w:val="18"/>
        </w:rPr>
        <w:fldChar w:fldCharType="end"/>
      </w:r>
      <w:r w:rsidRPr="00F703D8">
        <w:rPr>
          <w:rFonts w:ascii="Arial" w:hAnsi="Arial" w:cs="Arial"/>
          <w:iCs/>
          <w:sz w:val="18"/>
        </w:rPr>
        <w:t xml:space="preserve">. Several other studies also showed evidence that BPH and PC share molecular profiles and/or microRNA expression signature the same as that of PC patients, leading to reduced discrimination of diagnostic tests </w:t>
      </w:r>
      <w:r w:rsidR="00F669DC">
        <w:rPr>
          <w:rFonts w:ascii="Arial" w:hAnsi="Arial" w:cs="Arial"/>
          <w:iCs/>
          <w:sz w:val="18"/>
        </w:rPr>
        <w:fldChar w:fldCharType="begin"/>
      </w:r>
      <w:r w:rsidR="00F669DC">
        <w:rPr>
          <w:rFonts w:ascii="Arial" w:hAnsi="Arial" w:cs="Arial"/>
          <w:iCs/>
          <w:sz w:val="18"/>
        </w:rPr>
        <w:instrText xml:space="preserve"> ADDIN ZOTERO_ITEM CSL_CITATION {"citationID":"a2n7rbmjugu","properties":{"formattedCitation":"(Manoj et al., 2023)","plainCitation":"(Manoj et al., 2023)","noteIndex":0},"citationItems":[{"id":4514,"uris":["http://zotero.org/groups/5148055/items/BMIR5DVF"],"itemData":{"id":4514,"type":"article-journal","abstract":"Background: Owing to the heterogeneous nature of prostate cancer (PCa) and errors in the characterization of the disease, researchers have been trying to unveil molecular biomarkers like microRNA (miRNA) as diagnostic markers. The purpose of our study is to demonstrate the precision of a panel of miRNAs as biomarkers with diagnostic potential for risk stratification. Materials and methods: The present study demonstrates the comparative expression profiles of miRNA-141,-1290,-100, and -335 in both tissue and serum, including Benign Prostate Hyperplasia (BPH) and PCa, with healthy volunteers. Firstly, we demonstrate the expression of all miRNAs in the discovery cohort, including metastasis and benign tissue, and later validate their non-invasive diagnostic potential in BPH and PCa with healthy volunteers. MiRNA was isolated from tissue and serum to be quantified by RT-PCR and analyzed for biomarker potential by receiver operating characteristic (ROC) curve analysis, followed by targetome analysis of each miRNA. Results: Among the non-invasive miRNA assessed, it was seen that miRNA 141 (P = 0.0003) and miRNA 1290 (P &lt; 0.0001) are oncogenic with significantly higher expression, while miRNA 100 (P = 0.0002) and miRNA 335 are tumor suppressor, in PCa as compared to controls. While for BPH, miRNA 141 (P = 0.003) and miRNA 335 (P = 0.0002) were found to be significantly oncogenic and tumor suppressors, respectively. The analysis of the ROC curve of panel miRNAs (miRNA-141,-1290, and -100) portrayed a significant area under the curve with greater sensitivity and specificity. Moreover, in-silico prediction of their respective targetomes represents their extensive involvement in PCa progression and various other cascades that aid in PCa networks. Conclusions: To the best of our knowledge, we are going to report for the first time this panel of miRNA that can be used to accurately and efficiently diagnose BPH and PCa patients from healthy males.","archive":"Embase","container-title":"Prostate International","DOI":"10.1016/j.prnil.2023.06.002","ISSN":"2287-903X","issue":"3","journalAbbreviation":"Prostate Int.","language":"English","page":"150-158","title":"Screening and validation of novel serum panel of microRNA in stratification of prostate cancer","URL":"https://www.embase.com/search/results?subaction=viewrecord&amp;id=L2025913147&amp;from=export","volume":"11","author":[{"family":"Manoj","given":"A."},{"family":"Ahmad","given":"M.K."},{"family":"Prasad","given":"G."},{"family":"Kumar","given":"D."},{"family":"Mahdi","given":"A.A."},{"family":"Kumar","given":"M."}],"issued":{"date-parts":[["2023"]]}}}],"schema":"https://github.com/citation-style-language/schema/raw/master/csl-citation.json"} </w:instrText>
      </w:r>
      <w:r w:rsidR="00F669DC">
        <w:rPr>
          <w:rFonts w:ascii="Arial" w:hAnsi="Arial" w:cs="Arial"/>
          <w:iCs/>
          <w:sz w:val="18"/>
        </w:rPr>
        <w:fldChar w:fldCharType="separate"/>
      </w:r>
      <w:r w:rsidR="00F669DC" w:rsidRPr="00F669DC">
        <w:rPr>
          <w:rFonts w:ascii="Arial" w:hAnsi="Arial" w:cs="Arial"/>
          <w:sz w:val="18"/>
        </w:rPr>
        <w:t>(Manoj et al., 2023)</w:t>
      </w:r>
      <w:r w:rsidR="00F669DC">
        <w:rPr>
          <w:rFonts w:ascii="Arial" w:hAnsi="Arial" w:cs="Arial"/>
          <w:iCs/>
          <w:sz w:val="18"/>
        </w:rPr>
        <w:fldChar w:fldCharType="end"/>
      </w:r>
      <w:r w:rsidRPr="00F703D8">
        <w:rPr>
          <w:rFonts w:ascii="Arial" w:hAnsi="Arial" w:cs="Arial"/>
          <w:iCs/>
          <w:sz w:val="18"/>
        </w:rPr>
        <w:t>.</w:t>
      </w:r>
    </w:p>
    <w:p w14:paraId="0EEDA00C" w14:textId="77777777" w:rsidR="00F703D8" w:rsidRPr="00F703D8" w:rsidRDefault="00F703D8" w:rsidP="00F703D8">
      <w:pPr>
        <w:autoSpaceDE w:val="0"/>
        <w:autoSpaceDN w:val="0"/>
        <w:adjustRightInd w:val="0"/>
        <w:spacing w:after="240"/>
        <w:jc w:val="both"/>
        <w:rPr>
          <w:rFonts w:ascii="Arial" w:hAnsi="Arial" w:cs="Arial"/>
          <w:iCs/>
          <w:sz w:val="18"/>
        </w:rPr>
      </w:pPr>
      <w:r w:rsidRPr="00F703D8">
        <w:rPr>
          <w:rFonts w:ascii="Arial" w:hAnsi="Arial" w:cs="Arial"/>
          <w:iCs/>
          <w:sz w:val="18"/>
        </w:rPr>
        <w:t>Finally, publication bias was not evident from Deeks’ tests (</w:t>
      </w:r>
      <w:r w:rsidRPr="00F669DC">
        <w:rPr>
          <w:rFonts w:ascii="Arial" w:hAnsi="Arial" w:cs="Arial"/>
          <w:i/>
          <w:sz w:val="18"/>
        </w:rPr>
        <w:t>P</w:t>
      </w:r>
      <w:r w:rsidRPr="00F703D8">
        <w:rPr>
          <w:rFonts w:ascii="Arial" w:hAnsi="Arial" w:cs="Arial"/>
          <w:iCs/>
          <w:sz w:val="18"/>
        </w:rPr>
        <w:t xml:space="preserve"> values higher than 0.1 for all markers), validating the finding despite continued variance among studies. In addition, the bivariate modeling method provided a good fit of the model, and the residuals were normally distributed, endorsing the methodological soundness of the present meta-analysis. The methodological quality of included studies was generally rated as at most 1 positive in the QUADAS-2 tool.</w:t>
      </w:r>
    </w:p>
    <w:p w14:paraId="28327D3A" w14:textId="1604BA0D" w:rsidR="00F703D8" w:rsidRPr="00F703D8" w:rsidRDefault="00F703D8" w:rsidP="00F703D8">
      <w:pPr>
        <w:autoSpaceDE w:val="0"/>
        <w:autoSpaceDN w:val="0"/>
        <w:adjustRightInd w:val="0"/>
        <w:spacing w:after="240"/>
        <w:jc w:val="both"/>
        <w:rPr>
          <w:rFonts w:ascii="Arial" w:hAnsi="Arial" w:cs="Arial"/>
          <w:iCs/>
          <w:sz w:val="18"/>
        </w:rPr>
      </w:pPr>
      <w:r w:rsidRPr="00F703D8">
        <w:rPr>
          <w:rFonts w:ascii="Arial" w:hAnsi="Arial" w:cs="Arial"/>
          <w:iCs/>
          <w:sz w:val="18"/>
        </w:rPr>
        <w:t>There are some limitations in this study. The notable heterogeneity among studies, diagnostic threshold variability, and lack of cohort harmonization can impair the generalizability of the results. Moreover, most of the studies included had a single-center design with small sample sizes. Independent external validation was included in only a small number of studies, which limits the immediate clinical usefulness of the findings.</w:t>
      </w:r>
    </w:p>
    <w:p w14:paraId="2F2D35F7" w14:textId="12A20D27" w:rsidR="00B01FCD" w:rsidRDefault="00C21A3D"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550762BE" w14:textId="15231C93" w:rsidR="00B01FCD" w:rsidRDefault="00A45E1B" w:rsidP="00441B6F">
      <w:pPr>
        <w:pStyle w:val="Body"/>
        <w:spacing w:after="0"/>
        <w:rPr>
          <w:rFonts w:ascii="Arial" w:hAnsi="Arial" w:cs="Arial"/>
        </w:rPr>
      </w:pPr>
      <w:r>
        <w:rPr>
          <w:rFonts w:ascii="Arial" w:hAnsi="Arial" w:cs="Arial"/>
        </w:rPr>
        <w:t xml:space="preserve"> </w:t>
      </w:r>
    </w:p>
    <w:p w14:paraId="5226CABC" w14:textId="07A61CFD" w:rsidR="00A45E1B" w:rsidRPr="00A45E1B" w:rsidRDefault="00A45E1B" w:rsidP="00A45E1B">
      <w:pPr>
        <w:pStyle w:val="Body"/>
        <w:rPr>
          <w:rFonts w:ascii="Arial" w:hAnsi="Arial" w:cs="Arial"/>
        </w:rPr>
      </w:pPr>
      <w:r w:rsidRPr="00A45E1B">
        <w:rPr>
          <w:rFonts w:ascii="Arial" w:hAnsi="Arial" w:cs="Arial"/>
        </w:rPr>
        <w:t>Despite conflicting results reported in the literature, our meta-analysis demonstrated that circulating microRNAs show good potential as diagnostic biomarkers for prostate cancer.</w:t>
      </w:r>
    </w:p>
    <w:p w14:paraId="691ABC65" w14:textId="66D2C17A" w:rsidR="00A45E1B" w:rsidRPr="00A45E1B" w:rsidRDefault="00A45E1B" w:rsidP="00A45E1B">
      <w:pPr>
        <w:pStyle w:val="Body"/>
        <w:rPr>
          <w:rFonts w:ascii="Arial" w:hAnsi="Arial" w:cs="Arial"/>
        </w:rPr>
      </w:pPr>
      <w:r w:rsidRPr="00A45E1B">
        <w:rPr>
          <w:rFonts w:ascii="Arial" w:hAnsi="Arial" w:cs="Arial"/>
        </w:rPr>
        <w:t>Of the three microRNAs we evaluated, miR-21 is by far the most effective in terms of tumor diagnosis, with its excellent AUC and likelihood ratios. MiR-141 and miR-375 also achieved encouraging levels, but their diagnostic performance was slightly lower, as indicated by a relatively lower DOR and a more moderate AUC.</w:t>
      </w:r>
    </w:p>
    <w:p w14:paraId="41BA54BE" w14:textId="77777777" w:rsidR="00A45E1B" w:rsidRPr="00A45E1B" w:rsidRDefault="00A45E1B" w:rsidP="00A45E1B">
      <w:pPr>
        <w:pStyle w:val="Body"/>
        <w:rPr>
          <w:rFonts w:ascii="Arial" w:hAnsi="Arial" w:cs="Arial"/>
        </w:rPr>
      </w:pPr>
      <w:r w:rsidRPr="00A45E1B">
        <w:rPr>
          <w:rFonts w:ascii="Arial" w:hAnsi="Arial" w:cs="Arial"/>
        </w:rPr>
        <w:t>The heterogeneity observed was likely due to methodological variability, the type of sample analyzed, analytical procedures, or population-related issues. These biomarkers have clear potential to improve existing methods for screening and early diagnosis of prostate cancer, particularly as a complement to the PSA test.</w:t>
      </w:r>
    </w:p>
    <w:p w14:paraId="2451E600" w14:textId="77777777" w:rsidR="00A45E1B" w:rsidRPr="00A45E1B" w:rsidRDefault="00A45E1B" w:rsidP="00A45E1B">
      <w:pPr>
        <w:pStyle w:val="Body"/>
        <w:rPr>
          <w:rFonts w:ascii="Arial" w:hAnsi="Arial" w:cs="Arial"/>
        </w:rPr>
      </w:pPr>
    </w:p>
    <w:p w14:paraId="22B31F2A" w14:textId="74F153D5" w:rsidR="00A45E1B" w:rsidRDefault="00A45E1B" w:rsidP="00A45E1B">
      <w:pPr>
        <w:pStyle w:val="Body"/>
        <w:spacing w:after="0"/>
        <w:rPr>
          <w:rFonts w:ascii="Arial" w:hAnsi="Arial" w:cs="Arial"/>
        </w:rPr>
      </w:pPr>
      <w:r w:rsidRPr="00A45E1B">
        <w:rPr>
          <w:rFonts w:ascii="Arial" w:hAnsi="Arial" w:cs="Arial"/>
        </w:rPr>
        <w:t>However, new large-scale multicenter studies could verify the usefulness of these factors in routine practice and clarify their role in the diagnostic algorithm.</w:t>
      </w:r>
    </w:p>
    <w:p w14:paraId="1763E91E" w14:textId="52157827" w:rsidR="00790ADA" w:rsidRPr="00FB3A86" w:rsidRDefault="00B00B61" w:rsidP="00B00B61">
      <w:pPr>
        <w:pStyle w:val="Body"/>
        <w:spacing w:after="0"/>
        <w:rPr>
          <w:rFonts w:ascii="Arial" w:hAnsi="Arial" w:cs="Arial"/>
        </w:rPr>
      </w:pPr>
      <w:r w:rsidRPr="00B00B61">
        <w:rPr>
          <w:rFonts w:ascii="Arial" w:hAnsi="Arial" w:cs="Arial"/>
        </w:rPr>
        <w:t>.</w:t>
      </w:r>
    </w:p>
    <w:p w14:paraId="055F65D3" w14:textId="77777777" w:rsidR="00EB4C0D" w:rsidRDefault="00EB4C0D" w:rsidP="00EB4C0D">
      <w:pPr>
        <w:pStyle w:val="Body"/>
        <w:spacing w:after="0"/>
        <w:jc w:val="left"/>
        <w:rPr>
          <w:rFonts w:ascii="Arial" w:hAnsi="Arial" w:cs="Arial"/>
          <w:b/>
          <w:bCs/>
        </w:rPr>
      </w:pPr>
      <w:bookmarkStart w:id="2" w:name="_GoBack"/>
      <w:bookmarkEnd w:id="2"/>
      <w:r w:rsidRPr="005004F0">
        <w:rPr>
          <w:rFonts w:ascii="Arial" w:hAnsi="Arial" w:cs="Arial"/>
          <w:b/>
          <w:bCs/>
        </w:rPr>
        <w:t>DEFINITIONS, ACRONYMS, ABBREVIATIONS</w:t>
      </w:r>
    </w:p>
    <w:p w14:paraId="37D1F737" w14:textId="77777777" w:rsidR="00EB4C0D" w:rsidRDefault="00EB4C0D" w:rsidP="00EB4C0D">
      <w:pPr>
        <w:pStyle w:val="Body"/>
        <w:spacing w:after="0"/>
        <w:jc w:val="left"/>
        <w:rPr>
          <w:rFonts w:ascii="Arial" w:hAnsi="Arial" w:cs="Arial"/>
          <w:b/>
          <w:bCs/>
        </w:rPr>
      </w:pPr>
    </w:p>
    <w:p w14:paraId="0D05CF3A" w14:textId="77777777" w:rsidR="00EB4C0D" w:rsidRPr="005A74DF" w:rsidRDefault="00EB4C0D" w:rsidP="00EB4C0D">
      <w:pPr>
        <w:pStyle w:val="Body"/>
        <w:rPr>
          <w:rFonts w:ascii="Arial" w:hAnsi="Arial" w:cs="Arial"/>
        </w:rPr>
      </w:pPr>
      <w:proofErr w:type="spellStart"/>
      <w:r w:rsidRPr="005A74DF">
        <w:rPr>
          <w:rFonts w:ascii="Arial" w:hAnsi="Arial" w:cs="Arial"/>
        </w:rPr>
        <w:t>PCa</w:t>
      </w:r>
      <w:proofErr w:type="spellEnd"/>
      <w:r w:rsidRPr="005A74DF">
        <w:rPr>
          <w:rFonts w:ascii="Arial" w:hAnsi="Arial" w:cs="Arial"/>
        </w:rPr>
        <w:t>: Prostate Cancer</w:t>
      </w:r>
    </w:p>
    <w:p w14:paraId="32EB9A2B" w14:textId="77777777" w:rsidR="00EB4C0D" w:rsidRPr="005A74DF" w:rsidRDefault="00EB4C0D" w:rsidP="00EB4C0D">
      <w:pPr>
        <w:pStyle w:val="Body"/>
        <w:rPr>
          <w:rFonts w:ascii="Arial" w:hAnsi="Arial" w:cs="Arial"/>
        </w:rPr>
      </w:pPr>
      <w:r w:rsidRPr="005A74DF">
        <w:rPr>
          <w:rFonts w:ascii="Arial" w:hAnsi="Arial" w:cs="Arial"/>
        </w:rPr>
        <w:t>PRISMA: Preferred Reporting Items for Systematic Reviews and Meta-Analyses)</w:t>
      </w:r>
    </w:p>
    <w:p w14:paraId="13864302" w14:textId="77777777" w:rsidR="00EB4C0D" w:rsidRPr="005A74DF" w:rsidRDefault="00EB4C0D" w:rsidP="00EB4C0D">
      <w:pPr>
        <w:pStyle w:val="Body"/>
        <w:rPr>
          <w:rFonts w:ascii="Arial" w:hAnsi="Arial" w:cs="Arial"/>
        </w:rPr>
      </w:pPr>
      <w:r w:rsidRPr="005A74DF">
        <w:rPr>
          <w:rFonts w:ascii="Arial" w:hAnsi="Arial" w:cs="Arial"/>
        </w:rPr>
        <w:t>PSA: Prostate Specific Antigen</w:t>
      </w:r>
    </w:p>
    <w:p w14:paraId="20C55FF9" w14:textId="77777777" w:rsidR="00EB4C0D" w:rsidRPr="005A74DF" w:rsidRDefault="00EB4C0D" w:rsidP="00EB4C0D">
      <w:pPr>
        <w:pStyle w:val="Body"/>
        <w:rPr>
          <w:rFonts w:ascii="Arial" w:hAnsi="Arial" w:cs="Arial"/>
        </w:rPr>
      </w:pPr>
      <w:r w:rsidRPr="005A74DF">
        <w:rPr>
          <w:rFonts w:ascii="Arial" w:hAnsi="Arial" w:cs="Arial"/>
        </w:rPr>
        <w:t xml:space="preserve">CI: Confidence Interval </w:t>
      </w:r>
    </w:p>
    <w:p w14:paraId="4EFF886E" w14:textId="77777777" w:rsidR="00EB4C0D" w:rsidRPr="005A74DF" w:rsidRDefault="00EB4C0D" w:rsidP="00EB4C0D">
      <w:pPr>
        <w:pStyle w:val="Body"/>
        <w:rPr>
          <w:rFonts w:ascii="Arial" w:hAnsi="Arial" w:cs="Arial"/>
        </w:rPr>
      </w:pPr>
      <w:r w:rsidRPr="005A74DF">
        <w:rPr>
          <w:rFonts w:ascii="Arial" w:hAnsi="Arial" w:cs="Arial"/>
        </w:rPr>
        <w:t xml:space="preserve">RNA: </w:t>
      </w:r>
      <w:proofErr w:type="spellStart"/>
      <w:r w:rsidRPr="005A74DF">
        <w:rPr>
          <w:rFonts w:ascii="Arial" w:hAnsi="Arial" w:cs="Arial"/>
        </w:rPr>
        <w:t>RiboNucleic</w:t>
      </w:r>
      <w:proofErr w:type="spellEnd"/>
      <w:r w:rsidRPr="005A74DF">
        <w:rPr>
          <w:rFonts w:ascii="Arial" w:hAnsi="Arial" w:cs="Arial"/>
        </w:rPr>
        <w:t xml:space="preserve"> Acid</w:t>
      </w:r>
    </w:p>
    <w:p w14:paraId="3C21CDE9" w14:textId="77777777" w:rsidR="00EB4C0D" w:rsidRPr="005A74DF" w:rsidRDefault="00EB4C0D" w:rsidP="00EB4C0D">
      <w:pPr>
        <w:pStyle w:val="Body"/>
        <w:rPr>
          <w:rFonts w:ascii="Arial" w:hAnsi="Arial" w:cs="Arial"/>
        </w:rPr>
      </w:pPr>
      <w:proofErr w:type="spellStart"/>
      <w:r w:rsidRPr="005A74DF">
        <w:rPr>
          <w:rFonts w:ascii="Arial" w:hAnsi="Arial" w:cs="Arial"/>
        </w:rPr>
        <w:t>miR</w:t>
      </w:r>
      <w:proofErr w:type="spellEnd"/>
      <w:r w:rsidRPr="005A74DF">
        <w:rPr>
          <w:rFonts w:ascii="Arial" w:hAnsi="Arial" w:cs="Arial"/>
        </w:rPr>
        <w:t xml:space="preserve">-/miRNA/microRNA: micro- </w:t>
      </w:r>
      <w:proofErr w:type="spellStart"/>
      <w:r w:rsidRPr="005A74DF">
        <w:rPr>
          <w:rFonts w:ascii="Arial" w:hAnsi="Arial" w:cs="Arial"/>
        </w:rPr>
        <w:t>RiboNucleic</w:t>
      </w:r>
      <w:proofErr w:type="spellEnd"/>
      <w:r w:rsidRPr="005A74DF">
        <w:rPr>
          <w:rFonts w:ascii="Arial" w:hAnsi="Arial" w:cs="Arial"/>
        </w:rPr>
        <w:t xml:space="preserve"> Acid</w:t>
      </w:r>
    </w:p>
    <w:p w14:paraId="77E53756" w14:textId="77777777" w:rsidR="00EB4C0D" w:rsidRPr="005A74DF" w:rsidRDefault="00EB4C0D" w:rsidP="00EB4C0D">
      <w:pPr>
        <w:pStyle w:val="Body"/>
        <w:rPr>
          <w:rFonts w:ascii="Arial" w:hAnsi="Arial" w:cs="Arial"/>
        </w:rPr>
      </w:pPr>
      <w:proofErr w:type="spellStart"/>
      <w:r w:rsidRPr="005A74DF">
        <w:rPr>
          <w:rFonts w:ascii="Arial" w:hAnsi="Arial" w:cs="Arial"/>
        </w:rPr>
        <w:t>OncomiRs</w:t>
      </w:r>
      <w:proofErr w:type="spellEnd"/>
      <w:r w:rsidRPr="005A74DF">
        <w:rPr>
          <w:rFonts w:ascii="Arial" w:hAnsi="Arial" w:cs="Arial"/>
        </w:rPr>
        <w:t>: Oncogenic microRNAs</w:t>
      </w:r>
    </w:p>
    <w:p w14:paraId="2F88DA53" w14:textId="77777777" w:rsidR="00EB4C0D" w:rsidRPr="005A74DF" w:rsidRDefault="00EB4C0D" w:rsidP="00EB4C0D">
      <w:pPr>
        <w:pStyle w:val="Body"/>
        <w:rPr>
          <w:rFonts w:ascii="Arial" w:hAnsi="Arial" w:cs="Arial"/>
        </w:rPr>
      </w:pPr>
      <w:proofErr w:type="spellStart"/>
      <w:r w:rsidRPr="005A74DF">
        <w:rPr>
          <w:rFonts w:ascii="Arial" w:hAnsi="Arial" w:cs="Arial"/>
        </w:rPr>
        <w:t>TsmiRs</w:t>
      </w:r>
      <w:proofErr w:type="spellEnd"/>
      <w:r w:rsidRPr="005A74DF">
        <w:rPr>
          <w:rFonts w:ascii="Arial" w:hAnsi="Arial" w:cs="Arial"/>
        </w:rPr>
        <w:t>: Tumor suppressor microRNAs</w:t>
      </w:r>
    </w:p>
    <w:p w14:paraId="302C7433" w14:textId="77777777" w:rsidR="00EB4C0D" w:rsidRPr="005A74DF" w:rsidRDefault="00EB4C0D" w:rsidP="00EB4C0D">
      <w:pPr>
        <w:pStyle w:val="Body"/>
        <w:rPr>
          <w:rFonts w:ascii="Arial" w:hAnsi="Arial" w:cs="Arial"/>
        </w:rPr>
      </w:pPr>
      <w:r w:rsidRPr="005A74DF">
        <w:rPr>
          <w:rFonts w:ascii="Arial" w:hAnsi="Arial" w:cs="Arial"/>
        </w:rPr>
        <w:t>PCR: Polymerase Chain Reaction</w:t>
      </w:r>
    </w:p>
    <w:p w14:paraId="34729E65" w14:textId="77777777" w:rsidR="00EB4C0D" w:rsidRPr="005A74DF" w:rsidRDefault="00EB4C0D" w:rsidP="00EB4C0D">
      <w:pPr>
        <w:pStyle w:val="Body"/>
        <w:rPr>
          <w:rFonts w:ascii="Arial" w:hAnsi="Arial" w:cs="Arial"/>
        </w:rPr>
      </w:pPr>
      <w:proofErr w:type="spellStart"/>
      <w:r w:rsidRPr="005A74DF">
        <w:rPr>
          <w:rFonts w:ascii="Arial" w:hAnsi="Arial" w:cs="Arial"/>
        </w:rPr>
        <w:t>MeSH</w:t>
      </w:r>
      <w:proofErr w:type="spellEnd"/>
      <w:r w:rsidRPr="005A74DF">
        <w:rPr>
          <w:rFonts w:ascii="Arial" w:hAnsi="Arial" w:cs="Arial"/>
        </w:rPr>
        <w:t>: Medical Subjective Heading</w:t>
      </w:r>
    </w:p>
    <w:p w14:paraId="2C3368AD" w14:textId="77777777" w:rsidR="00EB4C0D" w:rsidRPr="005A74DF" w:rsidRDefault="00EB4C0D" w:rsidP="00EB4C0D">
      <w:pPr>
        <w:pStyle w:val="Body"/>
        <w:rPr>
          <w:rFonts w:ascii="Arial" w:hAnsi="Arial" w:cs="Arial"/>
        </w:rPr>
      </w:pPr>
      <w:r w:rsidRPr="005A74DF">
        <w:rPr>
          <w:rFonts w:ascii="Arial" w:hAnsi="Arial" w:cs="Arial"/>
        </w:rPr>
        <w:t>BPH: Patients With Benign Prostate Disease</w:t>
      </w:r>
    </w:p>
    <w:p w14:paraId="4B438279" w14:textId="77777777" w:rsidR="00EB4C0D" w:rsidRPr="005A74DF" w:rsidRDefault="00EB4C0D" w:rsidP="00EB4C0D">
      <w:pPr>
        <w:pStyle w:val="Body"/>
        <w:rPr>
          <w:rFonts w:ascii="Arial" w:hAnsi="Arial" w:cs="Arial"/>
        </w:rPr>
      </w:pPr>
      <w:r w:rsidRPr="005A74DF">
        <w:rPr>
          <w:rFonts w:ascii="Arial" w:hAnsi="Arial" w:cs="Arial"/>
        </w:rPr>
        <w:t>HP: Healthy People</w:t>
      </w:r>
    </w:p>
    <w:p w14:paraId="77F13CB0" w14:textId="77777777" w:rsidR="00EB4C0D" w:rsidRPr="005A74DF" w:rsidRDefault="00EB4C0D" w:rsidP="00EB4C0D">
      <w:pPr>
        <w:pStyle w:val="Body"/>
        <w:rPr>
          <w:rFonts w:ascii="Arial" w:hAnsi="Arial" w:cs="Arial"/>
        </w:rPr>
      </w:pPr>
      <w:r w:rsidRPr="005A74DF">
        <w:rPr>
          <w:rFonts w:ascii="Arial" w:hAnsi="Arial" w:cs="Arial"/>
        </w:rPr>
        <w:t>TP: True Positive</w:t>
      </w:r>
    </w:p>
    <w:p w14:paraId="7CB218E1" w14:textId="77777777" w:rsidR="00EB4C0D" w:rsidRPr="005A74DF" w:rsidRDefault="00EB4C0D" w:rsidP="00EB4C0D">
      <w:pPr>
        <w:pStyle w:val="Body"/>
        <w:rPr>
          <w:rFonts w:ascii="Arial" w:hAnsi="Arial" w:cs="Arial"/>
        </w:rPr>
      </w:pPr>
      <w:r w:rsidRPr="005A74DF">
        <w:rPr>
          <w:rFonts w:ascii="Arial" w:hAnsi="Arial" w:cs="Arial"/>
        </w:rPr>
        <w:t>FP: False Positive</w:t>
      </w:r>
    </w:p>
    <w:p w14:paraId="57717423" w14:textId="77777777" w:rsidR="00EB4C0D" w:rsidRPr="005A74DF" w:rsidRDefault="00EB4C0D" w:rsidP="00EB4C0D">
      <w:pPr>
        <w:pStyle w:val="Body"/>
        <w:rPr>
          <w:rFonts w:ascii="Arial" w:hAnsi="Arial" w:cs="Arial"/>
        </w:rPr>
      </w:pPr>
      <w:r w:rsidRPr="005A74DF">
        <w:rPr>
          <w:rFonts w:ascii="Arial" w:hAnsi="Arial" w:cs="Arial"/>
        </w:rPr>
        <w:t>FN: False Negative</w:t>
      </w:r>
    </w:p>
    <w:p w14:paraId="36813B0E" w14:textId="77777777" w:rsidR="00EB4C0D" w:rsidRPr="005A74DF" w:rsidRDefault="00EB4C0D" w:rsidP="00EB4C0D">
      <w:pPr>
        <w:pStyle w:val="Body"/>
        <w:rPr>
          <w:rFonts w:ascii="Arial" w:hAnsi="Arial" w:cs="Arial"/>
        </w:rPr>
      </w:pPr>
      <w:r w:rsidRPr="005A74DF">
        <w:rPr>
          <w:rFonts w:ascii="Arial" w:hAnsi="Arial" w:cs="Arial"/>
        </w:rPr>
        <w:t>TN: True Negative</w:t>
      </w:r>
    </w:p>
    <w:p w14:paraId="16C367D9" w14:textId="77777777" w:rsidR="00EB4C0D" w:rsidRPr="005A74DF" w:rsidRDefault="00EB4C0D" w:rsidP="00EB4C0D">
      <w:pPr>
        <w:pStyle w:val="Body"/>
        <w:rPr>
          <w:rFonts w:ascii="Arial" w:hAnsi="Arial" w:cs="Arial"/>
        </w:rPr>
      </w:pPr>
      <w:r w:rsidRPr="005A74DF">
        <w:rPr>
          <w:rFonts w:ascii="Arial" w:hAnsi="Arial" w:cs="Arial"/>
        </w:rPr>
        <w:t>SEN: Sensitivity</w:t>
      </w:r>
    </w:p>
    <w:p w14:paraId="6173A88D" w14:textId="77777777" w:rsidR="00EB4C0D" w:rsidRPr="005A74DF" w:rsidRDefault="00EB4C0D" w:rsidP="00EB4C0D">
      <w:pPr>
        <w:pStyle w:val="Body"/>
        <w:rPr>
          <w:rFonts w:ascii="Arial" w:hAnsi="Arial" w:cs="Arial"/>
        </w:rPr>
      </w:pPr>
      <w:r w:rsidRPr="005A74DF">
        <w:rPr>
          <w:rFonts w:ascii="Arial" w:hAnsi="Arial" w:cs="Arial"/>
        </w:rPr>
        <w:t xml:space="preserve">SPE: Specificity </w:t>
      </w:r>
    </w:p>
    <w:p w14:paraId="2D161652" w14:textId="77777777" w:rsidR="00EB4C0D" w:rsidRPr="005A74DF" w:rsidRDefault="00EB4C0D" w:rsidP="00EB4C0D">
      <w:pPr>
        <w:pStyle w:val="Body"/>
        <w:rPr>
          <w:rFonts w:ascii="Arial" w:hAnsi="Arial" w:cs="Arial"/>
        </w:rPr>
      </w:pPr>
      <w:r w:rsidRPr="005A74DF">
        <w:rPr>
          <w:rFonts w:ascii="Arial" w:hAnsi="Arial" w:cs="Arial"/>
        </w:rPr>
        <w:t>SG: Gleason Score</w:t>
      </w:r>
    </w:p>
    <w:p w14:paraId="43630D3F" w14:textId="77777777" w:rsidR="00EB4C0D" w:rsidRPr="005A74DF" w:rsidRDefault="00EB4C0D" w:rsidP="00EB4C0D">
      <w:pPr>
        <w:pStyle w:val="Body"/>
        <w:rPr>
          <w:rFonts w:ascii="Arial" w:hAnsi="Arial" w:cs="Arial"/>
        </w:rPr>
      </w:pPr>
      <w:r w:rsidRPr="005A74DF">
        <w:rPr>
          <w:rFonts w:ascii="Arial" w:hAnsi="Arial" w:cs="Arial"/>
        </w:rPr>
        <w:t>AUC: Area Under the Curve</w:t>
      </w:r>
    </w:p>
    <w:p w14:paraId="4A001256" w14:textId="77777777" w:rsidR="00EB4C0D" w:rsidRPr="005A74DF" w:rsidRDefault="00EB4C0D" w:rsidP="00EB4C0D">
      <w:pPr>
        <w:pStyle w:val="Body"/>
        <w:rPr>
          <w:rFonts w:ascii="Arial" w:hAnsi="Arial" w:cs="Arial"/>
        </w:rPr>
      </w:pPr>
      <w:r w:rsidRPr="005A74DF">
        <w:rPr>
          <w:rFonts w:ascii="Arial" w:hAnsi="Arial" w:cs="Arial"/>
        </w:rPr>
        <w:t>QUADAS2: Quality Assessment tool for Diagnostic Accuracy Studies 2</w:t>
      </w:r>
    </w:p>
    <w:p w14:paraId="7FCC4F05" w14:textId="77777777" w:rsidR="00EB4C0D" w:rsidRPr="005A74DF" w:rsidRDefault="00EB4C0D" w:rsidP="00EB4C0D">
      <w:pPr>
        <w:pStyle w:val="Body"/>
        <w:rPr>
          <w:rFonts w:ascii="Arial" w:hAnsi="Arial" w:cs="Arial"/>
        </w:rPr>
      </w:pPr>
      <w:r w:rsidRPr="005A74DF">
        <w:rPr>
          <w:rFonts w:ascii="Arial" w:hAnsi="Arial" w:cs="Arial"/>
        </w:rPr>
        <w:t>LR: Likelihood Ratios</w:t>
      </w:r>
    </w:p>
    <w:p w14:paraId="5C007497" w14:textId="77777777" w:rsidR="00EB4C0D" w:rsidRPr="005A74DF" w:rsidRDefault="00EB4C0D" w:rsidP="00EB4C0D">
      <w:pPr>
        <w:pStyle w:val="Body"/>
        <w:rPr>
          <w:rFonts w:ascii="Arial" w:hAnsi="Arial" w:cs="Arial"/>
        </w:rPr>
      </w:pPr>
      <w:r w:rsidRPr="005A74DF">
        <w:rPr>
          <w:rFonts w:ascii="Arial" w:hAnsi="Arial" w:cs="Arial"/>
        </w:rPr>
        <w:t>SROC: Summary Receiver Operating Characteristic</w:t>
      </w:r>
    </w:p>
    <w:p w14:paraId="1D176DD9" w14:textId="1885B5C6" w:rsidR="00EB4C0D" w:rsidRDefault="00EB4C0D" w:rsidP="00EB4C0D">
      <w:pPr>
        <w:pStyle w:val="ReferHead"/>
        <w:spacing w:after="0"/>
        <w:jc w:val="both"/>
        <w:rPr>
          <w:rFonts w:ascii="Arial" w:hAnsi="Arial" w:cs="Arial"/>
        </w:rPr>
      </w:pPr>
      <w:r w:rsidRPr="005A74DF">
        <w:rPr>
          <w:rFonts w:ascii="Arial" w:hAnsi="Arial" w:cs="Arial"/>
        </w:rPr>
        <w:t>DOR: Diagnostic Odds Ratio</w:t>
      </w:r>
    </w:p>
    <w:p w14:paraId="5AF93573" w14:textId="77777777" w:rsidR="0053009B" w:rsidRPr="003A29C6" w:rsidRDefault="0053009B" w:rsidP="0053009B">
      <w:pPr>
        <w:jc w:val="both"/>
        <w:outlineLvl w:val="0"/>
        <w:rPr>
          <w:rFonts w:ascii="Arial" w:hAnsi="Arial" w:cs="Arial"/>
        </w:rPr>
      </w:pPr>
      <w:r w:rsidRPr="003A29C6">
        <w:rPr>
          <w:rFonts w:ascii="Arial" w:hAnsi="Arial" w:cs="Arial"/>
          <w:b/>
          <w:bCs/>
        </w:rPr>
        <w:t>COMPETING INTERESTS DISCLAIMER:</w:t>
      </w:r>
    </w:p>
    <w:p w14:paraId="25845F89" w14:textId="77777777" w:rsidR="0053009B" w:rsidRDefault="0053009B" w:rsidP="0053009B">
      <w:r w:rsidRPr="00A10EDE">
        <w:t>Authors have declared that they have no known competing financial interests OR non-financial interests OR personal relationships that could have appeared to influence the work reported in this paper.</w:t>
      </w:r>
    </w:p>
    <w:p w14:paraId="33A07B45" w14:textId="77777777" w:rsidR="0053009B" w:rsidRPr="00F469F0" w:rsidRDefault="0053009B" w:rsidP="00EB4C0D">
      <w:pPr>
        <w:pStyle w:val="ReferHead"/>
        <w:spacing w:after="0"/>
        <w:jc w:val="both"/>
        <w:rPr>
          <w:rFonts w:ascii="Arial" w:hAnsi="Arial" w:cs="Arial"/>
          <w:b w:val="0"/>
          <w:caps w:val="0"/>
          <w:sz w:val="20"/>
          <w:u w:val="single"/>
        </w:rPr>
      </w:pPr>
    </w:p>
    <w:p w14:paraId="0D310C99" w14:textId="77777777" w:rsidR="00860000" w:rsidRDefault="00860000" w:rsidP="00441B6F">
      <w:pPr>
        <w:pStyle w:val="ReferHead"/>
        <w:spacing w:after="0"/>
        <w:jc w:val="both"/>
        <w:rPr>
          <w:rFonts w:ascii="Arial" w:hAnsi="Arial" w:cs="Arial"/>
        </w:rPr>
      </w:pPr>
    </w:p>
    <w:p w14:paraId="2DBD1244" w14:textId="4DABAADB" w:rsidR="00B01FCD" w:rsidRDefault="00B01FCD" w:rsidP="00441B6F">
      <w:pPr>
        <w:pStyle w:val="ReferHead"/>
        <w:spacing w:after="0"/>
        <w:jc w:val="both"/>
        <w:rPr>
          <w:rFonts w:ascii="Arial" w:hAnsi="Arial" w:cs="Arial"/>
        </w:rPr>
      </w:pPr>
      <w:r w:rsidRPr="00FB3A86">
        <w:rPr>
          <w:rFonts w:ascii="Arial" w:hAnsi="Arial" w:cs="Arial"/>
        </w:rPr>
        <w:t>References</w:t>
      </w:r>
    </w:p>
    <w:p w14:paraId="505F1795" w14:textId="77777777" w:rsidR="00284C4C" w:rsidRDefault="00284C4C" w:rsidP="000D689F">
      <w:pPr>
        <w:pStyle w:val="Body"/>
        <w:spacing w:after="0"/>
      </w:pPr>
    </w:p>
    <w:p w14:paraId="0B6A5386" w14:textId="5F1AFFE7" w:rsidR="00F56A4B" w:rsidRDefault="00F56A4B" w:rsidP="006D6952">
      <w:pPr>
        <w:pStyle w:val="Body"/>
        <w:spacing w:after="0"/>
      </w:pPr>
      <w:r>
        <w:t xml:space="preserve">Abramovic, I., Vrhovec, B., Skara, L., </w:t>
      </w:r>
      <w:proofErr w:type="spellStart"/>
      <w:r>
        <w:t>Vrtaric</w:t>
      </w:r>
      <w:proofErr w:type="spellEnd"/>
      <w:r>
        <w:t xml:space="preserve">, A., </w:t>
      </w:r>
      <w:proofErr w:type="spellStart"/>
      <w:r>
        <w:t>Nikolac</w:t>
      </w:r>
      <w:proofErr w:type="spellEnd"/>
      <w:r>
        <w:t xml:space="preserve"> </w:t>
      </w:r>
      <w:proofErr w:type="spellStart"/>
      <w:r>
        <w:t>Gabaj</w:t>
      </w:r>
      <w:proofErr w:type="spellEnd"/>
      <w:r>
        <w:t xml:space="preserve">, N., Kulis, et al. (2021). MiR-182-5p and miR-375-3p Have Higher Performance Than PSA in Discriminating Prostate Cancer from Benign Prostate Hyperplasia. Cancers, 13(9), 2068. </w:t>
      </w:r>
      <w:hyperlink r:id="rId37" w:history="1">
        <w:r w:rsidR="006D6952" w:rsidRPr="0025538F">
          <w:rPr>
            <w:rStyle w:val="Hyperlink"/>
          </w:rPr>
          <w:t>https://doi.org/10.3390/cancers13092068</w:t>
        </w:r>
      </w:hyperlink>
    </w:p>
    <w:p w14:paraId="67D00949" w14:textId="77777777" w:rsidR="006D6952" w:rsidRDefault="006D6952" w:rsidP="006D6952">
      <w:pPr>
        <w:pStyle w:val="Body"/>
        <w:spacing w:after="0"/>
      </w:pPr>
    </w:p>
    <w:p w14:paraId="0912F6E0" w14:textId="676BABC1" w:rsidR="00F56A4B" w:rsidRDefault="00F56A4B" w:rsidP="006D6952">
      <w:pPr>
        <w:pStyle w:val="Body"/>
        <w:spacing w:after="0"/>
      </w:pPr>
      <w:r>
        <w:t>Ahmed, H. U., El-</w:t>
      </w:r>
      <w:proofErr w:type="spellStart"/>
      <w:r>
        <w:t>Shater</w:t>
      </w:r>
      <w:proofErr w:type="spellEnd"/>
      <w:r>
        <w:t xml:space="preserve"> </w:t>
      </w:r>
      <w:proofErr w:type="spellStart"/>
      <w:r>
        <w:t>Bosaily</w:t>
      </w:r>
      <w:proofErr w:type="spellEnd"/>
      <w:r>
        <w:t xml:space="preserve">, A., Brown, L. C., Gabe, R., Kaplan, R., Parmar, M. K., et al. (2017). Diagnostic accuracy of multi-parametric MRI and TRUS biopsy in prostate cancer (PROMIS): A paired validating confirmatory study. Lancet (London, England), 389(10071), 815–822. </w:t>
      </w:r>
      <w:hyperlink r:id="rId38" w:history="1">
        <w:r w:rsidR="006D6952" w:rsidRPr="0025538F">
          <w:rPr>
            <w:rStyle w:val="Hyperlink"/>
          </w:rPr>
          <w:t>https://doi.org/10.1016/S0140-6736(16)32401-1</w:t>
        </w:r>
      </w:hyperlink>
    </w:p>
    <w:p w14:paraId="7D40B873" w14:textId="77777777" w:rsidR="006D6952" w:rsidRDefault="006D6952" w:rsidP="006D6952">
      <w:pPr>
        <w:pStyle w:val="Body"/>
        <w:spacing w:after="0"/>
      </w:pPr>
    </w:p>
    <w:p w14:paraId="3795B5E2" w14:textId="3AE9DBA7" w:rsidR="00F56A4B" w:rsidRDefault="00F56A4B" w:rsidP="006D6952">
      <w:pPr>
        <w:pStyle w:val="Body"/>
        <w:spacing w:after="0"/>
      </w:pPr>
      <w:r>
        <w:t xml:space="preserve">Ali, R., El Tabbakh, S., El </w:t>
      </w:r>
      <w:proofErr w:type="spellStart"/>
      <w:r>
        <w:t>Delgawy</w:t>
      </w:r>
      <w:proofErr w:type="spellEnd"/>
      <w:r>
        <w:t xml:space="preserve">, W., Kotb, A., &amp; </w:t>
      </w:r>
      <w:proofErr w:type="spellStart"/>
      <w:r>
        <w:t>Desouky</w:t>
      </w:r>
      <w:proofErr w:type="spellEnd"/>
      <w:r>
        <w:t xml:space="preserve">, M. N. (2018). microRNA-141 as a diagnostic and prognostic biomarker for prostate cancer in Egyptian population: Pilot study. African Journal of Urology, 24(4), 347–352. </w:t>
      </w:r>
      <w:hyperlink r:id="rId39" w:history="1">
        <w:r w:rsidR="006D6952" w:rsidRPr="0025538F">
          <w:rPr>
            <w:rStyle w:val="Hyperlink"/>
          </w:rPr>
          <w:t>https://doi.org/10.1016/j.afju.2018.11.006</w:t>
        </w:r>
      </w:hyperlink>
    </w:p>
    <w:p w14:paraId="3728CD18" w14:textId="77777777" w:rsidR="006D6952" w:rsidRDefault="006D6952" w:rsidP="006D6952">
      <w:pPr>
        <w:pStyle w:val="Body"/>
        <w:spacing w:after="0"/>
      </w:pPr>
    </w:p>
    <w:p w14:paraId="056F7606" w14:textId="74945257" w:rsidR="00F56A4B" w:rsidRDefault="00F56A4B" w:rsidP="006D6952">
      <w:pPr>
        <w:pStyle w:val="Body"/>
        <w:spacing w:after="0"/>
      </w:pPr>
      <w:r>
        <w:t xml:space="preserve">Balázs, K., Antal, L., Sáfrány, G., &amp; </w:t>
      </w:r>
      <w:proofErr w:type="spellStart"/>
      <w:r>
        <w:t>Lumniczky</w:t>
      </w:r>
      <w:proofErr w:type="spellEnd"/>
      <w:r>
        <w:t xml:space="preserve">, K. (2021). Blood-Derived Biomarkers of Diagnosis, Prognosis and Therapy Response in Prostate Cancer Patients. Journal of Personalized Medicine, 11(4), 296. </w:t>
      </w:r>
      <w:hyperlink r:id="rId40" w:history="1">
        <w:r w:rsidR="006D6952" w:rsidRPr="0025538F">
          <w:rPr>
            <w:rStyle w:val="Hyperlink"/>
          </w:rPr>
          <w:t>https://doi.org/10.3390/jpm11040296</w:t>
        </w:r>
      </w:hyperlink>
    </w:p>
    <w:p w14:paraId="4F0A82E7" w14:textId="77777777" w:rsidR="006D6952" w:rsidRDefault="006D6952" w:rsidP="006D6952">
      <w:pPr>
        <w:pStyle w:val="Body"/>
        <w:spacing w:after="0"/>
      </w:pPr>
    </w:p>
    <w:p w14:paraId="200F6C45" w14:textId="19FEA02D" w:rsidR="00F56A4B" w:rsidRDefault="00F56A4B" w:rsidP="006D6952">
      <w:pPr>
        <w:pStyle w:val="Body"/>
        <w:spacing w:after="0"/>
      </w:pPr>
      <w:r>
        <w:t xml:space="preserve">Beets, M. W., Weaver, R. G., Ioannidis, J. P. A., Pfledderer, C. D., Jones, A., von Klinggraeff, L., &amp; Armstrong, B. (2023). Influence of pilot and small trials in meta-analyses of behavioral interventions: A meta-epidemiological study. Systematic Reviews, 12(1), 21. </w:t>
      </w:r>
      <w:hyperlink r:id="rId41" w:history="1">
        <w:r w:rsidR="006D6952" w:rsidRPr="0025538F">
          <w:rPr>
            <w:rStyle w:val="Hyperlink"/>
          </w:rPr>
          <w:t>https://doi.org/10.1186/s13643-023-02184-7</w:t>
        </w:r>
      </w:hyperlink>
    </w:p>
    <w:p w14:paraId="72773A0D" w14:textId="77777777" w:rsidR="006D6952" w:rsidRDefault="006D6952" w:rsidP="006D6952">
      <w:pPr>
        <w:pStyle w:val="Body"/>
        <w:spacing w:after="0"/>
      </w:pPr>
    </w:p>
    <w:p w14:paraId="0AB94D5D" w14:textId="02C45BFC" w:rsidR="00F56A4B" w:rsidRDefault="00F56A4B" w:rsidP="006D6952">
      <w:pPr>
        <w:pStyle w:val="Body"/>
        <w:spacing w:after="0"/>
      </w:pPr>
      <w:r>
        <w:t xml:space="preserve">Bertoli, G., Cava, C., &amp; Castiglioni, I. (2016). MicroRNAs as Biomarkers for Diagnosis, Prognosis and </w:t>
      </w:r>
      <w:proofErr w:type="spellStart"/>
      <w:r>
        <w:t>Theranostics</w:t>
      </w:r>
      <w:proofErr w:type="spellEnd"/>
      <w:r>
        <w:t xml:space="preserve"> in Prostate Cancer. International Journal of Molecular Sciences, 17(3), 421. </w:t>
      </w:r>
      <w:hyperlink r:id="rId42" w:history="1">
        <w:r w:rsidR="006D6952" w:rsidRPr="0025538F">
          <w:rPr>
            <w:rStyle w:val="Hyperlink"/>
          </w:rPr>
          <w:t>https://doi.org/10.3390/ijms17030421</w:t>
        </w:r>
      </w:hyperlink>
    </w:p>
    <w:p w14:paraId="601E5E8C" w14:textId="77777777" w:rsidR="006D6952" w:rsidRDefault="006D6952" w:rsidP="006D6952">
      <w:pPr>
        <w:pStyle w:val="Body"/>
        <w:spacing w:after="0"/>
      </w:pPr>
    </w:p>
    <w:p w14:paraId="01D9A867" w14:textId="529F42D0" w:rsidR="00F56A4B" w:rsidRDefault="00F56A4B" w:rsidP="006D6952">
      <w:pPr>
        <w:pStyle w:val="Body"/>
        <w:spacing w:after="0"/>
      </w:pPr>
      <w:proofErr w:type="spellStart"/>
      <w:r w:rsidRPr="00F56A4B">
        <w:rPr>
          <w:lang w:val="fr-FR"/>
        </w:rPr>
        <w:t>Bidarra</w:t>
      </w:r>
      <w:proofErr w:type="spellEnd"/>
      <w:r w:rsidRPr="00F56A4B">
        <w:rPr>
          <w:lang w:val="fr-FR"/>
        </w:rPr>
        <w:t xml:space="preserve">, D., </w:t>
      </w:r>
      <w:proofErr w:type="spellStart"/>
      <w:r w:rsidRPr="00F56A4B">
        <w:rPr>
          <w:lang w:val="fr-FR"/>
        </w:rPr>
        <w:t>Constâncio</w:t>
      </w:r>
      <w:proofErr w:type="spellEnd"/>
      <w:r w:rsidRPr="00F56A4B">
        <w:rPr>
          <w:lang w:val="fr-FR"/>
        </w:rPr>
        <w:t xml:space="preserve">, V., Barros-Silva, D., </w:t>
      </w:r>
      <w:proofErr w:type="spellStart"/>
      <w:r w:rsidRPr="00F56A4B">
        <w:rPr>
          <w:lang w:val="fr-FR"/>
        </w:rPr>
        <w:t>Ramalho</w:t>
      </w:r>
      <w:proofErr w:type="spellEnd"/>
      <w:r w:rsidRPr="00F56A4B">
        <w:rPr>
          <w:lang w:val="fr-FR"/>
        </w:rPr>
        <w:t xml:space="preserve">-Carvalho, J., Moreira-Barbosa, C., Antunes, L., et al. </w:t>
      </w:r>
      <w:r>
        <w:t xml:space="preserve">(2019). Circulating MicroRNAs as Biomarkers for Prostate Cancer Detection and Metastasis Development Prediction. Frontiers in Oncology, 9, 900. </w:t>
      </w:r>
      <w:hyperlink r:id="rId43" w:history="1">
        <w:r w:rsidR="006D6952" w:rsidRPr="0025538F">
          <w:rPr>
            <w:rStyle w:val="Hyperlink"/>
          </w:rPr>
          <w:t>https://doi.org/10.3389/fonc.2019.00900</w:t>
        </w:r>
      </w:hyperlink>
    </w:p>
    <w:p w14:paraId="2897B734" w14:textId="77777777" w:rsidR="006D6952" w:rsidRDefault="006D6952" w:rsidP="006D6952">
      <w:pPr>
        <w:pStyle w:val="Body"/>
        <w:spacing w:after="0"/>
      </w:pPr>
    </w:p>
    <w:p w14:paraId="161E3310" w14:textId="2E5F0666" w:rsidR="00F56A4B" w:rsidRDefault="00F56A4B" w:rsidP="006D6952">
      <w:pPr>
        <w:pStyle w:val="Body"/>
        <w:spacing w:after="0"/>
      </w:pPr>
      <w:r>
        <w:t>Bilal, M., Javaid, A., Amjad, F., Youssif, T. A., &amp; Afzal, S. (2022). An overview of prostate cancer (</w:t>
      </w:r>
      <w:proofErr w:type="spellStart"/>
      <w:r>
        <w:t>PCa</w:t>
      </w:r>
      <w:proofErr w:type="spellEnd"/>
      <w:r>
        <w:t xml:space="preserve">) diagnosis: Potential role of miRNAs. Translational Oncology, 26, 101542. </w:t>
      </w:r>
      <w:hyperlink r:id="rId44" w:history="1">
        <w:r w:rsidR="006D6952" w:rsidRPr="0025538F">
          <w:rPr>
            <w:rStyle w:val="Hyperlink"/>
          </w:rPr>
          <w:t>https://doi.org/10.1016/j.tranon.2022.101542</w:t>
        </w:r>
      </w:hyperlink>
    </w:p>
    <w:p w14:paraId="570CE663" w14:textId="77777777" w:rsidR="006D6952" w:rsidRDefault="006D6952" w:rsidP="006D6952">
      <w:pPr>
        <w:pStyle w:val="Body"/>
        <w:spacing w:after="0"/>
      </w:pPr>
    </w:p>
    <w:p w14:paraId="1F99B6C5" w14:textId="7CB9BBB3" w:rsidR="00F56A4B" w:rsidRDefault="00F56A4B" w:rsidP="006D6952">
      <w:pPr>
        <w:pStyle w:val="Body"/>
        <w:spacing w:after="0"/>
      </w:pPr>
      <w:r>
        <w:t xml:space="preserve">Bill-Axelson, A., Holmberg, L., </w:t>
      </w:r>
      <w:proofErr w:type="spellStart"/>
      <w:r>
        <w:t>Filén</w:t>
      </w:r>
      <w:proofErr w:type="spellEnd"/>
      <w:r>
        <w:t xml:space="preserve">, F., </w:t>
      </w:r>
      <w:proofErr w:type="spellStart"/>
      <w:r>
        <w:t>Ruutu</w:t>
      </w:r>
      <w:proofErr w:type="spellEnd"/>
      <w:r>
        <w:t xml:space="preserve">, M., Garmo, H., Busch, C., et al. (2008). Radical Prostatectomy Versus Watchful Waiting in Localized Prostate Cancer: The Scandinavian Prostate Cancer Group-4 Randomized Trial. JNCI Journal of the National Cancer Institute, 100(16), 1144–1154. </w:t>
      </w:r>
      <w:hyperlink r:id="rId45" w:history="1">
        <w:r w:rsidR="006D6952" w:rsidRPr="0025538F">
          <w:rPr>
            <w:rStyle w:val="Hyperlink"/>
          </w:rPr>
          <w:t>https://doi.org/10.1093/jnci/djn255</w:t>
        </w:r>
      </w:hyperlink>
    </w:p>
    <w:p w14:paraId="69EE2A7C" w14:textId="77777777" w:rsidR="006D6952" w:rsidRDefault="006D6952" w:rsidP="006D6952">
      <w:pPr>
        <w:pStyle w:val="Body"/>
        <w:spacing w:after="0"/>
      </w:pPr>
    </w:p>
    <w:p w14:paraId="670578C2" w14:textId="43F8F40D" w:rsidR="00F56A4B" w:rsidRDefault="00F56A4B" w:rsidP="006D6952">
      <w:pPr>
        <w:pStyle w:val="Body"/>
        <w:spacing w:after="0"/>
      </w:pPr>
      <w:r>
        <w:t xml:space="preserve">Borghesi, M., Ahmed, H., Nam, R., Schaeffer, E., </w:t>
      </w:r>
      <w:proofErr w:type="spellStart"/>
      <w:r>
        <w:t>Schiavina</w:t>
      </w:r>
      <w:proofErr w:type="spellEnd"/>
      <w:r>
        <w:t xml:space="preserve">, R., Taneja, S., et al. (2017). Complications After Systematic, Random, and Image-guided Prostate Biopsy. European Urology, 71(3), 353–365. </w:t>
      </w:r>
      <w:hyperlink r:id="rId46" w:history="1">
        <w:r w:rsidR="006D6952" w:rsidRPr="0025538F">
          <w:rPr>
            <w:rStyle w:val="Hyperlink"/>
          </w:rPr>
          <w:t>https://doi.org/10.1016/j.eururo.2016.08.004</w:t>
        </w:r>
      </w:hyperlink>
    </w:p>
    <w:p w14:paraId="5D84BB9A" w14:textId="77777777" w:rsidR="006D6952" w:rsidRDefault="006D6952" w:rsidP="006D6952">
      <w:pPr>
        <w:pStyle w:val="Body"/>
        <w:spacing w:after="0"/>
      </w:pPr>
    </w:p>
    <w:p w14:paraId="57F69878" w14:textId="0FE49F47" w:rsidR="00F56A4B" w:rsidRDefault="00F56A4B" w:rsidP="006D6952">
      <w:pPr>
        <w:pStyle w:val="Body"/>
        <w:spacing w:after="0"/>
      </w:pPr>
      <w:r>
        <w:t xml:space="preserve">Bray, F., </w:t>
      </w:r>
      <w:proofErr w:type="spellStart"/>
      <w:r>
        <w:t>Laversanne</w:t>
      </w:r>
      <w:proofErr w:type="spellEnd"/>
      <w:r>
        <w:t xml:space="preserve">, M., Sung, H., </w:t>
      </w:r>
      <w:proofErr w:type="spellStart"/>
      <w:r>
        <w:t>Ferlay</w:t>
      </w:r>
      <w:proofErr w:type="spellEnd"/>
      <w:r>
        <w:t xml:space="preserve">, J., Siegel, R. L., </w:t>
      </w:r>
      <w:proofErr w:type="spellStart"/>
      <w:r>
        <w:t>Soerjomataram</w:t>
      </w:r>
      <w:proofErr w:type="spellEnd"/>
      <w:r>
        <w:t xml:space="preserve">, I., et al. (2024). Global cancer statistics 2022: GLOBOCAN estimates of incidence and mortality worldwide for 36 cancers in 185 countries. CA: A Cancer Journal for Clinicians, caac.21834. </w:t>
      </w:r>
      <w:hyperlink r:id="rId47" w:history="1">
        <w:r w:rsidR="006D6952" w:rsidRPr="0025538F">
          <w:rPr>
            <w:rStyle w:val="Hyperlink"/>
          </w:rPr>
          <w:t>https://doi.org/10.3322/caac.21834</w:t>
        </w:r>
      </w:hyperlink>
    </w:p>
    <w:p w14:paraId="67ECE19E" w14:textId="77777777" w:rsidR="006D6952" w:rsidRDefault="006D6952" w:rsidP="006D6952">
      <w:pPr>
        <w:pStyle w:val="Body"/>
        <w:spacing w:after="0"/>
      </w:pPr>
    </w:p>
    <w:p w14:paraId="2A442650" w14:textId="478C6843" w:rsidR="00F56A4B" w:rsidRDefault="00F56A4B" w:rsidP="006D6952">
      <w:pPr>
        <w:pStyle w:val="Body"/>
        <w:spacing w:after="0"/>
      </w:pPr>
      <w:r>
        <w:lastRenderedPageBreak/>
        <w:t xml:space="preserve">Bryzgunova, O. E., </w:t>
      </w:r>
      <w:proofErr w:type="spellStart"/>
      <w:r>
        <w:t>Zaporozhchenko</w:t>
      </w:r>
      <w:proofErr w:type="spellEnd"/>
      <w:r>
        <w:t xml:space="preserve">, I. A., </w:t>
      </w:r>
      <w:proofErr w:type="spellStart"/>
      <w:r>
        <w:t>Lekchnov</w:t>
      </w:r>
      <w:proofErr w:type="spellEnd"/>
      <w:r>
        <w:t xml:space="preserve">, E. A., Amelina, E. V., Konoshenko, M. Y., </w:t>
      </w:r>
      <w:proofErr w:type="spellStart"/>
      <w:r>
        <w:t>Yarmoschuk</w:t>
      </w:r>
      <w:proofErr w:type="spellEnd"/>
      <w:r>
        <w:t xml:space="preserve">, S. V., et al. (2019). Data analysis algorithm for the development of extracellular miRNA-based diagnostic systems for prostate cancer. </w:t>
      </w:r>
      <w:proofErr w:type="spellStart"/>
      <w:r>
        <w:t>PloS</w:t>
      </w:r>
      <w:proofErr w:type="spellEnd"/>
      <w:r>
        <w:t xml:space="preserve"> One, 14(4), e0215003. </w:t>
      </w:r>
      <w:hyperlink r:id="rId48" w:history="1">
        <w:r w:rsidR="006D6952" w:rsidRPr="0025538F">
          <w:rPr>
            <w:rStyle w:val="Hyperlink"/>
          </w:rPr>
          <w:t>https://doi.org/10.1371/journal.pone.0215003</w:t>
        </w:r>
      </w:hyperlink>
    </w:p>
    <w:p w14:paraId="09AA32DD" w14:textId="77777777" w:rsidR="006D6952" w:rsidRDefault="006D6952" w:rsidP="006D6952">
      <w:pPr>
        <w:pStyle w:val="Body"/>
        <w:spacing w:after="0"/>
      </w:pPr>
    </w:p>
    <w:p w14:paraId="137E8210" w14:textId="3C478439" w:rsidR="00F56A4B" w:rsidRDefault="00F56A4B" w:rsidP="006D6952">
      <w:pPr>
        <w:pStyle w:val="Body"/>
        <w:spacing w:after="0"/>
      </w:pPr>
      <w:proofErr w:type="spellStart"/>
      <w:r w:rsidRPr="00F56A4B">
        <w:rPr>
          <w:lang w:val="fr-FR"/>
        </w:rPr>
        <w:t>Canatan</w:t>
      </w:r>
      <w:proofErr w:type="spellEnd"/>
      <w:r w:rsidRPr="00F56A4B">
        <w:rPr>
          <w:lang w:val="fr-FR"/>
        </w:rPr>
        <w:t xml:space="preserve">, D., Yılmaz, O., </w:t>
      </w:r>
      <w:proofErr w:type="spellStart"/>
      <w:r w:rsidRPr="00F56A4B">
        <w:rPr>
          <w:lang w:val="fr-FR"/>
        </w:rPr>
        <w:t>Sonmez</w:t>
      </w:r>
      <w:proofErr w:type="spellEnd"/>
      <w:r w:rsidRPr="00F56A4B">
        <w:rPr>
          <w:lang w:val="fr-FR"/>
        </w:rPr>
        <w:t xml:space="preserve">, Y., </w:t>
      </w:r>
      <w:proofErr w:type="spellStart"/>
      <w:r w:rsidRPr="00F56A4B">
        <w:rPr>
          <w:lang w:val="fr-FR"/>
        </w:rPr>
        <w:t>Cim</w:t>
      </w:r>
      <w:proofErr w:type="spellEnd"/>
      <w:r w:rsidRPr="00F56A4B">
        <w:rPr>
          <w:lang w:val="fr-FR"/>
        </w:rPr>
        <w:t xml:space="preserve">, A., </w:t>
      </w:r>
      <w:proofErr w:type="spellStart"/>
      <w:r w:rsidRPr="00F56A4B">
        <w:rPr>
          <w:lang w:val="fr-FR"/>
        </w:rPr>
        <w:t>Baykara</w:t>
      </w:r>
      <w:proofErr w:type="spellEnd"/>
      <w:r w:rsidRPr="00F56A4B">
        <w:rPr>
          <w:lang w:val="fr-FR"/>
        </w:rPr>
        <w:t xml:space="preserve">, M., </w:t>
      </w:r>
      <w:proofErr w:type="spellStart"/>
      <w:r w:rsidRPr="00F56A4B">
        <w:rPr>
          <w:lang w:val="fr-FR"/>
        </w:rPr>
        <w:t>Savas</w:t>
      </w:r>
      <w:proofErr w:type="spellEnd"/>
      <w:r w:rsidRPr="00F56A4B">
        <w:rPr>
          <w:lang w:val="fr-FR"/>
        </w:rPr>
        <w:t xml:space="preserve">, M., et al. </w:t>
      </w:r>
      <w:r>
        <w:t>(2022). Use of MicroRNAs as biomarkers in the early diagnosis of prostate cancer. Acta Bio-</w:t>
      </w:r>
      <w:proofErr w:type="spellStart"/>
      <w:r>
        <w:t>Medica</w:t>
      </w:r>
      <w:proofErr w:type="spellEnd"/>
      <w:r>
        <w:t xml:space="preserve">: </w:t>
      </w:r>
      <w:proofErr w:type="spellStart"/>
      <w:r>
        <w:t>Atenei</w:t>
      </w:r>
      <w:proofErr w:type="spellEnd"/>
      <w:r>
        <w:t xml:space="preserve"> </w:t>
      </w:r>
      <w:proofErr w:type="spellStart"/>
      <w:r>
        <w:t>Parmensis</w:t>
      </w:r>
      <w:proofErr w:type="spellEnd"/>
      <w:r>
        <w:t xml:space="preserve">, 93(3), e2022089. </w:t>
      </w:r>
      <w:hyperlink r:id="rId49" w:history="1">
        <w:r w:rsidR="006D6952" w:rsidRPr="0025538F">
          <w:rPr>
            <w:rStyle w:val="Hyperlink"/>
          </w:rPr>
          <w:t>https://doi.org/10.23750/abm.v93i3.11642</w:t>
        </w:r>
      </w:hyperlink>
    </w:p>
    <w:p w14:paraId="0DA5C4D7" w14:textId="77777777" w:rsidR="006D6952" w:rsidRDefault="006D6952" w:rsidP="006D6952">
      <w:pPr>
        <w:pStyle w:val="Body"/>
        <w:spacing w:after="0"/>
      </w:pPr>
    </w:p>
    <w:p w14:paraId="77505FB9" w14:textId="394336AA" w:rsidR="00F56A4B" w:rsidRDefault="00F56A4B" w:rsidP="006D6952">
      <w:pPr>
        <w:pStyle w:val="Body"/>
        <w:spacing w:after="0"/>
      </w:pPr>
      <w:r>
        <w:t xml:space="preserve">Cheng, H. H., Mitchell, P. S., Kroh, E. M., Dowell, A. E., </w:t>
      </w:r>
      <w:proofErr w:type="spellStart"/>
      <w:r>
        <w:t>Chéry</w:t>
      </w:r>
      <w:proofErr w:type="spellEnd"/>
      <w:r>
        <w:t xml:space="preserve">, L., Siddiqui, J., et al. (2013). Circulating microRNA profiling identifies a subset of metastatic prostate cancer patients with evidence of cancer-associated hypoxia. </w:t>
      </w:r>
      <w:proofErr w:type="spellStart"/>
      <w:r>
        <w:t>PloS</w:t>
      </w:r>
      <w:proofErr w:type="spellEnd"/>
      <w:r>
        <w:t xml:space="preserve"> One, 8(7), e69239. </w:t>
      </w:r>
      <w:hyperlink r:id="rId50" w:history="1">
        <w:r w:rsidR="006D6952" w:rsidRPr="0025538F">
          <w:rPr>
            <w:rStyle w:val="Hyperlink"/>
          </w:rPr>
          <w:t>https://doi.org/10.1371/journal.pone.0069239</w:t>
        </w:r>
      </w:hyperlink>
    </w:p>
    <w:p w14:paraId="415C7EF9" w14:textId="77777777" w:rsidR="006D6952" w:rsidRDefault="006D6952" w:rsidP="006D6952">
      <w:pPr>
        <w:pStyle w:val="Body"/>
        <w:spacing w:after="0"/>
      </w:pPr>
    </w:p>
    <w:p w14:paraId="61753A16" w14:textId="36CB6AB5" w:rsidR="00F56A4B" w:rsidRDefault="00F56A4B" w:rsidP="006D6952">
      <w:pPr>
        <w:pStyle w:val="Body"/>
        <w:spacing w:after="0"/>
        <w:rPr>
          <w:lang w:val="fr-FR"/>
        </w:rPr>
      </w:pPr>
      <w:r>
        <w:t xml:space="preserve">Ciszkowicz, E., </w:t>
      </w:r>
      <w:proofErr w:type="spellStart"/>
      <w:r>
        <w:t>Porzycki</w:t>
      </w:r>
      <w:proofErr w:type="spellEnd"/>
      <w:r>
        <w:t xml:space="preserve">, P., </w:t>
      </w:r>
      <w:proofErr w:type="spellStart"/>
      <w:r>
        <w:t>Semik</w:t>
      </w:r>
      <w:proofErr w:type="spellEnd"/>
      <w:r>
        <w:t xml:space="preserve">, M., Kaznowska, E., &amp; Tyrka, M. (2020). MiR-93/miR-375: Diagnostic Potential, Aggressiveness Correlation and Common Target Genes in Prostate Cancer. </w:t>
      </w:r>
      <w:r w:rsidRPr="00F56A4B">
        <w:rPr>
          <w:lang w:val="fr-FR"/>
        </w:rPr>
        <w:t xml:space="preserve">International Journal of </w:t>
      </w:r>
      <w:proofErr w:type="spellStart"/>
      <w:r w:rsidRPr="00F56A4B">
        <w:rPr>
          <w:lang w:val="fr-FR"/>
        </w:rPr>
        <w:t>Molecular</w:t>
      </w:r>
      <w:proofErr w:type="spellEnd"/>
      <w:r w:rsidRPr="00F56A4B">
        <w:rPr>
          <w:lang w:val="fr-FR"/>
        </w:rPr>
        <w:t xml:space="preserve"> Sciences, 21(16), 5667. </w:t>
      </w:r>
      <w:hyperlink r:id="rId51" w:history="1">
        <w:r w:rsidR="006D6952" w:rsidRPr="0025538F">
          <w:rPr>
            <w:rStyle w:val="Hyperlink"/>
            <w:lang w:val="fr-FR"/>
          </w:rPr>
          <w:t>https://doi.org/10.3390/ijms21165667</w:t>
        </w:r>
      </w:hyperlink>
    </w:p>
    <w:p w14:paraId="5A0690EF" w14:textId="77777777" w:rsidR="006D6952" w:rsidRPr="00F56A4B" w:rsidRDefault="006D6952" w:rsidP="006D6952">
      <w:pPr>
        <w:pStyle w:val="Body"/>
        <w:spacing w:after="0"/>
        <w:rPr>
          <w:lang w:val="fr-FR"/>
        </w:rPr>
      </w:pPr>
    </w:p>
    <w:p w14:paraId="69423DD3" w14:textId="576F3132" w:rsidR="00F56A4B" w:rsidRDefault="00F56A4B" w:rsidP="006D6952">
      <w:pPr>
        <w:pStyle w:val="Body"/>
        <w:spacing w:after="0"/>
      </w:pPr>
      <w:proofErr w:type="spellStart"/>
      <w:r w:rsidRPr="00F56A4B">
        <w:rPr>
          <w:lang w:val="fr-FR"/>
        </w:rPr>
        <w:t>Cochetti</w:t>
      </w:r>
      <w:proofErr w:type="spellEnd"/>
      <w:r w:rsidRPr="00F56A4B">
        <w:rPr>
          <w:lang w:val="fr-FR"/>
        </w:rPr>
        <w:t xml:space="preserve">, G., Rossi de Vermandois, J. A., </w:t>
      </w:r>
      <w:proofErr w:type="spellStart"/>
      <w:r w:rsidRPr="00F56A4B">
        <w:rPr>
          <w:lang w:val="fr-FR"/>
        </w:rPr>
        <w:t>Maulà</w:t>
      </w:r>
      <w:proofErr w:type="spellEnd"/>
      <w:r w:rsidRPr="00F56A4B">
        <w:rPr>
          <w:lang w:val="fr-FR"/>
        </w:rPr>
        <w:t xml:space="preserve">, V., </w:t>
      </w:r>
      <w:proofErr w:type="spellStart"/>
      <w:r w:rsidRPr="00F56A4B">
        <w:rPr>
          <w:lang w:val="fr-FR"/>
        </w:rPr>
        <w:t>Giulietti</w:t>
      </w:r>
      <w:proofErr w:type="spellEnd"/>
      <w:r w:rsidRPr="00F56A4B">
        <w:rPr>
          <w:lang w:val="fr-FR"/>
        </w:rPr>
        <w:t xml:space="preserve">, M., </w:t>
      </w:r>
      <w:proofErr w:type="spellStart"/>
      <w:r w:rsidRPr="00F56A4B">
        <w:rPr>
          <w:lang w:val="fr-FR"/>
        </w:rPr>
        <w:t>Cecati</w:t>
      </w:r>
      <w:proofErr w:type="spellEnd"/>
      <w:r w:rsidRPr="00F56A4B">
        <w:rPr>
          <w:lang w:val="fr-FR"/>
        </w:rPr>
        <w:t xml:space="preserve">, M., Del Zingaro, </w:t>
      </w:r>
      <w:r>
        <w:rPr>
          <w:lang w:val="fr-FR"/>
        </w:rPr>
        <w:t>et al.</w:t>
      </w:r>
      <w:r w:rsidRPr="00F56A4B">
        <w:rPr>
          <w:lang w:val="fr-FR"/>
        </w:rPr>
        <w:t xml:space="preserve"> (2020). </w:t>
      </w:r>
      <w:r>
        <w:t xml:space="preserve">Role of miRNAs in prostate cancer: Do we really know everything? Urologic Oncology, 38(7), 623–635. </w:t>
      </w:r>
      <w:hyperlink r:id="rId52" w:history="1">
        <w:r w:rsidR="006D6952" w:rsidRPr="0025538F">
          <w:rPr>
            <w:rStyle w:val="Hyperlink"/>
          </w:rPr>
          <w:t>https://doi.org/10.1016/j.urolonc.2020.03.007</w:t>
        </w:r>
      </w:hyperlink>
    </w:p>
    <w:p w14:paraId="6F4F2B62" w14:textId="77777777" w:rsidR="006D6952" w:rsidRDefault="006D6952" w:rsidP="006D6952">
      <w:pPr>
        <w:pStyle w:val="Body"/>
        <w:spacing w:after="0"/>
      </w:pPr>
    </w:p>
    <w:p w14:paraId="2D4AADB5" w14:textId="2F1E8D30" w:rsidR="00F56A4B" w:rsidRDefault="00F56A4B" w:rsidP="006D6952">
      <w:pPr>
        <w:pStyle w:val="Body"/>
        <w:spacing w:after="0"/>
      </w:pPr>
      <w:r>
        <w:t xml:space="preserve">Daniyal, M., Siddiqui, Z. A., Akram, M., Asif, H. M., Sultana, S., &amp; Khan, A. (2014). Epidemiology, etiology, diagnosis and treatment of prostate cancer. Asian Pacific Journal of Cancer Prevention: APJCP, 15(22), 9575–9578. </w:t>
      </w:r>
      <w:hyperlink r:id="rId53" w:history="1">
        <w:r w:rsidR="006D6952" w:rsidRPr="0025538F">
          <w:rPr>
            <w:rStyle w:val="Hyperlink"/>
          </w:rPr>
          <w:t>https://doi.org/10.7314/apjcp.2014.15.22.9575</w:t>
        </w:r>
      </w:hyperlink>
    </w:p>
    <w:p w14:paraId="19250F43" w14:textId="77777777" w:rsidR="006D6952" w:rsidRDefault="006D6952" w:rsidP="006D6952">
      <w:pPr>
        <w:pStyle w:val="Body"/>
        <w:spacing w:after="0"/>
      </w:pPr>
    </w:p>
    <w:p w14:paraId="24F6BB5E" w14:textId="73DE21AD" w:rsidR="00F56A4B" w:rsidRDefault="00F56A4B" w:rsidP="006D6952">
      <w:pPr>
        <w:pStyle w:val="Body"/>
        <w:spacing w:after="0"/>
      </w:pPr>
      <w:r>
        <w:t xml:space="preserve">Deeks, J. J., Macaskill, P., &amp; </w:t>
      </w:r>
      <w:proofErr w:type="spellStart"/>
      <w:r>
        <w:t>Irwig</w:t>
      </w:r>
      <w:proofErr w:type="spellEnd"/>
      <w:r>
        <w:t xml:space="preserve">, L. (2005). The performance of tests of publication bias and other sample size effects in systematic reviews of diagnostic test accuracy was assessed. Journal of Clinical Epidemiology, 58(9), 882–893. </w:t>
      </w:r>
      <w:hyperlink r:id="rId54" w:history="1">
        <w:r w:rsidR="006D6952" w:rsidRPr="0025538F">
          <w:rPr>
            <w:rStyle w:val="Hyperlink"/>
          </w:rPr>
          <w:t>https://doi.org/10.1016/j.jclinepi.2005.01.016</w:t>
        </w:r>
      </w:hyperlink>
    </w:p>
    <w:p w14:paraId="43821EA3" w14:textId="77777777" w:rsidR="006D6952" w:rsidRDefault="006D6952" w:rsidP="006D6952">
      <w:pPr>
        <w:pStyle w:val="Body"/>
        <w:spacing w:after="0"/>
      </w:pPr>
    </w:p>
    <w:p w14:paraId="726817AC" w14:textId="3B039725" w:rsidR="006D6952" w:rsidRDefault="00F56A4B" w:rsidP="006D6952">
      <w:pPr>
        <w:pStyle w:val="Body"/>
        <w:spacing w:after="0"/>
      </w:pPr>
      <w:r>
        <w:t xml:space="preserve">Di Leva, G., Garofalo, M., &amp; Croce, C. M. (2014). microRNAs in cancer. Annual Review of Pathology, 9, 287–314. </w:t>
      </w:r>
      <w:hyperlink r:id="rId55" w:history="1">
        <w:r w:rsidR="006D6952" w:rsidRPr="0025538F">
          <w:rPr>
            <w:rStyle w:val="Hyperlink"/>
          </w:rPr>
          <w:t>https://doi.org/10.1146/annurev-pathol-012513-104715</w:t>
        </w:r>
      </w:hyperlink>
    </w:p>
    <w:p w14:paraId="56F7515F" w14:textId="77777777" w:rsidR="006D6952" w:rsidRDefault="006D6952" w:rsidP="006D6952">
      <w:pPr>
        <w:pStyle w:val="Body"/>
        <w:spacing w:after="0"/>
      </w:pPr>
    </w:p>
    <w:p w14:paraId="233DE41D" w14:textId="16852556" w:rsidR="00F56A4B" w:rsidRDefault="00F56A4B" w:rsidP="006D6952">
      <w:pPr>
        <w:pStyle w:val="Body"/>
        <w:spacing w:after="0"/>
      </w:pPr>
      <w:proofErr w:type="spellStart"/>
      <w:r>
        <w:t>Dülgeroğlu</w:t>
      </w:r>
      <w:proofErr w:type="spellEnd"/>
      <w:r>
        <w:t xml:space="preserve">, Y., &amp; Eroğlu, O. (2019). Diagnostic performance of microRNAs in the circulation in differential diagnosis of BPH, chronic prostatitis and prostate cancer. Turkish Journal of Biochemistry, 44(4), 417–425. </w:t>
      </w:r>
      <w:hyperlink r:id="rId56" w:history="1">
        <w:r w:rsidR="006D6952" w:rsidRPr="0025538F">
          <w:rPr>
            <w:rStyle w:val="Hyperlink"/>
          </w:rPr>
          <w:t>https://doi.org/10.1515/tjb-2018-0198</w:t>
        </w:r>
      </w:hyperlink>
    </w:p>
    <w:p w14:paraId="2229F3D3" w14:textId="77777777" w:rsidR="006D6952" w:rsidRDefault="006D6952" w:rsidP="006D6952">
      <w:pPr>
        <w:pStyle w:val="Body"/>
        <w:spacing w:after="0"/>
      </w:pPr>
    </w:p>
    <w:p w14:paraId="1864F9B7" w14:textId="793D4A64" w:rsidR="00F56A4B" w:rsidRDefault="00F56A4B" w:rsidP="006D6952">
      <w:pPr>
        <w:pStyle w:val="Body"/>
        <w:spacing w:after="0"/>
      </w:pPr>
      <w:proofErr w:type="spellStart"/>
      <w:r>
        <w:t>Emamvirdizadeh</w:t>
      </w:r>
      <w:proofErr w:type="spellEnd"/>
      <w:r>
        <w:t xml:space="preserve">, A., </w:t>
      </w:r>
      <w:proofErr w:type="spellStart"/>
      <w:r>
        <w:t>Jamshidian</w:t>
      </w:r>
      <w:proofErr w:type="spellEnd"/>
      <w:r>
        <w:t xml:space="preserve">, F., Entezari, M., Nooraei, S., &amp; Hashemi, M. (2015). Non-invasive Prostate Cancer Detection by Measuring Expression Level of miR-21 and miR-214 in Urine. International Journal of Cancer Management, 14(6), Article 6. </w:t>
      </w:r>
      <w:hyperlink r:id="rId57" w:history="1">
        <w:r w:rsidR="006D6952" w:rsidRPr="0025538F">
          <w:rPr>
            <w:rStyle w:val="Hyperlink"/>
          </w:rPr>
          <w:t>https://doi.org/10.5812/ijcm.110014</w:t>
        </w:r>
      </w:hyperlink>
    </w:p>
    <w:p w14:paraId="18EC5D21" w14:textId="77777777" w:rsidR="006D6952" w:rsidRDefault="006D6952" w:rsidP="006D6952">
      <w:pPr>
        <w:pStyle w:val="Body"/>
        <w:spacing w:after="0"/>
      </w:pPr>
    </w:p>
    <w:p w14:paraId="74CC9866" w14:textId="3B2C1213" w:rsidR="00F56A4B" w:rsidRDefault="00F56A4B" w:rsidP="006D6952">
      <w:pPr>
        <w:pStyle w:val="Body"/>
        <w:spacing w:after="0"/>
      </w:pPr>
      <w:proofErr w:type="spellStart"/>
      <w:r w:rsidRPr="00F56A4B">
        <w:rPr>
          <w:lang w:val="fr-FR"/>
        </w:rPr>
        <w:t>Endzeliņš</w:t>
      </w:r>
      <w:proofErr w:type="spellEnd"/>
      <w:r w:rsidRPr="00F56A4B">
        <w:rPr>
          <w:lang w:val="fr-FR"/>
        </w:rPr>
        <w:t xml:space="preserve">, E., Berger, A., </w:t>
      </w:r>
      <w:proofErr w:type="spellStart"/>
      <w:r w:rsidRPr="00F56A4B">
        <w:rPr>
          <w:lang w:val="fr-FR"/>
        </w:rPr>
        <w:t>Melne</w:t>
      </w:r>
      <w:proofErr w:type="spellEnd"/>
      <w:r w:rsidRPr="00F56A4B">
        <w:rPr>
          <w:lang w:val="fr-FR"/>
        </w:rPr>
        <w:t xml:space="preserve">, V., </w:t>
      </w:r>
      <w:proofErr w:type="spellStart"/>
      <w:r w:rsidRPr="00F56A4B">
        <w:rPr>
          <w:lang w:val="fr-FR"/>
        </w:rPr>
        <w:t>Bajo</w:t>
      </w:r>
      <w:proofErr w:type="spellEnd"/>
      <w:r w:rsidRPr="00F56A4B">
        <w:rPr>
          <w:lang w:val="fr-FR"/>
        </w:rPr>
        <w:t xml:space="preserve">-Santos, C., </w:t>
      </w:r>
      <w:proofErr w:type="spellStart"/>
      <w:r w:rsidRPr="00F56A4B">
        <w:rPr>
          <w:lang w:val="fr-FR"/>
        </w:rPr>
        <w:t>Soboļevska</w:t>
      </w:r>
      <w:proofErr w:type="spellEnd"/>
      <w:r w:rsidRPr="00F56A4B">
        <w:rPr>
          <w:lang w:val="fr-FR"/>
        </w:rPr>
        <w:t xml:space="preserve">, K., </w:t>
      </w:r>
      <w:proofErr w:type="spellStart"/>
      <w:r w:rsidRPr="00F56A4B">
        <w:rPr>
          <w:lang w:val="fr-FR"/>
        </w:rPr>
        <w:t>Ābols</w:t>
      </w:r>
      <w:proofErr w:type="spellEnd"/>
      <w:r w:rsidRPr="00F56A4B">
        <w:rPr>
          <w:lang w:val="fr-FR"/>
        </w:rPr>
        <w:t xml:space="preserve">, A., Rodriguez, et al. </w:t>
      </w:r>
      <w:r>
        <w:t xml:space="preserve">(2017). Detection of circulating miRNAs: Comparative analysis of extracellular vesicle-incorporated miRNAs and cell-free miRNAs in whole plasma of prostate cancer patients. BMC Cancer, 17(1), 730. </w:t>
      </w:r>
      <w:hyperlink r:id="rId58" w:history="1">
        <w:r w:rsidR="006D6952" w:rsidRPr="0025538F">
          <w:rPr>
            <w:rStyle w:val="Hyperlink"/>
          </w:rPr>
          <w:t>https://doi.org/10.1186/s12885-017-3737-z</w:t>
        </w:r>
      </w:hyperlink>
    </w:p>
    <w:p w14:paraId="2E84A418" w14:textId="77777777" w:rsidR="006D6952" w:rsidRDefault="006D6952" w:rsidP="006D6952">
      <w:pPr>
        <w:pStyle w:val="Body"/>
        <w:spacing w:after="0"/>
      </w:pPr>
    </w:p>
    <w:p w14:paraId="67FF86BA" w14:textId="77777777" w:rsidR="00F56A4B" w:rsidRDefault="00F56A4B" w:rsidP="006D6952">
      <w:pPr>
        <w:pStyle w:val="Body"/>
        <w:spacing w:after="0"/>
      </w:pPr>
      <w:r>
        <w:t xml:space="preserve">Fagan, T. J. (1975). Letter: Nomogram for </w:t>
      </w:r>
      <w:proofErr w:type="spellStart"/>
      <w:r>
        <w:t>Bayes’s</w:t>
      </w:r>
      <w:proofErr w:type="spellEnd"/>
      <w:r>
        <w:t xml:space="preserve"> theorem. The New England Journal of Medicine, 293(5), 257. https://doi.org/10.1056/NEJM197507312930513</w:t>
      </w:r>
    </w:p>
    <w:p w14:paraId="50E06935" w14:textId="32CE742C" w:rsidR="00F56A4B" w:rsidRDefault="00F56A4B" w:rsidP="006D6952">
      <w:pPr>
        <w:pStyle w:val="Body"/>
        <w:spacing w:after="0"/>
      </w:pPr>
      <w:proofErr w:type="spellStart"/>
      <w:r w:rsidRPr="00F56A4B">
        <w:rPr>
          <w:lang w:val="fr-FR"/>
        </w:rPr>
        <w:lastRenderedPageBreak/>
        <w:t>Foj</w:t>
      </w:r>
      <w:proofErr w:type="spellEnd"/>
      <w:r w:rsidRPr="00F56A4B">
        <w:rPr>
          <w:lang w:val="fr-FR"/>
        </w:rPr>
        <w:t xml:space="preserve">, L., Ferrer, F., Serra, M., </w:t>
      </w:r>
      <w:proofErr w:type="spellStart"/>
      <w:r w:rsidRPr="00F56A4B">
        <w:rPr>
          <w:lang w:val="fr-FR"/>
        </w:rPr>
        <w:t>Arévalo</w:t>
      </w:r>
      <w:proofErr w:type="spellEnd"/>
      <w:r w:rsidRPr="00F56A4B">
        <w:rPr>
          <w:lang w:val="fr-FR"/>
        </w:rPr>
        <w:t xml:space="preserve">, A., </w:t>
      </w:r>
      <w:proofErr w:type="spellStart"/>
      <w:r w:rsidRPr="00F56A4B">
        <w:rPr>
          <w:lang w:val="fr-FR"/>
        </w:rPr>
        <w:t>Gavagnach</w:t>
      </w:r>
      <w:proofErr w:type="spellEnd"/>
      <w:r w:rsidRPr="00F56A4B">
        <w:rPr>
          <w:lang w:val="fr-FR"/>
        </w:rPr>
        <w:t xml:space="preserve">, M., </w:t>
      </w:r>
      <w:proofErr w:type="spellStart"/>
      <w:r w:rsidRPr="00F56A4B">
        <w:rPr>
          <w:lang w:val="fr-FR"/>
        </w:rPr>
        <w:t>Giménez</w:t>
      </w:r>
      <w:proofErr w:type="spellEnd"/>
      <w:r w:rsidRPr="00F56A4B">
        <w:rPr>
          <w:lang w:val="fr-FR"/>
        </w:rPr>
        <w:t xml:space="preserve">, N., </w:t>
      </w:r>
      <w:r>
        <w:rPr>
          <w:lang w:val="fr-FR"/>
        </w:rPr>
        <w:t>et al.</w:t>
      </w:r>
      <w:r w:rsidRPr="00F56A4B">
        <w:rPr>
          <w:lang w:val="fr-FR"/>
        </w:rPr>
        <w:t xml:space="preserve"> (2017). </w:t>
      </w:r>
      <w:proofErr w:type="spellStart"/>
      <w:r>
        <w:t>Exosomal</w:t>
      </w:r>
      <w:proofErr w:type="spellEnd"/>
      <w:r>
        <w:t xml:space="preserve"> and Non-</w:t>
      </w:r>
      <w:proofErr w:type="spellStart"/>
      <w:r>
        <w:t>Exosomal</w:t>
      </w:r>
      <w:proofErr w:type="spellEnd"/>
      <w:r>
        <w:t xml:space="preserve"> Urinary miRNAs in Prostate Cancer Detection and Prognosis. The Prostate, 77(6), 573–583. </w:t>
      </w:r>
      <w:hyperlink r:id="rId59" w:history="1">
        <w:r w:rsidR="006D6952" w:rsidRPr="0025538F">
          <w:rPr>
            <w:rStyle w:val="Hyperlink"/>
          </w:rPr>
          <w:t>https://doi.org/10.1002/pros.23295</w:t>
        </w:r>
      </w:hyperlink>
    </w:p>
    <w:p w14:paraId="6122F939" w14:textId="77777777" w:rsidR="006D6952" w:rsidRDefault="006D6952" w:rsidP="006D6952">
      <w:pPr>
        <w:pStyle w:val="Body"/>
        <w:spacing w:after="0"/>
      </w:pPr>
    </w:p>
    <w:p w14:paraId="4C30F5B6" w14:textId="4261ABDA" w:rsidR="00F56A4B" w:rsidRDefault="00F56A4B" w:rsidP="006D6952">
      <w:pPr>
        <w:pStyle w:val="Body"/>
        <w:spacing w:after="0"/>
      </w:pPr>
      <w:r>
        <w:t xml:space="preserve">Gao, Y., Guo, Y., Wang, Z., Dai, Z., Xu, Y., Zhang, W., et al. (2016). Analysis of circulating miRNAs 21 and 375 as potential biomarkers for early diagnosis of prostate cancer. </w:t>
      </w:r>
      <w:proofErr w:type="spellStart"/>
      <w:r>
        <w:t>Neoplasma</w:t>
      </w:r>
      <w:proofErr w:type="spellEnd"/>
      <w:r>
        <w:t xml:space="preserve">, 63(4), 623–628. </w:t>
      </w:r>
      <w:hyperlink r:id="rId60" w:history="1">
        <w:r w:rsidR="006D6952" w:rsidRPr="0025538F">
          <w:rPr>
            <w:rStyle w:val="Hyperlink"/>
          </w:rPr>
          <w:t>https://doi.org/10.4149/neo_2016_417</w:t>
        </w:r>
      </w:hyperlink>
    </w:p>
    <w:p w14:paraId="4AF62F05" w14:textId="77777777" w:rsidR="006D6952" w:rsidRDefault="006D6952" w:rsidP="006D6952">
      <w:pPr>
        <w:pStyle w:val="Body"/>
        <w:spacing w:after="0"/>
      </w:pPr>
    </w:p>
    <w:p w14:paraId="0D4F30B2" w14:textId="4ECB15B6" w:rsidR="00F56A4B" w:rsidRDefault="00F56A4B" w:rsidP="006D6952">
      <w:pPr>
        <w:pStyle w:val="Body"/>
        <w:spacing w:after="0"/>
      </w:pPr>
      <w:proofErr w:type="spellStart"/>
      <w:r>
        <w:t>Ghorbanmehr</w:t>
      </w:r>
      <w:proofErr w:type="spellEnd"/>
      <w:r>
        <w:t xml:space="preserve">, N., Gharbi, S., </w:t>
      </w:r>
      <w:proofErr w:type="spellStart"/>
      <w:r>
        <w:t>Korsching</w:t>
      </w:r>
      <w:proofErr w:type="spellEnd"/>
      <w:r>
        <w:t xml:space="preserve">, E., </w:t>
      </w:r>
      <w:proofErr w:type="spellStart"/>
      <w:r>
        <w:t>Tavallaei</w:t>
      </w:r>
      <w:proofErr w:type="spellEnd"/>
      <w:r>
        <w:t xml:space="preserve">, M., </w:t>
      </w:r>
      <w:proofErr w:type="spellStart"/>
      <w:r>
        <w:t>Einollahi</w:t>
      </w:r>
      <w:proofErr w:type="spellEnd"/>
      <w:r>
        <w:t xml:space="preserve">, B., &amp; Mowla, S. J. (2019). miR-21-5p, miR-141-3p, and miR-205-5p levels in urine-promising biomarkers for the identification of prostate and bladder cancer. The Prostate, 79(1), 88–95. </w:t>
      </w:r>
      <w:hyperlink r:id="rId61" w:history="1">
        <w:r w:rsidR="006D6952" w:rsidRPr="0025538F">
          <w:rPr>
            <w:rStyle w:val="Hyperlink"/>
          </w:rPr>
          <w:t>https://doi.org/10.1002/pros.23714</w:t>
        </w:r>
      </w:hyperlink>
    </w:p>
    <w:p w14:paraId="0A14945D" w14:textId="77777777" w:rsidR="006D6952" w:rsidRDefault="006D6952" w:rsidP="006D6952">
      <w:pPr>
        <w:pStyle w:val="Body"/>
        <w:spacing w:after="0"/>
      </w:pPr>
    </w:p>
    <w:p w14:paraId="320BCD85" w14:textId="3AB3D503" w:rsidR="00F56A4B" w:rsidRDefault="00F56A4B" w:rsidP="006D6952">
      <w:pPr>
        <w:pStyle w:val="Body"/>
        <w:spacing w:after="0"/>
      </w:pPr>
      <w:r>
        <w:t xml:space="preserve">Giglio, S., De Nunzio, C., </w:t>
      </w:r>
      <w:proofErr w:type="spellStart"/>
      <w:r>
        <w:t>Cirombella</w:t>
      </w:r>
      <w:proofErr w:type="spellEnd"/>
      <w:r>
        <w:t xml:space="preserve">, R., </w:t>
      </w:r>
      <w:proofErr w:type="spellStart"/>
      <w:r>
        <w:t>Stoppacciaro</w:t>
      </w:r>
      <w:proofErr w:type="spellEnd"/>
      <w:r>
        <w:t xml:space="preserve">, A., Faruq, O., </w:t>
      </w:r>
      <w:proofErr w:type="spellStart"/>
      <w:r>
        <w:t>Volinia</w:t>
      </w:r>
      <w:proofErr w:type="spellEnd"/>
      <w:r>
        <w:t xml:space="preserve">, S., </w:t>
      </w:r>
      <w:r w:rsidR="00252583">
        <w:t>et al.</w:t>
      </w:r>
      <w:r>
        <w:t xml:space="preserve"> (2021). A preliminary study of micro-RNAs as minimally invasive biomarkers for the diagnosis of prostate cancer patients. Journal of Experimental &amp; Clinical Cancer Research: CR, 40(1), 79. </w:t>
      </w:r>
      <w:hyperlink r:id="rId62" w:history="1">
        <w:r w:rsidR="006D6952" w:rsidRPr="0025538F">
          <w:rPr>
            <w:rStyle w:val="Hyperlink"/>
          </w:rPr>
          <w:t>https://doi.org/10.1186/s13046-021-01875-0</w:t>
        </w:r>
      </w:hyperlink>
    </w:p>
    <w:p w14:paraId="3DF93E70" w14:textId="77777777" w:rsidR="006D6952" w:rsidRDefault="006D6952" w:rsidP="006D6952">
      <w:pPr>
        <w:pStyle w:val="Body"/>
        <w:spacing w:after="0"/>
      </w:pPr>
    </w:p>
    <w:p w14:paraId="09D82B48" w14:textId="68608374" w:rsidR="00F56A4B" w:rsidRDefault="00F56A4B" w:rsidP="006D6952">
      <w:pPr>
        <w:pStyle w:val="Body"/>
        <w:spacing w:after="0"/>
      </w:pPr>
      <w:r w:rsidRPr="00F56A4B">
        <w:rPr>
          <w:lang w:val="fr-FR"/>
        </w:rPr>
        <w:t xml:space="preserve">Guan, Y., Wu, Y., Liu, Y., Ni, J., &amp; </w:t>
      </w:r>
      <w:proofErr w:type="spellStart"/>
      <w:r w:rsidRPr="00F56A4B">
        <w:rPr>
          <w:lang w:val="fr-FR"/>
        </w:rPr>
        <w:t>Nong</w:t>
      </w:r>
      <w:proofErr w:type="spellEnd"/>
      <w:r w:rsidRPr="00F56A4B">
        <w:rPr>
          <w:lang w:val="fr-FR"/>
        </w:rPr>
        <w:t xml:space="preserve">, S. (2016). </w:t>
      </w:r>
      <w:r>
        <w:t xml:space="preserve">Association of microRNA-21 expression with clinicopathological characteristics and the risk of progression in advanced prostate cancer patients receiving androgen deprivation therapy. The Prostate, 76(11), 986–993. </w:t>
      </w:r>
      <w:hyperlink r:id="rId63" w:history="1">
        <w:r w:rsidR="006D6952" w:rsidRPr="0025538F">
          <w:rPr>
            <w:rStyle w:val="Hyperlink"/>
          </w:rPr>
          <w:t>https://doi.org/10.1002/pros.23187</w:t>
        </w:r>
      </w:hyperlink>
    </w:p>
    <w:p w14:paraId="36E67995" w14:textId="77777777" w:rsidR="006D6952" w:rsidRDefault="006D6952" w:rsidP="006D6952">
      <w:pPr>
        <w:pStyle w:val="Body"/>
        <w:spacing w:after="0"/>
      </w:pPr>
    </w:p>
    <w:p w14:paraId="450112F7" w14:textId="7ED3CE5F" w:rsidR="00F56A4B" w:rsidRDefault="00F56A4B" w:rsidP="006D6952">
      <w:pPr>
        <w:pStyle w:val="Body"/>
        <w:spacing w:after="0"/>
      </w:pPr>
      <w:r>
        <w:t xml:space="preserve">Gunawan, R. R., Astuti, I., &amp; </w:t>
      </w:r>
      <w:proofErr w:type="spellStart"/>
      <w:r>
        <w:t>Danarto</w:t>
      </w:r>
      <w:proofErr w:type="spellEnd"/>
      <w:r>
        <w:t xml:space="preserve">, H. R. (2023). miRNA-21 as High Potential Prostate Cancer Biomarker in Prostate Cancer Patients in Indonesia. Asian Pacific Journal of Cancer Prevention: APJCP, 24(3), 1095–1099. </w:t>
      </w:r>
      <w:hyperlink r:id="rId64" w:history="1">
        <w:r w:rsidR="006D6952" w:rsidRPr="0025538F">
          <w:rPr>
            <w:rStyle w:val="Hyperlink"/>
          </w:rPr>
          <w:t>https://doi.org/10.31557/APJCP.2023.24.3.1095</w:t>
        </w:r>
      </w:hyperlink>
    </w:p>
    <w:p w14:paraId="7EC8A315" w14:textId="77777777" w:rsidR="006D6952" w:rsidRDefault="006D6952" w:rsidP="006D6952">
      <w:pPr>
        <w:pStyle w:val="Body"/>
        <w:spacing w:after="0"/>
      </w:pPr>
    </w:p>
    <w:p w14:paraId="55417535" w14:textId="47B2CAA7" w:rsidR="00F56A4B" w:rsidRDefault="00F56A4B" w:rsidP="006D6952">
      <w:pPr>
        <w:pStyle w:val="Body"/>
        <w:spacing w:after="0"/>
      </w:pPr>
      <w:r>
        <w:t xml:space="preserve">Guo, X., Han, T., Hu, P., Guo, X., Zhu, C., Wang, Y., </w:t>
      </w:r>
      <w:r w:rsidR="00252583">
        <w:t xml:space="preserve">et al. </w:t>
      </w:r>
      <w:r>
        <w:t xml:space="preserve">(2018). Five microRNAs in serum as potential biomarkers for prostate cancer risk assessment and therapeutic intervention. International Urology and Nephrology, 50(12), 2193–2200. </w:t>
      </w:r>
      <w:hyperlink r:id="rId65" w:history="1">
        <w:r w:rsidR="006D6952" w:rsidRPr="0025538F">
          <w:rPr>
            <w:rStyle w:val="Hyperlink"/>
          </w:rPr>
          <w:t>https://doi.org/10.1007/s11255-018-2009-4</w:t>
        </w:r>
      </w:hyperlink>
    </w:p>
    <w:p w14:paraId="2F38FA94" w14:textId="77777777" w:rsidR="006D6952" w:rsidRDefault="006D6952" w:rsidP="006D6952">
      <w:pPr>
        <w:pStyle w:val="Body"/>
        <w:spacing w:after="0"/>
      </w:pPr>
    </w:p>
    <w:p w14:paraId="4B3A462C" w14:textId="3F72D30C" w:rsidR="00F56A4B" w:rsidRDefault="00F56A4B" w:rsidP="006D6952">
      <w:pPr>
        <w:pStyle w:val="Body"/>
        <w:spacing w:after="0"/>
      </w:pPr>
      <w:r>
        <w:t xml:space="preserve">Haldrup, C., Kosaka, N., </w:t>
      </w:r>
      <w:proofErr w:type="spellStart"/>
      <w:r>
        <w:t>Ochiya</w:t>
      </w:r>
      <w:proofErr w:type="spellEnd"/>
      <w:r>
        <w:t xml:space="preserve">, T., Borre, M., Høyer, S., </w:t>
      </w:r>
      <w:proofErr w:type="spellStart"/>
      <w:r>
        <w:t>Orntoft</w:t>
      </w:r>
      <w:proofErr w:type="spellEnd"/>
      <w:r>
        <w:t xml:space="preserve">, T. F., </w:t>
      </w:r>
      <w:r w:rsidR="00252583">
        <w:t xml:space="preserve">et al. </w:t>
      </w:r>
      <w:r>
        <w:t xml:space="preserve">(2014). Profiling of circulating microRNAs for prostate cancer biomarker discovery. Drug Delivery and Translational Research, 4(1), 19–30. </w:t>
      </w:r>
      <w:hyperlink r:id="rId66" w:history="1">
        <w:r w:rsidR="006D6952" w:rsidRPr="0025538F">
          <w:rPr>
            <w:rStyle w:val="Hyperlink"/>
          </w:rPr>
          <w:t>https://doi.org/10.1007/s13346-013-0169-4</w:t>
        </w:r>
      </w:hyperlink>
    </w:p>
    <w:p w14:paraId="67042703" w14:textId="77777777" w:rsidR="006D6952" w:rsidRDefault="006D6952" w:rsidP="006D6952">
      <w:pPr>
        <w:pStyle w:val="Body"/>
        <w:spacing w:after="0"/>
      </w:pPr>
    </w:p>
    <w:p w14:paraId="15A2F09C" w14:textId="4C6EB4ED" w:rsidR="00F56A4B" w:rsidRDefault="00F56A4B" w:rsidP="006D6952">
      <w:pPr>
        <w:pStyle w:val="Body"/>
        <w:spacing w:after="0"/>
      </w:pPr>
      <w:r>
        <w:t xml:space="preserve">Higgins, J. P. T., &amp; Thompson, S. G. (2002). Quantifying heterogeneity in a meta-analysis. Statistics in Medicine, 21(11), 1539–1558. </w:t>
      </w:r>
      <w:hyperlink r:id="rId67" w:history="1">
        <w:r w:rsidR="006D6952" w:rsidRPr="0025538F">
          <w:rPr>
            <w:rStyle w:val="Hyperlink"/>
          </w:rPr>
          <w:t>https://doi.org/10.1002/sim.1186</w:t>
        </w:r>
      </w:hyperlink>
    </w:p>
    <w:p w14:paraId="1AC42778" w14:textId="77777777" w:rsidR="006D6952" w:rsidRDefault="006D6952" w:rsidP="006D6952">
      <w:pPr>
        <w:pStyle w:val="Body"/>
        <w:spacing w:after="0"/>
      </w:pPr>
    </w:p>
    <w:p w14:paraId="26F5565B" w14:textId="2D78EACE" w:rsidR="00F56A4B" w:rsidRDefault="00F56A4B" w:rsidP="006D6952">
      <w:pPr>
        <w:pStyle w:val="Body"/>
        <w:spacing w:after="0"/>
      </w:pPr>
      <w:r>
        <w:t xml:space="preserve">Huang, W., Kang, X.-L., Cen, S., Wang, Y., &amp; Chen, X. (2015). High-Level Expression of microRNA-21 in Peripheral Blood Mononuclear Cells Is a Diagnostic and Prognostic Marker in Prostate Cancer. Genetic Testing and Molecular Biomarkers, 19(9), 469–475. </w:t>
      </w:r>
      <w:hyperlink r:id="rId68" w:history="1">
        <w:r w:rsidR="006D6952" w:rsidRPr="0025538F">
          <w:rPr>
            <w:rStyle w:val="Hyperlink"/>
          </w:rPr>
          <w:t>https://doi.org/10.1089/gtmb.2015.0088</w:t>
        </w:r>
      </w:hyperlink>
    </w:p>
    <w:p w14:paraId="4E3289E7" w14:textId="77777777" w:rsidR="006D6952" w:rsidRDefault="006D6952" w:rsidP="006D6952">
      <w:pPr>
        <w:pStyle w:val="Body"/>
        <w:spacing w:after="0"/>
      </w:pPr>
    </w:p>
    <w:p w14:paraId="2CFEB80D" w14:textId="2441C9B7" w:rsidR="00F56A4B" w:rsidRDefault="00F56A4B" w:rsidP="006D6952">
      <w:pPr>
        <w:pStyle w:val="Body"/>
        <w:spacing w:after="0"/>
      </w:pPr>
      <w:r>
        <w:t xml:space="preserve">Ibrahim, N. H., Abdellateif, M. S., Kassem, S. H.-A., Abd El Salam, M. A., &amp; El </w:t>
      </w:r>
      <w:proofErr w:type="spellStart"/>
      <w:r>
        <w:t>Gammal</w:t>
      </w:r>
      <w:proofErr w:type="spellEnd"/>
      <w:r>
        <w:t xml:space="preserve">, M. M. (2019). Diagnostic significance of miR-21, miR-141, miR-18a and miR-221 as novel biomarkers in prostate cancer among Egyptian patients. </w:t>
      </w:r>
      <w:proofErr w:type="spellStart"/>
      <w:r>
        <w:t>Andrologia</w:t>
      </w:r>
      <w:proofErr w:type="spellEnd"/>
      <w:r>
        <w:t xml:space="preserve">, 51(10), e13384. </w:t>
      </w:r>
      <w:hyperlink r:id="rId69" w:history="1">
        <w:r w:rsidR="006D6952" w:rsidRPr="0025538F">
          <w:rPr>
            <w:rStyle w:val="Hyperlink"/>
          </w:rPr>
          <w:t>https://doi.org/10.1111/and.13384</w:t>
        </w:r>
      </w:hyperlink>
    </w:p>
    <w:p w14:paraId="7B3B5CAF" w14:textId="77777777" w:rsidR="006D6952" w:rsidRDefault="006D6952" w:rsidP="006D6952">
      <w:pPr>
        <w:pStyle w:val="Body"/>
        <w:spacing w:after="0"/>
      </w:pPr>
    </w:p>
    <w:p w14:paraId="42E7A024" w14:textId="5CE7BE7D" w:rsidR="00F56A4B" w:rsidRDefault="00F56A4B" w:rsidP="006D6952">
      <w:pPr>
        <w:pStyle w:val="Body"/>
        <w:spacing w:after="0"/>
      </w:pPr>
      <w:r>
        <w:t xml:space="preserve">Jin, W., Fei, X., Wang, X., Chen, F., &amp; Song, Y. (2020). Circulating miRNAs as Biomarkers for Prostate Cancer Diagnosis in Subjects with Benign Prostatic Hyperplasia. Journal of Immunology Research, 2020, 5873056. </w:t>
      </w:r>
      <w:hyperlink r:id="rId70" w:history="1">
        <w:r w:rsidR="006D6952" w:rsidRPr="0025538F">
          <w:rPr>
            <w:rStyle w:val="Hyperlink"/>
          </w:rPr>
          <w:t>https://doi.org/10.1155/2020/5873056</w:t>
        </w:r>
      </w:hyperlink>
    </w:p>
    <w:p w14:paraId="001031A3" w14:textId="77777777" w:rsidR="006D6952" w:rsidRDefault="006D6952" w:rsidP="006D6952">
      <w:pPr>
        <w:pStyle w:val="Body"/>
        <w:spacing w:after="0"/>
      </w:pPr>
    </w:p>
    <w:p w14:paraId="4AF7619D" w14:textId="40C62841" w:rsidR="00F56A4B" w:rsidRDefault="00F56A4B" w:rsidP="006D6952">
      <w:pPr>
        <w:pStyle w:val="Body"/>
        <w:spacing w:after="0"/>
      </w:pPr>
      <w:proofErr w:type="spellStart"/>
      <w:r>
        <w:lastRenderedPageBreak/>
        <w:t>Joković</w:t>
      </w:r>
      <w:proofErr w:type="spellEnd"/>
      <w:r>
        <w:t xml:space="preserve">, S. M., Dobrijević, Z., </w:t>
      </w:r>
      <w:proofErr w:type="spellStart"/>
      <w:r>
        <w:t>Kotarac</w:t>
      </w:r>
      <w:proofErr w:type="spellEnd"/>
      <w:r>
        <w:t xml:space="preserve">, N., Filipović, L., Popović, M., Korać, A., </w:t>
      </w:r>
      <w:r w:rsidR="00CD592B">
        <w:t>et al.</w:t>
      </w:r>
      <w:r>
        <w:t xml:space="preserve"> (2022). MiR-375 and miR-21 as Potential Biomarkers of Prostate Cancer: Comparison of Matching Samples of Plasma and Exosomes. Genes, 13(12), 2320. </w:t>
      </w:r>
      <w:hyperlink r:id="rId71" w:history="1">
        <w:r w:rsidR="006D6952" w:rsidRPr="0025538F">
          <w:rPr>
            <w:rStyle w:val="Hyperlink"/>
          </w:rPr>
          <w:t>https://doi.org/10.3390/genes13122320</w:t>
        </w:r>
      </w:hyperlink>
    </w:p>
    <w:p w14:paraId="177513D5" w14:textId="77777777" w:rsidR="006D6952" w:rsidRDefault="006D6952" w:rsidP="006D6952">
      <w:pPr>
        <w:pStyle w:val="Body"/>
        <w:spacing w:after="0"/>
      </w:pPr>
    </w:p>
    <w:p w14:paraId="0F68AA64" w14:textId="6975CF6B" w:rsidR="00F56A4B" w:rsidRDefault="00F56A4B" w:rsidP="006D6952">
      <w:pPr>
        <w:pStyle w:val="Body"/>
        <w:spacing w:after="0"/>
      </w:pPr>
      <w:proofErr w:type="spellStart"/>
      <w:r w:rsidRPr="00CD592B">
        <w:rPr>
          <w:lang w:val="fr-FR"/>
        </w:rPr>
        <w:t>Kachakova</w:t>
      </w:r>
      <w:proofErr w:type="spellEnd"/>
      <w:r w:rsidRPr="00CD592B">
        <w:rPr>
          <w:lang w:val="fr-FR"/>
        </w:rPr>
        <w:t xml:space="preserve">, D., </w:t>
      </w:r>
      <w:proofErr w:type="spellStart"/>
      <w:r w:rsidRPr="00CD592B">
        <w:rPr>
          <w:lang w:val="fr-FR"/>
        </w:rPr>
        <w:t>Mitkova</w:t>
      </w:r>
      <w:proofErr w:type="spellEnd"/>
      <w:r w:rsidRPr="00CD592B">
        <w:rPr>
          <w:lang w:val="fr-FR"/>
        </w:rPr>
        <w:t xml:space="preserve">, A., Popov, E., Popov, I., </w:t>
      </w:r>
      <w:proofErr w:type="spellStart"/>
      <w:r w:rsidRPr="00CD592B">
        <w:rPr>
          <w:lang w:val="fr-FR"/>
        </w:rPr>
        <w:t>Vlahova</w:t>
      </w:r>
      <w:proofErr w:type="spellEnd"/>
      <w:r w:rsidRPr="00CD592B">
        <w:rPr>
          <w:lang w:val="fr-FR"/>
        </w:rPr>
        <w:t xml:space="preserve">, A., </w:t>
      </w:r>
      <w:proofErr w:type="spellStart"/>
      <w:r w:rsidRPr="00CD592B">
        <w:rPr>
          <w:lang w:val="fr-FR"/>
        </w:rPr>
        <w:t>Dikov</w:t>
      </w:r>
      <w:proofErr w:type="spellEnd"/>
      <w:r w:rsidRPr="00CD592B">
        <w:rPr>
          <w:lang w:val="fr-FR"/>
        </w:rPr>
        <w:t xml:space="preserve">, T., </w:t>
      </w:r>
      <w:r w:rsidR="00CD592B" w:rsidRPr="00CD592B">
        <w:rPr>
          <w:lang w:val="fr-FR"/>
        </w:rPr>
        <w:t>et al.</w:t>
      </w:r>
      <w:r w:rsidRPr="00CD592B">
        <w:rPr>
          <w:lang w:val="fr-FR"/>
        </w:rPr>
        <w:t xml:space="preserve"> (2015). </w:t>
      </w:r>
      <w:r>
        <w:t xml:space="preserve">Combinations of Serum Prostate-Specific Antigen and Plasma Expression Levels of let-7c, miR-30c, miR-141, and miR-375 as Potential Better Diagnostic Biomarkers for Prostate Cancer. DNA and Cell Biology, 34(3), 189–200. </w:t>
      </w:r>
      <w:hyperlink r:id="rId72" w:history="1">
        <w:r w:rsidR="006D6952" w:rsidRPr="0025538F">
          <w:rPr>
            <w:rStyle w:val="Hyperlink"/>
          </w:rPr>
          <w:t>https://doi.org/10.1089/dna.2014.2663</w:t>
        </w:r>
      </w:hyperlink>
    </w:p>
    <w:p w14:paraId="4C2BE96E" w14:textId="77777777" w:rsidR="006D6952" w:rsidRDefault="006D6952" w:rsidP="006D6952">
      <w:pPr>
        <w:pStyle w:val="Body"/>
        <w:spacing w:after="0"/>
      </w:pPr>
    </w:p>
    <w:p w14:paraId="3D5D7673" w14:textId="0F9E8281" w:rsidR="00F56A4B" w:rsidRDefault="00F56A4B" w:rsidP="006D6952">
      <w:pPr>
        <w:pStyle w:val="Body"/>
        <w:spacing w:after="0"/>
      </w:pPr>
      <w:r>
        <w:t xml:space="preserve">Kelly, B. D., Miller, N., Sweeney, K. J., Durkan, G. C., Rogers, E., Walsh, K., </w:t>
      </w:r>
      <w:r w:rsidR="00CD592B">
        <w:t>et al.</w:t>
      </w:r>
      <w:r>
        <w:t xml:space="preserve"> (2015). A Circulating MicroRNA Signature as a Biomarker for Prostate Cancer in a </w:t>
      </w:r>
      <w:proofErr w:type="gramStart"/>
      <w:r>
        <w:t>High Risk</w:t>
      </w:r>
      <w:proofErr w:type="gramEnd"/>
      <w:r>
        <w:t xml:space="preserve"> Group. Journal of Clinical Medicine, 4(7), 1369–1379. </w:t>
      </w:r>
      <w:hyperlink r:id="rId73" w:history="1">
        <w:r w:rsidR="006D6952" w:rsidRPr="0025538F">
          <w:rPr>
            <w:rStyle w:val="Hyperlink"/>
          </w:rPr>
          <w:t>https://doi.org/10.3390/jcm4071369</w:t>
        </w:r>
      </w:hyperlink>
    </w:p>
    <w:p w14:paraId="7CDCFEF2" w14:textId="77777777" w:rsidR="006D6952" w:rsidRDefault="006D6952" w:rsidP="006D6952">
      <w:pPr>
        <w:pStyle w:val="Body"/>
        <w:spacing w:after="0"/>
      </w:pPr>
    </w:p>
    <w:p w14:paraId="4595F57D" w14:textId="362147E8" w:rsidR="00F56A4B" w:rsidRDefault="00F56A4B" w:rsidP="006D6952">
      <w:pPr>
        <w:pStyle w:val="Body"/>
        <w:spacing w:after="0"/>
      </w:pPr>
      <w:r>
        <w:t xml:space="preserve">Kim, J., Cho, S., Park, Y., Lee, J., &amp; Park, J. (2021). Evaluation of micro-RNA in extracellular vesicles from blood of patients with prostate cancer. </w:t>
      </w:r>
      <w:proofErr w:type="spellStart"/>
      <w:r>
        <w:t>PloS</w:t>
      </w:r>
      <w:proofErr w:type="spellEnd"/>
      <w:r>
        <w:t xml:space="preserve"> One, 16(12), e0262017. </w:t>
      </w:r>
      <w:hyperlink r:id="rId74" w:history="1">
        <w:r w:rsidR="006D6952" w:rsidRPr="0025538F">
          <w:rPr>
            <w:rStyle w:val="Hyperlink"/>
          </w:rPr>
          <w:t>https://doi.org/10.1371/journal.pone.0262017</w:t>
        </w:r>
      </w:hyperlink>
    </w:p>
    <w:p w14:paraId="71811731" w14:textId="77777777" w:rsidR="006D6952" w:rsidRDefault="006D6952" w:rsidP="006D6952">
      <w:pPr>
        <w:pStyle w:val="Body"/>
        <w:spacing w:after="0"/>
      </w:pPr>
    </w:p>
    <w:p w14:paraId="24F7A2D7" w14:textId="1FF0E6BE" w:rsidR="00F56A4B" w:rsidRDefault="00F56A4B" w:rsidP="006D6952">
      <w:pPr>
        <w:pStyle w:val="Body"/>
        <w:spacing w:after="0"/>
      </w:pPr>
      <w:r>
        <w:t xml:space="preserve">Kotb, S., </w:t>
      </w:r>
      <w:proofErr w:type="spellStart"/>
      <w:r>
        <w:t>Mosharafa</w:t>
      </w:r>
      <w:proofErr w:type="spellEnd"/>
      <w:r>
        <w:t xml:space="preserve">, A., Essawi, M., Hassan, H., </w:t>
      </w:r>
      <w:proofErr w:type="spellStart"/>
      <w:r>
        <w:t>Meshref</w:t>
      </w:r>
      <w:proofErr w:type="spellEnd"/>
      <w:r>
        <w:t xml:space="preserve">, A., &amp; Morsy, A. (2014). Circulating miRNAs 21 and 221 as biomarkers for early diagnosis of prostate cancer. </w:t>
      </w:r>
      <w:proofErr w:type="spellStart"/>
      <w:r>
        <w:t>Tumour</w:t>
      </w:r>
      <w:proofErr w:type="spellEnd"/>
      <w:r>
        <w:t xml:space="preserve"> Biology: The Journal of the International Society for </w:t>
      </w:r>
      <w:proofErr w:type="spellStart"/>
      <w:r>
        <w:t>Oncodevelopmental</w:t>
      </w:r>
      <w:proofErr w:type="spellEnd"/>
      <w:r>
        <w:t xml:space="preserve"> Biology and Medicine, 35(12), 12613–12617. </w:t>
      </w:r>
      <w:hyperlink r:id="rId75" w:history="1">
        <w:r w:rsidR="006D6952" w:rsidRPr="0025538F">
          <w:rPr>
            <w:rStyle w:val="Hyperlink"/>
          </w:rPr>
          <w:t>https://doi.org/10.1007/s13277-014-2584-7</w:t>
        </w:r>
      </w:hyperlink>
    </w:p>
    <w:p w14:paraId="1322D19C" w14:textId="77777777" w:rsidR="006D6952" w:rsidRDefault="006D6952" w:rsidP="006D6952">
      <w:pPr>
        <w:pStyle w:val="Body"/>
        <w:spacing w:after="0"/>
      </w:pPr>
    </w:p>
    <w:p w14:paraId="4B2ED132" w14:textId="497EC6CA" w:rsidR="00F56A4B" w:rsidRDefault="00F56A4B" w:rsidP="006D6952">
      <w:pPr>
        <w:pStyle w:val="Body"/>
        <w:spacing w:after="0"/>
      </w:pPr>
      <w:r>
        <w:t xml:space="preserve">Li, Z., Li, L.-X., Diao, Y.-J., Wang, J., Ye, Y., &amp; Hao, X.-K. (2021). Identification of Urinary </w:t>
      </w:r>
      <w:proofErr w:type="spellStart"/>
      <w:r>
        <w:t>Exosomal</w:t>
      </w:r>
      <w:proofErr w:type="spellEnd"/>
      <w:r>
        <w:t xml:space="preserve"> miRNAs for the Non-Invasive Diagnosis of Prostate Cancer. Cancer Management and Research, 13, 25–35. </w:t>
      </w:r>
      <w:hyperlink r:id="rId76" w:history="1">
        <w:r w:rsidR="006D6952" w:rsidRPr="0025538F">
          <w:rPr>
            <w:rStyle w:val="Hyperlink"/>
          </w:rPr>
          <w:t>https://doi.org/10.2147/CMAR.S272140</w:t>
        </w:r>
      </w:hyperlink>
    </w:p>
    <w:p w14:paraId="25BE0877" w14:textId="77777777" w:rsidR="006D6952" w:rsidRDefault="006D6952" w:rsidP="006D6952">
      <w:pPr>
        <w:pStyle w:val="Body"/>
        <w:spacing w:after="0"/>
      </w:pPr>
    </w:p>
    <w:p w14:paraId="5E1C42C1" w14:textId="199ACAC3" w:rsidR="00F56A4B" w:rsidRDefault="00F56A4B" w:rsidP="006D6952">
      <w:pPr>
        <w:pStyle w:val="Body"/>
        <w:spacing w:after="0"/>
      </w:pPr>
      <w:r>
        <w:t xml:space="preserve">Li, Z., Ma, Y.-Y., Wang, J., Zeng, X.-F., Li, R., Kang, W., &amp; Hao, X.-K. (2016). </w:t>
      </w:r>
      <w:proofErr w:type="spellStart"/>
      <w:r>
        <w:t>Exosomal</w:t>
      </w:r>
      <w:proofErr w:type="spellEnd"/>
      <w:r>
        <w:t xml:space="preserve"> microRNA-141 is upregulated in the serum of prostate cancer patients. </w:t>
      </w:r>
      <w:proofErr w:type="spellStart"/>
      <w:r>
        <w:t>OncoTargets</w:t>
      </w:r>
      <w:proofErr w:type="spellEnd"/>
      <w:r>
        <w:t xml:space="preserve"> and Therapy, 9, 139–148. </w:t>
      </w:r>
      <w:hyperlink r:id="rId77" w:history="1">
        <w:r w:rsidR="006D6952" w:rsidRPr="0025538F">
          <w:rPr>
            <w:rStyle w:val="Hyperlink"/>
          </w:rPr>
          <w:t>https://doi.org/10.2147/OTT.S95565</w:t>
        </w:r>
      </w:hyperlink>
    </w:p>
    <w:p w14:paraId="08FF1496" w14:textId="77777777" w:rsidR="006D6952" w:rsidRDefault="006D6952" w:rsidP="006D6952">
      <w:pPr>
        <w:pStyle w:val="Body"/>
        <w:spacing w:after="0"/>
      </w:pPr>
    </w:p>
    <w:p w14:paraId="7D39CCE9" w14:textId="4BC73F36" w:rsidR="00F56A4B" w:rsidRDefault="00F56A4B" w:rsidP="006D6952">
      <w:pPr>
        <w:pStyle w:val="Body"/>
        <w:spacing w:after="0"/>
      </w:pPr>
      <w:r w:rsidRPr="00CD592B">
        <w:rPr>
          <w:lang w:val="fr-FR"/>
        </w:rPr>
        <w:t xml:space="preserve">Liu, X., Chen, X., Yu, X., Tao, Y., Bode, A. M., Dong, Z., </w:t>
      </w:r>
      <w:r w:rsidR="00CD592B" w:rsidRPr="00CD592B">
        <w:rPr>
          <w:lang w:val="fr-FR"/>
        </w:rPr>
        <w:t>et al.</w:t>
      </w:r>
      <w:r w:rsidRPr="00CD592B">
        <w:rPr>
          <w:lang w:val="fr-FR"/>
        </w:rPr>
        <w:t xml:space="preserve"> </w:t>
      </w:r>
      <w:r>
        <w:t xml:space="preserve">(2013). Regulation of microRNAs by epigenetics and their interplay involved in cancer. Journal of Experimental &amp; Clinical Cancer Research, 32(1), 96. </w:t>
      </w:r>
      <w:hyperlink r:id="rId78" w:history="1">
        <w:r w:rsidR="006D6952" w:rsidRPr="0025538F">
          <w:rPr>
            <w:rStyle w:val="Hyperlink"/>
          </w:rPr>
          <w:t>https://doi.org/10.1186/1756-9966-32-96</w:t>
        </w:r>
      </w:hyperlink>
    </w:p>
    <w:p w14:paraId="45120376" w14:textId="77777777" w:rsidR="006D6952" w:rsidRDefault="006D6952" w:rsidP="006D6952">
      <w:pPr>
        <w:pStyle w:val="Body"/>
        <w:spacing w:after="0"/>
      </w:pPr>
    </w:p>
    <w:p w14:paraId="2D770EF1" w14:textId="06551AD4" w:rsidR="00F56A4B" w:rsidRDefault="00F56A4B" w:rsidP="006D6952">
      <w:pPr>
        <w:pStyle w:val="Body"/>
        <w:spacing w:after="0"/>
      </w:pPr>
      <w:r w:rsidRPr="00CD592B">
        <w:rPr>
          <w:lang w:val="fr-FR"/>
        </w:rPr>
        <w:t xml:space="preserve">Lu, J., Getz, G., </w:t>
      </w:r>
      <w:proofErr w:type="spellStart"/>
      <w:r w:rsidRPr="00CD592B">
        <w:rPr>
          <w:lang w:val="fr-FR"/>
        </w:rPr>
        <w:t>Miska</w:t>
      </w:r>
      <w:proofErr w:type="spellEnd"/>
      <w:r w:rsidRPr="00CD592B">
        <w:rPr>
          <w:lang w:val="fr-FR"/>
        </w:rPr>
        <w:t xml:space="preserve">, E. A., Alvarez-Saavedra, E., Lamb, J., Peck, D., </w:t>
      </w:r>
      <w:r w:rsidR="00CD592B" w:rsidRPr="00CD592B">
        <w:rPr>
          <w:lang w:val="fr-FR"/>
        </w:rPr>
        <w:t>et al.</w:t>
      </w:r>
      <w:r w:rsidRPr="00CD592B">
        <w:rPr>
          <w:lang w:val="fr-FR"/>
        </w:rPr>
        <w:t xml:space="preserve"> </w:t>
      </w:r>
      <w:r>
        <w:t xml:space="preserve">(2005). MicroRNA expression profiles classify human cancers. Nature, 435(7043), Article 7043. </w:t>
      </w:r>
      <w:hyperlink r:id="rId79" w:history="1">
        <w:r w:rsidR="006D6952" w:rsidRPr="0025538F">
          <w:rPr>
            <w:rStyle w:val="Hyperlink"/>
          </w:rPr>
          <w:t>https://doi.org/10.1038/nature03702</w:t>
        </w:r>
      </w:hyperlink>
    </w:p>
    <w:p w14:paraId="02ADF3A4" w14:textId="77777777" w:rsidR="006D6952" w:rsidRDefault="006D6952" w:rsidP="006D6952">
      <w:pPr>
        <w:pStyle w:val="Body"/>
        <w:spacing w:after="0"/>
      </w:pPr>
    </w:p>
    <w:p w14:paraId="4B84F69C" w14:textId="6FCF8DF4" w:rsidR="00F56A4B" w:rsidRDefault="00F56A4B" w:rsidP="006D6952">
      <w:pPr>
        <w:pStyle w:val="Body"/>
        <w:spacing w:after="0"/>
      </w:pPr>
      <w:r>
        <w:t xml:space="preserve">Manoj, A., Ahmad, M. K., Prasad, G., Kumar, D., Mahdi, A. A., &amp; Kumar, M. (2023). Screening and validation of novel serum panel of microRNA in stratification of prostate cancer. Prostate International, 11(3), 150–158. Embase. </w:t>
      </w:r>
      <w:hyperlink r:id="rId80" w:history="1">
        <w:r w:rsidR="006D6952" w:rsidRPr="0025538F">
          <w:rPr>
            <w:rStyle w:val="Hyperlink"/>
          </w:rPr>
          <w:t>https://doi.org/10.1016/j.prnil.2023.06.002</w:t>
        </w:r>
      </w:hyperlink>
    </w:p>
    <w:p w14:paraId="160492A1" w14:textId="77777777" w:rsidR="006D6952" w:rsidRDefault="006D6952" w:rsidP="006D6952">
      <w:pPr>
        <w:pStyle w:val="Body"/>
        <w:spacing w:after="0"/>
      </w:pPr>
    </w:p>
    <w:p w14:paraId="46F5AE51" w14:textId="22D8D8ED" w:rsidR="00F56A4B" w:rsidRDefault="00F56A4B" w:rsidP="006D6952">
      <w:pPr>
        <w:pStyle w:val="Body"/>
        <w:spacing w:after="0"/>
      </w:pPr>
      <w:r>
        <w:t xml:space="preserve">Merriel, S. W. D., Hetherington, L., </w:t>
      </w:r>
      <w:proofErr w:type="spellStart"/>
      <w:r>
        <w:t>Seggie</w:t>
      </w:r>
      <w:proofErr w:type="spellEnd"/>
      <w:r>
        <w:t xml:space="preserve">, A., Castle, J. T., Cross, W., </w:t>
      </w:r>
      <w:proofErr w:type="spellStart"/>
      <w:r>
        <w:t>Roobol</w:t>
      </w:r>
      <w:proofErr w:type="spellEnd"/>
      <w:r>
        <w:t xml:space="preserve">, M. J., </w:t>
      </w:r>
      <w:r w:rsidR="00CD592B">
        <w:t>et al.</w:t>
      </w:r>
      <w:r>
        <w:t xml:space="preserve"> (2019). Best practice in active surveillance for men with prostate cancer: A Prostate Cancer UK consensus statement. </w:t>
      </w:r>
      <w:proofErr w:type="spellStart"/>
      <w:r>
        <w:t>Bju</w:t>
      </w:r>
      <w:proofErr w:type="spellEnd"/>
      <w:r>
        <w:t xml:space="preserve"> International, 124(1), 47–54. </w:t>
      </w:r>
      <w:hyperlink r:id="rId81" w:history="1">
        <w:r w:rsidR="006D6952" w:rsidRPr="0025538F">
          <w:rPr>
            <w:rStyle w:val="Hyperlink"/>
          </w:rPr>
          <w:t>https://doi.org/10.1111/bju.14707</w:t>
        </w:r>
      </w:hyperlink>
    </w:p>
    <w:p w14:paraId="2EEA3D54" w14:textId="77777777" w:rsidR="006D6952" w:rsidRDefault="006D6952" w:rsidP="006D6952">
      <w:pPr>
        <w:pStyle w:val="Body"/>
        <w:spacing w:after="0"/>
      </w:pPr>
    </w:p>
    <w:p w14:paraId="5A2D25A0" w14:textId="7E695D96" w:rsidR="00F56A4B" w:rsidRDefault="00F56A4B" w:rsidP="006D6952">
      <w:pPr>
        <w:pStyle w:val="Body"/>
        <w:spacing w:after="0"/>
      </w:pPr>
      <w:r>
        <w:t>Mitchell, P. S., Parkin, R. K., Kroh, E. M., Fritz, B. R., Wyman, S. K., Pogosova-</w:t>
      </w:r>
      <w:r w:rsidR="00CD592B">
        <w:t>Agadjanyan, et al.</w:t>
      </w:r>
      <w:r>
        <w:t xml:space="preserve"> (2008). Circulating microRNAs as stable blood-based markers for cancer detection. Proceedings of the National Academy of Sciences, 105(30), 10513–10518. </w:t>
      </w:r>
      <w:hyperlink r:id="rId82" w:history="1">
        <w:r w:rsidR="006D6952" w:rsidRPr="0025538F">
          <w:rPr>
            <w:rStyle w:val="Hyperlink"/>
          </w:rPr>
          <w:t>https://doi.org/10.1073/pnas.0804549105</w:t>
        </w:r>
      </w:hyperlink>
    </w:p>
    <w:p w14:paraId="6AE1C14E" w14:textId="77777777" w:rsidR="006D6952" w:rsidRDefault="006D6952" w:rsidP="006D6952">
      <w:pPr>
        <w:pStyle w:val="Body"/>
        <w:spacing w:after="0"/>
      </w:pPr>
    </w:p>
    <w:p w14:paraId="110960EA" w14:textId="67631938" w:rsidR="00F56A4B" w:rsidRDefault="00F56A4B" w:rsidP="006D6952">
      <w:pPr>
        <w:pStyle w:val="Body"/>
        <w:spacing w:after="0"/>
      </w:pPr>
      <w:r>
        <w:lastRenderedPageBreak/>
        <w:t xml:space="preserve">Moldovan, L., Batte, K. E., </w:t>
      </w:r>
      <w:proofErr w:type="spellStart"/>
      <w:r>
        <w:t>Trgovcich</w:t>
      </w:r>
      <w:proofErr w:type="spellEnd"/>
      <w:r>
        <w:t xml:space="preserve">, J., Wisler, J., Marsh, C. B., &amp; Piper, M. (2014). Methodological challenges in utilizing miRNAs as circulating biomarkers. Journal of Cellular and Molecular Medicine, 18(3), 371–390. </w:t>
      </w:r>
      <w:hyperlink r:id="rId83" w:history="1">
        <w:r w:rsidR="006D6952" w:rsidRPr="0025538F">
          <w:rPr>
            <w:rStyle w:val="Hyperlink"/>
          </w:rPr>
          <w:t>https://doi.org/10.1111/jcmm.12236</w:t>
        </w:r>
      </w:hyperlink>
    </w:p>
    <w:p w14:paraId="2465CD7A" w14:textId="77777777" w:rsidR="006D6952" w:rsidRDefault="006D6952" w:rsidP="006D6952">
      <w:pPr>
        <w:pStyle w:val="Body"/>
        <w:spacing w:after="0"/>
      </w:pPr>
    </w:p>
    <w:p w14:paraId="2FD7B92A" w14:textId="23E986D1" w:rsidR="00F56A4B" w:rsidRDefault="00F56A4B" w:rsidP="006D6952">
      <w:pPr>
        <w:pStyle w:val="Body"/>
        <w:spacing w:after="0"/>
      </w:pPr>
      <w:proofErr w:type="spellStart"/>
      <w:r>
        <w:t>Mowayeiz</w:t>
      </w:r>
      <w:proofErr w:type="spellEnd"/>
      <w:r>
        <w:t>, K. J., Hasan, N. A., Hussein, A. G., Al-</w:t>
      </w:r>
      <w:proofErr w:type="spellStart"/>
      <w:r>
        <w:t>Wasiti</w:t>
      </w:r>
      <w:proofErr w:type="spellEnd"/>
      <w:r>
        <w:t xml:space="preserve">, E. A. R., &amp; Al-Nasiri, U. S. (2019). The Serum Micro RNA-375 utility to diagnosis of men with prostate cancer in Iraq. Indian Journal of Public Health Research and Development, 10(7), 1425–1430. Embase. </w:t>
      </w:r>
      <w:hyperlink r:id="rId84" w:history="1">
        <w:r w:rsidR="006D6952" w:rsidRPr="0025538F">
          <w:rPr>
            <w:rStyle w:val="Hyperlink"/>
          </w:rPr>
          <w:t>https://doi.org/10.5958/0976-5506.2019.01791.1</w:t>
        </w:r>
      </w:hyperlink>
    </w:p>
    <w:p w14:paraId="1351913D" w14:textId="77777777" w:rsidR="006D6952" w:rsidRDefault="006D6952" w:rsidP="006D6952">
      <w:pPr>
        <w:pStyle w:val="Body"/>
        <w:spacing w:after="0"/>
      </w:pPr>
    </w:p>
    <w:p w14:paraId="01E75707" w14:textId="17DA3629" w:rsidR="00F56A4B" w:rsidRDefault="00F56A4B" w:rsidP="006D6952">
      <w:pPr>
        <w:pStyle w:val="Body"/>
        <w:spacing w:after="0"/>
      </w:pPr>
      <w:proofErr w:type="spellStart"/>
      <w:r w:rsidRPr="00F56A4B">
        <w:rPr>
          <w:lang w:val="fr-FR"/>
        </w:rPr>
        <w:t>Nitusca</w:t>
      </w:r>
      <w:proofErr w:type="spellEnd"/>
      <w:r w:rsidRPr="00F56A4B">
        <w:rPr>
          <w:lang w:val="fr-FR"/>
        </w:rPr>
        <w:t xml:space="preserve">, D., </w:t>
      </w:r>
      <w:proofErr w:type="spellStart"/>
      <w:r w:rsidRPr="00F56A4B">
        <w:rPr>
          <w:lang w:val="fr-FR"/>
        </w:rPr>
        <w:t>Marcu</w:t>
      </w:r>
      <w:proofErr w:type="spellEnd"/>
      <w:r w:rsidRPr="00F56A4B">
        <w:rPr>
          <w:lang w:val="fr-FR"/>
        </w:rPr>
        <w:t xml:space="preserve">, A., </w:t>
      </w:r>
      <w:proofErr w:type="spellStart"/>
      <w:r w:rsidRPr="00F56A4B">
        <w:rPr>
          <w:lang w:val="fr-FR"/>
        </w:rPr>
        <w:t>Seclaman</w:t>
      </w:r>
      <w:proofErr w:type="spellEnd"/>
      <w:r w:rsidRPr="00F56A4B">
        <w:rPr>
          <w:lang w:val="fr-FR"/>
        </w:rPr>
        <w:t xml:space="preserve">, E., </w:t>
      </w:r>
      <w:proofErr w:type="spellStart"/>
      <w:r w:rsidRPr="00F56A4B">
        <w:rPr>
          <w:lang w:val="fr-FR"/>
        </w:rPr>
        <w:t>Bardan</w:t>
      </w:r>
      <w:proofErr w:type="spellEnd"/>
      <w:r w:rsidRPr="00F56A4B">
        <w:rPr>
          <w:lang w:val="fr-FR"/>
        </w:rPr>
        <w:t xml:space="preserve">, R., </w:t>
      </w:r>
      <w:proofErr w:type="spellStart"/>
      <w:r w:rsidRPr="00F56A4B">
        <w:rPr>
          <w:lang w:val="fr-FR"/>
        </w:rPr>
        <w:t>Sirbu</w:t>
      </w:r>
      <w:proofErr w:type="spellEnd"/>
      <w:r w:rsidRPr="00F56A4B">
        <w:rPr>
          <w:lang w:val="fr-FR"/>
        </w:rPr>
        <w:t xml:space="preserve">, I. O., </w:t>
      </w:r>
      <w:proofErr w:type="spellStart"/>
      <w:r w:rsidRPr="00F56A4B">
        <w:rPr>
          <w:lang w:val="fr-FR"/>
        </w:rPr>
        <w:t>Balacescu</w:t>
      </w:r>
      <w:proofErr w:type="spellEnd"/>
      <w:r w:rsidRPr="00F56A4B">
        <w:rPr>
          <w:lang w:val="fr-FR"/>
        </w:rPr>
        <w:t xml:space="preserve">, O., </w:t>
      </w:r>
      <w:r w:rsidR="00CD592B">
        <w:rPr>
          <w:lang w:val="fr-FR"/>
        </w:rPr>
        <w:t xml:space="preserve">et al. </w:t>
      </w:r>
      <w:r w:rsidRPr="00F56A4B">
        <w:rPr>
          <w:lang w:val="fr-FR"/>
        </w:rPr>
        <w:t xml:space="preserve">(2022a). </w:t>
      </w:r>
      <w:r>
        <w:t xml:space="preserve">Circulating microRNA-141 as a Biomarker for Prostate Cancer: A Systematic Review and Meta-Analysis. Timisoara Med, 2022(2), Article 2. </w:t>
      </w:r>
      <w:hyperlink r:id="rId85" w:history="1">
        <w:r w:rsidR="006D6952" w:rsidRPr="0025538F">
          <w:rPr>
            <w:rStyle w:val="Hyperlink"/>
          </w:rPr>
          <w:t>https://doi.org/10.35995/tmj20220204</w:t>
        </w:r>
      </w:hyperlink>
    </w:p>
    <w:p w14:paraId="799CC763" w14:textId="77777777" w:rsidR="006D6952" w:rsidRDefault="006D6952" w:rsidP="006D6952">
      <w:pPr>
        <w:pStyle w:val="Body"/>
        <w:spacing w:after="0"/>
      </w:pPr>
    </w:p>
    <w:p w14:paraId="2302680F" w14:textId="67454FC9" w:rsidR="00F56A4B" w:rsidRDefault="00F56A4B" w:rsidP="006D6952">
      <w:pPr>
        <w:pStyle w:val="Body"/>
        <w:spacing w:after="0"/>
        <w:rPr>
          <w:lang w:val="fr-FR"/>
        </w:rPr>
      </w:pPr>
      <w:proofErr w:type="spellStart"/>
      <w:r w:rsidRPr="00CD592B">
        <w:rPr>
          <w:lang w:val="fr-FR"/>
        </w:rPr>
        <w:t>Nitusca</w:t>
      </w:r>
      <w:proofErr w:type="spellEnd"/>
      <w:r w:rsidRPr="00CD592B">
        <w:rPr>
          <w:lang w:val="fr-FR"/>
        </w:rPr>
        <w:t xml:space="preserve">, D., </w:t>
      </w:r>
      <w:proofErr w:type="spellStart"/>
      <w:r w:rsidRPr="00CD592B">
        <w:rPr>
          <w:lang w:val="fr-FR"/>
        </w:rPr>
        <w:t>Marcu</w:t>
      </w:r>
      <w:proofErr w:type="spellEnd"/>
      <w:r w:rsidRPr="00CD592B">
        <w:rPr>
          <w:lang w:val="fr-FR"/>
        </w:rPr>
        <w:t xml:space="preserve">, A., </w:t>
      </w:r>
      <w:proofErr w:type="spellStart"/>
      <w:r w:rsidRPr="00CD592B">
        <w:rPr>
          <w:lang w:val="fr-FR"/>
        </w:rPr>
        <w:t>Seclaman</w:t>
      </w:r>
      <w:proofErr w:type="spellEnd"/>
      <w:r w:rsidRPr="00CD592B">
        <w:rPr>
          <w:lang w:val="fr-FR"/>
        </w:rPr>
        <w:t xml:space="preserve">, E., </w:t>
      </w:r>
      <w:proofErr w:type="spellStart"/>
      <w:r w:rsidRPr="00CD592B">
        <w:rPr>
          <w:lang w:val="fr-FR"/>
        </w:rPr>
        <w:t>Bardan</w:t>
      </w:r>
      <w:proofErr w:type="spellEnd"/>
      <w:r w:rsidRPr="00CD592B">
        <w:rPr>
          <w:lang w:val="fr-FR"/>
        </w:rPr>
        <w:t xml:space="preserve">, R., </w:t>
      </w:r>
      <w:proofErr w:type="spellStart"/>
      <w:r w:rsidRPr="00CD592B">
        <w:rPr>
          <w:lang w:val="fr-FR"/>
        </w:rPr>
        <w:t>Sirbu</w:t>
      </w:r>
      <w:proofErr w:type="spellEnd"/>
      <w:r w:rsidRPr="00CD592B">
        <w:rPr>
          <w:lang w:val="fr-FR"/>
        </w:rPr>
        <w:t xml:space="preserve">, I. O., </w:t>
      </w:r>
      <w:proofErr w:type="spellStart"/>
      <w:r w:rsidRPr="00CD592B">
        <w:rPr>
          <w:lang w:val="fr-FR"/>
        </w:rPr>
        <w:t>Balacescu</w:t>
      </w:r>
      <w:proofErr w:type="spellEnd"/>
      <w:r w:rsidRPr="00CD592B">
        <w:rPr>
          <w:lang w:val="fr-FR"/>
        </w:rPr>
        <w:t xml:space="preserve">, O., </w:t>
      </w:r>
      <w:r w:rsidR="00CD592B" w:rsidRPr="00CD592B">
        <w:rPr>
          <w:lang w:val="fr-FR"/>
        </w:rPr>
        <w:t>et al.</w:t>
      </w:r>
      <w:r w:rsidR="00CD592B">
        <w:rPr>
          <w:lang w:val="fr-FR"/>
        </w:rPr>
        <w:t xml:space="preserve"> </w:t>
      </w:r>
      <w:r w:rsidRPr="00CD592B">
        <w:rPr>
          <w:lang w:val="fr-FR"/>
        </w:rPr>
        <w:t xml:space="preserve">(2022b). </w:t>
      </w:r>
      <w:r>
        <w:t xml:space="preserve">Diagnostic Value of microRNA-375 as Future Biomarker for Prostate Cancer Detection: A Meta-Analysis. </w:t>
      </w:r>
      <w:proofErr w:type="spellStart"/>
      <w:r w:rsidRPr="00F56A4B">
        <w:rPr>
          <w:lang w:val="fr-FR"/>
        </w:rPr>
        <w:t>Medicina</w:t>
      </w:r>
      <w:proofErr w:type="spellEnd"/>
      <w:r w:rsidRPr="00F56A4B">
        <w:rPr>
          <w:lang w:val="fr-FR"/>
        </w:rPr>
        <w:t xml:space="preserve">, 58(4), 529. </w:t>
      </w:r>
      <w:hyperlink r:id="rId86" w:history="1">
        <w:r w:rsidR="006D6952" w:rsidRPr="0025538F">
          <w:rPr>
            <w:rStyle w:val="Hyperlink"/>
            <w:lang w:val="fr-FR"/>
          </w:rPr>
          <w:t>https://doi.org/10.3390/medicina58040529</w:t>
        </w:r>
      </w:hyperlink>
    </w:p>
    <w:p w14:paraId="58BF6A1B" w14:textId="77777777" w:rsidR="006D6952" w:rsidRPr="00F56A4B" w:rsidRDefault="006D6952" w:rsidP="006D6952">
      <w:pPr>
        <w:pStyle w:val="Body"/>
        <w:spacing w:after="0"/>
        <w:rPr>
          <w:lang w:val="fr-FR"/>
        </w:rPr>
      </w:pPr>
    </w:p>
    <w:p w14:paraId="2E5EC9FD" w14:textId="2F3E98D8" w:rsidR="00F56A4B" w:rsidRDefault="00F56A4B" w:rsidP="006D6952">
      <w:pPr>
        <w:pStyle w:val="Body"/>
        <w:spacing w:after="0"/>
      </w:pPr>
      <w:proofErr w:type="spellStart"/>
      <w:r w:rsidRPr="00F56A4B">
        <w:rPr>
          <w:lang w:val="fr-FR"/>
        </w:rPr>
        <w:t>Nobrega</w:t>
      </w:r>
      <w:proofErr w:type="spellEnd"/>
      <w:r w:rsidRPr="00F56A4B">
        <w:rPr>
          <w:lang w:val="fr-FR"/>
        </w:rPr>
        <w:t xml:space="preserve">, M., Reis, M. B. dos, Souza, M. F. de, </w:t>
      </w:r>
      <w:proofErr w:type="spellStart"/>
      <w:r w:rsidRPr="00F56A4B">
        <w:rPr>
          <w:lang w:val="fr-FR"/>
        </w:rPr>
        <w:t>Furini</w:t>
      </w:r>
      <w:proofErr w:type="spellEnd"/>
      <w:r w:rsidRPr="00F56A4B">
        <w:rPr>
          <w:lang w:val="fr-FR"/>
        </w:rPr>
        <w:t xml:space="preserve">, H. H., Costa </w:t>
      </w:r>
      <w:proofErr w:type="spellStart"/>
      <w:r w:rsidRPr="00F56A4B">
        <w:rPr>
          <w:lang w:val="fr-FR"/>
        </w:rPr>
        <w:t>Brandão</w:t>
      </w:r>
      <w:proofErr w:type="spellEnd"/>
      <w:r w:rsidRPr="00F56A4B">
        <w:rPr>
          <w:lang w:val="fr-FR"/>
        </w:rPr>
        <w:t xml:space="preserve"> Berti, F., Souza, I. L. M., </w:t>
      </w:r>
      <w:r w:rsidR="006D6952">
        <w:rPr>
          <w:lang w:val="fr-FR"/>
        </w:rPr>
        <w:t>et al.</w:t>
      </w:r>
      <w:r w:rsidRPr="00F56A4B">
        <w:rPr>
          <w:lang w:val="fr-FR"/>
        </w:rPr>
        <w:t xml:space="preserve"> (2025). </w:t>
      </w:r>
      <w:r>
        <w:t>Comparative analysis of extracellular vesicles miRNAs (EV-miRNAs) and cell-free microRNAs (</w:t>
      </w:r>
      <w:proofErr w:type="spellStart"/>
      <w:r>
        <w:t>cf</w:t>
      </w:r>
      <w:proofErr w:type="spellEnd"/>
      <w:r>
        <w:t xml:space="preserve">-miRNAs) reveals that EV-miRNAs are more promising as diagnostic and prognostic biomarkers for prostate cancer. Gene, 939, 149186. </w:t>
      </w:r>
      <w:hyperlink r:id="rId87" w:history="1">
        <w:r w:rsidR="006D6952" w:rsidRPr="0025538F">
          <w:rPr>
            <w:rStyle w:val="Hyperlink"/>
          </w:rPr>
          <w:t>https://doi.org/10.1016/j.gene.2024.149186</w:t>
        </w:r>
      </w:hyperlink>
    </w:p>
    <w:p w14:paraId="117ECA29" w14:textId="77777777" w:rsidR="006D6952" w:rsidRDefault="006D6952" w:rsidP="006D6952">
      <w:pPr>
        <w:pStyle w:val="Body"/>
        <w:spacing w:after="0"/>
      </w:pPr>
    </w:p>
    <w:p w14:paraId="0577C4C8" w14:textId="1DA57FA8" w:rsidR="00F56A4B" w:rsidRDefault="00F56A4B" w:rsidP="006D6952">
      <w:pPr>
        <w:pStyle w:val="Body"/>
        <w:spacing w:after="0"/>
      </w:pPr>
      <w:r>
        <w:t xml:space="preserve">Nogueira, L., Corradi, R., &amp; Eastham, J. A. (2009). Prostatic specific antigen for prostate cancer detection. International </w:t>
      </w:r>
      <w:proofErr w:type="spellStart"/>
      <w:r>
        <w:t>Braz</w:t>
      </w:r>
      <w:proofErr w:type="spellEnd"/>
      <w:r>
        <w:t xml:space="preserve"> J </w:t>
      </w:r>
      <w:proofErr w:type="spellStart"/>
      <w:r>
        <w:t>Urol</w:t>
      </w:r>
      <w:proofErr w:type="spellEnd"/>
      <w:r>
        <w:t xml:space="preserve">: Official Journal of the Brazilian Society of Urology, 35(5), 521–529; discussion 530-532. </w:t>
      </w:r>
      <w:hyperlink r:id="rId88" w:history="1">
        <w:r w:rsidR="006D6952" w:rsidRPr="0025538F">
          <w:rPr>
            <w:rStyle w:val="Hyperlink"/>
          </w:rPr>
          <w:t>https://doi.org/10.1590/s1677-55382009000500003</w:t>
        </w:r>
      </w:hyperlink>
    </w:p>
    <w:p w14:paraId="7C182B35" w14:textId="77777777" w:rsidR="006D6952" w:rsidRDefault="006D6952" w:rsidP="006D6952">
      <w:pPr>
        <w:pStyle w:val="Body"/>
        <w:spacing w:after="0"/>
      </w:pPr>
    </w:p>
    <w:p w14:paraId="5EC4E646" w14:textId="16FC2376" w:rsidR="00F56A4B" w:rsidRDefault="00F56A4B" w:rsidP="006D6952">
      <w:pPr>
        <w:pStyle w:val="Body"/>
        <w:spacing w:after="0"/>
      </w:pPr>
      <w:r>
        <w:t xml:space="preserve">Osipov, I. D., </w:t>
      </w:r>
      <w:proofErr w:type="spellStart"/>
      <w:r>
        <w:t>Zaporozhchenko</w:t>
      </w:r>
      <w:proofErr w:type="spellEnd"/>
      <w:r>
        <w:t xml:space="preserve">, I. A., Bondar, A. A., Zaripov, M. M., </w:t>
      </w:r>
      <w:proofErr w:type="spellStart"/>
      <w:r>
        <w:t>Voytsitskiy</w:t>
      </w:r>
      <w:proofErr w:type="spellEnd"/>
      <w:r>
        <w:t>, V. E., Vlassov</w:t>
      </w:r>
      <w:r w:rsidR="006D6952">
        <w:t>,</w:t>
      </w:r>
      <w:r>
        <w:t xml:space="preserve"> V., </w:t>
      </w:r>
      <w:r w:rsidR="00CD592B">
        <w:t>et al.</w:t>
      </w:r>
      <w:r>
        <w:t xml:space="preserve"> (2016). Cell-Free miRNA-141 and miRNA-205 as Prostate Cancer Biomarkers. Advances in Experimental Medicine and Biology, 924, 9–12. </w:t>
      </w:r>
      <w:hyperlink r:id="rId89" w:history="1">
        <w:r w:rsidR="006D6952" w:rsidRPr="0025538F">
          <w:rPr>
            <w:rStyle w:val="Hyperlink"/>
          </w:rPr>
          <w:t>https://doi.org/10.1007/978-3-319-42044-8_2</w:t>
        </w:r>
      </w:hyperlink>
    </w:p>
    <w:p w14:paraId="42C2FF6B" w14:textId="4E328007" w:rsidR="00F56A4B" w:rsidRDefault="00F56A4B" w:rsidP="006D6952">
      <w:pPr>
        <w:pStyle w:val="Body"/>
        <w:spacing w:after="0"/>
      </w:pPr>
      <w:r>
        <w:t xml:space="preserve">Page, M. J., McKenzie, J. E., Bossuyt, P. M., Boutron, I., Hoffmann, T. C., Mulrow, C. D., </w:t>
      </w:r>
      <w:r w:rsidR="00CD592B">
        <w:t>et al.</w:t>
      </w:r>
      <w:r>
        <w:t xml:space="preserve"> (2021). The PRISMA 2020 statement: An updated guideline for reporting systematic reviews. PLOS Medicine, 18(3), e1003583. </w:t>
      </w:r>
      <w:hyperlink r:id="rId90" w:history="1">
        <w:r w:rsidR="006D6952" w:rsidRPr="0025538F">
          <w:rPr>
            <w:rStyle w:val="Hyperlink"/>
          </w:rPr>
          <w:t>https://doi.org/10.1371/journal.pmed.1003583</w:t>
        </w:r>
      </w:hyperlink>
    </w:p>
    <w:p w14:paraId="4C9A073A" w14:textId="77777777" w:rsidR="006D6952" w:rsidRDefault="006D6952" w:rsidP="006D6952">
      <w:pPr>
        <w:pStyle w:val="Body"/>
        <w:spacing w:after="0"/>
      </w:pPr>
    </w:p>
    <w:p w14:paraId="4DCD8C9A" w14:textId="5E87CDEB" w:rsidR="00F56A4B" w:rsidRDefault="00F56A4B" w:rsidP="006D6952">
      <w:pPr>
        <w:pStyle w:val="Body"/>
        <w:spacing w:after="0"/>
      </w:pPr>
      <w:r>
        <w:t xml:space="preserve">Poppel, H. V., Roobol, M. J., Chapple, C. R., Catto, J. W. F., </w:t>
      </w:r>
      <w:proofErr w:type="spellStart"/>
      <w:r>
        <w:t>N’Dow</w:t>
      </w:r>
      <w:proofErr w:type="spellEnd"/>
      <w:r>
        <w:t xml:space="preserve">, J., </w:t>
      </w:r>
      <w:proofErr w:type="spellStart"/>
      <w:r>
        <w:t>Sønksen</w:t>
      </w:r>
      <w:proofErr w:type="spellEnd"/>
      <w:r>
        <w:t xml:space="preserve">, J., </w:t>
      </w:r>
      <w:r w:rsidR="005A7FA1">
        <w:t xml:space="preserve">et al. </w:t>
      </w:r>
      <w:r>
        <w:t xml:space="preserve">(2021). Prostate-specific Antigen Testing as Part of a Risk-Adapted Early Detection Strategy for Prostate Cancer: European Association of Urology Position and Recommendations for 2021. European Urology, 80(6), 703–711. </w:t>
      </w:r>
      <w:hyperlink r:id="rId91" w:history="1">
        <w:r w:rsidR="006D6952" w:rsidRPr="0025538F">
          <w:rPr>
            <w:rStyle w:val="Hyperlink"/>
          </w:rPr>
          <w:t>https://doi.org/10.1016/j.eururo.2021.07.024</w:t>
        </w:r>
      </w:hyperlink>
    </w:p>
    <w:p w14:paraId="5D473FA5" w14:textId="77777777" w:rsidR="006D6952" w:rsidRDefault="006D6952" w:rsidP="006D6952">
      <w:pPr>
        <w:pStyle w:val="Body"/>
        <w:spacing w:after="0"/>
      </w:pPr>
    </w:p>
    <w:p w14:paraId="6197DCE4" w14:textId="308D2C4B" w:rsidR="00F56A4B" w:rsidRDefault="00F56A4B" w:rsidP="006D6952">
      <w:pPr>
        <w:pStyle w:val="Body"/>
        <w:spacing w:after="0"/>
      </w:pPr>
      <w:r>
        <w:t xml:space="preserve">Porzycki, P., Ciszkowicz, E., </w:t>
      </w:r>
      <w:proofErr w:type="spellStart"/>
      <w:r>
        <w:t>Semik</w:t>
      </w:r>
      <w:proofErr w:type="spellEnd"/>
      <w:r>
        <w:t xml:space="preserve">, M., &amp; Tyrka, M. (2018). Combination of three miRNA (miR-141, miR-21, and miR-375) as potential diagnostic tool for prostate cancer recognition. International Urology and Nephrology, 50(9), 1619–1626. </w:t>
      </w:r>
      <w:hyperlink r:id="rId92" w:history="1">
        <w:r w:rsidR="006D6952" w:rsidRPr="0025538F">
          <w:rPr>
            <w:rStyle w:val="Hyperlink"/>
          </w:rPr>
          <w:t>https://doi.org/10.1007/s11255-018-1938-2</w:t>
        </w:r>
      </w:hyperlink>
    </w:p>
    <w:p w14:paraId="44E67E8D" w14:textId="77777777" w:rsidR="006D6952" w:rsidRDefault="006D6952" w:rsidP="006D6952">
      <w:pPr>
        <w:pStyle w:val="Body"/>
        <w:spacing w:after="0"/>
      </w:pPr>
    </w:p>
    <w:p w14:paraId="1A01F4B7" w14:textId="52DA1C0E" w:rsidR="00F56A4B" w:rsidRDefault="00F56A4B" w:rsidP="006D6952">
      <w:pPr>
        <w:pStyle w:val="Body"/>
        <w:spacing w:after="0"/>
      </w:pPr>
      <w:r>
        <w:t xml:space="preserve">Reitsma, J. B., Glas, A. S., </w:t>
      </w:r>
      <w:proofErr w:type="spellStart"/>
      <w:r>
        <w:t>Rutjes</w:t>
      </w:r>
      <w:proofErr w:type="spellEnd"/>
      <w:r>
        <w:t xml:space="preserve">, A. W. S., Scholten, R. J. P. M., Bossuyt, P. M., &amp; </w:t>
      </w:r>
      <w:proofErr w:type="spellStart"/>
      <w:r>
        <w:t>Zwinderman</w:t>
      </w:r>
      <w:proofErr w:type="spellEnd"/>
      <w:r>
        <w:t xml:space="preserve">, A. H. (2005). Bivariate analysis of sensitivity and specificity produces informative summary measures in diagnostic reviews. Journal of Clinical Epidemiology, 58(10), 982–990. </w:t>
      </w:r>
      <w:hyperlink r:id="rId93" w:history="1">
        <w:r w:rsidR="006D6952" w:rsidRPr="0025538F">
          <w:rPr>
            <w:rStyle w:val="Hyperlink"/>
          </w:rPr>
          <w:t>https://doi.org/10.1016/j.jclinepi.2005.02.022</w:t>
        </w:r>
      </w:hyperlink>
    </w:p>
    <w:p w14:paraId="5F96A75C" w14:textId="77777777" w:rsidR="006D6952" w:rsidRDefault="006D6952" w:rsidP="006D6952">
      <w:pPr>
        <w:pStyle w:val="Body"/>
        <w:spacing w:after="0"/>
      </w:pPr>
    </w:p>
    <w:p w14:paraId="5815DACF" w14:textId="4B8A72DA" w:rsidR="00F56A4B" w:rsidRDefault="00F56A4B" w:rsidP="006D6952">
      <w:pPr>
        <w:pStyle w:val="Body"/>
        <w:spacing w:after="0"/>
      </w:pPr>
      <w:proofErr w:type="spellStart"/>
      <w:r>
        <w:t>RevMan</w:t>
      </w:r>
      <w:proofErr w:type="spellEnd"/>
      <w:r>
        <w:t>.</w:t>
      </w:r>
      <w:r w:rsidR="00E84D7D">
        <w:t xml:space="preserve"> (2024).</w:t>
      </w:r>
      <w:r>
        <w:t xml:space="preserve"> Review Manager Version 5.3. Copenhagen: The Nordic Cochrane Centre, The Cochrane Collaboration). Retrieved July 7, 2025, from </w:t>
      </w:r>
      <w:hyperlink r:id="rId94" w:history="1">
        <w:r w:rsidR="006D6952" w:rsidRPr="0025538F">
          <w:rPr>
            <w:rStyle w:val="Hyperlink"/>
          </w:rPr>
          <w:t>https://www.cochrane.org/authors/handbooks-and-manuals/style-manual/references/reference-types/software?utm_source=chatgpt.com</w:t>
        </w:r>
      </w:hyperlink>
    </w:p>
    <w:p w14:paraId="3D705A46" w14:textId="77777777" w:rsidR="006D6952" w:rsidRDefault="006D6952" w:rsidP="006D6952">
      <w:pPr>
        <w:pStyle w:val="Body"/>
        <w:spacing w:after="0"/>
      </w:pPr>
    </w:p>
    <w:p w14:paraId="5978183B" w14:textId="688023CF" w:rsidR="00F56A4B" w:rsidRDefault="00F56A4B" w:rsidP="006D6952">
      <w:pPr>
        <w:pStyle w:val="Body"/>
        <w:spacing w:after="0"/>
      </w:pPr>
      <w:r>
        <w:t xml:space="preserve">Rosario, D. J., Lane, J. A., Metcalfe, C., Donovan, J. L., Doble, A., Goodwin, L., </w:t>
      </w:r>
      <w:r w:rsidR="005A7FA1">
        <w:t>et al.</w:t>
      </w:r>
      <w:r>
        <w:t xml:space="preserve"> (2012). Short term outcomes of prostate biopsy in men tested for cancer by prostate specific antigen: Prospective evaluation within </w:t>
      </w:r>
      <w:proofErr w:type="spellStart"/>
      <w:r>
        <w:t>ProtecT</w:t>
      </w:r>
      <w:proofErr w:type="spellEnd"/>
      <w:r>
        <w:t xml:space="preserve"> study. The BMJ, 344, d7894. </w:t>
      </w:r>
      <w:hyperlink r:id="rId95" w:history="1">
        <w:r w:rsidR="006D6952" w:rsidRPr="0025538F">
          <w:rPr>
            <w:rStyle w:val="Hyperlink"/>
          </w:rPr>
          <w:t>https://doi.org/10.1136/bmj.d7894</w:t>
        </w:r>
      </w:hyperlink>
    </w:p>
    <w:p w14:paraId="6F14E25A" w14:textId="77777777" w:rsidR="006D6952" w:rsidRDefault="006D6952" w:rsidP="006D6952">
      <w:pPr>
        <w:pStyle w:val="Body"/>
        <w:spacing w:after="0"/>
      </w:pPr>
    </w:p>
    <w:p w14:paraId="6F4671E3" w14:textId="557D4C73" w:rsidR="00F56A4B" w:rsidRDefault="00F56A4B" w:rsidP="006D6952">
      <w:pPr>
        <w:pStyle w:val="Body"/>
        <w:spacing w:after="0"/>
      </w:pPr>
      <w:proofErr w:type="spellStart"/>
      <w:r>
        <w:t>Stuopelyte</w:t>
      </w:r>
      <w:proofErr w:type="spellEnd"/>
      <w:r>
        <w:t xml:space="preserve">, K., </w:t>
      </w:r>
      <w:proofErr w:type="spellStart"/>
      <w:r>
        <w:t>Daniunaite</w:t>
      </w:r>
      <w:proofErr w:type="spellEnd"/>
      <w:r>
        <w:t xml:space="preserve">, K., Bakavicius, A., </w:t>
      </w:r>
      <w:proofErr w:type="spellStart"/>
      <w:r>
        <w:t>Lazutka</w:t>
      </w:r>
      <w:proofErr w:type="spellEnd"/>
      <w:r>
        <w:t xml:space="preserve">, J. R., Jankevicius, F., &amp; </w:t>
      </w:r>
      <w:proofErr w:type="spellStart"/>
      <w:r>
        <w:t>Jarmalaite</w:t>
      </w:r>
      <w:proofErr w:type="spellEnd"/>
      <w:r>
        <w:t xml:space="preserve">, S. (2016). The utility of urine-circulating miRNAs for detection of prostate cancer. British Journal of Cancer, 115(6), 707–715. </w:t>
      </w:r>
      <w:hyperlink r:id="rId96" w:history="1">
        <w:r w:rsidR="006D6952" w:rsidRPr="0025538F">
          <w:rPr>
            <w:rStyle w:val="Hyperlink"/>
          </w:rPr>
          <w:t>https://doi.org/10.1038/bjc.2016.233</w:t>
        </w:r>
      </w:hyperlink>
    </w:p>
    <w:p w14:paraId="7EAF8116" w14:textId="77777777" w:rsidR="006D6952" w:rsidRDefault="006D6952" w:rsidP="006D6952">
      <w:pPr>
        <w:pStyle w:val="Body"/>
        <w:spacing w:after="0"/>
      </w:pPr>
    </w:p>
    <w:p w14:paraId="7C8C053A" w14:textId="44B9429C" w:rsidR="00F56A4B" w:rsidRDefault="00F56A4B" w:rsidP="006D6952">
      <w:pPr>
        <w:pStyle w:val="Body"/>
        <w:spacing w:after="0"/>
      </w:pPr>
      <w:proofErr w:type="spellStart"/>
      <w:r>
        <w:t>Stuopelytė</w:t>
      </w:r>
      <w:proofErr w:type="spellEnd"/>
      <w:r>
        <w:t xml:space="preserve">, K., </w:t>
      </w:r>
      <w:proofErr w:type="spellStart"/>
      <w:r>
        <w:t>Daniūnaitė</w:t>
      </w:r>
      <w:proofErr w:type="spellEnd"/>
      <w:r>
        <w:t xml:space="preserve">, K., Jankevičius, F., &amp; </w:t>
      </w:r>
      <w:proofErr w:type="spellStart"/>
      <w:r>
        <w:t>Jarmalaitė</w:t>
      </w:r>
      <w:proofErr w:type="spellEnd"/>
      <w:r>
        <w:t xml:space="preserve">, S. (2016). Detection of miRNAs in urine of prostate cancer patients. Medicina (Kaunas, Lithuania), 52(2), 116–124. </w:t>
      </w:r>
      <w:hyperlink r:id="rId97" w:history="1">
        <w:r w:rsidR="006D6952" w:rsidRPr="0025538F">
          <w:rPr>
            <w:rStyle w:val="Hyperlink"/>
          </w:rPr>
          <w:t>https://doi.org/10.1016/j.medici.2016.02.007</w:t>
        </w:r>
      </w:hyperlink>
    </w:p>
    <w:p w14:paraId="05DCADB1" w14:textId="77777777" w:rsidR="006D6952" w:rsidRDefault="006D6952" w:rsidP="006D6952">
      <w:pPr>
        <w:pStyle w:val="Body"/>
        <w:spacing w:after="0"/>
      </w:pPr>
    </w:p>
    <w:p w14:paraId="22B17457" w14:textId="238C28D1" w:rsidR="00F56A4B" w:rsidRDefault="00F56A4B" w:rsidP="006D6952">
      <w:pPr>
        <w:pStyle w:val="Body"/>
        <w:spacing w:after="0"/>
      </w:pPr>
      <w:r w:rsidRPr="005A7FA1">
        <w:rPr>
          <w:lang w:val="fr-FR"/>
        </w:rPr>
        <w:t xml:space="preserve">Wei, J. T., </w:t>
      </w:r>
      <w:proofErr w:type="spellStart"/>
      <w:r w:rsidRPr="005A7FA1">
        <w:rPr>
          <w:lang w:val="fr-FR"/>
        </w:rPr>
        <w:t>Barocas</w:t>
      </w:r>
      <w:proofErr w:type="spellEnd"/>
      <w:r w:rsidRPr="005A7FA1">
        <w:rPr>
          <w:lang w:val="fr-FR"/>
        </w:rPr>
        <w:t xml:space="preserve">, D., Carlsson, S., </w:t>
      </w:r>
      <w:proofErr w:type="spellStart"/>
      <w:r w:rsidRPr="005A7FA1">
        <w:rPr>
          <w:lang w:val="fr-FR"/>
        </w:rPr>
        <w:t>Coakley</w:t>
      </w:r>
      <w:proofErr w:type="spellEnd"/>
      <w:r w:rsidRPr="005A7FA1">
        <w:rPr>
          <w:lang w:val="fr-FR"/>
        </w:rPr>
        <w:t xml:space="preserve">, F., </w:t>
      </w:r>
      <w:proofErr w:type="spellStart"/>
      <w:r w:rsidRPr="005A7FA1">
        <w:rPr>
          <w:lang w:val="fr-FR"/>
        </w:rPr>
        <w:t>Eggener</w:t>
      </w:r>
      <w:proofErr w:type="spellEnd"/>
      <w:r w:rsidRPr="005A7FA1">
        <w:rPr>
          <w:lang w:val="fr-FR"/>
        </w:rPr>
        <w:t xml:space="preserve">, S., </w:t>
      </w:r>
      <w:proofErr w:type="spellStart"/>
      <w:r w:rsidRPr="005A7FA1">
        <w:rPr>
          <w:lang w:val="fr-FR"/>
        </w:rPr>
        <w:t>Etzioni</w:t>
      </w:r>
      <w:proofErr w:type="spellEnd"/>
      <w:r w:rsidRPr="005A7FA1">
        <w:rPr>
          <w:lang w:val="fr-FR"/>
        </w:rPr>
        <w:t xml:space="preserve">, R., </w:t>
      </w:r>
      <w:r w:rsidR="005A7FA1" w:rsidRPr="005A7FA1">
        <w:rPr>
          <w:lang w:val="fr-FR"/>
        </w:rPr>
        <w:t>et al.</w:t>
      </w:r>
      <w:r w:rsidRPr="005A7FA1">
        <w:rPr>
          <w:lang w:val="fr-FR"/>
        </w:rPr>
        <w:t xml:space="preserve"> </w:t>
      </w:r>
      <w:r>
        <w:t xml:space="preserve">(2023). Early Detection of Prostate Cancer: AUA/SUO Guideline Part I: Prostate Cancer Screening. The Journal of Urology, 210(1), 46–53. </w:t>
      </w:r>
      <w:hyperlink r:id="rId98" w:history="1">
        <w:r w:rsidR="006D6952" w:rsidRPr="0025538F">
          <w:rPr>
            <w:rStyle w:val="Hyperlink"/>
          </w:rPr>
          <w:t>https://doi.org/10.1097/JU.0000000000003491</w:t>
        </w:r>
      </w:hyperlink>
    </w:p>
    <w:p w14:paraId="716E9FEE" w14:textId="77777777" w:rsidR="006D6952" w:rsidRDefault="006D6952" w:rsidP="006D6952">
      <w:pPr>
        <w:pStyle w:val="Body"/>
        <w:spacing w:after="0"/>
      </w:pPr>
    </w:p>
    <w:p w14:paraId="0CC8E13C" w14:textId="5FCEC780" w:rsidR="00F56A4B" w:rsidRDefault="00F56A4B" w:rsidP="006D6952">
      <w:pPr>
        <w:pStyle w:val="Body"/>
        <w:spacing w:after="0"/>
      </w:pPr>
      <w:r>
        <w:t xml:space="preserve">Whiting, P. F., </w:t>
      </w:r>
      <w:proofErr w:type="spellStart"/>
      <w:r>
        <w:t>Rutjes</w:t>
      </w:r>
      <w:proofErr w:type="spellEnd"/>
      <w:r>
        <w:t xml:space="preserve">, A. W. S., Westwood, M. E., Mallett, S., Deeks, J. J., Reitsma, J. B., Leeflang, M. M. G., </w:t>
      </w:r>
      <w:r w:rsidR="005A7FA1">
        <w:t>et al</w:t>
      </w:r>
      <w:r>
        <w:t xml:space="preserve">. (2011). QUADAS-2: A revised tool for the quality assessment of diagnostic accuracy studies. Annals of Internal Medicine, 155(8), 529–536. </w:t>
      </w:r>
      <w:hyperlink r:id="rId99" w:history="1">
        <w:r w:rsidR="006D6952" w:rsidRPr="0025538F">
          <w:rPr>
            <w:rStyle w:val="Hyperlink"/>
          </w:rPr>
          <w:t>https://doi.org/10.7326/0003-4819-155-8-201110180-00009</w:t>
        </w:r>
      </w:hyperlink>
    </w:p>
    <w:p w14:paraId="6BC181A0" w14:textId="77777777" w:rsidR="006D6952" w:rsidRDefault="006D6952" w:rsidP="006D6952">
      <w:pPr>
        <w:pStyle w:val="Body"/>
        <w:spacing w:after="0"/>
      </w:pPr>
    </w:p>
    <w:p w14:paraId="1175740C" w14:textId="16755646" w:rsidR="00F56A4B" w:rsidRDefault="00F56A4B" w:rsidP="006D6952">
      <w:pPr>
        <w:pStyle w:val="Body"/>
        <w:spacing w:after="0"/>
      </w:pPr>
      <w:r>
        <w:t xml:space="preserve">Yaman Agaoglu, F., </w:t>
      </w:r>
      <w:proofErr w:type="spellStart"/>
      <w:r>
        <w:t>Kovancilar</w:t>
      </w:r>
      <w:proofErr w:type="spellEnd"/>
      <w:r>
        <w:t xml:space="preserve">, M., Dizdar, Y., </w:t>
      </w:r>
      <w:proofErr w:type="spellStart"/>
      <w:r>
        <w:t>Darendeliler</w:t>
      </w:r>
      <w:proofErr w:type="spellEnd"/>
      <w:r>
        <w:t xml:space="preserve">, E., </w:t>
      </w:r>
      <w:proofErr w:type="spellStart"/>
      <w:r>
        <w:t>Holdenrieder</w:t>
      </w:r>
      <w:proofErr w:type="spellEnd"/>
      <w:r>
        <w:t xml:space="preserve">, S., Dalay, N., </w:t>
      </w:r>
      <w:r w:rsidR="005A7FA1">
        <w:t>et al.</w:t>
      </w:r>
      <w:r>
        <w:t xml:space="preserve"> (2011). Investigation of miR-21, miR-141, and miR-221 in blood circulation of patients with prostate cancer. </w:t>
      </w:r>
      <w:proofErr w:type="spellStart"/>
      <w:r>
        <w:t>Tumour</w:t>
      </w:r>
      <w:proofErr w:type="spellEnd"/>
      <w:r>
        <w:t xml:space="preserve"> Biology: The Journal of the International Society for </w:t>
      </w:r>
      <w:proofErr w:type="spellStart"/>
      <w:r>
        <w:t>Oncodevelopmental</w:t>
      </w:r>
      <w:proofErr w:type="spellEnd"/>
      <w:r>
        <w:t xml:space="preserve"> Biology and Medicine, 32(3), 583–588. </w:t>
      </w:r>
      <w:hyperlink r:id="rId100" w:history="1">
        <w:r w:rsidR="006D6952" w:rsidRPr="0025538F">
          <w:rPr>
            <w:rStyle w:val="Hyperlink"/>
          </w:rPr>
          <w:t>https://doi.org/10.1007/s13277-011-0154-9</w:t>
        </w:r>
      </w:hyperlink>
    </w:p>
    <w:p w14:paraId="6175909B" w14:textId="77777777" w:rsidR="006D6952" w:rsidRDefault="006D6952" w:rsidP="006D6952">
      <w:pPr>
        <w:pStyle w:val="Body"/>
        <w:spacing w:after="0"/>
      </w:pPr>
    </w:p>
    <w:p w14:paraId="61F19B24" w14:textId="714D5517" w:rsidR="00F56A4B" w:rsidRDefault="00F56A4B" w:rsidP="006D6952">
      <w:pPr>
        <w:pStyle w:val="Body"/>
        <w:spacing w:after="0"/>
      </w:pPr>
      <w:r>
        <w:t xml:space="preserve">Yang, B., Liu, Z., Ning, H., Zhang, K., Pan, D., Ding, K., </w:t>
      </w:r>
      <w:r w:rsidR="005A7FA1">
        <w:t>et al.</w:t>
      </w:r>
      <w:r>
        <w:t xml:space="preserve"> (2016). MicroRNA-21 in peripheral blood mononuclear cells as a novel biomarker in the diagnosis and prognosis of prostate cancer. Cancer Biomarkers: Section A of Disease Markers, 17(2), 223–230. </w:t>
      </w:r>
      <w:hyperlink r:id="rId101" w:history="1">
        <w:r w:rsidR="006D6952" w:rsidRPr="0025538F">
          <w:rPr>
            <w:rStyle w:val="Hyperlink"/>
          </w:rPr>
          <w:t>https://doi.org/10.3233/CBM-160634</w:t>
        </w:r>
      </w:hyperlink>
    </w:p>
    <w:p w14:paraId="6167CDC1" w14:textId="77777777" w:rsidR="006D6952" w:rsidRDefault="006D6952" w:rsidP="006D6952">
      <w:pPr>
        <w:pStyle w:val="Body"/>
        <w:spacing w:after="0"/>
      </w:pPr>
    </w:p>
    <w:p w14:paraId="0CD9A96B" w14:textId="2DB40C10" w:rsidR="00F56A4B" w:rsidRDefault="00F56A4B" w:rsidP="006D6952">
      <w:pPr>
        <w:pStyle w:val="Body"/>
        <w:spacing w:after="0"/>
      </w:pPr>
      <w:r>
        <w:t xml:space="preserve">Ye, Y., Yuan, X.-H., Wang, J.-J., Wang, Y.-C., &amp; Li, S.-L. (2020). The diagnostic value of miRNA-141 in prostate cancer: A systematic review and PRISMA-compliant meta-analysis. Medicine, 99(22), e19993. </w:t>
      </w:r>
      <w:hyperlink r:id="rId102" w:history="1">
        <w:r w:rsidR="006D6952" w:rsidRPr="0025538F">
          <w:rPr>
            <w:rStyle w:val="Hyperlink"/>
          </w:rPr>
          <w:t>https://doi.org/10.1097/MD.0000000000019993</w:t>
        </w:r>
      </w:hyperlink>
    </w:p>
    <w:p w14:paraId="52756E9E" w14:textId="77777777" w:rsidR="006D6952" w:rsidRDefault="006D6952" w:rsidP="006D6952">
      <w:pPr>
        <w:pStyle w:val="Body"/>
        <w:spacing w:after="0"/>
      </w:pPr>
    </w:p>
    <w:p w14:paraId="15453295" w14:textId="3C9B7895" w:rsidR="00F56A4B" w:rsidRDefault="00F56A4B" w:rsidP="006D6952">
      <w:pPr>
        <w:pStyle w:val="Body"/>
        <w:spacing w:after="0"/>
      </w:pPr>
      <w:r>
        <w:t xml:space="preserve">Yin, C., Fang, C., Weng, H., Yuan, C., &amp; Wang, F. (2016). Circulating microRNAs as novel biomarkers in the diagnosis of prostate cancer: A systematic review and meta-analysis. International Urology and Nephrology, 48(7), 1087–1095. </w:t>
      </w:r>
      <w:hyperlink r:id="rId103" w:history="1">
        <w:r w:rsidR="006D6952" w:rsidRPr="0025538F">
          <w:rPr>
            <w:rStyle w:val="Hyperlink"/>
          </w:rPr>
          <w:t>https://doi.org/10.1007/s11255-016-1281-4</w:t>
        </w:r>
      </w:hyperlink>
    </w:p>
    <w:p w14:paraId="1BCF1632" w14:textId="77777777" w:rsidR="006D6952" w:rsidRDefault="006D6952" w:rsidP="006D6952">
      <w:pPr>
        <w:pStyle w:val="Body"/>
        <w:spacing w:after="0"/>
      </w:pPr>
    </w:p>
    <w:p w14:paraId="1AB24743" w14:textId="28D4A9EE" w:rsidR="00F56A4B" w:rsidRDefault="00F56A4B" w:rsidP="006D6952">
      <w:pPr>
        <w:pStyle w:val="Body"/>
        <w:spacing w:after="0"/>
      </w:pPr>
      <w:r>
        <w:t xml:space="preserve">Zabegina, L., Nazarova, I., Nikiforova, N., </w:t>
      </w:r>
      <w:proofErr w:type="spellStart"/>
      <w:r>
        <w:t>Slyusarenko</w:t>
      </w:r>
      <w:proofErr w:type="spellEnd"/>
      <w:r>
        <w:t xml:space="preserve">, M., </w:t>
      </w:r>
      <w:proofErr w:type="spellStart"/>
      <w:r>
        <w:t>Sidina</w:t>
      </w:r>
      <w:proofErr w:type="spellEnd"/>
      <w:r>
        <w:t xml:space="preserve">, E., Knyazeva, M., </w:t>
      </w:r>
      <w:r w:rsidR="005A7FA1">
        <w:t>et al.</w:t>
      </w:r>
      <w:r>
        <w:t xml:space="preserve"> (2021). A New Approach for Prostate Cancer Diagnosis by miRNA Profiling of Prostate-Derived Plasma Small Extracellular Vesicles. Cells, 10(9), 2372. </w:t>
      </w:r>
      <w:hyperlink r:id="rId104" w:history="1">
        <w:r w:rsidR="006D6952" w:rsidRPr="0025538F">
          <w:rPr>
            <w:rStyle w:val="Hyperlink"/>
          </w:rPr>
          <w:t>https://doi.org/10.3390/cells10092372</w:t>
        </w:r>
      </w:hyperlink>
    </w:p>
    <w:p w14:paraId="295592EC" w14:textId="77777777" w:rsidR="006D6952" w:rsidRDefault="006D6952" w:rsidP="006D6952">
      <w:pPr>
        <w:pStyle w:val="Body"/>
        <w:spacing w:after="0"/>
      </w:pPr>
    </w:p>
    <w:p w14:paraId="1AE6FF30" w14:textId="47F424AD" w:rsidR="006D6952" w:rsidRDefault="00F56A4B" w:rsidP="006D6952">
      <w:pPr>
        <w:pStyle w:val="Body"/>
        <w:spacing w:after="0"/>
        <w:rPr>
          <w:lang w:val="fr-FR"/>
        </w:rPr>
      </w:pPr>
      <w:r>
        <w:t xml:space="preserve">Zhang, W. T., Zhang, G. X., Zhao, R. Z., &amp; Gao, S. S. (2022). The potential diagnostic accuracy of circulating microRNAs for prostate cancer: A meta-analysis. </w:t>
      </w:r>
      <w:r w:rsidRPr="00F56A4B">
        <w:rPr>
          <w:lang w:val="fr-FR"/>
        </w:rPr>
        <w:t xml:space="preserve">Actas </w:t>
      </w:r>
      <w:proofErr w:type="spellStart"/>
      <w:r w:rsidRPr="00F56A4B">
        <w:rPr>
          <w:lang w:val="fr-FR"/>
        </w:rPr>
        <w:t>Urologicas</w:t>
      </w:r>
      <w:proofErr w:type="spellEnd"/>
      <w:r w:rsidRPr="00F56A4B">
        <w:rPr>
          <w:lang w:val="fr-FR"/>
        </w:rPr>
        <w:t xml:space="preserve"> </w:t>
      </w:r>
      <w:proofErr w:type="spellStart"/>
      <w:r w:rsidRPr="00F56A4B">
        <w:rPr>
          <w:lang w:val="fr-FR"/>
        </w:rPr>
        <w:t>Espanolas</w:t>
      </w:r>
      <w:proofErr w:type="spellEnd"/>
      <w:r w:rsidRPr="00F56A4B">
        <w:rPr>
          <w:lang w:val="fr-FR"/>
        </w:rPr>
        <w:t xml:space="preserve">, 46(3), 138–149. </w:t>
      </w:r>
      <w:hyperlink r:id="rId105" w:history="1">
        <w:r w:rsidR="006D6952" w:rsidRPr="0025538F">
          <w:rPr>
            <w:rStyle w:val="Hyperlink"/>
            <w:lang w:val="fr-FR"/>
          </w:rPr>
          <w:t>https://doi.org/10.1016/j.acuroe.2021.05.005</w:t>
        </w:r>
      </w:hyperlink>
      <w:r w:rsidR="006D6952">
        <w:rPr>
          <w:lang w:val="fr-FR"/>
        </w:rPr>
        <w:t>.</w:t>
      </w:r>
    </w:p>
    <w:p w14:paraId="6008CABF" w14:textId="77777777" w:rsidR="006D6952" w:rsidRPr="00F56A4B" w:rsidRDefault="006D6952" w:rsidP="006D6952">
      <w:pPr>
        <w:pStyle w:val="Body"/>
        <w:spacing w:after="0"/>
        <w:rPr>
          <w:lang w:val="fr-FR"/>
        </w:rPr>
      </w:pPr>
    </w:p>
    <w:p w14:paraId="5472EB83" w14:textId="6B344C61" w:rsidR="00F56A4B" w:rsidRDefault="00F56A4B" w:rsidP="006D6952">
      <w:pPr>
        <w:pStyle w:val="Body"/>
        <w:spacing w:after="0"/>
      </w:pPr>
      <w:r w:rsidRPr="00F56A4B">
        <w:rPr>
          <w:lang w:val="fr-FR"/>
        </w:rPr>
        <w:lastRenderedPageBreak/>
        <w:t xml:space="preserve">Zhou, H., &amp; Zhu, X. (2019). </w:t>
      </w:r>
      <w:r>
        <w:t xml:space="preserve">MicroRNA-21 and microRNA-30c as diagnostic biomarkers for prostate cancer: A meta-analysis. Cancer Management and Research, 11, 2039–2050. </w:t>
      </w:r>
      <w:hyperlink r:id="rId106" w:history="1">
        <w:r w:rsidR="006D6952" w:rsidRPr="0025538F">
          <w:rPr>
            <w:rStyle w:val="Hyperlink"/>
          </w:rPr>
          <w:t>https://doi.org/10.2147/CMAR.S189026</w:t>
        </w:r>
      </w:hyperlink>
      <w:r w:rsidR="006D6952">
        <w:t>.</w:t>
      </w:r>
    </w:p>
    <w:p w14:paraId="6E14F802" w14:textId="77777777" w:rsidR="006D6952" w:rsidRDefault="006D6952" w:rsidP="006D6952">
      <w:pPr>
        <w:pStyle w:val="Body"/>
        <w:spacing w:after="0"/>
      </w:pPr>
    </w:p>
    <w:p w14:paraId="3D1676FF" w14:textId="77777777" w:rsidR="006D6952" w:rsidRDefault="006D6952" w:rsidP="006D6952">
      <w:pPr>
        <w:pStyle w:val="Body"/>
        <w:spacing w:after="0"/>
      </w:pPr>
    </w:p>
    <w:p w14:paraId="59F65DBE" w14:textId="36C04474" w:rsidR="005004F0" w:rsidRPr="005A74DF" w:rsidRDefault="005004F0" w:rsidP="005A74DF">
      <w:pPr>
        <w:pStyle w:val="Body"/>
        <w:spacing w:after="0"/>
        <w:rPr>
          <w:rFonts w:ascii="Arial" w:hAnsi="Arial" w:cs="Arial"/>
        </w:rPr>
      </w:pPr>
    </w:p>
    <w:p w14:paraId="6FE818F7" w14:textId="60AB7F2F" w:rsidR="00D31521" w:rsidRPr="00D31521" w:rsidRDefault="00D31521" w:rsidP="00D31521">
      <w:pPr>
        <w:sectPr w:rsidR="00D31521" w:rsidRPr="00D31521" w:rsidSect="00DA1151">
          <w:headerReference w:type="even" r:id="rId107"/>
          <w:headerReference w:type="default" r:id="rId108"/>
          <w:footerReference w:type="default" r:id="rId109"/>
          <w:headerReference w:type="first" r:id="rId110"/>
          <w:type w:val="continuous"/>
          <w:pgSz w:w="12240" w:h="15840"/>
          <w:pgMar w:top="1440" w:right="2016" w:bottom="1843" w:left="2016" w:header="720" w:footer="1123" w:gutter="0"/>
          <w:cols w:space="720"/>
          <w:docGrid w:linePitch="272"/>
        </w:sectPr>
      </w:pPr>
    </w:p>
    <w:p w14:paraId="3612B08B" w14:textId="77777777" w:rsidR="00B01FCD" w:rsidRPr="00FB3A86" w:rsidRDefault="00B01FCD" w:rsidP="00441B6F">
      <w:pPr>
        <w:pStyle w:val="Appendix"/>
        <w:spacing w:after="0"/>
        <w:jc w:val="both"/>
        <w:rPr>
          <w:rFonts w:ascii="Arial" w:hAnsi="Arial" w:cs="Arial"/>
          <w:b w:val="0"/>
        </w:rPr>
      </w:pPr>
    </w:p>
    <w:sectPr w:rsidR="00B01FCD" w:rsidRPr="00FB3A86" w:rsidSect="00DA1151">
      <w:headerReference w:type="even" r:id="rId111"/>
      <w:headerReference w:type="default" r:id="rId112"/>
      <w:headerReference w:type="first" r:id="rId11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D6DF15" w14:textId="77777777" w:rsidR="000E5932" w:rsidRDefault="000E5932" w:rsidP="00C37E61">
      <w:r>
        <w:separator/>
      </w:r>
    </w:p>
  </w:endnote>
  <w:endnote w:type="continuationSeparator" w:id="0">
    <w:p w14:paraId="65ADE375" w14:textId="77777777" w:rsidR="000E5932" w:rsidRDefault="000E593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8C55C" w14:textId="77777777" w:rsidR="00DA1151" w:rsidRDefault="00DA11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5BEBB" w14:textId="77777777" w:rsidR="004D593F" w:rsidRPr="00C37E61" w:rsidRDefault="004D593F"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47971" w14:textId="77777777" w:rsidR="00DA1151" w:rsidRDefault="00DA115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A637D" w14:textId="77777777" w:rsidR="004D593F" w:rsidRPr="00C37E61" w:rsidRDefault="004D593F"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41EE07" w14:textId="77777777" w:rsidR="000E5932" w:rsidRDefault="000E5932" w:rsidP="00C37E61">
      <w:r>
        <w:separator/>
      </w:r>
    </w:p>
  </w:footnote>
  <w:footnote w:type="continuationSeparator" w:id="0">
    <w:p w14:paraId="2FC3E6F4" w14:textId="77777777" w:rsidR="000E5932" w:rsidRDefault="000E593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B7F8A" w14:textId="063FD634" w:rsidR="00DA1151" w:rsidRDefault="00DA1151">
    <w:pPr>
      <w:pStyle w:val="Header"/>
    </w:pPr>
    <w:r>
      <w:rPr>
        <w:noProof/>
      </w:rPr>
      <w:pict w14:anchorId="58711B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45317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AF576" w14:textId="13F9CF7F" w:rsidR="00DA1151" w:rsidRDefault="00DA1151">
    <w:pPr>
      <w:pStyle w:val="Header"/>
    </w:pPr>
    <w:r>
      <w:rPr>
        <w:noProof/>
      </w:rPr>
      <w:pict w14:anchorId="345DF7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453181" o:spid="_x0000_s2059" type="#_x0000_t136" style="position:absolute;margin-left:0;margin-top:0;width:520.65pt;height:57.85pt;rotation:315;z-index:-25163673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2EBA7" w14:textId="55EFA0A7" w:rsidR="004D593F" w:rsidRDefault="00DA1151">
    <w:pPr>
      <w:pStyle w:val="Header"/>
    </w:pPr>
    <w:r>
      <w:rPr>
        <w:noProof/>
      </w:rPr>
      <w:pict w14:anchorId="4D627A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453182" o:spid="_x0000_s2060" type="#_x0000_t136" style="position:absolute;margin-left:0;margin-top:0;width:520.65pt;height:57.85pt;rotation:315;z-index:-25163468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147A4" w14:textId="1D239031" w:rsidR="00DA1151" w:rsidRDefault="00DA1151">
    <w:pPr>
      <w:pStyle w:val="Header"/>
    </w:pPr>
    <w:r>
      <w:rPr>
        <w:noProof/>
      </w:rPr>
      <w:pict w14:anchorId="7F1329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453180" o:spid="_x0000_s2058" type="#_x0000_t136" style="position:absolute;margin-left:0;margin-top:0;width:520.65pt;height:57.85pt;rotation:315;z-index:-25163878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5DBCC" w14:textId="4CF5481E" w:rsidR="00DA1151" w:rsidRDefault="00DA1151">
    <w:pPr>
      <w:pStyle w:val="Header"/>
    </w:pPr>
    <w:r>
      <w:rPr>
        <w:noProof/>
      </w:rPr>
      <w:pict w14:anchorId="78115B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45317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545A4" w14:textId="3F161772" w:rsidR="00DA1151" w:rsidRDefault="00DA1151">
    <w:pPr>
      <w:pStyle w:val="Header"/>
    </w:pPr>
    <w:r>
      <w:rPr>
        <w:noProof/>
      </w:rPr>
      <w:pict w14:anchorId="15642C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453171"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25C3C" w14:textId="52D4111E" w:rsidR="00DA1151" w:rsidRDefault="00DA1151">
    <w:pPr>
      <w:pStyle w:val="Header"/>
    </w:pPr>
    <w:r>
      <w:rPr>
        <w:noProof/>
      </w:rPr>
      <w:pict w14:anchorId="1DBC10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45317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13116" w14:textId="3C6E4675" w:rsidR="004D593F" w:rsidRDefault="00DA1151">
    <w:pPr>
      <w:pStyle w:val="Header"/>
    </w:pPr>
    <w:r>
      <w:rPr>
        <w:noProof/>
      </w:rPr>
      <w:pict w14:anchorId="3F3A58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45317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96413" w14:textId="1770D96F" w:rsidR="00DA1151" w:rsidRDefault="00DA1151">
    <w:pPr>
      <w:pStyle w:val="Header"/>
    </w:pPr>
    <w:r>
      <w:rPr>
        <w:noProof/>
      </w:rPr>
      <w:pict w14:anchorId="56124F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45317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3ABC4" w14:textId="46961D2A" w:rsidR="00DA1151" w:rsidRDefault="00DA1151">
    <w:pPr>
      <w:pStyle w:val="Header"/>
    </w:pPr>
    <w:r>
      <w:rPr>
        <w:noProof/>
      </w:rPr>
      <w:pict w14:anchorId="6FCA7F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453178" o:spid="_x0000_s2056" type="#_x0000_t136" style="position:absolute;margin-left:0;margin-top:0;width:520.65pt;height:57.8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4BF8E" w14:textId="0E011C74" w:rsidR="004D593F" w:rsidRDefault="00DA1151">
    <w:pPr>
      <w:pStyle w:val="Header"/>
    </w:pPr>
    <w:r>
      <w:rPr>
        <w:noProof/>
      </w:rPr>
      <w:pict w14:anchorId="2D1EB4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453179" o:spid="_x0000_s2057" type="#_x0000_t136" style="position:absolute;margin-left:0;margin-top:0;width:520.65pt;height:57.8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BD925" w14:textId="76A1D370" w:rsidR="00DA1151" w:rsidRDefault="00DA1151">
    <w:pPr>
      <w:pStyle w:val="Header"/>
    </w:pPr>
    <w:r>
      <w:rPr>
        <w:noProof/>
      </w:rPr>
      <w:pict w14:anchorId="73614B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453177" o:spid="_x0000_s2055" type="#_x0000_t136" style="position:absolute;margin-left:0;margin-top:0;width:520.65pt;height:57.8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F5F02"/>
    <w:multiLevelType w:val="hybridMultilevel"/>
    <w:tmpl w:val="9BCC5EE6"/>
    <w:lvl w:ilvl="0" w:tplc="B6F68DE0">
      <w:numFmt w:val="bullet"/>
      <w:lvlText w:val="•"/>
      <w:lvlJc w:val="left"/>
      <w:pPr>
        <w:ind w:left="502" w:hanging="360"/>
      </w:pPr>
      <w:rPr>
        <w:rFonts w:ascii="Arial" w:eastAsia="Times New Roman" w:hAnsi="Arial" w:cs="Aria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 w15:restartNumberingAfterBreak="0">
    <w:nsid w:val="1DC003E4"/>
    <w:multiLevelType w:val="hybridMultilevel"/>
    <w:tmpl w:val="E63C1D28"/>
    <w:lvl w:ilvl="0" w:tplc="040C0003">
      <w:start w:val="1"/>
      <w:numFmt w:val="bullet"/>
      <w:lvlText w:val="o"/>
      <w:lvlJc w:val="left"/>
      <w:pPr>
        <w:ind w:left="928" w:hanging="360"/>
      </w:pPr>
      <w:rPr>
        <w:rFonts w:ascii="Courier New" w:hAnsi="Courier New" w:cs="Courier New" w:hint="default"/>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2" w15:restartNumberingAfterBreak="0">
    <w:nsid w:val="3DD25190"/>
    <w:multiLevelType w:val="hybridMultilevel"/>
    <w:tmpl w:val="2126F85C"/>
    <w:lvl w:ilvl="0" w:tplc="B6F68DE0">
      <w:numFmt w:val="bullet"/>
      <w:lvlText w:val="•"/>
      <w:lvlJc w:val="left"/>
      <w:pPr>
        <w:ind w:left="502" w:hanging="360"/>
      </w:pPr>
      <w:rPr>
        <w:rFonts w:ascii="Arial" w:eastAsia="Times New Roman" w:hAnsi="Arial" w:cs="Aria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 w15:restartNumberingAfterBreak="0">
    <w:nsid w:val="41385370"/>
    <w:multiLevelType w:val="multilevel"/>
    <w:tmpl w:val="8AB6CA3C"/>
    <w:styleLink w:val="Listeactuell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9917AB9"/>
    <w:multiLevelType w:val="hybridMultilevel"/>
    <w:tmpl w:val="6570D344"/>
    <w:lvl w:ilvl="0" w:tplc="B6F68DE0">
      <w:numFmt w:val="bullet"/>
      <w:lvlText w:val="•"/>
      <w:lvlJc w:val="left"/>
      <w:pPr>
        <w:ind w:left="502"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num w:numId="1">
    <w:abstractNumId w:val="5"/>
  </w:num>
  <w:num w:numId="2">
    <w:abstractNumId w:val="4"/>
  </w:num>
  <w:num w:numId="3">
    <w:abstractNumId w:val="2"/>
  </w:num>
  <w:num w:numId="4">
    <w:abstractNumId w:val="0"/>
  </w:num>
  <w:num w:numId="5">
    <w:abstractNumId w:val="1"/>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1CAC"/>
    <w:rsid w:val="0000574D"/>
    <w:rsid w:val="00030174"/>
    <w:rsid w:val="0004579C"/>
    <w:rsid w:val="00067738"/>
    <w:rsid w:val="000A33EA"/>
    <w:rsid w:val="000A47FA"/>
    <w:rsid w:val="000A65D3"/>
    <w:rsid w:val="000B1E33"/>
    <w:rsid w:val="000D689F"/>
    <w:rsid w:val="000E47FB"/>
    <w:rsid w:val="000E5932"/>
    <w:rsid w:val="000E7B7B"/>
    <w:rsid w:val="000E7D62"/>
    <w:rsid w:val="00102C22"/>
    <w:rsid w:val="00103357"/>
    <w:rsid w:val="001058A7"/>
    <w:rsid w:val="00123C9F"/>
    <w:rsid w:val="00126190"/>
    <w:rsid w:val="00130F17"/>
    <w:rsid w:val="001320BF"/>
    <w:rsid w:val="00163BC4"/>
    <w:rsid w:val="00191062"/>
    <w:rsid w:val="00192B72"/>
    <w:rsid w:val="001960A1"/>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2583"/>
    <w:rsid w:val="002556F6"/>
    <w:rsid w:val="00283105"/>
    <w:rsid w:val="00284C4C"/>
    <w:rsid w:val="00287E68"/>
    <w:rsid w:val="00296529"/>
    <w:rsid w:val="002B27FB"/>
    <w:rsid w:val="002B685A"/>
    <w:rsid w:val="002C57D2"/>
    <w:rsid w:val="002E0D56"/>
    <w:rsid w:val="002F45CA"/>
    <w:rsid w:val="00312231"/>
    <w:rsid w:val="00315186"/>
    <w:rsid w:val="0033343E"/>
    <w:rsid w:val="003512C2"/>
    <w:rsid w:val="00371FB6"/>
    <w:rsid w:val="003763C1"/>
    <w:rsid w:val="00376BBE"/>
    <w:rsid w:val="0039224F"/>
    <w:rsid w:val="003A43A4"/>
    <w:rsid w:val="003A7E18"/>
    <w:rsid w:val="003C4C86"/>
    <w:rsid w:val="003C6258"/>
    <w:rsid w:val="003E2904"/>
    <w:rsid w:val="00401927"/>
    <w:rsid w:val="004051DD"/>
    <w:rsid w:val="0041027F"/>
    <w:rsid w:val="00410922"/>
    <w:rsid w:val="00412475"/>
    <w:rsid w:val="00423789"/>
    <w:rsid w:val="00440F43"/>
    <w:rsid w:val="00441B6F"/>
    <w:rsid w:val="00446221"/>
    <w:rsid w:val="00450E62"/>
    <w:rsid w:val="004539DB"/>
    <w:rsid w:val="004707BC"/>
    <w:rsid w:val="00471A80"/>
    <w:rsid w:val="004A428E"/>
    <w:rsid w:val="004D305E"/>
    <w:rsid w:val="004D4277"/>
    <w:rsid w:val="004D4729"/>
    <w:rsid w:val="004D593F"/>
    <w:rsid w:val="004E216A"/>
    <w:rsid w:val="005004F0"/>
    <w:rsid w:val="00502516"/>
    <w:rsid w:val="00505F06"/>
    <w:rsid w:val="00506828"/>
    <w:rsid w:val="00510C3B"/>
    <w:rsid w:val="0053009B"/>
    <w:rsid w:val="0053056E"/>
    <w:rsid w:val="00554FDA"/>
    <w:rsid w:val="005715ED"/>
    <w:rsid w:val="005A74DF"/>
    <w:rsid w:val="005A7FA1"/>
    <w:rsid w:val="005C784C"/>
    <w:rsid w:val="005D17F6"/>
    <w:rsid w:val="005E5539"/>
    <w:rsid w:val="005F2586"/>
    <w:rsid w:val="00602BF5"/>
    <w:rsid w:val="00607B6A"/>
    <w:rsid w:val="00617FDD"/>
    <w:rsid w:val="00633614"/>
    <w:rsid w:val="00633F68"/>
    <w:rsid w:val="00636EB2"/>
    <w:rsid w:val="006375B8"/>
    <w:rsid w:val="0066510A"/>
    <w:rsid w:val="00671876"/>
    <w:rsid w:val="00673F9F"/>
    <w:rsid w:val="00686953"/>
    <w:rsid w:val="00687DEA"/>
    <w:rsid w:val="00687E67"/>
    <w:rsid w:val="006967F7"/>
    <w:rsid w:val="006A250C"/>
    <w:rsid w:val="006A4312"/>
    <w:rsid w:val="006B21D3"/>
    <w:rsid w:val="006B57D0"/>
    <w:rsid w:val="006D30FF"/>
    <w:rsid w:val="006D6940"/>
    <w:rsid w:val="006D6952"/>
    <w:rsid w:val="006D7CAE"/>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7F4"/>
    <w:rsid w:val="00866D66"/>
    <w:rsid w:val="008671C6"/>
    <w:rsid w:val="00875803"/>
    <w:rsid w:val="008B459E"/>
    <w:rsid w:val="008E13AE"/>
    <w:rsid w:val="008E1506"/>
    <w:rsid w:val="008E710C"/>
    <w:rsid w:val="008F5B7F"/>
    <w:rsid w:val="008F69D6"/>
    <w:rsid w:val="00902823"/>
    <w:rsid w:val="00915CA6"/>
    <w:rsid w:val="00927834"/>
    <w:rsid w:val="009500A6"/>
    <w:rsid w:val="00957C18"/>
    <w:rsid w:val="009659BA"/>
    <w:rsid w:val="00965E44"/>
    <w:rsid w:val="00983040"/>
    <w:rsid w:val="009B2787"/>
    <w:rsid w:val="009B3FB9"/>
    <w:rsid w:val="009C035F"/>
    <w:rsid w:val="009C2465"/>
    <w:rsid w:val="009D35A0"/>
    <w:rsid w:val="009D7EB7"/>
    <w:rsid w:val="009E048A"/>
    <w:rsid w:val="009E08E9"/>
    <w:rsid w:val="009E3DB9"/>
    <w:rsid w:val="009E6E35"/>
    <w:rsid w:val="009F0EDA"/>
    <w:rsid w:val="00A00A98"/>
    <w:rsid w:val="00A01954"/>
    <w:rsid w:val="00A03B96"/>
    <w:rsid w:val="00A05B19"/>
    <w:rsid w:val="00A1134E"/>
    <w:rsid w:val="00A24E7E"/>
    <w:rsid w:val="00A258C3"/>
    <w:rsid w:val="00A3404A"/>
    <w:rsid w:val="00A347C0"/>
    <w:rsid w:val="00A45E1B"/>
    <w:rsid w:val="00A51431"/>
    <w:rsid w:val="00A539AD"/>
    <w:rsid w:val="00A94063"/>
    <w:rsid w:val="00AA6219"/>
    <w:rsid w:val="00AA74E0"/>
    <w:rsid w:val="00AB703F"/>
    <w:rsid w:val="00AC6BB8"/>
    <w:rsid w:val="00AD67AC"/>
    <w:rsid w:val="00AE008F"/>
    <w:rsid w:val="00AE19FB"/>
    <w:rsid w:val="00B00B61"/>
    <w:rsid w:val="00B01FCD"/>
    <w:rsid w:val="00B1776C"/>
    <w:rsid w:val="00B52583"/>
    <w:rsid w:val="00B52896"/>
    <w:rsid w:val="00B8131E"/>
    <w:rsid w:val="00B833CE"/>
    <w:rsid w:val="00B95236"/>
    <w:rsid w:val="00B96BD9"/>
    <w:rsid w:val="00BA1B01"/>
    <w:rsid w:val="00BA2641"/>
    <w:rsid w:val="00BB18CF"/>
    <w:rsid w:val="00BB37AA"/>
    <w:rsid w:val="00BC53A0"/>
    <w:rsid w:val="00BE62AD"/>
    <w:rsid w:val="00BF1214"/>
    <w:rsid w:val="00BF121F"/>
    <w:rsid w:val="00BF1F80"/>
    <w:rsid w:val="00C12CF0"/>
    <w:rsid w:val="00C166EF"/>
    <w:rsid w:val="00C17EB0"/>
    <w:rsid w:val="00C21A3D"/>
    <w:rsid w:val="00C27F5F"/>
    <w:rsid w:val="00C30A0F"/>
    <w:rsid w:val="00C37E61"/>
    <w:rsid w:val="00C70F1B"/>
    <w:rsid w:val="00C71A47"/>
    <w:rsid w:val="00C7464C"/>
    <w:rsid w:val="00C85588"/>
    <w:rsid w:val="00CC4CDD"/>
    <w:rsid w:val="00CC63E9"/>
    <w:rsid w:val="00CD592B"/>
    <w:rsid w:val="00CD6755"/>
    <w:rsid w:val="00CD6856"/>
    <w:rsid w:val="00CE0089"/>
    <w:rsid w:val="00CE793C"/>
    <w:rsid w:val="00CF193C"/>
    <w:rsid w:val="00D173F1"/>
    <w:rsid w:val="00D209D0"/>
    <w:rsid w:val="00D26E02"/>
    <w:rsid w:val="00D31521"/>
    <w:rsid w:val="00D74CB0"/>
    <w:rsid w:val="00D8295D"/>
    <w:rsid w:val="00DA1151"/>
    <w:rsid w:val="00DB6BB5"/>
    <w:rsid w:val="00DC2A65"/>
    <w:rsid w:val="00DD38EA"/>
    <w:rsid w:val="00DE15F0"/>
    <w:rsid w:val="00DE5663"/>
    <w:rsid w:val="00DE78AA"/>
    <w:rsid w:val="00DF4ABF"/>
    <w:rsid w:val="00E053D0"/>
    <w:rsid w:val="00E15994"/>
    <w:rsid w:val="00E3114E"/>
    <w:rsid w:val="00E31A70"/>
    <w:rsid w:val="00E35B02"/>
    <w:rsid w:val="00E66496"/>
    <w:rsid w:val="00E66B35"/>
    <w:rsid w:val="00E66E10"/>
    <w:rsid w:val="00E769F6"/>
    <w:rsid w:val="00E8407C"/>
    <w:rsid w:val="00E84D7D"/>
    <w:rsid w:val="00E84F3C"/>
    <w:rsid w:val="00E9679E"/>
    <w:rsid w:val="00EA012C"/>
    <w:rsid w:val="00EA641D"/>
    <w:rsid w:val="00EB4C0D"/>
    <w:rsid w:val="00EC07D0"/>
    <w:rsid w:val="00EC6A55"/>
    <w:rsid w:val="00ED0288"/>
    <w:rsid w:val="00EE52CB"/>
    <w:rsid w:val="00EF581D"/>
    <w:rsid w:val="00EF7FD8"/>
    <w:rsid w:val="00F05AE6"/>
    <w:rsid w:val="00F06F59"/>
    <w:rsid w:val="00F17988"/>
    <w:rsid w:val="00F21EDD"/>
    <w:rsid w:val="00F45D2A"/>
    <w:rsid w:val="00F469F0"/>
    <w:rsid w:val="00F53273"/>
    <w:rsid w:val="00F56A4B"/>
    <w:rsid w:val="00F64948"/>
    <w:rsid w:val="00F669DC"/>
    <w:rsid w:val="00F703D8"/>
    <w:rsid w:val="00F755E4"/>
    <w:rsid w:val="00F77D02"/>
    <w:rsid w:val="00FB1BDF"/>
    <w:rsid w:val="00FB3A86"/>
    <w:rsid w:val="00FD36C8"/>
    <w:rsid w:val="00FE6E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14:docId w14:val="7DD9278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uiPriority w:val="99"/>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D26E02"/>
    <w:pPr>
      <w:spacing w:after="160" w:line="259" w:lineRule="auto"/>
      <w:ind w:left="720"/>
      <w:contextualSpacing/>
    </w:pPr>
    <w:rPr>
      <w:rFonts w:asciiTheme="minorHAnsi" w:eastAsiaTheme="minorHAnsi" w:hAnsiTheme="minorHAnsi" w:cstheme="minorBidi"/>
      <w:sz w:val="22"/>
      <w:szCs w:val="22"/>
      <w:lang w:val="fr-FR"/>
    </w:rPr>
  </w:style>
  <w:style w:type="paragraph" w:styleId="Bibliography">
    <w:name w:val="Bibliography"/>
    <w:basedOn w:val="Normal"/>
    <w:next w:val="Normal"/>
    <w:uiPriority w:val="37"/>
    <w:unhideWhenUsed/>
    <w:rsid w:val="00F21EDD"/>
    <w:pPr>
      <w:spacing w:line="480" w:lineRule="auto"/>
      <w:ind w:left="720" w:hanging="720"/>
    </w:pPr>
    <w:rPr>
      <w:rFonts w:asciiTheme="minorHAnsi" w:eastAsiaTheme="minorHAnsi" w:hAnsiTheme="minorHAnsi" w:cstheme="minorBidi"/>
      <w:sz w:val="22"/>
      <w:szCs w:val="22"/>
      <w:lang w:val="fr-FR"/>
    </w:rPr>
  </w:style>
  <w:style w:type="character" w:customStyle="1" w:styleId="HeaderChar">
    <w:name w:val="Header Char"/>
    <w:basedOn w:val="DefaultParagraphFont"/>
    <w:link w:val="Header"/>
    <w:uiPriority w:val="99"/>
    <w:rsid w:val="00F21EDD"/>
    <w:rPr>
      <w:rFonts w:ascii="Helvetica" w:hAnsi="Helvetica"/>
    </w:rPr>
  </w:style>
  <w:style w:type="character" w:customStyle="1" w:styleId="FooterChar">
    <w:name w:val="Footer Char"/>
    <w:basedOn w:val="DefaultParagraphFont"/>
    <w:link w:val="Footer"/>
    <w:uiPriority w:val="99"/>
    <w:rsid w:val="00F21EDD"/>
    <w:rPr>
      <w:rFonts w:ascii="Helvetica" w:hAnsi="Helvetica"/>
    </w:rPr>
  </w:style>
  <w:style w:type="numbering" w:customStyle="1" w:styleId="Aucuneliste1">
    <w:name w:val="Aucune liste1"/>
    <w:next w:val="NoList"/>
    <w:uiPriority w:val="99"/>
    <w:semiHidden/>
    <w:unhideWhenUsed/>
    <w:rsid w:val="00F21EDD"/>
  </w:style>
  <w:style w:type="paragraph" w:customStyle="1" w:styleId="msonormal0">
    <w:name w:val="msonormal"/>
    <w:basedOn w:val="Normal"/>
    <w:rsid w:val="00F21EDD"/>
    <w:pPr>
      <w:spacing w:before="100" w:beforeAutospacing="1" w:after="100" w:afterAutospacing="1"/>
    </w:pPr>
    <w:rPr>
      <w:rFonts w:ascii="Times New Roman" w:hAnsi="Times New Roman"/>
      <w:sz w:val="24"/>
      <w:szCs w:val="24"/>
      <w:lang w:val="fr-FR" w:eastAsia="fr-FR"/>
    </w:rPr>
  </w:style>
  <w:style w:type="paragraph" w:customStyle="1" w:styleId="xl63">
    <w:name w:val="xl63"/>
    <w:basedOn w:val="Normal"/>
    <w:rsid w:val="00F21EDD"/>
    <w:pPr>
      <w:spacing w:before="100" w:beforeAutospacing="1" w:after="100" w:afterAutospacing="1"/>
      <w:jc w:val="center"/>
    </w:pPr>
    <w:rPr>
      <w:rFonts w:ascii="Times New Roman" w:hAnsi="Times New Roman"/>
      <w:sz w:val="24"/>
      <w:szCs w:val="24"/>
      <w:lang w:val="fr-FR" w:eastAsia="fr-FR"/>
    </w:rPr>
  </w:style>
  <w:style w:type="paragraph" w:customStyle="1" w:styleId="xl64">
    <w:name w:val="xl64"/>
    <w:basedOn w:val="Normal"/>
    <w:rsid w:val="00F21EDD"/>
    <w:pPr>
      <w:spacing w:before="100" w:beforeAutospacing="1" w:after="100" w:afterAutospacing="1"/>
      <w:jc w:val="center"/>
    </w:pPr>
    <w:rPr>
      <w:rFonts w:ascii="Times New Roman" w:hAnsi="Times New Roman"/>
      <w:b/>
      <w:bCs/>
      <w:sz w:val="24"/>
      <w:szCs w:val="24"/>
      <w:lang w:val="fr-FR" w:eastAsia="fr-FR"/>
    </w:rPr>
  </w:style>
  <w:style w:type="paragraph" w:customStyle="1" w:styleId="xl65">
    <w:name w:val="xl65"/>
    <w:basedOn w:val="Normal"/>
    <w:rsid w:val="00F21EDD"/>
    <w:pPr>
      <w:spacing w:before="100" w:beforeAutospacing="1" w:after="100" w:afterAutospacing="1"/>
      <w:jc w:val="center"/>
    </w:pPr>
    <w:rPr>
      <w:rFonts w:ascii="Times New Roman" w:hAnsi="Times New Roman"/>
      <w:sz w:val="24"/>
      <w:szCs w:val="24"/>
      <w:lang w:val="fr-FR" w:eastAsia="fr-FR"/>
    </w:rPr>
  </w:style>
  <w:style w:type="paragraph" w:customStyle="1" w:styleId="xl66">
    <w:name w:val="xl66"/>
    <w:basedOn w:val="Normal"/>
    <w:rsid w:val="00F21EDD"/>
    <w:pPr>
      <w:spacing w:before="100" w:beforeAutospacing="1" w:after="100" w:afterAutospacing="1"/>
      <w:jc w:val="center"/>
    </w:pPr>
    <w:rPr>
      <w:rFonts w:ascii="Times New Roman" w:hAnsi="Times New Roman"/>
      <w:b/>
      <w:bCs/>
      <w:sz w:val="24"/>
      <w:szCs w:val="24"/>
      <w:lang w:val="fr-FR" w:eastAsia="fr-FR"/>
    </w:rPr>
  </w:style>
  <w:style w:type="paragraph" w:customStyle="1" w:styleId="xl67">
    <w:name w:val="xl67"/>
    <w:basedOn w:val="Normal"/>
    <w:rsid w:val="00F21EDD"/>
    <w:pPr>
      <w:spacing w:before="100" w:beforeAutospacing="1" w:after="100" w:afterAutospacing="1"/>
      <w:jc w:val="center"/>
    </w:pPr>
    <w:rPr>
      <w:rFonts w:ascii="Times New Roman" w:hAnsi="Times New Roman"/>
      <w:sz w:val="24"/>
      <w:szCs w:val="24"/>
      <w:lang w:val="fr-FR" w:eastAsia="fr-FR"/>
    </w:rPr>
  </w:style>
  <w:style w:type="paragraph" w:customStyle="1" w:styleId="xl68">
    <w:name w:val="xl68"/>
    <w:basedOn w:val="Normal"/>
    <w:rsid w:val="00F21EDD"/>
    <w:pPr>
      <w:shd w:val="clear" w:color="000000" w:fill="FFFF00"/>
      <w:spacing w:before="100" w:beforeAutospacing="1" w:after="100" w:afterAutospacing="1"/>
      <w:jc w:val="center"/>
    </w:pPr>
    <w:rPr>
      <w:rFonts w:ascii="Times New Roman" w:hAnsi="Times New Roman"/>
      <w:sz w:val="24"/>
      <w:szCs w:val="24"/>
      <w:lang w:val="fr-FR" w:eastAsia="fr-FR"/>
    </w:rPr>
  </w:style>
  <w:style w:type="paragraph" w:customStyle="1" w:styleId="xl69">
    <w:name w:val="xl69"/>
    <w:basedOn w:val="Normal"/>
    <w:rsid w:val="00F21EDD"/>
    <w:pPr>
      <w:shd w:val="clear" w:color="000000" w:fill="FFFF00"/>
      <w:spacing w:before="100" w:beforeAutospacing="1" w:after="100" w:afterAutospacing="1"/>
      <w:jc w:val="center"/>
    </w:pPr>
    <w:rPr>
      <w:rFonts w:ascii="Times New Roman" w:hAnsi="Times New Roman"/>
      <w:sz w:val="24"/>
      <w:szCs w:val="24"/>
      <w:lang w:val="fr-FR" w:eastAsia="fr-FR"/>
    </w:rPr>
  </w:style>
  <w:style w:type="paragraph" w:customStyle="1" w:styleId="xl70">
    <w:name w:val="xl70"/>
    <w:basedOn w:val="Normal"/>
    <w:rsid w:val="00F21EDD"/>
    <w:pPr>
      <w:shd w:val="clear" w:color="000000" w:fill="92D050"/>
      <w:spacing w:before="100" w:beforeAutospacing="1" w:after="100" w:afterAutospacing="1"/>
      <w:jc w:val="center"/>
    </w:pPr>
    <w:rPr>
      <w:rFonts w:ascii="Times New Roman" w:hAnsi="Times New Roman"/>
      <w:sz w:val="24"/>
      <w:szCs w:val="24"/>
      <w:lang w:val="fr-FR" w:eastAsia="fr-FR"/>
    </w:rPr>
  </w:style>
  <w:style w:type="paragraph" w:customStyle="1" w:styleId="xl71">
    <w:name w:val="xl71"/>
    <w:basedOn w:val="Normal"/>
    <w:rsid w:val="00F21EDD"/>
    <w:pPr>
      <w:shd w:val="clear" w:color="000000" w:fill="92D050"/>
      <w:spacing w:before="100" w:beforeAutospacing="1" w:after="100" w:afterAutospacing="1"/>
      <w:jc w:val="center"/>
    </w:pPr>
    <w:rPr>
      <w:rFonts w:ascii="Times New Roman" w:hAnsi="Times New Roman"/>
      <w:sz w:val="24"/>
      <w:szCs w:val="24"/>
      <w:lang w:val="fr-FR" w:eastAsia="fr-FR"/>
    </w:rPr>
  </w:style>
  <w:style w:type="paragraph" w:customStyle="1" w:styleId="xl72">
    <w:name w:val="xl72"/>
    <w:basedOn w:val="Normal"/>
    <w:rsid w:val="00F21EDD"/>
    <w:pPr>
      <w:shd w:val="clear" w:color="000000" w:fill="00B0F0"/>
      <w:spacing w:before="100" w:beforeAutospacing="1" w:after="100" w:afterAutospacing="1"/>
      <w:jc w:val="center"/>
    </w:pPr>
    <w:rPr>
      <w:rFonts w:ascii="Times New Roman" w:hAnsi="Times New Roman"/>
      <w:sz w:val="24"/>
      <w:szCs w:val="24"/>
      <w:lang w:val="fr-FR" w:eastAsia="fr-FR"/>
    </w:rPr>
  </w:style>
  <w:style w:type="paragraph" w:customStyle="1" w:styleId="xl73">
    <w:name w:val="xl73"/>
    <w:basedOn w:val="Normal"/>
    <w:rsid w:val="00F21EDD"/>
    <w:pPr>
      <w:shd w:val="clear" w:color="000000" w:fill="00B0F0"/>
      <w:spacing w:before="100" w:beforeAutospacing="1" w:after="100" w:afterAutospacing="1"/>
      <w:jc w:val="center"/>
    </w:pPr>
    <w:rPr>
      <w:rFonts w:ascii="Times New Roman" w:hAnsi="Times New Roman"/>
      <w:sz w:val="24"/>
      <w:szCs w:val="24"/>
      <w:lang w:val="fr-FR" w:eastAsia="fr-FR"/>
    </w:rPr>
  </w:style>
  <w:style w:type="paragraph" w:customStyle="1" w:styleId="xl74">
    <w:name w:val="xl74"/>
    <w:basedOn w:val="Normal"/>
    <w:rsid w:val="00F21EDD"/>
    <w:pPr>
      <w:shd w:val="clear" w:color="000000" w:fill="FFD966"/>
      <w:spacing w:before="100" w:beforeAutospacing="1" w:after="100" w:afterAutospacing="1"/>
      <w:jc w:val="center"/>
    </w:pPr>
    <w:rPr>
      <w:rFonts w:ascii="Times New Roman" w:hAnsi="Times New Roman"/>
      <w:sz w:val="24"/>
      <w:szCs w:val="24"/>
      <w:lang w:val="fr-FR" w:eastAsia="fr-FR"/>
    </w:rPr>
  </w:style>
  <w:style w:type="paragraph" w:customStyle="1" w:styleId="xl75">
    <w:name w:val="xl75"/>
    <w:basedOn w:val="Normal"/>
    <w:rsid w:val="00F21EDD"/>
    <w:pPr>
      <w:shd w:val="clear" w:color="000000" w:fill="FFD966"/>
      <w:spacing w:before="100" w:beforeAutospacing="1" w:after="100" w:afterAutospacing="1"/>
      <w:jc w:val="center"/>
    </w:pPr>
    <w:rPr>
      <w:rFonts w:ascii="Times New Roman" w:hAnsi="Times New Roman"/>
      <w:sz w:val="24"/>
      <w:szCs w:val="24"/>
      <w:lang w:val="fr-FR" w:eastAsia="fr-FR"/>
    </w:rPr>
  </w:style>
  <w:style w:type="paragraph" w:styleId="CommentSubject">
    <w:name w:val="annotation subject"/>
    <w:basedOn w:val="CommentText"/>
    <w:next w:val="CommentText"/>
    <w:link w:val="CommentSubjectChar"/>
    <w:uiPriority w:val="99"/>
    <w:semiHidden/>
    <w:unhideWhenUsed/>
    <w:rsid w:val="00F21EDD"/>
    <w:pPr>
      <w:spacing w:after="160"/>
    </w:pPr>
    <w:rPr>
      <w:rFonts w:asciiTheme="minorHAnsi" w:eastAsiaTheme="minorHAnsi" w:hAnsiTheme="minorHAnsi" w:cstheme="minorBidi"/>
      <w:b/>
      <w:bCs/>
      <w:lang w:val="fr-FR" w:eastAsia="en-US"/>
    </w:rPr>
  </w:style>
  <w:style w:type="character" w:customStyle="1" w:styleId="CommentSubjectChar">
    <w:name w:val="Comment Subject Char"/>
    <w:basedOn w:val="CommentTextChar"/>
    <w:link w:val="CommentSubject"/>
    <w:uiPriority w:val="99"/>
    <w:semiHidden/>
    <w:rsid w:val="00F21EDD"/>
    <w:rPr>
      <w:rFonts w:asciiTheme="minorHAnsi" w:eastAsiaTheme="minorHAnsi" w:hAnsiTheme="minorHAnsi" w:cstheme="minorBidi"/>
      <w:b/>
      <w:bCs/>
      <w:lang w:val="fr-FR" w:eastAsia="nb-NO"/>
    </w:rPr>
  </w:style>
  <w:style w:type="paragraph" w:styleId="Revision">
    <w:name w:val="Revision"/>
    <w:hidden/>
    <w:uiPriority w:val="99"/>
    <w:semiHidden/>
    <w:rsid w:val="00F21EDD"/>
    <w:rPr>
      <w:rFonts w:asciiTheme="minorHAnsi" w:eastAsiaTheme="minorHAnsi" w:hAnsiTheme="minorHAnsi" w:cstheme="minorBidi"/>
      <w:sz w:val="22"/>
      <w:szCs w:val="22"/>
      <w:lang w:val="fr-FR"/>
    </w:rPr>
  </w:style>
  <w:style w:type="paragraph" w:styleId="HTMLPreformatted">
    <w:name w:val="HTML Preformatted"/>
    <w:basedOn w:val="Normal"/>
    <w:link w:val="HTMLPreformattedChar"/>
    <w:uiPriority w:val="99"/>
    <w:semiHidden/>
    <w:unhideWhenUsed/>
    <w:rsid w:val="00F21EDD"/>
    <w:rPr>
      <w:rFonts w:ascii="Consolas" w:eastAsiaTheme="minorHAnsi" w:hAnsi="Consolas" w:cstheme="minorBidi"/>
      <w:lang w:val="fr-FR"/>
    </w:rPr>
  </w:style>
  <w:style w:type="character" w:customStyle="1" w:styleId="HTMLPreformattedChar">
    <w:name w:val="HTML Preformatted Char"/>
    <w:basedOn w:val="DefaultParagraphFont"/>
    <w:link w:val="HTMLPreformatted"/>
    <w:uiPriority w:val="99"/>
    <w:semiHidden/>
    <w:rsid w:val="00F21EDD"/>
    <w:rPr>
      <w:rFonts w:ascii="Consolas" w:eastAsiaTheme="minorHAnsi" w:hAnsi="Consolas" w:cstheme="minorBidi"/>
      <w:lang w:val="fr-FR"/>
    </w:rPr>
  </w:style>
  <w:style w:type="paragraph" w:styleId="NormalWeb">
    <w:name w:val="Normal (Web)"/>
    <w:basedOn w:val="Normal"/>
    <w:uiPriority w:val="99"/>
    <w:semiHidden/>
    <w:unhideWhenUsed/>
    <w:rsid w:val="00F21EDD"/>
    <w:pPr>
      <w:spacing w:after="160" w:line="259" w:lineRule="auto"/>
    </w:pPr>
    <w:rPr>
      <w:rFonts w:ascii="Times New Roman" w:eastAsiaTheme="minorHAnsi" w:hAnsi="Times New Roman"/>
      <w:sz w:val="24"/>
      <w:szCs w:val="24"/>
      <w:lang w:val="fr-FR"/>
    </w:rPr>
  </w:style>
  <w:style w:type="numbering" w:customStyle="1" w:styleId="Listeactuelle1">
    <w:name w:val="Liste actuelle1"/>
    <w:uiPriority w:val="99"/>
    <w:rsid w:val="00F21EDD"/>
    <w:pPr>
      <w:numPr>
        <w:numId w:val="6"/>
      </w:numPr>
    </w:pPr>
  </w:style>
  <w:style w:type="table" w:styleId="PlainTable4">
    <w:name w:val="Plain Table 4"/>
    <w:aliases w:val="Tableau liste 1 clair"/>
    <w:basedOn w:val="ListTable1Light-Accent6"/>
    <w:uiPriority w:val="44"/>
    <w:rsid w:val="00F21EDD"/>
    <w:tblPr/>
    <w:tcPr>
      <w:shd w:val="clear" w:color="auto" w:fill="auto"/>
    </w:tc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1Light-Accent6">
    <w:name w:val="List Table 1 Light Accent 6"/>
    <w:basedOn w:val="TableNormal"/>
    <w:uiPriority w:val="46"/>
    <w:rsid w:val="00F21EDD"/>
    <w:rPr>
      <w:rFonts w:asciiTheme="minorHAnsi" w:eastAsiaTheme="minorHAnsi" w:hAnsiTheme="minorHAnsi" w:cstheme="minorBidi"/>
      <w:sz w:val="22"/>
      <w:szCs w:val="22"/>
      <w:lang w:val="fr-FR"/>
    </w:r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1Light">
    <w:name w:val="List Table 1 Light"/>
    <w:basedOn w:val="TableNormal"/>
    <w:uiPriority w:val="46"/>
    <w:rsid w:val="00F21EDD"/>
    <w:rPr>
      <w:rFonts w:asciiTheme="minorHAnsi" w:eastAsiaTheme="minorHAnsi" w:hAnsiTheme="minorHAnsi" w:cstheme="minorBidi"/>
      <w:sz w:val="22"/>
      <w:szCs w:val="22"/>
      <w:lang w:val="fr-FR"/>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F21EDD"/>
    <w:rPr>
      <w:rFonts w:asciiTheme="minorHAnsi" w:eastAsiaTheme="minorHAnsi" w:hAnsiTheme="minorHAnsi" w:cstheme="minorBidi"/>
      <w:sz w:val="22"/>
      <w:szCs w:val="22"/>
      <w:lang w:val="fr-F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hyperlink" Target="https://doi.org/10.3390/ijms17030421" TargetMode="External"/><Relationship Id="rId47" Type="http://schemas.openxmlformats.org/officeDocument/2006/relationships/hyperlink" Target="https://doi.org/10.3322/caac.21834" TargetMode="External"/><Relationship Id="rId63" Type="http://schemas.openxmlformats.org/officeDocument/2006/relationships/hyperlink" Target="https://doi.org/10.1002/pros.23187" TargetMode="External"/><Relationship Id="rId68" Type="http://schemas.openxmlformats.org/officeDocument/2006/relationships/hyperlink" Target="https://doi.org/10.1089/gtmb.2015.0088" TargetMode="External"/><Relationship Id="rId84" Type="http://schemas.openxmlformats.org/officeDocument/2006/relationships/hyperlink" Target="https://doi.org/10.5958/0976-5506.2019.01791.1" TargetMode="External"/><Relationship Id="rId89" Type="http://schemas.openxmlformats.org/officeDocument/2006/relationships/hyperlink" Target="https://doi.org/10.1007/978-3-319-42044-8_2" TargetMode="External"/><Relationship Id="rId112" Type="http://schemas.openxmlformats.org/officeDocument/2006/relationships/header" Target="header11.xml"/><Relationship Id="rId16" Type="http://schemas.openxmlformats.org/officeDocument/2006/relationships/header" Target="header5.xml"/><Relationship Id="rId107" Type="http://schemas.openxmlformats.org/officeDocument/2006/relationships/header" Target="header7.xml"/><Relationship Id="rId11" Type="http://schemas.openxmlformats.org/officeDocument/2006/relationships/footer" Target="footer1.xml"/><Relationship Id="rId32" Type="http://schemas.openxmlformats.org/officeDocument/2006/relationships/image" Target="media/image16.png"/><Relationship Id="rId37" Type="http://schemas.openxmlformats.org/officeDocument/2006/relationships/hyperlink" Target="https://doi.org/10.3390/cancers13092068" TargetMode="External"/><Relationship Id="rId53" Type="http://schemas.openxmlformats.org/officeDocument/2006/relationships/hyperlink" Target="https://doi.org/10.7314/apjcp.2014.15.22.9575" TargetMode="External"/><Relationship Id="rId58" Type="http://schemas.openxmlformats.org/officeDocument/2006/relationships/hyperlink" Target="https://doi.org/10.1186/s12885-017-3737-z" TargetMode="External"/><Relationship Id="rId74" Type="http://schemas.openxmlformats.org/officeDocument/2006/relationships/hyperlink" Target="https://doi.org/10.1371/journal.pone.0262017" TargetMode="External"/><Relationship Id="rId79" Type="http://schemas.openxmlformats.org/officeDocument/2006/relationships/hyperlink" Target="https://doi.org/10.1038/nature03702" TargetMode="External"/><Relationship Id="rId102" Type="http://schemas.openxmlformats.org/officeDocument/2006/relationships/hyperlink" Target="https://doi.org/10.1097/MD.0000000000019993" TargetMode="External"/><Relationship Id="rId5" Type="http://schemas.openxmlformats.org/officeDocument/2006/relationships/webSettings" Target="webSettings.xml"/><Relationship Id="rId90" Type="http://schemas.openxmlformats.org/officeDocument/2006/relationships/hyperlink" Target="https://doi.org/10.1371/journal.pmed.1003583" TargetMode="External"/><Relationship Id="rId95" Type="http://schemas.openxmlformats.org/officeDocument/2006/relationships/hyperlink" Target="https://doi.org/10.1136/bmj.d7894" TargetMode="Externa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hyperlink" Target="https://doi.org/10.3389/fonc.2019.00900" TargetMode="External"/><Relationship Id="rId48" Type="http://schemas.openxmlformats.org/officeDocument/2006/relationships/hyperlink" Target="https://doi.org/10.1371/journal.pone.0215003" TargetMode="External"/><Relationship Id="rId64" Type="http://schemas.openxmlformats.org/officeDocument/2006/relationships/hyperlink" Target="https://doi.org/10.31557/APJCP.2023.24.3.1095" TargetMode="External"/><Relationship Id="rId69" Type="http://schemas.openxmlformats.org/officeDocument/2006/relationships/hyperlink" Target="https://doi.org/10.1111/and.13384" TargetMode="External"/><Relationship Id="rId113" Type="http://schemas.openxmlformats.org/officeDocument/2006/relationships/header" Target="header12.xml"/><Relationship Id="rId80" Type="http://schemas.openxmlformats.org/officeDocument/2006/relationships/hyperlink" Target="https://doi.org/10.1016/j.prnil.2023.06.002" TargetMode="External"/><Relationship Id="rId85" Type="http://schemas.openxmlformats.org/officeDocument/2006/relationships/hyperlink" Target="https://doi.org/10.35995/tmj20220204" TargetMode="External"/><Relationship Id="rId12" Type="http://schemas.openxmlformats.org/officeDocument/2006/relationships/footer" Target="footer2.xml"/><Relationship Id="rId17" Type="http://schemas.openxmlformats.org/officeDocument/2006/relationships/header" Target="header6.xml"/><Relationship Id="rId33" Type="http://schemas.openxmlformats.org/officeDocument/2006/relationships/image" Target="media/image17.png"/><Relationship Id="rId38" Type="http://schemas.openxmlformats.org/officeDocument/2006/relationships/hyperlink" Target="https://doi.org/10.1016/S0140-6736(16)32401-1" TargetMode="External"/><Relationship Id="rId59" Type="http://schemas.openxmlformats.org/officeDocument/2006/relationships/hyperlink" Target="https://doi.org/10.1002/pros.23295" TargetMode="External"/><Relationship Id="rId103" Type="http://schemas.openxmlformats.org/officeDocument/2006/relationships/hyperlink" Target="https://doi.org/10.1007/s11255-016-1281-4" TargetMode="External"/><Relationship Id="rId108" Type="http://schemas.openxmlformats.org/officeDocument/2006/relationships/header" Target="header8.xml"/><Relationship Id="rId54" Type="http://schemas.openxmlformats.org/officeDocument/2006/relationships/hyperlink" Target="https://doi.org/10.1016/j.jclinepi.2005.01.016" TargetMode="External"/><Relationship Id="rId70" Type="http://schemas.openxmlformats.org/officeDocument/2006/relationships/hyperlink" Target="https://doi.org/10.1155/2020/5873056" TargetMode="External"/><Relationship Id="rId75" Type="http://schemas.openxmlformats.org/officeDocument/2006/relationships/hyperlink" Target="https://doi.org/10.1007/s13277-014-2584-7" TargetMode="External"/><Relationship Id="rId91" Type="http://schemas.openxmlformats.org/officeDocument/2006/relationships/hyperlink" Target="https://doi.org/10.1016/j.eururo.2021.07.024" TargetMode="External"/><Relationship Id="rId96" Type="http://schemas.openxmlformats.org/officeDocument/2006/relationships/hyperlink" Target="https://doi.org/10.1038/bjc.2016.23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doi.org/10.23750/abm.v93i3.11642" TargetMode="External"/><Relationship Id="rId57" Type="http://schemas.openxmlformats.org/officeDocument/2006/relationships/hyperlink" Target="https://doi.org/10.5812/ijcm.110014" TargetMode="External"/><Relationship Id="rId106" Type="http://schemas.openxmlformats.org/officeDocument/2006/relationships/hyperlink" Target="https://doi.org/10.2147/CMAR.S189026" TargetMode="External"/><Relationship Id="rId114"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hyperlink" Target="https://doi.org/10.1016/j.tranon.2022.101542" TargetMode="External"/><Relationship Id="rId52" Type="http://schemas.openxmlformats.org/officeDocument/2006/relationships/hyperlink" Target="https://doi.org/10.1016/j.urolonc.2020.03.007" TargetMode="External"/><Relationship Id="rId60" Type="http://schemas.openxmlformats.org/officeDocument/2006/relationships/hyperlink" Target="https://doi.org/10.4149/neo_2016_417" TargetMode="External"/><Relationship Id="rId65" Type="http://schemas.openxmlformats.org/officeDocument/2006/relationships/hyperlink" Target="https://doi.org/10.1007/s11255-018-2009-4" TargetMode="External"/><Relationship Id="rId73" Type="http://schemas.openxmlformats.org/officeDocument/2006/relationships/hyperlink" Target="https://doi.org/10.3390/jcm4071369" TargetMode="External"/><Relationship Id="rId78" Type="http://schemas.openxmlformats.org/officeDocument/2006/relationships/hyperlink" Target="https://doi.org/10.1186/1756-9966-32-96" TargetMode="External"/><Relationship Id="rId81" Type="http://schemas.openxmlformats.org/officeDocument/2006/relationships/hyperlink" Target="https://doi.org/10.1111/bju.14707" TargetMode="External"/><Relationship Id="rId86" Type="http://schemas.openxmlformats.org/officeDocument/2006/relationships/hyperlink" Target="https://doi.org/10.3390/medicina58040529" TargetMode="External"/><Relationship Id="rId94" Type="http://schemas.openxmlformats.org/officeDocument/2006/relationships/hyperlink" Target="https://www.cochrane.org/authors/handbooks-and-manuals/style-manual/references/reference-types/software?utm_source=chatgpt.com" TargetMode="External"/><Relationship Id="rId99" Type="http://schemas.openxmlformats.org/officeDocument/2006/relationships/hyperlink" Target="https://doi.org/10.7326/0003-4819-155-8-201110180-00009" TargetMode="External"/><Relationship Id="rId101" Type="http://schemas.openxmlformats.org/officeDocument/2006/relationships/hyperlink" Target="https://doi.org/10.3233/CBM-160634"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png"/><Relationship Id="rId39" Type="http://schemas.openxmlformats.org/officeDocument/2006/relationships/hyperlink" Target="https://doi.org/10.1016/j.afju.2018.11.006" TargetMode="External"/><Relationship Id="rId109" Type="http://schemas.openxmlformats.org/officeDocument/2006/relationships/footer" Target="footer4.xml"/><Relationship Id="rId34" Type="http://schemas.openxmlformats.org/officeDocument/2006/relationships/image" Target="media/image18.png"/><Relationship Id="rId50" Type="http://schemas.openxmlformats.org/officeDocument/2006/relationships/hyperlink" Target="https://doi.org/10.1371/journal.pone.0069239" TargetMode="External"/><Relationship Id="rId55" Type="http://schemas.openxmlformats.org/officeDocument/2006/relationships/hyperlink" Target="https://doi.org/10.1146/annurev-pathol-012513-104715" TargetMode="External"/><Relationship Id="rId76" Type="http://schemas.openxmlformats.org/officeDocument/2006/relationships/hyperlink" Target="https://doi.org/10.2147/CMAR.S272140" TargetMode="External"/><Relationship Id="rId97" Type="http://schemas.openxmlformats.org/officeDocument/2006/relationships/hyperlink" Target="https://doi.org/10.1016/j.medici.2016.02.007" TargetMode="External"/><Relationship Id="rId104" Type="http://schemas.openxmlformats.org/officeDocument/2006/relationships/hyperlink" Target="https://doi.org/10.3390/cells10092372" TargetMode="External"/><Relationship Id="rId7" Type="http://schemas.openxmlformats.org/officeDocument/2006/relationships/endnotes" Target="endnotes.xml"/><Relationship Id="rId71" Type="http://schemas.openxmlformats.org/officeDocument/2006/relationships/hyperlink" Target="https://doi.org/10.3390/genes13122320" TargetMode="External"/><Relationship Id="rId92" Type="http://schemas.openxmlformats.org/officeDocument/2006/relationships/hyperlink" Target="https://doi.org/10.1007/s11255-018-1938-2"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hyperlink" Target="https://doi.org/10.3390/jpm11040296" TargetMode="External"/><Relationship Id="rId45" Type="http://schemas.openxmlformats.org/officeDocument/2006/relationships/hyperlink" Target="https://doi.org/10.1093/jnci/djn255" TargetMode="External"/><Relationship Id="rId66" Type="http://schemas.openxmlformats.org/officeDocument/2006/relationships/hyperlink" Target="https://doi.org/10.1007/s13346-013-0169-4" TargetMode="External"/><Relationship Id="rId87" Type="http://schemas.openxmlformats.org/officeDocument/2006/relationships/hyperlink" Target="https://doi.org/10.1016/j.gene.2024.149186" TargetMode="External"/><Relationship Id="rId110" Type="http://schemas.openxmlformats.org/officeDocument/2006/relationships/header" Target="header9.xml"/><Relationship Id="rId115" Type="http://schemas.openxmlformats.org/officeDocument/2006/relationships/theme" Target="theme/theme1.xml"/><Relationship Id="rId61" Type="http://schemas.openxmlformats.org/officeDocument/2006/relationships/hyperlink" Target="https://doi.org/10.1002/pros.23714" TargetMode="External"/><Relationship Id="rId82" Type="http://schemas.openxmlformats.org/officeDocument/2006/relationships/hyperlink" Target="https://doi.org/10.1073/pnas.0804549105" TargetMode="External"/><Relationship Id="rId19" Type="http://schemas.openxmlformats.org/officeDocument/2006/relationships/image" Target="media/image3.png"/><Relationship Id="rId14" Type="http://schemas.openxmlformats.org/officeDocument/2006/relationships/footer" Target="footer3.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hyperlink" Target="https://doi.org/10.1515/tjb-2018-0198" TargetMode="External"/><Relationship Id="rId77" Type="http://schemas.openxmlformats.org/officeDocument/2006/relationships/hyperlink" Target="https://doi.org/10.2147/OTT.S95565" TargetMode="External"/><Relationship Id="rId100" Type="http://schemas.openxmlformats.org/officeDocument/2006/relationships/hyperlink" Target="https://doi.org/10.1007/s13277-011-0154-9" TargetMode="External"/><Relationship Id="rId105" Type="http://schemas.openxmlformats.org/officeDocument/2006/relationships/hyperlink" Target="https://doi.org/10.1016/j.acuroe.2021.05.005" TargetMode="External"/><Relationship Id="rId8" Type="http://schemas.openxmlformats.org/officeDocument/2006/relationships/image" Target="media/image1.tiff"/><Relationship Id="rId51" Type="http://schemas.openxmlformats.org/officeDocument/2006/relationships/hyperlink" Target="https://doi.org/10.3390/ijms21165667" TargetMode="External"/><Relationship Id="rId72" Type="http://schemas.openxmlformats.org/officeDocument/2006/relationships/hyperlink" Target="https://doi.org/10.1089/dna.2014.2663" TargetMode="External"/><Relationship Id="rId93" Type="http://schemas.openxmlformats.org/officeDocument/2006/relationships/hyperlink" Target="https://doi.org/10.1016/j.jclinepi.2005.02.022" TargetMode="External"/><Relationship Id="rId98" Type="http://schemas.openxmlformats.org/officeDocument/2006/relationships/hyperlink" Target="https://doi.org/10.1097/JU.0000000000003491" TargetMode="External"/><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hyperlink" Target="https://doi.org/10.1016/j.eururo.2016.08.004" TargetMode="External"/><Relationship Id="rId67" Type="http://schemas.openxmlformats.org/officeDocument/2006/relationships/hyperlink" Target="https://doi.org/10.1002/sim.1186" TargetMode="External"/><Relationship Id="rId20" Type="http://schemas.openxmlformats.org/officeDocument/2006/relationships/image" Target="media/image4.png"/><Relationship Id="rId41" Type="http://schemas.openxmlformats.org/officeDocument/2006/relationships/hyperlink" Target="https://doi.org/10.1186/s13643-023-02184-7" TargetMode="External"/><Relationship Id="rId62" Type="http://schemas.openxmlformats.org/officeDocument/2006/relationships/hyperlink" Target="https://doi.org/10.1186/s13046-021-01875-0" TargetMode="External"/><Relationship Id="rId83" Type="http://schemas.openxmlformats.org/officeDocument/2006/relationships/hyperlink" Target="https://doi.org/10.1111/jcmm.12236" TargetMode="External"/><Relationship Id="rId88" Type="http://schemas.openxmlformats.org/officeDocument/2006/relationships/hyperlink" Target="https://doi.org/10.1590/s1677-55382009000500003" TargetMode="External"/><Relationship Id="rId111" Type="http://schemas.openxmlformats.org/officeDocument/2006/relationships/header" Target="header10.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2E6785-3047-441E-93D1-D7C95DDE0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TotalTime>
  <Pages>1</Pages>
  <Words>54295</Words>
  <Characters>309488</Characters>
  <Application>Microsoft Office Word</Application>
  <DocSecurity>0</DocSecurity>
  <Lines>2579</Lines>
  <Paragraphs>726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363057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9</cp:revision>
  <cp:lastPrinted>1999-07-06T11:00:00Z</cp:lastPrinted>
  <dcterms:created xsi:type="dcterms:W3CDTF">2025-08-25T12:48:00Z</dcterms:created>
  <dcterms:modified xsi:type="dcterms:W3CDTF">2025-08-26T11:23:00Z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zotero-version="7.0.20"&gt;&lt;session id="pIJrQ3t5"/&gt;&lt;style id="http://www.zotero.org/styles/apa" locale="en-US" hasBibliography="1" bibliographyStyleHasBeenSet="1"/&gt;&lt;prefs&gt;&lt;pref name="fieldType" value="Field"/&gt;&lt;pref name="delayCitationU</vt:lpwstr>
  </property>
  <property fmtid="{D5CDD505-2E9C-101B-9397-08002B2CF9AE}" pid="3" name="ZOTERO_PREF_2">
    <vt:lpwstr>pdates" value="true"/&gt;&lt;pref name="dontAskDelayCitationUpdates" value="true"/&gt;&lt;/prefs&gt;&lt;/data&gt;</vt:lpwstr>
  </property>
</Properties>
</file>