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B6B2D" w14:textId="77777777" w:rsidR="007C5685" w:rsidRDefault="007C5685">
      <w:pPr>
        <w:pStyle w:val="Title"/>
        <w:spacing w:after="0"/>
        <w:jc w:val="both"/>
        <w:rPr>
          <w:rFonts w:ascii="Arial" w:hAnsi="Arial" w:cs="Arial"/>
        </w:rPr>
      </w:pPr>
    </w:p>
    <w:p w14:paraId="1755D8C2" w14:textId="77777777" w:rsidR="00367966" w:rsidRPr="002F2EF5" w:rsidRDefault="00367966" w:rsidP="00367966">
      <w:pPr>
        <w:pStyle w:val="Author"/>
        <w:rPr>
          <w:rFonts w:ascii="Arial" w:hAnsi="Arial" w:cs="Arial"/>
          <w:bCs/>
          <w:i/>
          <w:iCs/>
          <w:kern w:val="28"/>
          <w:sz w:val="18"/>
          <w:szCs w:val="18"/>
          <w:u w:val="single"/>
          <w:lang w:eastAsia="zh-CN"/>
        </w:rPr>
      </w:pPr>
      <w:r w:rsidRPr="002F2EF5">
        <w:rPr>
          <w:rFonts w:ascii="Arial" w:hAnsi="Arial" w:cs="Arial"/>
          <w:bCs/>
          <w:i/>
          <w:iCs/>
          <w:kern w:val="28"/>
          <w:sz w:val="18"/>
          <w:szCs w:val="18"/>
          <w:u w:val="single"/>
          <w:lang w:eastAsia="zh-CN"/>
        </w:rPr>
        <w:t>Short Research Article</w:t>
      </w:r>
    </w:p>
    <w:p w14:paraId="507B7B75" w14:textId="77777777" w:rsidR="007C5685" w:rsidRDefault="00F26870">
      <w:pPr>
        <w:pStyle w:val="Author"/>
        <w:spacing w:line="240" w:lineRule="auto"/>
        <w:rPr>
          <w:rFonts w:ascii="Arial" w:hAnsi="Arial" w:cs="Arial"/>
          <w:bCs/>
          <w:iCs/>
          <w:kern w:val="28"/>
          <w:sz w:val="36"/>
          <w:lang w:eastAsia="zh-CN"/>
        </w:rPr>
      </w:pPr>
      <w:bookmarkStart w:id="0" w:name="_Hlk208505870"/>
      <w:r>
        <w:rPr>
          <w:rFonts w:ascii="Arial" w:hAnsi="Arial" w:cs="Arial"/>
          <w:bCs/>
          <w:iCs/>
          <w:kern w:val="28"/>
          <w:sz w:val="36"/>
          <w:lang w:eastAsia="zh-CN"/>
        </w:rPr>
        <w:t>M</w:t>
      </w:r>
      <w:r>
        <w:rPr>
          <w:rFonts w:ascii="Arial" w:hAnsi="Arial" w:cs="Arial"/>
          <w:bCs/>
          <w:iCs/>
          <w:kern w:val="28"/>
          <w:sz w:val="36"/>
          <w:lang w:val="en-MY" w:eastAsia="zh-CN"/>
        </w:rPr>
        <w:t>o</w:t>
      </w:r>
      <w:proofErr w:type="spellStart"/>
      <w:r>
        <w:rPr>
          <w:rFonts w:ascii="Arial" w:hAnsi="Arial" w:cs="Arial"/>
          <w:bCs/>
          <w:iCs/>
          <w:kern w:val="28"/>
          <w:sz w:val="36"/>
          <w:lang w:eastAsia="zh-CN"/>
        </w:rPr>
        <w:t>rphological</w:t>
      </w:r>
      <w:proofErr w:type="spellEnd"/>
      <w:r>
        <w:rPr>
          <w:rFonts w:ascii="Arial" w:hAnsi="Arial" w:cs="Arial"/>
          <w:bCs/>
          <w:iCs/>
          <w:kern w:val="28"/>
          <w:sz w:val="36"/>
          <w:lang w:val="en-MY" w:eastAsia="zh-CN"/>
        </w:rPr>
        <w:t>,</w:t>
      </w:r>
      <w:r>
        <w:rPr>
          <w:rFonts w:ascii="Arial" w:hAnsi="Arial" w:cs="Arial"/>
          <w:bCs/>
          <w:iCs/>
          <w:kern w:val="28"/>
          <w:sz w:val="36"/>
          <w:lang w:eastAsia="zh-CN"/>
        </w:rPr>
        <w:t xml:space="preserve"> Genetic </w:t>
      </w:r>
      <w:proofErr w:type="gramStart"/>
      <w:r>
        <w:rPr>
          <w:rFonts w:ascii="Arial" w:hAnsi="Arial" w:cs="Arial"/>
          <w:bCs/>
          <w:iCs/>
          <w:kern w:val="28"/>
          <w:sz w:val="36"/>
          <w:lang w:eastAsia="zh-CN"/>
        </w:rPr>
        <w:t>And</w:t>
      </w:r>
      <w:proofErr w:type="gramEnd"/>
      <w:r>
        <w:rPr>
          <w:rFonts w:ascii="Arial" w:hAnsi="Arial" w:cs="Arial"/>
          <w:bCs/>
          <w:iCs/>
          <w:kern w:val="28"/>
          <w:sz w:val="36"/>
          <w:lang w:eastAsia="zh-CN"/>
        </w:rPr>
        <w:t xml:space="preserve"> Phytochemical Characterization Of </w:t>
      </w:r>
      <w:r>
        <w:rPr>
          <w:rFonts w:ascii="Arial" w:hAnsi="Arial" w:cs="Arial"/>
          <w:bCs/>
          <w:iCs/>
          <w:kern w:val="28"/>
          <w:sz w:val="36"/>
          <w:lang w:val="en-MY" w:eastAsia="zh-CN"/>
        </w:rPr>
        <w:t>black ginger (</w:t>
      </w:r>
      <w:proofErr w:type="spellStart"/>
      <w:r>
        <w:rPr>
          <w:rFonts w:ascii="Arial" w:hAnsi="Arial" w:cs="Arial"/>
          <w:bCs/>
          <w:i/>
          <w:kern w:val="28"/>
          <w:sz w:val="36"/>
          <w:lang w:eastAsia="zh-CN"/>
        </w:rPr>
        <w:t>Kaempferia</w:t>
      </w:r>
      <w:proofErr w:type="spellEnd"/>
      <w:r>
        <w:rPr>
          <w:rFonts w:ascii="Arial" w:hAnsi="Arial" w:cs="Arial"/>
          <w:bCs/>
          <w:i/>
          <w:kern w:val="28"/>
          <w:sz w:val="36"/>
          <w:lang w:eastAsia="zh-CN"/>
        </w:rPr>
        <w:t xml:space="preserve"> </w:t>
      </w:r>
      <w:r>
        <w:rPr>
          <w:rFonts w:ascii="Arial" w:hAnsi="Arial" w:cs="Arial"/>
          <w:bCs/>
          <w:i/>
          <w:kern w:val="28"/>
          <w:sz w:val="36"/>
          <w:lang w:val="en-MY" w:eastAsia="zh-CN"/>
        </w:rPr>
        <w:t>p</w:t>
      </w:r>
      <w:proofErr w:type="spellStart"/>
      <w:r>
        <w:rPr>
          <w:rFonts w:ascii="Arial" w:hAnsi="Arial" w:cs="Arial"/>
          <w:bCs/>
          <w:i/>
          <w:kern w:val="28"/>
          <w:sz w:val="36"/>
          <w:lang w:eastAsia="zh-CN"/>
        </w:rPr>
        <w:t>arviflora</w:t>
      </w:r>
      <w:proofErr w:type="spellEnd"/>
      <w:r>
        <w:rPr>
          <w:rFonts w:ascii="Arial" w:hAnsi="Arial" w:cs="Arial"/>
          <w:bCs/>
          <w:iCs/>
          <w:kern w:val="28"/>
          <w:sz w:val="36"/>
          <w:lang w:val="en-MY" w:eastAsia="zh-CN"/>
        </w:rPr>
        <w:t xml:space="preserve"> </w:t>
      </w:r>
      <w:r>
        <w:rPr>
          <w:rFonts w:ascii="Arial" w:hAnsi="Arial" w:cs="Arial"/>
          <w:bCs/>
          <w:iCs/>
          <w:kern w:val="28"/>
          <w:sz w:val="36"/>
          <w:lang w:eastAsia="zh-CN"/>
        </w:rPr>
        <w:t xml:space="preserve">Wall. </w:t>
      </w:r>
      <w:r>
        <w:rPr>
          <w:rFonts w:ascii="Arial" w:hAnsi="Arial" w:cs="Arial"/>
          <w:bCs/>
          <w:iCs/>
          <w:kern w:val="28"/>
          <w:sz w:val="36"/>
          <w:lang w:val="en-MY" w:eastAsia="zh-CN"/>
        </w:rPr>
        <w:t>e</w:t>
      </w:r>
      <w:r>
        <w:rPr>
          <w:rFonts w:ascii="Arial" w:hAnsi="Arial" w:cs="Arial"/>
          <w:bCs/>
          <w:i/>
          <w:kern w:val="28"/>
          <w:sz w:val="36"/>
          <w:lang w:eastAsia="zh-CN"/>
        </w:rPr>
        <w:t>x</w:t>
      </w:r>
      <w:r>
        <w:rPr>
          <w:rFonts w:ascii="Arial" w:hAnsi="Arial" w:cs="Arial"/>
          <w:bCs/>
          <w:iCs/>
          <w:kern w:val="28"/>
          <w:sz w:val="36"/>
          <w:lang w:eastAsia="zh-CN"/>
        </w:rPr>
        <w:t xml:space="preserve"> Baker</w:t>
      </w:r>
      <w:r>
        <w:rPr>
          <w:rFonts w:ascii="Arial" w:hAnsi="Arial" w:cs="Arial"/>
          <w:bCs/>
          <w:iCs/>
          <w:kern w:val="28"/>
          <w:sz w:val="36"/>
          <w:lang w:val="en-MY" w:eastAsia="zh-CN"/>
        </w:rPr>
        <w:t>)</w:t>
      </w:r>
      <w:r>
        <w:rPr>
          <w:rFonts w:ascii="Arial" w:hAnsi="Arial" w:cs="Arial"/>
          <w:bCs/>
          <w:iCs/>
          <w:kern w:val="28"/>
          <w:sz w:val="36"/>
          <w:lang w:eastAsia="zh-CN"/>
        </w:rPr>
        <w:t xml:space="preserve"> Accessions</w:t>
      </w:r>
    </w:p>
    <w:bookmarkEnd w:id="0"/>
    <w:p w14:paraId="2C3C16BD" w14:textId="77777777" w:rsidR="007C5685" w:rsidRDefault="00F26870">
      <w:pPr>
        <w:pStyle w:val="Author"/>
        <w:spacing w:line="240" w:lineRule="auto"/>
        <w:rPr>
          <w:rFonts w:ascii="Arial" w:hAnsi="Arial" w:cs="Arial"/>
          <w:bCs/>
          <w:iCs/>
          <w:kern w:val="28"/>
          <w:sz w:val="36"/>
        </w:rPr>
      </w:pPr>
      <w:r>
        <w:rPr>
          <w:rFonts w:ascii="Arial" w:hAnsi="Arial" w:cs="Arial"/>
          <w:bCs/>
          <w:iCs/>
          <w:kern w:val="28"/>
          <w:sz w:val="36"/>
        </w:rPr>
        <w:t xml:space="preserve"> </w:t>
      </w:r>
    </w:p>
    <w:p w14:paraId="0259F5C5" w14:textId="77777777" w:rsidR="00FA0B64" w:rsidRDefault="00FA0B64">
      <w:pPr>
        <w:pStyle w:val="Affiliation"/>
        <w:spacing w:after="0" w:line="240" w:lineRule="auto"/>
        <w:rPr>
          <w:rFonts w:ascii="Arial" w:hAnsi="Arial" w:cs="Arial"/>
          <w:i/>
        </w:rPr>
      </w:pPr>
    </w:p>
    <w:p w14:paraId="52E6CE21" w14:textId="77777777" w:rsidR="007C5685" w:rsidRDefault="007C5685">
      <w:pPr>
        <w:pStyle w:val="Affiliation"/>
        <w:spacing w:after="0" w:line="240" w:lineRule="auto"/>
        <w:jc w:val="both"/>
        <w:rPr>
          <w:rFonts w:ascii="Arial" w:hAnsi="Arial" w:cs="Arial"/>
        </w:rPr>
      </w:pPr>
    </w:p>
    <w:p w14:paraId="7B7E9E27" w14:textId="77777777" w:rsidR="007C5685" w:rsidRDefault="00F26870">
      <w:pPr>
        <w:pStyle w:val="Copyright"/>
        <w:spacing w:after="0" w:line="240" w:lineRule="auto"/>
        <w:jc w:val="both"/>
        <w:rPr>
          <w:rFonts w:ascii="Arial" w:hAnsi="Arial" w:cs="Arial"/>
        </w:rPr>
        <w:sectPr w:rsidR="007C5685" w:rsidSect="00D9181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E154E20" wp14:editId="6262CAAF">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DBF671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43863A06" w14:textId="77777777" w:rsidR="007C5685" w:rsidRDefault="00F26870">
      <w:pPr>
        <w:pStyle w:val="AbstHead"/>
        <w:spacing w:after="0"/>
        <w:jc w:val="both"/>
        <w:rPr>
          <w:rFonts w:ascii="Arial" w:hAnsi="Arial" w:cs="Arial"/>
        </w:rPr>
      </w:pPr>
      <w:r>
        <w:rPr>
          <w:rFonts w:ascii="Arial" w:hAnsi="Arial" w:cs="Arial"/>
        </w:rPr>
        <w:t>ABSTRACT</w:t>
      </w:r>
    </w:p>
    <w:p w14:paraId="0F6CDBC3" w14:textId="77777777" w:rsidR="007C5685" w:rsidRDefault="007C568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C5685" w14:paraId="13CFE997" w14:textId="77777777">
        <w:tc>
          <w:tcPr>
            <w:tcW w:w="9576" w:type="dxa"/>
            <w:shd w:val="clear" w:color="auto" w:fill="F2F2F2"/>
          </w:tcPr>
          <w:p w14:paraId="5E378AAD" w14:textId="77777777" w:rsidR="007C5685" w:rsidRDefault="00F26870">
            <w:pPr>
              <w:pStyle w:val="Body"/>
              <w:spacing w:after="0" w:line="256" w:lineRule="auto"/>
              <w:rPr>
                <w:rFonts w:ascii="Arial" w:eastAsia="Calibri" w:hAnsi="Arial" w:cs="Arial"/>
                <w:kern w:val="2"/>
              </w:rPr>
            </w:pPr>
            <w:r>
              <w:rPr>
                <w:rFonts w:ascii="Arial" w:hAnsi="Arial" w:cs="Arial"/>
              </w:rPr>
              <w:t xml:space="preserve">This study aimed to evaluate the morphological, genetic, and phytochemical diversity of </w:t>
            </w:r>
            <w:r>
              <w:rPr>
                <w:rStyle w:val="Emphasis"/>
                <w:rFonts w:ascii="Arial" w:hAnsi="Arial" w:cs="Arial"/>
              </w:rPr>
              <w:t>Kaempferia parviflora</w:t>
            </w:r>
            <w:r>
              <w:rPr>
                <w:rFonts w:ascii="Arial" w:hAnsi="Arial" w:cs="Arial"/>
              </w:rPr>
              <w:t xml:space="preserve"> accessions to identify potential elite genotypes for conservation and commercial applications. Twenty-one accessions,</w:t>
            </w:r>
            <w:r>
              <w:rPr>
                <w:rFonts w:ascii="Arial" w:hAnsi="Arial" w:cs="Arial"/>
              </w:rPr>
              <w:t xml:space="preserve"> collected from multiple locations were cultivated under uniform conditions and assessed for 14 morphological traits. Cluster analysis using Gower’s General Similarity Coefficient and UPGMA revealed distinct phenotypic groupings, with variation in leaf sha</w:t>
            </w:r>
            <w:r>
              <w:rPr>
                <w:rFonts w:ascii="Arial" w:hAnsi="Arial" w:cs="Arial"/>
              </w:rPr>
              <w:t xml:space="preserve">pe, size, and margin </w:t>
            </w:r>
            <w:proofErr w:type="spellStart"/>
            <w:r>
              <w:rPr>
                <w:rFonts w:ascii="Arial" w:hAnsi="Arial" w:cs="Arial"/>
                <w:lang w:val="en-MY"/>
              </w:rPr>
              <w:t>color</w:t>
            </w:r>
            <w:proofErr w:type="spellEnd"/>
            <w:r>
              <w:rPr>
                <w:rFonts w:ascii="Arial" w:hAnsi="Arial" w:cs="Arial"/>
              </w:rPr>
              <w:t xml:space="preserve"> suggesting underlying genetic divergence. Genetic characterization using 10 ISSR primers produced 33 polymorphic bands, with a mean Shannon diversity index of 1.70, indicating a narrow genetic base. Jaccard’s similarity coefficie</w:t>
            </w:r>
            <w:r>
              <w:rPr>
                <w:rFonts w:ascii="Arial" w:hAnsi="Arial" w:cs="Arial"/>
              </w:rPr>
              <w:t xml:space="preserve">nts ranged from 0.61 to 0.98, and UPGMA clustering separated accessions into three main groups, with KH-MJ emerging as a genetically distinct outlier. Phytochemical profiling of 10 selected accessions showed significant variation in total phenolic content </w:t>
            </w:r>
            <w:r>
              <w:rPr>
                <w:rFonts w:ascii="Arial" w:hAnsi="Arial" w:cs="Arial"/>
              </w:rPr>
              <w:t>(TPC), total flavonoid content (TFC), and 4,5,7-trimethoxyflavone (TMF) levels. KH-THA 10 consistently exhibited the highest TPC (47.534 mg GAE/g), TFC (7.887 mg RE/g), and TMF (42.95 µg/mg), identifying it as an elite accession for pharmaceutical and nutr</w:t>
            </w:r>
            <w:r>
              <w:rPr>
                <w:rFonts w:ascii="Arial" w:hAnsi="Arial" w:cs="Arial"/>
              </w:rPr>
              <w:t xml:space="preserve">aceutical potential. The integration of morphological, molecular, and phytochemical data provides a robust framework for germplasm management, breeding, and the development of high-value </w:t>
            </w:r>
            <w:r>
              <w:rPr>
                <w:rStyle w:val="Emphasis"/>
                <w:rFonts w:ascii="Arial" w:hAnsi="Arial" w:cs="Arial"/>
              </w:rPr>
              <w:t>K. parviflora</w:t>
            </w:r>
            <w:r>
              <w:rPr>
                <w:rFonts w:ascii="Arial" w:hAnsi="Arial" w:cs="Arial"/>
              </w:rPr>
              <w:t xml:space="preserve"> cultivars. Future work should focus on broadening the g</w:t>
            </w:r>
            <w:r>
              <w:rPr>
                <w:rFonts w:ascii="Arial" w:hAnsi="Arial" w:cs="Arial"/>
              </w:rPr>
              <w:t>enetic base and validating genotype–environment interactions affecting bioactive compound production.</w:t>
            </w:r>
          </w:p>
        </w:tc>
      </w:tr>
    </w:tbl>
    <w:p w14:paraId="2A40F80F" w14:textId="77777777" w:rsidR="007C5685" w:rsidRDefault="007C5685">
      <w:pPr>
        <w:pStyle w:val="Body"/>
        <w:spacing w:after="0"/>
        <w:rPr>
          <w:rFonts w:ascii="Arial" w:hAnsi="Arial" w:cs="Arial"/>
          <w:i/>
        </w:rPr>
      </w:pPr>
    </w:p>
    <w:p w14:paraId="197925C1" w14:textId="77777777" w:rsidR="007C5685" w:rsidRDefault="00F26870">
      <w:pPr>
        <w:pStyle w:val="Body"/>
        <w:spacing w:after="0"/>
        <w:rPr>
          <w:rFonts w:ascii="Arial" w:hAnsi="Arial" w:cs="Arial"/>
          <w:i/>
          <w:lang w:val="en-MY"/>
        </w:rPr>
      </w:pPr>
      <w:r>
        <w:rPr>
          <w:rFonts w:ascii="Arial" w:hAnsi="Arial" w:cs="Arial"/>
          <w:i/>
        </w:rPr>
        <w:t xml:space="preserve">Keywords: </w:t>
      </w:r>
      <w:r>
        <w:rPr>
          <w:rStyle w:val="Emphasis"/>
          <w:rFonts w:ascii="Arial" w:hAnsi="Arial" w:cs="Arial"/>
        </w:rPr>
        <w:t>Kaempferia parviflora</w:t>
      </w:r>
      <w:r>
        <w:rPr>
          <w:rFonts w:ascii="Arial" w:hAnsi="Arial" w:cs="Arial"/>
        </w:rPr>
        <w:t>, germplasm characterization, ISSR markers, phytochemical profiling, genetic diversity</w:t>
      </w:r>
    </w:p>
    <w:p w14:paraId="57AA0978" w14:textId="77777777" w:rsidR="007C5685" w:rsidRDefault="007C5685">
      <w:pPr>
        <w:pStyle w:val="Body"/>
        <w:spacing w:after="0"/>
        <w:rPr>
          <w:rFonts w:ascii="Arial" w:hAnsi="Arial" w:cs="Arial"/>
          <w:i/>
          <w:sz w:val="18"/>
        </w:rPr>
      </w:pPr>
    </w:p>
    <w:p w14:paraId="313A2ED1" w14:textId="77777777" w:rsidR="007C5685" w:rsidRDefault="007C5685">
      <w:pPr>
        <w:pStyle w:val="Body"/>
        <w:spacing w:after="0"/>
        <w:rPr>
          <w:rFonts w:ascii="Arial" w:hAnsi="Arial" w:cs="Arial"/>
          <w:i/>
        </w:rPr>
      </w:pPr>
    </w:p>
    <w:p w14:paraId="2022C2D2" w14:textId="77777777" w:rsidR="007C5685" w:rsidRDefault="00F26870">
      <w:pPr>
        <w:pStyle w:val="AbstHead"/>
        <w:spacing w:after="0"/>
        <w:jc w:val="both"/>
        <w:rPr>
          <w:rFonts w:ascii="Arial" w:hAnsi="Arial" w:cs="Arial"/>
        </w:rPr>
      </w:pPr>
      <w:r>
        <w:rPr>
          <w:rFonts w:ascii="Arial" w:hAnsi="Arial" w:cs="Arial"/>
        </w:rPr>
        <w:t>1. INTRODUCTION</w:t>
      </w:r>
    </w:p>
    <w:p w14:paraId="7098C349" w14:textId="77777777" w:rsidR="007C5685" w:rsidRDefault="007C5685">
      <w:pPr>
        <w:pStyle w:val="Body"/>
        <w:spacing w:after="0"/>
        <w:rPr>
          <w:rFonts w:ascii="Arial" w:hAnsi="Arial" w:cs="Arial"/>
        </w:rPr>
      </w:pPr>
    </w:p>
    <w:p w14:paraId="2F88AEEC" w14:textId="77777777" w:rsidR="007C5685" w:rsidRDefault="00F26870">
      <w:pPr>
        <w:jc w:val="both"/>
        <w:rPr>
          <w:rFonts w:ascii="Arial" w:hAnsi="Arial" w:cs="Arial"/>
        </w:rPr>
      </w:pPr>
      <w:r>
        <w:rPr>
          <w:rFonts w:ascii="Arial" w:hAnsi="Arial" w:cs="Arial"/>
          <w:i/>
          <w:iCs/>
        </w:rPr>
        <w:t xml:space="preserve">Kaempferia </w:t>
      </w:r>
      <w:r>
        <w:rPr>
          <w:rFonts w:ascii="Arial" w:hAnsi="Arial" w:cs="Arial"/>
          <w:i/>
          <w:iCs/>
        </w:rPr>
        <w:t>parviflora</w:t>
      </w:r>
      <w:r>
        <w:rPr>
          <w:rFonts w:ascii="Arial" w:hAnsi="Arial" w:cs="Arial"/>
        </w:rPr>
        <w:t xml:space="preserve"> Wall. ex Baker, commonly known as black ginger or “</w:t>
      </w:r>
      <w:proofErr w:type="spellStart"/>
      <w:r>
        <w:rPr>
          <w:rFonts w:ascii="Arial" w:hAnsi="Arial" w:cs="Arial"/>
        </w:rPr>
        <w:t>Krachai</w:t>
      </w:r>
      <w:proofErr w:type="spellEnd"/>
      <w:r>
        <w:rPr>
          <w:rFonts w:ascii="Arial" w:hAnsi="Arial" w:cs="Arial"/>
        </w:rPr>
        <w:t xml:space="preserve"> Dam” in Thailand, is a perennial herbaceous plant belonging to the family </w:t>
      </w:r>
      <w:proofErr w:type="spellStart"/>
      <w:r>
        <w:rPr>
          <w:rFonts w:ascii="Arial" w:hAnsi="Arial" w:cs="Arial"/>
        </w:rPr>
        <w:t>Zingiberaceae</w:t>
      </w:r>
      <w:proofErr w:type="spellEnd"/>
      <w:r>
        <w:rPr>
          <w:rFonts w:ascii="Arial" w:hAnsi="Arial" w:cs="Arial"/>
        </w:rPr>
        <w:t>. It is native to Southeast Asia, particularly Thailand, Laos, and Malaysia, where it has been trad</w:t>
      </w:r>
      <w:r>
        <w:rPr>
          <w:rFonts w:ascii="Arial" w:hAnsi="Arial" w:cs="Arial"/>
        </w:rPr>
        <w:t xml:space="preserve">itionally used for its medicinal properties, including antioxidant, anti-inflammatory, vasodilatory, and aphrodisiac effects </w:t>
      </w:r>
      <w:r>
        <w:rPr>
          <w:rFonts w:ascii="Arial" w:hAnsi="Arial" w:cs="Arial"/>
          <w:lang w:val="en-MY"/>
        </w:rPr>
        <w:t>[2,21].</w:t>
      </w:r>
      <w:r>
        <w:rPr>
          <w:rFonts w:ascii="Arial" w:hAnsi="Arial" w:cs="Arial"/>
        </w:rPr>
        <w:t xml:space="preserve"> The plant’s bioactive potential is attributed mainly to its </w:t>
      </w:r>
      <w:proofErr w:type="spellStart"/>
      <w:r>
        <w:rPr>
          <w:rFonts w:ascii="Arial" w:hAnsi="Arial" w:cs="Arial"/>
        </w:rPr>
        <w:t>polymethoxyflavones</w:t>
      </w:r>
      <w:proofErr w:type="spellEnd"/>
      <w:r>
        <w:rPr>
          <w:rFonts w:ascii="Arial" w:hAnsi="Arial" w:cs="Arial"/>
        </w:rPr>
        <w:t xml:space="preserve">, such as 4,5,7-trimethoxyflavone (TMF), which exhibit significant pharmacological activities </w:t>
      </w:r>
      <w:r>
        <w:rPr>
          <w:rFonts w:ascii="Arial" w:hAnsi="Arial" w:cs="Arial"/>
          <w:lang w:val="en-MY"/>
        </w:rPr>
        <w:t>[20,22]</w:t>
      </w:r>
      <w:r>
        <w:rPr>
          <w:rFonts w:ascii="Arial" w:hAnsi="Arial" w:cs="Arial"/>
        </w:rPr>
        <w:t>.</w:t>
      </w:r>
    </w:p>
    <w:p w14:paraId="29AB60B0" w14:textId="77777777" w:rsidR="007C5685" w:rsidRDefault="007C5685">
      <w:pPr>
        <w:jc w:val="both"/>
        <w:rPr>
          <w:rFonts w:ascii="Arial" w:hAnsi="Arial" w:cs="Arial"/>
        </w:rPr>
      </w:pPr>
    </w:p>
    <w:p w14:paraId="2EA90852" w14:textId="77777777" w:rsidR="007C5685" w:rsidRDefault="00F26870">
      <w:pPr>
        <w:jc w:val="both"/>
        <w:rPr>
          <w:rFonts w:ascii="Arial" w:hAnsi="Arial" w:cs="Arial"/>
        </w:rPr>
      </w:pPr>
      <w:r>
        <w:rPr>
          <w:rFonts w:ascii="Arial" w:hAnsi="Arial" w:cs="Arial"/>
        </w:rPr>
        <w:t xml:space="preserve">As global demand for herbal and nutraceutical products increases, interest in </w:t>
      </w:r>
      <w:r>
        <w:rPr>
          <w:rFonts w:ascii="Arial" w:hAnsi="Arial" w:cs="Arial"/>
          <w:i/>
          <w:iCs/>
        </w:rPr>
        <w:t>K. parviflora</w:t>
      </w:r>
      <w:r>
        <w:rPr>
          <w:rFonts w:ascii="Arial" w:hAnsi="Arial" w:cs="Arial"/>
        </w:rPr>
        <w:t xml:space="preserve"> cultivation and commercialization has grown rapidly</w:t>
      </w:r>
      <w:r>
        <w:rPr>
          <w:rFonts w:ascii="Arial" w:hAnsi="Arial" w:cs="Arial"/>
          <w:lang w:val="en-MY"/>
        </w:rPr>
        <w:t>.</w:t>
      </w:r>
      <w:r>
        <w:rPr>
          <w:rFonts w:ascii="Arial" w:hAnsi="Arial" w:cs="Arial"/>
        </w:rPr>
        <w:t xml:space="preserve"> However</w:t>
      </w:r>
      <w:r>
        <w:rPr>
          <w:rFonts w:ascii="Arial" w:hAnsi="Arial" w:cs="Arial"/>
        </w:rPr>
        <w:t xml:space="preserve">, sustainable utilization of this high-value medicinal crop requires comprehensive characterization of existing germplasm to </w:t>
      </w:r>
      <w:r>
        <w:rPr>
          <w:rFonts w:ascii="Arial" w:hAnsi="Arial" w:cs="Arial"/>
        </w:rPr>
        <w:lastRenderedPageBreak/>
        <w:t>identify superior accessions for breeding, cultivation, and conservation. Germplasm characterization plays a critical role in detec</w:t>
      </w:r>
      <w:r>
        <w:rPr>
          <w:rFonts w:ascii="Arial" w:hAnsi="Arial" w:cs="Arial"/>
        </w:rPr>
        <w:t xml:space="preserve">ting genetic variability, which is essential for crop improvement and adaptation to changing environments </w:t>
      </w:r>
      <w:r>
        <w:rPr>
          <w:rFonts w:ascii="Arial" w:hAnsi="Arial" w:cs="Arial"/>
          <w:lang w:val="en-MY"/>
        </w:rPr>
        <w:t>[7,18]</w:t>
      </w:r>
      <w:r>
        <w:rPr>
          <w:rFonts w:ascii="Arial" w:hAnsi="Arial" w:cs="Arial"/>
        </w:rPr>
        <w:t>.</w:t>
      </w:r>
    </w:p>
    <w:p w14:paraId="25B0F71A" w14:textId="77777777" w:rsidR="007C5685" w:rsidRDefault="007C5685">
      <w:pPr>
        <w:jc w:val="both"/>
        <w:rPr>
          <w:rFonts w:ascii="Arial" w:hAnsi="Arial" w:cs="Arial"/>
        </w:rPr>
      </w:pPr>
    </w:p>
    <w:p w14:paraId="11045499" w14:textId="77777777" w:rsidR="007C5685" w:rsidRDefault="00F26870">
      <w:pPr>
        <w:jc w:val="both"/>
        <w:rPr>
          <w:rFonts w:ascii="Arial" w:hAnsi="Arial" w:cs="Arial"/>
        </w:rPr>
      </w:pPr>
      <w:r>
        <w:rPr>
          <w:rFonts w:ascii="Arial" w:hAnsi="Arial" w:cs="Arial"/>
        </w:rPr>
        <w:t xml:space="preserve">Previous studies </w:t>
      </w:r>
      <w:r>
        <w:rPr>
          <w:rFonts w:ascii="Arial" w:hAnsi="Arial" w:cs="Arial"/>
          <w:lang w:val="en-MY"/>
        </w:rPr>
        <w:t xml:space="preserve">in </w:t>
      </w:r>
      <w:r>
        <w:rPr>
          <w:rFonts w:ascii="Arial" w:hAnsi="Arial" w:cs="Arial"/>
          <w:i/>
          <w:iCs/>
          <w:lang w:val="en-MY"/>
        </w:rPr>
        <w:t>Curcuma longa</w:t>
      </w:r>
      <w:r>
        <w:rPr>
          <w:rFonts w:ascii="Arial" w:hAnsi="Arial" w:cs="Arial"/>
          <w:lang w:val="en-MY"/>
        </w:rPr>
        <w:t xml:space="preserve"> varieties </w:t>
      </w:r>
      <w:r>
        <w:rPr>
          <w:rFonts w:ascii="Arial" w:hAnsi="Arial" w:cs="Arial"/>
        </w:rPr>
        <w:t xml:space="preserve">have revealed morphological diversity within </w:t>
      </w:r>
      <w:r>
        <w:rPr>
          <w:rFonts w:ascii="Arial" w:hAnsi="Arial" w:cs="Arial"/>
          <w:lang w:val="en-MY"/>
        </w:rPr>
        <w:t>its</w:t>
      </w:r>
      <w:r>
        <w:rPr>
          <w:rFonts w:ascii="Arial" w:hAnsi="Arial" w:cs="Arial"/>
        </w:rPr>
        <w:t xml:space="preserve"> populations, with variation in traits such as le</w:t>
      </w:r>
      <w:r>
        <w:rPr>
          <w:rFonts w:ascii="Arial" w:hAnsi="Arial" w:cs="Arial"/>
        </w:rPr>
        <w:t xml:space="preserve">af shape, pigmentation, and floral morphology, which may be influenced by both genetic factors and environmental conditions </w:t>
      </w:r>
      <w:r>
        <w:rPr>
          <w:rFonts w:ascii="Arial" w:hAnsi="Arial" w:cs="Arial"/>
          <w:lang w:val="en-MY"/>
        </w:rPr>
        <w:t>[23]</w:t>
      </w:r>
      <w:r>
        <w:rPr>
          <w:rFonts w:ascii="Arial" w:hAnsi="Arial" w:cs="Arial"/>
        </w:rPr>
        <w:t>. Molecular markers</w:t>
      </w:r>
      <w:r>
        <w:rPr>
          <w:rFonts w:ascii="Arial" w:hAnsi="Arial" w:cs="Arial"/>
          <w:lang w:val="en-MY"/>
        </w:rPr>
        <w:t xml:space="preserve"> </w:t>
      </w:r>
      <w:r>
        <w:rPr>
          <w:rFonts w:ascii="Arial" w:hAnsi="Arial" w:cs="Arial"/>
        </w:rPr>
        <w:t>provide a robust tool for assessing genetic diversity, detecting polymorphisms, and establishing phylogeneti</w:t>
      </w:r>
      <w:r>
        <w:rPr>
          <w:rFonts w:ascii="Arial" w:hAnsi="Arial" w:cs="Arial"/>
        </w:rPr>
        <w:t xml:space="preserve">c relationships in </w:t>
      </w:r>
      <w:proofErr w:type="spellStart"/>
      <w:r>
        <w:rPr>
          <w:rFonts w:ascii="Arial" w:hAnsi="Arial" w:cs="Arial"/>
        </w:rPr>
        <w:t>Zingiberaceae</w:t>
      </w:r>
      <w:proofErr w:type="spellEnd"/>
      <w:r>
        <w:rPr>
          <w:rFonts w:ascii="Arial" w:hAnsi="Arial" w:cs="Arial"/>
        </w:rPr>
        <w:t xml:space="preserve"> crops </w:t>
      </w:r>
      <w:r>
        <w:rPr>
          <w:rFonts w:ascii="Arial" w:hAnsi="Arial" w:cs="Arial"/>
          <w:lang w:val="en-MY"/>
        </w:rPr>
        <w:t>[11,12].</w:t>
      </w:r>
      <w:r>
        <w:rPr>
          <w:rFonts w:ascii="Arial" w:hAnsi="Arial" w:cs="Arial"/>
        </w:rPr>
        <w:t xml:space="preserve"> Integrating molecular analysis with morphological characterization enables a more accurate assessment of diversity and facilitates the identification of genetically distinct and potentially elite accessions.</w:t>
      </w:r>
    </w:p>
    <w:p w14:paraId="6E2E353D" w14:textId="77777777" w:rsidR="007C5685" w:rsidRDefault="007C5685">
      <w:pPr>
        <w:jc w:val="both"/>
        <w:rPr>
          <w:rFonts w:ascii="Arial" w:hAnsi="Arial" w:cs="Arial"/>
        </w:rPr>
      </w:pPr>
    </w:p>
    <w:p w14:paraId="7DBD662F" w14:textId="77777777" w:rsidR="007C5685" w:rsidRDefault="00F26870">
      <w:pPr>
        <w:pStyle w:val="Body"/>
        <w:spacing w:after="0"/>
        <w:rPr>
          <w:rFonts w:ascii="Arial" w:hAnsi="Arial" w:cs="Arial"/>
          <w:i/>
          <w:iCs/>
          <w:lang w:val="en-MY"/>
        </w:rPr>
      </w:pPr>
      <w:r>
        <w:rPr>
          <w:rFonts w:ascii="Arial" w:hAnsi="Arial" w:cs="Arial"/>
        </w:rPr>
        <w:t>In addition to morphological and molecular traits, phytochemical profiling is vital for identifying accessions with high levels of bioactive compounds. TMF, in particular, is a key marker compound for quality evaluation due to its potent biological activi</w:t>
      </w:r>
      <w:r>
        <w:rPr>
          <w:rFonts w:ascii="Arial" w:hAnsi="Arial" w:cs="Arial"/>
        </w:rPr>
        <w:t xml:space="preserve">ty </w:t>
      </w:r>
      <w:r>
        <w:rPr>
          <w:rFonts w:ascii="Arial" w:hAnsi="Arial" w:cs="Arial"/>
          <w:lang w:val="en-MY"/>
        </w:rPr>
        <w:t>[20]</w:t>
      </w:r>
      <w:r>
        <w:rPr>
          <w:rFonts w:ascii="Arial" w:hAnsi="Arial" w:cs="Arial"/>
        </w:rPr>
        <w:t>.</w:t>
      </w:r>
      <w:r>
        <w:rPr>
          <w:rFonts w:ascii="Arial" w:hAnsi="Arial" w:cs="Arial"/>
          <w:lang w:val="en-MY"/>
        </w:rPr>
        <w:t xml:space="preserve"> </w:t>
      </w:r>
      <w:r>
        <w:rPr>
          <w:rFonts w:ascii="Arial" w:hAnsi="Arial" w:cs="Arial"/>
        </w:rPr>
        <w:t xml:space="preserve">Despite its economic and medicinal importance, there is limited integrated research combining morphological, molecular, and phytochemical data for </w:t>
      </w:r>
      <w:r>
        <w:rPr>
          <w:rFonts w:ascii="Arial" w:hAnsi="Arial" w:cs="Arial"/>
          <w:i/>
          <w:iCs/>
        </w:rPr>
        <w:t xml:space="preserve">K. parviflora </w:t>
      </w:r>
      <w:r>
        <w:rPr>
          <w:rFonts w:ascii="Arial" w:hAnsi="Arial" w:cs="Arial"/>
        </w:rPr>
        <w:t xml:space="preserve">germplasm. Therefore, this study aimed to evaluate 21 accessions of </w:t>
      </w:r>
      <w:r>
        <w:rPr>
          <w:rFonts w:ascii="Arial" w:hAnsi="Arial" w:cs="Arial"/>
          <w:i/>
          <w:iCs/>
        </w:rPr>
        <w:t>K. parviflora</w:t>
      </w:r>
      <w:r>
        <w:rPr>
          <w:rFonts w:ascii="Arial" w:hAnsi="Arial" w:cs="Arial"/>
        </w:rPr>
        <w:t xml:space="preserve"> usin</w:t>
      </w:r>
      <w:r>
        <w:rPr>
          <w:rFonts w:ascii="Arial" w:hAnsi="Arial" w:cs="Arial"/>
        </w:rPr>
        <w:t>g morphological traits, ISSR markers, and phytochemical profiling to assess the extent of phenotypic and genetic diversity,</w:t>
      </w:r>
      <w:r>
        <w:rPr>
          <w:rFonts w:ascii="Arial" w:hAnsi="Arial" w:cs="Arial"/>
          <w:lang w:val="en-MY"/>
        </w:rPr>
        <w:t xml:space="preserve"> </w:t>
      </w:r>
      <w:r>
        <w:rPr>
          <w:rFonts w:ascii="Arial" w:hAnsi="Arial" w:cs="Arial"/>
        </w:rPr>
        <w:t xml:space="preserve">identify genetically distinct and phytochemically superior accessions, and </w:t>
      </w:r>
      <w:r>
        <w:rPr>
          <w:rFonts w:ascii="Arial" w:hAnsi="Arial" w:cs="Arial"/>
          <w:lang w:val="en-MY"/>
        </w:rPr>
        <w:t>also</w:t>
      </w:r>
      <w:r>
        <w:rPr>
          <w:rFonts w:ascii="Arial" w:hAnsi="Arial" w:cs="Arial"/>
        </w:rPr>
        <w:t xml:space="preserve"> provide baseline data to support breeding, conservat</w:t>
      </w:r>
      <w:r>
        <w:rPr>
          <w:rFonts w:ascii="Arial" w:hAnsi="Arial" w:cs="Arial"/>
        </w:rPr>
        <w:t>ion, and commercialization strategies for this valuable medicinal crop.</w:t>
      </w:r>
    </w:p>
    <w:p w14:paraId="6606112F" w14:textId="77777777" w:rsidR="007C5685" w:rsidRDefault="007C5685">
      <w:pPr>
        <w:pStyle w:val="Body"/>
        <w:spacing w:after="0"/>
        <w:rPr>
          <w:rFonts w:ascii="Arial" w:hAnsi="Arial" w:cs="Arial"/>
          <w:lang w:val="en-MY"/>
        </w:rPr>
      </w:pPr>
    </w:p>
    <w:p w14:paraId="11CE1883" w14:textId="77777777" w:rsidR="007C5685" w:rsidRDefault="007C5685">
      <w:pPr>
        <w:pStyle w:val="Body"/>
        <w:spacing w:after="0"/>
        <w:rPr>
          <w:rFonts w:ascii="Arial" w:hAnsi="Arial" w:cs="Arial"/>
        </w:rPr>
      </w:pPr>
    </w:p>
    <w:p w14:paraId="2A8F044D" w14:textId="77777777" w:rsidR="007C5685" w:rsidRDefault="00F26870">
      <w:pPr>
        <w:pStyle w:val="AbstHead"/>
        <w:spacing w:after="0"/>
        <w:jc w:val="both"/>
        <w:rPr>
          <w:rFonts w:ascii="Arial" w:hAnsi="Arial" w:cs="Arial"/>
        </w:rPr>
      </w:pPr>
      <w:r>
        <w:rPr>
          <w:rFonts w:ascii="Arial" w:hAnsi="Arial" w:cs="Arial"/>
        </w:rPr>
        <w:t>2. material and methods</w:t>
      </w:r>
    </w:p>
    <w:p w14:paraId="4BA4C5FA" w14:textId="77777777" w:rsidR="007C5685" w:rsidRDefault="007C5685">
      <w:pPr>
        <w:pStyle w:val="AbstHead"/>
        <w:spacing w:after="0"/>
        <w:jc w:val="both"/>
        <w:rPr>
          <w:rFonts w:ascii="Arial" w:hAnsi="Arial" w:cs="Arial"/>
        </w:rPr>
      </w:pPr>
    </w:p>
    <w:p w14:paraId="0B4BF704" w14:textId="77777777" w:rsidR="007C5685" w:rsidRDefault="007C5685">
      <w:pPr>
        <w:pStyle w:val="Body"/>
        <w:spacing w:after="0"/>
        <w:rPr>
          <w:rFonts w:ascii="Arial" w:hAnsi="Arial" w:cs="Arial"/>
        </w:rPr>
      </w:pPr>
    </w:p>
    <w:p w14:paraId="7C501D35" w14:textId="77777777" w:rsidR="007C5685" w:rsidRDefault="00F26870">
      <w:pPr>
        <w:pStyle w:val="Body"/>
        <w:spacing w:after="0"/>
        <w:rPr>
          <w:rFonts w:ascii="Arial" w:hAnsi="Arial" w:cs="Arial"/>
        </w:rPr>
      </w:pPr>
      <w:r>
        <w:rPr>
          <w:rFonts w:ascii="Arial" w:hAnsi="Arial" w:cs="Arial"/>
          <w:b/>
          <w:caps/>
          <w:sz w:val="22"/>
        </w:rPr>
        <w:t xml:space="preserve">2.1 </w:t>
      </w:r>
      <w:r>
        <w:rPr>
          <w:rFonts w:ascii="Arial" w:hAnsi="Arial" w:cs="Arial"/>
          <w:b/>
          <w:bCs/>
          <w:sz w:val="22"/>
          <w:szCs w:val="22"/>
        </w:rPr>
        <w:t>Morphological Characterization</w:t>
      </w:r>
    </w:p>
    <w:p w14:paraId="287D6268" w14:textId="77777777" w:rsidR="007C5685" w:rsidRDefault="007C5685">
      <w:pPr>
        <w:pStyle w:val="Body"/>
        <w:spacing w:after="0"/>
        <w:rPr>
          <w:rFonts w:ascii="Arial" w:hAnsi="Arial" w:cs="Arial"/>
        </w:rPr>
      </w:pPr>
    </w:p>
    <w:p w14:paraId="6D34F5D6" w14:textId="77777777" w:rsidR="007C5685" w:rsidRDefault="007C5685">
      <w:pPr>
        <w:pStyle w:val="Body"/>
        <w:spacing w:after="0"/>
        <w:rPr>
          <w:rFonts w:ascii="Arial" w:hAnsi="Arial" w:cs="Arial"/>
        </w:rPr>
      </w:pPr>
    </w:p>
    <w:p w14:paraId="23C80C94" w14:textId="77777777" w:rsidR="007C5685" w:rsidRDefault="00F26870">
      <w:pPr>
        <w:pStyle w:val="Body"/>
        <w:spacing w:after="0"/>
        <w:rPr>
          <w:rFonts w:ascii="Arial" w:hAnsi="Arial" w:cs="Arial"/>
          <w:lang w:val="en-MY"/>
        </w:rPr>
      </w:pPr>
      <w:r>
        <w:rPr>
          <w:rFonts w:ascii="Arial" w:hAnsi="Arial" w:cs="Arial"/>
          <w:lang w:val="en-MY"/>
        </w:rPr>
        <w:t xml:space="preserve">Twenty-one accessions of </w:t>
      </w:r>
      <w:r>
        <w:rPr>
          <w:rFonts w:ascii="Arial" w:hAnsi="Arial" w:cs="Arial"/>
          <w:i/>
          <w:iCs/>
          <w:lang w:val="en-MY"/>
        </w:rPr>
        <w:t>K. parviflora</w:t>
      </w:r>
      <w:r>
        <w:rPr>
          <w:rFonts w:ascii="Arial" w:hAnsi="Arial" w:cs="Arial"/>
          <w:lang w:val="en-MY"/>
        </w:rPr>
        <w:t xml:space="preserve"> (Table 1) were collected from various locations and suppliers were cultivated under uniform conditions at MARDI </w:t>
      </w:r>
      <w:proofErr w:type="spellStart"/>
      <w:r>
        <w:rPr>
          <w:rFonts w:ascii="Arial" w:hAnsi="Arial" w:cs="Arial"/>
          <w:lang w:val="en-MY"/>
        </w:rPr>
        <w:t>Jerangau</w:t>
      </w:r>
      <w:proofErr w:type="spellEnd"/>
      <w:r>
        <w:rPr>
          <w:rFonts w:ascii="Arial" w:hAnsi="Arial" w:cs="Arial"/>
          <w:lang w:val="en-MY"/>
        </w:rPr>
        <w:t>. Morphological evaluation was conducted at the mature stage based on 14 traits: plant height, number of leaves, leaf length, leaf widt</w:t>
      </w:r>
      <w:r>
        <w:rPr>
          <w:rFonts w:ascii="Arial" w:hAnsi="Arial" w:cs="Arial"/>
          <w:lang w:val="en-MY"/>
        </w:rPr>
        <w:t xml:space="preserve">h, petiole length, petiole width, leaf sheath length, leaf sheath width, flower length, inflorescence length, peduncle length, leaf shape, leaf sheath </w:t>
      </w:r>
      <w:proofErr w:type="spellStart"/>
      <w:r>
        <w:rPr>
          <w:rFonts w:ascii="Arial" w:hAnsi="Arial" w:cs="Arial"/>
          <w:lang w:val="en-MY"/>
        </w:rPr>
        <w:t>color</w:t>
      </w:r>
      <w:proofErr w:type="spellEnd"/>
      <w:r>
        <w:rPr>
          <w:rFonts w:ascii="Arial" w:hAnsi="Arial" w:cs="Arial"/>
          <w:lang w:val="en-MY"/>
        </w:rPr>
        <w:t xml:space="preserve">, and leaf margin </w:t>
      </w:r>
      <w:proofErr w:type="spellStart"/>
      <w:r>
        <w:rPr>
          <w:rFonts w:ascii="Arial" w:hAnsi="Arial" w:cs="Arial"/>
          <w:lang w:val="en-MY"/>
        </w:rPr>
        <w:t>color</w:t>
      </w:r>
      <w:proofErr w:type="spellEnd"/>
      <w:r>
        <w:rPr>
          <w:rFonts w:ascii="Arial" w:hAnsi="Arial" w:cs="Arial"/>
          <w:lang w:val="en-MY"/>
        </w:rPr>
        <w:t>. Quantitative traits were measured using standard tools, while qualitative t</w:t>
      </w:r>
      <w:r>
        <w:rPr>
          <w:rFonts w:ascii="Arial" w:hAnsi="Arial" w:cs="Arial"/>
          <w:lang w:val="en-MY"/>
        </w:rPr>
        <w:t>raits were assessed visually.</w:t>
      </w:r>
    </w:p>
    <w:p w14:paraId="4C974ABA" w14:textId="77777777" w:rsidR="007C5685" w:rsidRDefault="007C5685">
      <w:pPr>
        <w:pStyle w:val="Body"/>
        <w:spacing w:after="0"/>
        <w:rPr>
          <w:rFonts w:ascii="Arial" w:hAnsi="Arial" w:cs="Arial"/>
          <w:lang w:val="en-MY"/>
        </w:rPr>
      </w:pPr>
    </w:p>
    <w:p w14:paraId="631AADEA" w14:textId="77777777" w:rsidR="007C5685" w:rsidRDefault="00F26870">
      <w:pPr>
        <w:pStyle w:val="Body"/>
        <w:spacing w:after="0"/>
        <w:rPr>
          <w:rFonts w:ascii="Arial" w:hAnsi="Arial" w:cs="Arial"/>
          <w:lang w:val="en-MY"/>
        </w:rPr>
      </w:pPr>
      <w:r>
        <w:rPr>
          <w:rFonts w:ascii="Arial" w:hAnsi="Arial" w:cs="Arial"/>
          <w:lang w:val="en-MY"/>
        </w:rPr>
        <w:t xml:space="preserve">Morphological data, comprising both qualitative and quantitative variables, were </w:t>
      </w:r>
      <w:proofErr w:type="spellStart"/>
      <w:r>
        <w:rPr>
          <w:rFonts w:ascii="Arial" w:hAnsi="Arial" w:cs="Arial"/>
          <w:lang w:val="en-MY"/>
        </w:rPr>
        <w:t>analyzed</w:t>
      </w:r>
      <w:proofErr w:type="spellEnd"/>
      <w:r>
        <w:rPr>
          <w:rFonts w:ascii="Arial" w:hAnsi="Arial" w:cs="Arial"/>
          <w:lang w:val="en-MY"/>
        </w:rPr>
        <w:t xml:space="preserve"> using Gower’s General Similarity Coefficient. Cluster analysis was performed using the unweighted pair-group method with arithmetic mea</w:t>
      </w:r>
      <w:r>
        <w:rPr>
          <w:rFonts w:ascii="Arial" w:hAnsi="Arial" w:cs="Arial"/>
          <w:lang w:val="en-MY"/>
        </w:rPr>
        <w:t>n (UPGMA), and a dendrogram was generated with MVSP software to determine relationships among accessions.</w:t>
      </w:r>
    </w:p>
    <w:p w14:paraId="118EDCE0" w14:textId="77777777" w:rsidR="007C5685" w:rsidRDefault="007C5685">
      <w:pPr>
        <w:tabs>
          <w:tab w:val="left" w:pos="1080"/>
        </w:tabs>
        <w:jc w:val="both"/>
        <w:rPr>
          <w:rFonts w:ascii="Arial" w:hAnsi="Arial"/>
          <w:b/>
          <w:lang w:val="en-MY" w:eastAsia="zh-CN"/>
        </w:rPr>
      </w:pPr>
    </w:p>
    <w:p w14:paraId="30BC424F" w14:textId="77777777" w:rsidR="007C5685" w:rsidRDefault="00F26870">
      <w:pPr>
        <w:tabs>
          <w:tab w:val="left" w:pos="1080"/>
        </w:tabs>
        <w:jc w:val="both"/>
        <w:rPr>
          <w:rFonts w:ascii="Arial" w:hAnsi="Arial"/>
          <w:b/>
          <w:lang w:val="en-MY" w:eastAsia="zh-CN"/>
        </w:rPr>
      </w:pPr>
      <w:r>
        <w:rPr>
          <w:rFonts w:ascii="Arial" w:hAnsi="Arial"/>
          <w:b/>
          <w:lang w:val="en-MY" w:eastAsia="zh-CN"/>
        </w:rPr>
        <w:t>Table 1.</w:t>
      </w:r>
      <w:r>
        <w:rPr>
          <w:rFonts w:ascii="Arial" w:hAnsi="Arial"/>
          <w:b/>
          <w:lang w:val="en-MY" w:eastAsia="zh-CN"/>
        </w:rPr>
        <w:tab/>
        <w:t xml:space="preserve">Commercial </w:t>
      </w:r>
      <w:r>
        <w:rPr>
          <w:rFonts w:ascii="Arial" w:hAnsi="Arial"/>
          <w:b/>
          <w:i/>
          <w:iCs/>
          <w:lang w:val="en-MY" w:eastAsia="zh-CN"/>
        </w:rPr>
        <w:t>K. parviflora</w:t>
      </w:r>
      <w:r>
        <w:rPr>
          <w:rFonts w:ascii="Arial" w:hAnsi="Arial"/>
          <w:b/>
          <w:lang w:val="en-MY" w:eastAsia="zh-CN"/>
        </w:rPr>
        <w:t xml:space="preserve"> rhizomes collected from suppliers and commercial cultivation</w:t>
      </w:r>
    </w:p>
    <w:p w14:paraId="4148AEBC" w14:textId="77777777" w:rsidR="007C5685" w:rsidRDefault="007C5685">
      <w:pPr>
        <w:tabs>
          <w:tab w:val="left" w:pos="1080"/>
        </w:tabs>
        <w:jc w:val="both"/>
        <w:rPr>
          <w:rFonts w:ascii="Arial" w:hAnsi="Arial"/>
          <w:b/>
          <w:lang w:val="en-MY" w:eastAsia="zh-CN"/>
        </w:rPr>
      </w:pPr>
    </w:p>
    <w:tbl>
      <w:tblPr>
        <w:tblStyle w:val="TableGrid"/>
        <w:tblW w:w="77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
        <w:gridCol w:w="1296"/>
        <w:gridCol w:w="4548"/>
        <w:gridCol w:w="1308"/>
      </w:tblGrid>
      <w:tr w:rsidR="007C5685" w14:paraId="7509D185" w14:textId="77777777">
        <w:trPr>
          <w:jc w:val="center"/>
        </w:trPr>
        <w:tc>
          <w:tcPr>
            <w:tcW w:w="564" w:type="dxa"/>
            <w:tcBorders>
              <w:top w:val="single" w:sz="4" w:space="0" w:color="auto"/>
              <w:left w:val="nil"/>
              <w:bottom w:val="single" w:sz="4" w:space="0" w:color="auto"/>
              <w:right w:val="nil"/>
            </w:tcBorders>
          </w:tcPr>
          <w:p w14:paraId="1C643A9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No.</w:t>
            </w:r>
          </w:p>
        </w:tc>
        <w:tc>
          <w:tcPr>
            <w:tcW w:w="1296" w:type="dxa"/>
            <w:tcBorders>
              <w:top w:val="single" w:sz="4" w:space="0" w:color="auto"/>
              <w:left w:val="nil"/>
              <w:bottom w:val="single" w:sz="4" w:space="0" w:color="auto"/>
              <w:right w:val="nil"/>
            </w:tcBorders>
          </w:tcPr>
          <w:p w14:paraId="4C277F1A"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Accession code</w:t>
            </w:r>
          </w:p>
        </w:tc>
        <w:tc>
          <w:tcPr>
            <w:tcW w:w="4548" w:type="dxa"/>
            <w:tcBorders>
              <w:top w:val="single" w:sz="4" w:space="0" w:color="auto"/>
              <w:left w:val="nil"/>
              <w:bottom w:val="single" w:sz="4" w:space="0" w:color="auto"/>
              <w:right w:val="nil"/>
            </w:tcBorders>
          </w:tcPr>
          <w:p w14:paraId="2243EBA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Commercial cultivated supplier/</w:t>
            </w:r>
            <w:r>
              <w:rPr>
                <w:rFonts w:ascii="Arial" w:hAnsi="Arial" w:cs="Arial"/>
                <w:i w:val="0"/>
                <w:lang w:val="en-MY"/>
              </w:rPr>
              <w:t xml:space="preserve"> </w:t>
            </w:r>
            <w:r>
              <w:rPr>
                <w:rFonts w:ascii="Arial" w:hAnsi="Arial" w:cs="Arial"/>
                <w:i w:val="0"/>
              </w:rPr>
              <w:t>location</w:t>
            </w:r>
          </w:p>
        </w:tc>
        <w:tc>
          <w:tcPr>
            <w:tcW w:w="1308" w:type="dxa"/>
            <w:tcBorders>
              <w:top w:val="single" w:sz="4" w:space="0" w:color="auto"/>
              <w:left w:val="nil"/>
              <w:bottom w:val="single" w:sz="4" w:space="0" w:color="auto"/>
              <w:right w:val="nil"/>
            </w:tcBorders>
          </w:tcPr>
          <w:p w14:paraId="22B42C0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Date collected</w:t>
            </w:r>
          </w:p>
        </w:tc>
      </w:tr>
      <w:tr w:rsidR="007C5685" w14:paraId="1BCA03FD" w14:textId="77777777">
        <w:trPr>
          <w:jc w:val="center"/>
        </w:trPr>
        <w:tc>
          <w:tcPr>
            <w:tcW w:w="564" w:type="dxa"/>
            <w:tcBorders>
              <w:top w:val="single" w:sz="4" w:space="0" w:color="auto"/>
              <w:left w:val="nil"/>
              <w:bottom w:val="nil"/>
              <w:right w:val="nil"/>
            </w:tcBorders>
          </w:tcPr>
          <w:p w14:paraId="14B7D860"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w:t>
            </w:r>
          </w:p>
        </w:tc>
        <w:tc>
          <w:tcPr>
            <w:tcW w:w="1296" w:type="dxa"/>
            <w:tcBorders>
              <w:top w:val="single" w:sz="4" w:space="0" w:color="auto"/>
              <w:left w:val="nil"/>
              <w:bottom w:val="nil"/>
              <w:right w:val="nil"/>
            </w:tcBorders>
          </w:tcPr>
          <w:p w14:paraId="6BF4947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KH-THA-1</w:t>
            </w:r>
          </w:p>
        </w:tc>
        <w:tc>
          <w:tcPr>
            <w:tcW w:w="4548" w:type="dxa"/>
            <w:tcBorders>
              <w:top w:val="single" w:sz="4" w:space="0" w:color="auto"/>
              <w:left w:val="nil"/>
              <w:bottom w:val="nil"/>
              <w:right w:val="nil"/>
            </w:tcBorders>
          </w:tcPr>
          <w:p w14:paraId="20F199C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Aliran</w:t>
            </w:r>
            <w:proofErr w:type="spellEnd"/>
            <w:r>
              <w:rPr>
                <w:rFonts w:ascii="Arial" w:hAnsi="Arial" w:cs="Arial"/>
                <w:i w:val="0"/>
              </w:rPr>
              <w:t> </w:t>
            </w:r>
            <w:proofErr w:type="spellStart"/>
            <w:r>
              <w:rPr>
                <w:rFonts w:ascii="Arial" w:hAnsi="Arial" w:cs="Arial"/>
                <w:i w:val="0"/>
              </w:rPr>
              <w:t>Sepakat</w:t>
            </w:r>
            <w:proofErr w:type="spellEnd"/>
            <w:r>
              <w:rPr>
                <w:rFonts w:ascii="Arial" w:hAnsi="Arial" w:cs="Arial"/>
                <w:i w:val="0"/>
              </w:rPr>
              <w:t> Enterprise </w:t>
            </w:r>
          </w:p>
        </w:tc>
        <w:tc>
          <w:tcPr>
            <w:tcW w:w="1308" w:type="dxa"/>
            <w:tcBorders>
              <w:top w:val="single" w:sz="4" w:space="0" w:color="auto"/>
              <w:left w:val="nil"/>
              <w:bottom w:val="nil"/>
              <w:right w:val="nil"/>
            </w:tcBorders>
          </w:tcPr>
          <w:p w14:paraId="6FA4AE9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14/4/2021</w:t>
            </w:r>
          </w:p>
        </w:tc>
      </w:tr>
      <w:tr w:rsidR="007C5685" w14:paraId="6941852F" w14:textId="77777777">
        <w:trPr>
          <w:jc w:val="center"/>
        </w:trPr>
        <w:tc>
          <w:tcPr>
            <w:tcW w:w="564" w:type="dxa"/>
            <w:tcBorders>
              <w:top w:val="nil"/>
              <w:left w:val="nil"/>
              <w:bottom w:val="nil"/>
              <w:right w:val="nil"/>
            </w:tcBorders>
          </w:tcPr>
          <w:p w14:paraId="3007B89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w:t>
            </w:r>
          </w:p>
        </w:tc>
        <w:tc>
          <w:tcPr>
            <w:tcW w:w="1296" w:type="dxa"/>
            <w:tcBorders>
              <w:top w:val="nil"/>
              <w:left w:val="nil"/>
              <w:bottom w:val="nil"/>
              <w:right w:val="nil"/>
            </w:tcBorders>
          </w:tcPr>
          <w:p w14:paraId="3341046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KH-LAO-1</w:t>
            </w:r>
          </w:p>
        </w:tc>
        <w:tc>
          <w:tcPr>
            <w:tcW w:w="4548" w:type="dxa"/>
            <w:tcBorders>
              <w:top w:val="nil"/>
              <w:left w:val="nil"/>
              <w:bottom w:val="nil"/>
              <w:right w:val="nil"/>
            </w:tcBorders>
          </w:tcPr>
          <w:p w14:paraId="60526F7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Laos - </w:t>
            </w:r>
            <w:proofErr w:type="spellStart"/>
            <w:r>
              <w:rPr>
                <w:rFonts w:ascii="Arial" w:hAnsi="Arial" w:cs="Arial"/>
                <w:i w:val="0"/>
              </w:rPr>
              <w:t>Aliran</w:t>
            </w:r>
            <w:proofErr w:type="spellEnd"/>
            <w:r>
              <w:rPr>
                <w:rFonts w:ascii="Arial" w:hAnsi="Arial" w:cs="Arial"/>
                <w:i w:val="0"/>
              </w:rPr>
              <w:t> </w:t>
            </w:r>
            <w:proofErr w:type="spellStart"/>
            <w:r>
              <w:rPr>
                <w:rFonts w:ascii="Arial" w:hAnsi="Arial" w:cs="Arial"/>
                <w:i w:val="0"/>
              </w:rPr>
              <w:t>Sepakat</w:t>
            </w:r>
            <w:proofErr w:type="spellEnd"/>
            <w:r>
              <w:rPr>
                <w:rFonts w:ascii="Arial" w:hAnsi="Arial" w:cs="Arial"/>
                <w:i w:val="0"/>
              </w:rPr>
              <w:t> Enterprise </w:t>
            </w:r>
          </w:p>
        </w:tc>
        <w:tc>
          <w:tcPr>
            <w:tcW w:w="1308" w:type="dxa"/>
            <w:tcBorders>
              <w:top w:val="nil"/>
              <w:left w:val="nil"/>
              <w:bottom w:val="nil"/>
              <w:right w:val="nil"/>
            </w:tcBorders>
          </w:tcPr>
          <w:p w14:paraId="558BA4E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14/4/2021</w:t>
            </w:r>
          </w:p>
        </w:tc>
      </w:tr>
      <w:tr w:rsidR="007C5685" w14:paraId="2291EBA4" w14:textId="77777777">
        <w:trPr>
          <w:jc w:val="center"/>
        </w:trPr>
        <w:tc>
          <w:tcPr>
            <w:tcW w:w="564" w:type="dxa"/>
            <w:tcBorders>
              <w:top w:val="nil"/>
              <w:left w:val="nil"/>
              <w:bottom w:val="nil"/>
              <w:right w:val="nil"/>
            </w:tcBorders>
          </w:tcPr>
          <w:p w14:paraId="119F4B6C"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w:t>
            </w:r>
          </w:p>
        </w:tc>
        <w:tc>
          <w:tcPr>
            <w:tcW w:w="1296" w:type="dxa"/>
            <w:tcBorders>
              <w:top w:val="nil"/>
              <w:left w:val="nil"/>
              <w:bottom w:val="nil"/>
              <w:right w:val="nil"/>
            </w:tcBorders>
          </w:tcPr>
          <w:p w14:paraId="271D1E9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KH-THA-2</w:t>
            </w:r>
          </w:p>
        </w:tc>
        <w:tc>
          <w:tcPr>
            <w:tcW w:w="4548" w:type="dxa"/>
            <w:tcBorders>
              <w:top w:val="nil"/>
              <w:left w:val="nil"/>
              <w:bottom w:val="nil"/>
              <w:right w:val="nil"/>
            </w:tcBorders>
          </w:tcPr>
          <w:p w14:paraId="232A5A3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Easyherb</w:t>
            </w:r>
            <w:proofErr w:type="spellEnd"/>
          </w:p>
        </w:tc>
        <w:tc>
          <w:tcPr>
            <w:tcW w:w="1308" w:type="dxa"/>
            <w:tcBorders>
              <w:top w:val="nil"/>
              <w:left w:val="nil"/>
              <w:bottom w:val="nil"/>
              <w:right w:val="nil"/>
            </w:tcBorders>
          </w:tcPr>
          <w:p w14:paraId="2AD4035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24/5/2021</w:t>
            </w:r>
          </w:p>
        </w:tc>
      </w:tr>
      <w:tr w:rsidR="007C5685" w14:paraId="5ED6D461" w14:textId="77777777">
        <w:trPr>
          <w:jc w:val="center"/>
        </w:trPr>
        <w:tc>
          <w:tcPr>
            <w:tcW w:w="564" w:type="dxa"/>
            <w:tcBorders>
              <w:top w:val="nil"/>
              <w:left w:val="nil"/>
              <w:bottom w:val="nil"/>
              <w:right w:val="nil"/>
            </w:tcBorders>
          </w:tcPr>
          <w:p w14:paraId="5309B8C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lastRenderedPageBreak/>
              <w:t>4</w:t>
            </w:r>
          </w:p>
        </w:tc>
        <w:tc>
          <w:tcPr>
            <w:tcW w:w="1296" w:type="dxa"/>
            <w:tcBorders>
              <w:top w:val="nil"/>
              <w:left w:val="nil"/>
              <w:bottom w:val="nil"/>
              <w:right w:val="nil"/>
            </w:tcBorders>
          </w:tcPr>
          <w:p w14:paraId="3702D86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KH-VIE-1</w:t>
            </w:r>
          </w:p>
        </w:tc>
        <w:tc>
          <w:tcPr>
            <w:tcW w:w="4548" w:type="dxa"/>
            <w:tcBorders>
              <w:top w:val="nil"/>
              <w:left w:val="nil"/>
              <w:bottom w:val="nil"/>
              <w:right w:val="nil"/>
            </w:tcBorders>
          </w:tcPr>
          <w:p w14:paraId="0335AC8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Vietnam - Aman Ubi House</w:t>
            </w:r>
          </w:p>
        </w:tc>
        <w:tc>
          <w:tcPr>
            <w:tcW w:w="1308" w:type="dxa"/>
            <w:tcBorders>
              <w:top w:val="nil"/>
              <w:left w:val="nil"/>
              <w:bottom w:val="nil"/>
              <w:right w:val="nil"/>
            </w:tcBorders>
          </w:tcPr>
          <w:p w14:paraId="3D28BC9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30/8/2021</w:t>
            </w:r>
          </w:p>
        </w:tc>
      </w:tr>
      <w:tr w:rsidR="007C5685" w14:paraId="139B8295" w14:textId="77777777">
        <w:trPr>
          <w:jc w:val="center"/>
        </w:trPr>
        <w:tc>
          <w:tcPr>
            <w:tcW w:w="564" w:type="dxa"/>
            <w:tcBorders>
              <w:top w:val="nil"/>
              <w:left w:val="nil"/>
              <w:bottom w:val="nil"/>
              <w:right w:val="nil"/>
            </w:tcBorders>
          </w:tcPr>
          <w:p w14:paraId="729E659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5</w:t>
            </w:r>
          </w:p>
        </w:tc>
        <w:tc>
          <w:tcPr>
            <w:tcW w:w="1296" w:type="dxa"/>
            <w:tcBorders>
              <w:top w:val="nil"/>
              <w:left w:val="nil"/>
              <w:bottom w:val="nil"/>
              <w:right w:val="nil"/>
            </w:tcBorders>
          </w:tcPr>
          <w:p w14:paraId="41ABBE8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KH-LAO-2</w:t>
            </w:r>
          </w:p>
        </w:tc>
        <w:tc>
          <w:tcPr>
            <w:tcW w:w="4548" w:type="dxa"/>
            <w:tcBorders>
              <w:top w:val="nil"/>
              <w:left w:val="nil"/>
              <w:bottom w:val="nil"/>
              <w:right w:val="nil"/>
            </w:tcBorders>
          </w:tcPr>
          <w:p w14:paraId="74B8F9E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Laos - </w:t>
            </w:r>
            <w:proofErr w:type="spellStart"/>
            <w:r>
              <w:rPr>
                <w:rFonts w:ascii="Arial" w:hAnsi="Arial" w:cs="Arial"/>
                <w:i w:val="0"/>
              </w:rPr>
              <w:t>Boifresh</w:t>
            </w:r>
            <w:proofErr w:type="spellEnd"/>
            <w:r>
              <w:rPr>
                <w:rFonts w:ascii="Arial" w:hAnsi="Arial" w:cs="Arial"/>
                <w:i w:val="0"/>
              </w:rPr>
              <w:t> Wellness Trading</w:t>
            </w:r>
          </w:p>
        </w:tc>
        <w:tc>
          <w:tcPr>
            <w:tcW w:w="1308" w:type="dxa"/>
            <w:tcBorders>
              <w:top w:val="nil"/>
              <w:left w:val="nil"/>
              <w:bottom w:val="nil"/>
              <w:right w:val="nil"/>
            </w:tcBorders>
          </w:tcPr>
          <w:p w14:paraId="77585AAC"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20/9/2021</w:t>
            </w:r>
          </w:p>
        </w:tc>
      </w:tr>
      <w:tr w:rsidR="007C5685" w14:paraId="43E746F6" w14:textId="77777777">
        <w:trPr>
          <w:jc w:val="center"/>
        </w:trPr>
        <w:tc>
          <w:tcPr>
            <w:tcW w:w="564" w:type="dxa"/>
            <w:tcBorders>
              <w:top w:val="nil"/>
              <w:left w:val="nil"/>
              <w:bottom w:val="nil"/>
              <w:right w:val="nil"/>
            </w:tcBorders>
          </w:tcPr>
          <w:p w14:paraId="4FED389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6</w:t>
            </w:r>
          </w:p>
        </w:tc>
        <w:tc>
          <w:tcPr>
            <w:tcW w:w="1296" w:type="dxa"/>
            <w:tcBorders>
              <w:top w:val="nil"/>
              <w:left w:val="nil"/>
              <w:bottom w:val="nil"/>
              <w:right w:val="nil"/>
            </w:tcBorders>
          </w:tcPr>
          <w:p w14:paraId="5AA1B880"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KH-THA-3</w:t>
            </w:r>
          </w:p>
        </w:tc>
        <w:tc>
          <w:tcPr>
            <w:tcW w:w="4548" w:type="dxa"/>
            <w:tcBorders>
              <w:top w:val="nil"/>
              <w:left w:val="nil"/>
              <w:bottom w:val="nil"/>
              <w:right w:val="nil"/>
            </w:tcBorders>
          </w:tcPr>
          <w:p w14:paraId="092FDBB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Aman Ubi House</w:t>
            </w:r>
          </w:p>
        </w:tc>
        <w:tc>
          <w:tcPr>
            <w:tcW w:w="1308" w:type="dxa"/>
            <w:tcBorders>
              <w:top w:val="nil"/>
              <w:left w:val="nil"/>
              <w:bottom w:val="nil"/>
              <w:right w:val="nil"/>
            </w:tcBorders>
          </w:tcPr>
          <w:p w14:paraId="0C0C034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30/9/2021</w:t>
            </w:r>
          </w:p>
        </w:tc>
      </w:tr>
      <w:tr w:rsidR="007C5685" w14:paraId="4DCC8C4F" w14:textId="77777777">
        <w:trPr>
          <w:jc w:val="center"/>
        </w:trPr>
        <w:tc>
          <w:tcPr>
            <w:tcW w:w="564" w:type="dxa"/>
            <w:tcBorders>
              <w:top w:val="nil"/>
              <w:left w:val="nil"/>
              <w:bottom w:val="nil"/>
              <w:right w:val="nil"/>
            </w:tcBorders>
          </w:tcPr>
          <w:p w14:paraId="1A9A28B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7</w:t>
            </w:r>
          </w:p>
        </w:tc>
        <w:tc>
          <w:tcPr>
            <w:tcW w:w="1296" w:type="dxa"/>
            <w:tcBorders>
              <w:top w:val="nil"/>
              <w:left w:val="nil"/>
              <w:bottom w:val="nil"/>
              <w:right w:val="nil"/>
            </w:tcBorders>
          </w:tcPr>
          <w:p w14:paraId="27194DD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KH-THA-4</w:t>
            </w:r>
          </w:p>
        </w:tc>
        <w:tc>
          <w:tcPr>
            <w:tcW w:w="4548" w:type="dxa"/>
            <w:tcBorders>
              <w:top w:val="nil"/>
              <w:left w:val="nil"/>
              <w:bottom w:val="nil"/>
              <w:right w:val="nil"/>
            </w:tcBorders>
          </w:tcPr>
          <w:p w14:paraId="10CC555A"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Yusri</w:t>
            </w:r>
            <w:proofErr w:type="spellEnd"/>
            <w:r>
              <w:rPr>
                <w:rFonts w:ascii="Arial" w:hAnsi="Arial" w:cs="Arial"/>
                <w:i w:val="0"/>
              </w:rPr>
              <w:t> </w:t>
            </w:r>
            <w:proofErr w:type="spellStart"/>
            <w:r>
              <w:rPr>
                <w:rFonts w:ascii="Arial" w:hAnsi="Arial" w:cs="Arial"/>
                <w:i w:val="0"/>
              </w:rPr>
              <w:t>Tijarah</w:t>
            </w:r>
            <w:proofErr w:type="spellEnd"/>
            <w:r>
              <w:rPr>
                <w:rFonts w:ascii="Arial" w:hAnsi="Arial" w:cs="Arial"/>
                <w:i w:val="0"/>
              </w:rPr>
              <w:t> Group Ent.</w:t>
            </w:r>
          </w:p>
        </w:tc>
        <w:tc>
          <w:tcPr>
            <w:tcW w:w="1308" w:type="dxa"/>
            <w:tcBorders>
              <w:top w:val="nil"/>
              <w:left w:val="nil"/>
              <w:bottom w:val="nil"/>
              <w:right w:val="nil"/>
            </w:tcBorders>
          </w:tcPr>
          <w:p w14:paraId="09F3172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3/10/2021</w:t>
            </w:r>
          </w:p>
        </w:tc>
      </w:tr>
      <w:tr w:rsidR="007C5685" w14:paraId="14DB820D" w14:textId="77777777">
        <w:trPr>
          <w:jc w:val="center"/>
        </w:trPr>
        <w:tc>
          <w:tcPr>
            <w:tcW w:w="564" w:type="dxa"/>
            <w:tcBorders>
              <w:top w:val="nil"/>
              <w:left w:val="nil"/>
              <w:bottom w:val="nil"/>
              <w:right w:val="nil"/>
            </w:tcBorders>
          </w:tcPr>
          <w:p w14:paraId="3B2F9BA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8</w:t>
            </w:r>
          </w:p>
        </w:tc>
        <w:tc>
          <w:tcPr>
            <w:tcW w:w="1296" w:type="dxa"/>
            <w:tcBorders>
              <w:top w:val="nil"/>
              <w:left w:val="nil"/>
              <w:bottom w:val="nil"/>
              <w:right w:val="nil"/>
            </w:tcBorders>
          </w:tcPr>
          <w:p w14:paraId="2C7401A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KH-THA-5</w:t>
            </w:r>
          </w:p>
        </w:tc>
        <w:tc>
          <w:tcPr>
            <w:tcW w:w="4548" w:type="dxa"/>
            <w:tcBorders>
              <w:top w:val="nil"/>
              <w:left w:val="nil"/>
              <w:bottom w:val="nil"/>
              <w:right w:val="nil"/>
            </w:tcBorders>
          </w:tcPr>
          <w:p w14:paraId="7971552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Global Element Enterprise</w:t>
            </w:r>
          </w:p>
        </w:tc>
        <w:tc>
          <w:tcPr>
            <w:tcW w:w="1308" w:type="dxa"/>
            <w:tcBorders>
              <w:top w:val="nil"/>
              <w:left w:val="nil"/>
              <w:bottom w:val="nil"/>
              <w:right w:val="nil"/>
            </w:tcBorders>
          </w:tcPr>
          <w:p w14:paraId="0BDC134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17/10/2021</w:t>
            </w:r>
          </w:p>
        </w:tc>
      </w:tr>
      <w:tr w:rsidR="007C5685" w14:paraId="5771C1E8" w14:textId="77777777">
        <w:trPr>
          <w:jc w:val="center"/>
        </w:trPr>
        <w:tc>
          <w:tcPr>
            <w:tcW w:w="564" w:type="dxa"/>
            <w:tcBorders>
              <w:top w:val="nil"/>
              <w:left w:val="nil"/>
              <w:bottom w:val="nil"/>
              <w:right w:val="nil"/>
            </w:tcBorders>
          </w:tcPr>
          <w:p w14:paraId="4418F39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9</w:t>
            </w:r>
          </w:p>
        </w:tc>
        <w:tc>
          <w:tcPr>
            <w:tcW w:w="1296" w:type="dxa"/>
            <w:tcBorders>
              <w:top w:val="nil"/>
              <w:left w:val="nil"/>
              <w:bottom w:val="nil"/>
              <w:right w:val="nil"/>
            </w:tcBorders>
          </w:tcPr>
          <w:p w14:paraId="0C4654B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KH-THA-6</w:t>
            </w:r>
          </w:p>
        </w:tc>
        <w:tc>
          <w:tcPr>
            <w:tcW w:w="4548" w:type="dxa"/>
            <w:tcBorders>
              <w:top w:val="nil"/>
              <w:left w:val="nil"/>
              <w:bottom w:val="nil"/>
              <w:right w:val="nil"/>
            </w:tcBorders>
          </w:tcPr>
          <w:p w14:paraId="012C5D9A"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Global Element Enterprise</w:t>
            </w:r>
          </w:p>
        </w:tc>
        <w:tc>
          <w:tcPr>
            <w:tcW w:w="1308" w:type="dxa"/>
            <w:tcBorders>
              <w:top w:val="nil"/>
              <w:left w:val="nil"/>
              <w:bottom w:val="nil"/>
              <w:right w:val="nil"/>
            </w:tcBorders>
          </w:tcPr>
          <w:p w14:paraId="1E0F991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17/10/2021</w:t>
            </w:r>
          </w:p>
        </w:tc>
      </w:tr>
      <w:tr w:rsidR="007C5685" w14:paraId="594A401A" w14:textId="77777777">
        <w:trPr>
          <w:jc w:val="center"/>
        </w:trPr>
        <w:tc>
          <w:tcPr>
            <w:tcW w:w="564" w:type="dxa"/>
            <w:tcBorders>
              <w:top w:val="nil"/>
              <w:left w:val="nil"/>
              <w:bottom w:val="nil"/>
              <w:right w:val="nil"/>
            </w:tcBorders>
          </w:tcPr>
          <w:p w14:paraId="4228B47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10</w:t>
            </w:r>
          </w:p>
        </w:tc>
        <w:tc>
          <w:tcPr>
            <w:tcW w:w="1296" w:type="dxa"/>
            <w:tcBorders>
              <w:top w:val="nil"/>
              <w:left w:val="nil"/>
              <w:bottom w:val="nil"/>
              <w:right w:val="nil"/>
            </w:tcBorders>
          </w:tcPr>
          <w:p w14:paraId="2EA1016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KH-THA-7</w:t>
            </w:r>
          </w:p>
        </w:tc>
        <w:tc>
          <w:tcPr>
            <w:tcW w:w="4548" w:type="dxa"/>
            <w:tcBorders>
              <w:top w:val="nil"/>
              <w:left w:val="nil"/>
              <w:bottom w:val="nil"/>
              <w:right w:val="nil"/>
            </w:tcBorders>
          </w:tcPr>
          <w:p w14:paraId="71C02FD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Vma</w:t>
            </w:r>
            <w:proofErr w:type="spellEnd"/>
            <w:r>
              <w:rPr>
                <w:rFonts w:ascii="Arial" w:hAnsi="Arial" w:cs="Arial"/>
                <w:i w:val="0"/>
              </w:rPr>
              <w:t> Empire</w:t>
            </w:r>
          </w:p>
        </w:tc>
        <w:tc>
          <w:tcPr>
            <w:tcW w:w="1308" w:type="dxa"/>
            <w:tcBorders>
              <w:top w:val="nil"/>
              <w:left w:val="nil"/>
              <w:bottom w:val="nil"/>
              <w:right w:val="nil"/>
            </w:tcBorders>
          </w:tcPr>
          <w:p w14:paraId="74F7963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16/12/21</w:t>
            </w:r>
          </w:p>
        </w:tc>
      </w:tr>
      <w:tr w:rsidR="007C5685" w14:paraId="71D0BAD1" w14:textId="77777777">
        <w:trPr>
          <w:jc w:val="center"/>
        </w:trPr>
        <w:tc>
          <w:tcPr>
            <w:tcW w:w="564" w:type="dxa"/>
            <w:tcBorders>
              <w:top w:val="nil"/>
              <w:left w:val="nil"/>
              <w:bottom w:val="nil"/>
              <w:right w:val="nil"/>
            </w:tcBorders>
          </w:tcPr>
          <w:p w14:paraId="1089FEF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11</w:t>
            </w:r>
          </w:p>
        </w:tc>
        <w:tc>
          <w:tcPr>
            <w:tcW w:w="1296" w:type="dxa"/>
            <w:tcBorders>
              <w:top w:val="nil"/>
              <w:left w:val="nil"/>
              <w:bottom w:val="nil"/>
              <w:right w:val="nil"/>
            </w:tcBorders>
          </w:tcPr>
          <w:p w14:paraId="1907E5B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 8</w:t>
            </w:r>
          </w:p>
        </w:tc>
        <w:tc>
          <w:tcPr>
            <w:tcW w:w="4548" w:type="dxa"/>
            <w:tcBorders>
              <w:top w:val="nil"/>
              <w:left w:val="nil"/>
              <w:bottom w:val="nil"/>
              <w:right w:val="nil"/>
            </w:tcBorders>
          </w:tcPr>
          <w:p w14:paraId="5F043AA0"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Microgreen Shop</w:t>
            </w:r>
          </w:p>
        </w:tc>
        <w:tc>
          <w:tcPr>
            <w:tcW w:w="1308" w:type="dxa"/>
            <w:tcBorders>
              <w:top w:val="nil"/>
              <w:left w:val="nil"/>
              <w:bottom w:val="nil"/>
              <w:right w:val="nil"/>
            </w:tcBorders>
          </w:tcPr>
          <w:p w14:paraId="4049FF3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19/1/2022</w:t>
            </w:r>
          </w:p>
        </w:tc>
      </w:tr>
      <w:tr w:rsidR="007C5685" w14:paraId="46662BDD" w14:textId="77777777">
        <w:trPr>
          <w:jc w:val="center"/>
        </w:trPr>
        <w:tc>
          <w:tcPr>
            <w:tcW w:w="564" w:type="dxa"/>
            <w:tcBorders>
              <w:top w:val="nil"/>
              <w:left w:val="nil"/>
              <w:bottom w:val="nil"/>
              <w:right w:val="nil"/>
            </w:tcBorders>
          </w:tcPr>
          <w:p w14:paraId="6F9BDBF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12</w:t>
            </w:r>
          </w:p>
        </w:tc>
        <w:tc>
          <w:tcPr>
            <w:tcW w:w="1296" w:type="dxa"/>
            <w:tcBorders>
              <w:top w:val="nil"/>
              <w:left w:val="nil"/>
              <w:bottom w:val="nil"/>
              <w:right w:val="nil"/>
            </w:tcBorders>
          </w:tcPr>
          <w:p w14:paraId="495245E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KHA-THA 9</w:t>
            </w:r>
          </w:p>
        </w:tc>
        <w:tc>
          <w:tcPr>
            <w:tcW w:w="4548" w:type="dxa"/>
            <w:tcBorders>
              <w:top w:val="nil"/>
              <w:left w:val="nil"/>
              <w:bottom w:val="nil"/>
              <w:right w:val="nil"/>
            </w:tcBorders>
          </w:tcPr>
          <w:p w14:paraId="7450B18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Khatijah herbs traditional</w:t>
            </w:r>
          </w:p>
        </w:tc>
        <w:tc>
          <w:tcPr>
            <w:tcW w:w="1308" w:type="dxa"/>
            <w:tcBorders>
              <w:top w:val="nil"/>
              <w:left w:val="nil"/>
              <w:bottom w:val="nil"/>
              <w:right w:val="nil"/>
            </w:tcBorders>
          </w:tcPr>
          <w:p w14:paraId="56B705C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23/1/2022</w:t>
            </w:r>
          </w:p>
        </w:tc>
      </w:tr>
      <w:tr w:rsidR="007C5685" w14:paraId="43DB3F4D" w14:textId="77777777">
        <w:trPr>
          <w:jc w:val="center"/>
        </w:trPr>
        <w:tc>
          <w:tcPr>
            <w:tcW w:w="564" w:type="dxa"/>
            <w:tcBorders>
              <w:top w:val="nil"/>
              <w:left w:val="nil"/>
              <w:bottom w:val="nil"/>
              <w:right w:val="nil"/>
            </w:tcBorders>
          </w:tcPr>
          <w:p w14:paraId="58ADA56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13</w:t>
            </w:r>
          </w:p>
        </w:tc>
        <w:tc>
          <w:tcPr>
            <w:tcW w:w="1296" w:type="dxa"/>
            <w:tcBorders>
              <w:top w:val="nil"/>
              <w:left w:val="nil"/>
              <w:bottom w:val="nil"/>
              <w:right w:val="nil"/>
            </w:tcBorders>
          </w:tcPr>
          <w:p w14:paraId="18B07F9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 10</w:t>
            </w:r>
          </w:p>
        </w:tc>
        <w:tc>
          <w:tcPr>
            <w:tcW w:w="4548" w:type="dxa"/>
            <w:tcBorders>
              <w:top w:val="nil"/>
              <w:left w:val="nil"/>
              <w:bottom w:val="nil"/>
              <w:right w:val="nil"/>
            </w:tcBorders>
          </w:tcPr>
          <w:p w14:paraId="461BD61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Yusri</w:t>
            </w:r>
            <w:proofErr w:type="spellEnd"/>
            <w:r>
              <w:rPr>
                <w:rFonts w:ascii="Arial" w:hAnsi="Arial" w:cs="Arial"/>
                <w:i w:val="0"/>
              </w:rPr>
              <w:t> </w:t>
            </w:r>
            <w:proofErr w:type="spellStart"/>
            <w:r>
              <w:rPr>
                <w:rFonts w:ascii="Arial" w:hAnsi="Arial" w:cs="Arial"/>
                <w:i w:val="0"/>
              </w:rPr>
              <w:t>Tijarah</w:t>
            </w:r>
            <w:proofErr w:type="spellEnd"/>
            <w:r>
              <w:rPr>
                <w:rFonts w:ascii="Arial" w:hAnsi="Arial" w:cs="Arial"/>
                <w:i w:val="0"/>
              </w:rPr>
              <w:t> Group Ent.</w:t>
            </w:r>
          </w:p>
        </w:tc>
        <w:tc>
          <w:tcPr>
            <w:tcW w:w="1308" w:type="dxa"/>
            <w:tcBorders>
              <w:top w:val="nil"/>
              <w:left w:val="nil"/>
              <w:bottom w:val="nil"/>
              <w:right w:val="nil"/>
            </w:tcBorders>
          </w:tcPr>
          <w:p w14:paraId="34F205F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22/3/2022</w:t>
            </w:r>
          </w:p>
        </w:tc>
      </w:tr>
      <w:tr w:rsidR="007C5685" w14:paraId="43F9AE1B" w14:textId="77777777">
        <w:trPr>
          <w:jc w:val="center"/>
        </w:trPr>
        <w:tc>
          <w:tcPr>
            <w:tcW w:w="564" w:type="dxa"/>
            <w:tcBorders>
              <w:top w:val="nil"/>
              <w:left w:val="nil"/>
              <w:bottom w:val="nil"/>
              <w:right w:val="nil"/>
            </w:tcBorders>
          </w:tcPr>
          <w:p w14:paraId="4D1848C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14</w:t>
            </w:r>
          </w:p>
        </w:tc>
        <w:tc>
          <w:tcPr>
            <w:tcW w:w="1296" w:type="dxa"/>
            <w:tcBorders>
              <w:top w:val="nil"/>
              <w:left w:val="nil"/>
              <w:bottom w:val="nil"/>
              <w:right w:val="nil"/>
            </w:tcBorders>
          </w:tcPr>
          <w:p w14:paraId="37AC27D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KH-MJ</w:t>
            </w:r>
          </w:p>
        </w:tc>
        <w:tc>
          <w:tcPr>
            <w:tcW w:w="4548" w:type="dxa"/>
            <w:tcBorders>
              <w:top w:val="nil"/>
              <w:left w:val="nil"/>
              <w:bottom w:val="nil"/>
              <w:right w:val="nil"/>
            </w:tcBorders>
          </w:tcPr>
          <w:p w14:paraId="6282775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MARDI </w:t>
            </w:r>
            <w:proofErr w:type="spellStart"/>
            <w:r>
              <w:rPr>
                <w:rFonts w:ascii="Arial" w:hAnsi="Arial" w:cs="Arial"/>
                <w:i w:val="0"/>
              </w:rPr>
              <w:t>Jerangau</w:t>
            </w:r>
            <w:proofErr w:type="spellEnd"/>
            <w:r>
              <w:rPr>
                <w:rFonts w:ascii="Arial" w:hAnsi="Arial" w:cs="Arial"/>
                <w:i w:val="0"/>
              </w:rPr>
              <w:t xml:space="preserve">, </w:t>
            </w:r>
            <w:r>
              <w:rPr>
                <w:rFonts w:ascii="Arial" w:hAnsi="Arial" w:cs="Arial"/>
                <w:i w:val="0"/>
              </w:rPr>
              <w:t>Terengganu</w:t>
            </w:r>
          </w:p>
        </w:tc>
        <w:tc>
          <w:tcPr>
            <w:tcW w:w="1308" w:type="dxa"/>
            <w:tcBorders>
              <w:top w:val="nil"/>
              <w:left w:val="nil"/>
              <w:bottom w:val="nil"/>
              <w:right w:val="nil"/>
            </w:tcBorders>
          </w:tcPr>
          <w:p w14:paraId="422942E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7C5685" w14:paraId="584CEC57" w14:textId="77777777">
        <w:trPr>
          <w:jc w:val="center"/>
        </w:trPr>
        <w:tc>
          <w:tcPr>
            <w:tcW w:w="564" w:type="dxa"/>
            <w:tcBorders>
              <w:top w:val="nil"/>
              <w:left w:val="nil"/>
              <w:bottom w:val="nil"/>
              <w:right w:val="nil"/>
            </w:tcBorders>
          </w:tcPr>
          <w:p w14:paraId="5C990F2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15</w:t>
            </w:r>
          </w:p>
        </w:tc>
        <w:tc>
          <w:tcPr>
            <w:tcW w:w="1296" w:type="dxa"/>
            <w:tcBorders>
              <w:top w:val="nil"/>
              <w:left w:val="nil"/>
              <w:bottom w:val="nil"/>
              <w:right w:val="nil"/>
            </w:tcBorders>
          </w:tcPr>
          <w:p w14:paraId="76E6769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KH-LGK</w:t>
            </w:r>
          </w:p>
        </w:tc>
        <w:tc>
          <w:tcPr>
            <w:tcW w:w="4548" w:type="dxa"/>
            <w:tcBorders>
              <w:top w:val="nil"/>
              <w:left w:val="nil"/>
              <w:bottom w:val="nil"/>
              <w:right w:val="nil"/>
            </w:tcBorders>
          </w:tcPr>
          <w:p w14:paraId="025FBC7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Langkawi, Kedah</w:t>
            </w:r>
          </w:p>
        </w:tc>
        <w:tc>
          <w:tcPr>
            <w:tcW w:w="1308" w:type="dxa"/>
            <w:tcBorders>
              <w:top w:val="nil"/>
              <w:left w:val="nil"/>
              <w:bottom w:val="nil"/>
              <w:right w:val="nil"/>
            </w:tcBorders>
          </w:tcPr>
          <w:p w14:paraId="2DCE242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7C5685" w14:paraId="3496DEEE" w14:textId="77777777">
        <w:trPr>
          <w:jc w:val="center"/>
        </w:trPr>
        <w:tc>
          <w:tcPr>
            <w:tcW w:w="564" w:type="dxa"/>
            <w:tcBorders>
              <w:top w:val="nil"/>
              <w:left w:val="nil"/>
              <w:bottom w:val="nil"/>
              <w:right w:val="nil"/>
            </w:tcBorders>
          </w:tcPr>
          <w:p w14:paraId="1A13BB1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16</w:t>
            </w:r>
          </w:p>
        </w:tc>
        <w:tc>
          <w:tcPr>
            <w:tcW w:w="1296" w:type="dxa"/>
            <w:tcBorders>
              <w:top w:val="nil"/>
              <w:left w:val="nil"/>
              <w:bottom w:val="nil"/>
              <w:right w:val="nil"/>
            </w:tcBorders>
          </w:tcPr>
          <w:p w14:paraId="01FD5A5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KH-BI</w:t>
            </w:r>
          </w:p>
        </w:tc>
        <w:tc>
          <w:tcPr>
            <w:tcW w:w="4548" w:type="dxa"/>
            <w:tcBorders>
              <w:top w:val="nil"/>
              <w:left w:val="nil"/>
              <w:bottom w:val="nil"/>
              <w:right w:val="nil"/>
            </w:tcBorders>
          </w:tcPr>
          <w:p w14:paraId="6F80890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Bukit </w:t>
            </w:r>
            <w:proofErr w:type="spellStart"/>
            <w:r>
              <w:rPr>
                <w:rFonts w:ascii="Arial" w:hAnsi="Arial" w:cs="Arial"/>
                <w:i w:val="0"/>
              </w:rPr>
              <w:t>Ibam</w:t>
            </w:r>
            <w:proofErr w:type="spellEnd"/>
            <w:r>
              <w:rPr>
                <w:rFonts w:ascii="Arial" w:hAnsi="Arial" w:cs="Arial"/>
                <w:i w:val="0"/>
              </w:rPr>
              <w:t>, Pahang</w:t>
            </w:r>
          </w:p>
        </w:tc>
        <w:tc>
          <w:tcPr>
            <w:tcW w:w="1308" w:type="dxa"/>
            <w:tcBorders>
              <w:top w:val="nil"/>
              <w:left w:val="nil"/>
              <w:bottom w:val="nil"/>
              <w:right w:val="nil"/>
            </w:tcBorders>
          </w:tcPr>
          <w:p w14:paraId="311603A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7C5685" w14:paraId="6438D70B" w14:textId="77777777">
        <w:trPr>
          <w:jc w:val="center"/>
        </w:trPr>
        <w:tc>
          <w:tcPr>
            <w:tcW w:w="564" w:type="dxa"/>
            <w:tcBorders>
              <w:top w:val="nil"/>
              <w:left w:val="nil"/>
              <w:bottom w:val="nil"/>
              <w:right w:val="nil"/>
            </w:tcBorders>
          </w:tcPr>
          <w:p w14:paraId="1AF3325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17</w:t>
            </w:r>
          </w:p>
        </w:tc>
        <w:tc>
          <w:tcPr>
            <w:tcW w:w="1296" w:type="dxa"/>
            <w:tcBorders>
              <w:top w:val="nil"/>
              <w:left w:val="nil"/>
              <w:bottom w:val="nil"/>
              <w:right w:val="nil"/>
            </w:tcBorders>
          </w:tcPr>
          <w:p w14:paraId="7EDE2FC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KH-MT</w:t>
            </w:r>
          </w:p>
        </w:tc>
        <w:tc>
          <w:tcPr>
            <w:tcW w:w="4548" w:type="dxa"/>
            <w:tcBorders>
              <w:top w:val="nil"/>
              <w:left w:val="nil"/>
              <w:bottom w:val="nil"/>
              <w:right w:val="nil"/>
            </w:tcBorders>
          </w:tcPr>
          <w:p w14:paraId="2CDCDEA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Melaka Tengah, Melaka</w:t>
            </w:r>
          </w:p>
        </w:tc>
        <w:tc>
          <w:tcPr>
            <w:tcW w:w="1308" w:type="dxa"/>
            <w:tcBorders>
              <w:top w:val="nil"/>
              <w:left w:val="nil"/>
              <w:bottom w:val="nil"/>
              <w:right w:val="nil"/>
            </w:tcBorders>
          </w:tcPr>
          <w:p w14:paraId="3055BCC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8/9/2020</w:t>
            </w:r>
          </w:p>
        </w:tc>
      </w:tr>
      <w:tr w:rsidR="007C5685" w14:paraId="64E52B4A" w14:textId="77777777">
        <w:trPr>
          <w:jc w:val="center"/>
        </w:trPr>
        <w:tc>
          <w:tcPr>
            <w:tcW w:w="564" w:type="dxa"/>
            <w:tcBorders>
              <w:top w:val="nil"/>
              <w:left w:val="nil"/>
              <w:bottom w:val="nil"/>
              <w:right w:val="nil"/>
            </w:tcBorders>
          </w:tcPr>
          <w:p w14:paraId="739EA14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18</w:t>
            </w:r>
          </w:p>
        </w:tc>
        <w:tc>
          <w:tcPr>
            <w:tcW w:w="1296" w:type="dxa"/>
            <w:tcBorders>
              <w:top w:val="nil"/>
              <w:left w:val="nil"/>
              <w:bottom w:val="nil"/>
              <w:right w:val="nil"/>
            </w:tcBorders>
          </w:tcPr>
          <w:p w14:paraId="279E0A4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KH-DN</w:t>
            </w:r>
          </w:p>
        </w:tc>
        <w:tc>
          <w:tcPr>
            <w:tcW w:w="4548" w:type="dxa"/>
            <w:tcBorders>
              <w:top w:val="nil"/>
              <w:left w:val="nil"/>
              <w:bottom w:val="nil"/>
              <w:right w:val="nil"/>
            </w:tcBorders>
          </w:tcPr>
          <w:p w14:paraId="74FDAF7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Terengganu - Kg. Sura, Dungun</w:t>
            </w:r>
          </w:p>
        </w:tc>
        <w:tc>
          <w:tcPr>
            <w:tcW w:w="1308" w:type="dxa"/>
            <w:tcBorders>
              <w:top w:val="nil"/>
              <w:left w:val="nil"/>
              <w:bottom w:val="nil"/>
              <w:right w:val="nil"/>
            </w:tcBorders>
          </w:tcPr>
          <w:p w14:paraId="4342633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4/10/2020</w:t>
            </w:r>
          </w:p>
        </w:tc>
      </w:tr>
      <w:tr w:rsidR="007C5685" w14:paraId="58D44CDE" w14:textId="77777777">
        <w:trPr>
          <w:jc w:val="center"/>
        </w:trPr>
        <w:tc>
          <w:tcPr>
            <w:tcW w:w="564" w:type="dxa"/>
            <w:tcBorders>
              <w:top w:val="nil"/>
              <w:left w:val="nil"/>
              <w:bottom w:val="nil"/>
              <w:right w:val="nil"/>
            </w:tcBorders>
          </w:tcPr>
          <w:p w14:paraId="46BAAED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19</w:t>
            </w:r>
          </w:p>
        </w:tc>
        <w:tc>
          <w:tcPr>
            <w:tcW w:w="1296" w:type="dxa"/>
            <w:tcBorders>
              <w:top w:val="nil"/>
              <w:left w:val="nil"/>
              <w:bottom w:val="nil"/>
              <w:right w:val="nil"/>
            </w:tcBorders>
          </w:tcPr>
          <w:p w14:paraId="02D1683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KH-KB</w:t>
            </w:r>
          </w:p>
        </w:tc>
        <w:tc>
          <w:tcPr>
            <w:tcW w:w="4548" w:type="dxa"/>
            <w:tcBorders>
              <w:top w:val="nil"/>
              <w:left w:val="nil"/>
              <w:bottom w:val="nil"/>
              <w:right w:val="nil"/>
            </w:tcBorders>
          </w:tcPr>
          <w:p w14:paraId="3697A2C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Kg. </w:t>
            </w:r>
            <w:proofErr w:type="spellStart"/>
            <w:r>
              <w:rPr>
                <w:rFonts w:ascii="Arial" w:hAnsi="Arial" w:cs="Arial"/>
                <w:i w:val="0"/>
              </w:rPr>
              <w:t>Perih</w:t>
            </w:r>
            <w:proofErr w:type="spellEnd"/>
            <w:r>
              <w:rPr>
                <w:rFonts w:ascii="Arial" w:hAnsi="Arial" w:cs="Arial"/>
                <w:i w:val="0"/>
              </w:rPr>
              <w:t>, Kuala </w:t>
            </w:r>
            <w:proofErr w:type="spellStart"/>
            <w:proofErr w:type="gramStart"/>
            <w:r>
              <w:rPr>
                <w:rFonts w:ascii="Arial" w:hAnsi="Arial" w:cs="Arial"/>
                <w:i w:val="0"/>
              </w:rPr>
              <w:t>Berang,Terengganu</w:t>
            </w:r>
            <w:proofErr w:type="spellEnd"/>
            <w:proofErr w:type="gramEnd"/>
          </w:p>
        </w:tc>
        <w:tc>
          <w:tcPr>
            <w:tcW w:w="1308" w:type="dxa"/>
            <w:tcBorders>
              <w:top w:val="nil"/>
              <w:left w:val="nil"/>
              <w:bottom w:val="nil"/>
              <w:right w:val="nil"/>
            </w:tcBorders>
          </w:tcPr>
          <w:p w14:paraId="724B965C"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5/10/2020</w:t>
            </w:r>
          </w:p>
        </w:tc>
      </w:tr>
      <w:tr w:rsidR="007C5685" w14:paraId="1FD2E6F4" w14:textId="77777777">
        <w:trPr>
          <w:jc w:val="center"/>
        </w:trPr>
        <w:tc>
          <w:tcPr>
            <w:tcW w:w="564" w:type="dxa"/>
            <w:tcBorders>
              <w:top w:val="nil"/>
              <w:left w:val="nil"/>
              <w:bottom w:val="nil"/>
              <w:right w:val="nil"/>
            </w:tcBorders>
          </w:tcPr>
          <w:p w14:paraId="6395CDD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w:t>
            </w:r>
          </w:p>
        </w:tc>
        <w:tc>
          <w:tcPr>
            <w:tcW w:w="1296" w:type="dxa"/>
            <w:tcBorders>
              <w:top w:val="nil"/>
              <w:left w:val="nil"/>
              <w:bottom w:val="nil"/>
              <w:right w:val="nil"/>
            </w:tcBorders>
          </w:tcPr>
          <w:p w14:paraId="0505BDB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KH-PR</w:t>
            </w:r>
          </w:p>
        </w:tc>
        <w:tc>
          <w:tcPr>
            <w:tcW w:w="4548" w:type="dxa"/>
            <w:tcBorders>
              <w:top w:val="nil"/>
              <w:left w:val="nil"/>
              <w:bottom w:val="nil"/>
              <w:right w:val="nil"/>
            </w:tcBorders>
          </w:tcPr>
          <w:p w14:paraId="484BF9C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w:t>
            </w:r>
            <w:proofErr w:type="spellStart"/>
            <w:r>
              <w:rPr>
                <w:rFonts w:ascii="Arial" w:hAnsi="Arial" w:cs="Arial"/>
                <w:i w:val="0"/>
              </w:rPr>
              <w:t>Parit</w:t>
            </w:r>
            <w:proofErr w:type="spellEnd"/>
            <w:r>
              <w:rPr>
                <w:rFonts w:ascii="Arial" w:hAnsi="Arial" w:cs="Arial"/>
                <w:i w:val="0"/>
              </w:rPr>
              <w:t> Raja, Johor</w:t>
            </w:r>
          </w:p>
        </w:tc>
        <w:tc>
          <w:tcPr>
            <w:tcW w:w="1308" w:type="dxa"/>
            <w:tcBorders>
              <w:top w:val="nil"/>
              <w:left w:val="nil"/>
              <w:bottom w:val="nil"/>
              <w:right w:val="nil"/>
            </w:tcBorders>
          </w:tcPr>
          <w:p w14:paraId="25BB5C5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23/3/2021</w:t>
            </w:r>
          </w:p>
        </w:tc>
      </w:tr>
      <w:tr w:rsidR="007C5685" w14:paraId="7CDE1841" w14:textId="77777777">
        <w:trPr>
          <w:jc w:val="center"/>
        </w:trPr>
        <w:tc>
          <w:tcPr>
            <w:tcW w:w="564" w:type="dxa"/>
            <w:tcBorders>
              <w:top w:val="nil"/>
              <w:left w:val="nil"/>
              <w:bottom w:val="single" w:sz="4" w:space="0" w:color="auto"/>
              <w:right w:val="nil"/>
            </w:tcBorders>
          </w:tcPr>
          <w:p w14:paraId="78F2D49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21</w:t>
            </w:r>
          </w:p>
        </w:tc>
        <w:tc>
          <w:tcPr>
            <w:tcW w:w="1296" w:type="dxa"/>
            <w:tcBorders>
              <w:top w:val="nil"/>
              <w:left w:val="nil"/>
              <w:bottom w:val="single" w:sz="4" w:space="0" w:color="auto"/>
              <w:right w:val="nil"/>
            </w:tcBorders>
          </w:tcPr>
          <w:p w14:paraId="16D2764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KH-PB</w:t>
            </w:r>
          </w:p>
        </w:tc>
        <w:tc>
          <w:tcPr>
            <w:tcW w:w="4548" w:type="dxa"/>
            <w:tcBorders>
              <w:top w:val="nil"/>
              <w:left w:val="nil"/>
              <w:bottom w:val="single" w:sz="4" w:space="0" w:color="auto"/>
              <w:right w:val="nil"/>
            </w:tcBorders>
          </w:tcPr>
          <w:p w14:paraId="231152E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w:t>
            </w:r>
            <w:proofErr w:type="spellStart"/>
            <w:r>
              <w:rPr>
                <w:rFonts w:ascii="Arial" w:hAnsi="Arial" w:cs="Arial"/>
                <w:i w:val="0"/>
              </w:rPr>
              <w:t>Permatang</w:t>
            </w:r>
            <w:proofErr w:type="spellEnd"/>
            <w:r>
              <w:rPr>
                <w:rFonts w:ascii="Arial" w:hAnsi="Arial" w:cs="Arial"/>
                <w:i w:val="0"/>
              </w:rPr>
              <w:t> </w:t>
            </w:r>
            <w:proofErr w:type="spellStart"/>
            <w:r>
              <w:rPr>
                <w:rFonts w:ascii="Arial" w:hAnsi="Arial" w:cs="Arial"/>
                <w:i w:val="0"/>
              </w:rPr>
              <w:t>Badak</w:t>
            </w:r>
            <w:proofErr w:type="spellEnd"/>
            <w:r>
              <w:rPr>
                <w:rFonts w:ascii="Arial" w:hAnsi="Arial" w:cs="Arial"/>
                <w:i w:val="0"/>
              </w:rPr>
              <w:t>, Pahang</w:t>
            </w:r>
          </w:p>
        </w:tc>
        <w:tc>
          <w:tcPr>
            <w:tcW w:w="1308" w:type="dxa"/>
            <w:tcBorders>
              <w:top w:val="nil"/>
              <w:left w:val="nil"/>
              <w:bottom w:val="single" w:sz="4" w:space="0" w:color="auto"/>
              <w:right w:val="nil"/>
            </w:tcBorders>
          </w:tcPr>
          <w:p w14:paraId="6AA5FCB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bl>
    <w:p w14:paraId="6F5572E4" w14:textId="77777777" w:rsidR="007C5685" w:rsidRDefault="007C5685">
      <w:pPr>
        <w:tabs>
          <w:tab w:val="left" w:pos="1080"/>
        </w:tabs>
        <w:jc w:val="both"/>
        <w:rPr>
          <w:rFonts w:ascii="Arial" w:hAnsi="Arial" w:cs="Arial"/>
          <w:lang w:val="en-MY"/>
        </w:rPr>
      </w:pPr>
    </w:p>
    <w:p w14:paraId="3C2589A4" w14:textId="77777777" w:rsidR="007C5685" w:rsidRDefault="007C5685">
      <w:pPr>
        <w:pStyle w:val="Body"/>
        <w:spacing w:after="0"/>
        <w:rPr>
          <w:rFonts w:ascii="Arial" w:hAnsi="Arial" w:cs="Arial"/>
          <w:lang w:val="en-MY"/>
        </w:rPr>
      </w:pPr>
    </w:p>
    <w:p w14:paraId="071E3950" w14:textId="77777777" w:rsidR="007C5685" w:rsidRDefault="00F26870">
      <w:pPr>
        <w:pStyle w:val="Body"/>
        <w:spacing w:after="0"/>
        <w:rPr>
          <w:rFonts w:ascii="Arial" w:hAnsi="Arial" w:cs="Arial"/>
        </w:rPr>
      </w:pPr>
      <w:r>
        <w:rPr>
          <w:rFonts w:ascii="Arial" w:hAnsi="Arial" w:cs="Arial"/>
          <w:b/>
          <w:caps/>
          <w:sz w:val="22"/>
        </w:rPr>
        <w:t>2.</w:t>
      </w:r>
      <w:r>
        <w:rPr>
          <w:rFonts w:ascii="Arial" w:hAnsi="Arial" w:cs="Arial"/>
          <w:b/>
          <w:caps/>
          <w:sz w:val="22"/>
          <w:lang w:val="en-MY"/>
        </w:rPr>
        <w:t>2</w:t>
      </w:r>
      <w:r>
        <w:rPr>
          <w:rFonts w:ascii="Arial" w:hAnsi="Arial" w:cs="Arial"/>
          <w:b/>
          <w:caps/>
          <w:sz w:val="22"/>
        </w:rPr>
        <w:t xml:space="preserve"> </w:t>
      </w:r>
      <w:r>
        <w:rPr>
          <w:rFonts w:ascii="Arial" w:hAnsi="Arial" w:cs="Arial"/>
          <w:b/>
          <w:bCs/>
          <w:sz w:val="22"/>
          <w:szCs w:val="22"/>
          <w:lang w:eastAsia="zh-CN"/>
        </w:rPr>
        <w:t>Molecular Characterization</w:t>
      </w:r>
    </w:p>
    <w:p w14:paraId="2D8978A5" w14:textId="77777777" w:rsidR="007C5685" w:rsidRDefault="00F26870">
      <w:pPr>
        <w:pStyle w:val="Body"/>
        <w:spacing w:after="0"/>
        <w:rPr>
          <w:rFonts w:ascii="Arial" w:hAnsi="Arial" w:cs="Arial"/>
        </w:rPr>
      </w:pPr>
      <w:r>
        <w:rPr>
          <w:rFonts w:ascii="Arial" w:hAnsi="Arial" w:cs="Arial"/>
        </w:rPr>
        <w:t xml:space="preserve"> </w:t>
      </w:r>
    </w:p>
    <w:p w14:paraId="0DE62FD4" w14:textId="77777777" w:rsidR="007C5685" w:rsidRDefault="00F26870">
      <w:pPr>
        <w:pStyle w:val="Body"/>
        <w:spacing w:after="0"/>
        <w:rPr>
          <w:rFonts w:ascii="Arial" w:hAnsi="Arial" w:cs="Arial"/>
          <w:lang w:val="en-MY" w:eastAsia="zh-CN"/>
        </w:rPr>
      </w:pPr>
      <w:r>
        <w:rPr>
          <w:rFonts w:ascii="Arial" w:hAnsi="Arial" w:cs="Arial"/>
          <w:lang w:val="en-MY" w:eastAsia="zh-CN"/>
        </w:rPr>
        <w:t xml:space="preserve">Genetic characterization was conducted on 21 </w:t>
      </w:r>
      <w:r>
        <w:rPr>
          <w:rFonts w:ascii="Arial" w:hAnsi="Arial" w:cs="Arial"/>
          <w:i/>
          <w:iCs/>
          <w:lang w:val="en-MY" w:eastAsia="zh-CN"/>
        </w:rPr>
        <w:t>K. parviflora</w:t>
      </w:r>
      <w:r>
        <w:rPr>
          <w:rFonts w:ascii="Arial" w:hAnsi="Arial" w:cs="Arial"/>
          <w:lang w:val="en-MY" w:eastAsia="zh-CN"/>
        </w:rPr>
        <w:t xml:space="preserve"> accessions using DNA extracted from young leaf tissue. DNA isolation followed the cetyltrimethylammonium bromide (CTAB) protocol of [5] with minor modifications. DNA quality and quantity were assessed using a spectrophotometer, and concentrations ranged f</w:t>
      </w:r>
      <w:r>
        <w:rPr>
          <w:rFonts w:ascii="Arial" w:hAnsi="Arial" w:cs="Arial"/>
          <w:lang w:val="en-MY" w:eastAsia="zh-CN"/>
        </w:rPr>
        <w:t xml:space="preserve">rom 20 to 120 ng µL⁻¹. Polymerase chain reaction (PCR) amplification was performed using ten inter-simple sequence repeat (ISSR) primers: 807, 808, 811, 827, 829, 836, 854, </w:t>
      </w:r>
      <w:proofErr w:type="spellStart"/>
      <w:r>
        <w:rPr>
          <w:rFonts w:ascii="Arial" w:hAnsi="Arial" w:cs="Arial"/>
          <w:lang w:val="en-MY" w:eastAsia="zh-CN"/>
        </w:rPr>
        <w:t>ISSRa</w:t>
      </w:r>
      <w:proofErr w:type="spellEnd"/>
      <w:r>
        <w:rPr>
          <w:rFonts w:ascii="Arial" w:hAnsi="Arial" w:cs="Arial"/>
          <w:lang w:val="en-MY" w:eastAsia="zh-CN"/>
        </w:rPr>
        <w:t xml:space="preserve">, </w:t>
      </w:r>
      <w:proofErr w:type="spellStart"/>
      <w:r>
        <w:rPr>
          <w:rFonts w:ascii="Arial" w:hAnsi="Arial" w:cs="Arial"/>
          <w:lang w:val="en-MY" w:eastAsia="zh-CN"/>
        </w:rPr>
        <w:t>ISSRb</w:t>
      </w:r>
      <w:proofErr w:type="spellEnd"/>
      <w:r>
        <w:rPr>
          <w:rFonts w:ascii="Arial" w:hAnsi="Arial" w:cs="Arial"/>
          <w:lang w:val="en-MY" w:eastAsia="zh-CN"/>
        </w:rPr>
        <w:t xml:space="preserve">, and ISSR6. Cluster analysis was carried out using </w:t>
      </w:r>
      <w:proofErr w:type="spellStart"/>
      <w:r>
        <w:rPr>
          <w:rFonts w:ascii="Arial" w:hAnsi="Arial" w:cs="Arial"/>
          <w:lang w:val="en-MY" w:eastAsia="zh-CN"/>
        </w:rPr>
        <w:t>NTSYSpc</w:t>
      </w:r>
      <w:proofErr w:type="spellEnd"/>
      <w:r>
        <w:rPr>
          <w:rFonts w:ascii="Arial" w:hAnsi="Arial" w:cs="Arial"/>
          <w:lang w:val="en-MY" w:eastAsia="zh-CN"/>
        </w:rPr>
        <w:t xml:space="preserve"> version 2.1</w:t>
      </w:r>
      <w:r>
        <w:rPr>
          <w:rFonts w:ascii="Arial" w:hAnsi="Arial" w:cs="Arial"/>
          <w:lang w:val="en-MY" w:eastAsia="zh-CN"/>
        </w:rPr>
        <w:t>1 software, based on Jaccard’s similarity coefficient, to evaluate genetic relationships among accessions. The resulting dendrogram illustrated the grouping patterns of the 21 accessions.</w:t>
      </w:r>
    </w:p>
    <w:p w14:paraId="52C5A258" w14:textId="77777777" w:rsidR="007C5685" w:rsidRDefault="007C5685">
      <w:pPr>
        <w:pStyle w:val="Body"/>
        <w:spacing w:after="0"/>
        <w:rPr>
          <w:rFonts w:ascii="Arial" w:hAnsi="Arial" w:cs="Arial"/>
          <w:lang w:val="en-MY" w:eastAsia="zh-CN"/>
        </w:rPr>
      </w:pPr>
    </w:p>
    <w:p w14:paraId="02F1EB01" w14:textId="77777777" w:rsidR="007C5685" w:rsidRDefault="007C5685">
      <w:pPr>
        <w:pStyle w:val="Body"/>
        <w:spacing w:after="0"/>
        <w:rPr>
          <w:rFonts w:ascii="Arial" w:hAnsi="Arial" w:cs="Arial"/>
          <w:lang w:val="en-MY" w:eastAsia="zh-CN"/>
        </w:rPr>
      </w:pPr>
    </w:p>
    <w:p w14:paraId="15D14175" w14:textId="77777777" w:rsidR="007C5685" w:rsidRDefault="00F26870">
      <w:pPr>
        <w:pStyle w:val="Body"/>
        <w:spacing w:after="0"/>
        <w:rPr>
          <w:rFonts w:ascii="Arial" w:hAnsi="Arial" w:cs="Arial"/>
          <w:b/>
          <w:bCs/>
          <w:sz w:val="22"/>
          <w:szCs w:val="22"/>
          <w:lang w:eastAsia="zh-CN"/>
        </w:rPr>
      </w:pPr>
      <w:r>
        <w:rPr>
          <w:rFonts w:ascii="Arial" w:hAnsi="Arial" w:cs="Arial"/>
          <w:b/>
          <w:caps/>
          <w:sz w:val="22"/>
        </w:rPr>
        <w:t>2.</w:t>
      </w:r>
      <w:r>
        <w:rPr>
          <w:rFonts w:ascii="Arial" w:hAnsi="Arial" w:cs="Arial"/>
          <w:b/>
          <w:caps/>
          <w:sz w:val="22"/>
          <w:lang w:val="en-MY"/>
        </w:rPr>
        <w:t>3</w:t>
      </w:r>
      <w:r>
        <w:rPr>
          <w:rFonts w:ascii="Arial" w:hAnsi="Arial" w:cs="Arial"/>
          <w:b/>
          <w:caps/>
          <w:sz w:val="22"/>
        </w:rPr>
        <w:t xml:space="preserve"> </w:t>
      </w:r>
      <w:r>
        <w:rPr>
          <w:rFonts w:ascii="Arial" w:hAnsi="Arial" w:cs="Arial"/>
          <w:b/>
          <w:bCs/>
          <w:sz w:val="22"/>
          <w:szCs w:val="22"/>
          <w:lang w:eastAsia="zh-CN"/>
        </w:rPr>
        <w:t>Phytochemical study</w:t>
      </w:r>
    </w:p>
    <w:p w14:paraId="17C8F2E9" w14:textId="77777777" w:rsidR="007C5685" w:rsidRDefault="007C5685">
      <w:pPr>
        <w:pStyle w:val="Body"/>
        <w:spacing w:after="0"/>
        <w:rPr>
          <w:rFonts w:ascii="Arial" w:hAnsi="Arial" w:cs="Arial"/>
        </w:rPr>
      </w:pPr>
    </w:p>
    <w:p w14:paraId="131B911D" w14:textId="77777777" w:rsidR="007C5685" w:rsidRDefault="00F26870">
      <w:pPr>
        <w:pStyle w:val="Body"/>
        <w:spacing w:after="0"/>
        <w:rPr>
          <w:rFonts w:ascii="Arial" w:hAnsi="Arial" w:cs="Arial"/>
          <w:lang w:val="en-MY" w:eastAsia="zh-CN"/>
        </w:rPr>
      </w:pPr>
      <w:r>
        <w:rPr>
          <w:rFonts w:ascii="Arial" w:hAnsi="Arial" w:cs="Arial"/>
          <w:lang w:val="en-MY"/>
        </w:rPr>
        <w:t xml:space="preserve">Ten </w:t>
      </w:r>
      <w:r>
        <w:rPr>
          <w:rFonts w:ascii="Arial" w:hAnsi="Arial" w:cs="Arial"/>
          <w:i/>
          <w:iCs/>
          <w:lang w:val="en-MY"/>
        </w:rPr>
        <w:t>K. parviflora</w:t>
      </w:r>
      <w:r>
        <w:rPr>
          <w:rFonts w:ascii="Arial" w:hAnsi="Arial" w:cs="Arial"/>
          <w:lang w:val="en-MY"/>
        </w:rPr>
        <w:t xml:space="preserve"> accessions (KH-THA 1, K</w:t>
      </w:r>
      <w:r>
        <w:rPr>
          <w:rFonts w:ascii="Arial" w:hAnsi="Arial" w:cs="Arial"/>
          <w:lang w:val="en-MY"/>
        </w:rPr>
        <w:t xml:space="preserve">H-THA 2, KH-THA 4, KH-THA 5, KH-THA 7, KH-THA 10, KH-LAO 1, KH-LAO 2, KH-VIE 1, and KH-MJ), representing different clusters based on morphological and molecular evaluations, were harvested at optimum maturity (8 months) from MARDI </w:t>
      </w:r>
      <w:proofErr w:type="spellStart"/>
      <w:r>
        <w:rPr>
          <w:rFonts w:ascii="Arial" w:hAnsi="Arial" w:cs="Arial"/>
          <w:lang w:val="en-MY"/>
        </w:rPr>
        <w:t>Jerangau</w:t>
      </w:r>
      <w:proofErr w:type="spellEnd"/>
      <w:r>
        <w:rPr>
          <w:rFonts w:ascii="Arial" w:hAnsi="Arial" w:cs="Arial"/>
          <w:lang w:val="en-MY"/>
        </w:rPr>
        <w:t>. Rhizomes were w</w:t>
      </w:r>
      <w:r>
        <w:rPr>
          <w:rFonts w:ascii="Arial" w:hAnsi="Arial" w:cs="Arial"/>
          <w:lang w:val="en-MY"/>
        </w:rPr>
        <w:t>ashed, sliced, oven-dried at 60 °C for 48 h to 8–10% moisture, and ground to 0.25 mm powder. Samples (1 g) were extracted via sonication in 10 mL of 70% methanol at 40–50 °C for 1 h, centrifuged at 10,000 rpm for 15 min (repeated twice), combined, filtered</w:t>
      </w:r>
      <w:r>
        <w:rPr>
          <w:rFonts w:ascii="Arial" w:hAnsi="Arial" w:cs="Arial"/>
          <w:lang w:val="en-MY"/>
        </w:rPr>
        <w:t xml:space="preserve"> (0.22 µm), and </w:t>
      </w:r>
      <w:proofErr w:type="spellStart"/>
      <w:r>
        <w:rPr>
          <w:rFonts w:ascii="Arial" w:hAnsi="Arial" w:cs="Arial"/>
          <w:lang w:val="en-MY"/>
        </w:rPr>
        <w:t>analyzed</w:t>
      </w:r>
      <w:proofErr w:type="spellEnd"/>
      <w:r>
        <w:rPr>
          <w:rFonts w:ascii="Arial" w:hAnsi="Arial" w:cs="Arial"/>
          <w:lang w:val="en-MY"/>
        </w:rPr>
        <w:t xml:space="preserve"> by HPLC. Total phenolic content (TPC) was determined as mg gallic acid equivalent (GAE)/g sample, and total flavonoid content (TFC) as mg rutin equivalent (RE)/g sample. Quantification of 5,7,4′-trimethoxyflavone (TMF) was performe</w:t>
      </w:r>
      <w:r>
        <w:rPr>
          <w:rFonts w:ascii="Arial" w:hAnsi="Arial" w:cs="Arial"/>
          <w:lang w:val="en-MY"/>
        </w:rPr>
        <w:t xml:space="preserve">d using a TMF standard. HPLC was used to separate </w:t>
      </w:r>
      <w:r>
        <w:rPr>
          <w:rFonts w:ascii="Arial" w:hAnsi="Arial" w:cs="Arial"/>
          <w:lang w:val="en-MY"/>
        </w:rPr>
        <w:lastRenderedPageBreak/>
        <w:t xml:space="preserve">and determine 4,5,7-trimethoxyflavone content. Data were </w:t>
      </w:r>
      <w:proofErr w:type="spellStart"/>
      <w:r>
        <w:rPr>
          <w:rFonts w:ascii="Arial" w:hAnsi="Arial" w:cs="Arial"/>
          <w:lang w:val="en-MY"/>
        </w:rPr>
        <w:t>analyzed</w:t>
      </w:r>
      <w:proofErr w:type="spellEnd"/>
      <w:r>
        <w:rPr>
          <w:rFonts w:ascii="Arial" w:hAnsi="Arial" w:cs="Arial"/>
          <w:lang w:val="en-MY"/>
        </w:rPr>
        <w:t xml:space="preserve"> by ANOVA and Tukey’s post hoc test using SPSS v20 (SPSS Inc., Chicago, IL, USA).</w:t>
      </w:r>
    </w:p>
    <w:p w14:paraId="239ACF6B" w14:textId="77777777" w:rsidR="007C5685" w:rsidRDefault="007C5685">
      <w:pPr>
        <w:autoSpaceDE w:val="0"/>
        <w:autoSpaceDN w:val="0"/>
        <w:adjustRightInd w:val="0"/>
        <w:jc w:val="both"/>
        <w:rPr>
          <w:rFonts w:ascii="Arial" w:hAnsi="Arial" w:cs="Arial"/>
          <w:b/>
          <w:bCs/>
          <w:szCs w:val="22"/>
          <w:lang w:val="en-MY"/>
        </w:rPr>
      </w:pPr>
    </w:p>
    <w:p w14:paraId="0513F319" w14:textId="77777777" w:rsidR="007C5685" w:rsidRDefault="007C5685">
      <w:pPr>
        <w:pStyle w:val="Body"/>
        <w:spacing w:after="0"/>
        <w:rPr>
          <w:rFonts w:ascii="Arial" w:hAnsi="Arial" w:cs="Arial"/>
        </w:rPr>
      </w:pPr>
    </w:p>
    <w:p w14:paraId="6961B489" w14:textId="77777777" w:rsidR="007C5685" w:rsidRDefault="00F26870">
      <w:pPr>
        <w:pStyle w:val="Head1"/>
        <w:numPr>
          <w:ilvl w:val="0"/>
          <w:numId w:val="2"/>
        </w:numPr>
        <w:spacing w:after="0"/>
        <w:jc w:val="both"/>
        <w:rPr>
          <w:rFonts w:ascii="Arial" w:hAnsi="Arial" w:cs="Arial"/>
        </w:rPr>
      </w:pPr>
      <w:r>
        <w:rPr>
          <w:rFonts w:ascii="Arial" w:hAnsi="Arial" w:cs="Arial"/>
        </w:rPr>
        <w:t>results and discussion</w:t>
      </w:r>
    </w:p>
    <w:p w14:paraId="6457DD49" w14:textId="77777777" w:rsidR="007C5685" w:rsidRDefault="007C5685">
      <w:pPr>
        <w:pStyle w:val="Head1"/>
        <w:spacing w:after="0"/>
        <w:jc w:val="both"/>
        <w:rPr>
          <w:rFonts w:ascii="Arial" w:hAnsi="Arial" w:cs="Arial"/>
        </w:rPr>
      </w:pPr>
    </w:p>
    <w:p w14:paraId="19D11A7B" w14:textId="77777777" w:rsidR="007C5685" w:rsidRDefault="00F26870">
      <w:pPr>
        <w:pStyle w:val="Body"/>
        <w:spacing w:after="0"/>
        <w:rPr>
          <w:rFonts w:ascii="Arial" w:hAnsi="Arial" w:cs="Arial"/>
        </w:rPr>
      </w:pPr>
      <w:r>
        <w:rPr>
          <w:rFonts w:ascii="Arial" w:hAnsi="Arial" w:cs="Arial"/>
          <w:b/>
          <w:caps/>
          <w:sz w:val="22"/>
          <w:lang w:val="en-MY"/>
        </w:rPr>
        <w:t>3.</w:t>
      </w:r>
      <w:r>
        <w:rPr>
          <w:rFonts w:ascii="Arial" w:hAnsi="Arial" w:cs="Arial"/>
          <w:b/>
          <w:caps/>
          <w:sz w:val="22"/>
        </w:rPr>
        <w:t xml:space="preserve">1 </w:t>
      </w:r>
      <w:r>
        <w:rPr>
          <w:rFonts w:ascii="Arial" w:hAnsi="Arial" w:cs="Arial"/>
          <w:b/>
          <w:bCs/>
          <w:sz w:val="22"/>
          <w:szCs w:val="22"/>
        </w:rPr>
        <w:t xml:space="preserve">Morphological </w:t>
      </w:r>
      <w:r>
        <w:rPr>
          <w:rFonts w:ascii="Arial" w:hAnsi="Arial" w:cs="Arial"/>
          <w:b/>
          <w:bCs/>
          <w:sz w:val="22"/>
          <w:szCs w:val="22"/>
        </w:rPr>
        <w:t>Characterization</w:t>
      </w:r>
    </w:p>
    <w:p w14:paraId="05F195D0" w14:textId="77777777" w:rsidR="007C5685" w:rsidRDefault="007C5685">
      <w:pPr>
        <w:pStyle w:val="Head1"/>
        <w:spacing w:after="0"/>
        <w:jc w:val="both"/>
        <w:rPr>
          <w:rFonts w:ascii="Arial" w:hAnsi="Arial" w:cs="Arial"/>
        </w:rPr>
      </w:pPr>
    </w:p>
    <w:p w14:paraId="200CF7B9" w14:textId="77777777" w:rsidR="007C5685" w:rsidRDefault="00F26870">
      <w:pPr>
        <w:jc w:val="both"/>
        <w:rPr>
          <w:rFonts w:ascii="Arial" w:hAnsi="Arial" w:cs="Arial"/>
          <w:lang w:val="en-MY"/>
        </w:rPr>
      </w:pPr>
      <w:r>
        <w:rPr>
          <w:rFonts w:ascii="Arial" w:hAnsi="Arial" w:cs="Arial"/>
          <w:lang w:val="en-MY"/>
        </w:rPr>
        <w:t xml:space="preserve">Morphological characterization of the 21 </w:t>
      </w:r>
      <w:r>
        <w:rPr>
          <w:rFonts w:ascii="Arial" w:hAnsi="Arial" w:cs="Arial"/>
          <w:i/>
          <w:iCs/>
          <w:lang w:val="en-MY"/>
        </w:rPr>
        <w:t>K. parviflora</w:t>
      </w:r>
      <w:r>
        <w:rPr>
          <w:rFonts w:ascii="Arial" w:hAnsi="Arial" w:cs="Arial"/>
          <w:lang w:val="en-MY"/>
        </w:rPr>
        <w:t xml:space="preserve"> accessions revealed notable phenotypic variation across 14 vegetative and floral traits. A cluster analysis using Gower’s General Similarity Coefficient and UPGMA produced two major g</w:t>
      </w:r>
      <w:r>
        <w:rPr>
          <w:rFonts w:ascii="Arial" w:hAnsi="Arial" w:cs="Arial"/>
          <w:lang w:val="en-MY"/>
        </w:rPr>
        <w:t>roupings of accessions (Figure 1). Cluster I (overall similarity index = 0.592) comprised six accessions collected from Thailand (KH-THA 2–5), Laos (KH-LAO 2), Vietnam (KH-VIE 1), and two from Terengganu, Malaysia (KH-DN and KH-KB). These accessions displa</w:t>
      </w:r>
      <w:r>
        <w:rPr>
          <w:rFonts w:ascii="Arial" w:hAnsi="Arial" w:cs="Arial"/>
          <w:lang w:val="en-MY"/>
        </w:rPr>
        <w:t>yed ovate leaves that were broader than long, with long petioles, long floral peduncles, short inflorescences, and green leaf margins.</w:t>
      </w:r>
    </w:p>
    <w:p w14:paraId="2C883FA9" w14:textId="77777777" w:rsidR="007C5685" w:rsidRDefault="007C5685">
      <w:pPr>
        <w:jc w:val="both"/>
        <w:rPr>
          <w:rFonts w:ascii="Arial" w:hAnsi="Arial" w:cs="Arial"/>
          <w:lang w:val="en-MY"/>
        </w:rPr>
      </w:pPr>
    </w:p>
    <w:p w14:paraId="01FF0CDE" w14:textId="77777777" w:rsidR="007C5685" w:rsidRDefault="00F26870">
      <w:pPr>
        <w:jc w:val="both"/>
        <w:rPr>
          <w:rFonts w:ascii="Arial" w:hAnsi="Arial" w:cs="Arial"/>
          <w:lang w:val="en-MY"/>
        </w:rPr>
      </w:pPr>
      <w:r>
        <w:rPr>
          <w:noProof/>
        </w:rPr>
        <w:drawing>
          <wp:inline distT="0" distB="0" distL="114300" distR="114300" wp14:anchorId="03068A19" wp14:editId="2CEC917D">
            <wp:extent cx="4749800" cy="2700020"/>
            <wp:effectExtent l="0" t="0" r="5080" b="1270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5"/>
                    <a:stretch>
                      <a:fillRect/>
                    </a:stretch>
                  </pic:blipFill>
                  <pic:spPr>
                    <a:xfrm>
                      <a:off x="0" y="0"/>
                      <a:ext cx="4749800" cy="2700020"/>
                    </a:xfrm>
                    <a:prstGeom prst="rect">
                      <a:avLst/>
                    </a:prstGeom>
                    <a:noFill/>
                    <a:ln>
                      <a:noFill/>
                    </a:ln>
                  </pic:spPr>
                </pic:pic>
              </a:graphicData>
            </a:graphic>
          </wp:inline>
        </w:drawing>
      </w:r>
    </w:p>
    <w:p w14:paraId="309D454A" w14:textId="77777777" w:rsidR="007C5685" w:rsidRDefault="007C5685">
      <w:pPr>
        <w:jc w:val="both"/>
      </w:pPr>
    </w:p>
    <w:p w14:paraId="1C77FAE8" w14:textId="77777777" w:rsidR="007C5685" w:rsidRDefault="00F26870">
      <w:pPr>
        <w:rPr>
          <w:rFonts w:ascii="Arial" w:hAnsi="Arial" w:cs="Arial"/>
          <w:b/>
          <w:bCs/>
          <w:lang w:val="en-MY"/>
        </w:rPr>
      </w:pPr>
      <w:r>
        <w:rPr>
          <w:rFonts w:ascii="Arial" w:hAnsi="Arial" w:cs="Arial"/>
          <w:b/>
          <w:bCs/>
          <w:lang w:val="en-MY"/>
        </w:rPr>
        <w:t>Figure 1.</w:t>
      </w:r>
      <w:r>
        <w:rPr>
          <w:rFonts w:ascii="Arial" w:hAnsi="Arial" w:cs="Arial"/>
          <w:b/>
          <w:bCs/>
          <w:lang w:val="en-MY"/>
        </w:rPr>
        <w:tab/>
      </w:r>
      <w:r>
        <w:rPr>
          <w:rFonts w:ascii="Arial" w:hAnsi="Arial" w:cs="Arial"/>
          <w:b/>
          <w:bCs/>
          <w:lang w:val="en-MY" w:eastAsia="zh-CN"/>
        </w:rPr>
        <w:t xml:space="preserve">Phylogenetic tree of </w:t>
      </w:r>
      <w:r>
        <w:rPr>
          <w:rFonts w:ascii="Arial" w:hAnsi="Arial" w:cs="Arial"/>
          <w:b/>
          <w:bCs/>
          <w:i/>
          <w:iCs/>
          <w:lang w:val="en-MY" w:eastAsia="zh-CN"/>
        </w:rPr>
        <w:t>K. parviflora</w:t>
      </w:r>
      <w:r>
        <w:rPr>
          <w:rFonts w:ascii="Arial" w:hAnsi="Arial" w:cs="Arial"/>
          <w:b/>
          <w:bCs/>
          <w:lang w:val="en-MY" w:eastAsia="zh-CN"/>
        </w:rPr>
        <w:t xml:space="preserve"> accessions based on Gower General Similarity Coefficient</w:t>
      </w:r>
    </w:p>
    <w:p w14:paraId="41E16AA7" w14:textId="77777777" w:rsidR="007C5685" w:rsidRDefault="007C5685">
      <w:pPr>
        <w:rPr>
          <w:rFonts w:ascii="Arial" w:hAnsi="Arial" w:cs="Arial"/>
          <w:b/>
          <w:bCs/>
          <w:lang w:val="en-MY"/>
        </w:rPr>
      </w:pPr>
    </w:p>
    <w:p w14:paraId="7FC5505F" w14:textId="77777777" w:rsidR="007C5685" w:rsidRDefault="007C5685">
      <w:pPr>
        <w:jc w:val="both"/>
        <w:rPr>
          <w:rFonts w:ascii="Arial" w:hAnsi="Arial" w:cs="Arial"/>
          <w:lang w:val="en-MY"/>
        </w:rPr>
      </w:pPr>
    </w:p>
    <w:p w14:paraId="4FA94632" w14:textId="77777777" w:rsidR="007C5685" w:rsidRDefault="00F26870">
      <w:pPr>
        <w:jc w:val="both"/>
        <w:rPr>
          <w:rFonts w:ascii="Arial" w:hAnsi="Arial" w:cs="Arial"/>
          <w:lang w:val="en-MY"/>
        </w:rPr>
      </w:pPr>
      <w:r>
        <w:rPr>
          <w:rFonts w:ascii="Arial" w:hAnsi="Arial" w:cs="Arial"/>
          <w:lang w:val="en-MY"/>
        </w:rPr>
        <w:t>Cluster II (similarity index = 0.497) was further subdivided into two subclusters. Cluster IIA (similarity index = 0.557) contained KH-THA 6–10 and KH-BI, characterized by ovate leaves longer than wide, short petioles and short peduncles, long inflorescenc</w:t>
      </w:r>
      <w:r>
        <w:rPr>
          <w:rFonts w:ascii="Arial" w:hAnsi="Arial" w:cs="Arial"/>
          <w:lang w:val="en-MY"/>
        </w:rPr>
        <w:t>es, and reddish leaf margins. Cluster IIB (similarity index = 0.625) comprised KH-THA 1, KH-LAO 1, KH-LGK, KH-MJ, KH-PB, and KH-PR, which exhibited ovate to lanceolate leaves, long petioles and peduncles, and similarly reddish margins. This observed variat</w:t>
      </w:r>
      <w:r>
        <w:rPr>
          <w:rFonts w:ascii="Arial" w:hAnsi="Arial" w:cs="Arial"/>
          <w:lang w:val="en-MY"/>
        </w:rPr>
        <w:t xml:space="preserve">ion in leaf shape, size, and pigmentation aligns with previous reports of significant morphological diversity in </w:t>
      </w:r>
      <w:r>
        <w:rPr>
          <w:rFonts w:ascii="Arial" w:hAnsi="Arial" w:cs="Arial"/>
          <w:i/>
          <w:iCs/>
          <w:lang w:val="en-MY"/>
        </w:rPr>
        <w:t xml:space="preserve">K. </w:t>
      </w:r>
      <w:proofErr w:type="spellStart"/>
      <w:r>
        <w:rPr>
          <w:rFonts w:ascii="Arial" w:hAnsi="Arial" w:cs="Arial"/>
          <w:i/>
          <w:iCs/>
          <w:lang w:val="en-MY"/>
        </w:rPr>
        <w:t>parviflora</w:t>
      </w:r>
      <w:proofErr w:type="spellEnd"/>
      <w:r>
        <w:rPr>
          <w:rFonts w:ascii="Arial" w:hAnsi="Arial" w:cs="Arial"/>
          <w:lang w:val="en-MY"/>
        </w:rPr>
        <w:t xml:space="preserve"> and related </w:t>
      </w:r>
      <w:proofErr w:type="spellStart"/>
      <w:r>
        <w:rPr>
          <w:rFonts w:ascii="Arial" w:hAnsi="Arial" w:cs="Arial"/>
          <w:lang w:val="en-MY"/>
        </w:rPr>
        <w:t>Zingiberaceae</w:t>
      </w:r>
      <w:proofErr w:type="spellEnd"/>
      <w:r>
        <w:rPr>
          <w:rFonts w:ascii="Arial" w:hAnsi="Arial" w:cs="Arial"/>
          <w:lang w:val="en-MY"/>
        </w:rPr>
        <w:t xml:space="preserve"> species [13]. </w:t>
      </w:r>
    </w:p>
    <w:p w14:paraId="2BF6C568" w14:textId="77777777" w:rsidR="007C5685" w:rsidRDefault="007C5685">
      <w:pPr>
        <w:jc w:val="both"/>
        <w:rPr>
          <w:rFonts w:ascii="Arial" w:hAnsi="Arial" w:cs="Arial"/>
          <w:lang w:val="en-MY"/>
        </w:rPr>
      </w:pPr>
    </w:p>
    <w:p w14:paraId="34FFE712" w14:textId="77777777" w:rsidR="007C5685" w:rsidRDefault="00F26870">
      <w:pPr>
        <w:jc w:val="both"/>
        <w:rPr>
          <w:rFonts w:ascii="Arial" w:hAnsi="Arial" w:cs="Arial"/>
          <w:lang w:val="en-MY"/>
        </w:rPr>
      </w:pPr>
      <w:r>
        <w:rPr>
          <w:rFonts w:ascii="Arial" w:hAnsi="Arial" w:cs="Arial"/>
          <w:lang w:val="en-MY"/>
        </w:rPr>
        <w:t>The analytical methods applied were appropriate for the mixed data types of the morphol</w:t>
      </w:r>
      <w:r>
        <w:rPr>
          <w:rFonts w:ascii="Arial" w:hAnsi="Arial" w:cs="Arial"/>
          <w:lang w:val="en-MY"/>
        </w:rPr>
        <w:t xml:space="preserve">ogical traits. Gower’s coefficient, which accommodates both qualitative and quantitative data, proved suitable for assessing overall similarity [8]. The UPGMA clustering </w:t>
      </w:r>
      <w:r>
        <w:rPr>
          <w:rFonts w:ascii="Arial" w:hAnsi="Arial" w:cs="Arial"/>
          <w:lang w:val="en-MY"/>
        </w:rPr>
        <w:lastRenderedPageBreak/>
        <w:t>method effectively grouped phenotypically similar accessions into coherent clusters. S</w:t>
      </w:r>
      <w:r>
        <w:rPr>
          <w:rFonts w:ascii="Arial" w:hAnsi="Arial" w:cs="Arial"/>
          <w:lang w:val="en-MY"/>
        </w:rPr>
        <w:t>imilar phenetic clustering approaches have been successfully applied in turmeric (</w:t>
      </w:r>
      <w:r>
        <w:rPr>
          <w:rFonts w:ascii="Arial" w:hAnsi="Arial" w:cs="Arial"/>
          <w:i/>
          <w:iCs/>
          <w:lang w:val="en-MY"/>
        </w:rPr>
        <w:t>Curcuma longa</w:t>
      </w:r>
      <w:r>
        <w:rPr>
          <w:rFonts w:ascii="Arial" w:hAnsi="Arial" w:cs="Arial"/>
          <w:lang w:val="en-MY"/>
        </w:rPr>
        <w:t>) and ginger (</w:t>
      </w:r>
      <w:r>
        <w:rPr>
          <w:rFonts w:ascii="Arial" w:hAnsi="Arial" w:cs="Arial"/>
          <w:i/>
          <w:iCs/>
          <w:lang w:val="en-MY"/>
        </w:rPr>
        <w:t>Zingiber officinale</w:t>
      </w:r>
      <w:r>
        <w:rPr>
          <w:rFonts w:ascii="Arial" w:hAnsi="Arial" w:cs="Arial"/>
          <w:lang w:val="en-MY"/>
        </w:rPr>
        <w:t>) germplasm research to classify accessions by trait similarity [11,12]. Unique morphological variants identified in this collec</w:t>
      </w:r>
      <w:r>
        <w:rPr>
          <w:rFonts w:ascii="Arial" w:hAnsi="Arial" w:cs="Arial"/>
          <w:lang w:val="en-MY"/>
        </w:rPr>
        <w:t>tion should be prioritized for germplasm conservation to maintain rare or desirable traits [6,18]. This morphological diversity assessment provides a baseline that can be integrated with molecular data for a more comprehensive understanding of diversity an</w:t>
      </w:r>
      <w:r>
        <w:rPr>
          <w:rFonts w:ascii="Arial" w:hAnsi="Arial" w:cs="Arial"/>
          <w:lang w:val="en-MY"/>
        </w:rPr>
        <w:t>d for guiding targeted breeding strategies.</w:t>
      </w:r>
    </w:p>
    <w:p w14:paraId="58507188" w14:textId="77777777" w:rsidR="007C5685" w:rsidRDefault="007C5685">
      <w:pPr>
        <w:jc w:val="both"/>
        <w:rPr>
          <w:rFonts w:ascii="Arial" w:hAnsi="Arial" w:cs="Arial"/>
          <w:lang w:val="en-MY"/>
        </w:rPr>
      </w:pPr>
    </w:p>
    <w:p w14:paraId="21206000" w14:textId="77777777" w:rsidR="007C5685" w:rsidRDefault="007C5685">
      <w:pPr>
        <w:pStyle w:val="Body"/>
        <w:spacing w:after="0"/>
        <w:rPr>
          <w:rFonts w:ascii="Arial" w:hAnsi="Arial" w:cs="Arial"/>
          <w:b/>
          <w:caps/>
          <w:sz w:val="22"/>
          <w:lang w:val="en-MY"/>
        </w:rPr>
      </w:pPr>
    </w:p>
    <w:p w14:paraId="720FA18F" w14:textId="77777777" w:rsidR="007C5685" w:rsidRDefault="00F26870">
      <w:pPr>
        <w:pStyle w:val="Body"/>
        <w:spacing w:after="0"/>
        <w:rPr>
          <w:rFonts w:ascii="Arial" w:hAnsi="Arial" w:cs="Arial"/>
          <w:b/>
          <w:bCs/>
          <w:sz w:val="22"/>
          <w:szCs w:val="22"/>
          <w:lang w:val="en-MY"/>
        </w:rPr>
      </w:pPr>
      <w:r>
        <w:rPr>
          <w:rFonts w:ascii="Arial" w:hAnsi="Arial" w:cs="Arial"/>
          <w:b/>
          <w:caps/>
          <w:sz w:val="22"/>
          <w:lang w:val="en-MY"/>
        </w:rPr>
        <w:t>3.2</w:t>
      </w:r>
      <w:r>
        <w:rPr>
          <w:rFonts w:ascii="Arial" w:hAnsi="Arial" w:cs="Arial"/>
          <w:b/>
          <w:caps/>
          <w:sz w:val="22"/>
        </w:rPr>
        <w:t xml:space="preserve"> </w:t>
      </w:r>
      <w:r>
        <w:rPr>
          <w:rFonts w:ascii="Arial" w:hAnsi="Arial" w:cs="Arial"/>
          <w:b/>
          <w:bCs/>
          <w:sz w:val="22"/>
          <w:szCs w:val="22"/>
          <w:lang w:val="en-MY"/>
        </w:rPr>
        <w:t>Molecular Characterization</w:t>
      </w:r>
    </w:p>
    <w:p w14:paraId="5CB5E8AD" w14:textId="77777777" w:rsidR="007C5685" w:rsidRDefault="007C5685">
      <w:pPr>
        <w:pStyle w:val="Body"/>
        <w:spacing w:after="0"/>
        <w:rPr>
          <w:rFonts w:ascii="Arial" w:hAnsi="Arial" w:cs="Arial"/>
        </w:rPr>
      </w:pPr>
    </w:p>
    <w:p w14:paraId="49AC2D42" w14:textId="77777777" w:rsidR="007C5685" w:rsidRDefault="00F26870">
      <w:pPr>
        <w:pStyle w:val="Body"/>
        <w:spacing w:after="0"/>
        <w:rPr>
          <w:rFonts w:ascii="Arial" w:hAnsi="Arial" w:cs="Arial"/>
          <w:lang w:eastAsia="zh-CN"/>
        </w:rPr>
      </w:pPr>
      <w:r>
        <w:rPr>
          <w:rFonts w:ascii="Arial" w:hAnsi="Arial" w:cs="Arial"/>
          <w:lang w:eastAsia="zh-CN"/>
        </w:rPr>
        <w:t xml:space="preserve">Molecular characterization of the 21 </w:t>
      </w:r>
      <w:r>
        <w:rPr>
          <w:rFonts w:ascii="Arial" w:hAnsi="Arial" w:cs="Arial"/>
          <w:i/>
          <w:iCs/>
          <w:lang w:eastAsia="zh-CN"/>
        </w:rPr>
        <w:t>K. parviflora</w:t>
      </w:r>
      <w:r>
        <w:rPr>
          <w:rFonts w:ascii="Arial" w:hAnsi="Arial" w:cs="Arial"/>
          <w:lang w:eastAsia="zh-CN"/>
        </w:rPr>
        <w:t xml:space="preserve"> accessions using 10 ISSR primers revealed relatively low genetic diversity within the collection. The ISSR analysis yielded a total of 33 polymorphic bands. The mean Shannon diversity index (H′) was 1.70, which is indicative of limited genetic variation a</w:t>
      </w:r>
      <w:r>
        <w:rPr>
          <w:rFonts w:ascii="Arial" w:hAnsi="Arial" w:cs="Arial"/>
          <w:lang w:eastAsia="zh-CN"/>
        </w:rPr>
        <w:t>mong these accessions. This suggests that the accessions are largely clonal or closely related</w:t>
      </w:r>
      <w:r>
        <w:rPr>
          <w:rFonts w:ascii="Arial" w:hAnsi="Arial" w:cs="Arial"/>
          <w:lang w:val="en-MY" w:eastAsia="zh-CN"/>
        </w:rPr>
        <w:t xml:space="preserve">, </w:t>
      </w:r>
      <w:r>
        <w:rPr>
          <w:rFonts w:ascii="Arial" w:hAnsi="Arial" w:cs="Arial"/>
          <w:lang w:eastAsia="zh-CN"/>
        </w:rPr>
        <w:t xml:space="preserve">a pattern observed in other </w:t>
      </w:r>
      <w:proofErr w:type="spellStart"/>
      <w:r>
        <w:rPr>
          <w:rFonts w:ascii="Arial" w:hAnsi="Arial" w:cs="Arial"/>
          <w:lang w:eastAsia="zh-CN"/>
        </w:rPr>
        <w:t>vegetatively</w:t>
      </w:r>
      <w:proofErr w:type="spellEnd"/>
      <w:r>
        <w:rPr>
          <w:rFonts w:ascii="Arial" w:hAnsi="Arial" w:cs="Arial"/>
          <w:lang w:eastAsia="zh-CN"/>
        </w:rPr>
        <w:t xml:space="preserve"> propagated </w:t>
      </w:r>
      <w:proofErr w:type="spellStart"/>
      <w:r>
        <w:rPr>
          <w:rFonts w:ascii="Arial" w:hAnsi="Arial" w:cs="Arial"/>
          <w:lang w:eastAsia="zh-CN"/>
        </w:rPr>
        <w:t>Zingiberaceae</w:t>
      </w:r>
      <w:proofErr w:type="spellEnd"/>
      <w:r>
        <w:rPr>
          <w:rFonts w:ascii="Arial" w:hAnsi="Arial" w:cs="Arial"/>
          <w:lang w:eastAsia="zh-CN"/>
        </w:rPr>
        <w:t xml:space="preserve"> crops where limited seed-based reproduction and frequent exchange of planting material lead to</w:t>
      </w:r>
      <w:r>
        <w:rPr>
          <w:rFonts w:ascii="Arial" w:hAnsi="Arial" w:cs="Arial"/>
          <w:lang w:eastAsia="zh-CN"/>
        </w:rPr>
        <w:t xml:space="preserve"> a narrow genetic base </w:t>
      </w:r>
      <w:r>
        <w:rPr>
          <w:rFonts w:ascii="Arial" w:hAnsi="Arial" w:cs="Arial"/>
          <w:lang w:val="en-MY" w:eastAsia="zh-CN"/>
        </w:rPr>
        <w:t>[4,1]</w:t>
      </w:r>
      <w:r>
        <w:rPr>
          <w:rFonts w:ascii="Arial" w:hAnsi="Arial" w:cs="Arial"/>
          <w:lang w:eastAsia="zh-CN"/>
        </w:rPr>
        <w:t>.</w:t>
      </w:r>
      <w:r>
        <w:rPr>
          <w:rFonts w:ascii="Arial" w:hAnsi="Arial" w:cs="Arial"/>
          <w:lang w:val="en-MY" w:eastAsia="zh-CN"/>
        </w:rPr>
        <w:t xml:space="preserve"> </w:t>
      </w:r>
      <w:r>
        <w:rPr>
          <w:rFonts w:ascii="Arial" w:hAnsi="Arial" w:cs="Arial"/>
          <w:lang w:eastAsia="zh-CN"/>
        </w:rPr>
        <w:t>Jaccard’s genetic similarity coefficients ranged from 0.61 (between KH-THA 1 and KH-THA 2) to 0.98 (between KH-KB and KH-LGK), demonstrating that while most accession pairs are very closely related, a few pairs exhibit moderat</w:t>
      </w:r>
      <w:r>
        <w:rPr>
          <w:rFonts w:ascii="Arial" w:hAnsi="Arial" w:cs="Arial"/>
          <w:lang w:eastAsia="zh-CN"/>
        </w:rPr>
        <w:t xml:space="preserve">e genetic divergence. The UPGMA dendrogram based on ISSR data clustered the accessions into three major groups, designated Cluster A, B, and C (Figure 2). Cluster A included eight accessions (KH-THA 1, KH-THA 2, KH-THA 3, KH-THA 4, KH-DN, KH-LAO 1, KH-VIE </w:t>
      </w:r>
      <w:r>
        <w:rPr>
          <w:rFonts w:ascii="Arial" w:hAnsi="Arial" w:cs="Arial"/>
          <w:lang w:eastAsia="zh-CN"/>
        </w:rPr>
        <w:t>1, and KH-KB). Cluster B encompassed twelve accessions: the Thai clones KH-THA 5 through KH-THA 10, together with KH-LAO 2 and the Malaysian accessions KH-PR, KH-BI, KH-MT, KH-PB, and KH-LGK. Cluster C consisted of a single outlier, KH-MJ, which was geneti</w:t>
      </w:r>
      <w:r>
        <w:rPr>
          <w:rFonts w:ascii="Arial" w:hAnsi="Arial" w:cs="Arial"/>
          <w:lang w:eastAsia="zh-CN"/>
        </w:rPr>
        <w:t>cally distinct from all other accessions.</w:t>
      </w:r>
    </w:p>
    <w:p w14:paraId="6D5112D8" w14:textId="77777777" w:rsidR="007C5685" w:rsidRDefault="007C5685">
      <w:pPr>
        <w:pStyle w:val="Body"/>
        <w:spacing w:after="0"/>
        <w:rPr>
          <w:rFonts w:ascii="Arial" w:hAnsi="Arial" w:cs="Arial"/>
          <w:lang w:eastAsia="zh-CN"/>
        </w:rPr>
      </w:pPr>
    </w:p>
    <w:p w14:paraId="5A4CC873" w14:textId="77777777" w:rsidR="007C5685" w:rsidRDefault="00F26870">
      <w:pPr>
        <w:pStyle w:val="Body"/>
        <w:spacing w:after="0"/>
        <w:rPr>
          <w:rFonts w:ascii="Arial" w:hAnsi="Arial" w:cs="Arial"/>
          <w:lang w:eastAsia="zh-CN"/>
        </w:rPr>
      </w:pPr>
      <w:r>
        <w:rPr>
          <w:noProof/>
        </w:rPr>
        <w:drawing>
          <wp:inline distT="0" distB="0" distL="114300" distR="114300" wp14:anchorId="0A9628EE" wp14:editId="3DACE5A3">
            <wp:extent cx="5210175" cy="2456815"/>
            <wp:effectExtent l="0" t="0" r="1905" b="1206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16"/>
                    <a:stretch>
                      <a:fillRect/>
                    </a:stretch>
                  </pic:blipFill>
                  <pic:spPr>
                    <a:xfrm>
                      <a:off x="0" y="0"/>
                      <a:ext cx="5210175" cy="2456815"/>
                    </a:xfrm>
                    <a:prstGeom prst="rect">
                      <a:avLst/>
                    </a:prstGeom>
                    <a:noFill/>
                    <a:ln>
                      <a:noFill/>
                    </a:ln>
                  </pic:spPr>
                </pic:pic>
              </a:graphicData>
            </a:graphic>
          </wp:inline>
        </w:drawing>
      </w:r>
    </w:p>
    <w:p w14:paraId="4EB2D7D7" w14:textId="77777777" w:rsidR="007C5685" w:rsidRDefault="007C5685">
      <w:pPr>
        <w:pStyle w:val="Body"/>
        <w:spacing w:after="0"/>
        <w:rPr>
          <w:rFonts w:ascii="Arial" w:hAnsi="Arial" w:cs="Arial"/>
          <w:lang w:eastAsia="zh-CN"/>
        </w:rPr>
      </w:pPr>
    </w:p>
    <w:p w14:paraId="3E0F3ACF" w14:textId="77777777" w:rsidR="007C5685" w:rsidRDefault="00F26870">
      <w:pPr>
        <w:pStyle w:val="Body"/>
        <w:spacing w:after="0"/>
        <w:rPr>
          <w:rFonts w:ascii="Arial" w:eastAsia="Helvetica" w:hAnsi="Arial" w:cs="Arial"/>
          <w:b/>
          <w:bCs/>
          <w:color w:val="333333"/>
          <w:shd w:val="clear" w:color="auto" w:fill="FFFFFF"/>
          <w:lang w:eastAsia="zh-CN" w:bidi="ar"/>
        </w:rPr>
      </w:pPr>
      <w:r>
        <w:rPr>
          <w:rFonts w:ascii="Arial" w:eastAsia="Helvetica" w:hAnsi="Arial" w:cs="Arial"/>
          <w:b/>
          <w:bCs/>
          <w:color w:val="333333"/>
          <w:shd w:val="clear" w:color="auto" w:fill="FFFFFF"/>
          <w:lang w:eastAsia="zh-CN" w:bidi="ar"/>
        </w:rPr>
        <w:t>Figure 2.</w:t>
      </w:r>
      <w:r>
        <w:rPr>
          <w:rFonts w:ascii="Arial" w:eastAsia="Helvetica" w:hAnsi="Arial" w:cs="Arial"/>
          <w:b/>
          <w:bCs/>
          <w:color w:val="333333"/>
          <w:shd w:val="clear" w:color="auto" w:fill="FFFFFF"/>
          <w:lang w:val="en-MY" w:eastAsia="zh-CN" w:bidi="ar"/>
        </w:rPr>
        <w:tab/>
      </w:r>
      <w:r>
        <w:rPr>
          <w:rFonts w:ascii="Arial" w:eastAsia="Helvetica" w:hAnsi="Arial" w:cs="Arial"/>
          <w:b/>
          <w:bCs/>
          <w:color w:val="333333"/>
          <w:shd w:val="clear" w:color="auto" w:fill="FFFFFF"/>
          <w:lang w:eastAsia="zh-CN" w:bidi="ar"/>
        </w:rPr>
        <w:t>UPGMA dendrogram showing genetic relationships among 21</w:t>
      </w:r>
      <w:r>
        <w:rPr>
          <w:rFonts w:ascii="Arial" w:eastAsia="Helvetica" w:hAnsi="Arial" w:cs="Arial"/>
          <w:b/>
          <w:bCs/>
          <w:color w:val="333333"/>
          <w:shd w:val="clear" w:color="auto" w:fill="FFFFFF"/>
          <w:lang w:val="en-MY" w:eastAsia="zh-CN" w:bidi="ar"/>
        </w:rPr>
        <w:t xml:space="preserve"> </w:t>
      </w:r>
      <w:r>
        <w:rPr>
          <w:rFonts w:ascii="Arial" w:eastAsia="Helvetica" w:hAnsi="Arial" w:cs="Arial"/>
          <w:b/>
          <w:bCs/>
          <w:i/>
          <w:iCs/>
          <w:color w:val="333333"/>
          <w:shd w:val="clear" w:color="auto" w:fill="FFFFFF"/>
          <w:lang w:eastAsia="zh-CN" w:bidi="ar"/>
        </w:rPr>
        <w:t>K. parviflora</w:t>
      </w:r>
      <w:r>
        <w:rPr>
          <w:rFonts w:ascii="Arial" w:eastAsia="Helvetica" w:hAnsi="Arial" w:cs="Arial"/>
          <w:b/>
          <w:bCs/>
          <w:color w:val="333333"/>
          <w:shd w:val="clear" w:color="auto" w:fill="FFFFFF"/>
          <w:lang w:eastAsia="zh-CN" w:bidi="ar"/>
        </w:rPr>
        <w:t xml:space="preserve"> accessions based on ISSR marker profiles </w:t>
      </w:r>
    </w:p>
    <w:p w14:paraId="694FD9A9" w14:textId="77777777" w:rsidR="007C5685" w:rsidRDefault="007C5685">
      <w:pPr>
        <w:pStyle w:val="Body"/>
        <w:spacing w:after="0"/>
        <w:rPr>
          <w:rFonts w:eastAsia="Helvetica"/>
          <w:color w:val="333333"/>
          <w:sz w:val="22"/>
          <w:szCs w:val="22"/>
          <w:shd w:val="clear" w:color="auto" w:fill="FFFFFF"/>
          <w:lang w:eastAsia="zh-CN" w:bidi="ar"/>
        </w:rPr>
      </w:pPr>
    </w:p>
    <w:p w14:paraId="375E06A8" w14:textId="77777777" w:rsidR="007C5685" w:rsidRDefault="007C5685">
      <w:pPr>
        <w:pStyle w:val="Body"/>
        <w:spacing w:after="0"/>
        <w:rPr>
          <w:rFonts w:ascii="Arial" w:hAnsi="Arial" w:cs="Arial"/>
          <w:lang w:eastAsia="zh-CN"/>
        </w:rPr>
      </w:pPr>
    </w:p>
    <w:p w14:paraId="2D3221D7" w14:textId="77777777" w:rsidR="007C5685" w:rsidRDefault="00F26870">
      <w:pPr>
        <w:pStyle w:val="Body"/>
        <w:spacing w:after="0"/>
        <w:rPr>
          <w:rFonts w:ascii="Arial" w:hAnsi="Arial" w:cs="Arial"/>
          <w:lang w:eastAsia="zh-CN"/>
        </w:rPr>
      </w:pPr>
      <w:r>
        <w:rPr>
          <w:rFonts w:ascii="Arial" w:hAnsi="Arial" w:cs="Arial"/>
          <w:lang w:eastAsia="zh-CN"/>
        </w:rPr>
        <w:t xml:space="preserve">Interestingly, two </w:t>
      </w:r>
      <w:r>
        <w:rPr>
          <w:rFonts w:ascii="Arial" w:hAnsi="Arial" w:cs="Arial"/>
          <w:i/>
          <w:iCs/>
          <w:lang w:eastAsia="zh-CN"/>
        </w:rPr>
        <w:t>K. parviflora</w:t>
      </w:r>
      <w:r>
        <w:rPr>
          <w:rFonts w:ascii="Arial" w:hAnsi="Arial" w:cs="Arial"/>
          <w:lang w:eastAsia="zh-CN"/>
        </w:rPr>
        <w:t xml:space="preserve"> accessions from Terengganu (KH</w:t>
      </w:r>
      <w:r>
        <w:rPr>
          <w:rFonts w:ascii="Arial" w:hAnsi="Arial" w:cs="Arial"/>
          <w:lang w:eastAsia="zh-CN"/>
        </w:rPr>
        <w:noBreakHyphen/>
        <w:t>DN and KH</w:t>
      </w:r>
      <w:r>
        <w:rPr>
          <w:rFonts w:ascii="Arial" w:hAnsi="Arial" w:cs="Arial"/>
          <w:lang w:eastAsia="zh-CN"/>
        </w:rPr>
        <w:noBreakHyphen/>
      </w:r>
      <w:r>
        <w:rPr>
          <w:rFonts w:ascii="Arial" w:hAnsi="Arial" w:cs="Arial"/>
          <w:lang w:eastAsia="zh-CN"/>
        </w:rPr>
        <w:t xml:space="preserve">KB) grouped within Cluster A alongside accessions from Thailand, Vietnam, and </w:t>
      </w:r>
      <w:proofErr w:type="spellStart"/>
      <w:r>
        <w:rPr>
          <w:rFonts w:ascii="Arial" w:hAnsi="Arial" w:cs="Arial"/>
          <w:lang w:eastAsia="zh-CN"/>
        </w:rPr>
        <w:t>Laos.In</w:t>
      </w:r>
      <w:proofErr w:type="spellEnd"/>
      <w:r>
        <w:rPr>
          <w:rFonts w:ascii="Arial" w:hAnsi="Arial" w:cs="Arial"/>
          <w:lang w:eastAsia="zh-CN"/>
        </w:rPr>
        <w:t xml:space="preserve"> contrast, Cluster B was composed predominantly of accessions from Peninsular Malaysia (Johor, Pahang, </w:t>
      </w:r>
      <w:r>
        <w:rPr>
          <w:rFonts w:ascii="Arial" w:hAnsi="Arial" w:cs="Arial"/>
          <w:lang w:eastAsia="zh-CN"/>
        </w:rPr>
        <w:lastRenderedPageBreak/>
        <w:t>Melaka, Kedah), alongside a single Thai clone (KH</w:t>
      </w:r>
      <w:r>
        <w:rPr>
          <w:rFonts w:ascii="Arial" w:hAnsi="Arial" w:cs="Arial"/>
          <w:lang w:eastAsia="zh-CN"/>
        </w:rPr>
        <w:noBreakHyphen/>
        <w:t>THA 10), indicatin</w:t>
      </w:r>
      <w:r>
        <w:rPr>
          <w:rFonts w:ascii="Arial" w:hAnsi="Arial" w:cs="Arial"/>
          <w:lang w:eastAsia="zh-CN"/>
        </w:rPr>
        <w:t xml:space="preserve">g particularly close genetic relationships among geographically proximate materials. The overall high genetic similarity across the collection supports the hypothesis of a narrow genetic base in cultivated </w:t>
      </w:r>
      <w:r>
        <w:rPr>
          <w:rFonts w:ascii="Arial" w:hAnsi="Arial" w:cs="Arial"/>
          <w:i/>
          <w:iCs/>
          <w:lang w:eastAsia="zh-CN"/>
        </w:rPr>
        <w:t>K. parviflora</w:t>
      </w:r>
      <w:r>
        <w:rPr>
          <w:rFonts w:ascii="Arial" w:hAnsi="Arial" w:cs="Arial"/>
          <w:lang w:eastAsia="zh-CN"/>
        </w:rPr>
        <w:t>, likely resulting from its predomina</w:t>
      </w:r>
      <w:r>
        <w:rPr>
          <w:rFonts w:ascii="Arial" w:hAnsi="Arial" w:cs="Arial"/>
          <w:lang w:eastAsia="zh-CN"/>
        </w:rPr>
        <w:t xml:space="preserve">ntly vegetative propagation and limited introduction of novel genetic material. This pattern similarly in other studies for instance, ISSR and RAPD analysis of various </w:t>
      </w:r>
      <w:r>
        <w:rPr>
          <w:rFonts w:ascii="Arial" w:hAnsi="Arial" w:cs="Arial"/>
          <w:i/>
          <w:iCs/>
          <w:lang w:eastAsia="zh-CN"/>
        </w:rPr>
        <w:t xml:space="preserve">Kaempferia </w:t>
      </w:r>
      <w:r>
        <w:rPr>
          <w:rFonts w:ascii="Arial" w:hAnsi="Arial" w:cs="Arial"/>
          <w:lang w:eastAsia="zh-CN"/>
        </w:rPr>
        <w:t>species showed high polymorphism levels, ranging from approximately 49 % to 9</w:t>
      </w:r>
      <w:r>
        <w:rPr>
          <w:rFonts w:ascii="Arial" w:hAnsi="Arial" w:cs="Arial"/>
          <w:lang w:eastAsia="zh-CN"/>
        </w:rPr>
        <w:t xml:space="preserve">3 % similarity, indicating both genetic differentiation and redundancy within the genus </w:t>
      </w:r>
      <w:r>
        <w:rPr>
          <w:rFonts w:ascii="Arial" w:hAnsi="Arial" w:cs="Arial"/>
          <w:lang w:val="en-MY" w:eastAsia="zh-CN"/>
        </w:rPr>
        <w:t>[19]</w:t>
      </w:r>
      <w:r>
        <w:rPr>
          <w:rFonts w:ascii="Arial" w:hAnsi="Arial" w:cs="Arial"/>
          <w:lang w:eastAsia="zh-CN"/>
        </w:rPr>
        <w:t xml:space="preserve">. Additionally, recent morphological assessments have found surprisingly low phenotypic variation among cultivated </w:t>
      </w:r>
      <w:r>
        <w:rPr>
          <w:rFonts w:ascii="Arial" w:hAnsi="Arial" w:cs="Arial"/>
          <w:i/>
          <w:iCs/>
          <w:lang w:eastAsia="zh-CN"/>
        </w:rPr>
        <w:t>K. parviflora</w:t>
      </w:r>
      <w:r>
        <w:rPr>
          <w:rFonts w:ascii="Arial" w:hAnsi="Arial" w:cs="Arial"/>
          <w:lang w:eastAsia="zh-CN"/>
        </w:rPr>
        <w:t xml:space="preserve"> accessions, supporting the idea of </w:t>
      </w:r>
      <w:r>
        <w:rPr>
          <w:rFonts w:ascii="Arial" w:hAnsi="Arial" w:cs="Arial"/>
          <w:lang w:eastAsia="zh-CN"/>
        </w:rPr>
        <w:t xml:space="preserve">a narrow genetic base </w:t>
      </w:r>
      <w:r>
        <w:rPr>
          <w:rFonts w:ascii="Arial" w:hAnsi="Arial" w:cs="Arial"/>
          <w:lang w:val="en-MY" w:eastAsia="zh-CN"/>
        </w:rPr>
        <w:t>[17]</w:t>
      </w:r>
      <w:r>
        <w:rPr>
          <w:rFonts w:ascii="Arial" w:hAnsi="Arial" w:cs="Arial"/>
          <w:lang w:eastAsia="zh-CN"/>
        </w:rPr>
        <w:t>.</w:t>
      </w:r>
    </w:p>
    <w:p w14:paraId="77490187" w14:textId="77777777" w:rsidR="007C5685" w:rsidRDefault="007C5685">
      <w:pPr>
        <w:pStyle w:val="Body"/>
        <w:spacing w:after="0"/>
        <w:rPr>
          <w:rFonts w:ascii="Arial" w:hAnsi="Arial" w:cs="Arial"/>
          <w:lang w:eastAsia="zh-CN"/>
        </w:rPr>
      </w:pPr>
    </w:p>
    <w:p w14:paraId="46CCA2BC" w14:textId="77777777" w:rsidR="007C5685" w:rsidRDefault="00F26870">
      <w:pPr>
        <w:pStyle w:val="Body"/>
        <w:spacing w:after="0"/>
        <w:rPr>
          <w:rFonts w:ascii="Arial" w:hAnsi="Arial" w:cs="Arial"/>
          <w:lang w:eastAsia="zh-CN"/>
        </w:rPr>
      </w:pPr>
      <w:r>
        <w:rPr>
          <w:rFonts w:ascii="Arial" w:hAnsi="Arial" w:cs="Arial"/>
          <w:lang w:eastAsia="zh-CN"/>
        </w:rPr>
        <w:t>From a conservation perspective, the identification of a genetically unique accession (KH-MJ) is particularly important. Such an outlier genotype can contribute disproportionately to the species’ adaptive potential and should b</w:t>
      </w:r>
      <w:r>
        <w:rPr>
          <w:rFonts w:ascii="Arial" w:hAnsi="Arial" w:cs="Arial"/>
          <w:lang w:eastAsia="zh-CN"/>
        </w:rPr>
        <w:t xml:space="preserve">e conserved as a priority </w:t>
      </w:r>
      <w:r>
        <w:rPr>
          <w:rFonts w:ascii="Arial" w:hAnsi="Arial" w:cs="Arial"/>
          <w:lang w:val="en-MY" w:eastAsia="zh-CN"/>
        </w:rPr>
        <w:t>[9]</w:t>
      </w:r>
      <w:r>
        <w:rPr>
          <w:rFonts w:ascii="Arial" w:hAnsi="Arial" w:cs="Arial"/>
          <w:lang w:eastAsia="zh-CN"/>
        </w:rPr>
        <w:t>.</w:t>
      </w:r>
      <w:r>
        <w:rPr>
          <w:rFonts w:ascii="Arial" w:hAnsi="Arial" w:cs="Arial"/>
          <w:lang w:val="en-MY" w:eastAsia="zh-CN"/>
        </w:rPr>
        <w:t xml:space="preserve"> </w:t>
      </w:r>
      <w:r>
        <w:rPr>
          <w:rFonts w:ascii="Arial" w:hAnsi="Arial" w:cs="Arial"/>
          <w:lang w:eastAsia="zh-CN"/>
        </w:rPr>
        <w:t>Incorporating this and other divergent genotypes into breeding programs will help increase the genetic variability in progeny</w:t>
      </w:r>
      <w:r>
        <w:rPr>
          <w:rFonts w:ascii="Arial" w:hAnsi="Arial" w:cs="Arial"/>
          <w:lang w:val="en-MY" w:eastAsia="zh-CN"/>
        </w:rPr>
        <w:t xml:space="preserve">, </w:t>
      </w:r>
      <w:r>
        <w:rPr>
          <w:rFonts w:ascii="Arial" w:hAnsi="Arial" w:cs="Arial"/>
          <w:lang w:eastAsia="zh-CN"/>
        </w:rPr>
        <w:t xml:space="preserve">a critical factor for improving resilience to pests, diseases, and environmental changes </w:t>
      </w:r>
      <w:r>
        <w:rPr>
          <w:rFonts w:ascii="Arial" w:hAnsi="Arial" w:cs="Arial"/>
          <w:lang w:val="en-MY" w:eastAsia="zh-CN"/>
        </w:rPr>
        <w:t>[14]</w:t>
      </w:r>
      <w:r>
        <w:rPr>
          <w:rFonts w:ascii="Arial" w:hAnsi="Arial" w:cs="Arial"/>
          <w:lang w:eastAsia="zh-CN"/>
        </w:rPr>
        <w:t>.</w:t>
      </w:r>
      <w:r>
        <w:rPr>
          <w:rFonts w:ascii="Arial" w:hAnsi="Arial" w:cs="Arial"/>
          <w:lang w:val="en-MY" w:eastAsia="zh-CN"/>
        </w:rPr>
        <w:t xml:space="preserve"> </w:t>
      </w:r>
      <w:r>
        <w:rPr>
          <w:rFonts w:ascii="Arial" w:hAnsi="Arial" w:cs="Arial"/>
          <w:lang w:eastAsia="zh-CN"/>
        </w:rPr>
        <w:t>Ove</w:t>
      </w:r>
      <w:r>
        <w:rPr>
          <w:rFonts w:ascii="Arial" w:hAnsi="Arial" w:cs="Arial"/>
          <w:lang w:eastAsia="zh-CN"/>
        </w:rPr>
        <w:t xml:space="preserve">rall, ISSR markers proved to be effective for elucidating genetic relationships among </w:t>
      </w:r>
      <w:r>
        <w:rPr>
          <w:rFonts w:ascii="Arial" w:hAnsi="Arial" w:cs="Arial"/>
          <w:i/>
          <w:iCs/>
          <w:lang w:eastAsia="zh-CN"/>
        </w:rPr>
        <w:t>K. parviflora</w:t>
      </w:r>
      <w:r>
        <w:rPr>
          <w:rFonts w:ascii="Arial" w:hAnsi="Arial" w:cs="Arial"/>
          <w:lang w:eastAsia="zh-CN"/>
        </w:rPr>
        <w:t xml:space="preserve"> accessions. The molecular data complement the morphological findings, and together these tools can inform more effective germplasm management, breeding, and</w:t>
      </w:r>
      <w:r>
        <w:rPr>
          <w:rFonts w:ascii="Arial" w:hAnsi="Arial" w:cs="Arial"/>
          <w:lang w:eastAsia="zh-CN"/>
        </w:rPr>
        <w:t xml:space="preserve"> conservation strategies for black ginger.</w:t>
      </w:r>
    </w:p>
    <w:p w14:paraId="338BE887" w14:textId="77777777" w:rsidR="007C5685" w:rsidRDefault="007C5685">
      <w:pPr>
        <w:pStyle w:val="Body"/>
        <w:spacing w:after="0"/>
        <w:rPr>
          <w:rFonts w:ascii="Arial" w:hAnsi="Arial" w:cs="Arial"/>
          <w:lang w:eastAsia="zh-CN"/>
        </w:rPr>
      </w:pPr>
    </w:p>
    <w:p w14:paraId="196461E8" w14:textId="77777777" w:rsidR="007C5685" w:rsidRDefault="007C5685">
      <w:pPr>
        <w:pStyle w:val="Body"/>
        <w:spacing w:after="0"/>
        <w:rPr>
          <w:rFonts w:ascii="Arial" w:hAnsi="Arial" w:cs="Arial"/>
          <w:lang w:eastAsia="zh-CN"/>
        </w:rPr>
      </w:pPr>
    </w:p>
    <w:p w14:paraId="3B0CB31C" w14:textId="77777777" w:rsidR="007C5685" w:rsidRDefault="00F26870">
      <w:pPr>
        <w:pStyle w:val="Body"/>
        <w:spacing w:after="0"/>
        <w:rPr>
          <w:rFonts w:ascii="Arial" w:hAnsi="Arial" w:cs="Arial"/>
          <w:b/>
          <w:bCs/>
          <w:sz w:val="22"/>
          <w:szCs w:val="22"/>
          <w:lang w:val="en-MY"/>
        </w:rPr>
      </w:pPr>
      <w:r>
        <w:rPr>
          <w:rFonts w:ascii="Arial" w:hAnsi="Arial" w:cs="Arial"/>
          <w:b/>
          <w:caps/>
          <w:sz w:val="22"/>
          <w:lang w:val="en-MY"/>
        </w:rPr>
        <w:t>3.3</w:t>
      </w:r>
      <w:r>
        <w:rPr>
          <w:rFonts w:ascii="Arial" w:hAnsi="Arial" w:cs="Arial"/>
          <w:b/>
          <w:caps/>
          <w:sz w:val="22"/>
        </w:rPr>
        <w:t xml:space="preserve"> </w:t>
      </w:r>
      <w:r>
        <w:rPr>
          <w:rFonts w:ascii="Arial" w:hAnsi="Arial" w:cs="Arial"/>
          <w:b/>
          <w:bCs/>
          <w:sz w:val="22"/>
          <w:szCs w:val="22"/>
          <w:lang w:val="en-MY"/>
        </w:rPr>
        <w:t xml:space="preserve">Phytochemical Variation and </w:t>
      </w:r>
      <w:proofErr w:type="spellStart"/>
      <w:r>
        <w:rPr>
          <w:rFonts w:ascii="Arial" w:hAnsi="Arial" w:cs="Arial"/>
          <w:b/>
          <w:bCs/>
          <w:sz w:val="22"/>
          <w:szCs w:val="22"/>
          <w:lang w:val="en-MY"/>
        </w:rPr>
        <w:t>Methoxyflavone</w:t>
      </w:r>
      <w:proofErr w:type="spellEnd"/>
      <w:r>
        <w:rPr>
          <w:rFonts w:ascii="Arial" w:hAnsi="Arial" w:cs="Arial"/>
          <w:b/>
          <w:bCs/>
          <w:sz w:val="22"/>
          <w:szCs w:val="22"/>
          <w:lang w:val="en-MY"/>
        </w:rPr>
        <w:t xml:space="preserve"> Content</w:t>
      </w:r>
    </w:p>
    <w:p w14:paraId="71400AFE" w14:textId="77777777" w:rsidR="007C5685" w:rsidRDefault="007C5685">
      <w:pPr>
        <w:pStyle w:val="Body"/>
        <w:spacing w:after="0"/>
        <w:rPr>
          <w:rFonts w:ascii="Arial" w:hAnsi="Arial" w:cs="Arial"/>
          <w:b/>
          <w:bCs/>
          <w:sz w:val="22"/>
          <w:szCs w:val="22"/>
          <w:lang w:val="en-MY"/>
        </w:rPr>
      </w:pPr>
    </w:p>
    <w:p w14:paraId="40F2999A" w14:textId="77777777" w:rsidR="007C5685" w:rsidRDefault="00F26870">
      <w:pPr>
        <w:jc w:val="both"/>
        <w:rPr>
          <w:rFonts w:ascii="Arial" w:hAnsi="Arial" w:cs="Arial"/>
          <w:lang w:val="en-MY"/>
        </w:rPr>
      </w:pPr>
      <w:r>
        <w:rPr>
          <w:rFonts w:ascii="Arial" w:hAnsi="Arial" w:cs="Arial"/>
          <w:lang w:val="en-MY"/>
        </w:rPr>
        <w:t xml:space="preserve">Phytochemical profiling of 10 selected </w:t>
      </w:r>
      <w:r>
        <w:rPr>
          <w:rFonts w:ascii="Arial" w:hAnsi="Arial" w:cs="Arial"/>
          <w:i/>
          <w:iCs/>
          <w:lang w:val="en-MY"/>
        </w:rPr>
        <w:t>K. parviflora</w:t>
      </w:r>
      <w:r>
        <w:rPr>
          <w:rFonts w:ascii="Arial" w:hAnsi="Arial" w:cs="Arial"/>
          <w:lang w:val="en-MY"/>
        </w:rPr>
        <w:t xml:space="preserve"> accessions revealed significant variability in their total phenolic content (TPC), total flavonoid content (TFC), and levels of the bioactive compound 4,5,7-trimethoxyflavone (TMF). The results (Table 2 and Figure 3) showed that these phytochemical parame</w:t>
      </w:r>
      <w:r>
        <w:rPr>
          <w:rFonts w:ascii="Arial" w:hAnsi="Arial" w:cs="Arial"/>
          <w:lang w:val="en-MY"/>
        </w:rPr>
        <w:t>ters differed markedly among accessions. Notably, accession KH-THA 10 consistently exhibited the highest concentrations across all measures, with a TPC of 47.534 mg GAE/g, a TFC of 7.887 mg RE/g, and a TMF content of 42.95 µg/mg. In contrast, several other</w:t>
      </w:r>
      <w:r>
        <w:rPr>
          <w:rFonts w:ascii="Arial" w:hAnsi="Arial" w:cs="Arial"/>
          <w:lang w:val="en-MY"/>
        </w:rPr>
        <w:t xml:space="preserve"> accessions – including KH-THA 4, KH-THA 5, KH-LAO 2, KH-VIE 1, and KH-MJ showed substantially lower values for all three phytochemical parameters.</w:t>
      </w:r>
    </w:p>
    <w:p w14:paraId="35FB6F01" w14:textId="77777777" w:rsidR="007C5685" w:rsidRDefault="007C5685">
      <w:pPr>
        <w:pStyle w:val="Body"/>
        <w:spacing w:after="0"/>
        <w:rPr>
          <w:rFonts w:ascii="Arial" w:hAnsi="Arial" w:cs="Arial"/>
          <w:lang w:eastAsia="zh-CN"/>
        </w:rPr>
      </w:pPr>
    </w:p>
    <w:p w14:paraId="09DE4CD6" w14:textId="77777777" w:rsidR="007C5685" w:rsidRDefault="00F26870">
      <w:pPr>
        <w:rPr>
          <w:rFonts w:ascii="Times New Roman" w:hAnsi="Times New Roman"/>
          <w:lang w:val="en-MY"/>
        </w:rPr>
      </w:pPr>
      <w:r>
        <w:rPr>
          <w:rFonts w:ascii="Arial" w:hAnsi="Arial" w:cs="Arial"/>
          <w:b/>
          <w:bCs/>
          <w:lang w:val="en-MY"/>
        </w:rPr>
        <w:t>Table 2.</w:t>
      </w:r>
      <w:r>
        <w:rPr>
          <w:rFonts w:ascii="Arial" w:hAnsi="Arial" w:cs="Arial"/>
          <w:b/>
          <w:bCs/>
          <w:lang w:val="en-MY"/>
        </w:rPr>
        <w:tab/>
        <w:t>Variation in total phenolic content (TPC), total flavonoid content (TFC), and 4,5,7-trimethoxyflav</w:t>
      </w:r>
      <w:r>
        <w:rPr>
          <w:rFonts w:ascii="Arial" w:hAnsi="Arial" w:cs="Arial"/>
          <w:b/>
          <w:bCs/>
          <w:lang w:val="en-MY"/>
        </w:rPr>
        <w:t xml:space="preserve">one (TMF) levels among 10 </w:t>
      </w:r>
      <w:r>
        <w:rPr>
          <w:rFonts w:ascii="Arial" w:hAnsi="Arial" w:cs="Arial"/>
          <w:b/>
          <w:bCs/>
          <w:i/>
          <w:iCs/>
          <w:lang w:val="en-MY"/>
        </w:rPr>
        <w:t>K. parviflora</w:t>
      </w:r>
      <w:r>
        <w:rPr>
          <w:rFonts w:ascii="Arial" w:hAnsi="Arial" w:cs="Arial"/>
          <w:b/>
          <w:bCs/>
          <w:lang w:val="en-MY"/>
        </w:rPr>
        <w:t xml:space="preserve"> accessions.</w:t>
      </w:r>
      <w:r>
        <w:rPr>
          <w:rFonts w:ascii="Times New Roman" w:hAnsi="Times New Roman"/>
          <w:lang w:val="en-MY"/>
        </w:rPr>
        <w:t xml:space="preserve"> </w:t>
      </w:r>
    </w:p>
    <w:p w14:paraId="30366E8E" w14:textId="77777777" w:rsidR="007C5685" w:rsidRDefault="007C5685">
      <w:pPr>
        <w:pStyle w:val="Body"/>
        <w:spacing w:after="0"/>
        <w:rPr>
          <w:rFonts w:ascii="Arial" w:hAnsi="Arial" w:cs="Arial"/>
          <w:lang w:eastAsia="zh-CN"/>
        </w:rPr>
      </w:pPr>
    </w:p>
    <w:tbl>
      <w:tblPr>
        <w:tblW w:w="7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560"/>
        <w:gridCol w:w="1500"/>
        <w:gridCol w:w="1908"/>
        <w:gridCol w:w="2040"/>
      </w:tblGrid>
      <w:tr w:rsidR="007C5685" w14:paraId="5B4CAB50" w14:textId="77777777">
        <w:trPr>
          <w:trHeight w:val="737"/>
        </w:trPr>
        <w:tc>
          <w:tcPr>
            <w:tcW w:w="679" w:type="dxa"/>
          </w:tcPr>
          <w:p w14:paraId="333C1BFF" w14:textId="77777777" w:rsidR="007C5685" w:rsidRDefault="00F26870">
            <w:pPr>
              <w:rPr>
                <w:rFonts w:ascii="Arial" w:hAnsi="Arial" w:cs="Arial"/>
                <w:lang w:val="en-MY"/>
              </w:rPr>
            </w:pPr>
            <w:r>
              <w:rPr>
                <w:rFonts w:ascii="Arial" w:hAnsi="Arial" w:cs="Arial"/>
                <w:lang w:val="en-MY"/>
              </w:rPr>
              <w:t xml:space="preserve">No. </w:t>
            </w:r>
          </w:p>
        </w:tc>
        <w:tc>
          <w:tcPr>
            <w:tcW w:w="1560" w:type="dxa"/>
          </w:tcPr>
          <w:p w14:paraId="240ADA62" w14:textId="77777777" w:rsidR="007C5685" w:rsidRDefault="00F26870">
            <w:pPr>
              <w:rPr>
                <w:rFonts w:ascii="Arial" w:hAnsi="Arial" w:cs="Arial"/>
                <w:lang w:val="en-MY"/>
              </w:rPr>
            </w:pPr>
            <w:r>
              <w:rPr>
                <w:rFonts w:ascii="Arial" w:hAnsi="Arial" w:cs="Arial"/>
                <w:lang w:val="en-MY"/>
              </w:rPr>
              <w:t>Sample/ accessions</w:t>
            </w:r>
          </w:p>
        </w:tc>
        <w:tc>
          <w:tcPr>
            <w:tcW w:w="1500" w:type="dxa"/>
          </w:tcPr>
          <w:p w14:paraId="4F68A5C9" w14:textId="77777777" w:rsidR="007C5685" w:rsidRDefault="00F26870">
            <w:pPr>
              <w:rPr>
                <w:rFonts w:ascii="Arial" w:hAnsi="Arial" w:cs="Arial"/>
                <w:lang w:val="en-MY"/>
              </w:rPr>
            </w:pPr>
            <w:r>
              <w:rPr>
                <w:rFonts w:ascii="Arial" w:hAnsi="Arial" w:cs="Arial"/>
                <w:lang w:val="en-MY"/>
              </w:rPr>
              <w:t xml:space="preserve">Total phenol content </w:t>
            </w:r>
            <w:r>
              <w:rPr>
                <w:rFonts w:ascii="Arial" w:hAnsi="Arial" w:cs="Arial"/>
                <w:lang w:val="en-MY"/>
              </w:rPr>
              <w:br/>
              <w:t>(mg GAE/g)</w:t>
            </w:r>
          </w:p>
        </w:tc>
        <w:tc>
          <w:tcPr>
            <w:tcW w:w="1908" w:type="dxa"/>
          </w:tcPr>
          <w:p w14:paraId="7CACF518" w14:textId="77777777" w:rsidR="007C5685" w:rsidRDefault="00F26870">
            <w:pPr>
              <w:rPr>
                <w:rFonts w:ascii="Arial" w:hAnsi="Arial" w:cs="Arial"/>
                <w:lang w:val="en-MY"/>
              </w:rPr>
            </w:pPr>
            <w:r>
              <w:rPr>
                <w:rFonts w:ascii="Arial" w:hAnsi="Arial" w:cs="Arial"/>
                <w:lang w:val="en-MY"/>
              </w:rPr>
              <w:t>Total flavonoid content</w:t>
            </w:r>
          </w:p>
          <w:p w14:paraId="12439B33" w14:textId="77777777" w:rsidR="007C5685" w:rsidRDefault="00F26870">
            <w:pPr>
              <w:rPr>
                <w:rFonts w:ascii="Arial" w:hAnsi="Arial" w:cs="Arial"/>
                <w:lang w:val="en-MY"/>
              </w:rPr>
            </w:pPr>
            <w:r>
              <w:rPr>
                <w:rFonts w:ascii="Arial" w:hAnsi="Arial" w:cs="Arial"/>
                <w:lang w:val="en-MY"/>
              </w:rPr>
              <w:t>(mg RE/g)</w:t>
            </w:r>
          </w:p>
        </w:tc>
        <w:tc>
          <w:tcPr>
            <w:tcW w:w="2040" w:type="dxa"/>
          </w:tcPr>
          <w:p w14:paraId="46A5A235" w14:textId="77777777" w:rsidR="007C5685" w:rsidRDefault="00F26870">
            <w:pPr>
              <w:rPr>
                <w:rFonts w:ascii="Arial" w:hAnsi="Arial" w:cs="Arial"/>
                <w:lang w:val="en-MY"/>
              </w:rPr>
            </w:pPr>
            <w:r>
              <w:rPr>
                <w:rFonts w:ascii="Arial" w:hAnsi="Arial" w:cs="Arial"/>
                <w:lang w:val="en-MY"/>
              </w:rPr>
              <w:t>4,5,7-</w:t>
            </w:r>
            <w:proofErr w:type="gramStart"/>
            <w:r>
              <w:rPr>
                <w:rFonts w:ascii="Arial" w:hAnsi="Arial" w:cs="Arial"/>
                <w:lang w:val="en-MY"/>
              </w:rPr>
              <w:t>trimethoxyflavone  (</w:t>
            </w:r>
            <w:proofErr w:type="spellStart"/>
            <w:proofErr w:type="gramEnd"/>
            <w:r>
              <w:rPr>
                <w:rFonts w:ascii="Arial" w:hAnsi="Arial" w:cs="Arial"/>
                <w:lang w:val="en-MY"/>
              </w:rPr>
              <w:t>μg</w:t>
            </w:r>
            <w:proofErr w:type="spellEnd"/>
            <w:r>
              <w:rPr>
                <w:rFonts w:ascii="Arial" w:hAnsi="Arial" w:cs="Arial"/>
                <w:lang w:val="en-MY"/>
              </w:rPr>
              <w:t>/mg)</w:t>
            </w:r>
          </w:p>
        </w:tc>
      </w:tr>
      <w:tr w:rsidR="007C5685" w14:paraId="2B5CC0A0" w14:textId="77777777">
        <w:tc>
          <w:tcPr>
            <w:tcW w:w="679" w:type="dxa"/>
          </w:tcPr>
          <w:p w14:paraId="2754F0A9" w14:textId="77777777" w:rsidR="007C5685" w:rsidRDefault="00F26870">
            <w:pPr>
              <w:rPr>
                <w:rFonts w:ascii="Arial" w:hAnsi="Arial" w:cs="Arial"/>
                <w:lang w:val="en-MY"/>
              </w:rPr>
            </w:pPr>
            <w:r>
              <w:rPr>
                <w:rFonts w:ascii="Arial" w:hAnsi="Arial" w:cs="Arial"/>
                <w:lang w:val="en-MY"/>
              </w:rPr>
              <w:t>1</w:t>
            </w:r>
          </w:p>
        </w:tc>
        <w:tc>
          <w:tcPr>
            <w:tcW w:w="1560" w:type="dxa"/>
          </w:tcPr>
          <w:p w14:paraId="00A139A6" w14:textId="77777777" w:rsidR="007C5685" w:rsidRDefault="00F26870">
            <w:pPr>
              <w:rPr>
                <w:rFonts w:ascii="Arial" w:hAnsi="Arial" w:cs="Arial"/>
                <w:lang w:val="en-MY"/>
              </w:rPr>
            </w:pPr>
            <w:r>
              <w:rPr>
                <w:rFonts w:ascii="Arial" w:hAnsi="Arial" w:cs="Arial"/>
                <w:lang w:val="en-MY"/>
              </w:rPr>
              <w:t>KH-THA 1</w:t>
            </w:r>
          </w:p>
        </w:tc>
        <w:tc>
          <w:tcPr>
            <w:tcW w:w="1500" w:type="dxa"/>
          </w:tcPr>
          <w:p w14:paraId="442D35E6" w14:textId="77777777" w:rsidR="007C5685" w:rsidRDefault="00F26870">
            <w:pPr>
              <w:rPr>
                <w:rFonts w:ascii="Arial" w:hAnsi="Arial" w:cs="Arial"/>
                <w:lang w:val="en-MY"/>
              </w:rPr>
            </w:pPr>
            <w:r>
              <w:rPr>
                <w:rFonts w:ascii="Arial" w:hAnsi="Arial" w:cs="Arial"/>
                <w:lang w:val="en-MY"/>
              </w:rPr>
              <w:t>28.281 b</w:t>
            </w:r>
          </w:p>
        </w:tc>
        <w:tc>
          <w:tcPr>
            <w:tcW w:w="1908" w:type="dxa"/>
          </w:tcPr>
          <w:p w14:paraId="157992EC" w14:textId="77777777" w:rsidR="007C5685" w:rsidRDefault="00F26870">
            <w:pPr>
              <w:rPr>
                <w:rFonts w:ascii="Arial" w:hAnsi="Arial" w:cs="Arial"/>
                <w:lang w:val="en-MY"/>
              </w:rPr>
            </w:pPr>
            <w:r>
              <w:rPr>
                <w:rFonts w:ascii="Arial" w:hAnsi="Arial" w:cs="Arial"/>
                <w:lang w:val="en-MY"/>
              </w:rPr>
              <w:t>9.008 a</w:t>
            </w:r>
          </w:p>
        </w:tc>
        <w:tc>
          <w:tcPr>
            <w:tcW w:w="2040" w:type="dxa"/>
          </w:tcPr>
          <w:p w14:paraId="740628EB" w14:textId="77777777" w:rsidR="007C5685" w:rsidRDefault="00F26870">
            <w:pPr>
              <w:rPr>
                <w:rFonts w:ascii="Arial" w:hAnsi="Arial" w:cs="Arial"/>
                <w:lang w:val="en-MY"/>
              </w:rPr>
            </w:pPr>
            <w:r>
              <w:rPr>
                <w:rFonts w:ascii="Arial" w:hAnsi="Arial" w:cs="Arial"/>
                <w:lang w:val="en-MY"/>
              </w:rPr>
              <w:t>30.363 b</w:t>
            </w:r>
          </w:p>
        </w:tc>
      </w:tr>
      <w:tr w:rsidR="007C5685" w14:paraId="7270F2AB" w14:textId="77777777">
        <w:tc>
          <w:tcPr>
            <w:tcW w:w="679" w:type="dxa"/>
          </w:tcPr>
          <w:p w14:paraId="20567A57" w14:textId="77777777" w:rsidR="007C5685" w:rsidRDefault="00F26870">
            <w:pPr>
              <w:rPr>
                <w:rFonts w:ascii="Arial" w:hAnsi="Arial" w:cs="Arial"/>
                <w:lang w:val="en-MY"/>
              </w:rPr>
            </w:pPr>
            <w:r>
              <w:rPr>
                <w:rFonts w:ascii="Arial" w:hAnsi="Arial" w:cs="Arial"/>
                <w:lang w:val="en-MY"/>
              </w:rPr>
              <w:t>2</w:t>
            </w:r>
          </w:p>
        </w:tc>
        <w:tc>
          <w:tcPr>
            <w:tcW w:w="1560" w:type="dxa"/>
          </w:tcPr>
          <w:p w14:paraId="30A028A2" w14:textId="77777777" w:rsidR="007C5685" w:rsidRDefault="00F26870">
            <w:pPr>
              <w:rPr>
                <w:rFonts w:ascii="Arial" w:hAnsi="Arial" w:cs="Arial"/>
                <w:lang w:val="en-MY"/>
              </w:rPr>
            </w:pPr>
            <w:r>
              <w:rPr>
                <w:rFonts w:ascii="Arial" w:hAnsi="Arial" w:cs="Arial"/>
                <w:lang w:val="en-MY"/>
              </w:rPr>
              <w:t>KH-THA 2</w:t>
            </w:r>
          </w:p>
        </w:tc>
        <w:tc>
          <w:tcPr>
            <w:tcW w:w="1500" w:type="dxa"/>
          </w:tcPr>
          <w:p w14:paraId="0B439E34" w14:textId="77777777" w:rsidR="007C5685" w:rsidRDefault="00F26870">
            <w:pPr>
              <w:rPr>
                <w:rFonts w:ascii="Arial" w:hAnsi="Arial" w:cs="Arial"/>
                <w:lang w:val="en-MY"/>
              </w:rPr>
            </w:pPr>
            <w:r>
              <w:rPr>
                <w:rFonts w:ascii="Arial" w:hAnsi="Arial" w:cs="Arial"/>
                <w:lang w:val="en-MY"/>
              </w:rPr>
              <w:t>33.679 b</w:t>
            </w:r>
          </w:p>
        </w:tc>
        <w:tc>
          <w:tcPr>
            <w:tcW w:w="1908" w:type="dxa"/>
          </w:tcPr>
          <w:p w14:paraId="3C18F214" w14:textId="77777777" w:rsidR="007C5685" w:rsidRDefault="00F26870">
            <w:pPr>
              <w:rPr>
                <w:rFonts w:ascii="Arial" w:hAnsi="Arial" w:cs="Arial"/>
                <w:lang w:val="en-MY"/>
              </w:rPr>
            </w:pPr>
            <w:r>
              <w:rPr>
                <w:rFonts w:ascii="Arial" w:hAnsi="Arial" w:cs="Arial"/>
                <w:lang w:val="en-MY"/>
              </w:rPr>
              <w:t>3.841 c</w:t>
            </w:r>
          </w:p>
        </w:tc>
        <w:tc>
          <w:tcPr>
            <w:tcW w:w="2040" w:type="dxa"/>
          </w:tcPr>
          <w:p w14:paraId="240BC428" w14:textId="77777777" w:rsidR="007C5685" w:rsidRDefault="00F26870">
            <w:pPr>
              <w:rPr>
                <w:rFonts w:ascii="Arial" w:hAnsi="Arial" w:cs="Arial"/>
                <w:lang w:val="en-MY"/>
              </w:rPr>
            </w:pPr>
            <w:r>
              <w:rPr>
                <w:rFonts w:ascii="Arial" w:hAnsi="Arial" w:cs="Arial"/>
                <w:lang w:val="en-MY"/>
              </w:rPr>
              <w:t>27.714 b</w:t>
            </w:r>
          </w:p>
        </w:tc>
      </w:tr>
      <w:tr w:rsidR="007C5685" w14:paraId="63AB8A01" w14:textId="77777777">
        <w:tc>
          <w:tcPr>
            <w:tcW w:w="679" w:type="dxa"/>
          </w:tcPr>
          <w:p w14:paraId="721A768A" w14:textId="77777777" w:rsidR="007C5685" w:rsidRDefault="00F26870">
            <w:pPr>
              <w:rPr>
                <w:rFonts w:ascii="Arial" w:hAnsi="Arial" w:cs="Arial"/>
                <w:lang w:val="en-MY"/>
              </w:rPr>
            </w:pPr>
            <w:r>
              <w:rPr>
                <w:rFonts w:ascii="Arial" w:hAnsi="Arial" w:cs="Arial"/>
                <w:lang w:val="en-MY"/>
              </w:rPr>
              <w:t>3</w:t>
            </w:r>
          </w:p>
        </w:tc>
        <w:tc>
          <w:tcPr>
            <w:tcW w:w="1560" w:type="dxa"/>
          </w:tcPr>
          <w:p w14:paraId="7C42860A" w14:textId="77777777" w:rsidR="007C5685" w:rsidRDefault="00F26870">
            <w:pPr>
              <w:rPr>
                <w:rFonts w:ascii="Arial" w:hAnsi="Arial" w:cs="Arial"/>
                <w:lang w:val="en-MY"/>
              </w:rPr>
            </w:pPr>
            <w:r>
              <w:rPr>
                <w:rFonts w:ascii="Arial" w:hAnsi="Arial" w:cs="Arial"/>
                <w:lang w:val="en-MY"/>
              </w:rPr>
              <w:t>KH-THA 4</w:t>
            </w:r>
          </w:p>
        </w:tc>
        <w:tc>
          <w:tcPr>
            <w:tcW w:w="1500" w:type="dxa"/>
          </w:tcPr>
          <w:p w14:paraId="1F1D1BDB" w14:textId="77777777" w:rsidR="007C5685" w:rsidRDefault="00F26870">
            <w:pPr>
              <w:rPr>
                <w:rFonts w:ascii="Arial" w:hAnsi="Arial" w:cs="Arial"/>
                <w:lang w:val="en-MY"/>
              </w:rPr>
            </w:pPr>
            <w:r>
              <w:rPr>
                <w:rFonts w:ascii="Arial" w:hAnsi="Arial" w:cs="Arial"/>
                <w:lang w:val="en-MY"/>
              </w:rPr>
              <w:t>4.885 d</w:t>
            </w:r>
          </w:p>
        </w:tc>
        <w:tc>
          <w:tcPr>
            <w:tcW w:w="1908" w:type="dxa"/>
          </w:tcPr>
          <w:p w14:paraId="3AC25B87" w14:textId="77777777" w:rsidR="007C5685" w:rsidRDefault="00F26870">
            <w:pPr>
              <w:rPr>
                <w:rFonts w:ascii="Arial" w:hAnsi="Arial" w:cs="Arial"/>
                <w:lang w:val="en-MY"/>
              </w:rPr>
            </w:pPr>
            <w:r>
              <w:rPr>
                <w:rFonts w:ascii="Arial" w:hAnsi="Arial" w:cs="Arial"/>
                <w:lang w:val="en-MY"/>
              </w:rPr>
              <w:t>3.069 c</w:t>
            </w:r>
          </w:p>
        </w:tc>
        <w:tc>
          <w:tcPr>
            <w:tcW w:w="2040" w:type="dxa"/>
          </w:tcPr>
          <w:p w14:paraId="4D3E2202" w14:textId="77777777" w:rsidR="007C5685" w:rsidRDefault="00F26870">
            <w:pPr>
              <w:rPr>
                <w:rFonts w:ascii="Arial" w:hAnsi="Arial" w:cs="Arial"/>
                <w:lang w:val="en-MY"/>
              </w:rPr>
            </w:pPr>
            <w:r>
              <w:rPr>
                <w:rFonts w:ascii="Arial" w:hAnsi="Arial" w:cs="Arial"/>
                <w:lang w:val="en-MY"/>
              </w:rPr>
              <w:t>14.912 c</w:t>
            </w:r>
          </w:p>
        </w:tc>
      </w:tr>
      <w:tr w:rsidR="007C5685" w14:paraId="2B93F9DE" w14:textId="77777777">
        <w:tc>
          <w:tcPr>
            <w:tcW w:w="679" w:type="dxa"/>
          </w:tcPr>
          <w:p w14:paraId="46DA3C0D" w14:textId="77777777" w:rsidR="007C5685" w:rsidRDefault="00F26870">
            <w:pPr>
              <w:rPr>
                <w:rFonts w:ascii="Arial" w:hAnsi="Arial" w:cs="Arial"/>
                <w:lang w:val="en-MY"/>
              </w:rPr>
            </w:pPr>
            <w:r>
              <w:rPr>
                <w:rFonts w:ascii="Arial" w:hAnsi="Arial" w:cs="Arial"/>
                <w:lang w:val="en-MY"/>
              </w:rPr>
              <w:t>4</w:t>
            </w:r>
          </w:p>
        </w:tc>
        <w:tc>
          <w:tcPr>
            <w:tcW w:w="1560" w:type="dxa"/>
          </w:tcPr>
          <w:p w14:paraId="3D3EA9F2" w14:textId="77777777" w:rsidR="007C5685" w:rsidRDefault="00F26870">
            <w:pPr>
              <w:rPr>
                <w:rFonts w:ascii="Arial" w:hAnsi="Arial" w:cs="Arial"/>
                <w:lang w:val="en-MY"/>
              </w:rPr>
            </w:pPr>
            <w:r>
              <w:rPr>
                <w:rFonts w:ascii="Arial" w:hAnsi="Arial" w:cs="Arial"/>
                <w:lang w:val="en-MY"/>
              </w:rPr>
              <w:t>KH-THA 5</w:t>
            </w:r>
          </w:p>
        </w:tc>
        <w:tc>
          <w:tcPr>
            <w:tcW w:w="1500" w:type="dxa"/>
          </w:tcPr>
          <w:p w14:paraId="280A7FFC" w14:textId="77777777" w:rsidR="007C5685" w:rsidRDefault="00F26870">
            <w:pPr>
              <w:rPr>
                <w:rFonts w:ascii="Arial" w:hAnsi="Arial" w:cs="Arial"/>
                <w:lang w:val="en-MY"/>
              </w:rPr>
            </w:pPr>
            <w:r>
              <w:rPr>
                <w:rFonts w:ascii="Arial" w:hAnsi="Arial" w:cs="Arial"/>
                <w:lang w:val="en-MY"/>
              </w:rPr>
              <w:t>4.885 d</w:t>
            </w:r>
          </w:p>
        </w:tc>
        <w:tc>
          <w:tcPr>
            <w:tcW w:w="1908" w:type="dxa"/>
          </w:tcPr>
          <w:p w14:paraId="35DC9C92" w14:textId="77777777" w:rsidR="007C5685" w:rsidRDefault="00F26870">
            <w:pPr>
              <w:rPr>
                <w:rFonts w:ascii="Arial" w:hAnsi="Arial" w:cs="Arial"/>
                <w:lang w:val="en-MY"/>
              </w:rPr>
            </w:pPr>
            <w:r>
              <w:rPr>
                <w:rFonts w:ascii="Arial" w:hAnsi="Arial" w:cs="Arial"/>
                <w:lang w:val="en-MY"/>
              </w:rPr>
              <w:t>3.218 c</w:t>
            </w:r>
          </w:p>
        </w:tc>
        <w:tc>
          <w:tcPr>
            <w:tcW w:w="2040" w:type="dxa"/>
          </w:tcPr>
          <w:p w14:paraId="6B6F6574" w14:textId="77777777" w:rsidR="007C5685" w:rsidRDefault="00F26870">
            <w:pPr>
              <w:rPr>
                <w:rFonts w:ascii="Arial" w:hAnsi="Arial" w:cs="Arial"/>
                <w:lang w:val="en-MY"/>
              </w:rPr>
            </w:pPr>
            <w:r>
              <w:rPr>
                <w:rFonts w:ascii="Arial" w:hAnsi="Arial" w:cs="Arial"/>
                <w:lang w:val="en-MY"/>
              </w:rPr>
              <w:t>16.252 c</w:t>
            </w:r>
          </w:p>
        </w:tc>
      </w:tr>
      <w:tr w:rsidR="007C5685" w14:paraId="3A8F7A3B" w14:textId="77777777">
        <w:tc>
          <w:tcPr>
            <w:tcW w:w="679" w:type="dxa"/>
          </w:tcPr>
          <w:p w14:paraId="66E594AF" w14:textId="77777777" w:rsidR="007C5685" w:rsidRDefault="00F26870">
            <w:pPr>
              <w:rPr>
                <w:rFonts w:ascii="Arial" w:hAnsi="Arial" w:cs="Arial"/>
                <w:lang w:val="en-MY"/>
              </w:rPr>
            </w:pPr>
            <w:r>
              <w:rPr>
                <w:rFonts w:ascii="Arial" w:hAnsi="Arial" w:cs="Arial"/>
                <w:lang w:val="en-MY"/>
              </w:rPr>
              <w:t>5</w:t>
            </w:r>
          </w:p>
        </w:tc>
        <w:tc>
          <w:tcPr>
            <w:tcW w:w="1560" w:type="dxa"/>
          </w:tcPr>
          <w:p w14:paraId="1085F204" w14:textId="77777777" w:rsidR="007C5685" w:rsidRDefault="00F26870">
            <w:pPr>
              <w:rPr>
                <w:rFonts w:ascii="Arial" w:hAnsi="Arial" w:cs="Arial"/>
                <w:lang w:val="en-MY"/>
              </w:rPr>
            </w:pPr>
            <w:r>
              <w:rPr>
                <w:rFonts w:ascii="Arial" w:hAnsi="Arial" w:cs="Arial"/>
                <w:lang w:val="en-MY"/>
              </w:rPr>
              <w:t>KH-THA 7</w:t>
            </w:r>
          </w:p>
        </w:tc>
        <w:tc>
          <w:tcPr>
            <w:tcW w:w="1500" w:type="dxa"/>
          </w:tcPr>
          <w:p w14:paraId="7DA24144" w14:textId="77777777" w:rsidR="007C5685" w:rsidRDefault="00F26870">
            <w:pPr>
              <w:rPr>
                <w:rFonts w:ascii="Arial" w:hAnsi="Arial" w:cs="Arial"/>
                <w:lang w:val="en-MY"/>
              </w:rPr>
            </w:pPr>
            <w:r>
              <w:rPr>
                <w:rFonts w:ascii="Arial" w:hAnsi="Arial" w:cs="Arial"/>
                <w:lang w:val="en-MY"/>
              </w:rPr>
              <w:t>12.762 c</w:t>
            </w:r>
          </w:p>
        </w:tc>
        <w:tc>
          <w:tcPr>
            <w:tcW w:w="1908" w:type="dxa"/>
          </w:tcPr>
          <w:p w14:paraId="54AEC849" w14:textId="77777777" w:rsidR="007C5685" w:rsidRDefault="00F26870">
            <w:pPr>
              <w:rPr>
                <w:rFonts w:ascii="Arial" w:hAnsi="Arial" w:cs="Arial"/>
                <w:lang w:val="en-MY"/>
              </w:rPr>
            </w:pPr>
            <w:r>
              <w:rPr>
                <w:rFonts w:ascii="Arial" w:hAnsi="Arial" w:cs="Arial"/>
                <w:lang w:val="en-MY"/>
              </w:rPr>
              <w:t>7.602 a</w:t>
            </w:r>
          </w:p>
        </w:tc>
        <w:tc>
          <w:tcPr>
            <w:tcW w:w="2040" w:type="dxa"/>
          </w:tcPr>
          <w:p w14:paraId="504678A7" w14:textId="77777777" w:rsidR="007C5685" w:rsidRDefault="00F26870">
            <w:pPr>
              <w:rPr>
                <w:rFonts w:ascii="Arial" w:hAnsi="Arial" w:cs="Arial"/>
                <w:lang w:val="en-MY"/>
              </w:rPr>
            </w:pPr>
            <w:r>
              <w:rPr>
                <w:rFonts w:ascii="Arial" w:hAnsi="Arial" w:cs="Arial"/>
                <w:lang w:val="en-MY"/>
              </w:rPr>
              <w:t>15.179 c</w:t>
            </w:r>
          </w:p>
        </w:tc>
      </w:tr>
      <w:tr w:rsidR="007C5685" w14:paraId="3826B07F" w14:textId="77777777">
        <w:tc>
          <w:tcPr>
            <w:tcW w:w="679" w:type="dxa"/>
          </w:tcPr>
          <w:p w14:paraId="2D5101ED" w14:textId="77777777" w:rsidR="007C5685" w:rsidRDefault="00F26870">
            <w:pPr>
              <w:rPr>
                <w:rFonts w:ascii="Arial" w:hAnsi="Arial" w:cs="Arial"/>
                <w:lang w:val="en-MY"/>
              </w:rPr>
            </w:pPr>
            <w:r>
              <w:rPr>
                <w:rFonts w:ascii="Arial" w:hAnsi="Arial" w:cs="Arial"/>
                <w:lang w:val="en-MY"/>
              </w:rPr>
              <w:t>6</w:t>
            </w:r>
          </w:p>
        </w:tc>
        <w:tc>
          <w:tcPr>
            <w:tcW w:w="1560" w:type="dxa"/>
          </w:tcPr>
          <w:p w14:paraId="17C3A86F" w14:textId="77777777" w:rsidR="007C5685" w:rsidRDefault="00F26870">
            <w:pPr>
              <w:rPr>
                <w:rFonts w:ascii="Arial" w:hAnsi="Arial" w:cs="Arial"/>
                <w:lang w:val="en-MY"/>
              </w:rPr>
            </w:pPr>
            <w:r>
              <w:rPr>
                <w:rFonts w:ascii="Arial" w:hAnsi="Arial" w:cs="Arial"/>
                <w:lang w:val="en-MY"/>
              </w:rPr>
              <w:t>KH-THA 10</w:t>
            </w:r>
          </w:p>
        </w:tc>
        <w:tc>
          <w:tcPr>
            <w:tcW w:w="1500" w:type="dxa"/>
          </w:tcPr>
          <w:p w14:paraId="48215ACD" w14:textId="77777777" w:rsidR="007C5685" w:rsidRDefault="00F26870">
            <w:pPr>
              <w:rPr>
                <w:rFonts w:ascii="Arial" w:hAnsi="Arial" w:cs="Arial"/>
                <w:lang w:val="en-MY"/>
              </w:rPr>
            </w:pPr>
            <w:r>
              <w:rPr>
                <w:rFonts w:ascii="Arial" w:hAnsi="Arial" w:cs="Arial"/>
                <w:lang w:val="en-MY"/>
              </w:rPr>
              <w:t>47.534 a</w:t>
            </w:r>
          </w:p>
        </w:tc>
        <w:tc>
          <w:tcPr>
            <w:tcW w:w="1908" w:type="dxa"/>
          </w:tcPr>
          <w:p w14:paraId="42A55851" w14:textId="77777777" w:rsidR="007C5685" w:rsidRDefault="00F26870">
            <w:pPr>
              <w:rPr>
                <w:rFonts w:ascii="Arial" w:hAnsi="Arial" w:cs="Arial"/>
                <w:lang w:val="en-MY"/>
              </w:rPr>
            </w:pPr>
            <w:r>
              <w:rPr>
                <w:rFonts w:ascii="Arial" w:hAnsi="Arial" w:cs="Arial"/>
                <w:lang w:val="en-MY"/>
              </w:rPr>
              <w:t>7.887 a</w:t>
            </w:r>
          </w:p>
        </w:tc>
        <w:tc>
          <w:tcPr>
            <w:tcW w:w="2040" w:type="dxa"/>
          </w:tcPr>
          <w:p w14:paraId="5C3A0034" w14:textId="77777777" w:rsidR="007C5685" w:rsidRDefault="00F26870">
            <w:pPr>
              <w:rPr>
                <w:rFonts w:ascii="Arial" w:hAnsi="Arial" w:cs="Arial"/>
                <w:lang w:val="en-MY"/>
              </w:rPr>
            </w:pPr>
            <w:r>
              <w:rPr>
                <w:rFonts w:ascii="Arial" w:hAnsi="Arial" w:cs="Arial"/>
                <w:lang w:val="en-MY"/>
              </w:rPr>
              <w:t>42.950 a</w:t>
            </w:r>
          </w:p>
        </w:tc>
      </w:tr>
      <w:tr w:rsidR="007C5685" w14:paraId="2251E6C2" w14:textId="77777777">
        <w:tc>
          <w:tcPr>
            <w:tcW w:w="679" w:type="dxa"/>
          </w:tcPr>
          <w:p w14:paraId="3F4DB74D" w14:textId="77777777" w:rsidR="007C5685" w:rsidRDefault="00F26870">
            <w:pPr>
              <w:rPr>
                <w:rFonts w:ascii="Arial" w:hAnsi="Arial" w:cs="Arial"/>
                <w:lang w:val="en-MY"/>
              </w:rPr>
            </w:pPr>
            <w:r>
              <w:rPr>
                <w:rFonts w:ascii="Arial" w:hAnsi="Arial" w:cs="Arial"/>
                <w:lang w:val="en-MY"/>
              </w:rPr>
              <w:t>7</w:t>
            </w:r>
          </w:p>
        </w:tc>
        <w:tc>
          <w:tcPr>
            <w:tcW w:w="1560" w:type="dxa"/>
          </w:tcPr>
          <w:p w14:paraId="237DE389" w14:textId="77777777" w:rsidR="007C5685" w:rsidRDefault="00F26870">
            <w:pPr>
              <w:rPr>
                <w:rFonts w:ascii="Arial" w:hAnsi="Arial" w:cs="Arial"/>
                <w:lang w:val="en-MY"/>
              </w:rPr>
            </w:pPr>
            <w:r>
              <w:rPr>
                <w:rFonts w:ascii="Arial" w:hAnsi="Arial" w:cs="Arial"/>
                <w:lang w:val="en-MY"/>
              </w:rPr>
              <w:t>KH-LAO 1</w:t>
            </w:r>
          </w:p>
        </w:tc>
        <w:tc>
          <w:tcPr>
            <w:tcW w:w="1500" w:type="dxa"/>
          </w:tcPr>
          <w:p w14:paraId="2F8EBB17" w14:textId="77777777" w:rsidR="007C5685" w:rsidRDefault="00F26870">
            <w:pPr>
              <w:rPr>
                <w:rFonts w:ascii="Arial" w:hAnsi="Arial" w:cs="Arial"/>
                <w:lang w:val="en-MY"/>
              </w:rPr>
            </w:pPr>
            <w:r>
              <w:rPr>
                <w:rFonts w:ascii="Arial" w:hAnsi="Arial" w:cs="Arial"/>
                <w:lang w:val="en-MY"/>
              </w:rPr>
              <w:t>16.484 c</w:t>
            </w:r>
          </w:p>
        </w:tc>
        <w:tc>
          <w:tcPr>
            <w:tcW w:w="1908" w:type="dxa"/>
          </w:tcPr>
          <w:p w14:paraId="11AC1D4D" w14:textId="77777777" w:rsidR="007C5685" w:rsidRDefault="00F26870">
            <w:pPr>
              <w:rPr>
                <w:rFonts w:ascii="Arial" w:hAnsi="Arial" w:cs="Arial"/>
                <w:lang w:val="en-MY"/>
              </w:rPr>
            </w:pPr>
            <w:r>
              <w:rPr>
                <w:rFonts w:ascii="Arial" w:hAnsi="Arial" w:cs="Arial"/>
                <w:lang w:val="en-MY"/>
              </w:rPr>
              <w:t>3.411 c</w:t>
            </w:r>
          </w:p>
        </w:tc>
        <w:tc>
          <w:tcPr>
            <w:tcW w:w="2040" w:type="dxa"/>
          </w:tcPr>
          <w:p w14:paraId="12ECD271" w14:textId="77777777" w:rsidR="007C5685" w:rsidRDefault="00F26870">
            <w:pPr>
              <w:rPr>
                <w:rFonts w:ascii="Arial" w:hAnsi="Arial" w:cs="Arial"/>
                <w:lang w:val="en-MY"/>
              </w:rPr>
            </w:pPr>
            <w:r>
              <w:rPr>
                <w:rFonts w:ascii="Arial" w:hAnsi="Arial" w:cs="Arial"/>
                <w:lang w:val="en-MY"/>
              </w:rPr>
              <w:t>25.224 b</w:t>
            </w:r>
          </w:p>
        </w:tc>
      </w:tr>
      <w:tr w:rsidR="007C5685" w14:paraId="06E6058A" w14:textId="77777777">
        <w:tc>
          <w:tcPr>
            <w:tcW w:w="679" w:type="dxa"/>
          </w:tcPr>
          <w:p w14:paraId="3B0E72AC" w14:textId="77777777" w:rsidR="007C5685" w:rsidRDefault="00F26870">
            <w:pPr>
              <w:rPr>
                <w:rFonts w:ascii="Arial" w:hAnsi="Arial" w:cs="Arial"/>
                <w:lang w:val="en-MY"/>
              </w:rPr>
            </w:pPr>
            <w:r>
              <w:rPr>
                <w:rFonts w:ascii="Arial" w:hAnsi="Arial" w:cs="Arial"/>
                <w:lang w:val="en-MY"/>
              </w:rPr>
              <w:t>8</w:t>
            </w:r>
          </w:p>
        </w:tc>
        <w:tc>
          <w:tcPr>
            <w:tcW w:w="1560" w:type="dxa"/>
          </w:tcPr>
          <w:p w14:paraId="3452144A" w14:textId="77777777" w:rsidR="007C5685" w:rsidRDefault="00F26870">
            <w:pPr>
              <w:rPr>
                <w:rFonts w:ascii="Arial" w:hAnsi="Arial" w:cs="Arial"/>
                <w:lang w:val="en-MY"/>
              </w:rPr>
            </w:pPr>
            <w:r>
              <w:rPr>
                <w:rFonts w:ascii="Arial" w:hAnsi="Arial" w:cs="Arial"/>
                <w:lang w:val="en-MY"/>
              </w:rPr>
              <w:t>KH-LAO 2</w:t>
            </w:r>
          </w:p>
        </w:tc>
        <w:tc>
          <w:tcPr>
            <w:tcW w:w="1500" w:type="dxa"/>
          </w:tcPr>
          <w:p w14:paraId="4BE132A0" w14:textId="77777777" w:rsidR="007C5685" w:rsidRDefault="00F26870">
            <w:pPr>
              <w:rPr>
                <w:rFonts w:ascii="Arial" w:hAnsi="Arial" w:cs="Arial"/>
                <w:lang w:val="en-MY"/>
              </w:rPr>
            </w:pPr>
            <w:r>
              <w:rPr>
                <w:rFonts w:ascii="Arial" w:hAnsi="Arial" w:cs="Arial"/>
                <w:lang w:val="en-MY"/>
              </w:rPr>
              <w:t>4.114 d</w:t>
            </w:r>
          </w:p>
        </w:tc>
        <w:tc>
          <w:tcPr>
            <w:tcW w:w="1908" w:type="dxa"/>
          </w:tcPr>
          <w:p w14:paraId="195FF281" w14:textId="77777777" w:rsidR="007C5685" w:rsidRDefault="00F26870">
            <w:pPr>
              <w:rPr>
                <w:rFonts w:ascii="Arial" w:hAnsi="Arial" w:cs="Arial"/>
                <w:lang w:val="en-MY"/>
              </w:rPr>
            </w:pPr>
            <w:r>
              <w:rPr>
                <w:rFonts w:ascii="Arial" w:hAnsi="Arial" w:cs="Arial"/>
                <w:lang w:val="en-MY"/>
              </w:rPr>
              <w:t>3.044 c</w:t>
            </w:r>
          </w:p>
        </w:tc>
        <w:tc>
          <w:tcPr>
            <w:tcW w:w="2040" w:type="dxa"/>
          </w:tcPr>
          <w:p w14:paraId="10E6F231" w14:textId="77777777" w:rsidR="007C5685" w:rsidRDefault="00F26870">
            <w:pPr>
              <w:rPr>
                <w:rFonts w:ascii="Arial" w:hAnsi="Arial" w:cs="Arial"/>
                <w:lang w:val="en-MY"/>
              </w:rPr>
            </w:pPr>
            <w:r>
              <w:rPr>
                <w:rFonts w:ascii="Arial" w:hAnsi="Arial" w:cs="Arial"/>
                <w:lang w:val="en-MY"/>
              </w:rPr>
              <w:t>14.705 c</w:t>
            </w:r>
          </w:p>
        </w:tc>
      </w:tr>
      <w:tr w:rsidR="007C5685" w14:paraId="060B8DB3" w14:textId="77777777">
        <w:tc>
          <w:tcPr>
            <w:tcW w:w="679" w:type="dxa"/>
          </w:tcPr>
          <w:p w14:paraId="416F3A67" w14:textId="77777777" w:rsidR="007C5685" w:rsidRDefault="00F26870">
            <w:pPr>
              <w:rPr>
                <w:rFonts w:ascii="Arial" w:hAnsi="Arial" w:cs="Arial"/>
                <w:lang w:val="en-MY"/>
              </w:rPr>
            </w:pPr>
            <w:r>
              <w:rPr>
                <w:rFonts w:ascii="Arial" w:hAnsi="Arial" w:cs="Arial"/>
                <w:lang w:val="en-MY"/>
              </w:rPr>
              <w:t>9</w:t>
            </w:r>
          </w:p>
        </w:tc>
        <w:tc>
          <w:tcPr>
            <w:tcW w:w="1560" w:type="dxa"/>
          </w:tcPr>
          <w:p w14:paraId="63204EE4" w14:textId="77777777" w:rsidR="007C5685" w:rsidRDefault="00F26870">
            <w:pPr>
              <w:rPr>
                <w:rFonts w:ascii="Arial" w:hAnsi="Arial" w:cs="Arial"/>
                <w:lang w:val="en-MY"/>
              </w:rPr>
            </w:pPr>
            <w:r>
              <w:rPr>
                <w:rFonts w:ascii="Arial" w:hAnsi="Arial" w:cs="Arial"/>
                <w:lang w:val="en-MY"/>
              </w:rPr>
              <w:t>KH-VIE 1</w:t>
            </w:r>
          </w:p>
        </w:tc>
        <w:tc>
          <w:tcPr>
            <w:tcW w:w="1500" w:type="dxa"/>
          </w:tcPr>
          <w:p w14:paraId="697F79FC" w14:textId="77777777" w:rsidR="007C5685" w:rsidRDefault="00F26870">
            <w:pPr>
              <w:rPr>
                <w:rFonts w:ascii="Arial" w:hAnsi="Arial" w:cs="Arial"/>
                <w:lang w:val="en-MY"/>
              </w:rPr>
            </w:pPr>
            <w:r>
              <w:rPr>
                <w:rFonts w:ascii="Arial" w:hAnsi="Arial" w:cs="Arial"/>
                <w:lang w:val="en-MY"/>
              </w:rPr>
              <w:t>5.205 d</w:t>
            </w:r>
          </w:p>
        </w:tc>
        <w:tc>
          <w:tcPr>
            <w:tcW w:w="1908" w:type="dxa"/>
          </w:tcPr>
          <w:p w14:paraId="5A77ADBC" w14:textId="77777777" w:rsidR="007C5685" w:rsidRDefault="00F26870">
            <w:pPr>
              <w:rPr>
                <w:rFonts w:ascii="Arial" w:hAnsi="Arial" w:cs="Arial"/>
                <w:lang w:val="en-MY"/>
              </w:rPr>
            </w:pPr>
            <w:r>
              <w:rPr>
                <w:rFonts w:ascii="Arial" w:hAnsi="Arial" w:cs="Arial"/>
                <w:lang w:val="en-MY"/>
              </w:rPr>
              <w:t>3.373 c</w:t>
            </w:r>
          </w:p>
        </w:tc>
        <w:tc>
          <w:tcPr>
            <w:tcW w:w="2040" w:type="dxa"/>
          </w:tcPr>
          <w:p w14:paraId="3C50E26F" w14:textId="77777777" w:rsidR="007C5685" w:rsidRDefault="00F26870">
            <w:pPr>
              <w:rPr>
                <w:rFonts w:ascii="Arial" w:hAnsi="Arial" w:cs="Arial"/>
                <w:lang w:val="en-MY"/>
              </w:rPr>
            </w:pPr>
            <w:r>
              <w:rPr>
                <w:rFonts w:ascii="Arial" w:hAnsi="Arial" w:cs="Arial"/>
                <w:lang w:val="en-MY"/>
              </w:rPr>
              <w:t>18.876 c</w:t>
            </w:r>
          </w:p>
        </w:tc>
      </w:tr>
      <w:tr w:rsidR="007C5685" w14:paraId="54A000E4" w14:textId="77777777">
        <w:tc>
          <w:tcPr>
            <w:tcW w:w="679" w:type="dxa"/>
          </w:tcPr>
          <w:p w14:paraId="0447C98C" w14:textId="77777777" w:rsidR="007C5685" w:rsidRDefault="00F26870">
            <w:pPr>
              <w:rPr>
                <w:rFonts w:ascii="Arial" w:hAnsi="Arial" w:cs="Arial"/>
                <w:lang w:val="en-MY"/>
              </w:rPr>
            </w:pPr>
            <w:r>
              <w:rPr>
                <w:rFonts w:ascii="Arial" w:hAnsi="Arial" w:cs="Arial"/>
                <w:lang w:val="en-MY"/>
              </w:rPr>
              <w:t>10</w:t>
            </w:r>
          </w:p>
        </w:tc>
        <w:tc>
          <w:tcPr>
            <w:tcW w:w="1560" w:type="dxa"/>
          </w:tcPr>
          <w:p w14:paraId="510BB834" w14:textId="77777777" w:rsidR="007C5685" w:rsidRDefault="00F26870">
            <w:pPr>
              <w:rPr>
                <w:rFonts w:ascii="Arial" w:hAnsi="Arial" w:cs="Arial"/>
                <w:lang w:val="en-MY"/>
              </w:rPr>
            </w:pPr>
            <w:r>
              <w:rPr>
                <w:rFonts w:ascii="Arial" w:hAnsi="Arial" w:cs="Arial"/>
                <w:lang w:val="en-MY"/>
              </w:rPr>
              <w:t>KH-MJ</w:t>
            </w:r>
          </w:p>
        </w:tc>
        <w:tc>
          <w:tcPr>
            <w:tcW w:w="1500" w:type="dxa"/>
          </w:tcPr>
          <w:p w14:paraId="49A69382" w14:textId="77777777" w:rsidR="007C5685" w:rsidRDefault="00F26870">
            <w:pPr>
              <w:rPr>
                <w:rFonts w:ascii="Arial" w:hAnsi="Arial" w:cs="Arial"/>
                <w:lang w:val="en-MY"/>
              </w:rPr>
            </w:pPr>
            <w:r>
              <w:rPr>
                <w:rFonts w:ascii="Arial" w:hAnsi="Arial" w:cs="Arial"/>
                <w:lang w:val="en-MY"/>
              </w:rPr>
              <w:t>5.313 d</w:t>
            </w:r>
          </w:p>
        </w:tc>
        <w:tc>
          <w:tcPr>
            <w:tcW w:w="1908" w:type="dxa"/>
          </w:tcPr>
          <w:p w14:paraId="1675BC4B" w14:textId="77777777" w:rsidR="007C5685" w:rsidRDefault="00F26870">
            <w:pPr>
              <w:rPr>
                <w:rFonts w:ascii="Arial" w:hAnsi="Arial" w:cs="Arial"/>
                <w:lang w:val="en-MY"/>
              </w:rPr>
            </w:pPr>
            <w:r>
              <w:rPr>
                <w:rFonts w:ascii="Arial" w:hAnsi="Arial" w:cs="Arial"/>
                <w:lang w:val="en-MY"/>
              </w:rPr>
              <w:t>3.603 c</w:t>
            </w:r>
          </w:p>
        </w:tc>
        <w:tc>
          <w:tcPr>
            <w:tcW w:w="2040" w:type="dxa"/>
          </w:tcPr>
          <w:p w14:paraId="3DC54976" w14:textId="77777777" w:rsidR="007C5685" w:rsidRDefault="00F26870">
            <w:pPr>
              <w:rPr>
                <w:rFonts w:ascii="Arial" w:hAnsi="Arial" w:cs="Arial"/>
                <w:lang w:val="en-MY"/>
              </w:rPr>
            </w:pPr>
            <w:r>
              <w:rPr>
                <w:rFonts w:ascii="Arial" w:hAnsi="Arial" w:cs="Arial"/>
                <w:lang w:val="en-MY"/>
              </w:rPr>
              <w:t>19.118 c</w:t>
            </w:r>
          </w:p>
        </w:tc>
      </w:tr>
    </w:tbl>
    <w:p w14:paraId="194F208B" w14:textId="77777777" w:rsidR="007C5685" w:rsidRDefault="00F26870">
      <w:pPr>
        <w:rPr>
          <w:rFonts w:ascii="Arial" w:hAnsi="Arial" w:cs="Arial"/>
          <w:sz w:val="18"/>
          <w:szCs w:val="18"/>
          <w:lang w:val="en-MY" w:eastAsia="zh-CN"/>
        </w:rPr>
      </w:pPr>
      <w:r>
        <w:rPr>
          <w:rFonts w:ascii="Arial" w:hAnsi="Arial" w:cs="Arial"/>
          <w:sz w:val="18"/>
          <w:szCs w:val="18"/>
          <w:lang w:val="en-MY" w:eastAsia="zh-CN"/>
        </w:rPr>
        <w:t xml:space="preserve">*Min yang </w:t>
      </w:r>
      <w:proofErr w:type="spellStart"/>
      <w:r>
        <w:rPr>
          <w:rFonts w:ascii="Arial" w:hAnsi="Arial" w:cs="Arial"/>
          <w:sz w:val="18"/>
          <w:szCs w:val="18"/>
          <w:lang w:val="en-MY" w:eastAsia="zh-CN"/>
        </w:rPr>
        <w:t>dilabel</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dengan</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huruf</w:t>
      </w:r>
      <w:proofErr w:type="spellEnd"/>
      <w:r>
        <w:rPr>
          <w:rFonts w:ascii="Arial" w:hAnsi="Arial" w:cs="Arial"/>
          <w:sz w:val="18"/>
          <w:szCs w:val="18"/>
          <w:lang w:val="en-MY" w:eastAsia="zh-CN"/>
        </w:rPr>
        <w:t xml:space="preserve"> yang </w:t>
      </w:r>
      <w:proofErr w:type="spellStart"/>
      <w:r>
        <w:rPr>
          <w:rFonts w:ascii="Arial" w:hAnsi="Arial" w:cs="Arial"/>
          <w:sz w:val="18"/>
          <w:szCs w:val="18"/>
          <w:lang w:val="en-MY" w:eastAsia="zh-CN"/>
        </w:rPr>
        <w:t>sama</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adalah</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tidak</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signifikan</w:t>
      </w:r>
      <w:proofErr w:type="spellEnd"/>
      <w:r>
        <w:rPr>
          <w:rFonts w:ascii="Arial" w:hAnsi="Arial" w:cs="Arial"/>
          <w:sz w:val="18"/>
          <w:szCs w:val="18"/>
          <w:lang w:val="en-MY" w:eastAsia="zh-CN"/>
        </w:rPr>
        <w:t xml:space="preserve"> pada P&lt;0.05.</w:t>
      </w:r>
    </w:p>
    <w:p w14:paraId="0BA035B0" w14:textId="77777777" w:rsidR="007C5685" w:rsidRDefault="007C5685">
      <w:pPr>
        <w:pStyle w:val="Body"/>
        <w:spacing w:after="0"/>
        <w:rPr>
          <w:rFonts w:ascii="Arial" w:hAnsi="Arial" w:cs="Arial"/>
          <w:lang w:eastAsia="zh-CN"/>
        </w:rPr>
      </w:pPr>
    </w:p>
    <w:p w14:paraId="1C385577" w14:textId="77777777" w:rsidR="007C5685" w:rsidRDefault="007C5685">
      <w:pPr>
        <w:pStyle w:val="Body"/>
        <w:spacing w:after="0"/>
        <w:rPr>
          <w:rFonts w:ascii="Arial" w:hAnsi="Arial" w:cs="Arial"/>
          <w:lang w:eastAsia="zh-CN"/>
        </w:rPr>
      </w:pPr>
    </w:p>
    <w:p w14:paraId="3833765F" w14:textId="77777777" w:rsidR="007C5685" w:rsidRDefault="00F26870">
      <w:pPr>
        <w:pStyle w:val="Body"/>
        <w:spacing w:after="0"/>
      </w:pPr>
      <w:r>
        <w:rPr>
          <w:noProof/>
        </w:rPr>
        <w:lastRenderedPageBreak/>
        <w:drawing>
          <wp:inline distT="0" distB="0" distL="114300" distR="114300" wp14:anchorId="2CF27A61" wp14:editId="6D4D9EBF">
            <wp:extent cx="4462145" cy="1830705"/>
            <wp:effectExtent l="0" t="0" r="3175" b="133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7"/>
                    <a:stretch>
                      <a:fillRect/>
                    </a:stretch>
                  </pic:blipFill>
                  <pic:spPr>
                    <a:xfrm>
                      <a:off x="0" y="0"/>
                      <a:ext cx="4462145" cy="1830705"/>
                    </a:xfrm>
                    <a:prstGeom prst="rect">
                      <a:avLst/>
                    </a:prstGeom>
                    <a:noFill/>
                    <a:ln>
                      <a:noFill/>
                    </a:ln>
                  </pic:spPr>
                </pic:pic>
              </a:graphicData>
            </a:graphic>
          </wp:inline>
        </w:drawing>
      </w:r>
    </w:p>
    <w:p w14:paraId="2950E092" w14:textId="77777777" w:rsidR="007C5685" w:rsidRDefault="007C5685">
      <w:pPr>
        <w:pStyle w:val="Body"/>
        <w:spacing w:after="0"/>
      </w:pPr>
    </w:p>
    <w:p w14:paraId="1EC41483" w14:textId="77777777" w:rsidR="007C5685" w:rsidRDefault="00F26870">
      <w:pPr>
        <w:jc w:val="both"/>
        <w:rPr>
          <w:rFonts w:ascii="Arial" w:hAnsi="Arial" w:cs="Arial"/>
          <w:b/>
          <w:bCs/>
          <w:lang w:val="ms-MY"/>
        </w:rPr>
      </w:pPr>
      <w:r>
        <w:rPr>
          <w:rFonts w:ascii="Arial" w:hAnsi="Arial" w:cs="Arial"/>
          <w:b/>
          <w:bCs/>
          <w:lang w:val="en-MY"/>
        </w:rPr>
        <w:t>Figure 3.</w:t>
      </w:r>
      <w:r>
        <w:rPr>
          <w:rFonts w:ascii="Arial" w:hAnsi="Arial" w:cs="Arial"/>
          <w:b/>
          <w:bCs/>
          <w:lang w:val="en-MY"/>
        </w:rPr>
        <w:tab/>
      </w:r>
      <w:r>
        <w:rPr>
          <w:rFonts w:ascii="Arial" w:eastAsia="SimSun" w:hAnsi="Arial" w:cs="Arial"/>
          <w:b/>
          <w:bCs/>
        </w:rPr>
        <w:t xml:space="preserve">TMF content in extracts from various </w:t>
      </w:r>
      <w:r>
        <w:rPr>
          <w:rStyle w:val="Emphasis"/>
          <w:rFonts w:ascii="Arial" w:eastAsia="SimSun" w:hAnsi="Arial" w:cs="Arial"/>
          <w:b/>
          <w:bCs/>
        </w:rPr>
        <w:t>K. parviflora</w:t>
      </w:r>
      <w:r>
        <w:rPr>
          <w:rFonts w:ascii="Arial" w:eastAsia="SimSun" w:hAnsi="Arial" w:cs="Arial"/>
          <w:b/>
          <w:bCs/>
        </w:rPr>
        <w:t xml:space="preserve"> accessions</w:t>
      </w:r>
    </w:p>
    <w:p w14:paraId="6353A667" w14:textId="77777777" w:rsidR="007C5685" w:rsidRDefault="007C5685">
      <w:pPr>
        <w:pStyle w:val="Body"/>
        <w:spacing w:after="0"/>
        <w:rPr>
          <w:lang w:eastAsia="zh-CN"/>
        </w:rPr>
      </w:pPr>
    </w:p>
    <w:p w14:paraId="1B239BD5" w14:textId="77777777" w:rsidR="007C5685" w:rsidRDefault="00F26870">
      <w:pPr>
        <w:jc w:val="both"/>
        <w:rPr>
          <w:rFonts w:ascii="Arial" w:hAnsi="Arial" w:cs="Arial"/>
          <w:lang w:val="en-MY"/>
        </w:rPr>
      </w:pPr>
      <w:r>
        <w:rPr>
          <w:rFonts w:ascii="Arial" w:hAnsi="Arial" w:cs="Arial"/>
          <w:lang w:val="en-MY"/>
        </w:rPr>
        <w:t xml:space="preserve">The wide variation observed in TPC and TFC among genotypes is consistent with previous studies indicating strong genotypic influence on phenolic and flavonoid accumulation in </w:t>
      </w:r>
      <w:r>
        <w:rPr>
          <w:rFonts w:ascii="Arial" w:hAnsi="Arial" w:cs="Arial"/>
          <w:i/>
          <w:iCs/>
          <w:lang w:val="en-MY"/>
        </w:rPr>
        <w:t xml:space="preserve">K. </w:t>
      </w:r>
      <w:proofErr w:type="spellStart"/>
      <w:r>
        <w:rPr>
          <w:rFonts w:ascii="Arial" w:hAnsi="Arial" w:cs="Arial"/>
          <w:i/>
          <w:iCs/>
          <w:lang w:val="en-MY"/>
        </w:rPr>
        <w:t>parviflora</w:t>
      </w:r>
      <w:proofErr w:type="spellEnd"/>
      <w:r>
        <w:rPr>
          <w:rFonts w:ascii="Arial" w:hAnsi="Arial" w:cs="Arial"/>
          <w:lang w:val="en-MY"/>
        </w:rPr>
        <w:t xml:space="preserve"> and other </w:t>
      </w:r>
      <w:proofErr w:type="spellStart"/>
      <w:r>
        <w:rPr>
          <w:rFonts w:ascii="Arial" w:hAnsi="Arial" w:cs="Arial"/>
          <w:lang w:val="en-MY"/>
        </w:rPr>
        <w:t>Zingiberaceae</w:t>
      </w:r>
      <w:proofErr w:type="spellEnd"/>
      <w:r>
        <w:rPr>
          <w:rFonts w:ascii="Arial" w:hAnsi="Arial" w:cs="Arial"/>
          <w:lang w:val="en-MY"/>
        </w:rPr>
        <w:t xml:space="preserve"> species [3,16]. Likewise, the differences d</w:t>
      </w:r>
      <w:r>
        <w:rPr>
          <w:rFonts w:ascii="Arial" w:hAnsi="Arial" w:cs="Arial"/>
          <w:lang w:val="en-MY"/>
        </w:rPr>
        <w:t xml:space="preserve">etected in TMF content are particularly noteworthy because TMF is a key </w:t>
      </w:r>
      <w:proofErr w:type="spellStart"/>
      <w:r>
        <w:rPr>
          <w:rFonts w:ascii="Arial" w:hAnsi="Arial" w:cs="Arial"/>
          <w:lang w:val="en-MY"/>
        </w:rPr>
        <w:t>polymethoxyflavone</w:t>
      </w:r>
      <w:proofErr w:type="spellEnd"/>
      <w:r>
        <w:rPr>
          <w:rFonts w:ascii="Arial" w:hAnsi="Arial" w:cs="Arial"/>
          <w:lang w:val="en-MY"/>
        </w:rPr>
        <w:t xml:space="preserve"> linked to antioxidant, anti-inflammatory, and other pharmacological activities of black ginger [15,24]. The identification of KH-THA 10 as a top-performing genotype </w:t>
      </w:r>
      <w:r>
        <w:rPr>
          <w:rFonts w:ascii="Arial" w:hAnsi="Arial" w:cs="Arial"/>
          <w:lang w:val="en-MY"/>
        </w:rPr>
        <w:t>across multiple phytochemical traits underscores the importance of integrating phytochemical data with the morphological and molecular characterization of germplasm. This holistic approach enables more effective selection and utilization of superior access</w:t>
      </w:r>
      <w:r>
        <w:rPr>
          <w:rFonts w:ascii="Arial" w:hAnsi="Arial" w:cs="Arial"/>
          <w:lang w:val="en-MY"/>
        </w:rPr>
        <w:t>ions for breeding and cultivation. By combining phenotypic, genetic, and phytochemical evaluations, breeders and conservationists can ensure that valuable traits – such as high bioactive compound content – are preserved and exploited in future cultivar dev</w:t>
      </w:r>
      <w:r>
        <w:rPr>
          <w:rFonts w:ascii="Arial" w:hAnsi="Arial" w:cs="Arial"/>
          <w:lang w:val="en-MY"/>
        </w:rPr>
        <w:t>elopment [10].</w:t>
      </w:r>
    </w:p>
    <w:p w14:paraId="401DE8C3" w14:textId="77777777" w:rsidR="007C5685" w:rsidRDefault="007C5685">
      <w:pPr>
        <w:pStyle w:val="Body"/>
        <w:spacing w:after="0"/>
        <w:rPr>
          <w:rFonts w:ascii="Arial" w:hAnsi="Arial" w:cs="Arial"/>
          <w:lang w:eastAsia="zh-CN"/>
        </w:rPr>
      </w:pPr>
    </w:p>
    <w:p w14:paraId="56774506" w14:textId="77777777" w:rsidR="007C5685" w:rsidRDefault="007C5685">
      <w:pPr>
        <w:pStyle w:val="Body"/>
        <w:spacing w:after="0"/>
        <w:rPr>
          <w:rFonts w:ascii="Arial" w:hAnsi="Arial" w:cs="Arial"/>
          <w:lang w:eastAsia="zh-CN"/>
        </w:rPr>
      </w:pPr>
    </w:p>
    <w:p w14:paraId="389FDC42" w14:textId="77777777" w:rsidR="007C5685" w:rsidRDefault="00F26870">
      <w:pPr>
        <w:pStyle w:val="ConcHead"/>
        <w:spacing w:after="0"/>
        <w:jc w:val="both"/>
        <w:rPr>
          <w:rFonts w:ascii="Arial" w:hAnsi="Arial" w:cs="Arial"/>
        </w:rPr>
      </w:pPr>
      <w:r>
        <w:rPr>
          <w:rFonts w:ascii="Arial" w:hAnsi="Arial" w:cs="Arial"/>
        </w:rPr>
        <w:t>4. Conclusion</w:t>
      </w:r>
    </w:p>
    <w:p w14:paraId="67D1AB16" w14:textId="77777777" w:rsidR="007C5685" w:rsidRDefault="007C5685">
      <w:pPr>
        <w:pStyle w:val="ConcHead"/>
        <w:spacing w:after="0"/>
        <w:jc w:val="both"/>
        <w:rPr>
          <w:rFonts w:ascii="Arial" w:hAnsi="Arial" w:cs="Arial"/>
        </w:rPr>
      </w:pPr>
    </w:p>
    <w:p w14:paraId="719D6665" w14:textId="77777777" w:rsidR="007C5685" w:rsidRDefault="00F26870">
      <w:pPr>
        <w:pStyle w:val="NormalWeb"/>
        <w:spacing w:beforeAutospacing="0" w:afterAutospacing="0"/>
        <w:jc w:val="both"/>
        <w:rPr>
          <w:rFonts w:ascii="Arial" w:hAnsi="Arial" w:cs="Arial"/>
          <w:sz w:val="20"/>
          <w:szCs w:val="20"/>
        </w:rPr>
      </w:pPr>
      <w:r>
        <w:rPr>
          <w:rFonts w:ascii="Arial" w:hAnsi="Arial" w:cs="Arial"/>
          <w:sz w:val="20"/>
          <w:szCs w:val="20"/>
        </w:rPr>
        <w:t xml:space="preserve">This study provides a comprehensive characterization of 21 </w:t>
      </w:r>
      <w:r>
        <w:rPr>
          <w:rStyle w:val="Emphasis"/>
          <w:rFonts w:ascii="Arial" w:hAnsi="Arial" w:cs="Arial"/>
          <w:sz w:val="20"/>
          <w:szCs w:val="20"/>
        </w:rPr>
        <w:t>K</w:t>
      </w:r>
      <w:r>
        <w:rPr>
          <w:rStyle w:val="Emphasis"/>
          <w:rFonts w:ascii="Arial" w:hAnsi="Arial" w:cs="Arial"/>
          <w:sz w:val="20"/>
          <w:szCs w:val="20"/>
          <w:lang w:val="en-MY"/>
        </w:rPr>
        <w:t>.</w:t>
      </w:r>
      <w:r>
        <w:rPr>
          <w:rStyle w:val="Emphasis"/>
          <w:rFonts w:ascii="Arial" w:hAnsi="Arial" w:cs="Arial"/>
          <w:sz w:val="20"/>
          <w:szCs w:val="20"/>
        </w:rPr>
        <w:t xml:space="preserve"> parviflora</w:t>
      </w:r>
      <w:r>
        <w:rPr>
          <w:rFonts w:ascii="Arial" w:hAnsi="Arial" w:cs="Arial"/>
          <w:sz w:val="20"/>
          <w:szCs w:val="20"/>
        </w:rPr>
        <w:t xml:space="preserve"> accessions using morphological, molecular, and phytochemical assessments. Morphological evaluation revealed clear phenotypic variation, particularly in leaf shape, size, and pigmentation, resulting in distinct clusters that may reflect underlying genetic </w:t>
      </w:r>
      <w:r>
        <w:rPr>
          <w:rFonts w:ascii="Arial" w:hAnsi="Arial" w:cs="Arial"/>
          <w:sz w:val="20"/>
          <w:szCs w:val="20"/>
        </w:rPr>
        <w:t>divergence. ISSR marker analysis demonstrated a relatively narrow genetic base, consistent with the crop’s predominant vegetative propagation and limited introduction of novel genetic material. Nevertheless, the detection of a genetically distinct accessio</w:t>
      </w:r>
      <w:r>
        <w:rPr>
          <w:rFonts w:ascii="Arial" w:hAnsi="Arial" w:cs="Arial"/>
          <w:sz w:val="20"/>
          <w:szCs w:val="20"/>
        </w:rPr>
        <w:t>n (KH-MJ) underscores the importance of conserving unique genotypes to safeguard adaptive potential.</w:t>
      </w:r>
    </w:p>
    <w:p w14:paraId="3E6E371D" w14:textId="77777777" w:rsidR="007C5685" w:rsidRDefault="007C5685">
      <w:pPr>
        <w:pStyle w:val="NormalWeb"/>
        <w:spacing w:beforeAutospacing="0" w:afterAutospacing="0"/>
        <w:jc w:val="both"/>
        <w:rPr>
          <w:rFonts w:ascii="Arial" w:hAnsi="Arial" w:cs="Arial"/>
          <w:sz w:val="20"/>
          <w:szCs w:val="20"/>
        </w:rPr>
      </w:pPr>
    </w:p>
    <w:p w14:paraId="25452848" w14:textId="77777777" w:rsidR="007C5685" w:rsidRDefault="00F26870">
      <w:pPr>
        <w:pStyle w:val="NormalWeb"/>
        <w:spacing w:beforeAutospacing="0" w:afterAutospacing="0"/>
        <w:jc w:val="both"/>
        <w:rPr>
          <w:rFonts w:ascii="Arial" w:hAnsi="Arial" w:cs="Arial"/>
          <w:sz w:val="20"/>
          <w:szCs w:val="20"/>
        </w:rPr>
      </w:pPr>
      <w:r>
        <w:rPr>
          <w:rFonts w:ascii="Arial" w:hAnsi="Arial" w:cs="Arial"/>
          <w:sz w:val="20"/>
          <w:szCs w:val="20"/>
        </w:rPr>
        <w:t>Phytochemical profiling of 10 representative accessions highlighted significant variability in total phenolic content, total flavonoid content, and 4,5,7-</w:t>
      </w:r>
      <w:r>
        <w:rPr>
          <w:rFonts w:ascii="Arial" w:hAnsi="Arial" w:cs="Arial"/>
          <w:sz w:val="20"/>
          <w:szCs w:val="20"/>
        </w:rPr>
        <w:t xml:space="preserve">trimethoxyflavone levels, with KH-THA 10 emerging as an elite accession for its consistently high concentrations of bioactive compounds. The integration of phenotypic, genetic, and phytochemical datasets provides a robust foundation for targeted germplasm </w:t>
      </w:r>
      <w:r>
        <w:rPr>
          <w:rFonts w:ascii="Arial" w:hAnsi="Arial" w:cs="Arial"/>
          <w:sz w:val="20"/>
          <w:szCs w:val="20"/>
        </w:rPr>
        <w:t>conservation, breeding programs, and potential commercialization.</w:t>
      </w:r>
      <w:r>
        <w:rPr>
          <w:rFonts w:ascii="Arial" w:hAnsi="Arial" w:cs="Arial"/>
          <w:sz w:val="20"/>
          <w:szCs w:val="20"/>
          <w:lang w:val="en-MY"/>
        </w:rPr>
        <w:t xml:space="preserve"> F</w:t>
      </w:r>
      <w:proofErr w:type="spellStart"/>
      <w:r>
        <w:rPr>
          <w:rFonts w:ascii="Arial" w:hAnsi="Arial" w:cs="Arial"/>
          <w:sz w:val="20"/>
          <w:szCs w:val="20"/>
        </w:rPr>
        <w:t>uture</w:t>
      </w:r>
      <w:proofErr w:type="spellEnd"/>
      <w:r>
        <w:rPr>
          <w:rFonts w:ascii="Arial" w:hAnsi="Arial" w:cs="Arial"/>
          <w:sz w:val="20"/>
          <w:szCs w:val="20"/>
        </w:rPr>
        <w:t xml:space="preserve"> research should focus on expanding the genetic base of </w:t>
      </w:r>
      <w:r>
        <w:rPr>
          <w:rStyle w:val="Emphasis"/>
          <w:rFonts w:ascii="Arial" w:hAnsi="Arial" w:cs="Arial"/>
          <w:sz w:val="20"/>
          <w:szCs w:val="20"/>
        </w:rPr>
        <w:t>K. parviflora</w:t>
      </w:r>
      <w:r>
        <w:rPr>
          <w:rFonts w:ascii="Arial" w:hAnsi="Arial" w:cs="Arial"/>
          <w:sz w:val="20"/>
          <w:szCs w:val="20"/>
        </w:rPr>
        <w:t xml:space="preserve"> collections, validating genotype-by-environment interactions influencing phytochemical profiles, and developing el</w:t>
      </w:r>
      <w:r>
        <w:rPr>
          <w:rFonts w:ascii="Arial" w:hAnsi="Arial" w:cs="Arial"/>
          <w:sz w:val="20"/>
          <w:szCs w:val="20"/>
        </w:rPr>
        <w:t xml:space="preserve">ite cultivars with superior agronomic and pharmacological traits. By strategically combining molecular tools with traditional breeding, the potential of </w:t>
      </w:r>
      <w:r>
        <w:rPr>
          <w:rStyle w:val="Emphasis"/>
          <w:rFonts w:ascii="Arial" w:hAnsi="Arial" w:cs="Arial"/>
          <w:sz w:val="20"/>
          <w:szCs w:val="20"/>
        </w:rPr>
        <w:t>K. parviflora</w:t>
      </w:r>
      <w:r>
        <w:rPr>
          <w:rFonts w:ascii="Arial" w:hAnsi="Arial" w:cs="Arial"/>
          <w:sz w:val="20"/>
          <w:szCs w:val="20"/>
        </w:rPr>
        <w:t xml:space="preserve"> as a high-value medicinal crop can be more fully realized.</w:t>
      </w:r>
    </w:p>
    <w:p w14:paraId="5B463E43" w14:textId="77777777" w:rsidR="007C5685" w:rsidRDefault="00F26870">
      <w:pPr>
        <w:pStyle w:val="ReferHead"/>
        <w:spacing w:after="0"/>
        <w:jc w:val="both"/>
        <w:rPr>
          <w:rFonts w:ascii="Arial" w:hAnsi="Arial" w:cs="Arial"/>
        </w:rPr>
      </w:pPr>
      <w:r>
        <w:rPr>
          <w:rFonts w:ascii="Arial" w:hAnsi="Arial" w:cs="Arial"/>
        </w:rPr>
        <w:lastRenderedPageBreak/>
        <w:t>References</w:t>
      </w:r>
    </w:p>
    <w:p w14:paraId="30CF7DA9" w14:textId="77777777" w:rsidR="007C5685" w:rsidRDefault="007C5685">
      <w:pPr>
        <w:pStyle w:val="ReferHead"/>
        <w:spacing w:after="0"/>
        <w:jc w:val="both"/>
        <w:rPr>
          <w:rFonts w:ascii="Arial" w:hAnsi="Arial" w:cs="Arial"/>
        </w:rPr>
      </w:pPr>
    </w:p>
    <w:p w14:paraId="231496C3" w14:textId="77777777" w:rsidR="007C5685" w:rsidRDefault="00F26870">
      <w:pPr>
        <w:numPr>
          <w:ilvl w:val="0"/>
          <w:numId w:val="3"/>
        </w:numPr>
        <w:jc w:val="both"/>
        <w:rPr>
          <w:rFonts w:ascii="Arial" w:eastAsia="SimSun" w:hAnsi="Arial" w:cs="Arial"/>
        </w:rPr>
      </w:pPr>
      <w:r>
        <w:rPr>
          <w:rFonts w:ascii="Arial" w:hAnsi="Arial" w:cs="Arial"/>
        </w:rPr>
        <w:t>Akshitha</w:t>
      </w:r>
      <w:r>
        <w:rPr>
          <w:rFonts w:ascii="Arial" w:hAnsi="Arial" w:cs="Arial"/>
          <w:lang w:val="en-MY"/>
        </w:rPr>
        <w:t>,</w:t>
      </w:r>
      <w:r>
        <w:rPr>
          <w:rFonts w:ascii="Arial" w:hAnsi="Arial" w:cs="Arial"/>
        </w:rPr>
        <w:t xml:space="preserve"> H.J.</w:t>
      </w:r>
      <w:r>
        <w:rPr>
          <w:rFonts w:ascii="Arial" w:hAnsi="Arial" w:cs="Arial"/>
          <w:lang w:val="en-MY"/>
        </w:rPr>
        <w:t>,</w:t>
      </w:r>
      <w:r>
        <w:rPr>
          <w:rFonts w:ascii="Arial" w:hAnsi="Arial" w:cs="Arial"/>
        </w:rPr>
        <w:t xml:space="preserve"> Prasath</w:t>
      </w:r>
      <w:r>
        <w:rPr>
          <w:rFonts w:ascii="Arial" w:hAnsi="Arial" w:cs="Arial"/>
          <w:lang w:val="en-MY"/>
        </w:rPr>
        <w:t>,</w:t>
      </w:r>
      <w:r>
        <w:rPr>
          <w:rFonts w:ascii="Arial" w:hAnsi="Arial" w:cs="Arial"/>
        </w:rPr>
        <w:t xml:space="preserve"> D., Umesha</w:t>
      </w:r>
      <w:r>
        <w:rPr>
          <w:rFonts w:ascii="Arial" w:hAnsi="Arial" w:cs="Arial"/>
          <w:lang w:val="en-MY"/>
        </w:rPr>
        <w:t>,</w:t>
      </w:r>
      <w:r>
        <w:rPr>
          <w:rFonts w:ascii="Arial" w:hAnsi="Arial" w:cs="Arial"/>
        </w:rPr>
        <w:t xml:space="preserve"> K., Mohammed Faisal</w:t>
      </w:r>
      <w:r>
        <w:rPr>
          <w:rFonts w:ascii="Arial" w:hAnsi="Arial" w:cs="Arial"/>
          <w:lang w:val="en-MY"/>
        </w:rPr>
        <w:t>,</w:t>
      </w:r>
      <w:r>
        <w:rPr>
          <w:rFonts w:ascii="Arial" w:hAnsi="Arial" w:cs="Arial"/>
        </w:rPr>
        <w:t xml:space="preserve"> P. and </w:t>
      </w:r>
      <w:proofErr w:type="spellStart"/>
      <w:r>
        <w:rPr>
          <w:rFonts w:ascii="Arial" w:hAnsi="Arial" w:cs="Arial"/>
        </w:rPr>
        <w:t>Venkataravanappa</w:t>
      </w:r>
      <w:proofErr w:type="spellEnd"/>
      <w:r>
        <w:rPr>
          <w:rFonts w:ascii="Arial" w:hAnsi="Arial" w:cs="Arial"/>
          <w:lang w:val="en-MY"/>
        </w:rPr>
        <w:t>,</w:t>
      </w:r>
      <w:r>
        <w:rPr>
          <w:rFonts w:ascii="Arial" w:hAnsi="Arial" w:cs="Arial"/>
        </w:rPr>
        <w:t xml:space="preserve"> V</w:t>
      </w:r>
      <w:r>
        <w:rPr>
          <w:rFonts w:ascii="Arial" w:hAnsi="Arial" w:cs="Arial"/>
          <w:lang w:val="en-MY"/>
        </w:rPr>
        <w:t xml:space="preserve">. (2022). </w:t>
      </w:r>
      <w:r>
        <w:rPr>
          <w:rFonts w:ascii="Arial" w:hAnsi="Arial" w:cs="Arial"/>
        </w:rPr>
        <w:t>Molecular characterization of ginger genotypes using RAPD and SSR markers</w:t>
      </w:r>
      <w:r>
        <w:rPr>
          <w:rFonts w:ascii="Arial" w:hAnsi="Arial" w:cs="Arial"/>
          <w:lang w:val="en-MY"/>
        </w:rPr>
        <w:t xml:space="preserve">. </w:t>
      </w:r>
      <w:r>
        <w:rPr>
          <w:rFonts w:ascii="Arial" w:hAnsi="Arial" w:cs="Arial"/>
        </w:rPr>
        <w:t>Hortl. Sci. 17</w:t>
      </w:r>
      <w:r>
        <w:rPr>
          <w:rFonts w:ascii="Arial" w:hAnsi="Arial" w:cs="Arial"/>
          <w:lang w:val="en-MY"/>
        </w:rPr>
        <w:t xml:space="preserve"> </w:t>
      </w:r>
      <w:r>
        <w:rPr>
          <w:rFonts w:ascii="Arial" w:hAnsi="Arial" w:cs="Arial"/>
        </w:rPr>
        <w:t>(1</w:t>
      </w:r>
      <w:proofErr w:type="gramStart"/>
      <w:r>
        <w:rPr>
          <w:rFonts w:ascii="Arial" w:hAnsi="Arial" w:cs="Arial"/>
        </w:rPr>
        <w:t>) :</w:t>
      </w:r>
      <w:proofErr w:type="gramEnd"/>
      <w:r>
        <w:rPr>
          <w:rFonts w:ascii="Arial" w:hAnsi="Arial" w:cs="Arial"/>
        </w:rPr>
        <w:t xml:space="preserve"> 95</w:t>
      </w:r>
      <w:r>
        <w:rPr>
          <w:rFonts w:ascii="Arial" w:hAnsi="Arial" w:cs="Arial"/>
          <w:lang w:val="en-MY"/>
        </w:rPr>
        <w:t xml:space="preserve"> - 102.</w:t>
      </w:r>
    </w:p>
    <w:p w14:paraId="67E86C90" w14:textId="77777777" w:rsidR="007C5685" w:rsidRDefault="007C5685">
      <w:pPr>
        <w:jc w:val="both"/>
        <w:rPr>
          <w:rFonts w:ascii="Arial" w:eastAsia="SimSun" w:hAnsi="Arial" w:cs="Arial"/>
        </w:rPr>
      </w:pPr>
    </w:p>
    <w:p w14:paraId="5A99B337" w14:textId="77777777" w:rsidR="007C5685" w:rsidRDefault="00F26870">
      <w:pPr>
        <w:numPr>
          <w:ilvl w:val="0"/>
          <w:numId w:val="3"/>
        </w:numPr>
        <w:jc w:val="both"/>
        <w:rPr>
          <w:rFonts w:ascii="Arial" w:eastAsia="SimSun" w:hAnsi="Arial" w:cs="Arial"/>
          <w:color w:val="365F91" w:themeColor="accent1" w:themeShade="BF"/>
        </w:rPr>
      </w:pPr>
      <w:r>
        <w:rPr>
          <w:rFonts w:ascii="Arial" w:hAnsi="Arial" w:cs="Arial"/>
          <w:lang w:val="en-MY"/>
        </w:rPr>
        <w:t>C</w:t>
      </w:r>
      <w:proofErr w:type="spellStart"/>
      <w:r>
        <w:rPr>
          <w:rFonts w:ascii="Arial" w:hAnsi="Arial" w:cs="Arial"/>
        </w:rPr>
        <w:t>haisuwan</w:t>
      </w:r>
      <w:proofErr w:type="spellEnd"/>
      <w:r>
        <w:rPr>
          <w:rFonts w:ascii="Arial" w:hAnsi="Arial" w:cs="Arial"/>
          <w:lang w:val="en-MY"/>
        </w:rPr>
        <w:t>,</w:t>
      </w:r>
      <w:r>
        <w:rPr>
          <w:rFonts w:ascii="Arial" w:hAnsi="Arial" w:cs="Arial"/>
        </w:rPr>
        <w:t xml:space="preserve"> V</w:t>
      </w:r>
      <w:r>
        <w:rPr>
          <w:rFonts w:ascii="Arial" w:hAnsi="Arial" w:cs="Arial"/>
          <w:lang w:val="en-MY"/>
        </w:rPr>
        <w:t>.</w:t>
      </w:r>
      <w:r>
        <w:rPr>
          <w:rFonts w:ascii="Arial" w:hAnsi="Arial" w:cs="Arial"/>
        </w:rPr>
        <w:t xml:space="preserve">, </w:t>
      </w:r>
      <w:proofErr w:type="spellStart"/>
      <w:r>
        <w:rPr>
          <w:rFonts w:ascii="Arial" w:hAnsi="Arial" w:cs="Arial"/>
        </w:rPr>
        <w:t>Dajanta</w:t>
      </w:r>
      <w:proofErr w:type="spellEnd"/>
      <w:r>
        <w:rPr>
          <w:rFonts w:ascii="Arial" w:hAnsi="Arial" w:cs="Arial"/>
        </w:rPr>
        <w:t>, K.</w:t>
      </w:r>
      <w:r>
        <w:rPr>
          <w:rFonts w:ascii="Arial" w:hAnsi="Arial" w:cs="Arial"/>
          <w:lang w:val="en-MY"/>
        </w:rPr>
        <w:t>,</w:t>
      </w:r>
      <w:r>
        <w:rPr>
          <w:rFonts w:ascii="Arial" w:hAnsi="Arial" w:cs="Arial"/>
        </w:rPr>
        <w:t xml:space="preserve"> and </w:t>
      </w:r>
      <w:proofErr w:type="spellStart"/>
      <w:r>
        <w:rPr>
          <w:rFonts w:ascii="Arial" w:hAnsi="Arial" w:cs="Arial"/>
        </w:rPr>
        <w:t>Srikaeo</w:t>
      </w:r>
      <w:proofErr w:type="spellEnd"/>
      <w:r>
        <w:rPr>
          <w:rFonts w:ascii="Arial" w:hAnsi="Arial" w:cs="Arial"/>
        </w:rPr>
        <w:t>, K.</w:t>
      </w:r>
      <w:r>
        <w:rPr>
          <w:rFonts w:ascii="Arial" w:hAnsi="Arial" w:cs="Arial"/>
          <w:lang w:val="en-MY"/>
        </w:rPr>
        <w:t xml:space="preserve"> (2022). </w:t>
      </w:r>
      <w:r>
        <w:rPr>
          <w:rFonts w:ascii="Arial" w:hAnsi="Arial" w:cs="Arial"/>
        </w:rPr>
        <w:t>Effects of extraction metho</w:t>
      </w:r>
      <w:r>
        <w:rPr>
          <w:rFonts w:ascii="Arial" w:hAnsi="Arial" w:cs="Arial"/>
        </w:rPr>
        <w:t xml:space="preserve">ds on antioxidants and </w:t>
      </w:r>
      <w:proofErr w:type="spellStart"/>
      <w:r>
        <w:rPr>
          <w:rFonts w:ascii="Arial" w:hAnsi="Arial" w:cs="Arial"/>
        </w:rPr>
        <w:t>methoxyflavones</w:t>
      </w:r>
      <w:proofErr w:type="spellEnd"/>
      <w:r>
        <w:rPr>
          <w:rFonts w:ascii="Arial" w:hAnsi="Arial" w:cs="Arial"/>
        </w:rPr>
        <w:t xml:space="preserve"> of </w:t>
      </w:r>
      <w:proofErr w:type="spellStart"/>
      <w:r>
        <w:rPr>
          <w:rFonts w:ascii="Arial" w:hAnsi="Arial" w:cs="Arial"/>
          <w:i/>
          <w:iCs/>
        </w:rPr>
        <w:t>Kaempferia</w:t>
      </w:r>
      <w:proofErr w:type="spellEnd"/>
      <w:r>
        <w:rPr>
          <w:rFonts w:ascii="Arial" w:hAnsi="Arial" w:cs="Arial"/>
          <w:i/>
          <w:iCs/>
        </w:rPr>
        <w:t xml:space="preserve"> </w:t>
      </w:r>
      <w:proofErr w:type="spellStart"/>
      <w:r>
        <w:rPr>
          <w:rFonts w:ascii="Arial" w:hAnsi="Arial" w:cs="Arial"/>
          <w:i/>
          <w:iCs/>
        </w:rPr>
        <w:t>parviflora</w:t>
      </w:r>
      <w:proofErr w:type="spellEnd"/>
      <w:r>
        <w:rPr>
          <w:rFonts w:ascii="Arial" w:hAnsi="Arial" w:cs="Arial"/>
          <w:lang w:val="en-MY"/>
        </w:rPr>
        <w:t xml:space="preserve">. </w:t>
      </w:r>
      <w:r>
        <w:rPr>
          <w:rFonts w:ascii="Arial" w:hAnsi="Arial" w:cs="Arial"/>
        </w:rPr>
        <w:t>Food Research</w:t>
      </w:r>
      <w:r>
        <w:rPr>
          <w:rFonts w:ascii="Arial" w:hAnsi="Arial" w:cs="Arial"/>
          <w:lang w:val="en-MY"/>
        </w:rPr>
        <w:t>.</w:t>
      </w:r>
      <w:r>
        <w:rPr>
          <w:rFonts w:ascii="Arial" w:hAnsi="Arial" w:cs="Arial"/>
        </w:rPr>
        <w:t xml:space="preserve"> 6 (3): 374 - 38</w:t>
      </w:r>
      <w:r>
        <w:rPr>
          <w:rFonts w:ascii="Arial" w:hAnsi="Arial" w:cs="Arial"/>
          <w:lang w:val="en-MY"/>
        </w:rPr>
        <w:t>1.</w:t>
      </w:r>
      <w:r>
        <w:rPr>
          <w:rFonts w:ascii="Arial" w:hAnsi="Arial" w:cs="Arial"/>
        </w:rPr>
        <w:t xml:space="preserve"> </w:t>
      </w:r>
      <w:r>
        <w:rPr>
          <w:rFonts w:ascii="Arial" w:hAnsi="Arial" w:cs="Arial"/>
          <w:lang w:val="en-MY"/>
        </w:rPr>
        <w:t xml:space="preserve"> </w:t>
      </w:r>
      <w:r>
        <w:rPr>
          <w:rFonts w:ascii="Arial" w:eastAsia="SimSun" w:hAnsi="Arial" w:cs="Arial"/>
        </w:rPr>
        <w:t xml:space="preserve">DOI: </w:t>
      </w:r>
      <w:hyperlink r:id="rId18" w:history="1">
        <w:r w:rsidR="007C5685">
          <w:rPr>
            <w:rStyle w:val="Hyperlink"/>
            <w:rFonts w:ascii="Arial" w:eastAsia="SimSun" w:hAnsi="Arial" w:cs="Arial"/>
            <w:color w:val="auto"/>
          </w:rPr>
          <w:t>https://doi.org/10.26656/fr.2017.6(3).408</w:t>
        </w:r>
        <w:r w:rsidR="007C5685">
          <w:rPr>
            <w:rStyle w:val="Hyperlink"/>
            <w:rFonts w:ascii="Arial" w:eastAsia="SimSun" w:hAnsi="Arial" w:cs="Arial"/>
            <w:color w:val="auto"/>
            <w:lang w:val="en-MY"/>
          </w:rPr>
          <w:t>.</w:t>
        </w:r>
      </w:hyperlink>
    </w:p>
    <w:p w14:paraId="557D3C31" w14:textId="77777777" w:rsidR="007C5685" w:rsidRDefault="007C5685">
      <w:pPr>
        <w:jc w:val="both"/>
        <w:rPr>
          <w:rFonts w:ascii="Arial" w:eastAsia="SimSun" w:hAnsi="Arial" w:cs="Arial"/>
          <w:color w:val="365F91" w:themeColor="accent1" w:themeShade="BF"/>
        </w:rPr>
      </w:pPr>
    </w:p>
    <w:p w14:paraId="407AFD44"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rPr>
        <w:t>Chumroenphat</w:t>
      </w:r>
      <w:proofErr w:type="spellEnd"/>
      <w:r>
        <w:rPr>
          <w:rFonts w:ascii="Arial" w:eastAsia="SimSun" w:hAnsi="Arial" w:cs="Arial"/>
          <w:lang w:val="en-MY"/>
        </w:rPr>
        <w:t>,</w:t>
      </w:r>
      <w:r>
        <w:rPr>
          <w:rFonts w:ascii="Arial" w:eastAsia="SimSun" w:hAnsi="Arial" w:cs="Arial"/>
        </w:rPr>
        <w:t xml:space="preserve"> T</w:t>
      </w:r>
      <w:r>
        <w:rPr>
          <w:rFonts w:ascii="Arial" w:eastAsia="SimSun" w:hAnsi="Arial" w:cs="Arial"/>
          <w:lang w:val="en-MY"/>
        </w:rPr>
        <w:t>.</w:t>
      </w:r>
      <w:r>
        <w:rPr>
          <w:rFonts w:ascii="Arial" w:eastAsia="SimSun" w:hAnsi="Arial" w:cs="Arial"/>
        </w:rPr>
        <w:t xml:space="preserve">, </w:t>
      </w:r>
      <w:proofErr w:type="spellStart"/>
      <w:r>
        <w:rPr>
          <w:rFonts w:ascii="Arial" w:eastAsia="SimSun" w:hAnsi="Arial" w:cs="Arial"/>
        </w:rPr>
        <w:t>Somboonwatthanakul</w:t>
      </w:r>
      <w:proofErr w:type="spellEnd"/>
      <w:r>
        <w:rPr>
          <w:rFonts w:ascii="Arial" w:eastAsia="SimSun" w:hAnsi="Arial" w:cs="Arial"/>
          <w:lang w:val="en-MY"/>
        </w:rPr>
        <w:t>,</w:t>
      </w:r>
      <w:r>
        <w:rPr>
          <w:rFonts w:ascii="Arial" w:eastAsia="SimSun" w:hAnsi="Arial" w:cs="Arial"/>
        </w:rPr>
        <w:t xml:space="preserve"> I</w:t>
      </w:r>
      <w:r>
        <w:rPr>
          <w:rFonts w:ascii="Arial" w:eastAsia="SimSun" w:hAnsi="Arial" w:cs="Arial"/>
          <w:lang w:val="en-MY"/>
        </w:rPr>
        <w:t>.</w:t>
      </w:r>
      <w:r>
        <w:rPr>
          <w:rFonts w:ascii="Arial" w:eastAsia="SimSun" w:hAnsi="Arial" w:cs="Arial"/>
        </w:rPr>
        <w:t xml:space="preserve">, </w:t>
      </w:r>
      <w:proofErr w:type="spellStart"/>
      <w:r>
        <w:rPr>
          <w:rFonts w:ascii="Arial" w:eastAsia="SimSun" w:hAnsi="Arial" w:cs="Arial"/>
        </w:rPr>
        <w:t>Saensouk</w:t>
      </w:r>
      <w:proofErr w:type="spellEnd"/>
      <w:r>
        <w:rPr>
          <w:rFonts w:ascii="Arial" w:eastAsia="SimSun" w:hAnsi="Arial" w:cs="Arial"/>
          <w:lang w:val="en-MY"/>
        </w:rPr>
        <w:t>,</w:t>
      </w:r>
      <w:r>
        <w:rPr>
          <w:rFonts w:ascii="Arial" w:eastAsia="SimSun" w:hAnsi="Arial" w:cs="Arial"/>
        </w:rPr>
        <w:t xml:space="preserve"> S</w:t>
      </w:r>
      <w:r>
        <w:rPr>
          <w:rFonts w:ascii="Arial" w:eastAsia="SimSun" w:hAnsi="Arial" w:cs="Arial"/>
          <w:lang w:val="en-MY"/>
        </w:rPr>
        <w:t xml:space="preserve">. and </w:t>
      </w:r>
      <w:proofErr w:type="spellStart"/>
      <w:r>
        <w:rPr>
          <w:rFonts w:ascii="Arial" w:eastAsia="SimSun" w:hAnsi="Arial" w:cs="Arial"/>
        </w:rPr>
        <w:t>Siriamornpun</w:t>
      </w:r>
      <w:proofErr w:type="spellEnd"/>
      <w:r>
        <w:rPr>
          <w:rFonts w:ascii="Arial" w:eastAsia="SimSun" w:hAnsi="Arial" w:cs="Arial"/>
          <w:lang w:val="en-MY"/>
        </w:rPr>
        <w:t>,</w:t>
      </w:r>
      <w:r>
        <w:rPr>
          <w:rFonts w:ascii="Arial" w:eastAsia="SimSun" w:hAnsi="Arial" w:cs="Arial"/>
        </w:rPr>
        <w:t xml:space="preserve"> S.</w:t>
      </w:r>
      <w:r>
        <w:rPr>
          <w:rFonts w:ascii="Arial" w:eastAsia="SimSun" w:hAnsi="Arial" w:cs="Arial"/>
          <w:lang w:val="en-MY"/>
        </w:rPr>
        <w:t xml:space="preserve"> (2019). </w:t>
      </w:r>
      <w:r>
        <w:rPr>
          <w:rFonts w:ascii="Arial" w:eastAsia="SimSun" w:hAnsi="Arial" w:cs="Arial"/>
        </w:rPr>
        <w:t xml:space="preserve"> The Diversity of Biologically Active Compounds in the Rhizomes of Recently Discovered </w:t>
      </w:r>
      <w:proofErr w:type="spellStart"/>
      <w:r>
        <w:rPr>
          <w:rFonts w:ascii="Arial" w:eastAsia="SimSun" w:hAnsi="Arial" w:cs="Arial"/>
        </w:rPr>
        <w:t>Zingiberaceae</w:t>
      </w:r>
      <w:proofErr w:type="spellEnd"/>
      <w:r>
        <w:rPr>
          <w:rFonts w:ascii="Arial" w:eastAsia="SimSun" w:hAnsi="Arial" w:cs="Arial"/>
        </w:rPr>
        <w:t xml:space="preserve"> Plants Native to North Eastern Thailand. </w:t>
      </w:r>
      <w:proofErr w:type="spellStart"/>
      <w:r>
        <w:rPr>
          <w:rFonts w:ascii="Arial" w:eastAsia="SimSun" w:hAnsi="Arial" w:cs="Arial"/>
        </w:rPr>
        <w:t>Pharmacog</w:t>
      </w:r>
      <w:proofErr w:type="spellEnd"/>
      <w:r>
        <w:rPr>
          <w:rFonts w:ascii="Arial" w:eastAsia="SimSun" w:hAnsi="Arial" w:cs="Arial"/>
        </w:rPr>
        <w:t xml:space="preserve"> J. 11</w:t>
      </w:r>
      <w:r>
        <w:rPr>
          <w:rFonts w:ascii="Arial" w:eastAsia="SimSun" w:hAnsi="Arial" w:cs="Arial"/>
          <w:lang w:val="en-MY"/>
        </w:rPr>
        <w:t xml:space="preserve"> </w:t>
      </w:r>
      <w:r>
        <w:rPr>
          <w:rFonts w:ascii="Arial" w:eastAsia="SimSun" w:hAnsi="Arial" w:cs="Arial"/>
        </w:rPr>
        <w:t>(5): 1014-</w:t>
      </w:r>
      <w:r>
        <w:rPr>
          <w:rFonts w:ascii="Arial" w:eastAsia="SimSun" w:hAnsi="Arial" w:cs="Arial"/>
          <w:lang w:val="en-MY"/>
        </w:rPr>
        <w:t>10</w:t>
      </w:r>
      <w:r>
        <w:rPr>
          <w:rFonts w:ascii="Arial" w:eastAsia="SimSun" w:hAnsi="Arial" w:cs="Arial"/>
        </w:rPr>
        <w:t>22.</w:t>
      </w:r>
    </w:p>
    <w:p w14:paraId="4952EEE5" w14:textId="77777777" w:rsidR="007C5685" w:rsidRDefault="007C5685">
      <w:pPr>
        <w:jc w:val="both"/>
        <w:rPr>
          <w:rFonts w:ascii="Arial" w:eastAsia="SimSun" w:hAnsi="Arial" w:cs="Arial"/>
          <w:lang w:val="en-MY"/>
        </w:rPr>
      </w:pPr>
    </w:p>
    <w:p w14:paraId="0DA3B531"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Dev, H. and Sharma, V. (2020).  </w:t>
      </w:r>
      <w:proofErr w:type="spellStart"/>
      <w:proofErr w:type="gramStart"/>
      <w:r>
        <w:rPr>
          <w:rFonts w:ascii="Arial" w:eastAsia="SimSun" w:hAnsi="Arial" w:cs="Arial"/>
          <w:lang w:val="en-MY"/>
        </w:rPr>
        <w:t>Int.J.C</w:t>
      </w:r>
      <w:r>
        <w:rPr>
          <w:rFonts w:ascii="Arial" w:eastAsia="SimSun" w:hAnsi="Arial" w:cs="Arial"/>
          <w:lang w:val="en-MY"/>
        </w:rPr>
        <w:t>urr.Microbiol</w:t>
      </w:r>
      <w:proofErr w:type="gramEnd"/>
      <w:r>
        <w:rPr>
          <w:rFonts w:ascii="Arial" w:eastAsia="SimSun" w:hAnsi="Arial" w:cs="Arial"/>
          <w:lang w:val="en-MY"/>
        </w:rPr>
        <w:t>.App.Sci</w:t>
      </w:r>
      <w:proofErr w:type="spellEnd"/>
      <w:r>
        <w:rPr>
          <w:rFonts w:ascii="Arial" w:eastAsia="SimSun" w:hAnsi="Arial" w:cs="Arial"/>
          <w:lang w:val="en-MY"/>
        </w:rPr>
        <w:t xml:space="preserve"> (2020). Genetic Divergence in Ginger (</w:t>
      </w:r>
      <w:proofErr w:type="spellStart"/>
      <w:r>
        <w:rPr>
          <w:rFonts w:ascii="Arial" w:eastAsia="SimSun" w:hAnsi="Arial" w:cs="Arial"/>
          <w:i/>
          <w:iCs/>
          <w:lang w:val="en-MY"/>
        </w:rPr>
        <w:t>Zingiber</w:t>
      </w:r>
      <w:proofErr w:type="spellEnd"/>
      <w:r>
        <w:rPr>
          <w:rFonts w:ascii="Arial" w:eastAsia="SimSun" w:hAnsi="Arial" w:cs="Arial"/>
          <w:i/>
          <w:iCs/>
          <w:lang w:val="en-MY"/>
        </w:rPr>
        <w:t xml:space="preserve"> </w:t>
      </w:r>
      <w:proofErr w:type="spellStart"/>
      <w:r>
        <w:rPr>
          <w:rFonts w:ascii="Arial" w:eastAsia="SimSun" w:hAnsi="Arial" w:cs="Arial"/>
          <w:i/>
          <w:iCs/>
          <w:lang w:val="en-MY"/>
        </w:rPr>
        <w:t>officinale</w:t>
      </w:r>
      <w:proofErr w:type="spellEnd"/>
      <w:r>
        <w:rPr>
          <w:rFonts w:ascii="Arial" w:eastAsia="SimSun" w:hAnsi="Arial" w:cs="Arial"/>
          <w:lang w:val="en-MY"/>
        </w:rPr>
        <w:t xml:space="preserve"> </w:t>
      </w:r>
      <w:proofErr w:type="spellStart"/>
      <w:r>
        <w:rPr>
          <w:rFonts w:ascii="Arial" w:eastAsia="SimSun" w:hAnsi="Arial" w:cs="Arial"/>
          <w:lang w:val="en-MY"/>
        </w:rPr>
        <w:t>Rosc</w:t>
      </w:r>
      <w:proofErr w:type="spellEnd"/>
      <w:r>
        <w:rPr>
          <w:rFonts w:ascii="Arial" w:eastAsia="SimSun" w:hAnsi="Arial" w:cs="Arial"/>
          <w:lang w:val="en-MY"/>
        </w:rPr>
        <w:t>).  International Journal of Current Microbiology and Applied Sciences. 9 (8): 3072 - 3076. DOI: </w:t>
      </w:r>
      <w:hyperlink r:id="rId19" w:history="1">
        <w:r w:rsidR="007C5685">
          <w:rPr>
            <w:rFonts w:ascii="Arial" w:eastAsia="SimSun" w:hAnsi="Arial" w:cs="Arial"/>
            <w:lang w:val="en-MY"/>
          </w:rPr>
          <w:t>https://doi.org/10.20546/ijcmas.2020.908.347</w:t>
        </w:r>
      </w:hyperlink>
    </w:p>
    <w:p w14:paraId="5C6ABECA" w14:textId="77777777" w:rsidR="007C5685" w:rsidRDefault="007C5685">
      <w:pPr>
        <w:jc w:val="both"/>
        <w:rPr>
          <w:rFonts w:ascii="Arial" w:eastAsia="SimSun" w:hAnsi="Arial" w:cs="Arial"/>
          <w:lang w:val="en-MY"/>
        </w:rPr>
      </w:pPr>
    </w:p>
    <w:p w14:paraId="062628BF"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Doyle, J. J., and Doyle, J. L. (1990). Isolation of plant DNA from fresh tissue. Focus. 12: 13 - 15. </w:t>
      </w:r>
    </w:p>
    <w:p w14:paraId="00F5E74E" w14:textId="77777777" w:rsidR="007C5685" w:rsidRDefault="007C5685">
      <w:pPr>
        <w:jc w:val="both"/>
        <w:rPr>
          <w:rFonts w:ascii="Arial" w:eastAsia="SimSun" w:hAnsi="Arial" w:cs="Arial"/>
          <w:lang w:val="en-MY"/>
        </w:rPr>
      </w:pPr>
    </w:p>
    <w:p w14:paraId="74B74C7C"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Engels, J.M.M. &amp; Visser, L. (2003). A guide to effective management of germplasm collections. IPGRI.</w:t>
      </w:r>
    </w:p>
    <w:p w14:paraId="36FE373F" w14:textId="77777777" w:rsidR="007C5685" w:rsidRDefault="007C5685">
      <w:pPr>
        <w:jc w:val="both"/>
        <w:rPr>
          <w:rFonts w:ascii="Arial" w:eastAsia="SimSun" w:hAnsi="Arial" w:cs="Arial"/>
          <w:lang w:val="en-MY"/>
        </w:rPr>
      </w:pPr>
    </w:p>
    <w:p w14:paraId="519A3730"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Govindaraj, M., </w:t>
      </w:r>
      <w:proofErr w:type="spellStart"/>
      <w:r>
        <w:rPr>
          <w:rFonts w:ascii="Arial" w:eastAsia="SimSun" w:hAnsi="Arial" w:cs="Arial"/>
          <w:lang w:val="en-MY"/>
        </w:rPr>
        <w:t>Vetriventhan</w:t>
      </w:r>
      <w:proofErr w:type="spellEnd"/>
      <w:r>
        <w:rPr>
          <w:rFonts w:ascii="Arial" w:eastAsia="SimSun" w:hAnsi="Arial" w:cs="Arial"/>
          <w:lang w:val="en-MY"/>
        </w:rPr>
        <w:t xml:space="preserve">, M., &amp; Srinivasan, M. (2015). Importance of genetic diversity assessment in crop plants and its recent advances: An overview of its analytical perspectives. Genetics Research International. 431487. </w:t>
      </w:r>
      <w:hyperlink r:id="rId20" w:tgtFrame="_new" w:history="1">
        <w:r w:rsidR="007C5685">
          <w:rPr>
            <w:rFonts w:ascii="Arial" w:eastAsia="SimSun" w:hAnsi="Arial" w:cs="Arial"/>
            <w:lang w:val="en-MY"/>
          </w:rPr>
          <w:t>https://doi.org/10.1155/2015/431487</w:t>
        </w:r>
      </w:hyperlink>
    </w:p>
    <w:p w14:paraId="24441B55" w14:textId="77777777" w:rsidR="007C5685" w:rsidRDefault="007C5685">
      <w:pPr>
        <w:jc w:val="both"/>
        <w:rPr>
          <w:rFonts w:ascii="Arial" w:eastAsia="SimSun" w:hAnsi="Arial" w:cs="Arial"/>
          <w:lang w:val="en-MY"/>
        </w:rPr>
      </w:pPr>
    </w:p>
    <w:p w14:paraId="63D95F1F"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Gower, J.C. (1971). A general coefficient of similarity and some of its properties. Biometrics. 27 (4): 857 - 874. </w:t>
      </w:r>
    </w:p>
    <w:p w14:paraId="252320E6" w14:textId="77777777" w:rsidR="007C5685" w:rsidRDefault="007C5685">
      <w:pPr>
        <w:jc w:val="both"/>
        <w:rPr>
          <w:rFonts w:ascii="Arial" w:eastAsia="SimSun" w:hAnsi="Arial" w:cs="Arial"/>
          <w:lang w:val="en-MY"/>
        </w:rPr>
      </w:pPr>
    </w:p>
    <w:p w14:paraId="4FB1DBF7"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Hughes, A.R., Inouye, B.D., Johnson, M.T.J., Underwood, N., &amp; </w:t>
      </w:r>
      <w:proofErr w:type="spellStart"/>
      <w:r>
        <w:rPr>
          <w:rFonts w:ascii="Arial" w:eastAsia="SimSun" w:hAnsi="Arial" w:cs="Arial"/>
          <w:lang w:val="en-MY"/>
        </w:rPr>
        <w:t>Vellend</w:t>
      </w:r>
      <w:proofErr w:type="spellEnd"/>
      <w:r>
        <w:rPr>
          <w:rFonts w:ascii="Arial" w:eastAsia="SimSun" w:hAnsi="Arial" w:cs="Arial"/>
          <w:lang w:val="en-MY"/>
        </w:rPr>
        <w:t>, M. (2008). Eco</w:t>
      </w:r>
      <w:r>
        <w:rPr>
          <w:rFonts w:ascii="Arial" w:eastAsia="SimSun" w:hAnsi="Arial" w:cs="Arial"/>
          <w:lang w:val="en-MY"/>
        </w:rPr>
        <w:t xml:space="preserve">logical consequences of genetic diversity. Ecology Letters. 11 (6): 609–623. </w:t>
      </w:r>
      <w:hyperlink r:id="rId21" w:history="1">
        <w:r w:rsidR="007C5685">
          <w:rPr>
            <w:rFonts w:ascii="Arial" w:eastAsia="SimSun" w:hAnsi="Arial" w:cs="Arial"/>
            <w:lang w:val="en-MY"/>
          </w:rPr>
          <w:t>https://doi.org/10.1111/j.1461-0248.2008.01179.x</w:t>
        </w:r>
      </w:hyperlink>
    </w:p>
    <w:p w14:paraId="75506659" w14:textId="77777777" w:rsidR="007C5685" w:rsidRDefault="007C5685">
      <w:pPr>
        <w:jc w:val="both"/>
        <w:rPr>
          <w:rFonts w:ascii="Arial" w:eastAsia="SimSun" w:hAnsi="Arial" w:cs="Arial"/>
          <w:lang w:val="en-MY"/>
        </w:rPr>
      </w:pPr>
    </w:p>
    <w:p w14:paraId="28735972"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Hyun, D.Y., Gi, G.Y., Sebastin, R., Cho, G.T., Kim, S.H., Yoo, E</w:t>
      </w:r>
      <w:r>
        <w:rPr>
          <w:rFonts w:ascii="Arial" w:eastAsia="SimSun" w:hAnsi="Arial" w:cs="Arial"/>
          <w:lang w:val="en-MY"/>
        </w:rPr>
        <w:t xml:space="preserve">. et al. (2020). Utilization of Phytochemical and Molecular Diversity to Develop a Target-Oriented Core Collection in Tea Germplasm. Agronomy. 10: 1667.  </w:t>
      </w:r>
      <w:hyperlink r:id="rId22" w:history="1">
        <w:r w:rsidR="007C5685">
          <w:rPr>
            <w:rStyle w:val="Hyperlink"/>
            <w:rFonts w:ascii="Arial" w:eastAsia="SimSun" w:hAnsi="Arial" w:cs="Arial"/>
            <w:color w:val="auto"/>
            <w:lang w:val="en-MY"/>
          </w:rPr>
          <w:t>https://doi.org/10.3390/agronomy10111667</w:t>
        </w:r>
      </w:hyperlink>
    </w:p>
    <w:p w14:paraId="6C3B40A7" w14:textId="77777777" w:rsidR="007C5685" w:rsidRDefault="007C5685">
      <w:pPr>
        <w:jc w:val="both"/>
        <w:rPr>
          <w:rFonts w:ascii="Arial" w:eastAsia="SimSun" w:hAnsi="Arial" w:cs="Arial"/>
          <w:lang w:val="en-MY"/>
        </w:rPr>
      </w:pPr>
    </w:p>
    <w:p w14:paraId="382C497E"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Jaleel, K. and Sasikumar, B. (2010). Genetic diversity analysis of ginger (</w:t>
      </w:r>
      <w:proofErr w:type="spellStart"/>
      <w:r>
        <w:rPr>
          <w:rFonts w:ascii="Arial" w:eastAsia="SimSun" w:hAnsi="Arial" w:cs="Arial"/>
          <w:i/>
          <w:iCs/>
          <w:lang w:val="en-MY" w:eastAsia="zh-CN"/>
        </w:rPr>
        <w:t>Zingiber</w:t>
      </w:r>
      <w:proofErr w:type="spellEnd"/>
      <w:r>
        <w:rPr>
          <w:rFonts w:ascii="Arial" w:eastAsia="SimSun" w:hAnsi="Arial" w:cs="Arial"/>
          <w:i/>
          <w:iCs/>
          <w:lang w:val="en-MY" w:eastAsia="zh-CN"/>
        </w:rPr>
        <w:t xml:space="preserve"> </w:t>
      </w:r>
      <w:proofErr w:type="spellStart"/>
      <w:r>
        <w:rPr>
          <w:rFonts w:ascii="Arial" w:eastAsia="SimSun" w:hAnsi="Arial" w:cs="Arial"/>
          <w:i/>
          <w:iCs/>
          <w:lang w:val="en-MY" w:eastAsia="zh-CN"/>
        </w:rPr>
        <w:t>officinale</w:t>
      </w:r>
      <w:proofErr w:type="spellEnd"/>
      <w:r>
        <w:rPr>
          <w:rFonts w:ascii="Arial" w:eastAsia="SimSun" w:hAnsi="Arial" w:cs="Arial"/>
          <w:lang w:val="en-MY" w:eastAsia="zh-CN"/>
        </w:rPr>
        <w:t xml:space="preserve"> </w:t>
      </w:r>
      <w:proofErr w:type="spellStart"/>
      <w:r>
        <w:rPr>
          <w:rFonts w:ascii="Arial" w:eastAsia="SimSun" w:hAnsi="Arial" w:cs="Arial"/>
          <w:lang w:val="en-MY" w:eastAsia="zh-CN"/>
        </w:rPr>
        <w:t>Rosc</w:t>
      </w:r>
      <w:proofErr w:type="spellEnd"/>
      <w:r>
        <w:rPr>
          <w:rFonts w:ascii="Arial" w:eastAsia="SimSun" w:hAnsi="Arial" w:cs="Arial"/>
          <w:lang w:val="en-MY" w:eastAsia="zh-CN"/>
        </w:rPr>
        <w:t xml:space="preserve">.) germplasm based on RAPD and ISSR markers. Scientia </w:t>
      </w:r>
      <w:proofErr w:type="spellStart"/>
      <w:r>
        <w:rPr>
          <w:rFonts w:ascii="Arial" w:eastAsia="SimSun" w:hAnsi="Arial" w:cs="Arial"/>
          <w:lang w:val="en-MY" w:eastAsia="zh-CN"/>
        </w:rPr>
        <w:t>Horticulturae</w:t>
      </w:r>
      <w:proofErr w:type="spellEnd"/>
      <w:r>
        <w:rPr>
          <w:rFonts w:ascii="Arial" w:eastAsia="SimSun" w:hAnsi="Arial" w:cs="Arial"/>
          <w:lang w:val="en-MY" w:eastAsia="zh-CN"/>
        </w:rPr>
        <w:t>. 125 (1): 73 - 76. DOI:</w:t>
      </w:r>
      <w:hyperlink r:id="rId23" w:tgtFrame="https://www.researchgate.net/publication/_blank" w:history="1">
        <w:r w:rsidR="007C5685">
          <w:rPr>
            <w:rFonts w:ascii="Arial" w:eastAsia="SimSun" w:hAnsi="Arial" w:cs="Arial"/>
            <w:lang w:val="en-MY"/>
          </w:rPr>
          <w:t>10.1016/j.scienta.2010.02.024</w:t>
        </w:r>
      </w:hyperlink>
    </w:p>
    <w:p w14:paraId="160C464F" w14:textId="77777777" w:rsidR="007C5685" w:rsidRDefault="007C5685">
      <w:pPr>
        <w:jc w:val="both"/>
        <w:rPr>
          <w:rFonts w:ascii="Arial" w:eastAsia="SimSun" w:hAnsi="Arial" w:cs="Arial"/>
          <w:lang w:val="en-MY" w:eastAsia="zh-CN"/>
        </w:rPr>
      </w:pPr>
    </w:p>
    <w:p w14:paraId="6FF20EE0"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Kamran, A., Altaf, A., Syed Adnan, A.S. and Mujeeb, M. (2017). Genetic diversity in accessions of </w:t>
      </w:r>
      <w:proofErr w:type="spellStart"/>
      <w:r>
        <w:rPr>
          <w:rFonts w:ascii="Arial" w:eastAsia="SimSun" w:hAnsi="Arial" w:cs="Arial"/>
          <w:lang w:val="en-MY" w:eastAsia="zh-CN"/>
        </w:rPr>
        <w:t>indian</w:t>
      </w:r>
      <w:proofErr w:type="spellEnd"/>
      <w:r>
        <w:rPr>
          <w:rFonts w:ascii="Arial" w:eastAsia="SimSun" w:hAnsi="Arial" w:cs="Arial"/>
          <w:lang w:val="en-MY" w:eastAsia="zh-CN"/>
        </w:rPr>
        <w:t xml:space="preserve"> turmeric (</w:t>
      </w:r>
      <w:r>
        <w:rPr>
          <w:rFonts w:ascii="Arial" w:eastAsia="SimSun" w:hAnsi="Arial" w:cs="Arial"/>
          <w:i/>
          <w:iCs/>
          <w:lang w:val="en-MY" w:eastAsia="zh-CN"/>
        </w:rPr>
        <w:t>Curcuma longa</w:t>
      </w:r>
      <w:r>
        <w:rPr>
          <w:rFonts w:ascii="Arial" w:eastAsia="SimSun" w:hAnsi="Arial" w:cs="Arial"/>
          <w:lang w:val="en-MY" w:eastAsia="zh-CN"/>
        </w:rPr>
        <w:t xml:space="preserve"> l.) using </w:t>
      </w:r>
      <w:proofErr w:type="spellStart"/>
      <w:r>
        <w:rPr>
          <w:rFonts w:ascii="Arial" w:eastAsia="SimSun" w:hAnsi="Arial" w:cs="Arial"/>
          <w:lang w:val="en-MY" w:eastAsia="zh-CN"/>
        </w:rPr>
        <w:t>rapd</w:t>
      </w:r>
      <w:proofErr w:type="spellEnd"/>
      <w:r>
        <w:rPr>
          <w:rFonts w:ascii="Arial" w:eastAsia="SimSun" w:hAnsi="Arial" w:cs="Arial"/>
          <w:lang w:val="en-MY" w:eastAsia="zh-CN"/>
        </w:rPr>
        <w:t xml:space="preserve"> </w:t>
      </w:r>
      <w:proofErr w:type="spellStart"/>
      <w:proofErr w:type="gramStart"/>
      <w:r>
        <w:rPr>
          <w:rFonts w:ascii="Arial" w:eastAsia="SimSun" w:hAnsi="Arial" w:cs="Arial"/>
          <w:lang w:val="en-MY" w:eastAsia="zh-CN"/>
        </w:rPr>
        <w:t>markers.International</w:t>
      </w:r>
      <w:proofErr w:type="spellEnd"/>
      <w:proofErr w:type="gramEnd"/>
      <w:r>
        <w:rPr>
          <w:rFonts w:ascii="Arial" w:eastAsia="SimSun" w:hAnsi="Arial" w:cs="Arial"/>
          <w:lang w:val="en-MY" w:eastAsia="zh-CN"/>
        </w:rPr>
        <w:t xml:space="preserve"> journal </w:t>
      </w:r>
      <w:r>
        <w:rPr>
          <w:rFonts w:ascii="Arial" w:eastAsia="SimSun" w:hAnsi="Arial" w:cs="Arial"/>
          <w:lang w:val="en-MY" w:eastAsia="zh-CN"/>
        </w:rPr>
        <w:t xml:space="preserve">of pharmacy and pharmaceutical sciences. 9 (10): 288 - 291. </w:t>
      </w:r>
    </w:p>
    <w:p w14:paraId="3431A0D6" w14:textId="77777777" w:rsidR="007C5685" w:rsidRDefault="007C5685">
      <w:pPr>
        <w:jc w:val="both"/>
        <w:rPr>
          <w:rFonts w:ascii="Arial" w:eastAsia="SimSun" w:hAnsi="Arial" w:cs="Arial"/>
          <w:lang w:val="en-MY" w:eastAsia="zh-CN"/>
        </w:rPr>
      </w:pPr>
    </w:p>
    <w:p w14:paraId="6EF3F626"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lang w:val="en-MY"/>
        </w:rPr>
        <w:t>Labrooy</w:t>
      </w:r>
      <w:proofErr w:type="spellEnd"/>
      <w:r>
        <w:rPr>
          <w:rFonts w:ascii="Arial" w:eastAsia="SimSun" w:hAnsi="Arial" w:cs="Arial"/>
          <w:lang w:val="en-MY"/>
        </w:rPr>
        <w:t xml:space="preserve">, C.D., </w:t>
      </w:r>
      <w:proofErr w:type="spellStart"/>
      <w:r>
        <w:rPr>
          <w:rFonts w:ascii="Arial" w:eastAsia="SimSun" w:hAnsi="Arial" w:cs="Arial"/>
          <w:lang w:val="en-MY"/>
        </w:rPr>
        <w:t>Thohirah</w:t>
      </w:r>
      <w:proofErr w:type="spellEnd"/>
      <w:r>
        <w:rPr>
          <w:rFonts w:ascii="Arial" w:eastAsia="SimSun" w:hAnsi="Arial" w:cs="Arial"/>
          <w:lang w:val="en-MY"/>
        </w:rPr>
        <w:t xml:space="preserve">, L.A., and Johnson, S. (2018). Identification of ethnomedicinally important </w:t>
      </w:r>
      <w:r>
        <w:rPr>
          <w:rFonts w:ascii="Arial" w:eastAsia="SimSun" w:hAnsi="Arial" w:cs="Arial"/>
          <w:i/>
          <w:iCs/>
          <w:lang w:val="en-MY"/>
        </w:rPr>
        <w:t xml:space="preserve">Kaempferia </w:t>
      </w:r>
      <w:r>
        <w:rPr>
          <w:rFonts w:ascii="Arial" w:eastAsia="SimSun" w:hAnsi="Arial" w:cs="Arial"/>
          <w:lang w:val="en-MY"/>
        </w:rPr>
        <w:t>L. (</w:t>
      </w:r>
      <w:proofErr w:type="spellStart"/>
      <w:r>
        <w:rPr>
          <w:rFonts w:ascii="Arial" w:eastAsia="SimSun" w:hAnsi="Arial" w:cs="Arial"/>
          <w:lang w:val="en-MY"/>
        </w:rPr>
        <w:t>Zingiberaceae</w:t>
      </w:r>
      <w:proofErr w:type="spellEnd"/>
      <w:r>
        <w:rPr>
          <w:rFonts w:ascii="Arial" w:eastAsia="SimSun" w:hAnsi="Arial" w:cs="Arial"/>
          <w:lang w:val="en-MY"/>
        </w:rPr>
        <w:t xml:space="preserve">) species based on </w:t>
      </w:r>
      <w:r>
        <w:rPr>
          <w:rFonts w:ascii="Arial" w:eastAsia="SimSun" w:hAnsi="Arial" w:cs="Arial"/>
          <w:lang w:val="en-MY"/>
        </w:rPr>
        <w:lastRenderedPageBreak/>
        <w:t>morphological traits and suitable DNA region. C</w:t>
      </w:r>
      <w:r>
        <w:rPr>
          <w:rFonts w:ascii="Arial" w:eastAsia="SimSun" w:hAnsi="Arial" w:cs="Arial"/>
          <w:lang w:val="en-MY"/>
        </w:rPr>
        <w:t xml:space="preserve">urrent Plant Biology. 14: 50 - 55.  </w:t>
      </w:r>
      <w:hyperlink r:id="rId24" w:history="1">
        <w:r w:rsidR="007C5685">
          <w:rPr>
            <w:rFonts w:ascii="Arial" w:eastAsia="SimSun" w:hAnsi="Arial" w:cs="Arial"/>
            <w:lang w:val="en-MY"/>
          </w:rPr>
          <w:t>https://doi.org/10.1016/j.cpb.2018.09.004.</w:t>
        </w:r>
      </w:hyperlink>
    </w:p>
    <w:p w14:paraId="203709CA" w14:textId="77777777" w:rsidR="007C5685" w:rsidRDefault="007C5685">
      <w:pPr>
        <w:jc w:val="both"/>
        <w:rPr>
          <w:rFonts w:ascii="Arial" w:eastAsia="SimSun" w:hAnsi="Arial" w:cs="Arial"/>
          <w:lang w:val="en-MY"/>
        </w:rPr>
      </w:pPr>
    </w:p>
    <w:p w14:paraId="7A7F5921"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rPr>
        <w:t xml:space="preserve">McCouch, S. (2004). Diversifying selection in plant breeding. </w:t>
      </w:r>
      <w:proofErr w:type="spellStart"/>
      <w:r>
        <w:rPr>
          <w:rFonts w:ascii="Arial" w:eastAsia="SimSun" w:hAnsi="Arial" w:cs="Arial"/>
          <w:lang w:val="en-MY"/>
        </w:rPr>
        <w:t>PLoS</w:t>
      </w:r>
      <w:proofErr w:type="spellEnd"/>
      <w:r>
        <w:rPr>
          <w:rFonts w:ascii="Arial" w:eastAsia="SimSun" w:hAnsi="Arial" w:cs="Arial"/>
          <w:lang w:val="en-MY"/>
        </w:rPr>
        <w:t xml:space="preserve"> Biology. 2 (10): e347. </w:t>
      </w:r>
      <w:hyperlink r:id="rId25" w:history="1">
        <w:r w:rsidR="007C5685">
          <w:rPr>
            <w:rStyle w:val="Hyperlink"/>
            <w:rFonts w:ascii="Arial" w:eastAsia="SimSun" w:hAnsi="Arial" w:cs="Arial"/>
            <w:color w:val="auto"/>
            <w:lang w:val="en-MY"/>
          </w:rPr>
          <w:t>https://doi.org/10.1371/journal.pbio.0020347</w:t>
        </w:r>
      </w:hyperlink>
    </w:p>
    <w:p w14:paraId="028B4386" w14:textId="77777777" w:rsidR="007C5685" w:rsidRDefault="007C5685">
      <w:pPr>
        <w:jc w:val="both"/>
        <w:rPr>
          <w:rFonts w:ascii="Arial" w:eastAsia="SimSun" w:hAnsi="Arial" w:cs="Arial"/>
          <w:lang w:val="en-MY" w:eastAsia="zh-CN"/>
        </w:rPr>
      </w:pPr>
    </w:p>
    <w:p w14:paraId="33AA1AF6"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Mohammad Aidiel, M.R., </w:t>
      </w:r>
      <w:proofErr w:type="spellStart"/>
      <w:r>
        <w:rPr>
          <w:rFonts w:ascii="Arial" w:eastAsia="SimSun" w:hAnsi="Arial" w:cs="Arial"/>
          <w:lang w:val="en-MY"/>
        </w:rPr>
        <w:t>Maisarah</w:t>
      </w:r>
      <w:proofErr w:type="spellEnd"/>
      <w:r>
        <w:rPr>
          <w:rFonts w:ascii="Arial" w:eastAsia="SimSun" w:hAnsi="Arial" w:cs="Arial"/>
          <w:lang w:val="en-MY"/>
        </w:rPr>
        <w:t xml:space="preserve">, A.M., </w:t>
      </w:r>
      <w:proofErr w:type="spellStart"/>
      <w:proofErr w:type="gramStart"/>
      <w:r>
        <w:rPr>
          <w:rFonts w:ascii="Arial" w:eastAsia="SimSun" w:hAnsi="Arial" w:cs="Arial"/>
          <w:lang w:val="en-MY"/>
        </w:rPr>
        <w:t>Khalisanni,K</w:t>
      </w:r>
      <w:proofErr w:type="spellEnd"/>
      <w:r>
        <w:rPr>
          <w:rFonts w:ascii="Arial" w:eastAsia="SimSun" w:hAnsi="Arial" w:cs="Arial"/>
          <w:lang w:val="en-MY"/>
        </w:rPr>
        <w:t>.</w:t>
      </w:r>
      <w:proofErr w:type="gramEnd"/>
      <w:r>
        <w:rPr>
          <w:rFonts w:ascii="Arial" w:eastAsia="SimSun" w:hAnsi="Arial" w:cs="Arial"/>
          <w:lang w:val="en-MY"/>
        </w:rPr>
        <w:t xml:space="preserve">, Nik Ramli, N.N., Tang, S.G.H. and Adam, S.H. (2024). </w:t>
      </w:r>
      <w:proofErr w:type="spellStart"/>
      <w:r>
        <w:rPr>
          <w:rFonts w:ascii="Arial" w:eastAsia="SimSun" w:hAnsi="Arial" w:cs="Arial"/>
          <w:lang w:val="en-MY"/>
        </w:rPr>
        <w:t>Polymethoxyflavones</w:t>
      </w:r>
      <w:proofErr w:type="spellEnd"/>
      <w:r>
        <w:rPr>
          <w:rFonts w:ascii="Arial" w:eastAsia="SimSun" w:hAnsi="Arial" w:cs="Arial"/>
          <w:lang w:val="en-MY"/>
        </w:rPr>
        <w:t xml:space="preserve"> transcends expectation, a prominent flavonoid sub</w:t>
      </w:r>
      <w:r>
        <w:rPr>
          <w:rFonts w:ascii="Arial" w:eastAsia="SimSun" w:hAnsi="Arial" w:cs="Arial"/>
          <w:lang w:val="en-MY"/>
        </w:rPr>
        <w:t xml:space="preserve">class from </w:t>
      </w:r>
      <w:r>
        <w:rPr>
          <w:rFonts w:ascii="Arial" w:eastAsia="SimSun" w:hAnsi="Arial" w:cs="Arial"/>
          <w:i/>
          <w:iCs/>
          <w:lang w:val="en-MY"/>
        </w:rPr>
        <w:t>Kaempferia parviflora</w:t>
      </w:r>
      <w:r>
        <w:rPr>
          <w:rFonts w:ascii="Arial" w:eastAsia="SimSun" w:hAnsi="Arial" w:cs="Arial"/>
          <w:lang w:val="en-MY"/>
        </w:rPr>
        <w:t xml:space="preserve">: A critical </w:t>
      </w:r>
      <w:proofErr w:type="gramStart"/>
      <w:r>
        <w:rPr>
          <w:rFonts w:ascii="Arial" w:eastAsia="SimSun" w:hAnsi="Arial" w:cs="Arial"/>
          <w:lang w:val="en-MY"/>
        </w:rPr>
        <w:t>review .Arabian</w:t>
      </w:r>
      <w:proofErr w:type="gramEnd"/>
      <w:r>
        <w:rPr>
          <w:rFonts w:ascii="Arial" w:eastAsia="SimSun" w:hAnsi="Arial" w:cs="Arial"/>
          <w:lang w:val="en-MY"/>
        </w:rPr>
        <w:t xml:space="preserve"> Journal of Chemistry. 17: 105364. </w:t>
      </w:r>
      <w:proofErr w:type="gramStart"/>
      <w:r>
        <w:rPr>
          <w:rFonts w:ascii="Arial" w:eastAsia="SimSun" w:hAnsi="Arial" w:cs="Arial"/>
          <w:lang w:val="en-MY" w:eastAsia="zh-CN"/>
        </w:rPr>
        <w:t>DOI:10.1016/j.arabjc</w:t>
      </w:r>
      <w:proofErr w:type="gramEnd"/>
      <w:r>
        <w:rPr>
          <w:rFonts w:ascii="Arial" w:eastAsia="SimSun" w:hAnsi="Arial" w:cs="Arial"/>
          <w:lang w:val="en-MY" w:eastAsia="zh-CN"/>
        </w:rPr>
        <w:t>.2023.105364</w:t>
      </w:r>
    </w:p>
    <w:p w14:paraId="1FD91A73" w14:textId="77777777" w:rsidR="007C5685" w:rsidRDefault="007C5685">
      <w:pPr>
        <w:jc w:val="both"/>
        <w:rPr>
          <w:rFonts w:ascii="Arial" w:eastAsia="SimSun" w:hAnsi="Arial" w:cs="Arial"/>
          <w:lang w:val="en-MY"/>
        </w:rPr>
      </w:pPr>
    </w:p>
    <w:p w14:paraId="66D87867"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Rahman, Z.A., Shukor, S.A., Abbas, H., </w:t>
      </w:r>
      <w:proofErr w:type="spellStart"/>
      <w:r>
        <w:rPr>
          <w:rFonts w:ascii="Arial" w:eastAsia="SimSun" w:hAnsi="Arial" w:cs="Arial"/>
          <w:lang w:val="en-MY" w:eastAsia="zh-CN"/>
        </w:rPr>
        <w:t>Machap</w:t>
      </w:r>
      <w:proofErr w:type="spellEnd"/>
      <w:r>
        <w:rPr>
          <w:rFonts w:ascii="Arial" w:eastAsia="SimSun" w:hAnsi="Arial" w:cs="Arial"/>
          <w:lang w:val="en-MY" w:eastAsia="zh-CN"/>
        </w:rPr>
        <w:t xml:space="preserve">, C.A.L., Alias, M.S.B., </w:t>
      </w:r>
      <w:proofErr w:type="spellStart"/>
      <w:r>
        <w:rPr>
          <w:rFonts w:ascii="Arial" w:eastAsia="SimSun" w:hAnsi="Arial" w:cs="Arial"/>
          <w:lang w:val="en-MY" w:eastAsia="zh-CN"/>
        </w:rPr>
        <w:t>Mirad</w:t>
      </w:r>
      <w:proofErr w:type="spellEnd"/>
      <w:r>
        <w:rPr>
          <w:rFonts w:ascii="Arial" w:eastAsia="SimSun" w:hAnsi="Arial" w:cs="Arial"/>
          <w:lang w:val="en-MY" w:eastAsia="zh-CN"/>
        </w:rPr>
        <w:t>, R. et al. (2018) Optimization of Extraction Condit</w:t>
      </w:r>
      <w:r>
        <w:rPr>
          <w:rFonts w:ascii="Arial" w:eastAsia="SimSun" w:hAnsi="Arial" w:cs="Arial"/>
          <w:lang w:val="en-MY" w:eastAsia="zh-CN"/>
        </w:rPr>
        <w:t xml:space="preserve">ions for Total Phenolics and Total Flavonoids from </w:t>
      </w:r>
      <w:r>
        <w:rPr>
          <w:rFonts w:ascii="Arial" w:eastAsia="SimSun" w:hAnsi="Arial" w:cs="Arial"/>
          <w:i/>
          <w:iCs/>
          <w:lang w:val="en-MY" w:eastAsia="zh-CN"/>
        </w:rPr>
        <w:t>Kaempferia parviflora</w:t>
      </w:r>
      <w:r>
        <w:rPr>
          <w:rFonts w:ascii="Arial" w:eastAsia="SimSun" w:hAnsi="Arial" w:cs="Arial"/>
          <w:lang w:val="en-MY" w:eastAsia="zh-CN"/>
        </w:rPr>
        <w:t xml:space="preserve"> Rhizomes. Advances in Bioscience and Biotechnology. 9: 205 - 214. </w:t>
      </w:r>
      <w:hyperlink r:id="rId26" w:history="1">
        <w:r w:rsidR="007C5685">
          <w:rPr>
            <w:rFonts w:ascii="Arial" w:eastAsia="SimSun" w:hAnsi="Arial" w:cs="Arial"/>
            <w:lang w:val="en-MY" w:eastAsia="zh-CN"/>
          </w:rPr>
          <w:t>https://doi.org/10.4236/abb.2018.95014</w:t>
        </w:r>
      </w:hyperlink>
    </w:p>
    <w:p w14:paraId="19900453" w14:textId="77777777" w:rsidR="007C5685" w:rsidRDefault="007C5685">
      <w:pPr>
        <w:jc w:val="both"/>
        <w:rPr>
          <w:rFonts w:ascii="Arial" w:eastAsia="SimSun" w:hAnsi="Arial" w:cs="Arial"/>
          <w:lang w:val="en-MY" w:eastAsia="zh-CN"/>
        </w:rPr>
      </w:pPr>
    </w:p>
    <w:p w14:paraId="4502B620"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Rahmawati, A., </w:t>
      </w:r>
      <w:proofErr w:type="spellStart"/>
      <w:r>
        <w:rPr>
          <w:rFonts w:ascii="Arial" w:eastAsia="SimSun" w:hAnsi="Arial" w:cs="Arial"/>
          <w:lang w:val="en-MY"/>
        </w:rPr>
        <w:t>Widiyastuti</w:t>
      </w:r>
      <w:proofErr w:type="spellEnd"/>
      <w:r>
        <w:rPr>
          <w:rFonts w:ascii="Arial" w:eastAsia="SimSun" w:hAnsi="Arial" w:cs="Arial"/>
          <w:lang w:val="en-MY"/>
        </w:rPr>
        <w:t xml:space="preserve">, Y., &amp; Purwanto, E. (2025). Qualitative morphology of </w:t>
      </w:r>
      <w:r>
        <w:rPr>
          <w:rFonts w:ascii="Arial" w:eastAsia="SimSun" w:hAnsi="Arial" w:cs="Arial"/>
          <w:i/>
          <w:iCs/>
          <w:lang w:val="en-MY"/>
        </w:rPr>
        <w:t>Kaempferia parviflora</w:t>
      </w:r>
      <w:r>
        <w:rPr>
          <w:rFonts w:ascii="Arial" w:eastAsia="SimSun" w:hAnsi="Arial" w:cs="Arial"/>
          <w:lang w:val="en-MY"/>
        </w:rPr>
        <w:t xml:space="preserve"> rhizomes in various regions in Indonesia: Indications of low morphological diversity. IOP Conference Series: Earth and Environmental Science. 1490: 012051.</w:t>
      </w:r>
    </w:p>
    <w:p w14:paraId="1411B887" w14:textId="77777777" w:rsidR="007C5685" w:rsidRDefault="007C5685">
      <w:pPr>
        <w:jc w:val="both"/>
        <w:rPr>
          <w:rFonts w:ascii="Arial" w:eastAsia="SimSun" w:hAnsi="Arial" w:cs="Arial"/>
          <w:lang w:val="en-MY"/>
        </w:rPr>
      </w:pPr>
    </w:p>
    <w:p w14:paraId="06E0D0CA"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rPr>
        <w:t xml:space="preserve">Rao, V.R., </w:t>
      </w:r>
      <w:r>
        <w:rPr>
          <w:rFonts w:ascii="Arial" w:eastAsia="SimSun" w:hAnsi="Arial" w:cs="Arial"/>
          <w:lang w:val="en-MY"/>
        </w:rPr>
        <w:t xml:space="preserve">&amp; Hodgkin, T. (2002). Genetic diversity and conservation and utilization of plant genetic resources. Plant Cell, Tissue and Organ Culture. 68 (1): 1–19. </w:t>
      </w:r>
      <w:hyperlink r:id="rId27" w:tgtFrame="_new" w:history="1">
        <w:r w:rsidR="007C5685">
          <w:rPr>
            <w:rFonts w:ascii="Arial" w:eastAsia="SimSun" w:hAnsi="Arial" w:cs="Arial"/>
            <w:lang w:val="en-MY"/>
          </w:rPr>
          <w:t>https://doi.org/10.1023/A:1013359015812</w:t>
        </w:r>
      </w:hyperlink>
    </w:p>
    <w:p w14:paraId="79B67C44" w14:textId="77777777" w:rsidR="007C5685" w:rsidRDefault="007C5685">
      <w:pPr>
        <w:jc w:val="both"/>
        <w:rPr>
          <w:rFonts w:ascii="Arial" w:eastAsia="SimSun" w:hAnsi="Arial" w:cs="Arial"/>
          <w:lang w:val="en-MY" w:eastAsia="zh-CN"/>
        </w:rPr>
      </w:pPr>
    </w:p>
    <w:p w14:paraId="68CA4751"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Singh, A., Singh. N., Singh. S., Srivastava, R.P., Singh. L., Praveen, C. et al. (2023). The industrially important genus </w:t>
      </w:r>
      <w:r>
        <w:rPr>
          <w:rFonts w:ascii="Arial" w:eastAsia="SimSun" w:hAnsi="Arial" w:cs="Arial"/>
          <w:i/>
          <w:iCs/>
          <w:lang w:val="en-MY" w:eastAsia="zh-CN"/>
        </w:rPr>
        <w:t>Kaempferia</w:t>
      </w:r>
      <w:r>
        <w:rPr>
          <w:rFonts w:ascii="Arial" w:eastAsia="SimSun" w:hAnsi="Arial" w:cs="Arial"/>
          <w:lang w:val="en-MY" w:eastAsia="zh-CN"/>
        </w:rPr>
        <w:t xml:space="preserve">: An ethnopharmacological review. Front. </w:t>
      </w:r>
      <w:proofErr w:type="spellStart"/>
      <w:r>
        <w:rPr>
          <w:rFonts w:ascii="Arial" w:eastAsia="SimSun" w:hAnsi="Arial" w:cs="Arial"/>
          <w:lang w:val="en-MY" w:eastAsia="zh-CN"/>
        </w:rPr>
        <w:t>Pharmacol</w:t>
      </w:r>
      <w:proofErr w:type="spellEnd"/>
      <w:r>
        <w:rPr>
          <w:rFonts w:ascii="Arial" w:eastAsia="SimSun" w:hAnsi="Arial" w:cs="Arial"/>
          <w:lang w:val="en-MY" w:eastAsia="zh-CN"/>
        </w:rPr>
        <w:t>. 14:1099523. DOI: 10.3389/fphar.2023.1099523</w:t>
      </w:r>
    </w:p>
    <w:p w14:paraId="331EF021" w14:textId="77777777" w:rsidR="007C5685" w:rsidRDefault="007C5685">
      <w:pPr>
        <w:jc w:val="both"/>
        <w:rPr>
          <w:rFonts w:ascii="Arial" w:eastAsia="SimSun" w:hAnsi="Arial" w:cs="Arial"/>
          <w:lang w:val="en-MY" w:eastAsia="zh-CN"/>
        </w:rPr>
      </w:pPr>
    </w:p>
    <w:p w14:paraId="44EEE593" w14:textId="77777777" w:rsidR="007C5685" w:rsidRDefault="00F26870">
      <w:pPr>
        <w:numPr>
          <w:ilvl w:val="0"/>
          <w:numId w:val="3"/>
        </w:numPr>
        <w:jc w:val="both"/>
        <w:rPr>
          <w:rFonts w:ascii="Arial" w:eastAsia="SimSun" w:hAnsi="Arial" w:cs="Arial"/>
          <w:lang w:val="en-MY" w:eastAsia="zh-CN"/>
        </w:rPr>
      </w:pPr>
      <w:proofErr w:type="spellStart"/>
      <w:r>
        <w:rPr>
          <w:rFonts w:ascii="Arial" w:eastAsia="SimSun" w:hAnsi="Arial" w:cs="Arial"/>
          <w:lang w:val="en-MY"/>
        </w:rPr>
        <w:t>Sutthanut</w:t>
      </w:r>
      <w:proofErr w:type="spellEnd"/>
      <w:r>
        <w:rPr>
          <w:rFonts w:ascii="Arial" w:eastAsia="SimSun" w:hAnsi="Arial" w:cs="Arial"/>
          <w:lang w:val="en-MY"/>
        </w:rPr>
        <w:t xml:space="preserve">, K., </w:t>
      </w:r>
      <w:proofErr w:type="spellStart"/>
      <w:r>
        <w:rPr>
          <w:rFonts w:ascii="Arial" w:eastAsia="SimSun" w:hAnsi="Arial" w:cs="Arial"/>
          <w:lang w:val="en-MY"/>
        </w:rPr>
        <w:t>Sripanidkulchai</w:t>
      </w:r>
      <w:proofErr w:type="spellEnd"/>
      <w:r>
        <w:rPr>
          <w:rFonts w:ascii="Arial" w:eastAsia="SimSun" w:hAnsi="Arial" w:cs="Arial"/>
          <w:lang w:val="en-MY"/>
        </w:rPr>
        <w:t xml:space="preserve">, B., </w:t>
      </w:r>
      <w:proofErr w:type="spellStart"/>
      <w:r>
        <w:rPr>
          <w:rFonts w:ascii="Arial" w:eastAsia="SimSun" w:hAnsi="Arial" w:cs="Arial"/>
          <w:lang w:val="en-MY"/>
        </w:rPr>
        <w:t>Yenjai</w:t>
      </w:r>
      <w:proofErr w:type="spellEnd"/>
      <w:r>
        <w:rPr>
          <w:rFonts w:ascii="Arial" w:eastAsia="SimSun" w:hAnsi="Arial" w:cs="Arial"/>
          <w:lang w:val="en-MY"/>
        </w:rPr>
        <w:t xml:space="preserve">, </w:t>
      </w:r>
      <w:proofErr w:type="spellStart"/>
      <w:proofErr w:type="gramStart"/>
      <w:r>
        <w:rPr>
          <w:rFonts w:ascii="Arial" w:eastAsia="SimSun" w:hAnsi="Arial" w:cs="Arial"/>
          <w:lang w:val="en-MY"/>
        </w:rPr>
        <w:t>C.,and</w:t>
      </w:r>
      <w:proofErr w:type="spellEnd"/>
      <w:proofErr w:type="gramEnd"/>
      <w:r>
        <w:rPr>
          <w:rFonts w:ascii="Arial" w:eastAsia="SimSun" w:hAnsi="Arial" w:cs="Arial"/>
          <w:lang w:val="en-MY"/>
        </w:rPr>
        <w:t xml:space="preserve"> Jay, M. (2007). Simultaneous identification and quantitation of 11 flavonoid constituents in </w:t>
      </w:r>
      <w:r>
        <w:rPr>
          <w:rFonts w:ascii="Arial" w:eastAsia="SimSun" w:hAnsi="Arial" w:cs="Arial"/>
          <w:i/>
          <w:iCs/>
          <w:lang w:val="en-MY"/>
        </w:rPr>
        <w:t>Kaempferia parviflora</w:t>
      </w:r>
      <w:r>
        <w:rPr>
          <w:rFonts w:ascii="Arial" w:eastAsia="SimSun" w:hAnsi="Arial" w:cs="Arial"/>
          <w:lang w:val="en-MY"/>
        </w:rPr>
        <w:t xml:space="preserve"> by gas chromatography. Journal of Chromatography A.1143 (1-2): 227 - 233. </w:t>
      </w:r>
      <w:hyperlink r:id="rId28" w:history="1">
        <w:r w:rsidR="007C5685">
          <w:rPr>
            <w:rStyle w:val="Hyperlink"/>
            <w:rFonts w:ascii="Arial" w:eastAsia="SimSun" w:hAnsi="Arial" w:cs="Arial"/>
            <w:color w:val="auto"/>
            <w:lang w:val="en-MY"/>
          </w:rPr>
          <w:t>https://doi.org/10.1016/j.chroma.2007.01.033.</w:t>
        </w:r>
      </w:hyperlink>
    </w:p>
    <w:p w14:paraId="1BEA0C1A" w14:textId="77777777" w:rsidR="007C5685" w:rsidRDefault="007C5685">
      <w:pPr>
        <w:jc w:val="both"/>
        <w:rPr>
          <w:rFonts w:ascii="Arial" w:eastAsia="SimSun" w:hAnsi="Arial" w:cs="Arial"/>
          <w:lang w:val="en-MY" w:eastAsia="zh-CN"/>
        </w:rPr>
      </w:pPr>
    </w:p>
    <w:p w14:paraId="7CDEF0CC"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Tan, T.Y.C., Lim, X.Y., Krishnan, P., Muhamad Rosli, S.H., Chan, J.S.W., Voon, Y.L., et al. (2024). Application of </w:t>
      </w:r>
      <w:r>
        <w:rPr>
          <w:rFonts w:ascii="Arial" w:eastAsia="SimSun" w:hAnsi="Arial" w:cs="Arial"/>
          <w:i/>
          <w:iCs/>
          <w:lang w:val="en-MY" w:eastAsia="zh-CN"/>
        </w:rPr>
        <w:t>Kaempferia parviflora</w:t>
      </w:r>
      <w:r>
        <w:rPr>
          <w:rFonts w:ascii="Arial" w:eastAsia="SimSun" w:hAnsi="Arial" w:cs="Arial"/>
          <w:lang w:val="en-MY" w:eastAsia="zh-CN"/>
        </w:rPr>
        <w:t>: A Perspective Review. Natural Product Co</w:t>
      </w:r>
      <w:r>
        <w:rPr>
          <w:rFonts w:ascii="Arial" w:eastAsia="SimSun" w:hAnsi="Arial" w:cs="Arial"/>
          <w:lang w:val="en-MY" w:eastAsia="zh-CN"/>
        </w:rPr>
        <w:t>mmunications. 19 (10). DOI:</w:t>
      </w:r>
      <w:hyperlink r:id="rId29" w:history="1">
        <w:r w:rsidR="007C5685">
          <w:rPr>
            <w:rFonts w:ascii="Arial" w:eastAsia="SimSun" w:hAnsi="Arial" w:cs="Arial"/>
            <w:lang w:val="en-MY"/>
          </w:rPr>
          <w:t>10.1177/1934578X241281615</w:t>
        </w:r>
      </w:hyperlink>
      <w:r>
        <w:rPr>
          <w:rFonts w:ascii="Arial" w:eastAsia="SimSun" w:hAnsi="Arial" w:cs="Arial"/>
          <w:lang w:val="en-MY" w:eastAsia="zh-CN"/>
        </w:rPr>
        <w:t>.</w:t>
      </w:r>
    </w:p>
    <w:p w14:paraId="0FC8BA86"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lang w:val="en-MY"/>
        </w:rPr>
        <w:t>Tewtrakul</w:t>
      </w:r>
      <w:proofErr w:type="spellEnd"/>
      <w:r>
        <w:rPr>
          <w:rFonts w:ascii="Arial" w:eastAsia="SimSun" w:hAnsi="Arial" w:cs="Arial"/>
          <w:lang w:val="en-MY"/>
        </w:rPr>
        <w:t xml:space="preserve">, S., </w:t>
      </w:r>
      <w:proofErr w:type="spellStart"/>
      <w:r>
        <w:rPr>
          <w:rFonts w:ascii="Arial" w:eastAsia="SimSun" w:hAnsi="Arial" w:cs="Arial"/>
          <w:lang w:val="en-MY"/>
        </w:rPr>
        <w:t>Subhadhirasakul</w:t>
      </w:r>
      <w:proofErr w:type="spellEnd"/>
      <w:r>
        <w:rPr>
          <w:rFonts w:ascii="Arial" w:eastAsia="SimSun" w:hAnsi="Arial" w:cs="Arial"/>
          <w:lang w:val="en-MY"/>
        </w:rPr>
        <w:t xml:space="preserve">, S., </w:t>
      </w:r>
      <w:proofErr w:type="spellStart"/>
      <w:r>
        <w:rPr>
          <w:rFonts w:ascii="Arial" w:eastAsia="SimSun" w:hAnsi="Arial" w:cs="Arial"/>
          <w:lang w:val="en-MY"/>
        </w:rPr>
        <w:t>Karalai</w:t>
      </w:r>
      <w:proofErr w:type="spellEnd"/>
      <w:r>
        <w:rPr>
          <w:rFonts w:ascii="Arial" w:eastAsia="SimSun" w:hAnsi="Arial" w:cs="Arial"/>
          <w:lang w:val="en-MY"/>
        </w:rPr>
        <w:t xml:space="preserve">, C., </w:t>
      </w:r>
      <w:proofErr w:type="spellStart"/>
      <w:r>
        <w:rPr>
          <w:rFonts w:ascii="Arial" w:eastAsia="SimSun" w:hAnsi="Arial" w:cs="Arial"/>
          <w:lang w:val="en-MY"/>
        </w:rPr>
        <w:t>Ponglimanont</w:t>
      </w:r>
      <w:proofErr w:type="spellEnd"/>
      <w:r>
        <w:rPr>
          <w:rFonts w:ascii="Arial" w:eastAsia="SimSun" w:hAnsi="Arial" w:cs="Arial"/>
          <w:lang w:val="en-MY"/>
        </w:rPr>
        <w:t xml:space="preserve">, C. and </w:t>
      </w:r>
      <w:proofErr w:type="spellStart"/>
      <w:proofErr w:type="gramStart"/>
      <w:r>
        <w:rPr>
          <w:rFonts w:ascii="Arial" w:eastAsia="SimSun" w:hAnsi="Arial" w:cs="Arial"/>
          <w:lang w:val="en-MY"/>
        </w:rPr>
        <w:t>Cheenpracha,S</w:t>
      </w:r>
      <w:proofErr w:type="spellEnd"/>
      <w:r>
        <w:rPr>
          <w:rFonts w:ascii="Arial" w:eastAsia="SimSun" w:hAnsi="Arial" w:cs="Arial"/>
          <w:lang w:val="en-MY"/>
        </w:rPr>
        <w:t>.</w:t>
      </w:r>
      <w:proofErr w:type="gramEnd"/>
      <w:r>
        <w:rPr>
          <w:rFonts w:ascii="Arial" w:eastAsia="SimSun" w:hAnsi="Arial" w:cs="Arial"/>
          <w:lang w:val="en-MY"/>
        </w:rPr>
        <w:t xml:space="preserve"> (2009). Anti-inflammatory effects of compounds from </w:t>
      </w:r>
      <w:proofErr w:type="spellStart"/>
      <w:r>
        <w:rPr>
          <w:rFonts w:ascii="Arial" w:eastAsia="SimSun" w:hAnsi="Arial" w:cs="Arial"/>
          <w:i/>
          <w:iCs/>
          <w:lang w:val="en-MY"/>
        </w:rPr>
        <w:t>Kaempfe</w:t>
      </w:r>
      <w:r>
        <w:rPr>
          <w:rFonts w:ascii="Arial" w:eastAsia="SimSun" w:hAnsi="Arial" w:cs="Arial"/>
          <w:i/>
          <w:iCs/>
          <w:lang w:val="en-MY"/>
        </w:rPr>
        <w:t>ria</w:t>
      </w:r>
      <w:proofErr w:type="spellEnd"/>
      <w:r>
        <w:rPr>
          <w:rFonts w:ascii="Arial" w:eastAsia="SimSun" w:hAnsi="Arial" w:cs="Arial"/>
          <w:i/>
          <w:iCs/>
          <w:lang w:val="en-MY"/>
        </w:rPr>
        <w:t xml:space="preserve"> </w:t>
      </w:r>
      <w:proofErr w:type="spellStart"/>
      <w:r>
        <w:rPr>
          <w:rFonts w:ascii="Arial" w:eastAsia="SimSun" w:hAnsi="Arial" w:cs="Arial"/>
          <w:i/>
          <w:iCs/>
          <w:lang w:val="en-MY"/>
        </w:rPr>
        <w:t>parviflora</w:t>
      </w:r>
      <w:proofErr w:type="spellEnd"/>
      <w:r>
        <w:rPr>
          <w:rFonts w:ascii="Arial" w:eastAsia="SimSun" w:hAnsi="Arial" w:cs="Arial"/>
          <w:lang w:val="en-MY"/>
        </w:rPr>
        <w:t xml:space="preserve"> and </w:t>
      </w:r>
      <w:proofErr w:type="spellStart"/>
      <w:r>
        <w:rPr>
          <w:rFonts w:ascii="Arial" w:eastAsia="SimSun" w:hAnsi="Arial" w:cs="Arial"/>
          <w:i/>
          <w:iCs/>
          <w:lang w:val="en-MY"/>
        </w:rPr>
        <w:t>Boesenbergia</w:t>
      </w:r>
      <w:proofErr w:type="spellEnd"/>
      <w:r>
        <w:rPr>
          <w:rFonts w:ascii="Arial" w:eastAsia="SimSun" w:hAnsi="Arial" w:cs="Arial"/>
          <w:i/>
          <w:iCs/>
          <w:lang w:val="en-MY"/>
        </w:rPr>
        <w:t xml:space="preserve"> </w:t>
      </w:r>
      <w:proofErr w:type="spellStart"/>
      <w:r>
        <w:rPr>
          <w:rFonts w:ascii="Arial" w:eastAsia="SimSun" w:hAnsi="Arial" w:cs="Arial"/>
          <w:i/>
          <w:iCs/>
          <w:lang w:val="en-MY"/>
        </w:rPr>
        <w:t>pandurata</w:t>
      </w:r>
      <w:proofErr w:type="spellEnd"/>
      <w:r>
        <w:rPr>
          <w:rFonts w:ascii="Arial" w:eastAsia="SimSun" w:hAnsi="Arial" w:cs="Arial"/>
          <w:lang w:val="en-MY"/>
        </w:rPr>
        <w:t xml:space="preserve">. Food Chemistry. 115 (2): 534-538.  </w:t>
      </w:r>
      <w:hyperlink r:id="rId30" w:history="1">
        <w:r w:rsidR="007C5685">
          <w:rPr>
            <w:rFonts w:ascii="Arial" w:eastAsia="SimSun" w:hAnsi="Arial" w:cs="Arial"/>
            <w:lang w:val="en-MY"/>
          </w:rPr>
          <w:t>https://doi.org/10.1016/j.foodchem.2008.12.057.</w:t>
        </w:r>
      </w:hyperlink>
    </w:p>
    <w:p w14:paraId="22A85643" w14:textId="77777777" w:rsidR="007C5685" w:rsidRDefault="007C5685">
      <w:pPr>
        <w:jc w:val="both"/>
        <w:rPr>
          <w:rFonts w:ascii="Arial" w:eastAsia="SimSun" w:hAnsi="Arial" w:cs="Arial"/>
          <w:lang w:val="en-MY" w:eastAsia="zh-CN"/>
        </w:rPr>
      </w:pPr>
    </w:p>
    <w:p w14:paraId="2F0208EE"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Vaishali and Singh, N.P. (2017). Morphological characterization </w:t>
      </w:r>
      <w:r>
        <w:rPr>
          <w:rFonts w:ascii="Arial" w:eastAsia="SimSun" w:hAnsi="Arial" w:cs="Arial"/>
          <w:lang w:val="en-MY" w:eastAsia="zh-CN"/>
        </w:rPr>
        <w:t>of turmeric (</w:t>
      </w:r>
      <w:r>
        <w:rPr>
          <w:rFonts w:ascii="Arial" w:eastAsia="SimSun" w:hAnsi="Arial" w:cs="Arial"/>
          <w:i/>
          <w:iCs/>
          <w:lang w:val="en-MY" w:eastAsia="zh-CN"/>
        </w:rPr>
        <w:t>Curcuma longa</w:t>
      </w:r>
      <w:r>
        <w:rPr>
          <w:rFonts w:ascii="Arial" w:eastAsia="SimSun" w:hAnsi="Arial" w:cs="Arial"/>
          <w:lang w:val="en-MY" w:eastAsia="zh-CN"/>
        </w:rPr>
        <w:t xml:space="preserve"> L.) varieties. Bhartiya Krishi Anusandhan Patrika. 32: 27-28.</w:t>
      </w:r>
    </w:p>
    <w:p w14:paraId="7C1D5BF6" w14:textId="77777777" w:rsidR="007C5685" w:rsidRDefault="007C5685">
      <w:pPr>
        <w:jc w:val="both"/>
        <w:rPr>
          <w:rFonts w:ascii="Arial" w:eastAsia="SimSun" w:hAnsi="Arial" w:cs="Arial"/>
          <w:lang w:val="en-MY" w:eastAsia="zh-CN"/>
        </w:rPr>
      </w:pPr>
    </w:p>
    <w:p w14:paraId="0D5DF3D7"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lang w:val="en-MY"/>
        </w:rPr>
        <w:t>Wattanapitayakul</w:t>
      </w:r>
      <w:proofErr w:type="spellEnd"/>
      <w:r>
        <w:rPr>
          <w:rFonts w:ascii="Arial" w:eastAsia="SimSun" w:hAnsi="Arial" w:cs="Arial"/>
          <w:lang w:val="en-MY"/>
        </w:rPr>
        <w:t xml:space="preserve">, S. K., </w:t>
      </w:r>
      <w:proofErr w:type="spellStart"/>
      <w:r>
        <w:rPr>
          <w:rFonts w:ascii="Arial" w:eastAsia="SimSun" w:hAnsi="Arial" w:cs="Arial"/>
          <w:lang w:val="en-MY"/>
        </w:rPr>
        <w:t>Chularojmontri</w:t>
      </w:r>
      <w:proofErr w:type="spellEnd"/>
      <w:r>
        <w:rPr>
          <w:rFonts w:ascii="Arial" w:eastAsia="SimSun" w:hAnsi="Arial" w:cs="Arial"/>
          <w:lang w:val="en-MY"/>
        </w:rPr>
        <w:t xml:space="preserve">, L., </w:t>
      </w:r>
      <w:proofErr w:type="spellStart"/>
      <w:r>
        <w:rPr>
          <w:rFonts w:ascii="Arial" w:eastAsia="SimSun" w:hAnsi="Arial" w:cs="Arial"/>
          <w:lang w:val="en-MY"/>
        </w:rPr>
        <w:t>Herunsalee</w:t>
      </w:r>
      <w:proofErr w:type="spellEnd"/>
      <w:r>
        <w:rPr>
          <w:rFonts w:ascii="Arial" w:eastAsia="SimSun" w:hAnsi="Arial" w:cs="Arial"/>
          <w:lang w:val="en-MY"/>
        </w:rPr>
        <w:t xml:space="preserve">, A., </w:t>
      </w:r>
      <w:proofErr w:type="spellStart"/>
      <w:r>
        <w:rPr>
          <w:rFonts w:ascii="Arial" w:eastAsia="SimSun" w:hAnsi="Arial" w:cs="Arial"/>
          <w:lang w:val="en-MY"/>
        </w:rPr>
        <w:t>Charuchongkolwongse</w:t>
      </w:r>
      <w:proofErr w:type="spellEnd"/>
      <w:r>
        <w:rPr>
          <w:rFonts w:ascii="Arial" w:eastAsia="SimSun" w:hAnsi="Arial" w:cs="Arial"/>
          <w:lang w:val="en-MY"/>
        </w:rPr>
        <w:t xml:space="preserve">, S., </w:t>
      </w:r>
      <w:proofErr w:type="spellStart"/>
      <w:r>
        <w:rPr>
          <w:rFonts w:ascii="Arial" w:eastAsia="SimSun" w:hAnsi="Arial" w:cs="Arial"/>
          <w:lang w:val="en-MY"/>
        </w:rPr>
        <w:t>Niumsakul</w:t>
      </w:r>
      <w:proofErr w:type="spellEnd"/>
      <w:r>
        <w:rPr>
          <w:rFonts w:ascii="Arial" w:eastAsia="SimSun" w:hAnsi="Arial" w:cs="Arial"/>
          <w:lang w:val="en-MY"/>
        </w:rPr>
        <w:t>, S., &amp; Bauer, J. A. (2007). Vasorelaxation and antioxidant activity of</w:t>
      </w:r>
      <w:r>
        <w:rPr>
          <w:rFonts w:ascii="Arial" w:eastAsia="SimSun" w:hAnsi="Arial" w:cs="Arial"/>
          <w:lang w:val="en-MY"/>
        </w:rPr>
        <w:t xml:space="preserve"> </w:t>
      </w:r>
      <w:r>
        <w:rPr>
          <w:rFonts w:ascii="Arial" w:eastAsia="SimSun" w:hAnsi="Arial" w:cs="Arial"/>
          <w:i/>
          <w:iCs/>
          <w:lang w:val="en-MY"/>
        </w:rPr>
        <w:t>Kaempferia parviflora</w:t>
      </w:r>
      <w:r>
        <w:rPr>
          <w:rFonts w:ascii="Arial" w:eastAsia="SimSun" w:hAnsi="Arial" w:cs="Arial"/>
          <w:lang w:val="en-MY"/>
        </w:rPr>
        <w:t xml:space="preserve">. Journal of Ethnopharmacology. 110 (3): 559 - 562.  </w:t>
      </w:r>
      <w:hyperlink r:id="rId31" w:history="1">
        <w:r w:rsidR="007C5685">
          <w:rPr>
            <w:rFonts w:ascii="Arial" w:eastAsia="SimSun" w:hAnsi="Arial" w:cs="Arial"/>
            <w:lang w:val="en-MY"/>
          </w:rPr>
          <w:t>https://doi.org/10.1016/j.jep.2006.10.011</w:t>
        </w:r>
      </w:hyperlink>
    </w:p>
    <w:p w14:paraId="6860422A" w14:textId="77777777" w:rsidR="007C5685" w:rsidRDefault="007C5685">
      <w:pPr>
        <w:pStyle w:val="Appendix"/>
        <w:spacing w:after="0"/>
        <w:jc w:val="both"/>
        <w:rPr>
          <w:rFonts w:ascii="Arial" w:hAnsi="Arial" w:cs="Arial"/>
          <w:b w:val="0"/>
        </w:rPr>
        <w:sectPr w:rsidR="007C5685" w:rsidSect="00D9181C">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4FD734E6" w14:textId="77777777" w:rsidR="007C5685" w:rsidRDefault="007C5685">
      <w:pPr>
        <w:pStyle w:val="Appendix"/>
        <w:spacing w:after="0"/>
        <w:jc w:val="both"/>
        <w:rPr>
          <w:rFonts w:ascii="Arial" w:hAnsi="Arial" w:cs="Arial"/>
          <w:b w:val="0"/>
        </w:rPr>
      </w:pPr>
    </w:p>
    <w:sectPr w:rsidR="007C5685" w:rsidSect="00D918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96991" w14:textId="77777777" w:rsidR="00F26870" w:rsidRDefault="00F26870">
      <w:r>
        <w:separator/>
      </w:r>
    </w:p>
  </w:endnote>
  <w:endnote w:type="continuationSeparator" w:id="0">
    <w:p w14:paraId="517B61A7" w14:textId="77777777" w:rsidR="00F26870" w:rsidRDefault="00F2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7C7C" w14:textId="77777777" w:rsidR="00D9181C" w:rsidRDefault="00D91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E5D15" w14:textId="77777777" w:rsidR="00D9181C" w:rsidRDefault="00D91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7FA2" w14:textId="2285B213" w:rsidR="007C5685" w:rsidRPr="00D9181C" w:rsidRDefault="007C5685" w:rsidP="00D9181C">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075F5" w14:textId="77777777" w:rsidR="007C5685" w:rsidRDefault="007C5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95F0F" w14:textId="77777777" w:rsidR="00F26870" w:rsidRDefault="00F26870">
      <w:r>
        <w:separator/>
      </w:r>
    </w:p>
  </w:footnote>
  <w:footnote w:type="continuationSeparator" w:id="0">
    <w:p w14:paraId="2F275FBC" w14:textId="77777777" w:rsidR="00F26870" w:rsidRDefault="00F26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36B5" w14:textId="394C9C69" w:rsidR="00D9181C" w:rsidRDefault="00D9181C">
    <w:pPr>
      <w:pStyle w:val="Header"/>
    </w:pPr>
    <w:r>
      <w:rPr>
        <w:noProof/>
      </w:rPr>
      <w:pict w14:anchorId="16D9B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8609C" w14:textId="35EA7835" w:rsidR="00D9181C" w:rsidRDefault="00D9181C">
    <w:pPr>
      <w:pStyle w:val="Header"/>
    </w:pPr>
    <w:r>
      <w:rPr>
        <w:noProof/>
      </w:rPr>
      <w:pict w14:anchorId="08656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B96D" w14:textId="4AF4BA3B" w:rsidR="007C5685" w:rsidRDefault="00D9181C">
    <w:pPr>
      <w:ind w:left="2160"/>
      <w:jc w:val="center"/>
      <w:rPr>
        <w:rFonts w:ascii="Times New Roman" w:eastAsia="Calibri" w:hAnsi="Times New Roman"/>
        <w:i/>
        <w:sz w:val="18"/>
        <w:szCs w:val="22"/>
      </w:rPr>
    </w:pPr>
    <w:r>
      <w:rPr>
        <w:noProof/>
      </w:rPr>
      <w:pict w14:anchorId="7828A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988183" w14:textId="77777777" w:rsidR="007C5685" w:rsidRDefault="00F2687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BAD3C42" w14:textId="77777777" w:rsidR="007C5685" w:rsidRDefault="00F26870">
    <w:pPr>
      <w:jc w:val="center"/>
      <w:rPr>
        <w:rFonts w:ascii="Times New Roman" w:eastAsia="Calibri" w:hAnsi="Times New Roman"/>
        <w:i/>
        <w:sz w:val="18"/>
        <w:szCs w:val="22"/>
      </w:rPr>
    </w:pPr>
    <w:r>
      <w:rPr>
        <w:rFonts w:ascii="Times New Roman" w:eastAsia="Calibri" w:hAnsi="Times New Roman"/>
        <w:i/>
        <w:sz w:val="18"/>
        <w:szCs w:val="22"/>
      </w:rPr>
      <w:t>.</w:t>
    </w:r>
  </w:p>
  <w:p w14:paraId="0FED7643" w14:textId="77777777" w:rsidR="007C5685" w:rsidRDefault="00F2687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3DEAA5B" w14:textId="77777777" w:rsidR="007C5685" w:rsidRDefault="00F2687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03A1982" w14:textId="77777777" w:rsidR="007C5685" w:rsidRDefault="00F2687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FF16FC3" w14:textId="77777777" w:rsidR="007C5685" w:rsidRDefault="00F2687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2ADE" w14:textId="0EC4C957" w:rsidR="00D9181C" w:rsidRDefault="00D9181C">
    <w:pPr>
      <w:pStyle w:val="Header"/>
    </w:pPr>
    <w:r>
      <w:rPr>
        <w:noProof/>
      </w:rPr>
      <w:pict w14:anchorId="71F63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5456" w14:textId="606F7B6C" w:rsidR="00D9181C" w:rsidRDefault="00D9181C">
    <w:pPr>
      <w:pStyle w:val="Header"/>
    </w:pPr>
    <w:r>
      <w:rPr>
        <w:noProof/>
      </w:rPr>
      <w:pict w14:anchorId="39C89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CC4D3" w14:textId="380C8C06" w:rsidR="00D9181C" w:rsidRDefault="00D9181C">
    <w:pPr>
      <w:pStyle w:val="Header"/>
    </w:pPr>
    <w:r>
      <w:rPr>
        <w:noProof/>
      </w:rPr>
      <w:pict w14:anchorId="73204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0750E2"/>
    <w:multiLevelType w:val="singleLevel"/>
    <w:tmpl w:val="9C0750E2"/>
    <w:lvl w:ilvl="0">
      <w:start w:val="1"/>
      <w:numFmt w:val="decimal"/>
      <w:lvlText w:val="%1."/>
      <w:lvlJc w:val="left"/>
      <w:pPr>
        <w:tabs>
          <w:tab w:val="left" w:pos="425"/>
        </w:tabs>
        <w:ind w:left="425" w:hanging="425"/>
      </w:pPr>
      <w:rPr>
        <w:rFonts w:hint="default"/>
      </w:rPr>
    </w:lvl>
  </w:abstractNum>
  <w:abstractNum w:abstractNumId="1" w15:restartNumberingAfterBreak="0">
    <w:nsid w:val="1B7E40D3"/>
    <w:multiLevelType w:val="singleLevel"/>
    <w:tmpl w:val="1B7E40D3"/>
    <w:lvl w:ilvl="0">
      <w:start w:val="1"/>
      <w:numFmt w:val="decimal"/>
      <w:lvlText w:val="%1."/>
      <w:lvlJc w:val="left"/>
      <w:pPr>
        <w:tabs>
          <w:tab w:val="left" w:pos="845"/>
        </w:tabs>
        <w:ind w:left="845" w:hanging="425"/>
      </w:pPr>
      <w:rPr>
        <w:rFonts w:hint="default"/>
      </w:rPr>
    </w:lvl>
  </w:abstractNum>
  <w:abstractNum w:abstractNumId="2" w15:restartNumberingAfterBreak="0">
    <w:nsid w:val="2F426B37"/>
    <w:multiLevelType w:val="singleLevel"/>
    <w:tmpl w:val="2F426B37"/>
    <w:lvl w:ilvl="0">
      <w:start w:val="3"/>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E0D56"/>
    <w:rsid w:val="002F2EF5"/>
    <w:rsid w:val="00315186"/>
    <w:rsid w:val="0033343E"/>
    <w:rsid w:val="003512C2"/>
    <w:rsid w:val="0036796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5685"/>
    <w:rsid w:val="007D2288"/>
    <w:rsid w:val="007E088F"/>
    <w:rsid w:val="007F7B32"/>
    <w:rsid w:val="00804BC2"/>
    <w:rsid w:val="0081431A"/>
    <w:rsid w:val="0083216F"/>
    <w:rsid w:val="00860000"/>
    <w:rsid w:val="00863BD3"/>
    <w:rsid w:val="00866D66"/>
    <w:rsid w:val="008671C6"/>
    <w:rsid w:val="00875803"/>
    <w:rsid w:val="0088787E"/>
    <w:rsid w:val="008B459E"/>
    <w:rsid w:val="008E1096"/>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4CF6"/>
    <w:rsid w:val="00B01FCD"/>
    <w:rsid w:val="00B1776C"/>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D173F1"/>
    <w:rsid w:val="00D8295D"/>
    <w:rsid w:val="00D9181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D0288"/>
    <w:rsid w:val="00EE52CB"/>
    <w:rsid w:val="00EF581D"/>
    <w:rsid w:val="00EF7FD8"/>
    <w:rsid w:val="00F06F59"/>
    <w:rsid w:val="00F17988"/>
    <w:rsid w:val="00F26870"/>
    <w:rsid w:val="00F469F0"/>
    <w:rsid w:val="00F53273"/>
    <w:rsid w:val="00F755E4"/>
    <w:rsid w:val="00F77D02"/>
    <w:rsid w:val="00FA0B64"/>
    <w:rsid w:val="00FB3A86"/>
    <w:rsid w:val="00FD36C8"/>
    <w:rsid w:val="08C534BE"/>
    <w:rsid w:val="144C0C2F"/>
    <w:rsid w:val="1E124827"/>
    <w:rsid w:val="2200089B"/>
    <w:rsid w:val="284E2FFD"/>
    <w:rsid w:val="31CF20A3"/>
    <w:rsid w:val="3203745C"/>
    <w:rsid w:val="42874D9D"/>
    <w:rsid w:val="462176C7"/>
    <w:rsid w:val="465C6982"/>
    <w:rsid w:val="472707CD"/>
    <w:rsid w:val="47BC12CD"/>
    <w:rsid w:val="4EFA5E0B"/>
    <w:rsid w:val="4FE05C36"/>
    <w:rsid w:val="503F1C56"/>
    <w:rsid w:val="5A767591"/>
    <w:rsid w:val="5C080C76"/>
    <w:rsid w:val="5E760BB4"/>
    <w:rsid w:val="610B37F8"/>
    <w:rsid w:val="618A7567"/>
    <w:rsid w:val="63862972"/>
    <w:rsid w:val="6B1822EA"/>
    <w:rsid w:val="77F45211"/>
    <w:rsid w:val="7A690B30"/>
    <w:rsid w:val="7CB73A6E"/>
    <w:rsid w:val="7E9C1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9368A63"/>
  <w15:docId w15:val="{55D20C25-A232-4B19-9534-D821B6AE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rFonts w:eastAsia="Times New Roman"/>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customStyle="1" w:styleId="Abstracttext">
    <w:name w:val="Abstract text"/>
    <w:basedOn w:val="Normal"/>
    <w:qFormat/>
    <w:pPr>
      <w:spacing w:before="100" w:beforeAutospacing="1" w:after="200" w:line="256" w:lineRule="auto"/>
      <w:jc w:val="both"/>
    </w:pPr>
    <w:rPr>
      <w:rFonts w:ascii="Calibri" w:hAnsi="Calibri"/>
      <w:i/>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26656/fr.2017.6(3).408." TargetMode="External"/><Relationship Id="rId26" Type="http://schemas.openxmlformats.org/officeDocument/2006/relationships/hyperlink" Target="https://doi.org/10.4236/abb.2018.95014" TargetMode="External"/><Relationship Id="rId21" Type="http://schemas.openxmlformats.org/officeDocument/2006/relationships/hyperlink" Target="https://doi.org/10.1111/j.1461-0248.2008.01179.x"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371/journal.pbio.0020347"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155/2015/431487" TargetMode="External"/><Relationship Id="rId29" Type="http://schemas.openxmlformats.org/officeDocument/2006/relationships/hyperlink" Target="https://doi.org/10.1177/1934578X2412816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cpb.2018.09.004."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dx.doi.org/10.1016/j.scienta.2010.02.024" TargetMode="External"/><Relationship Id="rId28" Type="http://schemas.openxmlformats.org/officeDocument/2006/relationships/hyperlink" Target="https://doi.org/10.1016/j.chroma.2007.01.033."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20546/ijcmas.2020.908.347" TargetMode="External"/><Relationship Id="rId31" Type="http://schemas.openxmlformats.org/officeDocument/2006/relationships/hyperlink" Target="https://doi.org/10.1016/j.jep.2006.10.01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agronomy10111667" TargetMode="External"/><Relationship Id="rId27" Type="http://schemas.openxmlformats.org/officeDocument/2006/relationships/hyperlink" Target="https://doi.org/10.1023/A:1013359015812" TargetMode="External"/><Relationship Id="rId30" Type="http://schemas.openxmlformats.org/officeDocument/2006/relationships/hyperlink" Target="https://doi.org/10.1016/j.foodchem.2008.12.057." TargetMode="External"/><Relationship Id="rId35"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37AB6D-BD01-4427-87BD-E5309C95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9</Pages>
  <Words>3728</Words>
  <Characters>21252</Characters>
  <Application>Microsoft Office Word</Application>
  <DocSecurity>0</DocSecurity>
  <Lines>177</Lines>
  <Paragraphs>49</Paragraphs>
  <ScaleCrop>false</ScaleCrop>
  <Company>aaaa</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2025-09-11T04:35:00Z</cp:lastPrinted>
  <dcterms:created xsi:type="dcterms:W3CDTF">2014-10-25T14:34:00Z</dcterms:created>
  <dcterms:modified xsi:type="dcterms:W3CDTF">2025-09-12T07:38:00Z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B4777C0FE5A043CA97F9FD668720F8ED_13</vt:lpwstr>
  </property>
</Properties>
</file>